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5195"/>
        <w:gridCol w:w="5195"/>
      </w:tblGrid>
      <w:tr w:rsidR="00024FA3" w:rsidRPr="007C5A7B" w14:paraId="675745CE" w14:textId="77777777" w:rsidTr="007C5A7B">
        <w:tc>
          <w:tcPr>
            <w:tcW w:w="10390" w:type="dxa"/>
            <w:gridSpan w:val="2"/>
            <w:shd w:val="clear" w:color="auto" w:fill="DBE5F1" w:themeFill="accent1" w:themeFillTint="33"/>
          </w:tcPr>
          <w:p w14:paraId="69876703" w14:textId="1D4ABEA5" w:rsidR="00A837D5" w:rsidRPr="00FD3A87" w:rsidRDefault="00490113" w:rsidP="007C5A7B">
            <w:pPr>
              <w:spacing w:line="251" w:lineRule="exact"/>
              <w:jc w:val="center"/>
              <w:rPr>
                <w:rFonts w:asciiTheme="minorHAnsi" w:hAnsiTheme="minorHAnsi"/>
                <w:b/>
                <w:bCs/>
              </w:rPr>
            </w:pPr>
            <w:r>
              <w:rPr>
                <w:rFonts w:asciiTheme="minorHAnsi" w:hAnsiTheme="minorHAnsi"/>
                <w:b/>
                <w:bCs/>
              </w:rPr>
              <w:t xml:space="preserve"> </w:t>
            </w:r>
            <w:r w:rsidR="00A837D5" w:rsidRPr="00FD3A87">
              <w:rPr>
                <w:rFonts w:asciiTheme="minorHAnsi" w:hAnsiTheme="minorHAnsi"/>
                <w:b/>
                <w:bCs/>
              </w:rPr>
              <w:t>STAFF REPORT TO THE PUBLIC HEALTH COUNCIL</w:t>
            </w:r>
          </w:p>
          <w:p w14:paraId="1AF941A0" w14:textId="0A87C126" w:rsidR="00024FA3" w:rsidRPr="00FD3A87" w:rsidRDefault="00A837D5" w:rsidP="007C5A7B">
            <w:pPr>
              <w:spacing w:line="251" w:lineRule="exact"/>
              <w:jc w:val="center"/>
              <w:rPr>
                <w:rFonts w:asciiTheme="minorHAnsi" w:hAnsiTheme="minorHAnsi"/>
                <w:b/>
                <w:bCs/>
              </w:rPr>
            </w:pPr>
            <w:r w:rsidRPr="00FD3A87">
              <w:rPr>
                <w:rFonts w:asciiTheme="minorHAnsi" w:hAnsiTheme="minorHAnsi"/>
                <w:b/>
                <w:bCs/>
              </w:rPr>
              <w:t>FOR A DETERMINATION OF NEED</w:t>
            </w:r>
          </w:p>
        </w:tc>
      </w:tr>
      <w:tr w:rsidR="00024FA3" w14:paraId="6F03F3A1" w14:textId="77777777" w:rsidTr="009A52CA">
        <w:tc>
          <w:tcPr>
            <w:tcW w:w="5195" w:type="dxa"/>
          </w:tcPr>
          <w:p w14:paraId="1A1DCFE6" w14:textId="7F18FE96" w:rsidR="00024FA3" w:rsidRPr="00FD3A87" w:rsidRDefault="00280620" w:rsidP="009A52CA">
            <w:pPr>
              <w:spacing w:line="251" w:lineRule="exact"/>
              <w:rPr>
                <w:rFonts w:asciiTheme="minorHAnsi" w:hAnsiTheme="minorHAnsi"/>
              </w:rPr>
            </w:pPr>
            <w:r w:rsidRPr="00FD3A87">
              <w:rPr>
                <w:rFonts w:asciiTheme="minorHAnsi" w:hAnsiTheme="minorHAnsi"/>
              </w:rPr>
              <w:t>Applicant Name</w:t>
            </w:r>
          </w:p>
        </w:tc>
        <w:tc>
          <w:tcPr>
            <w:tcW w:w="5195" w:type="dxa"/>
          </w:tcPr>
          <w:p w14:paraId="774987B4" w14:textId="77777777" w:rsidR="0039526F" w:rsidRDefault="0076798C" w:rsidP="009A52CA">
            <w:pPr>
              <w:spacing w:line="251" w:lineRule="exact"/>
              <w:rPr>
                <w:rFonts w:asciiTheme="minorHAnsi" w:hAnsiTheme="minorHAnsi"/>
              </w:rPr>
            </w:pPr>
            <w:r>
              <w:rPr>
                <w:rFonts w:asciiTheme="minorHAnsi" w:hAnsiTheme="minorHAnsi"/>
              </w:rPr>
              <w:t xml:space="preserve">Emerson Endoscopy and </w:t>
            </w:r>
          </w:p>
          <w:p w14:paraId="04BD58CA" w14:textId="31A7392F" w:rsidR="00024FA3" w:rsidRPr="00FD3A87" w:rsidRDefault="0076798C" w:rsidP="009A52CA">
            <w:pPr>
              <w:spacing w:line="251" w:lineRule="exact"/>
              <w:rPr>
                <w:rFonts w:asciiTheme="minorHAnsi" w:hAnsiTheme="minorHAnsi"/>
              </w:rPr>
            </w:pPr>
            <w:r>
              <w:rPr>
                <w:rFonts w:asciiTheme="minorHAnsi" w:hAnsiTheme="minorHAnsi"/>
              </w:rPr>
              <w:t>Digestive Health Center</w:t>
            </w:r>
            <w:r w:rsidR="00180C4E">
              <w:rPr>
                <w:rFonts w:asciiTheme="minorHAnsi" w:hAnsiTheme="minorHAnsi"/>
              </w:rPr>
              <w:t>, LLC</w:t>
            </w:r>
          </w:p>
        </w:tc>
      </w:tr>
      <w:tr w:rsidR="00024FA3" w14:paraId="64CB4745" w14:textId="77777777" w:rsidTr="009A52CA">
        <w:tc>
          <w:tcPr>
            <w:tcW w:w="5195" w:type="dxa"/>
          </w:tcPr>
          <w:p w14:paraId="05A654D0" w14:textId="7C6BDE1B" w:rsidR="00024FA3" w:rsidRPr="00FD3A87" w:rsidRDefault="00280620" w:rsidP="009A52CA">
            <w:pPr>
              <w:spacing w:line="251" w:lineRule="exact"/>
              <w:rPr>
                <w:rFonts w:asciiTheme="minorHAnsi" w:hAnsiTheme="minorHAnsi"/>
              </w:rPr>
            </w:pPr>
            <w:r w:rsidRPr="00FD3A87">
              <w:rPr>
                <w:rFonts w:asciiTheme="minorHAnsi" w:hAnsiTheme="minorHAnsi"/>
              </w:rPr>
              <w:t>Applicant Address</w:t>
            </w:r>
          </w:p>
        </w:tc>
        <w:tc>
          <w:tcPr>
            <w:tcW w:w="5195" w:type="dxa"/>
          </w:tcPr>
          <w:p w14:paraId="4E5F73DA" w14:textId="77777777" w:rsidR="00B57D2F" w:rsidRDefault="005D413E" w:rsidP="009A52CA">
            <w:pPr>
              <w:spacing w:line="251" w:lineRule="exact"/>
              <w:rPr>
                <w:rFonts w:asciiTheme="minorHAnsi" w:hAnsiTheme="minorHAnsi"/>
              </w:rPr>
            </w:pPr>
            <w:r>
              <w:rPr>
                <w:rFonts w:asciiTheme="minorHAnsi" w:hAnsiTheme="minorHAnsi"/>
              </w:rPr>
              <w:t>310 Baker Avenue</w:t>
            </w:r>
          </w:p>
          <w:p w14:paraId="591063A3" w14:textId="75339B76" w:rsidR="005D413E" w:rsidRPr="00FD3A87" w:rsidRDefault="005D413E" w:rsidP="009A52CA">
            <w:pPr>
              <w:spacing w:line="251" w:lineRule="exact"/>
              <w:rPr>
                <w:rFonts w:asciiTheme="minorHAnsi" w:hAnsiTheme="minorHAnsi"/>
              </w:rPr>
            </w:pPr>
            <w:r>
              <w:rPr>
                <w:rFonts w:asciiTheme="minorHAnsi" w:hAnsiTheme="minorHAnsi"/>
              </w:rPr>
              <w:t>Concord, MA 01742</w:t>
            </w:r>
          </w:p>
        </w:tc>
      </w:tr>
      <w:tr w:rsidR="00024FA3" w14:paraId="79D4EAD0" w14:textId="77777777" w:rsidTr="009D4763">
        <w:tc>
          <w:tcPr>
            <w:tcW w:w="5195" w:type="dxa"/>
          </w:tcPr>
          <w:p w14:paraId="657A00D9" w14:textId="13CA27AF" w:rsidR="00024FA3" w:rsidRPr="00FD3A87" w:rsidRDefault="00280620" w:rsidP="009A52CA">
            <w:pPr>
              <w:spacing w:line="251" w:lineRule="exact"/>
              <w:rPr>
                <w:rFonts w:asciiTheme="minorHAnsi" w:hAnsiTheme="minorHAnsi"/>
              </w:rPr>
            </w:pPr>
            <w:r w:rsidRPr="00FD3A87">
              <w:rPr>
                <w:rFonts w:asciiTheme="minorHAnsi" w:hAnsiTheme="minorHAnsi"/>
              </w:rPr>
              <w:t>Filing Date</w:t>
            </w:r>
          </w:p>
        </w:tc>
        <w:tc>
          <w:tcPr>
            <w:tcW w:w="5195" w:type="dxa"/>
          </w:tcPr>
          <w:p w14:paraId="147F7C6C" w14:textId="4FA41784" w:rsidR="00024FA3" w:rsidRPr="00FD3A87" w:rsidRDefault="00E028C4" w:rsidP="009A52CA">
            <w:pPr>
              <w:spacing w:line="251" w:lineRule="exact"/>
              <w:rPr>
                <w:rFonts w:asciiTheme="minorHAnsi" w:hAnsiTheme="minorHAnsi"/>
              </w:rPr>
            </w:pPr>
            <w:r>
              <w:rPr>
                <w:rFonts w:asciiTheme="minorHAnsi" w:hAnsiTheme="minorHAnsi"/>
              </w:rPr>
              <w:t>May 30, 2025</w:t>
            </w:r>
          </w:p>
        </w:tc>
      </w:tr>
      <w:tr w:rsidR="00024FA3" w14:paraId="2E5B8A6E" w14:textId="77777777" w:rsidTr="009A52CA">
        <w:tc>
          <w:tcPr>
            <w:tcW w:w="5195" w:type="dxa"/>
          </w:tcPr>
          <w:p w14:paraId="78411483" w14:textId="1C356BD6" w:rsidR="00024FA3" w:rsidRPr="00FD3A87" w:rsidRDefault="00280620" w:rsidP="009A52CA">
            <w:pPr>
              <w:spacing w:line="251" w:lineRule="exact"/>
              <w:rPr>
                <w:rFonts w:asciiTheme="minorHAnsi" w:hAnsiTheme="minorHAnsi"/>
              </w:rPr>
            </w:pPr>
            <w:r w:rsidRPr="00FD3A87">
              <w:rPr>
                <w:rFonts w:asciiTheme="minorHAnsi" w:hAnsiTheme="minorHAnsi"/>
              </w:rPr>
              <w:t>Type of DoN Application</w:t>
            </w:r>
          </w:p>
        </w:tc>
        <w:tc>
          <w:tcPr>
            <w:tcW w:w="5195" w:type="dxa"/>
          </w:tcPr>
          <w:p w14:paraId="7C4749C0" w14:textId="77777777" w:rsidR="009F7809" w:rsidRDefault="005D413E" w:rsidP="009A52CA">
            <w:pPr>
              <w:spacing w:line="251" w:lineRule="exact"/>
              <w:rPr>
                <w:rFonts w:asciiTheme="minorHAnsi" w:hAnsiTheme="minorHAnsi"/>
              </w:rPr>
            </w:pPr>
            <w:r>
              <w:rPr>
                <w:rFonts w:asciiTheme="minorHAnsi" w:hAnsiTheme="minorHAnsi"/>
              </w:rPr>
              <w:t xml:space="preserve">Substantial Change in Service – </w:t>
            </w:r>
          </w:p>
          <w:p w14:paraId="73BCD59B" w14:textId="45698605" w:rsidR="00024FA3" w:rsidRPr="00FD3A87" w:rsidRDefault="005D413E" w:rsidP="009A52CA">
            <w:pPr>
              <w:spacing w:line="251" w:lineRule="exact"/>
              <w:rPr>
                <w:rFonts w:asciiTheme="minorHAnsi" w:hAnsiTheme="minorHAnsi"/>
              </w:rPr>
            </w:pPr>
            <w:r>
              <w:rPr>
                <w:rFonts w:asciiTheme="minorHAnsi" w:hAnsiTheme="minorHAnsi"/>
              </w:rPr>
              <w:t>Ambulatory Surgery</w:t>
            </w:r>
          </w:p>
        </w:tc>
      </w:tr>
      <w:tr w:rsidR="00024FA3" w14:paraId="1EBD98D2" w14:textId="77777777" w:rsidTr="009A52CA">
        <w:tc>
          <w:tcPr>
            <w:tcW w:w="5195" w:type="dxa"/>
          </w:tcPr>
          <w:p w14:paraId="08DA5FD4" w14:textId="50E2D856" w:rsidR="00024FA3" w:rsidRPr="00FD3A87" w:rsidRDefault="00280620" w:rsidP="009A52CA">
            <w:pPr>
              <w:spacing w:line="251" w:lineRule="exact"/>
              <w:rPr>
                <w:rFonts w:asciiTheme="minorHAnsi" w:hAnsiTheme="minorHAnsi"/>
              </w:rPr>
            </w:pPr>
            <w:r w:rsidRPr="00FD3A87">
              <w:rPr>
                <w:rFonts w:asciiTheme="minorHAnsi" w:hAnsiTheme="minorHAnsi"/>
              </w:rPr>
              <w:t>Total Value</w:t>
            </w:r>
          </w:p>
        </w:tc>
        <w:tc>
          <w:tcPr>
            <w:tcW w:w="5195" w:type="dxa"/>
          </w:tcPr>
          <w:p w14:paraId="3C9AEE88" w14:textId="519D5DBA" w:rsidR="00024FA3" w:rsidRPr="00FD3A87" w:rsidRDefault="005D413E" w:rsidP="009A52CA">
            <w:pPr>
              <w:spacing w:line="251" w:lineRule="exact"/>
              <w:rPr>
                <w:rFonts w:asciiTheme="minorHAnsi" w:hAnsiTheme="minorHAnsi"/>
              </w:rPr>
            </w:pPr>
            <w:r>
              <w:rPr>
                <w:rFonts w:asciiTheme="minorHAnsi" w:hAnsiTheme="minorHAnsi"/>
              </w:rPr>
              <w:t>$484,856.00</w:t>
            </w:r>
          </w:p>
        </w:tc>
      </w:tr>
      <w:tr w:rsidR="00024FA3" w14:paraId="7A19C7BA" w14:textId="77777777" w:rsidTr="009A52CA">
        <w:tc>
          <w:tcPr>
            <w:tcW w:w="5195" w:type="dxa"/>
          </w:tcPr>
          <w:p w14:paraId="6A9C79B7" w14:textId="32862E63" w:rsidR="00024FA3" w:rsidRPr="00FD3A87" w:rsidRDefault="00280620" w:rsidP="009A52CA">
            <w:pPr>
              <w:spacing w:line="251" w:lineRule="exact"/>
              <w:rPr>
                <w:rFonts w:asciiTheme="minorHAnsi" w:hAnsiTheme="minorHAnsi"/>
              </w:rPr>
            </w:pPr>
            <w:r w:rsidRPr="00FD3A87">
              <w:rPr>
                <w:rFonts w:asciiTheme="minorHAnsi" w:hAnsiTheme="minorHAnsi"/>
              </w:rPr>
              <w:t xml:space="preserve">Project Number </w:t>
            </w:r>
          </w:p>
        </w:tc>
        <w:tc>
          <w:tcPr>
            <w:tcW w:w="5195" w:type="dxa"/>
          </w:tcPr>
          <w:p w14:paraId="0FF661FC" w14:textId="3922315D" w:rsidR="00024FA3" w:rsidRPr="00FD3A87" w:rsidRDefault="000E5B9F" w:rsidP="009A52CA">
            <w:pPr>
              <w:spacing w:line="251" w:lineRule="exact"/>
              <w:rPr>
                <w:rFonts w:asciiTheme="minorHAnsi" w:hAnsiTheme="minorHAnsi"/>
              </w:rPr>
            </w:pPr>
            <w:r>
              <w:rPr>
                <w:rFonts w:asciiTheme="minorHAnsi" w:hAnsiTheme="minorHAnsi"/>
              </w:rPr>
              <w:t>EDHC-25021711-AS</w:t>
            </w:r>
          </w:p>
        </w:tc>
      </w:tr>
      <w:tr w:rsidR="00024FA3" w14:paraId="59ADB4EA" w14:textId="77777777" w:rsidTr="009A52CA">
        <w:tc>
          <w:tcPr>
            <w:tcW w:w="5195" w:type="dxa"/>
          </w:tcPr>
          <w:p w14:paraId="4A1019D7" w14:textId="1C9A3B84" w:rsidR="00024FA3" w:rsidRPr="00FD3A87" w:rsidRDefault="007C5A7B" w:rsidP="009A52CA">
            <w:pPr>
              <w:spacing w:line="251" w:lineRule="exact"/>
              <w:rPr>
                <w:rFonts w:asciiTheme="minorHAnsi" w:hAnsiTheme="minorHAnsi"/>
              </w:rPr>
            </w:pPr>
            <w:r w:rsidRPr="00FD3A87">
              <w:rPr>
                <w:rFonts w:asciiTheme="minorHAnsi" w:hAnsiTheme="minorHAnsi"/>
              </w:rPr>
              <w:t>Ten Taxpayer Groups</w:t>
            </w:r>
          </w:p>
        </w:tc>
        <w:tc>
          <w:tcPr>
            <w:tcW w:w="5195" w:type="dxa"/>
          </w:tcPr>
          <w:p w14:paraId="66BC1CE7" w14:textId="565AAAB4" w:rsidR="00024FA3" w:rsidRPr="00FD3A87" w:rsidRDefault="00347486" w:rsidP="009A52CA">
            <w:pPr>
              <w:spacing w:line="251" w:lineRule="exact"/>
              <w:rPr>
                <w:rFonts w:asciiTheme="minorHAnsi" w:hAnsiTheme="minorHAnsi"/>
              </w:rPr>
            </w:pPr>
            <w:r>
              <w:rPr>
                <w:rFonts w:asciiTheme="minorHAnsi" w:hAnsiTheme="minorHAnsi"/>
              </w:rPr>
              <w:t xml:space="preserve">None formed </w:t>
            </w:r>
          </w:p>
        </w:tc>
      </w:tr>
      <w:tr w:rsidR="00024FA3" w14:paraId="42AABCF9" w14:textId="77777777" w:rsidTr="009A52CA">
        <w:tc>
          <w:tcPr>
            <w:tcW w:w="5195" w:type="dxa"/>
          </w:tcPr>
          <w:p w14:paraId="78025D88" w14:textId="16111209" w:rsidR="00024FA3" w:rsidRPr="00FD3A87" w:rsidRDefault="007C5A7B" w:rsidP="009A52CA">
            <w:pPr>
              <w:spacing w:line="251" w:lineRule="exact"/>
              <w:rPr>
                <w:rFonts w:asciiTheme="minorHAnsi" w:hAnsiTheme="minorHAnsi"/>
              </w:rPr>
            </w:pPr>
            <w:r w:rsidRPr="00FD3A87">
              <w:rPr>
                <w:rFonts w:asciiTheme="minorHAnsi" w:hAnsiTheme="minorHAnsi"/>
              </w:rPr>
              <w:t>Community Health Initiative (CHI)</w:t>
            </w:r>
          </w:p>
        </w:tc>
        <w:tc>
          <w:tcPr>
            <w:tcW w:w="5195" w:type="dxa"/>
          </w:tcPr>
          <w:p w14:paraId="0DCB1329" w14:textId="3D2BBFE2" w:rsidR="00024FA3" w:rsidRPr="00FD3A87" w:rsidRDefault="0072228A" w:rsidP="009A52CA">
            <w:pPr>
              <w:spacing w:line="251" w:lineRule="exact"/>
              <w:rPr>
                <w:rFonts w:asciiTheme="minorHAnsi" w:hAnsiTheme="minorHAnsi"/>
              </w:rPr>
            </w:pPr>
            <w:r w:rsidRPr="0072228A">
              <w:rPr>
                <w:rFonts w:asciiTheme="minorHAnsi" w:hAnsiTheme="minorHAnsi"/>
              </w:rPr>
              <w:t>$24,242.80</w:t>
            </w:r>
          </w:p>
        </w:tc>
      </w:tr>
      <w:tr w:rsidR="00024FA3" w14:paraId="4EC829F7" w14:textId="77777777" w:rsidTr="009A52CA">
        <w:tc>
          <w:tcPr>
            <w:tcW w:w="5195" w:type="dxa"/>
          </w:tcPr>
          <w:p w14:paraId="2B207553" w14:textId="3853035B" w:rsidR="00024FA3" w:rsidRPr="00FD3A87" w:rsidRDefault="007C5A7B" w:rsidP="009A52CA">
            <w:pPr>
              <w:spacing w:line="251" w:lineRule="exact"/>
              <w:rPr>
                <w:rFonts w:asciiTheme="minorHAnsi" w:hAnsiTheme="minorHAnsi"/>
              </w:rPr>
            </w:pPr>
            <w:r w:rsidRPr="00FD3A87">
              <w:rPr>
                <w:rFonts w:asciiTheme="minorHAnsi" w:hAnsiTheme="minorHAnsi"/>
              </w:rPr>
              <w:t>Staff Recommendation</w:t>
            </w:r>
          </w:p>
        </w:tc>
        <w:tc>
          <w:tcPr>
            <w:tcW w:w="5195" w:type="dxa"/>
          </w:tcPr>
          <w:p w14:paraId="1741B4F7" w14:textId="04E32C17" w:rsidR="00024FA3" w:rsidRPr="00FD3A87" w:rsidRDefault="000F51E1" w:rsidP="009A52CA">
            <w:pPr>
              <w:spacing w:line="251" w:lineRule="exact"/>
              <w:rPr>
                <w:rFonts w:asciiTheme="minorHAnsi" w:hAnsiTheme="minorHAnsi"/>
              </w:rPr>
            </w:pPr>
            <w:r>
              <w:rPr>
                <w:rFonts w:asciiTheme="minorHAnsi" w:hAnsiTheme="minorHAnsi"/>
              </w:rPr>
              <w:t xml:space="preserve">Approval with Conditions </w:t>
            </w:r>
          </w:p>
        </w:tc>
      </w:tr>
      <w:tr w:rsidR="00024FA3" w14:paraId="27BFE3BB" w14:textId="77777777" w:rsidTr="005656E3">
        <w:tc>
          <w:tcPr>
            <w:tcW w:w="5195" w:type="dxa"/>
          </w:tcPr>
          <w:p w14:paraId="6FFED872" w14:textId="7E532A81" w:rsidR="00024FA3" w:rsidRPr="00FD3A87" w:rsidRDefault="007C5A7B" w:rsidP="009A52CA">
            <w:pPr>
              <w:spacing w:line="251" w:lineRule="exact"/>
              <w:rPr>
                <w:rFonts w:asciiTheme="minorHAnsi" w:hAnsiTheme="minorHAnsi"/>
              </w:rPr>
            </w:pPr>
            <w:r w:rsidRPr="00FD3A87">
              <w:rPr>
                <w:rFonts w:asciiTheme="minorHAnsi" w:hAnsiTheme="minorHAnsi"/>
              </w:rPr>
              <w:t xml:space="preserve">Public Health Council Meeting </w:t>
            </w:r>
          </w:p>
        </w:tc>
        <w:tc>
          <w:tcPr>
            <w:tcW w:w="5195" w:type="dxa"/>
            <w:shd w:val="clear" w:color="auto" w:fill="FFFFFF" w:themeFill="background1"/>
          </w:tcPr>
          <w:p w14:paraId="1EC286F3" w14:textId="5E665787" w:rsidR="00024FA3" w:rsidRPr="00FD3A87" w:rsidRDefault="001F23EA" w:rsidP="009A52CA">
            <w:pPr>
              <w:spacing w:line="251" w:lineRule="exact"/>
              <w:rPr>
                <w:rFonts w:asciiTheme="minorHAnsi" w:hAnsiTheme="minorHAnsi"/>
              </w:rPr>
            </w:pPr>
            <w:r>
              <w:rPr>
                <w:rFonts w:asciiTheme="minorHAnsi" w:hAnsiTheme="minorHAnsi"/>
              </w:rPr>
              <w:t>October 8</w:t>
            </w:r>
            <w:r w:rsidR="000F51E1">
              <w:rPr>
                <w:rFonts w:asciiTheme="minorHAnsi" w:hAnsiTheme="minorHAnsi"/>
              </w:rPr>
              <w:t>, 2025</w:t>
            </w:r>
          </w:p>
        </w:tc>
      </w:tr>
      <w:tr w:rsidR="00024FA3" w14:paraId="46DC616C" w14:textId="77777777" w:rsidTr="009A52CA">
        <w:tc>
          <w:tcPr>
            <w:tcW w:w="10390" w:type="dxa"/>
            <w:gridSpan w:val="2"/>
          </w:tcPr>
          <w:p w14:paraId="2D0520FF" w14:textId="77777777" w:rsidR="00024FA3" w:rsidRPr="00FD3A87" w:rsidRDefault="00024FA3" w:rsidP="009A52CA">
            <w:pPr>
              <w:spacing w:line="251" w:lineRule="exact"/>
              <w:rPr>
                <w:rFonts w:asciiTheme="minorHAnsi" w:hAnsiTheme="minorHAnsi"/>
              </w:rPr>
            </w:pPr>
          </w:p>
          <w:p w14:paraId="650A5DFE" w14:textId="77777777" w:rsidR="007C5A7B" w:rsidRPr="00FD3A87" w:rsidRDefault="007C5A7B" w:rsidP="007C5A7B">
            <w:pPr>
              <w:spacing w:line="251" w:lineRule="exact"/>
              <w:jc w:val="center"/>
              <w:rPr>
                <w:rFonts w:asciiTheme="minorHAnsi" w:hAnsiTheme="minorHAnsi"/>
                <w:u w:val="single"/>
              </w:rPr>
            </w:pPr>
            <w:r w:rsidRPr="00FD3A87">
              <w:rPr>
                <w:rFonts w:asciiTheme="minorHAnsi" w:hAnsiTheme="minorHAnsi"/>
                <w:u w:val="single"/>
              </w:rPr>
              <w:t>Project Summary and Regulatory Review</w:t>
            </w:r>
          </w:p>
          <w:p w14:paraId="615A727B" w14:textId="5DB91613" w:rsidR="00BB31F7" w:rsidRPr="00FD3A87" w:rsidRDefault="00E278FF" w:rsidP="00C316C3">
            <w:pPr>
              <w:rPr>
                <w:rFonts w:asciiTheme="minorHAnsi" w:hAnsiTheme="minorHAnsi"/>
              </w:rPr>
            </w:pPr>
            <w:r>
              <w:rPr>
                <w:rFonts w:asciiTheme="minorHAnsi" w:hAnsiTheme="minorHAnsi"/>
              </w:rPr>
              <w:t>Emerson Endoscopy and Digestive Health Center</w:t>
            </w:r>
            <w:r w:rsidR="00180C4E">
              <w:rPr>
                <w:rFonts w:asciiTheme="minorHAnsi" w:hAnsiTheme="minorHAnsi"/>
              </w:rPr>
              <w:t>, LLC</w:t>
            </w:r>
            <w:r w:rsidR="004428A2">
              <w:rPr>
                <w:rFonts w:asciiTheme="minorHAnsi" w:hAnsiTheme="minorHAnsi"/>
              </w:rPr>
              <w:t xml:space="preserve"> (Applicant</w:t>
            </w:r>
            <w:r w:rsidR="00E64F64">
              <w:rPr>
                <w:rFonts w:asciiTheme="minorHAnsi" w:hAnsiTheme="minorHAnsi"/>
              </w:rPr>
              <w:t xml:space="preserve"> or </w:t>
            </w:r>
            <w:r>
              <w:rPr>
                <w:rFonts w:asciiTheme="minorHAnsi" w:hAnsiTheme="minorHAnsi"/>
              </w:rPr>
              <w:t>EDHC</w:t>
            </w:r>
            <w:r w:rsidR="004428A2">
              <w:rPr>
                <w:rFonts w:asciiTheme="minorHAnsi" w:hAnsiTheme="minorHAnsi"/>
              </w:rPr>
              <w:t xml:space="preserve">) </w:t>
            </w:r>
            <w:r w:rsidR="006F6D19" w:rsidRPr="006F6D19">
              <w:rPr>
                <w:rFonts w:asciiTheme="minorHAnsi" w:hAnsiTheme="minorHAnsi"/>
              </w:rPr>
              <w:t xml:space="preserve">filed a Determination of Need (DoN) application to </w:t>
            </w:r>
            <w:r w:rsidR="00490018">
              <w:rPr>
                <w:rFonts w:asciiTheme="minorHAnsi" w:hAnsiTheme="minorHAnsi"/>
              </w:rPr>
              <w:t>expand</w:t>
            </w:r>
            <w:r w:rsidR="006F6D19" w:rsidRPr="006F6D19">
              <w:rPr>
                <w:rFonts w:asciiTheme="minorHAnsi" w:hAnsiTheme="minorHAnsi"/>
              </w:rPr>
              <w:t xml:space="preserve"> its existing ambulatory surgery center</w:t>
            </w:r>
            <w:r w:rsidR="007046B7">
              <w:rPr>
                <w:rFonts w:asciiTheme="minorHAnsi" w:hAnsiTheme="minorHAnsi"/>
              </w:rPr>
              <w:t xml:space="preserve"> </w:t>
            </w:r>
            <w:r w:rsidR="006F6D19" w:rsidRPr="006F6D19">
              <w:rPr>
                <w:rFonts w:asciiTheme="minorHAnsi" w:hAnsiTheme="minorHAnsi"/>
              </w:rPr>
              <w:t>(ASC)</w:t>
            </w:r>
            <w:r w:rsidR="00E60FA8">
              <w:rPr>
                <w:rFonts w:asciiTheme="minorHAnsi" w:hAnsiTheme="minorHAnsi"/>
              </w:rPr>
              <w:t>,</w:t>
            </w:r>
            <w:r w:rsidR="00956800">
              <w:rPr>
                <w:rFonts w:asciiTheme="minorHAnsi" w:hAnsiTheme="minorHAnsi"/>
              </w:rPr>
              <w:t xml:space="preserve"> located at </w:t>
            </w:r>
            <w:r w:rsidR="002C41B0">
              <w:rPr>
                <w:rFonts w:asciiTheme="minorHAnsi" w:hAnsiTheme="minorHAnsi"/>
              </w:rPr>
              <w:t>310 Baker Avenue, Concord, MA</w:t>
            </w:r>
            <w:r w:rsidR="00045409">
              <w:rPr>
                <w:rFonts w:asciiTheme="minorHAnsi" w:hAnsiTheme="minorHAnsi"/>
              </w:rPr>
              <w:t xml:space="preserve">. The Applicant is </w:t>
            </w:r>
            <w:r w:rsidR="006F6D19" w:rsidRPr="006F6D19">
              <w:rPr>
                <w:rFonts w:asciiTheme="minorHAnsi" w:hAnsiTheme="minorHAnsi"/>
              </w:rPr>
              <w:t xml:space="preserve">proposing to increase the number of </w:t>
            </w:r>
            <w:r w:rsidR="00022B9F">
              <w:rPr>
                <w:rFonts w:asciiTheme="minorHAnsi" w:hAnsiTheme="minorHAnsi"/>
              </w:rPr>
              <w:t>procedure</w:t>
            </w:r>
            <w:r w:rsidR="006F6D19" w:rsidRPr="006F6D19">
              <w:rPr>
                <w:rFonts w:asciiTheme="minorHAnsi" w:hAnsiTheme="minorHAnsi"/>
              </w:rPr>
              <w:t xml:space="preserve"> rooms from </w:t>
            </w:r>
            <w:r>
              <w:rPr>
                <w:rFonts w:asciiTheme="minorHAnsi" w:hAnsiTheme="minorHAnsi"/>
              </w:rPr>
              <w:t>two</w:t>
            </w:r>
            <w:r w:rsidR="006F6D19" w:rsidRPr="006F6D19">
              <w:rPr>
                <w:rFonts w:asciiTheme="minorHAnsi" w:hAnsiTheme="minorHAnsi"/>
              </w:rPr>
              <w:t xml:space="preserve"> to </w:t>
            </w:r>
            <w:r>
              <w:rPr>
                <w:rFonts w:asciiTheme="minorHAnsi" w:hAnsiTheme="minorHAnsi"/>
              </w:rPr>
              <w:t xml:space="preserve">three and </w:t>
            </w:r>
            <w:r w:rsidR="002C41B0">
              <w:rPr>
                <w:rFonts w:asciiTheme="minorHAnsi" w:hAnsiTheme="minorHAnsi"/>
              </w:rPr>
              <w:t xml:space="preserve">to </w:t>
            </w:r>
            <w:r>
              <w:rPr>
                <w:rFonts w:asciiTheme="minorHAnsi" w:hAnsiTheme="minorHAnsi"/>
              </w:rPr>
              <w:t xml:space="preserve">increase the number of pre/post </w:t>
            </w:r>
            <w:r w:rsidR="00022B9F">
              <w:rPr>
                <w:rFonts w:asciiTheme="minorHAnsi" w:hAnsiTheme="minorHAnsi"/>
              </w:rPr>
              <w:t>operative bays from</w:t>
            </w:r>
            <w:r w:rsidR="00A72F6C">
              <w:rPr>
                <w:rFonts w:asciiTheme="minorHAnsi" w:hAnsiTheme="minorHAnsi"/>
              </w:rPr>
              <w:t xml:space="preserve"> six to nine</w:t>
            </w:r>
            <w:r w:rsidR="005B1AD0">
              <w:rPr>
                <w:rFonts w:asciiTheme="minorHAnsi" w:hAnsiTheme="minorHAnsi"/>
              </w:rPr>
              <w:t xml:space="preserve"> (Proposed Project)</w:t>
            </w:r>
            <w:r w:rsidR="006F6D19" w:rsidRPr="006F6D19">
              <w:rPr>
                <w:rFonts w:asciiTheme="minorHAnsi" w:hAnsiTheme="minorHAnsi"/>
              </w:rPr>
              <w:t xml:space="preserve">. The total value for the Proposed Project is </w:t>
            </w:r>
            <w:r w:rsidR="00D10D88" w:rsidRPr="00D10D88">
              <w:rPr>
                <w:rFonts w:asciiTheme="minorHAnsi" w:hAnsiTheme="minorHAnsi"/>
              </w:rPr>
              <w:t>$</w:t>
            </w:r>
            <w:r w:rsidR="00A72F6C">
              <w:rPr>
                <w:rFonts w:asciiTheme="minorHAnsi" w:hAnsiTheme="minorHAnsi"/>
              </w:rPr>
              <w:t>484,856</w:t>
            </w:r>
            <w:r w:rsidR="006F6D19" w:rsidRPr="006F6D19">
              <w:rPr>
                <w:rFonts w:asciiTheme="minorHAnsi" w:hAnsiTheme="minorHAnsi"/>
              </w:rPr>
              <w:t xml:space="preserve">. The Community Health Initiative (CHI) contribution to the Statewide Initiative Fund is </w:t>
            </w:r>
            <w:r w:rsidR="00F95ADD" w:rsidRPr="00F95ADD">
              <w:rPr>
                <w:rFonts w:asciiTheme="minorHAnsi" w:hAnsiTheme="minorHAnsi"/>
              </w:rPr>
              <w:t>$</w:t>
            </w:r>
            <w:r w:rsidR="00B36CD2">
              <w:rPr>
                <w:rFonts w:asciiTheme="minorHAnsi" w:hAnsiTheme="minorHAnsi"/>
              </w:rPr>
              <w:t>24,242.80</w:t>
            </w:r>
            <w:r w:rsidR="006F6D19" w:rsidRPr="006F6D19">
              <w:rPr>
                <w:rFonts w:asciiTheme="minorHAnsi" w:hAnsiTheme="minorHAnsi"/>
              </w:rPr>
              <w:t>.</w:t>
            </w:r>
          </w:p>
          <w:p w14:paraId="5541808B" w14:textId="77777777" w:rsidR="00E636D8" w:rsidRPr="00FD3A87" w:rsidRDefault="00E636D8" w:rsidP="00C316C3">
            <w:pPr>
              <w:rPr>
                <w:rFonts w:asciiTheme="minorHAnsi" w:hAnsiTheme="minorHAnsi"/>
              </w:rPr>
            </w:pPr>
          </w:p>
          <w:p w14:paraId="79F3DD6D" w14:textId="1FB90141" w:rsidR="009B744E" w:rsidRDefault="00E636D8" w:rsidP="009B744E">
            <w:pPr>
              <w:rPr>
                <w:rFonts w:asciiTheme="minorHAnsi" w:hAnsiTheme="minorHAnsi"/>
              </w:rPr>
            </w:pPr>
            <w:r w:rsidRPr="00FD3A87">
              <w:rPr>
                <w:rFonts w:asciiTheme="minorHAnsi" w:hAnsiTheme="minorHAnsi"/>
              </w:rPr>
              <w:t>Review of Applications for Ambulatory Surgery is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p>
          <w:p w14:paraId="7D6EEC14" w14:textId="77777777" w:rsidR="00B108C8" w:rsidRDefault="00B108C8" w:rsidP="009B744E">
            <w:pPr>
              <w:rPr>
                <w:rFonts w:asciiTheme="minorHAnsi" w:hAnsiTheme="minorHAnsi"/>
              </w:rPr>
            </w:pPr>
          </w:p>
          <w:p w14:paraId="07905368" w14:textId="4CB2EDB9" w:rsidR="00B108C8" w:rsidRPr="00FD3A87" w:rsidRDefault="00B108C8" w:rsidP="009B744E">
            <w:pPr>
              <w:rPr>
                <w:rFonts w:asciiTheme="minorHAnsi" w:hAnsiTheme="minorHAnsi"/>
              </w:rPr>
            </w:pPr>
            <w:r w:rsidRPr="00850E56">
              <w:rPr>
                <w:rFonts w:asciiTheme="minorHAnsi" w:hAnsiTheme="minorHAnsi"/>
              </w:rPr>
              <w:t>The Department did not receive any public comments on this DoN application, nor did any Ten Taxpayer Groups (TTGs) form in connection with this DoN application.</w:t>
            </w:r>
            <w:r>
              <w:rPr>
                <w:rFonts w:asciiTheme="minorHAnsi" w:hAnsiTheme="minorHAnsi"/>
              </w:rPr>
              <w:t xml:space="preserve"> </w:t>
            </w:r>
          </w:p>
        </w:tc>
      </w:tr>
    </w:tbl>
    <w:p w14:paraId="4AF4C98A" w14:textId="77777777" w:rsidR="00024FA3" w:rsidRPr="003436F0" w:rsidRDefault="00024FA3">
      <w:pPr>
        <w:spacing w:line="251" w:lineRule="exact"/>
        <w:rPr>
          <w:rFonts w:asciiTheme="minorHAnsi" w:hAnsiTheme="minorHAnsi"/>
        </w:rPr>
        <w:sectPr w:rsidR="00024FA3" w:rsidRPr="003436F0" w:rsidSect="004C1B7F">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980" w:bottom="1120" w:left="860" w:header="720" w:footer="937" w:gutter="0"/>
          <w:pgNumType w:start="1"/>
          <w:cols w:space="720"/>
        </w:sectPr>
      </w:pPr>
    </w:p>
    <w:sdt>
      <w:sdtPr>
        <w:rPr>
          <w:rFonts w:ascii="Garamond" w:eastAsia="Garamond" w:hAnsi="Garamond" w:cs="Garamond"/>
          <w:color w:val="auto"/>
          <w:sz w:val="22"/>
          <w:szCs w:val="22"/>
          <w:lang w:bidi="en-US"/>
        </w:rPr>
        <w:id w:val="1248538820"/>
        <w:docPartObj>
          <w:docPartGallery w:val="Table of Contents"/>
          <w:docPartUnique/>
        </w:docPartObj>
      </w:sdtPr>
      <w:sdtEndPr>
        <w:rPr>
          <w:rFonts w:asciiTheme="minorHAnsi" w:eastAsiaTheme="minorEastAsia" w:hAnsiTheme="minorHAnsi" w:cstheme="minorBidi"/>
          <w:b/>
          <w:bCs/>
          <w:sz w:val="24"/>
          <w:szCs w:val="24"/>
          <w:lang w:bidi="ar-SA"/>
        </w:rPr>
      </w:sdtEndPr>
      <w:sdtContent>
        <w:p w14:paraId="7AAE295D" w14:textId="53B6C1CD" w:rsidR="008650F2" w:rsidRDefault="008650F2">
          <w:pPr>
            <w:pStyle w:val="TOCHeading"/>
          </w:pPr>
          <w:r>
            <w:t>Contents</w:t>
          </w:r>
        </w:p>
        <w:p w14:paraId="1FDADBE7" w14:textId="66868B17" w:rsidR="00274BBF" w:rsidRDefault="008650F2">
          <w:pPr>
            <w:pStyle w:val="TOC1"/>
            <w:tabs>
              <w:tab w:val="right" w:leader="dot" w:pos="10390"/>
            </w:tabs>
            <w:rPr>
              <w:rFonts w:asciiTheme="minorHAnsi" w:eastAsiaTheme="minorEastAsia" w:hAnsiTheme="minorHAnsi" w:cstheme="minorBidi"/>
              <w:noProof/>
              <w:kern w:val="2"/>
              <w:szCs w:val="24"/>
              <w14:ligatures w14:val="standardContextual"/>
            </w:rPr>
          </w:pPr>
          <w:r w:rsidRPr="004D5540">
            <w:rPr>
              <w:rFonts w:asciiTheme="minorHAnsi" w:hAnsiTheme="minorHAnsi"/>
              <w:szCs w:val="24"/>
            </w:rPr>
            <w:fldChar w:fldCharType="begin"/>
          </w:r>
          <w:r w:rsidRPr="004D5540">
            <w:rPr>
              <w:rFonts w:asciiTheme="minorHAnsi" w:hAnsiTheme="minorHAnsi"/>
              <w:szCs w:val="24"/>
            </w:rPr>
            <w:instrText xml:space="preserve"> TOC \o "1-3" \h \z \u </w:instrText>
          </w:r>
          <w:r w:rsidRPr="004D5540">
            <w:rPr>
              <w:rFonts w:asciiTheme="minorHAnsi" w:hAnsiTheme="minorHAnsi"/>
              <w:szCs w:val="24"/>
            </w:rPr>
            <w:fldChar w:fldCharType="separate"/>
          </w:r>
          <w:hyperlink w:anchor="_Toc207953792" w:history="1">
            <w:r w:rsidR="00274BBF" w:rsidRPr="00821945">
              <w:rPr>
                <w:rStyle w:val="Hyperlink"/>
                <w:noProof/>
              </w:rPr>
              <w:t>Background: Emerson Endoscopy and Digestive Health Center, LLC; and Application Overview</w:t>
            </w:r>
            <w:r w:rsidR="00274BBF">
              <w:rPr>
                <w:noProof/>
                <w:webHidden/>
              </w:rPr>
              <w:tab/>
            </w:r>
            <w:r w:rsidR="00274BBF">
              <w:rPr>
                <w:noProof/>
                <w:webHidden/>
              </w:rPr>
              <w:fldChar w:fldCharType="begin"/>
            </w:r>
            <w:r w:rsidR="00274BBF">
              <w:rPr>
                <w:noProof/>
                <w:webHidden/>
              </w:rPr>
              <w:instrText xml:space="preserve"> PAGEREF _Toc207953792 \h </w:instrText>
            </w:r>
            <w:r w:rsidR="00274BBF">
              <w:rPr>
                <w:noProof/>
                <w:webHidden/>
              </w:rPr>
            </w:r>
            <w:r w:rsidR="00274BBF">
              <w:rPr>
                <w:noProof/>
                <w:webHidden/>
              </w:rPr>
              <w:fldChar w:fldCharType="separate"/>
            </w:r>
            <w:r w:rsidR="00274BBF">
              <w:rPr>
                <w:noProof/>
                <w:webHidden/>
              </w:rPr>
              <w:t>3</w:t>
            </w:r>
            <w:r w:rsidR="00274BBF">
              <w:rPr>
                <w:noProof/>
                <w:webHidden/>
              </w:rPr>
              <w:fldChar w:fldCharType="end"/>
            </w:r>
          </w:hyperlink>
        </w:p>
        <w:p w14:paraId="2A32F7D9" w14:textId="65BAC120" w:rsidR="00274BBF" w:rsidRDefault="00274BBF">
          <w:pPr>
            <w:pStyle w:val="TOC1"/>
            <w:tabs>
              <w:tab w:val="right" w:leader="dot" w:pos="10390"/>
            </w:tabs>
            <w:rPr>
              <w:rFonts w:asciiTheme="minorHAnsi" w:eastAsiaTheme="minorEastAsia" w:hAnsiTheme="minorHAnsi" w:cstheme="minorBidi"/>
              <w:noProof/>
              <w:kern w:val="2"/>
              <w:szCs w:val="24"/>
              <w14:ligatures w14:val="standardContextual"/>
            </w:rPr>
          </w:pPr>
          <w:hyperlink w:anchor="_Toc207953793" w:history="1">
            <w:r w:rsidRPr="00821945">
              <w:rPr>
                <w:rStyle w:val="Hyperlink"/>
                <w:noProof/>
              </w:rPr>
              <w:t>Patient Panel</w:t>
            </w:r>
            <w:r>
              <w:rPr>
                <w:noProof/>
                <w:webHidden/>
              </w:rPr>
              <w:tab/>
            </w:r>
            <w:r>
              <w:rPr>
                <w:noProof/>
                <w:webHidden/>
              </w:rPr>
              <w:fldChar w:fldCharType="begin"/>
            </w:r>
            <w:r>
              <w:rPr>
                <w:noProof/>
                <w:webHidden/>
              </w:rPr>
              <w:instrText xml:space="preserve"> PAGEREF _Toc207953793 \h </w:instrText>
            </w:r>
            <w:r>
              <w:rPr>
                <w:noProof/>
                <w:webHidden/>
              </w:rPr>
            </w:r>
            <w:r>
              <w:rPr>
                <w:noProof/>
                <w:webHidden/>
              </w:rPr>
              <w:fldChar w:fldCharType="separate"/>
            </w:r>
            <w:r>
              <w:rPr>
                <w:noProof/>
                <w:webHidden/>
              </w:rPr>
              <w:t>4</w:t>
            </w:r>
            <w:r>
              <w:rPr>
                <w:noProof/>
                <w:webHidden/>
              </w:rPr>
              <w:fldChar w:fldCharType="end"/>
            </w:r>
          </w:hyperlink>
        </w:p>
        <w:p w14:paraId="005B0BE3" w14:textId="51997912" w:rsidR="00274BBF" w:rsidRDefault="00274BBF">
          <w:pPr>
            <w:pStyle w:val="TOC1"/>
            <w:tabs>
              <w:tab w:val="right" w:leader="dot" w:pos="10390"/>
            </w:tabs>
            <w:rPr>
              <w:rFonts w:asciiTheme="minorHAnsi" w:eastAsiaTheme="minorEastAsia" w:hAnsiTheme="minorHAnsi" w:cstheme="minorBidi"/>
              <w:noProof/>
              <w:kern w:val="2"/>
              <w:szCs w:val="24"/>
              <w14:ligatures w14:val="standardContextual"/>
            </w:rPr>
          </w:pPr>
          <w:hyperlink w:anchor="_Toc207953794" w:history="1">
            <w:r w:rsidRPr="00821945">
              <w:rPr>
                <w:rStyle w:val="Hyperlink"/>
                <w:noProof/>
              </w:rPr>
              <w:t>Factor 1: a) Patient Panel Need</w:t>
            </w:r>
            <w:r>
              <w:rPr>
                <w:noProof/>
                <w:webHidden/>
              </w:rPr>
              <w:tab/>
            </w:r>
            <w:r>
              <w:rPr>
                <w:noProof/>
                <w:webHidden/>
              </w:rPr>
              <w:fldChar w:fldCharType="begin"/>
            </w:r>
            <w:r>
              <w:rPr>
                <w:noProof/>
                <w:webHidden/>
              </w:rPr>
              <w:instrText xml:space="preserve"> PAGEREF _Toc207953794 \h </w:instrText>
            </w:r>
            <w:r>
              <w:rPr>
                <w:noProof/>
                <w:webHidden/>
              </w:rPr>
            </w:r>
            <w:r>
              <w:rPr>
                <w:noProof/>
                <w:webHidden/>
              </w:rPr>
              <w:fldChar w:fldCharType="separate"/>
            </w:r>
            <w:r>
              <w:rPr>
                <w:noProof/>
                <w:webHidden/>
              </w:rPr>
              <w:t>7</w:t>
            </w:r>
            <w:r>
              <w:rPr>
                <w:noProof/>
                <w:webHidden/>
              </w:rPr>
              <w:fldChar w:fldCharType="end"/>
            </w:r>
          </w:hyperlink>
        </w:p>
        <w:p w14:paraId="3FE3C4F4" w14:textId="64CE7E60" w:rsidR="00274BBF" w:rsidRDefault="00274BBF">
          <w:pPr>
            <w:pStyle w:val="TOC1"/>
            <w:tabs>
              <w:tab w:val="right" w:leader="dot" w:pos="10390"/>
            </w:tabs>
            <w:rPr>
              <w:rFonts w:asciiTheme="minorHAnsi" w:eastAsiaTheme="minorEastAsia" w:hAnsiTheme="minorHAnsi" w:cstheme="minorBidi"/>
              <w:noProof/>
              <w:kern w:val="2"/>
              <w:szCs w:val="24"/>
              <w14:ligatures w14:val="standardContextual"/>
            </w:rPr>
          </w:pPr>
          <w:hyperlink w:anchor="_Toc207953795" w:history="1">
            <w:r w:rsidRPr="00821945">
              <w:rPr>
                <w:rStyle w:val="Hyperlink"/>
                <w:noProof/>
              </w:rPr>
              <w:t>Factor 1: b) Public health value, improved health outcomes and quality of life; assurances of health equity</w:t>
            </w:r>
            <w:r>
              <w:rPr>
                <w:noProof/>
                <w:webHidden/>
              </w:rPr>
              <w:tab/>
            </w:r>
            <w:r>
              <w:rPr>
                <w:noProof/>
                <w:webHidden/>
              </w:rPr>
              <w:fldChar w:fldCharType="begin"/>
            </w:r>
            <w:r>
              <w:rPr>
                <w:noProof/>
                <w:webHidden/>
              </w:rPr>
              <w:instrText xml:space="preserve"> PAGEREF _Toc207953795 \h </w:instrText>
            </w:r>
            <w:r>
              <w:rPr>
                <w:noProof/>
                <w:webHidden/>
              </w:rPr>
            </w:r>
            <w:r>
              <w:rPr>
                <w:noProof/>
                <w:webHidden/>
              </w:rPr>
              <w:fldChar w:fldCharType="separate"/>
            </w:r>
            <w:r>
              <w:rPr>
                <w:noProof/>
                <w:webHidden/>
              </w:rPr>
              <w:t>16</w:t>
            </w:r>
            <w:r>
              <w:rPr>
                <w:noProof/>
                <w:webHidden/>
              </w:rPr>
              <w:fldChar w:fldCharType="end"/>
            </w:r>
          </w:hyperlink>
        </w:p>
        <w:p w14:paraId="2007950B" w14:textId="1C2CE05C" w:rsidR="00274BBF" w:rsidRDefault="00274BBF">
          <w:pPr>
            <w:pStyle w:val="TOC1"/>
            <w:tabs>
              <w:tab w:val="right" w:leader="dot" w:pos="10390"/>
            </w:tabs>
            <w:rPr>
              <w:rFonts w:asciiTheme="minorHAnsi" w:eastAsiaTheme="minorEastAsia" w:hAnsiTheme="minorHAnsi" w:cstheme="minorBidi"/>
              <w:noProof/>
              <w:kern w:val="2"/>
              <w:szCs w:val="24"/>
              <w14:ligatures w14:val="standardContextual"/>
            </w:rPr>
          </w:pPr>
          <w:hyperlink w:anchor="_Toc207953796" w:history="1">
            <w:r w:rsidRPr="00821945">
              <w:rPr>
                <w:rStyle w:val="Hyperlink"/>
                <w:noProof/>
              </w:rPr>
              <w:t>Factor 1: c) Efficiency, Continuity of Care, Coordination of Care</w:t>
            </w:r>
            <w:r>
              <w:rPr>
                <w:noProof/>
                <w:webHidden/>
              </w:rPr>
              <w:tab/>
            </w:r>
            <w:r>
              <w:rPr>
                <w:noProof/>
                <w:webHidden/>
              </w:rPr>
              <w:fldChar w:fldCharType="begin"/>
            </w:r>
            <w:r>
              <w:rPr>
                <w:noProof/>
                <w:webHidden/>
              </w:rPr>
              <w:instrText xml:space="preserve"> PAGEREF _Toc207953796 \h </w:instrText>
            </w:r>
            <w:r>
              <w:rPr>
                <w:noProof/>
                <w:webHidden/>
              </w:rPr>
            </w:r>
            <w:r>
              <w:rPr>
                <w:noProof/>
                <w:webHidden/>
              </w:rPr>
              <w:fldChar w:fldCharType="separate"/>
            </w:r>
            <w:r>
              <w:rPr>
                <w:noProof/>
                <w:webHidden/>
              </w:rPr>
              <w:t>21</w:t>
            </w:r>
            <w:r>
              <w:rPr>
                <w:noProof/>
                <w:webHidden/>
              </w:rPr>
              <w:fldChar w:fldCharType="end"/>
            </w:r>
          </w:hyperlink>
        </w:p>
        <w:p w14:paraId="5DED8509" w14:textId="4419E67C" w:rsidR="00274BBF" w:rsidRDefault="00274BBF">
          <w:pPr>
            <w:pStyle w:val="TOC1"/>
            <w:tabs>
              <w:tab w:val="right" w:leader="dot" w:pos="10390"/>
            </w:tabs>
            <w:rPr>
              <w:rFonts w:asciiTheme="minorHAnsi" w:eastAsiaTheme="minorEastAsia" w:hAnsiTheme="minorHAnsi" w:cstheme="minorBidi"/>
              <w:noProof/>
              <w:kern w:val="2"/>
              <w:szCs w:val="24"/>
              <w14:ligatures w14:val="standardContextual"/>
            </w:rPr>
          </w:pPr>
          <w:hyperlink w:anchor="_Toc207953797" w:history="1">
            <w:r w:rsidRPr="00821945">
              <w:rPr>
                <w:rStyle w:val="Hyperlink"/>
                <w:noProof/>
              </w:rPr>
              <w:t>Factor 1: d) Consultation</w:t>
            </w:r>
            <w:r>
              <w:rPr>
                <w:noProof/>
                <w:webHidden/>
              </w:rPr>
              <w:tab/>
            </w:r>
            <w:r>
              <w:rPr>
                <w:noProof/>
                <w:webHidden/>
              </w:rPr>
              <w:fldChar w:fldCharType="begin"/>
            </w:r>
            <w:r>
              <w:rPr>
                <w:noProof/>
                <w:webHidden/>
              </w:rPr>
              <w:instrText xml:space="preserve"> PAGEREF _Toc207953797 \h </w:instrText>
            </w:r>
            <w:r>
              <w:rPr>
                <w:noProof/>
                <w:webHidden/>
              </w:rPr>
            </w:r>
            <w:r>
              <w:rPr>
                <w:noProof/>
                <w:webHidden/>
              </w:rPr>
              <w:fldChar w:fldCharType="separate"/>
            </w:r>
            <w:r>
              <w:rPr>
                <w:noProof/>
                <w:webHidden/>
              </w:rPr>
              <w:t>22</w:t>
            </w:r>
            <w:r>
              <w:rPr>
                <w:noProof/>
                <w:webHidden/>
              </w:rPr>
              <w:fldChar w:fldCharType="end"/>
            </w:r>
          </w:hyperlink>
        </w:p>
        <w:p w14:paraId="7C159364" w14:textId="4F95FEAC" w:rsidR="00274BBF" w:rsidRDefault="00274BBF">
          <w:pPr>
            <w:pStyle w:val="TOC1"/>
            <w:tabs>
              <w:tab w:val="right" w:leader="dot" w:pos="10390"/>
            </w:tabs>
            <w:rPr>
              <w:rFonts w:asciiTheme="minorHAnsi" w:eastAsiaTheme="minorEastAsia" w:hAnsiTheme="minorHAnsi" w:cstheme="minorBidi"/>
              <w:noProof/>
              <w:kern w:val="2"/>
              <w:szCs w:val="24"/>
              <w14:ligatures w14:val="standardContextual"/>
            </w:rPr>
          </w:pPr>
          <w:hyperlink w:anchor="_Toc207953798" w:history="1">
            <w:r w:rsidRPr="00821945">
              <w:rPr>
                <w:rStyle w:val="Hyperlink"/>
                <w:noProof/>
              </w:rPr>
              <w:t>Factor 1: e) Evidence of Sound Community Engagement through the Patient Panel</w:t>
            </w:r>
            <w:r>
              <w:rPr>
                <w:noProof/>
                <w:webHidden/>
              </w:rPr>
              <w:tab/>
            </w:r>
            <w:r>
              <w:rPr>
                <w:noProof/>
                <w:webHidden/>
              </w:rPr>
              <w:fldChar w:fldCharType="begin"/>
            </w:r>
            <w:r>
              <w:rPr>
                <w:noProof/>
                <w:webHidden/>
              </w:rPr>
              <w:instrText xml:space="preserve"> PAGEREF _Toc207953798 \h </w:instrText>
            </w:r>
            <w:r>
              <w:rPr>
                <w:noProof/>
                <w:webHidden/>
              </w:rPr>
            </w:r>
            <w:r>
              <w:rPr>
                <w:noProof/>
                <w:webHidden/>
              </w:rPr>
              <w:fldChar w:fldCharType="separate"/>
            </w:r>
            <w:r>
              <w:rPr>
                <w:noProof/>
                <w:webHidden/>
              </w:rPr>
              <w:t>22</w:t>
            </w:r>
            <w:r>
              <w:rPr>
                <w:noProof/>
                <w:webHidden/>
              </w:rPr>
              <w:fldChar w:fldCharType="end"/>
            </w:r>
          </w:hyperlink>
        </w:p>
        <w:p w14:paraId="62C45D76" w14:textId="6EEF728A" w:rsidR="00274BBF" w:rsidRDefault="00274BBF">
          <w:pPr>
            <w:pStyle w:val="TOC1"/>
            <w:tabs>
              <w:tab w:val="right" w:leader="dot" w:pos="10390"/>
            </w:tabs>
            <w:rPr>
              <w:rFonts w:asciiTheme="minorHAnsi" w:eastAsiaTheme="minorEastAsia" w:hAnsiTheme="minorHAnsi" w:cstheme="minorBidi"/>
              <w:noProof/>
              <w:kern w:val="2"/>
              <w:szCs w:val="24"/>
              <w14:ligatures w14:val="standardContextual"/>
            </w:rPr>
          </w:pPr>
          <w:hyperlink w:anchor="_Toc207953799" w:history="1">
            <w:r w:rsidRPr="00821945">
              <w:rPr>
                <w:rStyle w:val="Hyperlink"/>
                <w:noProof/>
              </w:rPr>
              <w:t>Factor 1: f) Competition on price, total medical expenses (TME), costs and other measures of health care spending</w:t>
            </w:r>
            <w:r>
              <w:rPr>
                <w:noProof/>
                <w:webHidden/>
              </w:rPr>
              <w:tab/>
            </w:r>
            <w:r>
              <w:rPr>
                <w:noProof/>
                <w:webHidden/>
              </w:rPr>
              <w:fldChar w:fldCharType="begin"/>
            </w:r>
            <w:r>
              <w:rPr>
                <w:noProof/>
                <w:webHidden/>
              </w:rPr>
              <w:instrText xml:space="preserve"> PAGEREF _Toc207953799 \h </w:instrText>
            </w:r>
            <w:r>
              <w:rPr>
                <w:noProof/>
                <w:webHidden/>
              </w:rPr>
            </w:r>
            <w:r>
              <w:rPr>
                <w:noProof/>
                <w:webHidden/>
              </w:rPr>
              <w:fldChar w:fldCharType="separate"/>
            </w:r>
            <w:r>
              <w:rPr>
                <w:noProof/>
                <w:webHidden/>
              </w:rPr>
              <w:t>23</w:t>
            </w:r>
            <w:r>
              <w:rPr>
                <w:noProof/>
                <w:webHidden/>
              </w:rPr>
              <w:fldChar w:fldCharType="end"/>
            </w:r>
          </w:hyperlink>
        </w:p>
        <w:p w14:paraId="224254B5" w14:textId="60FBFEF6" w:rsidR="00274BBF" w:rsidRDefault="00274BBF">
          <w:pPr>
            <w:pStyle w:val="TOC1"/>
            <w:tabs>
              <w:tab w:val="right" w:leader="dot" w:pos="10390"/>
            </w:tabs>
            <w:rPr>
              <w:rFonts w:asciiTheme="minorHAnsi" w:eastAsiaTheme="minorEastAsia" w:hAnsiTheme="minorHAnsi" w:cstheme="minorBidi"/>
              <w:noProof/>
              <w:kern w:val="2"/>
              <w:szCs w:val="24"/>
              <w14:ligatures w14:val="standardContextual"/>
            </w:rPr>
          </w:pPr>
          <w:hyperlink w:anchor="_Toc207953800" w:history="1">
            <w:r w:rsidRPr="00821945">
              <w:rPr>
                <w:rStyle w:val="Hyperlink"/>
                <w:noProof/>
              </w:rPr>
              <w:t>Summary, Factor 1</w:t>
            </w:r>
            <w:r>
              <w:rPr>
                <w:noProof/>
                <w:webHidden/>
              </w:rPr>
              <w:tab/>
            </w:r>
            <w:r>
              <w:rPr>
                <w:noProof/>
                <w:webHidden/>
              </w:rPr>
              <w:fldChar w:fldCharType="begin"/>
            </w:r>
            <w:r>
              <w:rPr>
                <w:noProof/>
                <w:webHidden/>
              </w:rPr>
              <w:instrText xml:space="preserve"> PAGEREF _Toc207953800 \h </w:instrText>
            </w:r>
            <w:r>
              <w:rPr>
                <w:noProof/>
                <w:webHidden/>
              </w:rPr>
            </w:r>
            <w:r>
              <w:rPr>
                <w:noProof/>
                <w:webHidden/>
              </w:rPr>
              <w:fldChar w:fldCharType="separate"/>
            </w:r>
            <w:r>
              <w:rPr>
                <w:noProof/>
                <w:webHidden/>
              </w:rPr>
              <w:t>24</w:t>
            </w:r>
            <w:r>
              <w:rPr>
                <w:noProof/>
                <w:webHidden/>
              </w:rPr>
              <w:fldChar w:fldCharType="end"/>
            </w:r>
          </w:hyperlink>
        </w:p>
        <w:p w14:paraId="65B85940" w14:textId="12EA86AF" w:rsidR="00274BBF" w:rsidRDefault="00274BBF">
          <w:pPr>
            <w:pStyle w:val="TOC1"/>
            <w:tabs>
              <w:tab w:val="right" w:leader="dot" w:pos="10390"/>
            </w:tabs>
            <w:rPr>
              <w:rFonts w:asciiTheme="minorHAnsi" w:eastAsiaTheme="minorEastAsia" w:hAnsiTheme="minorHAnsi" w:cstheme="minorBidi"/>
              <w:noProof/>
              <w:kern w:val="2"/>
              <w:szCs w:val="24"/>
              <w14:ligatures w14:val="standardContextual"/>
            </w:rPr>
          </w:pPr>
          <w:hyperlink w:anchor="_Toc207953801" w:history="1">
            <w:r w:rsidRPr="00821945">
              <w:rPr>
                <w:rStyle w:val="Hyperlink"/>
                <w:noProof/>
              </w:rPr>
              <w:t>Factor 2: Cost containment, Improved Public Health Outcomes and Delivery System Transformation</w:t>
            </w:r>
            <w:r>
              <w:rPr>
                <w:noProof/>
                <w:webHidden/>
              </w:rPr>
              <w:tab/>
            </w:r>
            <w:r>
              <w:rPr>
                <w:noProof/>
                <w:webHidden/>
              </w:rPr>
              <w:fldChar w:fldCharType="begin"/>
            </w:r>
            <w:r>
              <w:rPr>
                <w:noProof/>
                <w:webHidden/>
              </w:rPr>
              <w:instrText xml:space="preserve"> PAGEREF _Toc207953801 \h </w:instrText>
            </w:r>
            <w:r>
              <w:rPr>
                <w:noProof/>
                <w:webHidden/>
              </w:rPr>
            </w:r>
            <w:r>
              <w:rPr>
                <w:noProof/>
                <w:webHidden/>
              </w:rPr>
              <w:fldChar w:fldCharType="separate"/>
            </w:r>
            <w:r>
              <w:rPr>
                <w:noProof/>
                <w:webHidden/>
              </w:rPr>
              <w:t>25</w:t>
            </w:r>
            <w:r>
              <w:rPr>
                <w:noProof/>
                <w:webHidden/>
              </w:rPr>
              <w:fldChar w:fldCharType="end"/>
            </w:r>
          </w:hyperlink>
        </w:p>
        <w:p w14:paraId="6C44E09C" w14:textId="38BCD008" w:rsidR="00274BBF" w:rsidRDefault="00274BBF">
          <w:pPr>
            <w:pStyle w:val="TOC1"/>
            <w:tabs>
              <w:tab w:val="right" w:leader="dot" w:pos="10390"/>
            </w:tabs>
            <w:rPr>
              <w:rFonts w:asciiTheme="minorHAnsi" w:eastAsiaTheme="minorEastAsia" w:hAnsiTheme="minorHAnsi" w:cstheme="minorBidi"/>
              <w:noProof/>
              <w:kern w:val="2"/>
              <w:szCs w:val="24"/>
              <w14:ligatures w14:val="standardContextual"/>
            </w:rPr>
          </w:pPr>
          <w:hyperlink w:anchor="_Toc207953802" w:history="1">
            <w:r w:rsidRPr="00821945">
              <w:rPr>
                <w:rStyle w:val="Hyperlink"/>
                <w:noProof/>
              </w:rPr>
              <w:t>Summary, Factor 2</w:t>
            </w:r>
            <w:r>
              <w:rPr>
                <w:noProof/>
                <w:webHidden/>
              </w:rPr>
              <w:tab/>
            </w:r>
            <w:r>
              <w:rPr>
                <w:noProof/>
                <w:webHidden/>
              </w:rPr>
              <w:fldChar w:fldCharType="begin"/>
            </w:r>
            <w:r>
              <w:rPr>
                <w:noProof/>
                <w:webHidden/>
              </w:rPr>
              <w:instrText xml:space="preserve"> PAGEREF _Toc207953802 \h </w:instrText>
            </w:r>
            <w:r>
              <w:rPr>
                <w:noProof/>
                <w:webHidden/>
              </w:rPr>
            </w:r>
            <w:r>
              <w:rPr>
                <w:noProof/>
                <w:webHidden/>
              </w:rPr>
              <w:fldChar w:fldCharType="separate"/>
            </w:r>
            <w:r>
              <w:rPr>
                <w:noProof/>
                <w:webHidden/>
              </w:rPr>
              <w:t>26</w:t>
            </w:r>
            <w:r>
              <w:rPr>
                <w:noProof/>
                <w:webHidden/>
              </w:rPr>
              <w:fldChar w:fldCharType="end"/>
            </w:r>
          </w:hyperlink>
        </w:p>
        <w:p w14:paraId="2969C43F" w14:textId="27FA9021" w:rsidR="00274BBF" w:rsidRDefault="00274BBF">
          <w:pPr>
            <w:pStyle w:val="TOC1"/>
            <w:tabs>
              <w:tab w:val="right" w:leader="dot" w:pos="10390"/>
            </w:tabs>
            <w:rPr>
              <w:rFonts w:asciiTheme="minorHAnsi" w:eastAsiaTheme="minorEastAsia" w:hAnsiTheme="minorHAnsi" w:cstheme="minorBidi"/>
              <w:noProof/>
              <w:kern w:val="2"/>
              <w:szCs w:val="24"/>
              <w14:ligatures w14:val="standardContextual"/>
            </w:rPr>
          </w:pPr>
          <w:hyperlink w:anchor="_Toc207953803" w:history="1">
            <w:r w:rsidRPr="00821945">
              <w:rPr>
                <w:rStyle w:val="Hyperlink"/>
                <w:noProof/>
              </w:rPr>
              <w:t>Factor 3: Relevant Licensure/Oversight Compliance</w:t>
            </w:r>
            <w:r>
              <w:rPr>
                <w:noProof/>
                <w:webHidden/>
              </w:rPr>
              <w:tab/>
            </w:r>
            <w:r>
              <w:rPr>
                <w:noProof/>
                <w:webHidden/>
              </w:rPr>
              <w:fldChar w:fldCharType="begin"/>
            </w:r>
            <w:r>
              <w:rPr>
                <w:noProof/>
                <w:webHidden/>
              </w:rPr>
              <w:instrText xml:space="preserve"> PAGEREF _Toc207953803 \h </w:instrText>
            </w:r>
            <w:r>
              <w:rPr>
                <w:noProof/>
                <w:webHidden/>
              </w:rPr>
            </w:r>
            <w:r>
              <w:rPr>
                <w:noProof/>
                <w:webHidden/>
              </w:rPr>
              <w:fldChar w:fldCharType="separate"/>
            </w:r>
            <w:r>
              <w:rPr>
                <w:noProof/>
                <w:webHidden/>
              </w:rPr>
              <w:t>26</w:t>
            </w:r>
            <w:r>
              <w:rPr>
                <w:noProof/>
                <w:webHidden/>
              </w:rPr>
              <w:fldChar w:fldCharType="end"/>
            </w:r>
          </w:hyperlink>
        </w:p>
        <w:p w14:paraId="599A7D3A" w14:textId="607AD79B" w:rsidR="00274BBF" w:rsidRDefault="00274BBF">
          <w:pPr>
            <w:pStyle w:val="TOC1"/>
            <w:tabs>
              <w:tab w:val="right" w:leader="dot" w:pos="10390"/>
            </w:tabs>
            <w:rPr>
              <w:rFonts w:asciiTheme="minorHAnsi" w:eastAsiaTheme="minorEastAsia" w:hAnsiTheme="minorHAnsi" w:cstheme="minorBidi"/>
              <w:noProof/>
              <w:kern w:val="2"/>
              <w:szCs w:val="24"/>
              <w14:ligatures w14:val="standardContextual"/>
            </w:rPr>
          </w:pPr>
          <w:hyperlink w:anchor="_Toc207953804" w:history="1">
            <w:r w:rsidRPr="00821945">
              <w:rPr>
                <w:rStyle w:val="Hyperlink"/>
                <w:noProof/>
              </w:rPr>
              <w:t>Factor 4: Financial Feasibility</w:t>
            </w:r>
            <w:r>
              <w:rPr>
                <w:noProof/>
                <w:webHidden/>
              </w:rPr>
              <w:tab/>
            </w:r>
            <w:r>
              <w:rPr>
                <w:noProof/>
                <w:webHidden/>
              </w:rPr>
              <w:fldChar w:fldCharType="begin"/>
            </w:r>
            <w:r>
              <w:rPr>
                <w:noProof/>
                <w:webHidden/>
              </w:rPr>
              <w:instrText xml:space="preserve"> PAGEREF _Toc207953804 \h </w:instrText>
            </w:r>
            <w:r>
              <w:rPr>
                <w:noProof/>
                <w:webHidden/>
              </w:rPr>
            </w:r>
            <w:r>
              <w:rPr>
                <w:noProof/>
                <w:webHidden/>
              </w:rPr>
              <w:fldChar w:fldCharType="separate"/>
            </w:r>
            <w:r>
              <w:rPr>
                <w:noProof/>
                <w:webHidden/>
              </w:rPr>
              <w:t>26</w:t>
            </w:r>
            <w:r>
              <w:rPr>
                <w:noProof/>
                <w:webHidden/>
              </w:rPr>
              <w:fldChar w:fldCharType="end"/>
            </w:r>
          </w:hyperlink>
        </w:p>
        <w:p w14:paraId="16C2F9D5" w14:textId="2EEE7879" w:rsidR="00274BBF" w:rsidRDefault="00274BBF">
          <w:pPr>
            <w:pStyle w:val="TOC1"/>
            <w:tabs>
              <w:tab w:val="right" w:leader="dot" w:pos="10390"/>
            </w:tabs>
            <w:rPr>
              <w:rFonts w:asciiTheme="minorHAnsi" w:eastAsiaTheme="minorEastAsia" w:hAnsiTheme="minorHAnsi" w:cstheme="minorBidi"/>
              <w:noProof/>
              <w:kern w:val="2"/>
              <w:szCs w:val="24"/>
              <w14:ligatures w14:val="standardContextual"/>
            </w:rPr>
          </w:pPr>
          <w:hyperlink w:anchor="_Toc207953805" w:history="1">
            <w:r w:rsidRPr="00821945">
              <w:rPr>
                <w:rStyle w:val="Hyperlink"/>
                <w:noProof/>
              </w:rPr>
              <w:t>Factor 5: Assessment of the Proposed Project’s Relative Merit</w:t>
            </w:r>
            <w:r>
              <w:rPr>
                <w:noProof/>
                <w:webHidden/>
              </w:rPr>
              <w:tab/>
            </w:r>
            <w:r>
              <w:rPr>
                <w:noProof/>
                <w:webHidden/>
              </w:rPr>
              <w:fldChar w:fldCharType="begin"/>
            </w:r>
            <w:r>
              <w:rPr>
                <w:noProof/>
                <w:webHidden/>
              </w:rPr>
              <w:instrText xml:space="preserve"> PAGEREF _Toc207953805 \h </w:instrText>
            </w:r>
            <w:r>
              <w:rPr>
                <w:noProof/>
                <w:webHidden/>
              </w:rPr>
            </w:r>
            <w:r>
              <w:rPr>
                <w:noProof/>
                <w:webHidden/>
              </w:rPr>
              <w:fldChar w:fldCharType="separate"/>
            </w:r>
            <w:r>
              <w:rPr>
                <w:noProof/>
                <w:webHidden/>
              </w:rPr>
              <w:t>29</w:t>
            </w:r>
            <w:r>
              <w:rPr>
                <w:noProof/>
                <w:webHidden/>
              </w:rPr>
              <w:fldChar w:fldCharType="end"/>
            </w:r>
          </w:hyperlink>
        </w:p>
        <w:p w14:paraId="50F71919" w14:textId="7EE48661" w:rsidR="00274BBF" w:rsidRDefault="00274BBF">
          <w:pPr>
            <w:pStyle w:val="TOC1"/>
            <w:tabs>
              <w:tab w:val="right" w:leader="dot" w:pos="10390"/>
            </w:tabs>
            <w:rPr>
              <w:rFonts w:asciiTheme="minorHAnsi" w:eastAsiaTheme="minorEastAsia" w:hAnsiTheme="minorHAnsi" w:cstheme="minorBidi"/>
              <w:noProof/>
              <w:kern w:val="2"/>
              <w:szCs w:val="24"/>
              <w14:ligatures w14:val="standardContextual"/>
            </w:rPr>
          </w:pPr>
          <w:hyperlink w:anchor="_Toc207953806" w:history="1">
            <w:r w:rsidRPr="00821945">
              <w:rPr>
                <w:rStyle w:val="Hyperlink"/>
                <w:noProof/>
              </w:rPr>
              <w:t>Factor 6: Fulfillment of DPH Community-based Health Initiatives Guideline</w:t>
            </w:r>
            <w:r>
              <w:rPr>
                <w:noProof/>
                <w:webHidden/>
              </w:rPr>
              <w:tab/>
            </w:r>
            <w:r>
              <w:rPr>
                <w:noProof/>
                <w:webHidden/>
              </w:rPr>
              <w:fldChar w:fldCharType="begin"/>
            </w:r>
            <w:r>
              <w:rPr>
                <w:noProof/>
                <w:webHidden/>
              </w:rPr>
              <w:instrText xml:space="preserve"> PAGEREF _Toc207953806 \h </w:instrText>
            </w:r>
            <w:r>
              <w:rPr>
                <w:noProof/>
                <w:webHidden/>
              </w:rPr>
            </w:r>
            <w:r>
              <w:rPr>
                <w:noProof/>
                <w:webHidden/>
              </w:rPr>
              <w:fldChar w:fldCharType="separate"/>
            </w:r>
            <w:r>
              <w:rPr>
                <w:noProof/>
                <w:webHidden/>
              </w:rPr>
              <w:t>30</w:t>
            </w:r>
            <w:r>
              <w:rPr>
                <w:noProof/>
                <w:webHidden/>
              </w:rPr>
              <w:fldChar w:fldCharType="end"/>
            </w:r>
          </w:hyperlink>
        </w:p>
        <w:p w14:paraId="328AC12E" w14:textId="5EBE258D" w:rsidR="00274BBF" w:rsidRDefault="00274BBF">
          <w:pPr>
            <w:pStyle w:val="TOC1"/>
            <w:tabs>
              <w:tab w:val="right" w:leader="dot" w:pos="10390"/>
            </w:tabs>
            <w:rPr>
              <w:rFonts w:asciiTheme="minorHAnsi" w:eastAsiaTheme="minorEastAsia" w:hAnsiTheme="minorHAnsi" w:cstheme="minorBidi"/>
              <w:noProof/>
              <w:kern w:val="2"/>
              <w:szCs w:val="24"/>
              <w14:ligatures w14:val="standardContextual"/>
            </w:rPr>
          </w:pPr>
          <w:hyperlink w:anchor="_Toc207953807" w:history="1">
            <w:r w:rsidRPr="00821945">
              <w:rPr>
                <w:rStyle w:val="Hyperlink"/>
                <w:noProof/>
              </w:rPr>
              <w:t>Findings and Recommendations</w:t>
            </w:r>
            <w:r>
              <w:rPr>
                <w:noProof/>
                <w:webHidden/>
              </w:rPr>
              <w:tab/>
            </w:r>
            <w:r>
              <w:rPr>
                <w:noProof/>
                <w:webHidden/>
              </w:rPr>
              <w:fldChar w:fldCharType="begin"/>
            </w:r>
            <w:r>
              <w:rPr>
                <w:noProof/>
                <w:webHidden/>
              </w:rPr>
              <w:instrText xml:space="preserve"> PAGEREF _Toc207953807 \h </w:instrText>
            </w:r>
            <w:r>
              <w:rPr>
                <w:noProof/>
                <w:webHidden/>
              </w:rPr>
            </w:r>
            <w:r>
              <w:rPr>
                <w:noProof/>
                <w:webHidden/>
              </w:rPr>
              <w:fldChar w:fldCharType="separate"/>
            </w:r>
            <w:r>
              <w:rPr>
                <w:noProof/>
                <w:webHidden/>
              </w:rPr>
              <w:t>31</w:t>
            </w:r>
            <w:r>
              <w:rPr>
                <w:noProof/>
                <w:webHidden/>
              </w:rPr>
              <w:fldChar w:fldCharType="end"/>
            </w:r>
          </w:hyperlink>
        </w:p>
        <w:p w14:paraId="1021C72C" w14:textId="6541E592" w:rsidR="00274BBF" w:rsidRDefault="00274BBF">
          <w:pPr>
            <w:pStyle w:val="TOC1"/>
            <w:tabs>
              <w:tab w:val="right" w:leader="dot" w:pos="10390"/>
            </w:tabs>
            <w:rPr>
              <w:rFonts w:asciiTheme="minorHAnsi" w:eastAsiaTheme="minorEastAsia" w:hAnsiTheme="minorHAnsi" w:cstheme="minorBidi"/>
              <w:noProof/>
              <w:kern w:val="2"/>
              <w:szCs w:val="24"/>
              <w14:ligatures w14:val="standardContextual"/>
            </w:rPr>
          </w:pPr>
          <w:hyperlink w:anchor="_Toc207953808" w:history="1">
            <w:r w:rsidRPr="00821945">
              <w:rPr>
                <w:rStyle w:val="Hyperlink"/>
                <w:noProof/>
              </w:rPr>
              <w:t>Other Conditions</w:t>
            </w:r>
            <w:r>
              <w:rPr>
                <w:noProof/>
                <w:webHidden/>
              </w:rPr>
              <w:tab/>
            </w:r>
            <w:r>
              <w:rPr>
                <w:noProof/>
                <w:webHidden/>
              </w:rPr>
              <w:fldChar w:fldCharType="begin"/>
            </w:r>
            <w:r>
              <w:rPr>
                <w:noProof/>
                <w:webHidden/>
              </w:rPr>
              <w:instrText xml:space="preserve"> PAGEREF _Toc207953808 \h </w:instrText>
            </w:r>
            <w:r>
              <w:rPr>
                <w:noProof/>
                <w:webHidden/>
              </w:rPr>
            </w:r>
            <w:r>
              <w:rPr>
                <w:noProof/>
                <w:webHidden/>
              </w:rPr>
              <w:fldChar w:fldCharType="separate"/>
            </w:r>
            <w:r>
              <w:rPr>
                <w:noProof/>
                <w:webHidden/>
              </w:rPr>
              <w:t>31</w:t>
            </w:r>
            <w:r>
              <w:rPr>
                <w:noProof/>
                <w:webHidden/>
              </w:rPr>
              <w:fldChar w:fldCharType="end"/>
            </w:r>
          </w:hyperlink>
        </w:p>
        <w:p w14:paraId="7AE2A511" w14:textId="251E0FE6" w:rsidR="00274BBF" w:rsidRDefault="00274BBF">
          <w:pPr>
            <w:pStyle w:val="TOC1"/>
            <w:tabs>
              <w:tab w:val="right" w:leader="dot" w:pos="10390"/>
            </w:tabs>
            <w:rPr>
              <w:rFonts w:asciiTheme="minorHAnsi" w:eastAsiaTheme="minorEastAsia" w:hAnsiTheme="minorHAnsi" w:cstheme="minorBidi"/>
              <w:noProof/>
              <w:kern w:val="2"/>
              <w:szCs w:val="24"/>
              <w14:ligatures w14:val="standardContextual"/>
            </w:rPr>
          </w:pPr>
          <w:hyperlink w:anchor="_Toc207953809" w:history="1">
            <w:r w:rsidRPr="00821945">
              <w:rPr>
                <w:rStyle w:val="Hyperlink"/>
                <w:noProof/>
                <w:bdr w:val="none" w:sz="0" w:space="0" w:color="auto" w:frame="1"/>
              </w:rPr>
              <w:t>Appendix I: Required Measures for Annual Reporting</w:t>
            </w:r>
            <w:r>
              <w:rPr>
                <w:noProof/>
                <w:webHidden/>
              </w:rPr>
              <w:tab/>
            </w:r>
            <w:r>
              <w:rPr>
                <w:noProof/>
                <w:webHidden/>
              </w:rPr>
              <w:fldChar w:fldCharType="begin"/>
            </w:r>
            <w:r>
              <w:rPr>
                <w:noProof/>
                <w:webHidden/>
              </w:rPr>
              <w:instrText xml:space="preserve"> PAGEREF _Toc207953809 \h </w:instrText>
            </w:r>
            <w:r>
              <w:rPr>
                <w:noProof/>
                <w:webHidden/>
              </w:rPr>
            </w:r>
            <w:r>
              <w:rPr>
                <w:noProof/>
                <w:webHidden/>
              </w:rPr>
              <w:fldChar w:fldCharType="separate"/>
            </w:r>
            <w:r>
              <w:rPr>
                <w:noProof/>
                <w:webHidden/>
              </w:rPr>
              <w:t>33</w:t>
            </w:r>
            <w:r>
              <w:rPr>
                <w:noProof/>
                <w:webHidden/>
              </w:rPr>
              <w:fldChar w:fldCharType="end"/>
            </w:r>
          </w:hyperlink>
        </w:p>
        <w:p w14:paraId="63E38552" w14:textId="0281879C" w:rsidR="00274BBF" w:rsidRDefault="00274BBF">
          <w:pPr>
            <w:pStyle w:val="TOC1"/>
            <w:tabs>
              <w:tab w:val="right" w:leader="dot" w:pos="10390"/>
            </w:tabs>
            <w:rPr>
              <w:rFonts w:asciiTheme="minorHAnsi" w:eastAsiaTheme="minorEastAsia" w:hAnsiTheme="minorHAnsi" w:cstheme="minorBidi"/>
              <w:noProof/>
              <w:kern w:val="2"/>
              <w:szCs w:val="24"/>
              <w14:ligatures w14:val="standardContextual"/>
            </w:rPr>
          </w:pPr>
          <w:hyperlink w:anchor="_Toc207953810" w:history="1">
            <w:r w:rsidRPr="00821945">
              <w:rPr>
                <w:rStyle w:val="Hyperlink"/>
                <w:noProof/>
              </w:rPr>
              <w:t>REFERENCES</w:t>
            </w:r>
            <w:r>
              <w:rPr>
                <w:noProof/>
                <w:webHidden/>
              </w:rPr>
              <w:tab/>
            </w:r>
            <w:r>
              <w:rPr>
                <w:noProof/>
                <w:webHidden/>
              </w:rPr>
              <w:fldChar w:fldCharType="begin"/>
            </w:r>
            <w:r>
              <w:rPr>
                <w:noProof/>
                <w:webHidden/>
              </w:rPr>
              <w:instrText xml:space="preserve"> PAGEREF _Toc207953810 \h </w:instrText>
            </w:r>
            <w:r>
              <w:rPr>
                <w:noProof/>
                <w:webHidden/>
              </w:rPr>
            </w:r>
            <w:r>
              <w:rPr>
                <w:noProof/>
                <w:webHidden/>
              </w:rPr>
              <w:fldChar w:fldCharType="separate"/>
            </w:r>
            <w:r>
              <w:rPr>
                <w:noProof/>
                <w:webHidden/>
              </w:rPr>
              <w:t>35</w:t>
            </w:r>
            <w:r>
              <w:rPr>
                <w:noProof/>
                <w:webHidden/>
              </w:rPr>
              <w:fldChar w:fldCharType="end"/>
            </w:r>
          </w:hyperlink>
        </w:p>
        <w:p w14:paraId="0675CDB9" w14:textId="2A7E7647" w:rsidR="008650F2" w:rsidRPr="004D5540" w:rsidRDefault="008650F2">
          <w:pPr>
            <w:rPr>
              <w:rFonts w:asciiTheme="minorHAnsi" w:hAnsiTheme="minorHAnsi"/>
              <w:szCs w:val="24"/>
            </w:rPr>
          </w:pPr>
          <w:r w:rsidRPr="004D5540">
            <w:rPr>
              <w:rFonts w:asciiTheme="minorHAnsi" w:hAnsiTheme="minorHAnsi"/>
              <w:b/>
              <w:bCs/>
              <w:noProof/>
              <w:szCs w:val="24"/>
            </w:rPr>
            <w:fldChar w:fldCharType="end"/>
          </w:r>
        </w:p>
      </w:sdtContent>
    </w:sdt>
    <w:p w14:paraId="71FF1976" w14:textId="77777777" w:rsidR="00B447F3" w:rsidRPr="003436F0" w:rsidRDefault="00B447F3">
      <w:pPr>
        <w:rPr>
          <w:rFonts w:asciiTheme="minorHAnsi" w:hAnsiTheme="minorHAnsi"/>
        </w:rPr>
        <w:sectPr w:rsidR="00B447F3" w:rsidRPr="003436F0" w:rsidSect="004C1B7F">
          <w:headerReference w:type="even" r:id="rId14"/>
          <w:headerReference w:type="default" r:id="rId15"/>
          <w:headerReference w:type="first" r:id="rId16"/>
          <w:pgSz w:w="12240" w:h="15840"/>
          <w:pgMar w:top="1360" w:right="980" w:bottom="1120" w:left="860" w:header="0" w:footer="937" w:gutter="0"/>
          <w:cols w:space="720"/>
        </w:sectPr>
      </w:pPr>
    </w:p>
    <w:p w14:paraId="6280C006" w14:textId="4F105195" w:rsidR="00B447F3" w:rsidRPr="00C515CE" w:rsidRDefault="00A4110F" w:rsidP="00B928A9">
      <w:pPr>
        <w:pStyle w:val="Heading1"/>
        <w:ind w:left="0"/>
        <w:rPr>
          <w:rFonts w:asciiTheme="minorHAnsi" w:hAnsiTheme="minorHAnsi"/>
          <w:color w:val="1F497D" w:themeColor="text2"/>
        </w:rPr>
      </w:pPr>
      <w:bookmarkStart w:id="0" w:name="Background:_Emerson_Endoscopy_and_Digest"/>
      <w:bookmarkStart w:id="1" w:name="_Toc207953792"/>
      <w:bookmarkEnd w:id="0"/>
      <w:r w:rsidRPr="00C515CE">
        <w:rPr>
          <w:rFonts w:asciiTheme="minorHAnsi" w:hAnsiTheme="minorHAnsi"/>
          <w:color w:val="1F497D" w:themeColor="text2"/>
        </w:rPr>
        <w:lastRenderedPageBreak/>
        <w:t>Background:</w:t>
      </w:r>
      <w:r w:rsidR="00A903C8">
        <w:rPr>
          <w:rFonts w:asciiTheme="minorHAnsi" w:hAnsiTheme="minorHAnsi"/>
          <w:color w:val="1F497D" w:themeColor="text2"/>
        </w:rPr>
        <w:t xml:space="preserve"> </w:t>
      </w:r>
      <w:r w:rsidR="00F7174E">
        <w:rPr>
          <w:rFonts w:asciiTheme="minorHAnsi" w:hAnsiTheme="minorHAnsi"/>
          <w:color w:val="1F497D" w:themeColor="text2"/>
        </w:rPr>
        <w:t>Emerson Endoscopy and Digestive Health Center</w:t>
      </w:r>
      <w:r w:rsidR="009C0A4A" w:rsidRPr="00C515CE">
        <w:rPr>
          <w:rFonts w:asciiTheme="minorHAnsi" w:hAnsiTheme="minorHAnsi"/>
          <w:color w:val="1F497D" w:themeColor="text2"/>
        </w:rPr>
        <w:t>, LLC</w:t>
      </w:r>
      <w:r w:rsidR="00DE2FE1" w:rsidRPr="00C515CE">
        <w:rPr>
          <w:rFonts w:asciiTheme="minorHAnsi" w:hAnsiTheme="minorHAnsi"/>
          <w:color w:val="1F497D" w:themeColor="text2"/>
        </w:rPr>
        <w:t xml:space="preserve">; </w:t>
      </w:r>
      <w:r w:rsidRPr="00C515CE">
        <w:rPr>
          <w:rFonts w:asciiTheme="minorHAnsi" w:hAnsiTheme="minorHAnsi"/>
          <w:color w:val="1F497D" w:themeColor="text2"/>
        </w:rPr>
        <w:t>and Application Overview</w:t>
      </w:r>
      <w:bookmarkEnd w:id="1"/>
    </w:p>
    <w:p w14:paraId="32F6900F" w14:textId="21ED00C7" w:rsidR="00B447F3" w:rsidRDefault="00B447F3">
      <w:pPr>
        <w:pStyle w:val="BodyText"/>
        <w:spacing w:before="1"/>
        <w:rPr>
          <w:rFonts w:asciiTheme="minorHAnsi" w:hAnsiTheme="minorHAnsi"/>
        </w:rPr>
      </w:pPr>
    </w:p>
    <w:p w14:paraId="6F2B2EE1" w14:textId="05CBFFC1" w:rsidR="005106C4" w:rsidRDefault="00562796" w:rsidP="3260C0CF">
      <w:pPr>
        <w:pStyle w:val="BodyText"/>
        <w:rPr>
          <w:rFonts w:asciiTheme="minorHAnsi" w:hAnsiTheme="minorHAnsi"/>
        </w:rPr>
      </w:pPr>
      <w:r w:rsidRPr="1916EAF1">
        <w:rPr>
          <w:rFonts w:asciiTheme="minorHAnsi" w:hAnsiTheme="minorHAnsi"/>
        </w:rPr>
        <w:t xml:space="preserve">Emerson Endoscopy and Digestive </w:t>
      </w:r>
      <w:r w:rsidR="00197269" w:rsidRPr="1916EAF1">
        <w:rPr>
          <w:rFonts w:asciiTheme="minorHAnsi" w:hAnsiTheme="minorHAnsi"/>
        </w:rPr>
        <w:t xml:space="preserve">Health Center, LLC (Applicant </w:t>
      </w:r>
      <w:r w:rsidR="00CE2956" w:rsidRPr="1916EAF1">
        <w:rPr>
          <w:rFonts w:asciiTheme="minorHAnsi" w:hAnsiTheme="minorHAnsi"/>
        </w:rPr>
        <w:t>or EDHC) is</w:t>
      </w:r>
      <w:r w:rsidR="00EB7CE1" w:rsidRPr="1916EAF1">
        <w:rPr>
          <w:rFonts w:asciiTheme="minorHAnsi" w:hAnsiTheme="minorHAnsi"/>
        </w:rPr>
        <w:t xml:space="preserve"> </w:t>
      </w:r>
      <w:r w:rsidR="00D632CF" w:rsidRPr="1916EAF1">
        <w:rPr>
          <w:rFonts w:asciiTheme="minorHAnsi" w:hAnsiTheme="minorHAnsi"/>
        </w:rPr>
        <w:t>a</w:t>
      </w:r>
      <w:r w:rsidR="00CE2956" w:rsidRPr="1916EAF1">
        <w:rPr>
          <w:rFonts w:asciiTheme="minorHAnsi" w:hAnsiTheme="minorHAnsi"/>
        </w:rPr>
        <w:t xml:space="preserve"> freestanding single-specialty endoscopy ambulatory surgery center (ASC)</w:t>
      </w:r>
      <w:r w:rsidR="00EB7CE1" w:rsidRPr="1916EAF1">
        <w:rPr>
          <w:rFonts w:asciiTheme="minorHAnsi" w:hAnsiTheme="minorHAnsi"/>
        </w:rPr>
        <w:t xml:space="preserve"> located in </w:t>
      </w:r>
      <w:r w:rsidR="00255641" w:rsidRPr="1916EAF1">
        <w:rPr>
          <w:rFonts w:asciiTheme="minorHAnsi" w:hAnsiTheme="minorHAnsi"/>
        </w:rPr>
        <w:t>C</w:t>
      </w:r>
      <w:r w:rsidR="00EB7CE1" w:rsidRPr="1916EAF1">
        <w:rPr>
          <w:rFonts w:asciiTheme="minorHAnsi" w:hAnsiTheme="minorHAnsi"/>
        </w:rPr>
        <w:t>oncord</w:t>
      </w:r>
      <w:r w:rsidR="00255641" w:rsidRPr="1916EAF1">
        <w:rPr>
          <w:rFonts w:asciiTheme="minorHAnsi" w:hAnsiTheme="minorHAnsi"/>
        </w:rPr>
        <w:t>, MA</w:t>
      </w:r>
      <w:r w:rsidR="002D1CC6" w:rsidRPr="1916EAF1">
        <w:rPr>
          <w:rFonts w:asciiTheme="minorHAnsi" w:hAnsiTheme="minorHAnsi"/>
        </w:rPr>
        <w:t xml:space="preserve">. </w:t>
      </w:r>
      <w:r w:rsidR="00525268" w:rsidRPr="1916EAF1">
        <w:rPr>
          <w:rFonts w:asciiTheme="minorHAnsi" w:hAnsiTheme="minorHAnsi"/>
        </w:rPr>
        <w:t xml:space="preserve">The Applicant </w:t>
      </w:r>
      <w:r w:rsidR="00CC5074" w:rsidRPr="1916EAF1">
        <w:rPr>
          <w:rFonts w:asciiTheme="minorHAnsi" w:hAnsiTheme="minorHAnsi"/>
        </w:rPr>
        <w:t xml:space="preserve">received </w:t>
      </w:r>
      <w:r w:rsidR="00A41BCD" w:rsidRPr="1916EAF1">
        <w:rPr>
          <w:rFonts w:asciiTheme="minorHAnsi" w:hAnsiTheme="minorHAnsi"/>
        </w:rPr>
        <w:t>Determination of Need (</w:t>
      </w:r>
      <w:r w:rsidR="00CC5074" w:rsidRPr="1916EAF1">
        <w:rPr>
          <w:rFonts w:asciiTheme="minorHAnsi" w:hAnsiTheme="minorHAnsi"/>
        </w:rPr>
        <w:t>DoN</w:t>
      </w:r>
      <w:r w:rsidR="00A41BCD" w:rsidRPr="1916EAF1">
        <w:rPr>
          <w:rFonts w:asciiTheme="minorHAnsi" w:hAnsiTheme="minorHAnsi"/>
        </w:rPr>
        <w:t>)</w:t>
      </w:r>
      <w:r w:rsidR="00CC5074" w:rsidRPr="1916EAF1">
        <w:rPr>
          <w:rFonts w:asciiTheme="minorHAnsi" w:hAnsiTheme="minorHAnsi"/>
        </w:rPr>
        <w:t xml:space="preserve"> approval in </w:t>
      </w:r>
      <w:r w:rsidR="00145D15" w:rsidRPr="1916EAF1">
        <w:rPr>
          <w:rFonts w:asciiTheme="minorHAnsi" w:hAnsiTheme="minorHAnsi"/>
        </w:rPr>
        <w:t xml:space="preserve">February </w:t>
      </w:r>
      <w:r w:rsidR="00CC5074" w:rsidRPr="1916EAF1">
        <w:rPr>
          <w:rFonts w:asciiTheme="minorHAnsi" w:hAnsiTheme="minorHAnsi"/>
        </w:rPr>
        <w:t>2021</w:t>
      </w:r>
      <w:r w:rsidR="008E6204" w:rsidRPr="1916EAF1">
        <w:rPr>
          <w:rFonts w:asciiTheme="minorHAnsi" w:hAnsiTheme="minorHAnsi"/>
        </w:rPr>
        <w:t xml:space="preserve"> to construct </w:t>
      </w:r>
      <w:r w:rsidR="005B1236" w:rsidRPr="1916EAF1">
        <w:rPr>
          <w:rFonts w:asciiTheme="minorHAnsi" w:hAnsiTheme="minorHAnsi"/>
        </w:rPr>
        <w:t xml:space="preserve">its existing ASC, </w:t>
      </w:r>
      <w:r w:rsidR="00EC56BA" w:rsidRPr="1916EAF1">
        <w:rPr>
          <w:rFonts w:asciiTheme="minorHAnsi" w:hAnsiTheme="minorHAnsi"/>
        </w:rPr>
        <w:t xml:space="preserve">herein referred to as “the Center”, </w:t>
      </w:r>
      <w:r w:rsidR="00B14371" w:rsidRPr="1916EAF1">
        <w:rPr>
          <w:rFonts w:asciiTheme="minorHAnsi" w:hAnsiTheme="minorHAnsi"/>
        </w:rPr>
        <w:t>with t</w:t>
      </w:r>
      <w:r w:rsidR="008E6204" w:rsidRPr="1916EAF1">
        <w:rPr>
          <w:rFonts w:asciiTheme="minorHAnsi" w:hAnsiTheme="minorHAnsi"/>
        </w:rPr>
        <w:t>wo procedure rooms</w:t>
      </w:r>
      <w:r w:rsidR="00F05068" w:rsidRPr="1916EAF1">
        <w:rPr>
          <w:rFonts w:asciiTheme="minorHAnsi" w:hAnsiTheme="minorHAnsi"/>
        </w:rPr>
        <w:t xml:space="preserve"> </w:t>
      </w:r>
      <w:r w:rsidR="00F50679" w:rsidRPr="1916EAF1">
        <w:rPr>
          <w:rFonts w:asciiTheme="minorHAnsi" w:hAnsiTheme="minorHAnsi"/>
        </w:rPr>
        <w:t xml:space="preserve">and six pre/post operative bays </w:t>
      </w:r>
      <w:r w:rsidR="00F05068" w:rsidRPr="1916EAF1">
        <w:rPr>
          <w:rFonts w:asciiTheme="minorHAnsi" w:hAnsiTheme="minorHAnsi"/>
        </w:rPr>
        <w:t>to provide endoscopy services</w:t>
      </w:r>
      <w:r w:rsidR="00A01630" w:rsidRPr="1916EAF1">
        <w:rPr>
          <w:rFonts w:asciiTheme="minorHAnsi" w:hAnsiTheme="minorHAnsi"/>
        </w:rPr>
        <w:t xml:space="preserve"> to Emerson </w:t>
      </w:r>
      <w:r w:rsidR="000012A3">
        <w:rPr>
          <w:rFonts w:asciiTheme="minorHAnsi" w:hAnsiTheme="minorHAnsi"/>
        </w:rPr>
        <w:t xml:space="preserve">Hospital </w:t>
      </w:r>
      <w:r w:rsidR="00A01630" w:rsidRPr="1916EAF1">
        <w:rPr>
          <w:rFonts w:asciiTheme="minorHAnsi" w:hAnsiTheme="minorHAnsi"/>
        </w:rPr>
        <w:t>patients and the surrounding communities</w:t>
      </w:r>
      <w:r w:rsidR="008E6204" w:rsidRPr="1916EAF1">
        <w:rPr>
          <w:rFonts w:asciiTheme="minorHAnsi" w:hAnsiTheme="minorHAnsi"/>
        </w:rPr>
        <w:t>.</w:t>
      </w:r>
      <w:r w:rsidR="001D4247" w:rsidRPr="1916EAF1">
        <w:rPr>
          <w:rFonts w:asciiTheme="minorHAnsi" w:hAnsiTheme="minorHAnsi"/>
        </w:rPr>
        <w:t xml:space="preserve"> The Center </w:t>
      </w:r>
      <w:r w:rsidR="00EA752E" w:rsidRPr="1916EAF1">
        <w:rPr>
          <w:rFonts w:asciiTheme="minorHAnsi" w:hAnsiTheme="minorHAnsi"/>
        </w:rPr>
        <w:t xml:space="preserve">is in the primary service area (PSA) of an independent community hospital, Emerson Hospital, </w:t>
      </w:r>
      <w:r w:rsidR="00B11F4E" w:rsidRPr="1916EAF1">
        <w:rPr>
          <w:rFonts w:asciiTheme="minorHAnsi" w:hAnsiTheme="minorHAnsi"/>
        </w:rPr>
        <w:t>and in compliance with 105 CMR 100.715(B)(2)(</w:t>
      </w:r>
      <w:r w:rsidR="009D089F" w:rsidRPr="1916EAF1">
        <w:rPr>
          <w:rFonts w:asciiTheme="minorHAnsi" w:hAnsiTheme="minorHAnsi"/>
        </w:rPr>
        <w:t>b</w:t>
      </w:r>
      <w:r w:rsidR="00B11F4E" w:rsidRPr="1916EAF1">
        <w:rPr>
          <w:rFonts w:asciiTheme="minorHAnsi" w:hAnsiTheme="minorHAnsi"/>
        </w:rPr>
        <w:t>)(</w:t>
      </w:r>
      <w:r w:rsidR="00A64F55" w:rsidRPr="1916EAF1">
        <w:rPr>
          <w:rFonts w:asciiTheme="minorHAnsi" w:hAnsiTheme="minorHAnsi"/>
        </w:rPr>
        <w:t>2</w:t>
      </w:r>
      <w:r w:rsidR="00B11F4E" w:rsidRPr="1916EAF1">
        <w:rPr>
          <w:rFonts w:asciiTheme="minorHAnsi" w:hAnsiTheme="minorHAnsi"/>
        </w:rPr>
        <w:t>)</w:t>
      </w:r>
      <w:r w:rsidR="00A64F55" w:rsidRPr="1916EAF1">
        <w:rPr>
          <w:rFonts w:asciiTheme="minorHAnsi" w:hAnsiTheme="minorHAnsi"/>
        </w:rPr>
        <w:t>(a)</w:t>
      </w:r>
      <w:r w:rsidR="00B11F4E" w:rsidRPr="1916EAF1">
        <w:rPr>
          <w:rFonts w:asciiTheme="minorHAnsi" w:hAnsiTheme="minorHAnsi"/>
        </w:rPr>
        <w:t>, the</w:t>
      </w:r>
      <w:r w:rsidR="005D3286" w:rsidRPr="1916EAF1">
        <w:rPr>
          <w:rFonts w:asciiTheme="minorHAnsi" w:hAnsiTheme="minorHAnsi"/>
        </w:rPr>
        <w:t xml:space="preserve"> Center</w:t>
      </w:r>
      <w:r w:rsidR="00B11F4E" w:rsidRPr="1916EAF1">
        <w:rPr>
          <w:rFonts w:asciiTheme="minorHAnsi" w:hAnsiTheme="minorHAnsi"/>
        </w:rPr>
        <w:t xml:space="preserve"> </w:t>
      </w:r>
      <w:r w:rsidR="00EA752E" w:rsidRPr="1916EAF1">
        <w:rPr>
          <w:rFonts w:asciiTheme="minorHAnsi" w:hAnsiTheme="minorHAnsi"/>
        </w:rPr>
        <w:t>is a joint venture between Emerson Hospital</w:t>
      </w:r>
      <w:r w:rsidR="0090275E">
        <w:rPr>
          <w:rFonts w:asciiTheme="minorHAnsi" w:hAnsiTheme="minorHAnsi"/>
        </w:rPr>
        <w:t xml:space="preserve"> (75% ownership interest)</w:t>
      </w:r>
      <w:r w:rsidR="00EA752E" w:rsidRPr="1916EAF1">
        <w:rPr>
          <w:rFonts w:asciiTheme="minorHAnsi" w:hAnsiTheme="minorHAnsi"/>
        </w:rPr>
        <w:t>, in Concord, MA and Physicians Endoscopy, LLC</w:t>
      </w:r>
      <w:r w:rsidR="0090275E">
        <w:rPr>
          <w:rFonts w:asciiTheme="minorHAnsi" w:hAnsiTheme="minorHAnsi"/>
        </w:rPr>
        <w:t xml:space="preserve"> (25% ownership interest)</w:t>
      </w:r>
      <w:r w:rsidR="00EA752E" w:rsidRPr="1916EAF1">
        <w:rPr>
          <w:rFonts w:asciiTheme="minorHAnsi" w:hAnsiTheme="minorHAnsi"/>
        </w:rPr>
        <w:t xml:space="preserve">, a national development and management company for gastroenterology medicine. </w:t>
      </w:r>
      <w:r w:rsidR="001E7EB4">
        <w:rPr>
          <w:rFonts w:asciiTheme="minorHAnsi" w:hAnsiTheme="minorHAnsi"/>
        </w:rPr>
        <w:t>Emerson Hospital is part of Emerson Health</w:t>
      </w:r>
      <w:r w:rsidR="003D525E">
        <w:rPr>
          <w:rFonts w:asciiTheme="minorHAnsi" w:hAnsiTheme="minorHAnsi"/>
        </w:rPr>
        <w:t xml:space="preserve">, a regional health system </w:t>
      </w:r>
      <w:r w:rsidR="00AF37EC">
        <w:rPr>
          <w:rFonts w:asciiTheme="minorHAnsi" w:hAnsiTheme="minorHAnsi"/>
        </w:rPr>
        <w:t>delivering</w:t>
      </w:r>
      <w:r w:rsidR="00BF4D14">
        <w:rPr>
          <w:rFonts w:asciiTheme="minorHAnsi" w:hAnsiTheme="minorHAnsi"/>
        </w:rPr>
        <w:t xml:space="preserve"> primary and specialty care</w:t>
      </w:r>
      <w:r w:rsidR="00747A64">
        <w:rPr>
          <w:rFonts w:asciiTheme="minorHAnsi" w:hAnsiTheme="minorHAnsi"/>
        </w:rPr>
        <w:t xml:space="preserve"> throughout the region</w:t>
      </w:r>
      <w:r w:rsidR="00942B17">
        <w:rPr>
          <w:rFonts w:asciiTheme="minorHAnsi" w:hAnsiTheme="minorHAnsi"/>
        </w:rPr>
        <w:t>.</w:t>
      </w:r>
      <w:r w:rsidR="009666A5">
        <w:rPr>
          <w:rFonts w:asciiTheme="minorHAnsi" w:hAnsiTheme="minorHAnsi"/>
        </w:rPr>
        <w:t xml:space="preserve"> </w:t>
      </w:r>
      <w:r w:rsidR="00E3028D">
        <w:rPr>
          <w:rFonts w:asciiTheme="minorHAnsi" w:hAnsiTheme="minorHAnsi"/>
        </w:rPr>
        <w:t>Emerson Health includes Emerson Hospital, Radiation Oncology Center Mgt. Co. LLC, Shield</w:t>
      </w:r>
      <w:r w:rsidR="00AF29F1">
        <w:rPr>
          <w:rFonts w:asciiTheme="minorHAnsi" w:hAnsiTheme="minorHAnsi"/>
        </w:rPr>
        <w:t>s</w:t>
      </w:r>
      <w:r w:rsidR="00E3028D">
        <w:rPr>
          <w:rFonts w:asciiTheme="minorHAnsi" w:hAnsiTheme="minorHAnsi"/>
        </w:rPr>
        <w:t xml:space="preserve"> Imaging Management at Emerson Hospital, LLC, Shields PET-CT at Emerson Hospital, LLC</w:t>
      </w:r>
      <w:r w:rsidR="00B21B41">
        <w:rPr>
          <w:rFonts w:asciiTheme="minorHAnsi" w:hAnsiTheme="minorHAnsi"/>
        </w:rPr>
        <w:t xml:space="preserve">, Emerson Endoscopy and Digestive Health Center, LLC, and Emerson Physician Hospital Organization, a </w:t>
      </w:r>
      <w:r w:rsidR="00A747BF">
        <w:rPr>
          <w:rFonts w:asciiTheme="minorHAnsi" w:hAnsiTheme="minorHAnsi"/>
        </w:rPr>
        <w:t xml:space="preserve">50/50 joint venture with Emerson </w:t>
      </w:r>
      <w:r w:rsidR="00D57746">
        <w:rPr>
          <w:rFonts w:asciiTheme="minorHAnsi" w:hAnsiTheme="minorHAnsi"/>
        </w:rPr>
        <w:t>Independent Physician Associates (</w:t>
      </w:r>
      <w:r w:rsidR="00A747BF">
        <w:rPr>
          <w:rFonts w:asciiTheme="minorHAnsi" w:hAnsiTheme="minorHAnsi"/>
        </w:rPr>
        <w:t>IPA</w:t>
      </w:r>
      <w:r w:rsidR="007A1817">
        <w:rPr>
          <w:rFonts w:asciiTheme="minorHAnsi" w:hAnsiTheme="minorHAnsi"/>
        </w:rPr>
        <w:t>)</w:t>
      </w:r>
      <w:r w:rsidR="00A747BF">
        <w:rPr>
          <w:rFonts w:asciiTheme="minorHAnsi" w:hAnsiTheme="minorHAnsi"/>
        </w:rPr>
        <w:t xml:space="preserve">. </w:t>
      </w:r>
      <w:r w:rsidR="001C5646" w:rsidRPr="1916EAF1">
        <w:rPr>
          <w:rFonts w:asciiTheme="minorHAnsi" w:hAnsiTheme="minorHAnsi"/>
        </w:rPr>
        <w:t xml:space="preserve">The Center </w:t>
      </w:r>
      <w:r w:rsidR="00CC5074" w:rsidRPr="1916EAF1">
        <w:rPr>
          <w:rFonts w:asciiTheme="minorHAnsi" w:hAnsiTheme="minorHAnsi"/>
        </w:rPr>
        <w:t>opened in April 2022</w:t>
      </w:r>
      <w:r w:rsidR="00255641" w:rsidRPr="1916EAF1">
        <w:rPr>
          <w:rFonts w:asciiTheme="minorHAnsi" w:hAnsiTheme="minorHAnsi"/>
        </w:rPr>
        <w:t xml:space="preserve"> and </w:t>
      </w:r>
      <w:r w:rsidR="00F05068" w:rsidRPr="1916EAF1">
        <w:rPr>
          <w:rFonts w:asciiTheme="minorHAnsi" w:hAnsiTheme="minorHAnsi"/>
        </w:rPr>
        <w:t xml:space="preserve">is licensed by the Department of Public Health (Department) </w:t>
      </w:r>
      <w:r w:rsidR="00465ADE" w:rsidRPr="1916EAF1">
        <w:rPr>
          <w:rFonts w:asciiTheme="minorHAnsi" w:hAnsiTheme="minorHAnsi"/>
        </w:rPr>
        <w:t xml:space="preserve">and </w:t>
      </w:r>
      <w:r w:rsidR="00F05068" w:rsidRPr="1916EAF1">
        <w:rPr>
          <w:rFonts w:asciiTheme="minorHAnsi" w:hAnsiTheme="minorHAnsi"/>
        </w:rPr>
        <w:t>certified by the Centers for Medicare and Medicaid Services</w:t>
      </w:r>
      <w:r w:rsidR="00A417CE" w:rsidRPr="1916EAF1">
        <w:rPr>
          <w:rFonts w:asciiTheme="minorHAnsi" w:hAnsiTheme="minorHAnsi"/>
        </w:rPr>
        <w:t xml:space="preserve"> (CMS)</w:t>
      </w:r>
      <w:r w:rsidR="00F05068" w:rsidRPr="1916EAF1">
        <w:rPr>
          <w:rFonts w:asciiTheme="minorHAnsi" w:hAnsiTheme="minorHAnsi"/>
        </w:rPr>
        <w:t xml:space="preserve">. </w:t>
      </w:r>
      <w:r w:rsidR="001C5646" w:rsidRPr="1916EAF1">
        <w:rPr>
          <w:rFonts w:asciiTheme="minorHAnsi" w:hAnsiTheme="minorHAnsi"/>
        </w:rPr>
        <w:t>The Center</w:t>
      </w:r>
      <w:r w:rsidR="004D6240" w:rsidRPr="1916EAF1">
        <w:rPr>
          <w:rFonts w:asciiTheme="minorHAnsi" w:hAnsiTheme="minorHAnsi"/>
        </w:rPr>
        <w:t xml:space="preserve"> is a participating MassHealth provider, and a member of Mass General Brigham’s Accountable Care Organization. </w:t>
      </w:r>
    </w:p>
    <w:p w14:paraId="563F07B2" w14:textId="77777777" w:rsidR="00D76DC2" w:rsidRDefault="00D76DC2" w:rsidP="00C316C3">
      <w:pPr>
        <w:pStyle w:val="BodyText"/>
        <w:rPr>
          <w:rFonts w:asciiTheme="minorHAnsi" w:hAnsiTheme="minorHAnsi"/>
        </w:rPr>
      </w:pPr>
    </w:p>
    <w:p w14:paraId="38015343" w14:textId="3FF28758" w:rsidR="00B447F3" w:rsidRDefault="00A4110F" w:rsidP="00C316C3">
      <w:pPr>
        <w:pStyle w:val="BodyText"/>
        <w:rPr>
          <w:b/>
          <w:bCs/>
        </w:rPr>
      </w:pPr>
      <w:r w:rsidRPr="003708FC">
        <w:rPr>
          <w:b/>
          <w:bCs/>
        </w:rPr>
        <w:t>Application Overview</w:t>
      </w:r>
    </w:p>
    <w:p w14:paraId="4E37D0D6" w14:textId="0CF52A74" w:rsidR="007B611F" w:rsidRPr="00CE5698" w:rsidRDefault="00CE5698" w:rsidP="00C316C3">
      <w:pPr>
        <w:pStyle w:val="BodyText"/>
      </w:pPr>
      <w:r>
        <w:t xml:space="preserve">The Applicant is proposing to expand the number of procedure rooms and pre/post operative bays at </w:t>
      </w:r>
      <w:r w:rsidR="001C5646">
        <w:t>the Center</w:t>
      </w:r>
      <w:r w:rsidR="00B60EFE">
        <w:t xml:space="preserve"> to</w:t>
      </w:r>
      <w:r w:rsidR="00BC5C36">
        <w:t xml:space="preserve"> “ensure the Center has adequate capacity to provide the Patient Panel with timely access to </w:t>
      </w:r>
      <w:r w:rsidR="00D13698">
        <w:t>endoscopy services”</w:t>
      </w:r>
      <w:r w:rsidR="00226F04">
        <w:t xml:space="preserve"> in</w:t>
      </w:r>
      <w:r w:rsidR="00AE515E">
        <w:t xml:space="preserve"> the most appropriate and accessible care setting</w:t>
      </w:r>
      <w:r w:rsidR="007C5CAE">
        <w:t xml:space="preserve">. </w:t>
      </w:r>
      <w:r>
        <w:t xml:space="preserve">Table 1 provides an overview of the Proposed Project. </w:t>
      </w:r>
    </w:p>
    <w:p w14:paraId="4BCD269E" w14:textId="77777777" w:rsidR="00CE5698" w:rsidRDefault="00CE5698" w:rsidP="00C316C3">
      <w:pPr>
        <w:pStyle w:val="BodyText"/>
        <w:rPr>
          <w:b/>
          <w:bCs/>
        </w:rPr>
      </w:pPr>
    </w:p>
    <w:p w14:paraId="74F50692" w14:textId="6BF13B30" w:rsidR="007B611F" w:rsidRDefault="00A94CC8" w:rsidP="00C316C3">
      <w:pPr>
        <w:pStyle w:val="BodyText"/>
        <w:rPr>
          <w:b/>
          <w:bCs/>
        </w:rPr>
      </w:pPr>
      <w:r w:rsidRPr="00A94CC8">
        <w:rPr>
          <w:b/>
          <w:bCs/>
          <w:u w:val="single"/>
        </w:rPr>
        <w:t>Table 1</w:t>
      </w:r>
      <w:r>
        <w:rPr>
          <w:b/>
          <w:bCs/>
        </w:rPr>
        <w:t xml:space="preserve">: Overview of Proposed Project </w:t>
      </w:r>
      <w:r w:rsidR="00260EC4">
        <w:rPr>
          <w:b/>
          <w:bCs/>
        </w:rPr>
        <w:t xml:space="preserve">at </w:t>
      </w:r>
      <w:r w:rsidR="007C5516">
        <w:rPr>
          <w:b/>
          <w:bCs/>
        </w:rPr>
        <w:t>T</w:t>
      </w:r>
      <w:r w:rsidR="00260EC4">
        <w:rPr>
          <w:b/>
          <w:bCs/>
        </w:rPr>
        <w:t xml:space="preserve">he Center </w:t>
      </w:r>
    </w:p>
    <w:tbl>
      <w:tblPr>
        <w:tblStyle w:val="TableGrid"/>
        <w:tblW w:w="5894" w:type="dxa"/>
        <w:tblLook w:val="04A0" w:firstRow="1" w:lastRow="0" w:firstColumn="1" w:lastColumn="0" w:noHBand="0" w:noVBand="1"/>
      </w:tblPr>
      <w:tblGrid>
        <w:gridCol w:w="2134"/>
        <w:gridCol w:w="976"/>
        <w:gridCol w:w="1183"/>
        <w:gridCol w:w="1601"/>
      </w:tblGrid>
      <w:tr w:rsidR="00AB79DD" w14:paraId="270F5047" w14:textId="77777777" w:rsidTr="00C71B1F">
        <w:tc>
          <w:tcPr>
            <w:tcW w:w="2504" w:type="dxa"/>
          </w:tcPr>
          <w:p w14:paraId="56550697" w14:textId="77777777" w:rsidR="00AB79DD" w:rsidRDefault="00AB79DD" w:rsidP="00C316C3">
            <w:pPr>
              <w:pStyle w:val="BodyText"/>
              <w:rPr>
                <w:rFonts w:asciiTheme="minorHAnsi" w:hAnsiTheme="minorHAnsi"/>
                <w:b/>
                <w:bCs/>
              </w:rPr>
            </w:pPr>
          </w:p>
        </w:tc>
        <w:tc>
          <w:tcPr>
            <w:tcW w:w="242" w:type="dxa"/>
            <w:shd w:val="clear" w:color="auto" w:fill="DBE5F1" w:themeFill="accent1" w:themeFillTint="33"/>
          </w:tcPr>
          <w:p w14:paraId="16EAA0D4" w14:textId="519EBF1F" w:rsidR="00AB79DD" w:rsidRDefault="00AB79DD" w:rsidP="00A94CC8">
            <w:pPr>
              <w:pStyle w:val="BodyText"/>
              <w:jc w:val="center"/>
              <w:rPr>
                <w:rFonts w:asciiTheme="minorHAnsi" w:hAnsiTheme="minorHAnsi"/>
                <w:b/>
                <w:bCs/>
              </w:rPr>
            </w:pPr>
            <w:r>
              <w:rPr>
                <w:rFonts w:asciiTheme="minorHAnsi" w:hAnsiTheme="minorHAnsi"/>
                <w:b/>
                <w:bCs/>
              </w:rPr>
              <w:t>Current</w:t>
            </w:r>
          </w:p>
        </w:tc>
        <w:tc>
          <w:tcPr>
            <w:tcW w:w="1191" w:type="dxa"/>
            <w:shd w:val="clear" w:color="auto" w:fill="DBE5F1" w:themeFill="accent1" w:themeFillTint="33"/>
          </w:tcPr>
          <w:p w14:paraId="4228B3EA" w14:textId="5216E58C" w:rsidR="00AB79DD" w:rsidRDefault="00AB79DD" w:rsidP="00A94CC8">
            <w:pPr>
              <w:pStyle w:val="BodyText"/>
              <w:jc w:val="center"/>
              <w:rPr>
                <w:rFonts w:asciiTheme="minorHAnsi" w:hAnsiTheme="minorHAnsi"/>
                <w:b/>
                <w:bCs/>
              </w:rPr>
            </w:pPr>
            <w:r>
              <w:rPr>
                <w:rFonts w:asciiTheme="minorHAnsi" w:hAnsiTheme="minorHAnsi"/>
                <w:b/>
                <w:bCs/>
              </w:rPr>
              <w:t>Proposed</w:t>
            </w:r>
          </w:p>
        </w:tc>
        <w:tc>
          <w:tcPr>
            <w:tcW w:w="1957" w:type="dxa"/>
            <w:shd w:val="clear" w:color="auto" w:fill="DBE5F1" w:themeFill="accent1" w:themeFillTint="33"/>
          </w:tcPr>
          <w:p w14:paraId="2E8AFC1D" w14:textId="2102B7C8" w:rsidR="00AB79DD" w:rsidRDefault="008B0FA2" w:rsidP="00A94CC8">
            <w:pPr>
              <w:pStyle w:val="BodyText"/>
              <w:jc w:val="center"/>
              <w:rPr>
                <w:rFonts w:asciiTheme="minorHAnsi" w:hAnsiTheme="minorHAnsi"/>
                <w:b/>
                <w:bCs/>
              </w:rPr>
            </w:pPr>
            <w:r>
              <w:rPr>
                <w:rFonts w:asciiTheme="minorHAnsi" w:hAnsiTheme="minorHAnsi"/>
                <w:b/>
                <w:bCs/>
              </w:rPr>
              <w:t>Total</w:t>
            </w:r>
          </w:p>
        </w:tc>
      </w:tr>
      <w:tr w:rsidR="00AB79DD" w14:paraId="54A3F033" w14:textId="77777777" w:rsidTr="00C71B1F">
        <w:tc>
          <w:tcPr>
            <w:tcW w:w="2504" w:type="dxa"/>
          </w:tcPr>
          <w:p w14:paraId="1187689F" w14:textId="34E6A19E" w:rsidR="00AB79DD" w:rsidRPr="00A94CC8" w:rsidRDefault="00AB79DD" w:rsidP="00C316C3">
            <w:pPr>
              <w:pStyle w:val="BodyText"/>
              <w:rPr>
                <w:rFonts w:asciiTheme="minorHAnsi" w:hAnsiTheme="minorHAnsi"/>
              </w:rPr>
            </w:pPr>
            <w:r w:rsidRPr="00A94CC8">
              <w:rPr>
                <w:rFonts w:asciiTheme="minorHAnsi" w:hAnsiTheme="minorHAnsi"/>
              </w:rPr>
              <w:t>Procedure Rooms</w:t>
            </w:r>
          </w:p>
        </w:tc>
        <w:tc>
          <w:tcPr>
            <w:tcW w:w="242" w:type="dxa"/>
          </w:tcPr>
          <w:p w14:paraId="12C5516A" w14:textId="051FE507" w:rsidR="00AB79DD" w:rsidRPr="00A94CC8" w:rsidRDefault="00AB79DD" w:rsidP="00A94CC8">
            <w:pPr>
              <w:pStyle w:val="BodyText"/>
              <w:jc w:val="center"/>
              <w:rPr>
                <w:rFonts w:asciiTheme="minorHAnsi" w:hAnsiTheme="minorHAnsi"/>
              </w:rPr>
            </w:pPr>
            <w:r w:rsidRPr="00A94CC8">
              <w:rPr>
                <w:rFonts w:asciiTheme="minorHAnsi" w:hAnsiTheme="minorHAnsi"/>
              </w:rPr>
              <w:t>2</w:t>
            </w:r>
          </w:p>
        </w:tc>
        <w:tc>
          <w:tcPr>
            <w:tcW w:w="1191" w:type="dxa"/>
          </w:tcPr>
          <w:p w14:paraId="36D10515" w14:textId="67F58F7C" w:rsidR="00AB79DD" w:rsidRPr="00A94CC8" w:rsidRDefault="00AB79DD" w:rsidP="00A94CC8">
            <w:pPr>
              <w:pStyle w:val="BodyText"/>
              <w:jc w:val="center"/>
              <w:rPr>
                <w:rFonts w:asciiTheme="minorHAnsi" w:hAnsiTheme="minorHAnsi"/>
              </w:rPr>
            </w:pPr>
            <w:r w:rsidRPr="00A94CC8">
              <w:rPr>
                <w:rFonts w:asciiTheme="minorHAnsi" w:hAnsiTheme="minorHAnsi"/>
              </w:rPr>
              <w:t>+1</w:t>
            </w:r>
          </w:p>
        </w:tc>
        <w:tc>
          <w:tcPr>
            <w:tcW w:w="1957" w:type="dxa"/>
          </w:tcPr>
          <w:p w14:paraId="0BBCCB9A" w14:textId="528E761E" w:rsidR="00AB79DD" w:rsidRPr="00A94CC8" w:rsidRDefault="00AB79DD" w:rsidP="00A94CC8">
            <w:pPr>
              <w:pStyle w:val="BodyText"/>
              <w:jc w:val="center"/>
              <w:rPr>
                <w:rFonts w:asciiTheme="minorHAnsi" w:hAnsiTheme="minorHAnsi"/>
              </w:rPr>
            </w:pPr>
            <w:r w:rsidRPr="00A94CC8">
              <w:rPr>
                <w:rFonts w:asciiTheme="minorHAnsi" w:hAnsiTheme="minorHAnsi"/>
              </w:rPr>
              <w:t>3</w:t>
            </w:r>
          </w:p>
        </w:tc>
      </w:tr>
      <w:tr w:rsidR="00AB79DD" w14:paraId="71D0C708" w14:textId="77777777" w:rsidTr="00C71B1F">
        <w:tc>
          <w:tcPr>
            <w:tcW w:w="2504" w:type="dxa"/>
          </w:tcPr>
          <w:p w14:paraId="3042B0C4" w14:textId="0E2513C1" w:rsidR="00AB79DD" w:rsidRPr="00A94CC8" w:rsidRDefault="00AB79DD" w:rsidP="00C316C3">
            <w:pPr>
              <w:pStyle w:val="BodyText"/>
              <w:rPr>
                <w:rFonts w:asciiTheme="minorHAnsi" w:hAnsiTheme="minorHAnsi"/>
              </w:rPr>
            </w:pPr>
            <w:r w:rsidRPr="00A94CC8">
              <w:rPr>
                <w:rFonts w:asciiTheme="minorHAnsi" w:hAnsiTheme="minorHAnsi"/>
              </w:rPr>
              <w:t>Pre/Post Operative Bays</w:t>
            </w:r>
            <w:r w:rsidR="008C1B29">
              <w:rPr>
                <w:rStyle w:val="FootnoteReference"/>
                <w:rFonts w:asciiTheme="minorHAnsi" w:hAnsiTheme="minorHAnsi"/>
              </w:rPr>
              <w:footnoteReference w:id="2"/>
            </w:r>
            <w:r w:rsidRPr="00A94CC8">
              <w:rPr>
                <w:rFonts w:asciiTheme="minorHAnsi" w:hAnsiTheme="minorHAnsi"/>
              </w:rPr>
              <w:t xml:space="preserve"> </w:t>
            </w:r>
          </w:p>
        </w:tc>
        <w:tc>
          <w:tcPr>
            <w:tcW w:w="242" w:type="dxa"/>
          </w:tcPr>
          <w:p w14:paraId="098419AF" w14:textId="6CBF2AC2" w:rsidR="00AB79DD" w:rsidRPr="00A94CC8" w:rsidRDefault="00A94CC8" w:rsidP="00A94CC8">
            <w:pPr>
              <w:pStyle w:val="BodyText"/>
              <w:jc w:val="center"/>
              <w:rPr>
                <w:rFonts w:asciiTheme="minorHAnsi" w:hAnsiTheme="minorHAnsi"/>
              </w:rPr>
            </w:pPr>
            <w:r w:rsidRPr="00A94CC8">
              <w:rPr>
                <w:rFonts w:asciiTheme="minorHAnsi" w:hAnsiTheme="minorHAnsi"/>
              </w:rPr>
              <w:t>6</w:t>
            </w:r>
          </w:p>
        </w:tc>
        <w:tc>
          <w:tcPr>
            <w:tcW w:w="1191" w:type="dxa"/>
          </w:tcPr>
          <w:p w14:paraId="2BDA172E" w14:textId="10E7F7F6" w:rsidR="00AB79DD" w:rsidRPr="00A94CC8" w:rsidRDefault="00A94CC8" w:rsidP="00A94CC8">
            <w:pPr>
              <w:pStyle w:val="BodyText"/>
              <w:jc w:val="center"/>
              <w:rPr>
                <w:rFonts w:asciiTheme="minorHAnsi" w:hAnsiTheme="minorHAnsi"/>
              </w:rPr>
            </w:pPr>
            <w:r w:rsidRPr="00A94CC8">
              <w:rPr>
                <w:rFonts w:asciiTheme="minorHAnsi" w:hAnsiTheme="minorHAnsi"/>
              </w:rPr>
              <w:t>+3</w:t>
            </w:r>
          </w:p>
        </w:tc>
        <w:tc>
          <w:tcPr>
            <w:tcW w:w="1957" w:type="dxa"/>
          </w:tcPr>
          <w:p w14:paraId="68B819EC" w14:textId="2E20641F" w:rsidR="00AB79DD" w:rsidRPr="00A94CC8" w:rsidRDefault="00A94CC8" w:rsidP="00A94CC8">
            <w:pPr>
              <w:pStyle w:val="BodyText"/>
              <w:jc w:val="center"/>
              <w:rPr>
                <w:rFonts w:asciiTheme="minorHAnsi" w:hAnsiTheme="minorHAnsi"/>
              </w:rPr>
            </w:pPr>
            <w:r w:rsidRPr="00A94CC8">
              <w:rPr>
                <w:rFonts w:asciiTheme="minorHAnsi" w:hAnsiTheme="minorHAnsi"/>
              </w:rPr>
              <w:t>9</w:t>
            </w:r>
          </w:p>
        </w:tc>
      </w:tr>
    </w:tbl>
    <w:p w14:paraId="58F483E3" w14:textId="77777777" w:rsidR="007B611F" w:rsidRDefault="007B611F" w:rsidP="00C316C3">
      <w:pPr>
        <w:pStyle w:val="BodyText"/>
        <w:rPr>
          <w:rFonts w:asciiTheme="minorHAnsi" w:hAnsiTheme="minorHAnsi"/>
          <w:b/>
          <w:bCs/>
        </w:rPr>
      </w:pPr>
    </w:p>
    <w:p w14:paraId="35FBE578" w14:textId="0AB543FC" w:rsidR="00A64F55" w:rsidRPr="00B60EFE" w:rsidRDefault="00B60EFE" w:rsidP="00C316C3">
      <w:pPr>
        <w:pStyle w:val="BodyText"/>
        <w:rPr>
          <w:rFonts w:asciiTheme="minorHAnsi" w:hAnsiTheme="minorHAnsi"/>
        </w:rPr>
      </w:pPr>
      <w:r>
        <w:rPr>
          <w:rFonts w:asciiTheme="minorHAnsi" w:hAnsiTheme="minorHAnsi"/>
        </w:rPr>
        <w:t xml:space="preserve">The Applicant states that Patient Panel need for endoscopy services is </w:t>
      </w:r>
      <w:r w:rsidR="005157FA">
        <w:rPr>
          <w:rFonts w:asciiTheme="minorHAnsi" w:hAnsiTheme="minorHAnsi"/>
        </w:rPr>
        <w:t>increasing</w:t>
      </w:r>
      <w:r w:rsidR="00DA7C87">
        <w:rPr>
          <w:rFonts w:asciiTheme="minorHAnsi" w:hAnsiTheme="minorHAnsi"/>
        </w:rPr>
        <w:t xml:space="preserve"> as a result of</w:t>
      </w:r>
      <w:r>
        <w:rPr>
          <w:rFonts w:asciiTheme="minorHAnsi" w:hAnsiTheme="minorHAnsi"/>
        </w:rPr>
        <w:t xml:space="preserve"> </w:t>
      </w:r>
      <w:r w:rsidR="000F7CEB">
        <w:rPr>
          <w:rFonts w:asciiTheme="minorHAnsi" w:hAnsiTheme="minorHAnsi"/>
        </w:rPr>
        <w:t>a number of factors that include</w:t>
      </w:r>
      <w:r w:rsidR="00711589">
        <w:rPr>
          <w:rFonts w:asciiTheme="minorHAnsi" w:hAnsiTheme="minorHAnsi"/>
        </w:rPr>
        <w:t>:</w:t>
      </w:r>
      <w:r w:rsidR="000F7CEB">
        <w:rPr>
          <w:rFonts w:asciiTheme="minorHAnsi" w:hAnsiTheme="minorHAnsi"/>
        </w:rPr>
        <w:t xml:space="preserve"> </w:t>
      </w:r>
      <w:r w:rsidR="00DB460C">
        <w:rPr>
          <w:rFonts w:asciiTheme="minorHAnsi" w:hAnsiTheme="minorHAnsi"/>
        </w:rPr>
        <w:t>the recent closure of Nashoba Valley Medical Center</w:t>
      </w:r>
      <w:r w:rsidR="0021528C">
        <w:rPr>
          <w:rFonts w:asciiTheme="minorHAnsi" w:hAnsiTheme="minorHAnsi"/>
        </w:rPr>
        <w:t xml:space="preserve"> (NVMC)</w:t>
      </w:r>
      <w:r w:rsidR="00DB460C">
        <w:rPr>
          <w:rFonts w:asciiTheme="minorHAnsi" w:hAnsiTheme="minorHAnsi"/>
        </w:rPr>
        <w:t xml:space="preserve"> in Ayer</w:t>
      </w:r>
      <w:r w:rsidR="00291ADC">
        <w:rPr>
          <w:rFonts w:asciiTheme="minorHAnsi" w:hAnsiTheme="minorHAnsi"/>
        </w:rPr>
        <w:t>;</w:t>
      </w:r>
      <w:r w:rsidR="00DB460C">
        <w:rPr>
          <w:rFonts w:asciiTheme="minorHAnsi" w:hAnsiTheme="minorHAnsi"/>
        </w:rPr>
        <w:t xml:space="preserve"> </w:t>
      </w:r>
      <w:r w:rsidR="0021528C">
        <w:rPr>
          <w:rFonts w:asciiTheme="minorHAnsi" w:hAnsiTheme="minorHAnsi"/>
        </w:rPr>
        <w:t xml:space="preserve">current </w:t>
      </w:r>
      <w:r w:rsidR="008F7BEE">
        <w:rPr>
          <w:rFonts w:asciiTheme="minorHAnsi" w:hAnsiTheme="minorHAnsi"/>
        </w:rPr>
        <w:t xml:space="preserve">colorectal cancer (CRC) </w:t>
      </w:r>
      <w:r w:rsidR="00DB460C">
        <w:rPr>
          <w:rFonts w:asciiTheme="minorHAnsi" w:hAnsiTheme="minorHAnsi"/>
        </w:rPr>
        <w:t>screening recommendations</w:t>
      </w:r>
      <w:r w:rsidR="009C1DD1">
        <w:rPr>
          <w:rFonts w:asciiTheme="minorHAnsi" w:hAnsiTheme="minorHAnsi"/>
        </w:rPr>
        <w:t xml:space="preserve"> and higher incidence of CRC among adults under age 50</w:t>
      </w:r>
      <w:r w:rsidR="006B0C3E">
        <w:rPr>
          <w:rFonts w:asciiTheme="minorHAnsi" w:hAnsiTheme="minorHAnsi"/>
        </w:rPr>
        <w:t xml:space="preserve">; new referrals </w:t>
      </w:r>
      <w:r w:rsidR="00A00A0F">
        <w:rPr>
          <w:rFonts w:asciiTheme="minorHAnsi" w:hAnsiTheme="minorHAnsi"/>
        </w:rPr>
        <w:t xml:space="preserve">from </w:t>
      </w:r>
      <w:r w:rsidR="006B0C3E">
        <w:rPr>
          <w:rFonts w:asciiTheme="minorHAnsi" w:hAnsiTheme="minorHAnsi"/>
        </w:rPr>
        <w:t>Atrius Health, Emerson Hospital’s clinical affiliate</w:t>
      </w:r>
      <w:r w:rsidR="00614CCA">
        <w:rPr>
          <w:rFonts w:asciiTheme="minorHAnsi" w:hAnsiTheme="minorHAnsi"/>
        </w:rPr>
        <w:t>;</w:t>
      </w:r>
      <w:r w:rsidR="00DB460C">
        <w:rPr>
          <w:rFonts w:asciiTheme="minorHAnsi" w:hAnsiTheme="minorHAnsi"/>
        </w:rPr>
        <w:t xml:space="preserve"> and projected</w:t>
      </w:r>
      <w:r w:rsidR="00A00A0F">
        <w:rPr>
          <w:rFonts w:asciiTheme="minorHAnsi" w:hAnsiTheme="minorHAnsi"/>
        </w:rPr>
        <w:t xml:space="preserve"> population</w:t>
      </w:r>
      <w:r w:rsidR="00DB460C">
        <w:rPr>
          <w:rFonts w:asciiTheme="minorHAnsi" w:hAnsiTheme="minorHAnsi"/>
        </w:rPr>
        <w:t xml:space="preserve"> growth in </w:t>
      </w:r>
      <w:r w:rsidR="00260EC4">
        <w:rPr>
          <w:rFonts w:asciiTheme="minorHAnsi" w:hAnsiTheme="minorHAnsi"/>
        </w:rPr>
        <w:t>the Center’s</w:t>
      </w:r>
      <w:r w:rsidR="00DB460C">
        <w:rPr>
          <w:rFonts w:asciiTheme="minorHAnsi" w:hAnsiTheme="minorHAnsi"/>
        </w:rPr>
        <w:t xml:space="preserve"> service area, specifically among the </w:t>
      </w:r>
      <w:r w:rsidR="00324988">
        <w:rPr>
          <w:rFonts w:asciiTheme="minorHAnsi" w:hAnsiTheme="minorHAnsi"/>
        </w:rPr>
        <w:t xml:space="preserve">aged </w:t>
      </w:r>
      <w:r w:rsidR="00DB460C">
        <w:rPr>
          <w:rFonts w:asciiTheme="minorHAnsi" w:hAnsiTheme="minorHAnsi"/>
        </w:rPr>
        <w:t xml:space="preserve">45 to 75 </w:t>
      </w:r>
      <w:r w:rsidR="00324988">
        <w:rPr>
          <w:rFonts w:asciiTheme="minorHAnsi" w:hAnsiTheme="minorHAnsi"/>
        </w:rPr>
        <w:t>population</w:t>
      </w:r>
      <w:r w:rsidR="00DB460C">
        <w:rPr>
          <w:rFonts w:asciiTheme="minorHAnsi" w:hAnsiTheme="minorHAnsi"/>
        </w:rPr>
        <w:t xml:space="preserve">. The Applicant asserts that the </w:t>
      </w:r>
      <w:r w:rsidR="009F494F">
        <w:rPr>
          <w:rFonts w:asciiTheme="minorHAnsi" w:hAnsiTheme="minorHAnsi"/>
        </w:rPr>
        <w:t xml:space="preserve">Proposed Project </w:t>
      </w:r>
      <w:r w:rsidR="00321E23">
        <w:rPr>
          <w:rFonts w:asciiTheme="minorHAnsi" w:hAnsiTheme="minorHAnsi"/>
        </w:rPr>
        <w:t xml:space="preserve">supports </w:t>
      </w:r>
      <w:r w:rsidR="00DB460C">
        <w:rPr>
          <w:rFonts w:asciiTheme="minorHAnsi" w:hAnsiTheme="minorHAnsi"/>
        </w:rPr>
        <w:t xml:space="preserve">adequate capacity </w:t>
      </w:r>
      <w:r w:rsidR="00104E52">
        <w:rPr>
          <w:rFonts w:asciiTheme="minorHAnsi" w:hAnsiTheme="minorHAnsi"/>
        </w:rPr>
        <w:t xml:space="preserve">to provide </w:t>
      </w:r>
      <w:r w:rsidR="003D333B">
        <w:rPr>
          <w:rFonts w:asciiTheme="minorHAnsi" w:hAnsiTheme="minorHAnsi"/>
        </w:rPr>
        <w:t>timely</w:t>
      </w:r>
      <w:r w:rsidR="00DB460C">
        <w:rPr>
          <w:rFonts w:asciiTheme="minorHAnsi" w:hAnsiTheme="minorHAnsi"/>
        </w:rPr>
        <w:t xml:space="preserve"> access to preventative care in the community</w:t>
      </w:r>
      <w:r w:rsidR="00EB5332">
        <w:rPr>
          <w:rFonts w:asciiTheme="minorHAnsi" w:hAnsiTheme="minorHAnsi"/>
        </w:rPr>
        <w:t xml:space="preserve"> allowing for </w:t>
      </w:r>
      <w:r w:rsidR="00174CAA">
        <w:rPr>
          <w:rFonts w:asciiTheme="minorHAnsi" w:hAnsiTheme="minorHAnsi"/>
        </w:rPr>
        <w:t xml:space="preserve">early diagnosis and treatment. </w:t>
      </w:r>
    </w:p>
    <w:p w14:paraId="7E303CA2" w14:textId="77777777" w:rsidR="00A87F8B" w:rsidRDefault="00A87F8B" w:rsidP="00A87F8B">
      <w:pPr>
        <w:rPr>
          <w:b/>
          <w:bCs/>
        </w:rPr>
      </w:pPr>
    </w:p>
    <w:p w14:paraId="13A627BA" w14:textId="78D628CF" w:rsidR="00B95EA4" w:rsidRDefault="00A4110F" w:rsidP="00C776B7">
      <w:pPr>
        <w:pStyle w:val="Heading1"/>
        <w:ind w:left="0"/>
        <w:rPr>
          <w:color w:val="1F497D" w:themeColor="text2"/>
        </w:rPr>
      </w:pPr>
      <w:bookmarkStart w:id="2" w:name="_Toc207953793"/>
      <w:r w:rsidRPr="00C776B7">
        <w:rPr>
          <w:color w:val="1F497D" w:themeColor="text2"/>
        </w:rPr>
        <w:lastRenderedPageBreak/>
        <w:t>Patient Panel</w:t>
      </w:r>
      <w:r w:rsidR="00B95EA4">
        <w:rPr>
          <w:rStyle w:val="FootnoteReference"/>
          <w:rFonts w:asciiTheme="minorHAnsi" w:hAnsiTheme="minorHAnsi"/>
          <w:color w:val="42558C"/>
        </w:rPr>
        <w:footnoteReference w:id="3"/>
      </w:r>
      <w:bookmarkEnd w:id="2"/>
    </w:p>
    <w:p w14:paraId="6155046B" w14:textId="3E094313" w:rsidR="00FD0171" w:rsidRDefault="00FD0171" w:rsidP="00283665">
      <w:r>
        <w:t>Table 2 includes three calendar years (CYs), 2022</w:t>
      </w:r>
      <w:r w:rsidR="00C3039B">
        <w:t xml:space="preserve"> to </w:t>
      </w:r>
      <w:r>
        <w:t>2024, of the Applicant’s Patient Panel.</w:t>
      </w:r>
      <w:r w:rsidR="00B9307B">
        <w:rPr>
          <w:rStyle w:val="FootnoteReference"/>
        </w:rPr>
        <w:footnoteReference w:id="4"/>
      </w:r>
      <w:r>
        <w:t xml:space="preserve"> The Applicant’s Patient Panel increased by 1</w:t>
      </w:r>
      <w:r w:rsidR="0036100F">
        <w:t>97</w:t>
      </w:r>
      <w:r>
        <w:t>% from 2022</w:t>
      </w:r>
      <w:r w:rsidR="00D51251">
        <w:t>, the first year of operation,</w:t>
      </w:r>
      <w:r>
        <w:t xml:space="preserve"> to 2024.</w:t>
      </w:r>
      <w:r w:rsidR="00E53921">
        <w:t xml:space="preserve"> The Applicant</w:t>
      </w:r>
      <w:r w:rsidR="00136E9F">
        <w:t xml:space="preserve"> states that 90.1% or 4,354 patients seen at the Center in 2024, were patients of Emerson Hospital. </w:t>
      </w:r>
    </w:p>
    <w:p w14:paraId="22B5BDA4" w14:textId="00013B37" w:rsidR="00FD0171" w:rsidRDefault="00FD0171" w:rsidP="00283665"/>
    <w:p w14:paraId="7BC41D26" w14:textId="3A4C4C67" w:rsidR="00FD0171" w:rsidRPr="00A965B5" w:rsidRDefault="00FD0171" w:rsidP="00283665">
      <w:pPr>
        <w:rPr>
          <w:b/>
          <w:bCs/>
        </w:rPr>
      </w:pPr>
      <w:r w:rsidRPr="00A965B5">
        <w:rPr>
          <w:b/>
          <w:bCs/>
          <w:u w:val="single"/>
        </w:rPr>
        <w:t>Table 2</w:t>
      </w:r>
      <w:r w:rsidRPr="00A965B5">
        <w:rPr>
          <w:b/>
          <w:bCs/>
        </w:rPr>
        <w:t>:</w:t>
      </w:r>
      <w:r w:rsidR="00C42800">
        <w:rPr>
          <w:b/>
          <w:bCs/>
        </w:rPr>
        <w:t xml:space="preserve"> </w:t>
      </w:r>
      <w:r w:rsidR="00D215DB">
        <w:rPr>
          <w:b/>
          <w:bCs/>
        </w:rPr>
        <w:t>EDHC</w:t>
      </w:r>
      <w:r w:rsidRPr="00A965B5">
        <w:rPr>
          <w:b/>
          <w:bCs/>
        </w:rPr>
        <w:t xml:space="preserve"> Patient Panel, 2022 to 2024</w:t>
      </w:r>
    </w:p>
    <w:tbl>
      <w:tblPr>
        <w:tblStyle w:val="TableGrid"/>
        <w:tblW w:w="6115" w:type="dxa"/>
        <w:tblLook w:val="04A0" w:firstRow="1" w:lastRow="0" w:firstColumn="1" w:lastColumn="0" w:noHBand="0" w:noVBand="1"/>
      </w:tblPr>
      <w:tblGrid>
        <w:gridCol w:w="1810"/>
        <w:gridCol w:w="900"/>
        <w:gridCol w:w="855"/>
        <w:gridCol w:w="825"/>
        <w:gridCol w:w="1725"/>
      </w:tblGrid>
      <w:tr w:rsidR="00FD0171" w14:paraId="140D699F" w14:textId="02470BCC" w:rsidTr="00C71B1F">
        <w:tc>
          <w:tcPr>
            <w:tcW w:w="1810" w:type="dxa"/>
          </w:tcPr>
          <w:p w14:paraId="428E5D42" w14:textId="77777777" w:rsidR="00FD0171" w:rsidRDefault="00FD0171" w:rsidP="00283665"/>
        </w:tc>
        <w:tc>
          <w:tcPr>
            <w:tcW w:w="900" w:type="dxa"/>
            <w:shd w:val="clear" w:color="auto" w:fill="DBE5F1" w:themeFill="accent1" w:themeFillTint="33"/>
          </w:tcPr>
          <w:p w14:paraId="6A9C7CEC" w14:textId="61E0FE29" w:rsidR="00FD0171" w:rsidRPr="00820D83" w:rsidRDefault="00FD0171" w:rsidP="00A965B5">
            <w:pPr>
              <w:jc w:val="center"/>
              <w:rPr>
                <w:b/>
                <w:bCs/>
              </w:rPr>
            </w:pPr>
            <w:r w:rsidRPr="00820D83">
              <w:rPr>
                <w:b/>
                <w:bCs/>
              </w:rPr>
              <w:t>2022</w:t>
            </w:r>
          </w:p>
        </w:tc>
        <w:tc>
          <w:tcPr>
            <w:tcW w:w="855" w:type="dxa"/>
            <w:shd w:val="clear" w:color="auto" w:fill="DBE5F1" w:themeFill="accent1" w:themeFillTint="33"/>
          </w:tcPr>
          <w:p w14:paraId="107162AC" w14:textId="1C73A247" w:rsidR="00FD0171" w:rsidRPr="00820D83" w:rsidRDefault="00FD0171" w:rsidP="00A965B5">
            <w:pPr>
              <w:jc w:val="center"/>
              <w:rPr>
                <w:b/>
                <w:bCs/>
              </w:rPr>
            </w:pPr>
            <w:r w:rsidRPr="00820D83">
              <w:rPr>
                <w:b/>
                <w:bCs/>
              </w:rPr>
              <w:t>2023</w:t>
            </w:r>
          </w:p>
        </w:tc>
        <w:tc>
          <w:tcPr>
            <w:tcW w:w="825" w:type="dxa"/>
            <w:shd w:val="clear" w:color="auto" w:fill="DBE5F1" w:themeFill="accent1" w:themeFillTint="33"/>
          </w:tcPr>
          <w:p w14:paraId="68E31A67" w14:textId="4E72D124" w:rsidR="00FD0171" w:rsidRPr="00820D83" w:rsidRDefault="00FD0171" w:rsidP="00A965B5">
            <w:pPr>
              <w:jc w:val="center"/>
              <w:rPr>
                <w:b/>
                <w:bCs/>
              </w:rPr>
            </w:pPr>
            <w:r w:rsidRPr="00820D83">
              <w:rPr>
                <w:b/>
                <w:bCs/>
              </w:rPr>
              <w:t>2024</w:t>
            </w:r>
          </w:p>
        </w:tc>
        <w:tc>
          <w:tcPr>
            <w:tcW w:w="1725" w:type="dxa"/>
            <w:shd w:val="clear" w:color="auto" w:fill="DBE5F1" w:themeFill="accent1" w:themeFillTint="33"/>
          </w:tcPr>
          <w:p w14:paraId="5E039E57" w14:textId="77777777" w:rsidR="00FD0171" w:rsidRDefault="00FD0171" w:rsidP="00A965B5">
            <w:pPr>
              <w:jc w:val="center"/>
              <w:rPr>
                <w:b/>
                <w:bCs/>
              </w:rPr>
            </w:pPr>
            <w:r>
              <w:rPr>
                <w:b/>
                <w:bCs/>
              </w:rPr>
              <w:t>% Change</w:t>
            </w:r>
          </w:p>
          <w:p w14:paraId="7A9C50F2" w14:textId="7FC7978E" w:rsidR="00FD0171" w:rsidRPr="00820D83" w:rsidRDefault="00FD0171" w:rsidP="00A965B5">
            <w:pPr>
              <w:jc w:val="center"/>
              <w:rPr>
                <w:b/>
                <w:bCs/>
              </w:rPr>
            </w:pPr>
            <w:r>
              <w:rPr>
                <w:b/>
                <w:bCs/>
              </w:rPr>
              <w:t>2022 to 2024</w:t>
            </w:r>
          </w:p>
        </w:tc>
      </w:tr>
      <w:tr w:rsidR="00FD0171" w14:paraId="2FD36EA9" w14:textId="0413EC4A" w:rsidTr="00C71B1F">
        <w:tc>
          <w:tcPr>
            <w:tcW w:w="1810" w:type="dxa"/>
          </w:tcPr>
          <w:p w14:paraId="6199C0EA" w14:textId="210DBE6B" w:rsidR="00FD0171" w:rsidRPr="00820D83" w:rsidRDefault="00FD0171" w:rsidP="00820D83">
            <w:pPr>
              <w:rPr>
                <w:b/>
                <w:bCs/>
              </w:rPr>
            </w:pPr>
            <w:r w:rsidRPr="00820D83">
              <w:rPr>
                <w:b/>
                <w:bCs/>
              </w:rPr>
              <w:t>Unique Patients</w:t>
            </w:r>
          </w:p>
        </w:tc>
        <w:tc>
          <w:tcPr>
            <w:tcW w:w="900" w:type="dxa"/>
          </w:tcPr>
          <w:p w14:paraId="628ACE23" w14:textId="07B6DEF3" w:rsidR="00FD0171" w:rsidRDefault="00FD0171" w:rsidP="00A965B5">
            <w:pPr>
              <w:jc w:val="center"/>
            </w:pPr>
            <w:r w:rsidRPr="00B86828">
              <w:t>1,610</w:t>
            </w:r>
          </w:p>
        </w:tc>
        <w:tc>
          <w:tcPr>
            <w:tcW w:w="855" w:type="dxa"/>
          </w:tcPr>
          <w:p w14:paraId="0212FB98" w14:textId="0D93C6D4" w:rsidR="00FD0171" w:rsidRDefault="00FD0171" w:rsidP="00A965B5">
            <w:pPr>
              <w:jc w:val="center"/>
            </w:pPr>
            <w:r w:rsidRPr="00B86828">
              <w:t>3,210</w:t>
            </w:r>
          </w:p>
        </w:tc>
        <w:tc>
          <w:tcPr>
            <w:tcW w:w="825" w:type="dxa"/>
          </w:tcPr>
          <w:p w14:paraId="2D4AB8C2" w14:textId="188FA1D6" w:rsidR="00FD0171" w:rsidRDefault="003D29CC" w:rsidP="00A965B5">
            <w:pPr>
              <w:jc w:val="center"/>
            </w:pPr>
            <w:r>
              <w:t>4,790</w:t>
            </w:r>
          </w:p>
        </w:tc>
        <w:tc>
          <w:tcPr>
            <w:tcW w:w="1725" w:type="dxa"/>
          </w:tcPr>
          <w:p w14:paraId="0B5C737B" w14:textId="4C98376E" w:rsidR="00FD0171" w:rsidRPr="00B86828" w:rsidRDefault="003D29CC" w:rsidP="00A965B5">
            <w:pPr>
              <w:jc w:val="center"/>
            </w:pPr>
            <w:r>
              <w:t>197%</w:t>
            </w:r>
          </w:p>
        </w:tc>
      </w:tr>
    </w:tbl>
    <w:p w14:paraId="38B45F0E" w14:textId="77777777" w:rsidR="003807DF" w:rsidRDefault="003807DF" w:rsidP="00C776B7">
      <w:pPr>
        <w:pStyle w:val="Heading1"/>
        <w:ind w:left="0"/>
      </w:pPr>
    </w:p>
    <w:p w14:paraId="74FB7E89" w14:textId="403A0328" w:rsidR="00D51251" w:rsidRDefault="00FD0171" w:rsidP="006734CF">
      <w:r>
        <w:t xml:space="preserve">The Applicant states that </w:t>
      </w:r>
      <w:r w:rsidR="001E6A0B">
        <w:t xml:space="preserve">historically, </w:t>
      </w:r>
      <w:r w:rsidR="009E5358">
        <w:t>self-reporting of race</w:t>
      </w:r>
      <w:r w:rsidR="0043577A">
        <w:t xml:space="preserve"> and ethnicity was optional for patients of the Center, and that most patients chose not to self-report. </w:t>
      </w:r>
      <w:r w:rsidR="00646B03">
        <w:t xml:space="preserve">Therefore, the Applicant does not have race and ethnicity data to provide on the Patient Panel for this Application. </w:t>
      </w:r>
      <w:r w:rsidR="0043577A">
        <w:t xml:space="preserve">The Applicant states further that </w:t>
      </w:r>
      <w:r w:rsidR="001E6A0B">
        <w:t xml:space="preserve">as of April 29, 2025, the Center collects race and ethnicity data from patients during check-in </w:t>
      </w:r>
      <w:r w:rsidR="008A0926">
        <w:t>at which time</w:t>
      </w:r>
      <w:r w:rsidR="00542E21" w:rsidRPr="00542E21">
        <w:t xml:space="preserve"> patients are asked to provide their race and ethnicity via a written screening form. </w:t>
      </w:r>
      <w:r w:rsidR="008A0926">
        <w:t>Patient r</w:t>
      </w:r>
      <w:r w:rsidR="00542E21" w:rsidRPr="00542E21">
        <w:t xml:space="preserve">esponses are </w:t>
      </w:r>
      <w:r w:rsidR="008A0926">
        <w:t xml:space="preserve">then </w:t>
      </w:r>
      <w:r w:rsidR="00542E21" w:rsidRPr="00542E21">
        <w:t xml:space="preserve">recorded in the </w:t>
      </w:r>
      <w:r w:rsidR="008A0926">
        <w:t xml:space="preserve">Center’s </w:t>
      </w:r>
      <w:r w:rsidR="00542E21" w:rsidRPr="00542E21">
        <w:t>Patient Accounting System.</w:t>
      </w:r>
      <w:r w:rsidR="001E6A0B">
        <w:t xml:space="preserve"> </w:t>
      </w:r>
    </w:p>
    <w:p w14:paraId="74FABCD3" w14:textId="77777777" w:rsidR="00D51251" w:rsidRDefault="00D51251" w:rsidP="006734CF"/>
    <w:p w14:paraId="0A00866C" w14:textId="5881872D" w:rsidR="00DE4A58" w:rsidRDefault="00DE4A58" w:rsidP="006734CF">
      <w:r>
        <w:t>The Emerson Hospital</w:t>
      </w:r>
      <w:r w:rsidR="00974101">
        <w:t xml:space="preserve"> 2024</w:t>
      </w:r>
      <w:r>
        <w:t xml:space="preserve"> Community Health Needs Assessment (CHNA), states that </w:t>
      </w:r>
      <w:r w:rsidR="00CD1675">
        <w:t>Emerson Hospital’s primary and secondary service areas are “less racially and ethnically diverse than the state and Middlesex County,” and notes that “diversity has increased over time</w:t>
      </w:r>
      <w:r w:rsidR="0075445F">
        <w:t>,” based on demographic data.</w:t>
      </w:r>
      <w:r w:rsidR="0075445F">
        <w:rPr>
          <w:rStyle w:val="EndnoteReference"/>
        </w:rPr>
        <w:endnoteReference w:id="2"/>
      </w:r>
      <w:r w:rsidR="0075445F" w:rsidRPr="0075445F">
        <w:rPr>
          <w:vertAlign w:val="superscript"/>
        </w:rPr>
        <w:t>,</w:t>
      </w:r>
      <w:r w:rsidR="004857CB">
        <w:rPr>
          <w:rStyle w:val="FootnoteReference"/>
        </w:rPr>
        <w:footnoteReference w:id="5"/>
      </w:r>
      <w:r w:rsidR="00DB42AD">
        <w:rPr>
          <w:vertAlign w:val="superscript"/>
        </w:rPr>
        <w:t>,</w:t>
      </w:r>
      <w:r w:rsidR="0075445F">
        <w:rPr>
          <w:rStyle w:val="FootnoteReference"/>
        </w:rPr>
        <w:footnoteReference w:id="6"/>
      </w:r>
    </w:p>
    <w:p w14:paraId="54161E94" w14:textId="77777777" w:rsidR="00D51251" w:rsidRDefault="00D51251" w:rsidP="006734CF"/>
    <w:p w14:paraId="1F0678D0" w14:textId="5E858D05" w:rsidR="00FD0171" w:rsidRDefault="00EF413E" w:rsidP="006734CF">
      <w:r>
        <w:t xml:space="preserve">Table 3 shows the age and gender makeup of the Applicant’s Patient Panel. </w:t>
      </w:r>
      <w:r w:rsidR="00FD0171">
        <w:t>The Applicant notes the following about the data in Table 3:</w:t>
      </w:r>
    </w:p>
    <w:p w14:paraId="72844D8B" w14:textId="53979379" w:rsidR="00FD0171" w:rsidRDefault="005D2E58" w:rsidP="00043096">
      <w:pPr>
        <w:pStyle w:val="ListParagraph"/>
        <w:numPr>
          <w:ilvl w:val="0"/>
          <w:numId w:val="21"/>
        </w:numPr>
      </w:pPr>
      <w:r>
        <w:t>The percent of p</w:t>
      </w:r>
      <w:r w:rsidR="00FD0171">
        <w:t xml:space="preserve">atients aged 18 to 49 </w:t>
      </w:r>
      <w:r w:rsidR="00F056FA">
        <w:t xml:space="preserve">in the Applicant’s Patient Panel </w:t>
      </w:r>
      <w:r>
        <w:t>increased from</w:t>
      </w:r>
      <w:r w:rsidR="00FD0171">
        <w:t xml:space="preserve"> 27% of patient volume in 2022 </w:t>
      </w:r>
      <w:r w:rsidR="008E455F">
        <w:t>to</w:t>
      </w:r>
      <w:r w:rsidR="00C458C2">
        <w:t xml:space="preserve"> </w:t>
      </w:r>
      <w:r w:rsidR="00FD0171">
        <w:t>3</w:t>
      </w:r>
      <w:r w:rsidR="00D91C80">
        <w:t>8</w:t>
      </w:r>
      <w:r w:rsidR="00FD0171">
        <w:t>% of patient volume in 2024</w:t>
      </w:r>
      <w:r w:rsidR="00A277CF">
        <w:t>.</w:t>
      </w:r>
    </w:p>
    <w:p w14:paraId="44155B0D" w14:textId="3165C8DC" w:rsidR="00FD0171" w:rsidRDefault="00FD0171" w:rsidP="00043096">
      <w:pPr>
        <w:pStyle w:val="ListParagraph"/>
        <w:numPr>
          <w:ilvl w:val="0"/>
          <w:numId w:val="21"/>
        </w:numPr>
      </w:pPr>
      <w:r>
        <w:t>The percen</w:t>
      </w:r>
      <w:r w:rsidR="00C5590A">
        <w:t>t</w:t>
      </w:r>
      <w:r>
        <w:t xml:space="preserve"> of males in the Applicant’s Patient Panel increased from 35% in 2022 to 44% in 2024. </w:t>
      </w:r>
    </w:p>
    <w:p w14:paraId="23413EA8" w14:textId="77777777" w:rsidR="000E4109" w:rsidRDefault="000E4109" w:rsidP="000E4109"/>
    <w:p w14:paraId="05991291" w14:textId="77777777" w:rsidR="000E4109" w:rsidRDefault="000E4109" w:rsidP="000E4109"/>
    <w:p w14:paraId="2FEE9CDE" w14:textId="77777777" w:rsidR="007778D1" w:rsidRDefault="007778D1" w:rsidP="007778D1">
      <w:pPr>
        <w:pStyle w:val="ListParagraph"/>
        <w:ind w:left="720" w:firstLine="0"/>
      </w:pPr>
    </w:p>
    <w:p w14:paraId="7B351C67" w14:textId="2C8E6B73" w:rsidR="00FD0171" w:rsidRPr="00523C79" w:rsidRDefault="00FD0171" w:rsidP="006734CF">
      <w:pPr>
        <w:rPr>
          <w:b/>
          <w:bCs/>
        </w:rPr>
      </w:pPr>
      <w:r w:rsidRPr="00523C79">
        <w:rPr>
          <w:b/>
          <w:bCs/>
          <w:u w:val="single"/>
        </w:rPr>
        <w:lastRenderedPageBreak/>
        <w:t>Table 3</w:t>
      </w:r>
      <w:r w:rsidRPr="00523C79">
        <w:rPr>
          <w:b/>
          <w:bCs/>
        </w:rPr>
        <w:t>:</w:t>
      </w:r>
      <w:r w:rsidR="00551828">
        <w:rPr>
          <w:b/>
          <w:bCs/>
        </w:rPr>
        <w:t xml:space="preserve"> </w:t>
      </w:r>
      <w:r w:rsidR="00C42A5B">
        <w:rPr>
          <w:b/>
          <w:bCs/>
        </w:rPr>
        <w:t>EDHC</w:t>
      </w:r>
      <w:r w:rsidR="007D3370">
        <w:rPr>
          <w:b/>
          <w:bCs/>
        </w:rPr>
        <w:t xml:space="preserve"> </w:t>
      </w:r>
      <w:r w:rsidRPr="00523C79">
        <w:rPr>
          <w:b/>
          <w:bCs/>
        </w:rPr>
        <w:t xml:space="preserve">Patient Panel </w:t>
      </w:r>
      <w:r w:rsidR="00A277CF">
        <w:rPr>
          <w:b/>
          <w:bCs/>
        </w:rPr>
        <w:t xml:space="preserve">Age </w:t>
      </w:r>
      <w:r w:rsidRPr="00523C79">
        <w:rPr>
          <w:b/>
          <w:bCs/>
        </w:rPr>
        <w:t>and Gender Makeup</w:t>
      </w:r>
      <w:r w:rsidR="00995BB1">
        <w:rPr>
          <w:b/>
          <w:bCs/>
        </w:rPr>
        <w:t>, 2022 to 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813"/>
        <w:gridCol w:w="984"/>
        <w:gridCol w:w="813"/>
        <w:gridCol w:w="984"/>
        <w:gridCol w:w="813"/>
        <w:gridCol w:w="984"/>
      </w:tblGrid>
      <w:tr w:rsidR="00AB29E5" w:rsidRPr="005C13A0" w14:paraId="151E9B53" w14:textId="77777777" w:rsidTr="003B3A82">
        <w:trPr>
          <w:trHeight w:val="590"/>
        </w:trPr>
        <w:tc>
          <w:tcPr>
            <w:tcW w:w="0" w:type="auto"/>
            <w:shd w:val="clear" w:color="auto" w:fill="DBE5F1" w:themeFill="accent1" w:themeFillTint="33"/>
            <w:vAlign w:val="center"/>
            <w:hideMark/>
          </w:tcPr>
          <w:p w14:paraId="7DCC8478" w14:textId="77777777" w:rsidR="00AB29E5" w:rsidRPr="005C13A0" w:rsidRDefault="00AB29E5" w:rsidP="00AB29E5">
            <w:pPr>
              <w:widowControl/>
              <w:autoSpaceDE/>
              <w:autoSpaceDN/>
              <w:rPr>
                <w:rFonts w:asciiTheme="minorHAnsi" w:eastAsia="Times New Roman" w:hAnsiTheme="minorHAnsi"/>
                <w:b/>
                <w:bCs/>
                <w:color w:val="000000"/>
                <w:szCs w:val="24"/>
              </w:rPr>
            </w:pPr>
            <w:r w:rsidRPr="005C13A0">
              <w:rPr>
                <w:rFonts w:asciiTheme="minorHAnsi" w:eastAsia="Times New Roman" w:hAnsiTheme="minorHAnsi"/>
                <w:b/>
                <w:bCs/>
                <w:color w:val="000000"/>
                <w:szCs w:val="24"/>
              </w:rPr>
              <w:t> </w:t>
            </w:r>
          </w:p>
          <w:p w14:paraId="4D2B32B4" w14:textId="29AE33EB" w:rsidR="00AB29E5" w:rsidRPr="005C13A0" w:rsidRDefault="00AB29E5" w:rsidP="00AB29E5">
            <w:pPr>
              <w:widowControl/>
              <w:autoSpaceDE/>
              <w:autoSpaceDN/>
              <w:rPr>
                <w:rFonts w:asciiTheme="minorHAnsi" w:eastAsia="Times New Roman" w:hAnsiTheme="minorHAnsi"/>
                <w:b/>
                <w:bCs/>
                <w:color w:val="000000"/>
                <w:szCs w:val="24"/>
              </w:rPr>
            </w:pPr>
          </w:p>
        </w:tc>
        <w:tc>
          <w:tcPr>
            <w:tcW w:w="0" w:type="auto"/>
            <w:shd w:val="clear" w:color="auto" w:fill="DBE5F1" w:themeFill="accent1" w:themeFillTint="33"/>
            <w:vAlign w:val="center"/>
            <w:hideMark/>
          </w:tcPr>
          <w:p w14:paraId="0C4CC6E2" w14:textId="77777777" w:rsidR="003B3A82" w:rsidRPr="005C13A0" w:rsidRDefault="00AB29E5" w:rsidP="00AB29E5">
            <w:pPr>
              <w:widowControl/>
              <w:autoSpaceDE/>
              <w:autoSpaceDN/>
              <w:jc w:val="center"/>
              <w:rPr>
                <w:rFonts w:asciiTheme="minorHAnsi" w:eastAsia="Times New Roman" w:hAnsiTheme="minorHAnsi"/>
                <w:b/>
                <w:bCs/>
                <w:color w:val="000000"/>
                <w:szCs w:val="24"/>
              </w:rPr>
            </w:pPr>
            <w:r w:rsidRPr="005C13A0">
              <w:rPr>
                <w:rFonts w:asciiTheme="minorHAnsi" w:eastAsia="Times New Roman" w:hAnsiTheme="minorHAnsi"/>
                <w:b/>
                <w:bCs/>
                <w:color w:val="000000"/>
                <w:szCs w:val="24"/>
              </w:rPr>
              <w:t xml:space="preserve">2022 </w:t>
            </w:r>
          </w:p>
          <w:p w14:paraId="0D4510CA" w14:textId="097C9AD6" w:rsidR="00AB29E5" w:rsidRPr="005C13A0" w:rsidRDefault="00AB29E5" w:rsidP="00AB29E5">
            <w:pPr>
              <w:widowControl/>
              <w:autoSpaceDE/>
              <w:autoSpaceDN/>
              <w:jc w:val="center"/>
              <w:rPr>
                <w:rFonts w:asciiTheme="minorHAnsi" w:eastAsia="Times New Roman" w:hAnsiTheme="minorHAnsi"/>
                <w:b/>
                <w:bCs/>
                <w:color w:val="000000"/>
                <w:szCs w:val="24"/>
              </w:rPr>
            </w:pPr>
            <w:r w:rsidRPr="005C13A0">
              <w:rPr>
                <w:rFonts w:asciiTheme="minorHAnsi" w:eastAsia="Times New Roman" w:hAnsiTheme="minorHAnsi"/>
                <w:b/>
                <w:bCs/>
                <w:color w:val="000000"/>
                <w:szCs w:val="24"/>
              </w:rPr>
              <w:t>Count</w:t>
            </w:r>
          </w:p>
        </w:tc>
        <w:tc>
          <w:tcPr>
            <w:tcW w:w="0" w:type="auto"/>
            <w:shd w:val="clear" w:color="auto" w:fill="DBE5F1" w:themeFill="accent1" w:themeFillTint="33"/>
            <w:vAlign w:val="center"/>
            <w:hideMark/>
          </w:tcPr>
          <w:p w14:paraId="739932FD" w14:textId="77777777" w:rsidR="003B3A82" w:rsidRPr="005C13A0" w:rsidRDefault="00AB29E5" w:rsidP="00AB29E5">
            <w:pPr>
              <w:widowControl/>
              <w:autoSpaceDE/>
              <w:autoSpaceDN/>
              <w:jc w:val="center"/>
              <w:rPr>
                <w:rFonts w:asciiTheme="minorHAnsi" w:eastAsia="Times New Roman" w:hAnsiTheme="minorHAnsi"/>
                <w:b/>
                <w:bCs/>
                <w:color w:val="000000"/>
                <w:szCs w:val="24"/>
              </w:rPr>
            </w:pPr>
            <w:r w:rsidRPr="005C13A0">
              <w:rPr>
                <w:rFonts w:asciiTheme="minorHAnsi" w:eastAsia="Times New Roman" w:hAnsiTheme="minorHAnsi"/>
                <w:b/>
                <w:bCs/>
                <w:color w:val="000000"/>
                <w:szCs w:val="24"/>
              </w:rPr>
              <w:t xml:space="preserve">2022 </w:t>
            </w:r>
          </w:p>
          <w:p w14:paraId="2DA1D05A" w14:textId="787675FC" w:rsidR="00AB29E5" w:rsidRPr="005C13A0" w:rsidRDefault="00AB29E5" w:rsidP="00AB29E5">
            <w:pPr>
              <w:widowControl/>
              <w:autoSpaceDE/>
              <w:autoSpaceDN/>
              <w:jc w:val="center"/>
              <w:rPr>
                <w:rFonts w:asciiTheme="minorHAnsi" w:eastAsia="Times New Roman" w:hAnsiTheme="minorHAnsi"/>
                <w:b/>
                <w:bCs/>
                <w:color w:val="000000"/>
                <w:szCs w:val="24"/>
              </w:rPr>
            </w:pPr>
            <w:r w:rsidRPr="005C13A0">
              <w:rPr>
                <w:rFonts w:asciiTheme="minorHAnsi" w:eastAsia="Times New Roman" w:hAnsiTheme="minorHAnsi"/>
                <w:b/>
                <w:bCs/>
                <w:color w:val="000000"/>
                <w:szCs w:val="24"/>
              </w:rPr>
              <w:t>Percent</w:t>
            </w:r>
          </w:p>
        </w:tc>
        <w:tc>
          <w:tcPr>
            <w:tcW w:w="0" w:type="auto"/>
            <w:shd w:val="clear" w:color="auto" w:fill="DBE5F1" w:themeFill="accent1" w:themeFillTint="33"/>
            <w:vAlign w:val="center"/>
            <w:hideMark/>
          </w:tcPr>
          <w:p w14:paraId="3502FF5B" w14:textId="77777777" w:rsidR="003B3A82" w:rsidRPr="005C13A0" w:rsidRDefault="00AB29E5" w:rsidP="00AB29E5">
            <w:pPr>
              <w:widowControl/>
              <w:autoSpaceDE/>
              <w:autoSpaceDN/>
              <w:jc w:val="center"/>
              <w:rPr>
                <w:rFonts w:asciiTheme="minorHAnsi" w:eastAsia="Times New Roman" w:hAnsiTheme="minorHAnsi"/>
                <w:b/>
                <w:bCs/>
                <w:color w:val="000000"/>
                <w:szCs w:val="24"/>
              </w:rPr>
            </w:pPr>
            <w:r w:rsidRPr="005C13A0">
              <w:rPr>
                <w:rFonts w:asciiTheme="minorHAnsi" w:eastAsia="Times New Roman" w:hAnsiTheme="minorHAnsi"/>
                <w:b/>
                <w:bCs/>
                <w:color w:val="000000"/>
                <w:szCs w:val="24"/>
              </w:rPr>
              <w:t xml:space="preserve">2023 </w:t>
            </w:r>
          </w:p>
          <w:p w14:paraId="33C2E4AA" w14:textId="57460A39" w:rsidR="00AB29E5" w:rsidRPr="005C13A0" w:rsidRDefault="00AB29E5" w:rsidP="00AB29E5">
            <w:pPr>
              <w:widowControl/>
              <w:autoSpaceDE/>
              <w:autoSpaceDN/>
              <w:jc w:val="center"/>
              <w:rPr>
                <w:rFonts w:asciiTheme="minorHAnsi" w:eastAsia="Times New Roman" w:hAnsiTheme="minorHAnsi"/>
                <w:b/>
                <w:bCs/>
                <w:color w:val="000000"/>
                <w:szCs w:val="24"/>
              </w:rPr>
            </w:pPr>
            <w:r w:rsidRPr="005C13A0">
              <w:rPr>
                <w:rFonts w:asciiTheme="minorHAnsi" w:eastAsia="Times New Roman" w:hAnsiTheme="minorHAnsi"/>
                <w:b/>
                <w:bCs/>
                <w:color w:val="000000"/>
                <w:szCs w:val="24"/>
              </w:rPr>
              <w:t>Count</w:t>
            </w:r>
          </w:p>
        </w:tc>
        <w:tc>
          <w:tcPr>
            <w:tcW w:w="0" w:type="auto"/>
            <w:shd w:val="clear" w:color="auto" w:fill="DBE5F1" w:themeFill="accent1" w:themeFillTint="33"/>
            <w:vAlign w:val="center"/>
            <w:hideMark/>
          </w:tcPr>
          <w:p w14:paraId="7516574A" w14:textId="77777777" w:rsidR="003B3A82" w:rsidRPr="005C13A0" w:rsidRDefault="00AB29E5" w:rsidP="00AB29E5">
            <w:pPr>
              <w:widowControl/>
              <w:autoSpaceDE/>
              <w:autoSpaceDN/>
              <w:jc w:val="center"/>
              <w:rPr>
                <w:rFonts w:asciiTheme="minorHAnsi" w:eastAsia="Times New Roman" w:hAnsiTheme="minorHAnsi"/>
                <w:b/>
                <w:bCs/>
                <w:color w:val="000000"/>
                <w:szCs w:val="24"/>
              </w:rPr>
            </w:pPr>
            <w:r w:rsidRPr="005C13A0">
              <w:rPr>
                <w:rFonts w:asciiTheme="minorHAnsi" w:eastAsia="Times New Roman" w:hAnsiTheme="minorHAnsi"/>
                <w:b/>
                <w:bCs/>
                <w:color w:val="000000"/>
                <w:szCs w:val="24"/>
              </w:rPr>
              <w:t xml:space="preserve">2023 </w:t>
            </w:r>
          </w:p>
          <w:p w14:paraId="56CB0AAC" w14:textId="4F0B06F2" w:rsidR="00AB29E5" w:rsidRPr="005C13A0" w:rsidRDefault="00AB29E5" w:rsidP="00AB29E5">
            <w:pPr>
              <w:widowControl/>
              <w:autoSpaceDE/>
              <w:autoSpaceDN/>
              <w:jc w:val="center"/>
              <w:rPr>
                <w:rFonts w:asciiTheme="minorHAnsi" w:eastAsia="Times New Roman" w:hAnsiTheme="minorHAnsi"/>
                <w:b/>
                <w:bCs/>
                <w:color w:val="000000"/>
                <w:szCs w:val="24"/>
              </w:rPr>
            </w:pPr>
            <w:r w:rsidRPr="005C13A0">
              <w:rPr>
                <w:rFonts w:asciiTheme="minorHAnsi" w:eastAsia="Times New Roman" w:hAnsiTheme="minorHAnsi"/>
                <w:b/>
                <w:bCs/>
                <w:color w:val="000000"/>
                <w:szCs w:val="24"/>
              </w:rPr>
              <w:t>Percent</w:t>
            </w:r>
          </w:p>
        </w:tc>
        <w:tc>
          <w:tcPr>
            <w:tcW w:w="0" w:type="auto"/>
            <w:shd w:val="clear" w:color="auto" w:fill="DBE5F1" w:themeFill="accent1" w:themeFillTint="33"/>
            <w:vAlign w:val="center"/>
            <w:hideMark/>
          </w:tcPr>
          <w:p w14:paraId="5A9E3792" w14:textId="77777777" w:rsidR="003B3A82" w:rsidRPr="005C13A0" w:rsidRDefault="00AB29E5" w:rsidP="00AB29E5">
            <w:pPr>
              <w:widowControl/>
              <w:autoSpaceDE/>
              <w:autoSpaceDN/>
              <w:jc w:val="center"/>
              <w:rPr>
                <w:rFonts w:asciiTheme="minorHAnsi" w:eastAsia="Times New Roman" w:hAnsiTheme="minorHAnsi"/>
                <w:b/>
                <w:bCs/>
                <w:color w:val="000000"/>
                <w:szCs w:val="24"/>
              </w:rPr>
            </w:pPr>
            <w:r w:rsidRPr="005C13A0">
              <w:rPr>
                <w:rFonts w:asciiTheme="minorHAnsi" w:eastAsia="Times New Roman" w:hAnsiTheme="minorHAnsi"/>
                <w:b/>
                <w:bCs/>
                <w:color w:val="000000"/>
                <w:szCs w:val="24"/>
              </w:rPr>
              <w:t xml:space="preserve">2024 </w:t>
            </w:r>
          </w:p>
          <w:p w14:paraId="46655C2C" w14:textId="751FA8DE" w:rsidR="00AB29E5" w:rsidRPr="005C13A0" w:rsidRDefault="00AB29E5" w:rsidP="00AB29E5">
            <w:pPr>
              <w:widowControl/>
              <w:autoSpaceDE/>
              <w:autoSpaceDN/>
              <w:jc w:val="center"/>
              <w:rPr>
                <w:rFonts w:asciiTheme="minorHAnsi" w:eastAsia="Times New Roman" w:hAnsiTheme="minorHAnsi"/>
                <w:b/>
                <w:bCs/>
                <w:color w:val="000000"/>
                <w:szCs w:val="24"/>
              </w:rPr>
            </w:pPr>
            <w:r w:rsidRPr="005C13A0">
              <w:rPr>
                <w:rFonts w:asciiTheme="minorHAnsi" w:eastAsia="Times New Roman" w:hAnsiTheme="minorHAnsi"/>
                <w:b/>
                <w:bCs/>
                <w:color w:val="000000"/>
                <w:szCs w:val="24"/>
              </w:rPr>
              <w:t>Count</w:t>
            </w:r>
          </w:p>
        </w:tc>
        <w:tc>
          <w:tcPr>
            <w:tcW w:w="0" w:type="auto"/>
            <w:shd w:val="clear" w:color="auto" w:fill="DBE5F1" w:themeFill="accent1" w:themeFillTint="33"/>
            <w:vAlign w:val="center"/>
            <w:hideMark/>
          </w:tcPr>
          <w:p w14:paraId="1D673CF6" w14:textId="77777777" w:rsidR="003B3A82" w:rsidRPr="005C13A0" w:rsidRDefault="00AB29E5" w:rsidP="00AB29E5">
            <w:pPr>
              <w:widowControl/>
              <w:autoSpaceDE/>
              <w:autoSpaceDN/>
              <w:jc w:val="center"/>
              <w:rPr>
                <w:rFonts w:asciiTheme="minorHAnsi" w:eastAsia="Times New Roman" w:hAnsiTheme="minorHAnsi"/>
                <w:b/>
                <w:bCs/>
                <w:color w:val="000000"/>
                <w:szCs w:val="24"/>
              </w:rPr>
            </w:pPr>
            <w:r w:rsidRPr="005C13A0">
              <w:rPr>
                <w:rFonts w:asciiTheme="minorHAnsi" w:eastAsia="Times New Roman" w:hAnsiTheme="minorHAnsi"/>
                <w:b/>
                <w:bCs/>
                <w:color w:val="000000"/>
                <w:szCs w:val="24"/>
              </w:rPr>
              <w:t xml:space="preserve">2024 </w:t>
            </w:r>
          </w:p>
          <w:p w14:paraId="398DEF35" w14:textId="02C6BDAD" w:rsidR="00AB29E5" w:rsidRPr="005C13A0" w:rsidRDefault="00AB29E5" w:rsidP="00AB29E5">
            <w:pPr>
              <w:widowControl/>
              <w:autoSpaceDE/>
              <w:autoSpaceDN/>
              <w:jc w:val="center"/>
              <w:rPr>
                <w:rFonts w:asciiTheme="minorHAnsi" w:eastAsia="Times New Roman" w:hAnsiTheme="minorHAnsi"/>
                <w:b/>
                <w:bCs/>
                <w:color w:val="000000"/>
                <w:szCs w:val="24"/>
              </w:rPr>
            </w:pPr>
            <w:r w:rsidRPr="005C13A0">
              <w:rPr>
                <w:rFonts w:asciiTheme="minorHAnsi" w:eastAsia="Times New Roman" w:hAnsiTheme="minorHAnsi"/>
                <w:b/>
                <w:bCs/>
                <w:color w:val="000000"/>
                <w:szCs w:val="24"/>
              </w:rPr>
              <w:t>Percent</w:t>
            </w:r>
          </w:p>
        </w:tc>
      </w:tr>
      <w:tr w:rsidR="00AB29E5" w:rsidRPr="005C13A0" w14:paraId="69794133" w14:textId="77777777" w:rsidTr="00AB29E5">
        <w:trPr>
          <w:trHeight w:val="290"/>
        </w:trPr>
        <w:tc>
          <w:tcPr>
            <w:tcW w:w="0" w:type="auto"/>
            <w:vAlign w:val="center"/>
            <w:hideMark/>
          </w:tcPr>
          <w:p w14:paraId="6D4A840B" w14:textId="77777777" w:rsidR="00AB29E5" w:rsidRPr="005C13A0" w:rsidRDefault="00AB29E5" w:rsidP="00AB29E5">
            <w:pPr>
              <w:widowControl/>
              <w:autoSpaceDE/>
              <w:autoSpaceDN/>
              <w:rPr>
                <w:rFonts w:asciiTheme="minorHAnsi" w:eastAsia="Times New Roman" w:hAnsiTheme="minorHAnsi"/>
                <w:b/>
                <w:bCs/>
                <w:color w:val="000000"/>
                <w:szCs w:val="24"/>
              </w:rPr>
            </w:pPr>
            <w:r w:rsidRPr="005C13A0">
              <w:rPr>
                <w:rFonts w:asciiTheme="minorHAnsi" w:eastAsia="Times New Roman" w:hAnsiTheme="minorHAnsi"/>
                <w:b/>
                <w:bCs/>
                <w:color w:val="000000"/>
                <w:szCs w:val="24"/>
              </w:rPr>
              <w:t>Gender: Female</w:t>
            </w:r>
          </w:p>
        </w:tc>
        <w:tc>
          <w:tcPr>
            <w:tcW w:w="0" w:type="auto"/>
            <w:vAlign w:val="center"/>
            <w:hideMark/>
          </w:tcPr>
          <w:p w14:paraId="5EB89746"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1,042</w:t>
            </w:r>
          </w:p>
        </w:tc>
        <w:tc>
          <w:tcPr>
            <w:tcW w:w="0" w:type="auto"/>
            <w:vAlign w:val="center"/>
            <w:hideMark/>
          </w:tcPr>
          <w:p w14:paraId="6A904D3E"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64.7%</w:t>
            </w:r>
          </w:p>
        </w:tc>
        <w:tc>
          <w:tcPr>
            <w:tcW w:w="0" w:type="auto"/>
            <w:vAlign w:val="center"/>
            <w:hideMark/>
          </w:tcPr>
          <w:p w14:paraId="3CF0242E"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1,883</w:t>
            </w:r>
          </w:p>
        </w:tc>
        <w:tc>
          <w:tcPr>
            <w:tcW w:w="0" w:type="auto"/>
            <w:vAlign w:val="center"/>
            <w:hideMark/>
          </w:tcPr>
          <w:p w14:paraId="63A8DEB0"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58.7%</w:t>
            </w:r>
          </w:p>
        </w:tc>
        <w:tc>
          <w:tcPr>
            <w:tcW w:w="0" w:type="auto"/>
            <w:vAlign w:val="center"/>
            <w:hideMark/>
          </w:tcPr>
          <w:p w14:paraId="6073E7F1"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2,697</w:t>
            </w:r>
          </w:p>
        </w:tc>
        <w:tc>
          <w:tcPr>
            <w:tcW w:w="0" w:type="auto"/>
            <w:vAlign w:val="center"/>
            <w:hideMark/>
          </w:tcPr>
          <w:p w14:paraId="5995F8DE"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56.3%</w:t>
            </w:r>
          </w:p>
        </w:tc>
      </w:tr>
      <w:tr w:rsidR="00AB29E5" w:rsidRPr="005C13A0" w14:paraId="27DF4805" w14:textId="77777777" w:rsidTr="00AB29E5">
        <w:trPr>
          <w:trHeight w:val="290"/>
        </w:trPr>
        <w:tc>
          <w:tcPr>
            <w:tcW w:w="0" w:type="auto"/>
            <w:vAlign w:val="center"/>
            <w:hideMark/>
          </w:tcPr>
          <w:p w14:paraId="6BC73896" w14:textId="77777777" w:rsidR="00AB29E5" w:rsidRPr="005C13A0" w:rsidRDefault="00AB29E5" w:rsidP="00AB29E5">
            <w:pPr>
              <w:widowControl/>
              <w:autoSpaceDE/>
              <w:autoSpaceDN/>
              <w:rPr>
                <w:rFonts w:asciiTheme="minorHAnsi" w:eastAsia="Times New Roman" w:hAnsiTheme="minorHAnsi"/>
                <w:b/>
                <w:bCs/>
                <w:color w:val="000000"/>
                <w:szCs w:val="24"/>
              </w:rPr>
            </w:pPr>
            <w:r w:rsidRPr="005C13A0">
              <w:rPr>
                <w:rFonts w:asciiTheme="minorHAnsi" w:eastAsia="Times New Roman" w:hAnsiTheme="minorHAnsi"/>
                <w:b/>
                <w:bCs/>
                <w:color w:val="000000"/>
                <w:szCs w:val="24"/>
              </w:rPr>
              <w:t>Gender: Male</w:t>
            </w:r>
          </w:p>
        </w:tc>
        <w:tc>
          <w:tcPr>
            <w:tcW w:w="0" w:type="auto"/>
            <w:vAlign w:val="center"/>
            <w:hideMark/>
          </w:tcPr>
          <w:p w14:paraId="54D2C462"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568</w:t>
            </w:r>
          </w:p>
        </w:tc>
        <w:tc>
          <w:tcPr>
            <w:tcW w:w="0" w:type="auto"/>
            <w:vAlign w:val="center"/>
            <w:hideMark/>
          </w:tcPr>
          <w:p w14:paraId="34C4C10A"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35.3%</w:t>
            </w:r>
          </w:p>
        </w:tc>
        <w:tc>
          <w:tcPr>
            <w:tcW w:w="0" w:type="auto"/>
            <w:vAlign w:val="center"/>
            <w:hideMark/>
          </w:tcPr>
          <w:p w14:paraId="7B2E6383"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1,327</w:t>
            </w:r>
          </w:p>
        </w:tc>
        <w:tc>
          <w:tcPr>
            <w:tcW w:w="0" w:type="auto"/>
            <w:vAlign w:val="center"/>
            <w:hideMark/>
          </w:tcPr>
          <w:p w14:paraId="3DAC9259"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41.3%</w:t>
            </w:r>
          </w:p>
        </w:tc>
        <w:tc>
          <w:tcPr>
            <w:tcW w:w="0" w:type="auto"/>
            <w:vAlign w:val="center"/>
            <w:hideMark/>
          </w:tcPr>
          <w:p w14:paraId="2077409E"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2,093</w:t>
            </w:r>
          </w:p>
        </w:tc>
        <w:tc>
          <w:tcPr>
            <w:tcW w:w="0" w:type="auto"/>
            <w:vAlign w:val="center"/>
            <w:hideMark/>
          </w:tcPr>
          <w:p w14:paraId="19F6B089"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43.7%</w:t>
            </w:r>
          </w:p>
        </w:tc>
      </w:tr>
      <w:tr w:rsidR="00AB29E5" w:rsidRPr="005C13A0" w14:paraId="4192CDD8" w14:textId="77777777" w:rsidTr="00AB29E5">
        <w:trPr>
          <w:trHeight w:val="290"/>
        </w:trPr>
        <w:tc>
          <w:tcPr>
            <w:tcW w:w="0" w:type="auto"/>
            <w:shd w:val="clear" w:color="000000" w:fill="F2F2F2"/>
            <w:vAlign w:val="center"/>
            <w:hideMark/>
          </w:tcPr>
          <w:p w14:paraId="3BDAAFE6" w14:textId="77777777" w:rsidR="00AB29E5" w:rsidRPr="005C13A0" w:rsidRDefault="00AB29E5" w:rsidP="00AB29E5">
            <w:pPr>
              <w:widowControl/>
              <w:autoSpaceDE/>
              <w:autoSpaceDN/>
              <w:rPr>
                <w:rFonts w:asciiTheme="minorHAnsi" w:eastAsia="Times New Roman" w:hAnsiTheme="minorHAnsi"/>
                <w:b/>
                <w:bCs/>
                <w:color w:val="000000"/>
                <w:szCs w:val="24"/>
              </w:rPr>
            </w:pPr>
            <w:r w:rsidRPr="005C13A0">
              <w:rPr>
                <w:rFonts w:asciiTheme="minorHAnsi" w:eastAsia="Times New Roman" w:hAnsiTheme="minorHAnsi"/>
                <w:b/>
                <w:bCs/>
                <w:color w:val="000000"/>
                <w:szCs w:val="24"/>
              </w:rPr>
              <w:t xml:space="preserve">Total </w:t>
            </w:r>
          </w:p>
        </w:tc>
        <w:tc>
          <w:tcPr>
            <w:tcW w:w="0" w:type="auto"/>
            <w:shd w:val="clear" w:color="000000" w:fill="F2F2F2"/>
            <w:vAlign w:val="center"/>
            <w:hideMark/>
          </w:tcPr>
          <w:p w14:paraId="4F9ADA5A"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1,610</w:t>
            </w:r>
          </w:p>
        </w:tc>
        <w:tc>
          <w:tcPr>
            <w:tcW w:w="0" w:type="auto"/>
            <w:shd w:val="clear" w:color="000000" w:fill="F2F2F2"/>
            <w:vAlign w:val="center"/>
            <w:hideMark/>
          </w:tcPr>
          <w:p w14:paraId="02B799B2"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100.0%</w:t>
            </w:r>
          </w:p>
        </w:tc>
        <w:tc>
          <w:tcPr>
            <w:tcW w:w="0" w:type="auto"/>
            <w:shd w:val="clear" w:color="000000" w:fill="F2F2F2"/>
            <w:vAlign w:val="center"/>
            <w:hideMark/>
          </w:tcPr>
          <w:p w14:paraId="589003D3"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3,210</w:t>
            </w:r>
          </w:p>
        </w:tc>
        <w:tc>
          <w:tcPr>
            <w:tcW w:w="0" w:type="auto"/>
            <w:shd w:val="clear" w:color="000000" w:fill="F2F2F2"/>
            <w:vAlign w:val="center"/>
            <w:hideMark/>
          </w:tcPr>
          <w:p w14:paraId="27EF9E68"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100.0%</w:t>
            </w:r>
          </w:p>
        </w:tc>
        <w:tc>
          <w:tcPr>
            <w:tcW w:w="0" w:type="auto"/>
            <w:shd w:val="clear" w:color="000000" w:fill="F2F2F2"/>
            <w:vAlign w:val="center"/>
            <w:hideMark/>
          </w:tcPr>
          <w:p w14:paraId="2E9CC3B7"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4,790</w:t>
            </w:r>
          </w:p>
        </w:tc>
        <w:tc>
          <w:tcPr>
            <w:tcW w:w="0" w:type="auto"/>
            <w:shd w:val="clear" w:color="000000" w:fill="F2F2F2"/>
            <w:vAlign w:val="center"/>
            <w:hideMark/>
          </w:tcPr>
          <w:p w14:paraId="4F0D0558"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100.0%</w:t>
            </w:r>
          </w:p>
        </w:tc>
      </w:tr>
      <w:tr w:rsidR="00AB29E5" w:rsidRPr="005C13A0" w14:paraId="2E7B277A" w14:textId="77777777" w:rsidTr="00AB29E5">
        <w:trPr>
          <w:trHeight w:val="290"/>
        </w:trPr>
        <w:tc>
          <w:tcPr>
            <w:tcW w:w="0" w:type="auto"/>
            <w:shd w:val="clear" w:color="000000" w:fill="FFFFFF"/>
            <w:vAlign w:val="center"/>
            <w:hideMark/>
          </w:tcPr>
          <w:p w14:paraId="37EFBF3F" w14:textId="77777777" w:rsidR="00AB29E5" w:rsidRPr="005C13A0" w:rsidRDefault="00AB29E5" w:rsidP="00AB29E5">
            <w:pPr>
              <w:widowControl/>
              <w:autoSpaceDE/>
              <w:autoSpaceDN/>
              <w:rPr>
                <w:rFonts w:asciiTheme="minorHAnsi" w:eastAsia="Times New Roman" w:hAnsiTheme="minorHAnsi"/>
                <w:b/>
                <w:bCs/>
                <w:color w:val="000000"/>
                <w:szCs w:val="24"/>
              </w:rPr>
            </w:pPr>
            <w:r w:rsidRPr="005C13A0">
              <w:rPr>
                <w:rFonts w:asciiTheme="minorHAnsi" w:eastAsia="Times New Roman" w:hAnsiTheme="minorHAnsi"/>
                <w:b/>
                <w:bCs/>
                <w:color w:val="000000"/>
                <w:szCs w:val="24"/>
              </w:rPr>
              <w:t>Age: 18-49</w:t>
            </w:r>
          </w:p>
        </w:tc>
        <w:tc>
          <w:tcPr>
            <w:tcW w:w="0" w:type="auto"/>
            <w:shd w:val="clear" w:color="000000" w:fill="FFFFFF"/>
            <w:vAlign w:val="center"/>
            <w:hideMark/>
          </w:tcPr>
          <w:p w14:paraId="03889D52"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441</w:t>
            </w:r>
          </w:p>
        </w:tc>
        <w:tc>
          <w:tcPr>
            <w:tcW w:w="0" w:type="auto"/>
            <w:shd w:val="clear" w:color="000000" w:fill="FFFFFF"/>
            <w:vAlign w:val="center"/>
            <w:hideMark/>
          </w:tcPr>
          <w:p w14:paraId="2B080691"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27.4%</w:t>
            </w:r>
          </w:p>
        </w:tc>
        <w:tc>
          <w:tcPr>
            <w:tcW w:w="0" w:type="auto"/>
            <w:shd w:val="clear" w:color="000000" w:fill="FFFFFF"/>
            <w:vAlign w:val="center"/>
            <w:hideMark/>
          </w:tcPr>
          <w:p w14:paraId="6DF0AFDB"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1,030</w:t>
            </w:r>
          </w:p>
        </w:tc>
        <w:tc>
          <w:tcPr>
            <w:tcW w:w="0" w:type="auto"/>
            <w:shd w:val="clear" w:color="000000" w:fill="FFFFFF"/>
            <w:vAlign w:val="center"/>
            <w:hideMark/>
          </w:tcPr>
          <w:p w14:paraId="459753D4"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32.1%</w:t>
            </w:r>
          </w:p>
        </w:tc>
        <w:tc>
          <w:tcPr>
            <w:tcW w:w="0" w:type="auto"/>
            <w:shd w:val="clear" w:color="000000" w:fill="FFFFFF"/>
            <w:vAlign w:val="center"/>
            <w:hideMark/>
          </w:tcPr>
          <w:p w14:paraId="5977BBD0"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1,810</w:t>
            </w:r>
          </w:p>
        </w:tc>
        <w:tc>
          <w:tcPr>
            <w:tcW w:w="0" w:type="auto"/>
            <w:shd w:val="clear" w:color="000000" w:fill="FFFFFF"/>
            <w:vAlign w:val="center"/>
            <w:hideMark/>
          </w:tcPr>
          <w:p w14:paraId="616D058F"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37.8%</w:t>
            </w:r>
          </w:p>
        </w:tc>
      </w:tr>
      <w:tr w:rsidR="00AB29E5" w:rsidRPr="005C13A0" w14:paraId="41B9BBD7" w14:textId="77777777" w:rsidTr="00AB29E5">
        <w:trPr>
          <w:trHeight w:val="290"/>
        </w:trPr>
        <w:tc>
          <w:tcPr>
            <w:tcW w:w="0" w:type="auto"/>
            <w:vAlign w:val="center"/>
            <w:hideMark/>
          </w:tcPr>
          <w:p w14:paraId="45A635B5" w14:textId="77777777" w:rsidR="00AB29E5" w:rsidRPr="005C13A0" w:rsidRDefault="00AB29E5" w:rsidP="00AB29E5">
            <w:pPr>
              <w:widowControl/>
              <w:autoSpaceDE/>
              <w:autoSpaceDN/>
              <w:rPr>
                <w:rFonts w:asciiTheme="minorHAnsi" w:eastAsia="Times New Roman" w:hAnsiTheme="minorHAnsi"/>
                <w:b/>
                <w:bCs/>
                <w:color w:val="000000"/>
                <w:szCs w:val="24"/>
              </w:rPr>
            </w:pPr>
            <w:r w:rsidRPr="005C13A0">
              <w:rPr>
                <w:rFonts w:asciiTheme="minorHAnsi" w:eastAsia="Times New Roman" w:hAnsiTheme="minorHAnsi"/>
                <w:b/>
                <w:bCs/>
                <w:color w:val="000000"/>
                <w:szCs w:val="24"/>
              </w:rPr>
              <w:t>Age: 50-69</w:t>
            </w:r>
          </w:p>
        </w:tc>
        <w:tc>
          <w:tcPr>
            <w:tcW w:w="0" w:type="auto"/>
            <w:vAlign w:val="center"/>
            <w:hideMark/>
          </w:tcPr>
          <w:p w14:paraId="1467380C"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861</w:t>
            </w:r>
          </w:p>
        </w:tc>
        <w:tc>
          <w:tcPr>
            <w:tcW w:w="0" w:type="auto"/>
            <w:shd w:val="clear" w:color="000000" w:fill="FFFFFF"/>
            <w:vAlign w:val="center"/>
            <w:hideMark/>
          </w:tcPr>
          <w:p w14:paraId="56DDEF49"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53.5%</w:t>
            </w:r>
          </w:p>
        </w:tc>
        <w:tc>
          <w:tcPr>
            <w:tcW w:w="0" w:type="auto"/>
            <w:vAlign w:val="center"/>
            <w:hideMark/>
          </w:tcPr>
          <w:p w14:paraId="1B31B5F0"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1,723</w:t>
            </w:r>
          </w:p>
        </w:tc>
        <w:tc>
          <w:tcPr>
            <w:tcW w:w="0" w:type="auto"/>
            <w:shd w:val="clear" w:color="000000" w:fill="FFFFFF"/>
            <w:vAlign w:val="center"/>
            <w:hideMark/>
          </w:tcPr>
          <w:p w14:paraId="5D1D79AC"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53.7%</w:t>
            </w:r>
          </w:p>
        </w:tc>
        <w:tc>
          <w:tcPr>
            <w:tcW w:w="0" w:type="auto"/>
            <w:vAlign w:val="center"/>
            <w:hideMark/>
          </w:tcPr>
          <w:p w14:paraId="4ED1B23F"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2,439</w:t>
            </w:r>
          </w:p>
        </w:tc>
        <w:tc>
          <w:tcPr>
            <w:tcW w:w="0" w:type="auto"/>
            <w:shd w:val="clear" w:color="000000" w:fill="FFFFFF"/>
            <w:vAlign w:val="center"/>
            <w:hideMark/>
          </w:tcPr>
          <w:p w14:paraId="5DAFF0E7"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50.9%</w:t>
            </w:r>
          </w:p>
        </w:tc>
      </w:tr>
      <w:tr w:rsidR="00AB29E5" w:rsidRPr="005C13A0" w14:paraId="2C9E4158" w14:textId="77777777" w:rsidTr="00AB29E5">
        <w:trPr>
          <w:trHeight w:val="290"/>
        </w:trPr>
        <w:tc>
          <w:tcPr>
            <w:tcW w:w="0" w:type="auto"/>
            <w:vAlign w:val="center"/>
            <w:hideMark/>
          </w:tcPr>
          <w:p w14:paraId="0D67EC7E" w14:textId="77777777" w:rsidR="00AB29E5" w:rsidRPr="005C13A0" w:rsidRDefault="00AB29E5" w:rsidP="00AB29E5">
            <w:pPr>
              <w:widowControl/>
              <w:autoSpaceDE/>
              <w:autoSpaceDN/>
              <w:rPr>
                <w:rFonts w:asciiTheme="minorHAnsi" w:eastAsia="Times New Roman" w:hAnsiTheme="minorHAnsi"/>
                <w:b/>
                <w:bCs/>
                <w:color w:val="000000"/>
                <w:szCs w:val="24"/>
              </w:rPr>
            </w:pPr>
            <w:r w:rsidRPr="005C13A0">
              <w:rPr>
                <w:rFonts w:asciiTheme="minorHAnsi" w:eastAsia="Times New Roman" w:hAnsiTheme="minorHAnsi"/>
                <w:b/>
                <w:bCs/>
                <w:color w:val="000000"/>
                <w:szCs w:val="24"/>
              </w:rPr>
              <w:t>Age: 70+</w:t>
            </w:r>
          </w:p>
        </w:tc>
        <w:tc>
          <w:tcPr>
            <w:tcW w:w="0" w:type="auto"/>
            <w:vAlign w:val="center"/>
            <w:hideMark/>
          </w:tcPr>
          <w:p w14:paraId="66E858E4"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308</w:t>
            </w:r>
          </w:p>
        </w:tc>
        <w:tc>
          <w:tcPr>
            <w:tcW w:w="0" w:type="auto"/>
            <w:shd w:val="clear" w:color="000000" w:fill="FFFFFF"/>
            <w:vAlign w:val="center"/>
            <w:hideMark/>
          </w:tcPr>
          <w:p w14:paraId="7AA708BA"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19.1%</w:t>
            </w:r>
          </w:p>
        </w:tc>
        <w:tc>
          <w:tcPr>
            <w:tcW w:w="0" w:type="auto"/>
            <w:vAlign w:val="center"/>
            <w:hideMark/>
          </w:tcPr>
          <w:p w14:paraId="7506C8F8"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457</w:t>
            </w:r>
          </w:p>
        </w:tc>
        <w:tc>
          <w:tcPr>
            <w:tcW w:w="0" w:type="auto"/>
            <w:shd w:val="clear" w:color="000000" w:fill="FFFFFF"/>
            <w:vAlign w:val="center"/>
            <w:hideMark/>
          </w:tcPr>
          <w:p w14:paraId="2058C69C"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14.2%</w:t>
            </w:r>
          </w:p>
        </w:tc>
        <w:tc>
          <w:tcPr>
            <w:tcW w:w="0" w:type="auto"/>
            <w:vAlign w:val="center"/>
            <w:hideMark/>
          </w:tcPr>
          <w:p w14:paraId="08C81389"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541</w:t>
            </w:r>
          </w:p>
        </w:tc>
        <w:tc>
          <w:tcPr>
            <w:tcW w:w="0" w:type="auto"/>
            <w:shd w:val="clear" w:color="000000" w:fill="FFFFFF"/>
            <w:vAlign w:val="center"/>
            <w:hideMark/>
          </w:tcPr>
          <w:p w14:paraId="7EA21F78"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11.3%</w:t>
            </w:r>
          </w:p>
        </w:tc>
      </w:tr>
      <w:tr w:rsidR="00AB29E5" w:rsidRPr="005C13A0" w14:paraId="01250A34" w14:textId="77777777" w:rsidTr="00AB29E5">
        <w:trPr>
          <w:trHeight w:val="290"/>
        </w:trPr>
        <w:tc>
          <w:tcPr>
            <w:tcW w:w="0" w:type="auto"/>
            <w:shd w:val="clear" w:color="000000" w:fill="F2F2F2"/>
            <w:vAlign w:val="center"/>
            <w:hideMark/>
          </w:tcPr>
          <w:p w14:paraId="4E3DA575" w14:textId="77777777" w:rsidR="00AB29E5" w:rsidRPr="005C13A0" w:rsidRDefault="00AB29E5" w:rsidP="00AB29E5">
            <w:pPr>
              <w:widowControl/>
              <w:autoSpaceDE/>
              <w:autoSpaceDN/>
              <w:rPr>
                <w:rFonts w:asciiTheme="minorHAnsi" w:eastAsia="Times New Roman" w:hAnsiTheme="minorHAnsi"/>
                <w:b/>
                <w:bCs/>
                <w:color w:val="000000"/>
                <w:szCs w:val="24"/>
              </w:rPr>
            </w:pPr>
            <w:r w:rsidRPr="005C13A0">
              <w:rPr>
                <w:rFonts w:asciiTheme="minorHAnsi" w:eastAsia="Times New Roman" w:hAnsiTheme="minorHAnsi"/>
                <w:b/>
                <w:bCs/>
                <w:color w:val="000000"/>
                <w:szCs w:val="24"/>
              </w:rPr>
              <w:t xml:space="preserve">Total </w:t>
            </w:r>
          </w:p>
        </w:tc>
        <w:tc>
          <w:tcPr>
            <w:tcW w:w="0" w:type="auto"/>
            <w:shd w:val="clear" w:color="000000" w:fill="F2F2F2"/>
            <w:noWrap/>
            <w:vAlign w:val="bottom"/>
            <w:hideMark/>
          </w:tcPr>
          <w:p w14:paraId="2E016733"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1,610</w:t>
            </w:r>
          </w:p>
        </w:tc>
        <w:tc>
          <w:tcPr>
            <w:tcW w:w="0" w:type="auto"/>
            <w:shd w:val="clear" w:color="000000" w:fill="F2F2F2"/>
            <w:noWrap/>
            <w:vAlign w:val="bottom"/>
            <w:hideMark/>
          </w:tcPr>
          <w:p w14:paraId="06E0E65F"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100.0%</w:t>
            </w:r>
          </w:p>
        </w:tc>
        <w:tc>
          <w:tcPr>
            <w:tcW w:w="0" w:type="auto"/>
            <w:shd w:val="clear" w:color="000000" w:fill="F2F2F2"/>
            <w:noWrap/>
            <w:vAlign w:val="bottom"/>
            <w:hideMark/>
          </w:tcPr>
          <w:p w14:paraId="7CF291FD"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3,210</w:t>
            </w:r>
          </w:p>
        </w:tc>
        <w:tc>
          <w:tcPr>
            <w:tcW w:w="0" w:type="auto"/>
            <w:shd w:val="clear" w:color="000000" w:fill="F2F2F2"/>
            <w:noWrap/>
            <w:vAlign w:val="bottom"/>
            <w:hideMark/>
          </w:tcPr>
          <w:p w14:paraId="00D7A20E"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100.0%</w:t>
            </w:r>
          </w:p>
        </w:tc>
        <w:tc>
          <w:tcPr>
            <w:tcW w:w="0" w:type="auto"/>
            <w:shd w:val="clear" w:color="000000" w:fill="F2F2F2"/>
            <w:noWrap/>
            <w:vAlign w:val="bottom"/>
            <w:hideMark/>
          </w:tcPr>
          <w:p w14:paraId="6B70B266"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4,790</w:t>
            </w:r>
          </w:p>
        </w:tc>
        <w:tc>
          <w:tcPr>
            <w:tcW w:w="0" w:type="auto"/>
            <w:shd w:val="clear" w:color="000000" w:fill="F2F2F2"/>
            <w:noWrap/>
            <w:vAlign w:val="bottom"/>
            <w:hideMark/>
          </w:tcPr>
          <w:p w14:paraId="5D78DF8D" w14:textId="77777777" w:rsidR="00AB29E5" w:rsidRPr="005C13A0" w:rsidRDefault="00AB29E5" w:rsidP="00AB29E5">
            <w:pPr>
              <w:widowControl/>
              <w:autoSpaceDE/>
              <w:autoSpaceDN/>
              <w:jc w:val="center"/>
              <w:rPr>
                <w:rFonts w:asciiTheme="minorHAnsi" w:eastAsia="Times New Roman" w:hAnsiTheme="minorHAnsi"/>
                <w:color w:val="000000"/>
                <w:szCs w:val="24"/>
              </w:rPr>
            </w:pPr>
            <w:r w:rsidRPr="005C13A0">
              <w:rPr>
                <w:rFonts w:asciiTheme="minorHAnsi" w:eastAsia="Times New Roman" w:hAnsiTheme="minorHAnsi"/>
                <w:color w:val="000000"/>
                <w:szCs w:val="24"/>
              </w:rPr>
              <w:t>100.0%</w:t>
            </w:r>
          </w:p>
        </w:tc>
      </w:tr>
    </w:tbl>
    <w:p w14:paraId="14E8545A" w14:textId="77777777" w:rsidR="00FD0171" w:rsidRDefault="00FD0171" w:rsidP="006734CF"/>
    <w:p w14:paraId="00FD6737" w14:textId="70982638" w:rsidR="00FD0171" w:rsidRDefault="00FD0171" w:rsidP="006734CF">
      <w:r>
        <w:t xml:space="preserve">Table 4 summarizes patient origin data </w:t>
      </w:r>
      <w:r w:rsidR="000E45D2">
        <w:t>for the Applicant’s Patient Panel</w:t>
      </w:r>
      <w:r>
        <w:t xml:space="preserve">. The category “All Other” includes cities and towns represented in the </w:t>
      </w:r>
      <w:r w:rsidR="000E45D2">
        <w:t xml:space="preserve">Applicant’s </w:t>
      </w:r>
      <w:r>
        <w:t xml:space="preserve">Patient Panel with a count less than 11. The Applicant </w:t>
      </w:r>
      <w:r w:rsidR="0097250F">
        <w:t>states</w:t>
      </w:r>
      <w:r w:rsidR="00F15B9E">
        <w:t xml:space="preserve"> </w:t>
      </w:r>
      <w:r w:rsidR="00A361F5">
        <w:t>its</w:t>
      </w:r>
      <w:r>
        <w:t xml:space="preserve"> PSA comprises 20 cities and towns in </w:t>
      </w:r>
      <w:r w:rsidR="007936AF">
        <w:t>Northeastern</w:t>
      </w:r>
      <w:r>
        <w:t xml:space="preserve"> MA</w:t>
      </w:r>
      <w:r w:rsidR="005511F7">
        <w:t>, and that th</w:t>
      </w:r>
      <w:r w:rsidR="003C2867">
        <w:t xml:space="preserve">e geographic origin of </w:t>
      </w:r>
      <w:r w:rsidR="007936AF">
        <w:t>the Center’s</w:t>
      </w:r>
      <w:r w:rsidR="003C2867">
        <w:t xml:space="preserve"> patients</w:t>
      </w:r>
      <w:r w:rsidR="005511F7">
        <w:t xml:space="preserve"> remained consistent from 2022 to 2024.</w:t>
      </w:r>
      <w:r>
        <w:t xml:space="preserve"> The Applicant also notes that </w:t>
      </w:r>
      <w:r w:rsidR="007936AF">
        <w:t>the Center</w:t>
      </w:r>
      <w:r>
        <w:t xml:space="preserve"> serves a number of cities and towns that were also served by NVMC, including Acton, Westford, Littleton, Groton, Harvard, Leominster, Ayer, Lunenburg, and Pepperell. </w:t>
      </w:r>
      <w:r w:rsidR="0097250F">
        <w:t xml:space="preserve">These cities and towns are highlighted yellow in Table </w:t>
      </w:r>
      <w:r w:rsidR="007D3370">
        <w:t>4</w:t>
      </w:r>
      <w:r w:rsidR="0097250F">
        <w:t xml:space="preserve">. </w:t>
      </w:r>
    </w:p>
    <w:p w14:paraId="31CF7988" w14:textId="77777777" w:rsidR="007D3370" w:rsidRDefault="007D3370" w:rsidP="006734CF"/>
    <w:p w14:paraId="42ABE43D" w14:textId="63029B19" w:rsidR="00FD0171" w:rsidRPr="007D3370" w:rsidRDefault="007D3370" w:rsidP="006734CF">
      <w:pPr>
        <w:rPr>
          <w:b/>
          <w:bCs/>
        </w:rPr>
      </w:pPr>
      <w:r w:rsidRPr="007D3370">
        <w:rPr>
          <w:b/>
          <w:bCs/>
          <w:u w:val="single"/>
        </w:rPr>
        <w:t>Table 4</w:t>
      </w:r>
      <w:r w:rsidRPr="007D3370">
        <w:rPr>
          <w:b/>
          <w:bCs/>
        </w:rPr>
        <w:t xml:space="preserve">: </w:t>
      </w:r>
      <w:r w:rsidR="00C42A5B">
        <w:rPr>
          <w:b/>
          <w:bCs/>
        </w:rPr>
        <w:t>EDHC</w:t>
      </w:r>
      <w:r w:rsidRPr="007D3370">
        <w:rPr>
          <w:b/>
          <w:bCs/>
        </w:rPr>
        <w:t xml:space="preserve"> PSA</w:t>
      </w:r>
      <w:r w:rsidR="00995BB1">
        <w:rPr>
          <w:b/>
          <w:bCs/>
        </w:rPr>
        <w:t>, 2022 to 2024</w:t>
      </w:r>
      <w:r w:rsidRPr="007D3370">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233"/>
        <w:gridCol w:w="1403"/>
        <w:gridCol w:w="1233"/>
        <w:gridCol w:w="1403"/>
        <w:gridCol w:w="1233"/>
        <w:gridCol w:w="1403"/>
      </w:tblGrid>
      <w:tr w:rsidR="00A47A14" w:rsidRPr="00A47A14" w14:paraId="23EFB8F1" w14:textId="77777777" w:rsidTr="00947FDE">
        <w:trPr>
          <w:trHeight w:val="380"/>
        </w:trPr>
        <w:tc>
          <w:tcPr>
            <w:tcW w:w="0" w:type="auto"/>
            <w:shd w:val="clear" w:color="auto" w:fill="DBE5F1" w:themeFill="accent1" w:themeFillTint="33"/>
            <w:hideMark/>
          </w:tcPr>
          <w:p w14:paraId="4E52A753" w14:textId="7BB4CB51" w:rsidR="00A47A14" w:rsidRPr="00A47A14" w:rsidRDefault="00A47A14" w:rsidP="00A47A14">
            <w:pPr>
              <w:widowControl/>
              <w:autoSpaceDE/>
              <w:autoSpaceDN/>
              <w:rPr>
                <w:rFonts w:asciiTheme="minorHAnsi" w:eastAsia="Times New Roman" w:hAnsiTheme="minorHAnsi"/>
                <w:b/>
                <w:bCs/>
                <w:color w:val="000000"/>
                <w:szCs w:val="24"/>
              </w:rPr>
            </w:pPr>
            <w:r w:rsidRPr="00A47A14">
              <w:rPr>
                <w:rFonts w:asciiTheme="minorHAnsi" w:eastAsia="Times New Roman" w:hAnsiTheme="minorHAnsi"/>
                <w:b/>
                <w:bCs/>
                <w:color w:val="000000"/>
                <w:szCs w:val="24"/>
              </w:rPr>
              <w:t xml:space="preserve">Geographic Origin </w:t>
            </w:r>
          </w:p>
        </w:tc>
        <w:tc>
          <w:tcPr>
            <w:tcW w:w="0" w:type="auto"/>
            <w:shd w:val="clear" w:color="auto" w:fill="DBE5F1" w:themeFill="accent1" w:themeFillTint="33"/>
            <w:vAlign w:val="center"/>
            <w:hideMark/>
          </w:tcPr>
          <w:p w14:paraId="53E9E75B" w14:textId="77777777" w:rsidR="00A47A14" w:rsidRPr="00A47A14" w:rsidRDefault="00A47A14" w:rsidP="00A47A14">
            <w:pPr>
              <w:widowControl/>
              <w:autoSpaceDE/>
              <w:autoSpaceDN/>
              <w:jc w:val="center"/>
              <w:rPr>
                <w:rFonts w:asciiTheme="minorHAnsi" w:eastAsia="Times New Roman" w:hAnsiTheme="minorHAnsi"/>
                <w:b/>
                <w:bCs/>
                <w:color w:val="000000"/>
                <w:szCs w:val="24"/>
              </w:rPr>
            </w:pPr>
            <w:r w:rsidRPr="00A47A14">
              <w:rPr>
                <w:rFonts w:asciiTheme="minorHAnsi" w:eastAsia="Times New Roman" w:hAnsiTheme="minorHAnsi"/>
                <w:b/>
                <w:bCs/>
                <w:color w:val="000000"/>
                <w:szCs w:val="24"/>
              </w:rPr>
              <w:t>2022 Count</w:t>
            </w:r>
          </w:p>
        </w:tc>
        <w:tc>
          <w:tcPr>
            <w:tcW w:w="0" w:type="auto"/>
            <w:shd w:val="clear" w:color="auto" w:fill="DBE5F1" w:themeFill="accent1" w:themeFillTint="33"/>
            <w:vAlign w:val="center"/>
            <w:hideMark/>
          </w:tcPr>
          <w:p w14:paraId="4F5D5D7B" w14:textId="77777777" w:rsidR="00A47A14" w:rsidRPr="00A47A14" w:rsidRDefault="00A47A14" w:rsidP="00A47A14">
            <w:pPr>
              <w:widowControl/>
              <w:autoSpaceDE/>
              <w:autoSpaceDN/>
              <w:jc w:val="center"/>
              <w:rPr>
                <w:rFonts w:asciiTheme="minorHAnsi" w:eastAsia="Times New Roman" w:hAnsiTheme="minorHAnsi"/>
                <w:b/>
                <w:bCs/>
                <w:color w:val="000000"/>
                <w:szCs w:val="24"/>
              </w:rPr>
            </w:pPr>
            <w:r w:rsidRPr="00A47A14">
              <w:rPr>
                <w:rFonts w:asciiTheme="minorHAnsi" w:eastAsia="Times New Roman" w:hAnsiTheme="minorHAnsi"/>
                <w:b/>
                <w:bCs/>
                <w:color w:val="000000"/>
                <w:szCs w:val="24"/>
              </w:rPr>
              <w:t>2022 Percent</w:t>
            </w:r>
          </w:p>
        </w:tc>
        <w:tc>
          <w:tcPr>
            <w:tcW w:w="0" w:type="auto"/>
            <w:shd w:val="clear" w:color="auto" w:fill="DBE5F1" w:themeFill="accent1" w:themeFillTint="33"/>
            <w:vAlign w:val="center"/>
            <w:hideMark/>
          </w:tcPr>
          <w:p w14:paraId="4BD82634" w14:textId="77777777" w:rsidR="00A47A14" w:rsidRPr="00A47A14" w:rsidRDefault="00A47A14" w:rsidP="00A47A14">
            <w:pPr>
              <w:widowControl/>
              <w:autoSpaceDE/>
              <w:autoSpaceDN/>
              <w:jc w:val="center"/>
              <w:rPr>
                <w:rFonts w:asciiTheme="minorHAnsi" w:eastAsia="Times New Roman" w:hAnsiTheme="minorHAnsi"/>
                <w:b/>
                <w:bCs/>
                <w:color w:val="000000"/>
                <w:szCs w:val="24"/>
              </w:rPr>
            </w:pPr>
            <w:r w:rsidRPr="00A47A14">
              <w:rPr>
                <w:rFonts w:asciiTheme="minorHAnsi" w:eastAsia="Times New Roman" w:hAnsiTheme="minorHAnsi"/>
                <w:b/>
                <w:bCs/>
                <w:color w:val="000000"/>
                <w:szCs w:val="24"/>
              </w:rPr>
              <w:t>2023 Count</w:t>
            </w:r>
          </w:p>
        </w:tc>
        <w:tc>
          <w:tcPr>
            <w:tcW w:w="0" w:type="auto"/>
            <w:shd w:val="clear" w:color="auto" w:fill="DBE5F1" w:themeFill="accent1" w:themeFillTint="33"/>
            <w:vAlign w:val="center"/>
            <w:hideMark/>
          </w:tcPr>
          <w:p w14:paraId="3E3E6FA8" w14:textId="77777777" w:rsidR="00A47A14" w:rsidRPr="00A47A14" w:rsidRDefault="00A47A14" w:rsidP="00A47A14">
            <w:pPr>
              <w:widowControl/>
              <w:autoSpaceDE/>
              <w:autoSpaceDN/>
              <w:jc w:val="center"/>
              <w:rPr>
                <w:rFonts w:asciiTheme="minorHAnsi" w:eastAsia="Times New Roman" w:hAnsiTheme="minorHAnsi"/>
                <w:b/>
                <w:bCs/>
                <w:color w:val="000000"/>
                <w:szCs w:val="24"/>
              </w:rPr>
            </w:pPr>
            <w:r w:rsidRPr="00A47A14">
              <w:rPr>
                <w:rFonts w:asciiTheme="minorHAnsi" w:eastAsia="Times New Roman" w:hAnsiTheme="minorHAnsi"/>
                <w:b/>
                <w:bCs/>
                <w:color w:val="000000"/>
                <w:szCs w:val="24"/>
              </w:rPr>
              <w:t>2023 Percent</w:t>
            </w:r>
          </w:p>
        </w:tc>
        <w:tc>
          <w:tcPr>
            <w:tcW w:w="0" w:type="auto"/>
            <w:shd w:val="clear" w:color="auto" w:fill="DBE5F1" w:themeFill="accent1" w:themeFillTint="33"/>
            <w:vAlign w:val="center"/>
            <w:hideMark/>
          </w:tcPr>
          <w:p w14:paraId="7C4E66E8" w14:textId="77777777" w:rsidR="00A47A14" w:rsidRPr="00A47A14" w:rsidRDefault="00A47A14" w:rsidP="00A47A14">
            <w:pPr>
              <w:widowControl/>
              <w:autoSpaceDE/>
              <w:autoSpaceDN/>
              <w:jc w:val="center"/>
              <w:rPr>
                <w:rFonts w:asciiTheme="minorHAnsi" w:eastAsia="Times New Roman" w:hAnsiTheme="minorHAnsi"/>
                <w:b/>
                <w:bCs/>
                <w:color w:val="000000"/>
                <w:szCs w:val="24"/>
              </w:rPr>
            </w:pPr>
            <w:r w:rsidRPr="00A47A14">
              <w:rPr>
                <w:rFonts w:asciiTheme="minorHAnsi" w:eastAsia="Times New Roman" w:hAnsiTheme="minorHAnsi"/>
                <w:b/>
                <w:bCs/>
                <w:color w:val="000000"/>
                <w:szCs w:val="24"/>
              </w:rPr>
              <w:t>2024 Count</w:t>
            </w:r>
          </w:p>
        </w:tc>
        <w:tc>
          <w:tcPr>
            <w:tcW w:w="0" w:type="auto"/>
            <w:shd w:val="clear" w:color="auto" w:fill="DBE5F1" w:themeFill="accent1" w:themeFillTint="33"/>
            <w:vAlign w:val="center"/>
            <w:hideMark/>
          </w:tcPr>
          <w:p w14:paraId="66CEBB2E" w14:textId="77777777" w:rsidR="00A47A14" w:rsidRPr="00A47A14" w:rsidRDefault="00A47A14" w:rsidP="00A47A14">
            <w:pPr>
              <w:widowControl/>
              <w:autoSpaceDE/>
              <w:autoSpaceDN/>
              <w:jc w:val="center"/>
              <w:rPr>
                <w:rFonts w:asciiTheme="minorHAnsi" w:eastAsia="Times New Roman" w:hAnsiTheme="minorHAnsi"/>
                <w:b/>
                <w:bCs/>
                <w:color w:val="000000"/>
                <w:szCs w:val="24"/>
              </w:rPr>
            </w:pPr>
            <w:r w:rsidRPr="00A47A14">
              <w:rPr>
                <w:rFonts w:asciiTheme="minorHAnsi" w:eastAsia="Times New Roman" w:hAnsiTheme="minorHAnsi"/>
                <w:b/>
                <w:bCs/>
                <w:color w:val="000000"/>
                <w:szCs w:val="24"/>
              </w:rPr>
              <w:t>2024 Percent</w:t>
            </w:r>
          </w:p>
        </w:tc>
      </w:tr>
      <w:tr w:rsidR="00A47A14" w:rsidRPr="00A47A14" w14:paraId="7B380DD5" w14:textId="77777777" w:rsidTr="00A47A14">
        <w:trPr>
          <w:trHeight w:val="290"/>
        </w:trPr>
        <w:tc>
          <w:tcPr>
            <w:tcW w:w="0" w:type="auto"/>
            <w:vAlign w:val="center"/>
            <w:hideMark/>
          </w:tcPr>
          <w:p w14:paraId="578232C9" w14:textId="77777777" w:rsidR="00A47A14" w:rsidRPr="00A47A14" w:rsidRDefault="00A47A14" w:rsidP="00A47A14">
            <w:pPr>
              <w:widowControl/>
              <w:autoSpaceDE/>
              <w:autoSpaceDN/>
              <w:rPr>
                <w:rFonts w:asciiTheme="minorHAnsi" w:eastAsia="Times New Roman" w:hAnsiTheme="minorHAnsi"/>
                <w:color w:val="000000"/>
                <w:szCs w:val="24"/>
              </w:rPr>
            </w:pPr>
            <w:r w:rsidRPr="00A47A14">
              <w:rPr>
                <w:rFonts w:asciiTheme="minorHAnsi" w:eastAsia="Times New Roman" w:hAnsiTheme="minorHAnsi"/>
                <w:color w:val="000000"/>
                <w:szCs w:val="24"/>
              </w:rPr>
              <w:t>Concord</w:t>
            </w:r>
          </w:p>
        </w:tc>
        <w:tc>
          <w:tcPr>
            <w:tcW w:w="0" w:type="auto"/>
            <w:vAlign w:val="center"/>
            <w:hideMark/>
          </w:tcPr>
          <w:p w14:paraId="38E3299A"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134</w:t>
            </w:r>
          </w:p>
        </w:tc>
        <w:tc>
          <w:tcPr>
            <w:tcW w:w="0" w:type="auto"/>
            <w:vAlign w:val="center"/>
            <w:hideMark/>
          </w:tcPr>
          <w:p w14:paraId="7DBFD7F3"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8.3%</w:t>
            </w:r>
          </w:p>
        </w:tc>
        <w:tc>
          <w:tcPr>
            <w:tcW w:w="0" w:type="auto"/>
            <w:vAlign w:val="center"/>
            <w:hideMark/>
          </w:tcPr>
          <w:p w14:paraId="43CC91C5"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310</w:t>
            </w:r>
          </w:p>
        </w:tc>
        <w:tc>
          <w:tcPr>
            <w:tcW w:w="0" w:type="auto"/>
            <w:vAlign w:val="center"/>
            <w:hideMark/>
          </w:tcPr>
          <w:p w14:paraId="1A00FC39"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9.7%</w:t>
            </w:r>
          </w:p>
        </w:tc>
        <w:tc>
          <w:tcPr>
            <w:tcW w:w="0" w:type="auto"/>
            <w:vAlign w:val="center"/>
            <w:hideMark/>
          </w:tcPr>
          <w:p w14:paraId="32D8DF63"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379</w:t>
            </w:r>
          </w:p>
        </w:tc>
        <w:tc>
          <w:tcPr>
            <w:tcW w:w="0" w:type="auto"/>
            <w:vAlign w:val="center"/>
            <w:hideMark/>
          </w:tcPr>
          <w:p w14:paraId="44FEBA26"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7.9%</w:t>
            </w:r>
          </w:p>
        </w:tc>
      </w:tr>
      <w:tr w:rsidR="00A47A14" w:rsidRPr="00A47A14" w14:paraId="027AA8C0" w14:textId="77777777" w:rsidTr="00F5304B">
        <w:trPr>
          <w:trHeight w:val="290"/>
        </w:trPr>
        <w:tc>
          <w:tcPr>
            <w:tcW w:w="0" w:type="auto"/>
            <w:shd w:val="clear" w:color="auto" w:fill="FFFFCC"/>
            <w:vAlign w:val="center"/>
            <w:hideMark/>
          </w:tcPr>
          <w:p w14:paraId="30778FE7" w14:textId="77777777" w:rsidR="00A47A14" w:rsidRPr="00A47A14" w:rsidRDefault="00A47A14" w:rsidP="00A47A14">
            <w:pPr>
              <w:widowControl/>
              <w:autoSpaceDE/>
              <w:autoSpaceDN/>
              <w:rPr>
                <w:rFonts w:asciiTheme="minorHAnsi" w:eastAsia="Times New Roman" w:hAnsiTheme="minorHAnsi"/>
                <w:color w:val="000000"/>
                <w:szCs w:val="24"/>
              </w:rPr>
            </w:pPr>
            <w:r w:rsidRPr="00A47A14">
              <w:rPr>
                <w:rFonts w:asciiTheme="minorHAnsi" w:eastAsia="Times New Roman" w:hAnsiTheme="minorHAnsi"/>
                <w:color w:val="000000"/>
                <w:szCs w:val="24"/>
              </w:rPr>
              <w:t>Acton</w:t>
            </w:r>
          </w:p>
        </w:tc>
        <w:tc>
          <w:tcPr>
            <w:tcW w:w="0" w:type="auto"/>
            <w:shd w:val="clear" w:color="auto" w:fill="FFFFCC"/>
            <w:vAlign w:val="center"/>
            <w:hideMark/>
          </w:tcPr>
          <w:p w14:paraId="75D85D91"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123</w:t>
            </w:r>
          </w:p>
        </w:tc>
        <w:tc>
          <w:tcPr>
            <w:tcW w:w="0" w:type="auto"/>
            <w:shd w:val="clear" w:color="auto" w:fill="FFFFCC"/>
            <w:vAlign w:val="center"/>
            <w:hideMark/>
          </w:tcPr>
          <w:p w14:paraId="088A7CEA"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7.6%</w:t>
            </w:r>
          </w:p>
        </w:tc>
        <w:tc>
          <w:tcPr>
            <w:tcW w:w="0" w:type="auto"/>
            <w:shd w:val="clear" w:color="auto" w:fill="FFFFCC"/>
            <w:vAlign w:val="center"/>
            <w:hideMark/>
          </w:tcPr>
          <w:p w14:paraId="43E6CC96"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275</w:t>
            </w:r>
          </w:p>
        </w:tc>
        <w:tc>
          <w:tcPr>
            <w:tcW w:w="0" w:type="auto"/>
            <w:shd w:val="clear" w:color="auto" w:fill="FFFFCC"/>
            <w:vAlign w:val="center"/>
            <w:hideMark/>
          </w:tcPr>
          <w:p w14:paraId="08437D73"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8.6%</w:t>
            </w:r>
          </w:p>
        </w:tc>
        <w:tc>
          <w:tcPr>
            <w:tcW w:w="0" w:type="auto"/>
            <w:shd w:val="clear" w:color="auto" w:fill="FFFFCC"/>
            <w:vAlign w:val="center"/>
            <w:hideMark/>
          </w:tcPr>
          <w:p w14:paraId="203047EC"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383</w:t>
            </w:r>
          </w:p>
        </w:tc>
        <w:tc>
          <w:tcPr>
            <w:tcW w:w="0" w:type="auto"/>
            <w:shd w:val="clear" w:color="auto" w:fill="FFFFCC"/>
            <w:vAlign w:val="center"/>
            <w:hideMark/>
          </w:tcPr>
          <w:p w14:paraId="7743E37A"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8.0%</w:t>
            </w:r>
          </w:p>
        </w:tc>
      </w:tr>
      <w:tr w:rsidR="00A47A14" w:rsidRPr="00A47A14" w14:paraId="7F600873" w14:textId="77777777" w:rsidTr="00A47A14">
        <w:trPr>
          <w:trHeight w:val="290"/>
        </w:trPr>
        <w:tc>
          <w:tcPr>
            <w:tcW w:w="0" w:type="auto"/>
            <w:vAlign w:val="center"/>
            <w:hideMark/>
          </w:tcPr>
          <w:p w14:paraId="36A870BE" w14:textId="77777777" w:rsidR="00A47A14" w:rsidRPr="00A47A14" w:rsidRDefault="00A47A14" w:rsidP="00A47A14">
            <w:pPr>
              <w:widowControl/>
              <w:autoSpaceDE/>
              <w:autoSpaceDN/>
              <w:rPr>
                <w:rFonts w:asciiTheme="minorHAnsi" w:eastAsia="Times New Roman" w:hAnsiTheme="minorHAnsi"/>
                <w:color w:val="000000"/>
                <w:szCs w:val="24"/>
              </w:rPr>
            </w:pPr>
            <w:r w:rsidRPr="00A47A14">
              <w:rPr>
                <w:rFonts w:asciiTheme="minorHAnsi" w:eastAsia="Times New Roman" w:hAnsiTheme="minorHAnsi"/>
                <w:color w:val="000000"/>
                <w:szCs w:val="24"/>
              </w:rPr>
              <w:t>Sudbury</w:t>
            </w:r>
          </w:p>
        </w:tc>
        <w:tc>
          <w:tcPr>
            <w:tcW w:w="0" w:type="auto"/>
            <w:vAlign w:val="center"/>
            <w:hideMark/>
          </w:tcPr>
          <w:p w14:paraId="76F9FC31"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100</w:t>
            </w:r>
          </w:p>
        </w:tc>
        <w:tc>
          <w:tcPr>
            <w:tcW w:w="0" w:type="auto"/>
            <w:vAlign w:val="center"/>
            <w:hideMark/>
          </w:tcPr>
          <w:p w14:paraId="6F4CEC78"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6.2%</w:t>
            </w:r>
          </w:p>
        </w:tc>
        <w:tc>
          <w:tcPr>
            <w:tcW w:w="0" w:type="auto"/>
            <w:vAlign w:val="center"/>
            <w:hideMark/>
          </w:tcPr>
          <w:p w14:paraId="75189D6B"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200</w:t>
            </w:r>
          </w:p>
        </w:tc>
        <w:tc>
          <w:tcPr>
            <w:tcW w:w="0" w:type="auto"/>
            <w:vAlign w:val="center"/>
            <w:hideMark/>
          </w:tcPr>
          <w:p w14:paraId="4C5C0C61"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6.2%</w:t>
            </w:r>
          </w:p>
        </w:tc>
        <w:tc>
          <w:tcPr>
            <w:tcW w:w="0" w:type="auto"/>
            <w:vAlign w:val="center"/>
            <w:hideMark/>
          </w:tcPr>
          <w:p w14:paraId="0253BE7B"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269</w:t>
            </w:r>
          </w:p>
        </w:tc>
        <w:tc>
          <w:tcPr>
            <w:tcW w:w="0" w:type="auto"/>
            <w:vAlign w:val="center"/>
            <w:hideMark/>
          </w:tcPr>
          <w:p w14:paraId="61BF34F8"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5.6%</w:t>
            </w:r>
          </w:p>
        </w:tc>
      </w:tr>
      <w:tr w:rsidR="00A47A14" w:rsidRPr="00A47A14" w14:paraId="57CF4DD0" w14:textId="77777777" w:rsidTr="00F5304B">
        <w:trPr>
          <w:trHeight w:val="290"/>
        </w:trPr>
        <w:tc>
          <w:tcPr>
            <w:tcW w:w="0" w:type="auto"/>
            <w:shd w:val="clear" w:color="auto" w:fill="FFFFCC"/>
            <w:vAlign w:val="center"/>
            <w:hideMark/>
          </w:tcPr>
          <w:p w14:paraId="22312C60" w14:textId="77777777" w:rsidR="00A47A14" w:rsidRPr="00A47A14" w:rsidRDefault="00A47A14" w:rsidP="00A47A14">
            <w:pPr>
              <w:widowControl/>
              <w:autoSpaceDE/>
              <w:autoSpaceDN/>
              <w:rPr>
                <w:rFonts w:asciiTheme="minorHAnsi" w:eastAsia="Times New Roman" w:hAnsiTheme="minorHAnsi"/>
                <w:color w:val="000000"/>
                <w:szCs w:val="24"/>
              </w:rPr>
            </w:pPr>
            <w:r w:rsidRPr="00A47A14">
              <w:rPr>
                <w:rFonts w:asciiTheme="minorHAnsi" w:eastAsia="Times New Roman" w:hAnsiTheme="minorHAnsi"/>
                <w:color w:val="000000"/>
                <w:szCs w:val="24"/>
              </w:rPr>
              <w:t>Westford</w:t>
            </w:r>
          </w:p>
        </w:tc>
        <w:tc>
          <w:tcPr>
            <w:tcW w:w="0" w:type="auto"/>
            <w:shd w:val="clear" w:color="auto" w:fill="FFFFCC"/>
            <w:vAlign w:val="center"/>
            <w:hideMark/>
          </w:tcPr>
          <w:p w14:paraId="53801772"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96</w:t>
            </w:r>
          </w:p>
        </w:tc>
        <w:tc>
          <w:tcPr>
            <w:tcW w:w="0" w:type="auto"/>
            <w:shd w:val="clear" w:color="auto" w:fill="FFFFCC"/>
            <w:vAlign w:val="center"/>
            <w:hideMark/>
          </w:tcPr>
          <w:p w14:paraId="74104F92"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6.0%</w:t>
            </w:r>
          </w:p>
        </w:tc>
        <w:tc>
          <w:tcPr>
            <w:tcW w:w="0" w:type="auto"/>
            <w:shd w:val="clear" w:color="auto" w:fill="FFFFCC"/>
            <w:vAlign w:val="center"/>
            <w:hideMark/>
          </w:tcPr>
          <w:p w14:paraId="30C9881B"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184</w:t>
            </w:r>
          </w:p>
        </w:tc>
        <w:tc>
          <w:tcPr>
            <w:tcW w:w="0" w:type="auto"/>
            <w:shd w:val="clear" w:color="auto" w:fill="FFFFCC"/>
            <w:vAlign w:val="center"/>
            <w:hideMark/>
          </w:tcPr>
          <w:p w14:paraId="3E773539"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5.7%</w:t>
            </w:r>
          </w:p>
        </w:tc>
        <w:tc>
          <w:tcPr>
            <w:tcW w:w="0" w:type="auto"/>
            <w:shd w:val="clear" w:color="auto" w:fill="FFFFCC"/>
            <w:vAlign w:val="center"/>
            <w:hideMark/>
          </w:tcPr>
          <w:p w14:paraId="7E419522"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237</w:t>
            </w:r>
          </w:p>
        </w:tc>
        <w:tc>
          <w:tcPr>
            <w:tcW w:w="0" w:type="auto"/>
            <w:shd w:val="clear" w:color="auto" w:fill="FFFFCC"/>
            <w:vAlign w:val="center"/>
            <w:hideMark/>
          </w:tcPr>
          <w:p w14:paraId="350339DB"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4.9%</w:t>
            </w:r>
          </w:p>
        </w:tc>
      </w:tr>
      <w:tr w:rsidR="00A47A14" w:rsidRPr="00A47A14" w14:paraId="6443D6B6" w14:textId="77777777" w:rsidTr="00A47A14">
        <w:trPr>
          <w:trHeight w:val="290"/>
        </w:trPr>
        <w:tc>
          <w:tcPr>
            <w:tcW w:w="0" w:type="auto"/>
            <w:vAlign w:val="center"/>
            <w:hideMark/>
          </w:tcPr>
          <w:p w14:paraId="46E91ACD" w14:textId="77777777" w:rsidR="00A47A14" w:rsidRPr="00A47A14" w:rsidRDefault="00A47A14" w:rsidP="00A47A14">
            <w:pPr>
              <w:widowControl/>
              <w:autoSpaceDE/>
              <w:autoSpaceDN/>
              <w:rPr>
                <w:rFonts w:asciiTheme="minorHAnsi" w:eastAsia="Times New Roman" w:hAnsiTheme="minorHAnsi"/>
                <w:color w:val="000000"/>
                <w:szCs w:val="24"/>
              </w:rPr>
            </w:pPr>
            <w:r w:rsidRPr="00A47A14">
              <w:rPr>
                <w:rFonts w:asciiTheme="minorHAnsi" w:eastAsia="Times New Roman" w:hAnsiTheme="minorHAnsi"/>
                <w:color w:val="000000"/>
                <w:szCs w:val="24"/>
              </w:rPr>
              <w:t>Bedford</w:t>
            </w:r>
          </w:p>
        </w:tc>
        <w:tc>
          <w:tcPr>
            <w:tcW w:w="0" w:type="auto"/>
            <w:vAlign w:val="center"/>
            <w:hideMark/>
          </w:tcPr>
          <w:p w14:paraId="77B5F612"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75</w:t>
            </w:r>
          </w:p>
        </w:tc>
        <w:tc>
          <w:tcPr>
            <w:tcW w:w="0" w:type="auto"/>
            <w:vAlign w:val="center"/>
            <w:hideMark/>
          </w:tcPr>
          <w:p w14:paraId="1AAE1B4F"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4.7%</w:t>
            </w:r>
          </w:p>
        </w:tc>
        <w:tc>
          <w:tcPr>
            <w:tcW w:w="0" w:type="auto"/>
            <w:vAlign w:val="center"/>
            <w:hideMark/>
          </w:tcPr>
          <w:p w14:paraId="245A6876"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118</w:t>
            </w:r>
          </w:p>
        </w:tc>
        <w:tc>
          <w:tcPr>
            <w:tcW w:w="0" w:type="auto"/>
            <w:vAlign w:val="center"/>
            <w:hideMark/>
          </w:tcPr>
          <w:p w14:paraId="3B664AA3"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3.7%</w:t>
            </w:r>
          </w:p>
        </w:tc>
        <w:tc>
          <w:tcPr>
            <w:tcW w:w="0" w:type="auto"/>
            <w:vAlign w:val="center"/>
            <w:hideMark/>
          </w:tcPr>
          <w:p w14:paraId="5E4A2BE6"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162</w:t>
            </w:r>
          </w:p>
        </w:tc>
        <w:tc>
          <w:tcPr>
            <w:tcW w:w="0" w:type="auto"/>
            <w:vAlign w:val="center"/>
            <w:hideMark/>
          </w:tcPr>
          <w:p w14:paraId="5E830AD8"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3.4%</w:t>
            </w:r>
          </w:p>
        </w:tc>
      </w:tr>
      <w:tr w:rsidR="00A47A14" w:rsidRPr="00A47A14" w14:paraId="21F5A1D0" w14:textId="77777777" w:rsidTr="00A47A14">
        <w:trPr>
          <w:trHeight w:val="290"/>
        </w:trPr>
        <w:tc>
          <w:tcPr>
            <w:tcW w:w="0" w:type="auto"/>
            <w:vAlign w:val="center"/>
            <w:hideMark/>
          </w:tcPr>
          <w:p w14:paraId="1990E095" w14:textId="77777777" w:rsidR="00A47A14" w:rsidRPr="00A47A14" w:rsidRDefault="00A47A14" w:rsidP="00A47A14">
            <w:pPr>
              <w:widowControl/>
              <w:autoSpaceDE/>
              <w:autoSpaceDN/>
              <w:rPr>
                <w:rFonts w:asciiTheme="minorHAnsi" w:eastAsia="Times New Roman" w:hAnsiTheme="minorHAnsi"/>
                <w:color w:val="000000"/>
                <w:szCs w:val="24"/>
              </w:rPr>
            </w:pPr>
            <w:r w:rsidRPr="00A47A14">
              <w:rPr>
                <w:rFonts w:asciiTheme="minorHAnsi" w:eastAsia="Times New Roman" w:hAnsiTheme="minorHAnsi"/>
                <w:color w:val="000000"/>
                <w:szCs w:val="24"/>
              </w:rPr>
              <w:t>Maynard</w:t>
            </w:r>
          </w:p>
        </w:tc>
        <w:tc>
          <w:tcPr>
            <w:tcW w:w="0" w:type="auto"/>
            <w:vAlign w:val="center"/>
            <w:hideMark/>
          </w:tcPr>
          <w:p w14:paraId="66046D26"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66</w:t>
            </w:r>
          </w:p>
        </w:tc>
        <w:tc>
          <w:tcPr>
            <w:tcW w:w="0" w:type="auto"/>
            <w:vAlign w:val="center"/>
            <w:hideMark/>
          </w:tcPr>
          <w:p w14:paraId="52DC2D69"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4.1%</w:t>
            </w:r>
          </w:p>
        </w:tc>
        <w:tc>
          <w:tcPr>
            <w:tcW w:w="0" w:type="auto"/>
            <w:vAlign w:val="center"/>
            <w:hideMark/>
          </w:tcPr>
          <w:p w14:paraId="63C6F07B"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150</w:t>
            </w:r>
          </w:p>
        </w:tc>
        <w:tc>
          <w:tcPr>
            <w:tcW w:w="0" w:type="auto"/>
            <w:vAlign w:val="center"/>
            <w:hideMark/>
          </w:tcPr>
          <w:p w14:paraId="620488A1"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4.7%</w:t>
            </w:r>
          </w:p>
        </w:tc>
        <w:tc>
          <w:tcPr>
            <w:tcW w:w="0" w:type="auto"/>
            <w:vAlign w:val="center"/>
            <w:hideMark/>
          </w:tcPr>
          <w:p w14:paraId="62FA828B"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209</w:t>
            </w:r>
          </w:p>
        </w:tc>
        <w:tc>
          <w:tcPr>
            <w:tcW w:w="0" w:type="auto"/>
            <w:vAlign w:val="center"/>
            <w:hideMark/>
          </w:tcPr>
          <w:p w14:paraId="3F6F0A94"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4.4%</w:t>
            </w:r>
          </w:p>
        </w:tc>
      </w:tr>
      <w:tr w:rsidR="00A47A14" w:rsidRPr="00A47A14" w14:paraId="66CDBBCD" w14:textId="77777777" w:rsidTr="00F5304B">
        <w:trPr>
          <w:trHeight w:val="290"/>
        </w:trPr>
        <w:tc>
          <w:tcPr>
            <w:tcW w:w="0" w:type="auto"/>
            <w:shd w:val="clear" w:color="auto" w:fill="FFFFCC"/>
            <w:vAlign w:val="center"/>
            <w:hideMark/>
          </w:tcPr>
          <w:p w14:paraId="674D7E6E" w14:textId="77777777" w:rsidR="00A47A14" w:rsidRPr="00A47A14" w:rsidRDefault="00A47A14" w:rsidP="00A47A14">
            <w:pPr>
              <w:widowControl/>
              <w:autoSpaceDE/>
              <w:autoSpaceDN/>
              <w:rPr>
                <w:rFonts w:asciiTheme="minorHAnsi" w:eastAsia="Times New Roman" w:hAnsiTheme="minorHAnsi"/>
                <w:color w:val="000000"/>
                <w:szCs w:val="24"/>
              </w:rPr>
            </w:pPr>
            <w:r w:rsidRPr="00A47A14">
              <w:rPr>
                <w:rFonts w:asciiTheme="minorHAnsi" w:eastAsia="Times New Roman" w:hAnsiTheme="minorHAnsi"/>
                <w:color w:val="000000"/>
                <w:szCs w:val="24"/>
              </w:rPr>
              <w:t>Littleton</w:t>
            </w:r>
          </w:p>
        </w:tc>
        <w:tc>
          <w:tcPr>
            <w:tcW w:w="0" w:type="auto"/>
            <w:shd w:val="clear" w:color="auto" w:fill="FFFFCC"/>
            <w:vAlign w:val="center"/>
            <w:hideMark/>
          </w:tcPr>
          <w:p w14:paraId="22F821F2"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58</w:t>
            </w:r>
          </w:p>
        </w:tc>
        <w:tc>
          <w:tcPr>
            <w:tcW w:w="0" w:type="auto"/>
            <w:shd w:val="clear" w:color="auto" w:fill="FFFFCC"/>
            <w:vAlign w:val="center"/>
            <w:hideMark/>
          </w:tcPr>
          <w:p w14:paraId="243B0E8B"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3.6%</w:t>
            </w:r>
          </w:p>
        </w:tc>
        <w:tc>
          <w:tcPr>
            <w:tcW w:w="0" w:type="auto"/>
            <w:shd w:val="clear" w:color="auto" w:fill="FFFFCC"/>
            <w:vAlign w:val="center"/>
            <w:hideMark/>
          </w:tcPr>
          <w:p w14:paraId="08A9A4DE"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110</w:t>
            </w:r>
          </w:p>
        </w:tc>
        <w:tc>
          <w:tcPr>
            <w:tcW w:w="0" w:type="auto"/>
            <w:shd w:val="clear" w:color="auto" w:fill="FFFFCC"/>
            <w:vAlign w:val="center"/>
            <w:hideMark/>
          </w:tcPr>
          <w:p w14:paraId="6F269F3A"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3.4%</w:t>
            </w:r>
          </w:p>
        </w:tc>
        <w:tc>
          <w:tcPr>
            <w:tcW w:w="0" w:type="auto"/>
            <w:shd w:val="clear" w:color="auto" w:fill="FFFFCC"/>
            <w:vAlign w:val="center"/>
            <w:hideMark/>
          </w:tcPr>
          <w:p w14:paraId="37B77852"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177</w:t>
            </w:r>
          </w:p>
        </w:tc>
        <w:tc>
          <w:tcPr>
            <w:tcW w:w="0" w:type="auto"/>
            <w:shd w:val="clear" w:color="auto" w:fill="FFFFCC"/>
            <w:vAlign w:val="center"/>
            <w:hideMark/>
          </w:tcPr>
          <w:p w14:paraId="148FAC32"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3.7%</w:t>
            </w:r>
          </w:p>
        </w:tc>
      </w:tr>
      <w:tr w:rsidR="00A47A14" w:rsidRPr="00A47A14" w14:paraId="674D862A" w14:textId="77777777" w:rsidTr="00F5304B">
        <w:trPr>
          <w:trHeight w:val="290"/>
        </w:trPr>
        <w:tc>
          <w:tcPr>
            <w:tcW w:w="0" w:type="auto"/>
            <w:shd w:val="clear" w:color="auto" w:fill="FFFFCC"/>
            <w:vAlign w:val="center"/>
            <w:hideMark/>
          </w:tcPr>
          <w:p w14:paraId="7DAA85CE" w14:textId="77777777" w:rsidR="00A47A14" w:rsidRPr="00A47A14" w:rsidRDefault="00A47A14" w:rsidP="00A47A14">
            <w:pPr>
              <w:widowControl/>
              <w:autoSpaceDE/>
              <w:autoSpaceDN/>
              <w:rPr>
                <w:rFonts w:asciiTheme="minorHAnsi" w:eastAsia="Times New Roman" w:hAnsiTheme="minorHAnsi"/>
                <w:color w:val="000000"/>
                <w:szCs w:val="24"/>
              </w:rPr>
            </w:pPr>
            <w:r w:rsidRPr="00A47A14">
              <w:rPr>
                <w:rFonts w:asciiTheme="minorHAnsi" w:eastAsia="Times New Roman" w:hAnsiTheme="minorHAnsi"/>
                <w:color w:val="000000"/>
                <w:szCs w:val="24"/>
              </w:rPr>
              <w:t>Groton</w:t>
            </w:r>
          </w:p>
        </w:tc>
        <w:tc>
          <w:tcPr>
            <w:tcW w:w="0" w:type="auto"/>
            <w:shd w:val="clear" w:color="auto" w:fill="FFFFCC"/>
            <w:vAlign w:val="center"/>
            <w:hideMark/>
          </w:tcPr>
          <w:p w14:paraId="11DC23FA"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54</w:t>
            </w:r>
          </w:p>
        </w:tc>
        <w:tc>
          <w:tcPr>
            <w:tcW w:w="0" w:type="auto"/>
            <w:shd w:val="clear" w:color="auto" w:fill="FFFFCC"/>
            <w:vAlign w:val="center"/>
            <w:hideMark/>
          </w:tcPr>
          <w:p w14:paraId="455CF647"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3.4%</w:t>
            </w:r>
          </w:p>
        </w:tc>
        <w:tc>
          <w:tcPr>
            <w:tcW w:w="0" w:type="auto"/>
            <w:shd w:val="clear" w:color="auto" w:fill="FFFFCC"/>
            <w:vAlign w:val="center"/>
            <w:hideMark/>
          </w:tcPr>
          <w:p w14:paraId="1A60CE13"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111</w:t>
            </w:r>
          </w:p>
        </w:tc>
        <w:tc>
          <w:tcPr>
            <w:tcW w:w="0" w:type="auto"/>
            <w:shd w:val="clear" w:color="auto" w:fill="FFFFCC"/>
            <w:vAlign w:val="center"/>
            <w:hideMark/>
          </w:tcPr>
          <w:p w14:paraId="0ECE5EEF"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3.5%</w:t>
            </w:r>
          </w:p>
        </w:tc>
        <w:tc>
          <w:tcPr>
            <w:tcW w:w="0" w:type="auto"/>
            <w:shd w:val="clear" w:color="auto" w:fill="FFFFCC"/>
            <w:vAlign w:val="center"/>
            <w:hideMark/>
          </w:tcPr>
          <w:p w14:paraId="1E1CBADD"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225</w:t>
            </w:r>
          </w:p>
        </w:tc>
        <w:tc>
          <w:tcPr>
            <w:tcW w:w="0" w:type="auto"/>
            <w:shd w:val="clear" w:color="auto" w:fill="FFFFCC"/>
            <w:vAlign w:val="center"/>
            <w:hideMark/>
          </w:tcPr>
          <w:p w14:paraId="4F396110"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4.7%</w:t>
            </w:r>
          </w:p>
        </w:tc>
      </w:tr>
      <w:tr w:rsidR="00A47A14" w:rsidRPr="00A47A14" w14:paraId="5A615B89" w14:textId="77777777" w:rsidTr="00A47A14">
        <w:trPr>
          <w:trHeight w:val="290"/>
        </w:trPr>
        <w:tc>
          <w:tcPr>
            <w:tcW w:w="0" w:type="auto"/>
            <w:vAlign w:val="center"/>
            <w:hideMark/>
          </w:tcPr>
          <w:p w14:paraId="2420F3EB" w14:textId="77777777" w:rsidR="00A47A14" w:rsidRPr="00A47A14" w:rsidRDefault="00A47A14" w:rsidP="00A47A14">
            <w:pPr>
              <w:widowControl/>
              <w:autoSpaceDE/>
              <w:autoSpaceDN/>
              <w:rPr>
                <w:rFonts w:asciiTheme="minorHAnsi" w:eastAsia="Times New Roman" w:hAnsiTheme="minorHAnsi"/>
                <w:color w:val="000000"/>
                <w:szCs w:val="24"/>
              </w:rPr>
            </w:pPr>
            <w:r w:rsidRPr="00A47A14">
              <w:rPr>
                <w:rFonts w:asciiTheme="minorHAnsi" w:eastAsia="Times New Roman" w:hAnsiTheme="minorHAnsi"/>
                <w:color w:val="000000"/>
                <w:szCs w:val="24"/>
              </w:rPr>
              <w:t>Stow</w:t>
            </w:r>
          </w:p>
        </w:tc>
        <w:tc>
          <w:tcPr>
            <w:tcW w:w="0" w:type="auto"/>
            <w:vAlign w:val="center"/>
            <w:hideMark/>
          </w:tcPr>
          <w:p w14:paraId="1F3A3F1D"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52</w:t>
            </w:r>
          </w:p>
        </w:tc>
        <w:tc>
          <w:tcPr>
            <w:tcW w:w="0" w:type="auto"/>
            <w:vAlign w:val="center"/>
            <w:hideMark/>
          </w:tcPr>
          <w:p w14:paraId="1893EC9E"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3.2%</w:t>
            </w:r>
          </w:p>
        </w:tc>
        <w:tc>
          <w:tcPr>
            <w:tcW w:w="0" w:type="auto"/>
            <w:vAlign w:val="center"/>
            <w:hideMark/>
          </w:tcPr>
          <w:p w14:paraId="7DE91BE6"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102</w:t>
            </w:r>
          </w:p>
        </w:tc>
        <w:tc>
          <w:tcPr>
            <w:tcW w:w="0" w:type="auto"/>
            <w:vAlign w:val="center"/>
            <w:hideMark/>
          </w:tcPr>
          <w:p w14:paraId="72E030BA"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3.2%</w:t>
            </w:r>
          </w:p>
        </w:tc>
        <w:tc>
          <w:tcPr>
            <w:tcW w:w="0" w:type="auto"/>
            <w:vAlign w:val="center"/>
            <w:hideMark/>
          </w:tcPr>
          <w:p w14:paraId="1DBA383F"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118</w:t>
            </w:r>
          </w:p>
        </w:tc>
        <w:tc>
          <w:tcPr>
            <w:tcW w:w="0" w:type="auto"/>
            <w:vAlign w:val="center"/>
            <w:hideMark/>
          </w:tcPr>
          <w:p w14:paraId="0C0C994A"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2.5%</w:t>
            </w:r>
          </w:p>
        </w:tc>
      </w:tr>
      <w:tr w:rsidR="00A47A14" w:rsidRPr="00A47A14" w14:paraId="4C7DFFA2" w14:textId="77777777" w:rsidTr="00A47A14">
        <w:trPr>
          <w:trHeight w:val="290"/>
        </w:trPr>
        <w:tc>
          <w:tcPr>
            <w:tcW w:w="0" w:type="auto"/>
            <w:vAlign w:val="center"/>
            <w:hideMark/>
          </w:tcPr>
          <w:p w14:paraId="640184B0" w14:textId="77777777" w:rsidR="00A47A14" w:rsidRPr="00A47A14" w:rsidRDefault="00A47A14" w:rsidP="00A47A14">
            <w:pPr>
              <w:widowControl/>
              <w:autoSpaceDE/>
              <w:autoSpaceDN/>
              <w:rPr>
                <w:rFonts w:asciiTheme="minorHAnsi" w:eastAsia="Times New Roman" w:hAnsiTheme="minorHAnsi"/>
                <w:color w:val="000000"/>
                <w:szCs w:val="24"/>
              </w:rPr>
            </w:pPr>
            <w:r w:rsidRPr="00A47A14">
              <w:rPr>
                <w:rFonts w:asciiTheme="minorHAnsi" w:eastAsia="Times New Roman" w:hAnsiTheme="minorHAnsi"/>
                <w:color w:val="000000"/>
                <w:szCs w:val="24"/>
              </w:rPr>
              <w:t>Hudson</w:t>
            </w:r>
          </w:p>
        </w:tc>
        <w:tc>
          <w:tcPr>
            <w:tcW w:w="0" w:type="auto"/>
            <w:vAlign w:val="center"/>
            <w:hideMark/>
          </w:tcPr>
          <w:p w14:paraId="294C3FB0"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44</w:t>
            </w:r>
          </w:p>
        </w:tc>
        <w:tc>
          <w:tcPr>
            <w:tcW w:w="0" w:type="auto"/>
            <w:vAlign w:val="center"/>
            <w:hideMark/>
          </w:tcPr>
          <w:p w14:paraId="6D33FE0E"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2.7%</w:t>
            </w:r>
          </w:p>
        </w:tc>
        <w:tc>
          <w:tcPr>
            <w:tcW w:w="0" w:type="auto"/>
            <w:vAlign w:val="center"/>
            <w:hideMark/>
          </w:tcPr>
          <w:p w14:paraId="7EA644FC"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68</w:t>
            </w:r>
          </w:p>
        </w:tc>
        <w:tc>
          <w:tcPr>
            <w:tcW w:w="0" w:type="auto"/>
            <w:vAlign w:val="center"/>
            <w:hideMark/>
          </w:tcPr>
          <w:p w14:paraId="4BB178F3"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2.1%</w:t>
            </w:r>
          </w:p>
        </w:tc>
        <w:tc>
          <w:tcPr>
            <w:tcW w:w="0" w:type="auto"/>
            <w:vAlign w:val="center"/>
            <w:hideMark/>
          </w:tcPr>
          <w:p w14:paraId="7279D06D"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89</w:t>
            </w:r>
          </w:p>
        </w:tc>
        <w:tc>
          <w:tcPr>
            <w:tcW w:w="0" w:type="auto"/>
            <w:vAlign w:val="center"/>
            <w:hideMark/>
          </w:tcPr>
          <w:p w14:paraId="463DD0BF"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1.9%</w:t>
            </w:r>
          </w:p>
        </w:tc>
      </w:tr>
      <w:tr w:rsidR="00A47A14" w:rsidRPr="00A47A14" w14:paraId="711AEBFB" w14:textId="77777777" w:rsidTr="00A47A14">
        <w:trPr>
          <w:trHeight w:val="290"/>
        </w:trPr>
        <w:tc>
          <w:tcPr>
            <w:tcW w:w="0" w:type="auto"/>
            <w:vAlign w:val="center"/>
            <w:hideMark/>
          </w:tcPr>
          <w:p w14:paraId="18C4D84C" w14:textId="77777777" w:rsidR="00A47A14" w:rsidRPr="00A47A14" w:rsidRDefault="00A47A14" w:rsidP="00A47A14">
            <w:pPr>
              <w:widowControl/>
              <w:autoSpaceDE/>
              <w:autoSpaceDN/>
              <w:rPr>
                <w:rFonts w:asciiTheme="minorHAnsi" w:eastAsia="Times New Roman" w:hAnsiTheme="minorHAnsi"/>
                <w:color w:val="000000"/>
                <w:szCs w:val="24"/>
              </w:rPr>
            </w:pPr>
            <w:r w:rsidRPr="00A47A14">
              <w:rPr>
                <w:rFonts w:asciiTheme="minorHAnsi" w:eastAsia="Times New Roman" w:hAnsiTheme="minorHAnsi"/>
                <w:color w:val="000000"/>
                <w:szCs w:val="24"/>
              </w:rPr>
              <w:t>Carlisle</w:t>
            </w:r>
          </w:p>
        </w:tc>
        <w:tc>
          <w:tcPr>
            <w:tcW w:w="0" w:type="auto"/>
            <w:vAlign w:val="center"/>
            <w:hideMark/>
          </w:tcPr>
          <w:p w14:paraId="52AAAB68"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36</w:t>
            </w:r>
          </w:p>
        </w:tc>
        <w:tc>
          <w:tcPr>
            <w:tcW w:w="0" w:type="auto"/>
            <w:vAlign w:val="center"/>
            <w:hideMark/>
          </w:tcPr>
          <w:p w14:paraId="787E9FC7"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2.2%</w:t>
            </w:r>
          </w:p>
        </w:tc>
        <w:tc>
          <w:tcPr>
            <w:tcW w:w="0" w:type="auto"/>
            <w:vAlign w:val="center"/>
            <w:hideMark/>
          </w:tcPr>
          <w:p w14:paraId="2CC47DD2"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48</w:t>
            </w:r>
          </w:p>
        </w:tc>
        <w:tc>
          <w:tcPr>
            <w:tcW w:w="0" w:type="auto"/>
            <w:vAlign w:val="center"/>
            <w:hideMark/>
          </w:tcPr>
          <w:p w14:paraId="091BA3C1"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1.5%</w:t>
            </w:r>
          </w:p>
        </w:tc>
        <w:tc>
          <w:tcPr>
            <w:tcW w:w="0" w:type="auto"/>
            <w:vAlign w:val="center"/>
            <w:hideMark/>
          </w:tcPr>
          <w:p w14:paraId="0465DB04"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98</w:t>
            </w:r>
          </w:p>
        </w:tc>
        <w:tc>
          <w:tcPr>
            <w:tcW w:w="0" w:type="auto"/>
            <w:vAlign w:val="center"/>
            <w:hideMark/>
          </w:tcPr>
          <w:p w14:paraId="528FC8E5"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2.0%</w:t>
            </w:r>
          </w:p>
        </w:tc>
      </w:tr>
      <w:tr w:rsidR="00A47A14" w:rsidRPr="00A47A14" w14:paraId="1D7D49AF" w14:textId="77777777" w:rsidTr="00A47A14">
        <w:trPr>
          <w:trHeight w:val="290"/>
        </w:trPr>
        <w:tc>
          <w:tcPr>
            <w:tcW w:w="0" w:type="auto"/>
            <w:vAlign w:val="center"/>
            <w:hideMark/>
          </w:tcPr>
          <w:p w14:paraId="30DBE084" w14:textId="77777777" w:rsidR="00A47A14" w:rsidRPr="00A47A14" w:rsidRDefault="00A47A14" w:rsidP="00A47A14">
            <w:pPr>
              <w:widowControl/>
              <w:autoSpaceDE/>
              <w:autoSpaceDN/>
              <w:rPr>
                <w:rFonts w:asciiTheme="minorHAnsi" w:eastAsia="Times New Roman" w:hAnsiTheme="minorHAnsi"/>
                <w:color w:val="000000"/>
                <w:szCs w:val="24"/>
              </w:rPr>
            </w:pPr>
            <w:r w:rsidRPr="00A47A14">
              <w:rPr>
                <w:rFonts w:asciiTheme="minorHAnsi" w:eastAsia="Times New Roman" w:hAnsiTheme="minorHAnsi"/>
                <w:color w:val="000000"/>
                <w:szCs w:val="24"/>
              </w:rPr>
              <w:t>Chelmsford</w:t>
            </w:r>
          </w:p>
        </w:tc>
        <w:tc>
          <w:tcPr>
            <w:tcW w:w="0" w:type="auto"/>
            <w:vAlign w:val="center"/>
            <w:hideMark/>
          </w:tcPr>
          <w:p w14:paraId="7E40E3D1"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35</w:t>
            </w:r>
          </w:p>
        </w:tc>
        <w:tc>
          <w:tcPr>
            <w:tcW w:w="0" w:type="auto"/>
            <w:vAlign w:val="center"/>
            <w:hideMark/>
          </w:tcPr>
          <w:p w14:paraId="1A70CE27"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2.2%</w:t>
            </w:r>
          </w:p>
        </w:tc>
        <w:tc>
          <w:tcPr>
            <w:tcW w:w="0" w:type="auto"/>
            <w:vAlign w:val="center"/>
            <w:hideMark/>
          </w:tcPr>
          <w:p w14:paraId="74A16024"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63</w:t>
            </w:r>
          </w:p>
        </w:tc>
        <w:tc>
          <w:tcPr>
            <w:tcW w:w="0" w:type="auto"/>
            <w:vAlign w:val="center"/>
            <w:hideMark/>
          </w:tcPr>
          <w:p w14:paraId="6DF24B33"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2.0%</w:t>
            </w:r>
          </w:p>
        </w:tc>
        <w:tc>
          <w:tcPr>
            <w:tcW w:w="0" w:type="auto"/>
            <w:vAlign w:val="center"/>
            <w:hideMark/>
          </w:tcPr>
          <w:p w14:paraId="033BC2C4"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129</w:t>
            </w:r>
          </w:p>
        </w:tc>
        <w:tc>
          <w:tcPr>
            <w:tcW w:w="0" w:type="auto"/>
            <w:vAlign w:val="center"/>
            <w:hideMark/>
          </w:tcPr>
          <w:p w14:paraId="26AB8796"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2.7%</w:t>
            </w:r>
          </w:p>
        </w:tc>
      </w:tr>
      <w:tr w:rsidR="00A47A14" w:rsidRPr="00A47A14" w14:paraId="3819B4E8" w14:textId="77777777" w:rsidTr="00A47A14">
        <w:trPr>
          <w:trHeight w:val="290"/>
        </w:trPr>
        <w:tc>
          <w:tcPr>
            <w:tcW w:w="0" w:type="auto"/>
            <w:vAlign w:val="center"/>
            <w:hideMark/>
          </w:tcPr>
          <w:p w14:paraId="6A806DED" w14:textId="77777777" w:rsidR="00A47A14" w:rsidRPr="00A47A14" w:rsidRDefault="00A47A14" w:rsidP="00A47A14">
            <w:pPr>
              <w:widowControl/>
              <w:autoSpaceDE/>
              <w:autoSpaceDN/>
              <w:rPr>
                <w:rFonts w:asciiTheme="minorHAnsi" w:eastAsia="Times New Roman" w:hAnsiTheme="minorHAnsi"/>
                <w:color w:val="000000"/>
                <w:szCs w:val="24"/>
              </w:rPr>
            </w:pPr>
            <w:r w:rsidRPr="00A47A14">
              <w:rPr>
                <w:rFonts w:asciiTheme="minorHAnsi" w:eastAsia="Times New Roman" w:hAnsiTheme="minorHAnsi"/>
                <w:color w:val="000000"/>
                <w:szCs w:val="24"/>
              </w:rPr>
              <w:t>Boxborough</w:t>
            </w:r>
          </w:p>
        </w:tc>
        <w:tc>
          <w:tcPr>
            <w:tcW w:w="0" w:type="auto"/>
            <w:vAlign w:val="center"/>
            <w:hideMark/>
          </w:tcPr>
          <w:p w14:paraId="5C061582"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34</w:t>
            </w:r>
          </w:p>
        </w:tc>
        <w:tc>
          <w:tcPr>
            <w:tcW w:w="0" w:type="auto"/>
            <w:vAlign w:val="center"/>
            <w:hideMark/>
          </w:tcPr>
          <w:p w14:paraId="7073F217"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2.1%</w:t>
            </w:r>
          </w:p>
        </w:tc>
        <w:tc>
          <w:tcPr>
            <w:tcW w:w="0" w:type="auto"/>
            <w:vAlign w:val="center"/>
            <w:hideMark/>
          </w:tcPr>
          <w:p w14:paraId="2B1B62B4"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58</w:t>
            </w:r>
          </w:p>
        </w:tc>
        <w:tc>
          <w:tcPr>
            <w:tcW w:w="0" w:type="auto"/>
            <w:vAlign w:val="center"/>
            <w:hideMark/>
          </w:tcPr>
          <w:p w14:paraId="54A66117"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1.8%</w:t>
            </w:r>
          </w:p>
        </w:tc>
        <w:tc>
          <w:tcPr>
            <w:tcW w:w="0" w:type="auto"/>
            <w:vAlign w:val="center"/>
            <w:hideMark/>
          </w:tcPr>
          <w:p w14:paraId="0DE7970F"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110</w:t>
            </w:r>
          </w:p>
        </w:tc>
        <w:tc>
          <w:tcPr>
            <w:tcW w:w="0" w:type="auto"/>
            <w:vAlign w:val="center"/>
            <w:hideMark/>
          </w:tcPr>
          <w:p w14:paraId="089ADCEA"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2.3%</w:t>
            </w:r>
          </w:p>
        </w:tc>
      </w:tr>
      <w:tr w:rsidR="00A47A14" w:rsidRPr="00A47A14" w14:paraId="5FA0587B" w14:textId="77777777" w:rsidTr="00F5304B">
        <w:trPr>
          <w:trHeight w:val="290"/>
        </w:trPr>
        <w:tc>
          <w:tcPr>
            <w:tcW w:w="0" w:type="auto"/>
            <w:shd w:val="clear" w:color="auto" w:fill="FFFFCC"/>
            <w:vAlign w:val="center"/>
            <w:hideMark/>
          </w:tcPr>
          <w:p w14:paraId="4D3DEF17" w14:textId="77777777" w:rsidR="00A47A14" w:rsidRPr="00A47A14" w:rsidRDefault="00A47A14" w:rsidP="00A47A14">
            <w:pPr>
              <w:widowControl/>
              <w:autoSpaceDE/>
              <w:autoSpaceDN/>
              <w:rPr>
                <w:rFonts w:asciiTheme="minorHAnsi" w:eastAsia="Times New Roman" w:hAnsiTheme="minorHAnsi"/>
                <w:color w:val="000000"/>
                <w:szCs w:val="24"/>
              </w:rPr>
            </w:pPr>
            <w:r w:rsidRPr="00A47A14">
              <w:rPr>
                <w:rFonts w:asciiTheme="minorHAnsi" w:eastAsia="Times New Roman" w:hAnsiTheme="minorHAnsi"/>
                <w:color w:val="000000"/>
                <w:szCs w:val="24"/>
              </w:rPr>
              <w:t>Harvard</w:t>
            </w:r>
          </w:p>
        </w:tc>
        <w:tc>
          <w:tcPr>
            <w:tcW w:w="0" w:type="auto"/>
            <w:shd w:val="clear" w:color="auto" w:fill="FFFFCC"/>
            <w:vAlign w:val="center"/>
            <w:hideMark/>
          </w:tcPr>
          <w:p w14:paraId="5C0A11C8"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34</w:t>
            </w:r>
          </w:p>
        </w:tc>
        <w:tc>
          <w:tcPr>
            <w:tcW w:w="0" w:type="auto"/>
            <w:shd w:val="clear" w:color="auto" w:fill="FFFFCC"/>
            <w:vAlign w:val="center"/>
            <w:hideMark/>
          </w:tcPr>
          <w:p w14:paraId="095909FD"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2.1%</w:t>
            </w:r>
          </w:p>
        </w:tc>
        <w:tc>
          <w:tcPr>
            <w:tcW w:w="0" w:type="auto"/>
            <w:shd w:val="clear" w:color="auto" w:fill="FFFFCC"/>
            <w:vAlign w:val="center"/>
            <w:hideMark/>
          </w:tcPr>
          <w:p w14:paraId="37E0EAB4"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62</w:t>
            </w:r>
          </w:p>
        </w:tc>
        <w:tc>
          <w:tcPr>
            <w:tcW w:w="0" w:type="auto"/>
            <w:shd w:val="clear" w:color="auto" w:fill="FFFFCC"/>
            <w:vAlign w:val="center"/>
            <w:hideMark/>
          </w:tcPr>
          <w:p w14:paraId="4A98D348"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1.9%</w:t>
            </w:r>
          </w:p>
        </w:tc>
        <w:tc>
          <w:tcPr>
            <w:tcW w:w="0" w:type="auto"/>
            <w:shd w:val="clear" w:color="auto" w:fill="FFFFCC"/>
            <w:vAlign w:val="center"/>
            <w:hideMark/>
          </w:tcPr>
          <w:p w14:paraId="63EE4D77"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97</w:t>
            </w:r>
          </w:p>
        </w:tc>
        <w:tc>
          <w:tcPr>
            <w:tcW w:w="0" w:type="auto"/>
            <w:shd w:val="clear" w:color="auto" w:fill="FFFFCC"/>
            <w:vAlign w:val="center"/>
            <w:hideMark/>
          </w:tcPr>
          <w:p w14:paraId="481EC60A"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2.0%</w:t>
            </w:r>
          </w:p>
        </w:tc>
      </w:tr>
      <w:tr w:rsidR="00A47A14" w:rsidRPr="00A47A14" w14:paraId="6F2F341B" w14:textId="77777777" w:rsidTr="00F5304B">
        <w:trPr>
          <w:trHeight w:val="290"/>
        </w:trPr>
        <w:tc>
          <w:tcPr>
            <w:tcW w:w="0" w:type="auto"/>
            <w:shd w:val="clear" w:color="auto" w:fill="FFFFCC"/>
            <w:vAlign w:val="center"/>
            <w:hideMark/>
          </w:tcPr>
          <w:p w14:paraId="256F4146" w14:textId="77777777" w:rsidR="00A47A14" w:rsidRPr="00A47A14" w:rsidRDefault="00A47A14" w:rsidP="00A47A14">
            <w:pPr>
              <w:widowControl/>
              <w:autoSpaceDE/>
              <w:autoSpaceDN/>
              <w:rPr>
                <w:rFonts w:asciiTheme="minorHAnsi" w:eastAsia="Times New Roman" w:hAnsiTheme="minorHAnsi"/>
                <w:color w:val="000000"/>
                <w:szCs w:val="24"/>
              </w:rPr>
            </w:pPr>
            <w:r w:rsidRPr="00A47A14">
              <w:rPr>
                <w:rFonts w:asciiTheme="minorHAnsi" w:eastAsia="Times New Roman" w:hAnsiTheme="minorHAnsi"/>
                <w:color w:val="000000"/>
                <w:szCs w:val="24"/>
              </w:rPr>
              <w:t>Leominster</w:t>
            </w:r>
          </w:p>
        </w:tc>
        <w:tc>
          <w:tcPr>
            <w:tcW w:w="0" w:type="auto"/>
            <w:shd w:val="clear" w:color="auto" w:fill="FFFFCC"/>
            <w:vAlign w:val="center"/>
            <w:hideMark/>
          </w:tcPr>
          <w:p w14:paraId="3827E50F"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33</w:t>
            </w:r>
          </w:p>
        </w:tc>
        <w:tc>
          <w:tcPr>
            <w:tcW w:w="0" w:type="auto"/>
            <w:shd w:val="clear" w:color="auto" w:fill="FFFFCC"/>
            <w:vAlign w:val="center"/>
            <w:hideMark/>
          </w:tcPr>
          <w:p w14:paraId="6D8B46FD"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2.0%</w:t>
            </w:r>
          </w:p>
        </w:tc>
        <w:tc>
          <w:tcPr>
            <w:tcW w:w="0" w:type="auto"/>
            <w:shd w:val="clear" w:color="auto" w:fill="FFFFCC"/>
            <w:vAlign w:val="center"/>
            <w:hideMark/>
          </w:tcPr>
          <w:p w14:paraId="132F5040"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63</w:t>
            </w:r>
          </w:p>
        </w:tc>
        <w:tc>
          <w:tcPr>
            <w:tcW w:w="0" w:type="auto"/>
            <w:shd w:val="clear" w:color="auto" w:fill="FFFFCC"/>
            <w:vAlign w:val="center"/>
            <w:hideMark/>
          </w:tcPr>
          <w:p w14:paraId="19264FF0"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2.0%</w:t>
            </w:r>
          </w:p>
        </w:tc>
        <w:tc>
          <w:tcPr>
            <w:tcW w:w="0" w:type="auto"/>
            <w:shd w:val="clear" w:color="auto" w:fill="FFFFCC"/>
            <w:vAlign w:val="center"/>
            <w:hideMark/>
          </w:tcPr>
          <w:p w14:paraId="6DD575DD"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91</w:t>
            </w:r>
          </w:p>
        </w:tc>
        <w:tc>
          <w:tcPr>
            <w:tcW w:w="0" w:type="auto"/>
            <w:shd w:val="clear" w:color="auto" w:fill="FFFFCC"/>
            <w:vAlign w:val="center"/>
            <w:hideMark/>
          </w:tcPr>
          <w:p w14:paraId="31178AA9"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1.9%</w:t>
            </w:r>
          </w:p>
        </w:tc>
      </w:tr>
      <w:tr w:rsidR="00A47A14" w:rsidRPr="00A47A14" w14:paraId="1EDE9E35" w14:textId="77777777" w:rsidTr="00622D1C">
        <w:trPr>
          <w:trHeight w:val="290"/>
        </w:trPr>
        <w:tc>
          <w:tcPr>
            <w:tcW w:w="0" w:type="auto"/>
            <w:shd w:val="clear" w:color="auto" w:fill="FFFFCC"/>
            <w:vAlign w:val="center"/>
            <w:hideMark/>
          </w:tcPr>
          <w:p w14:paraId="00EEF14A" w14:textId="77777777" w:rsidR="00A47A14" w:rsidRPr="00A47A14" w:rsidRDefault="00A47A14" w:rsidP="00A47A14">
            <w:pPr>
              <w:widowControl/>
              <w:autoSpaceDE/>
              <w:autoSpaceDN/>
              <w:rPr>
                <w:rFonts w:asciiTheme="minorHAnsi" w:eastAsia="Times New Roman" w:hAnsiTheme="minorHAnsi"/>
                <w:color w:val="000000"/>
                <w:szCs w:val="24"/>
              </w:rPr>
            </w:pPr>
            <w:r w:rsidRPr="00A47A14">
              <w:rPr>
                <w:rFonts w:asciiTheme="minorHAnsi" w:eastAsia="Times New Roman" w:hAnsiTheme="minorHAnsi"/>
                <w:color w:val="000000"/>
                <w:szCs w:val="24"/>
              </w:rPr>
              <w:t>Ayer</w:t>
            </w:r>
          </w:p>
        </w:tc>
        <w:tc>
          <w:tcPr>
            <w:tcW w:w="0" w:type="auto"/>
            <w:shd w:val="clear" w:color="auto" w:fill="FFFFCC"/>
            <w:vAlign w:val="center"/>
            <w:hideMark/>
          </w:tcPr>
          <w:p w14:paraId="69AB5290"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30</w:t>
            </w:r>
          </w:p>
        </w:tc>
        <w:tc>
          <w:tcPr>
            <w:tcW w:w="0" w:type="auto"/>
            <w:shd w:val="clear" w:color="auto" w:fill="FFFFCC"/>
            <w:vAlign w:val="center"/>
            <w:hideMark/>
          </w:tcPr>
          <w:p w14:paraId="6C8B3E5F"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1.9%</w:t>
            </w:r>
          </w:p>
        </w:tc>
        <w:tc>
          <w:tcPr>
            <w:tcW w:w="0" w:type="auto"/>
            <w:shd w:val="clear" w:color="auto" w:fill="FFFFCC"/>
            <w:vAlign w:val="center"/>
            <w:hideMark/>
          </w:tcPr>
          <w:p w14:paraId="34E4A292"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55</w:t>
            </w:r>
          </w:p>
        </w:tc>
        <w:tc>
          <w:tcPr>
            <w:tcW w:w="0" w:type="auto"/>
            <w:shd w:val="clear" w:color="auto" w:fill="FFFFCC"/>
            <w:vAlign w:val="center"/>
            <w:hideMark/>
          </w:tcPr>
          <w:p w14:paraId="423D8FC8"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1.7%</w:t>
            </w:r>
          </w:p>
        </w:tc>
        <w:tc>
          <w:tcPr>
            <w:tcW w:w="0" w:type="auto"/>
            <w:shd w:val="clear" w:color="auto" w:fill="FFFFCC"/>
            <w:vAlign w:val="center"/>
            <w:hideMark/>
          </w:tcPr>
          <w:p w14:paraId="4EC1D634"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91</w:t>
            </w:r>
          </w:p>
        </w:tc>
        <w:tc>
          <w:tcPr>
            <w:tcW w:w="0" w:type="auto"/>
            <w:shd w:val="clear" w:color="auto" w:fill="FFFFCC"/>
            <w:vAlign w:val="center"/>
            <w:hideMark/>
          </w:tcPr>
          <w:p w14:paraId="7D436DF7"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1.9%</w:t>
            </w:r>
          </w:p>
        </w:tc>
      </w:tr>
      <w:tr w:rsidR="00A47A14" w:rsidRPr="00A47A14" w14:paraId="3C1CAD5E" w14:textId="77777777" w:rsidTr="00A47A14">
        <w:trPr>
          <w:trHeight w:val="290"/>
        </w:trPr>
        <w:tc>
          <w:tcPr>
            <w:tcW w:w="0" w:type="auto"/>
            <w:vAlign w:val="center"/>
            <w:hideMark/>
          </w:tcPr>
          <w:p w14:paraId="5D682C4C" w14:textId="77777777" w:rsidR="00A47A14" w:rsidRPr="00A47A14" w:rsidRDefault="00A47A14" w:rsidP="00A47A14">
            <w:pPr>
              <w:widowControl/>
              <w:autoSpaceDE/>
              <w:autoSpaceDN/>
              <w:rPr>
                <w:rFonts w:asciiTheme="minorHAnsi" w:eastAsia="Times New Roman" w:hAnsiTheme="minorHAnsi"/>
                <w:color w:val="000000"/>
                <w:szCs w:val="24"/>
              </w:rPr>
            </w:pPr>
            <w:r w:rsidRPr="00A47A14">
              <w:rPr>
                <w:rFonts w:asciiTheme="minorHAnsi" w:eastAsia="Times New Roman" w:hAnsiTheme="minorHAnsi"/>
                <w:color w:val="000000"/>
                <w:szCs w:val="24"/>
              </w:rPr>
              <w:t>Marlborough</w:t>
            </w:r>
          </w:p>
        </w:tc>
        <w:tc>
          <w:tcPr>
            <w:tcW w:w="0" w:type="auto"/>
            <w:vAlign w:val="center"/>
            <w:hideMark/>
          </w:tcPr>
          <w:p w14:paraId="00783FAC"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29</w:t>
            </w:r>
          </w:p>
        </w:tc>
        <w:tc>
          <w:tcPr>
            <w:tcW w:w="0" w:type="auto"/>
            <w:vAlign w:val="center"/>
            <w:hideMark/>
          </w:tcPr>
          <w:p w14:paraId="202F57B8"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1.8%</w:t>
            </w:r>
          </w:p>
        </w:tc>
        <w:tc>
          <w:tcPr>
            <w:tcW w:w="0" w:type="auto"/>
            <w:vAlign w:val="center"/>
            <w:hideMark/>
          </w:tcPr>
          <w:p w14:paraId="5344E418"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71</w:t>
            </w:r>
          </w:p>
        </w:tc>
        <w:tc>
          <w:tcPr>
            <w:tcW w:w="0" w:type="auto"/>
            <w:vAlign w:val="center"/>
            <w:hideMark/>
          </w:tcPr>
          <w:p w14:paraId="14EF3F2E"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2.2%</w:t>
            </w:r>
          </w:p>
        </w:tc>
        <w:tc>
          <w:tcPr>
            <w:tcW w:w="0" w:type="auto"/>
            <w:vAlign w:val="center"/>
            <w:hideMark/>
          </w:tcPr>
          <w:p w14:paraId="39578A66"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70</w:t>
            </w:r>
          </w:p>
        </w:tc>
        <w:tc>
          <w:tcPr>
            <w:tcW w:w="0" w:type="auto"/>
            <w:vAlign w:val="center"/>
            <w:hideMark/>
          </w:tcPr>
          <w:p w14:paraId="6E6537DB"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1.5%</w:t>
            </w:r>
          </w:p>
        </w:tc>
      </w:tr>
      <w:tr w:rsidR="00A47A14" w:rsidRPr="00A47A14" w14:paraId="75AAF5C5" w14:textId="77777777" w:rsidTr="00A47A14">
        <w:trPr>
          <w:trHeight w:val="290"/>
        </w:trPr>
        <w:tc>
          <w:tcPr>
            <w:tcW w:w="0" w:type="auto"/>
            <w:vAlign w:val="center"/>
            <w:hideMark/>
          </w:tcPr>
          <w:p w14:paraId="3333BCB3" w14:textId="77777777" w:rsidR="00A47A14" w:rsidRPr="00A47A14" w:rsidRDefault="00A47A14" w:rsidP="00A47A14">
            <w:pPr>
              <w:widowControl/>
              <w:autoSpaceDE/>
              <w:autoSpaceDN/>
              <w:rPr>
                <w:rFonts w:asciiTheme="minorHAnsi" w:eastAsia="Times New Roman" w:hAnsiTheme="minorHAnsi"/>
                <w:color w:val="000000"/>
                <w:szCs w:val="24"/>
              </w:rPr>
            </w:pPr>
            <w:r w:rsidRPr="00A47A14">
              <w:rPr>
                <w:rFonts w:asciiTheme="minorHAnsi" w:eastAsia="Times New Roman" w:hAnsiTheme="minorHAnsi"/>
                <w:color w:val="000000"/>
                <w:szCs w:val="24"/>
              </w:rPr>
              <w:t>Lexington</w:t>
            </w:r>
          </w:p>
        </w:tc>
        <w:tc>
          <w:tcPr>
            <w:tcW w:w="0" w:type="auto"/>
            <w:vAlign w:val="center"/>
            <w:hideMark/>
          </w:tcPr>
          <w:p w14:paraId="62DAF8CA"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27</w:t>
            </w:r>
          </w:p>
        </w:tc>
        <w:tc>
          <w:tcPr>
            <w:tcW w:w="0" w:type="auto"/>
            <w:vAlign w:val="center"/>
            <w:hideMark/>
          </w:tcPr>
          <w:p w14:paraId="05874E74"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1.7%</w:t>
            </w:r>
          </w:p>
        </w:tc>
        <w:tc>
          <w:tcPr>
            <w:tcW w:w="0" w:type="auto"/>
            <w:vAlign w:val="center"/>
            <w:hideMark/>
          </w:tcPr>
          <w:p w14:paraId="32D96F4A"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70</w:t>
            </w:r>
          </w:p>
        </w:tc>
        <w:tc>
          <w:tcPr>
            <w:tcW w:w="0" w:type="auto"/>
            <w:vAlign w:val="center"/>
            <w:hideMark/>
          </w:tcPr>
          <w:p w14:paraId="5A8F37BB"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2.2%</w:t>
            </w:r>
          </w:p>
        </w:tc>
        <w:tc>
          <w:tcPr>
            <w:tcW w:w="0" w:type="auto"/>
            <w:vAlign w:val="center"/>
            <w:hideMark/>
          </w:tcPr>
          <w:p w14:paraId="4359F692"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87</w:t>
            </w:r>
          </w:p>
        </w:tc>
        <w:tc>
          <w:tcPr>
            <w:tcW w:w="0" w:type="auto"/>
            <w:vAlign w:val="center"/>
            <w:hideMark/>
          </w:tcPr>
          <w:p w14:paraId="6D551F9F"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1.8%</w:t>
            </w:r>
          </w:p>
        </w:tc>
      </w:tr>
      <w:tr w:rsidR="00A47A14" w:rsidRPr="00A47A14" w14:paraId="0139956E" w14:textId="77777777" w:rsidTr="00622D1C">
        <w:trPr>
          <w:trHeight w:val="290"/>
        </w:trPr>
        <w:tc>
          <w:tcPr>
            <w:tcW w:w="0" w:type="auto"/>
            <w:shd w:val="clear" w:color="auto" w:fill="FFFFCC"/>
            <w:vAlign w:val="center"/>
            <w:hideMark/>
          </w:tcPr>
          <w:p w14:paraId="3AA36CB2" w14:textId="77777777" w:rsidR="00A47A14" w:rsidRPr="00A47A14" w:rsidRDefault="00A47A14" w:rsidP="00A47A14">
            <w:pPr>
              <w:widowControl/>
              <w:autoSpaceDE/>
              <w:autoSpaceDN/>
              <w:rPr>
                <w:rFonts w:asciiTheme="minorHAnsi" w:eastAsia="Times New Roman" w:hAnsiTheme="minorHAnsi"/>
                <w:color w:val="000000"/>
                <w:szCs w:val="24"/>
              </w:rPr>
            </w:pPr>
            <w:r w:rsidRPr="00A47A14">
              <w:rPr>
                <w:rFonts w:asciiTheme="minorHAnsi" w:eastAsia="Times New Roman" w:hAnsiTheme="minorHAnsi"/>
                <w:color w:val="000000"/>
                <w:szCs w:val="24"/>
              </w:rPr>
              <w:t>Lunenburg</w:t>
            </w:r>
          </w:p>
        </w:tc>
        <w:tc>
          <w:tcPr>
            <w:tcW w:w="0" w:type="auto"/>
            <w:shd w:val="clear" w:color="auto" w:fill="FFFFCC"/>
            <w:vAlign w:val="center"/>
            <w:hideMark/>
          </w:tcPr>
          <w:p w14:paraId="2A8DB252"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26</w:t>
            </w:r>
          </w:p>
        </w:tc>
        <w:tc>
          <w:tcPr>
            <w:tcW w:w="0" w:type="auto"/>
            <w:shd w:val="clear" w:color="auto" w:fill="FFFFCC"/>
            <w:vAlign w:val="center"/>
            <w:hideMark/>
          </w:tcPr>
          <w:p w14:paraId="18FEBC79"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1.6%</w:t>
            </w:r>
          </w:p>
        </w:tc>
        <w:tc>
          <w:tcPr>
            <w:tcW w:w="0" w:type="auto"/>
            <w:shd w:val="clear" w:color="auto" w:fill="FFFFCC"/>
            <w:vAlign w:val="center"/>
            <w:hideMark/>
          </w:tcPr>
          <w:p w14:paraId="7F9128C6"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43</w:t>
            </w:r>
          </w:p>
        </w:tc>
        <w:tc>
          <w:tcPr>
            <w:tcW w:w="0" w:type="auto"/>
            <w:shd w:val="clear" w:color="auto" w:fill="FFFFCC"/>
            <w:vAlign w:val="center"/>
            <w:hideMark/>
          </w:tcPr>
          <w:p w14:paraId="7ED62452"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1.3%</w:t>
            </w:r>
          </w:p>
        </w:tc>
        <w:tc>
          <w:tcPr>
            <w:tcW w:w="0" w:type="auto"/>
            <w:shd w:val="clear" w:color="auto" w:fill="FFFFCC"/>
            <w:vAlign w:val="center"/>
            <w:hideMark/>
          </w:tcPr>
          <w:p w14:paraId="783C494F"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66</w:t>
            </w:r>
          </w:p>
        </w:tc>
        <w:tc>
          <w:tcPr>
            <w:tcW w:w="0" w:type="auto"/>
            <w:shd w:val="clear" w:color="auto" w:fill="FFFFCC"/>
            <w:vAlign w:val="center"/>
            <w:hideMark/>
          </w:tcPr>
          <w:p w14:paraId="3BD54EB7"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1.4%</w:t>
            </w:r>
          </w:p>
        </w:tc>
      </w:tr>
      <w:tr w:rsidR="00A47A14" w:rsidRPr="00A47A14" w14:paraId="40EF184A" w14:textId="77777777" w:rsidTr="00622D1C">
        <w:trPr>
          <w:trHeight w:val="290"/>
        </w:trPr>
        <w:tc>
          <w:tcPr>
            <w:tcW w:w="0" w:type="auto"/>
            <w:shd w:val="clear" w:color="auto" w:fill="FFFFCC"/>
            <w:vAlign w:val="center"/>
            <w:hideMark/>
          </w:tcPr>
          <w:p w14:paraId="1926535D" w14:textId="77777777" w:rsidR="00A47A14" w:rsidRPr="00A47A14" w:rsidRDefault="00A47A14" w:rsidP="00A47A14">
            <w:pPr>
              <w:widowControl/>
              <w:autoSpaceDE/>
              <w:autoSpaceDN/>
              <w:rPr>
                <w:rFonts w:asciiTheme="minorHAnsi" w:eastAsia="Times New Roman" w:hAnsiTheme="minorHAnsi"/>
                <w:color w:val="000000"/>
                <w:szCs w:val="24"/>
              </w:rPr>
            </w:pPr>
            <w:r w:rsidRPr="00A47A14">
              <w:rPr>
                <w:rFonts w:asciiTheme="minorHAnsi" w:eastAsia="Times New Roman" w:hAnsiTheme="minorHAnsi"/>
                <w:color w:val="000000"/>
                <w:szCs w:val="24"/>
              </w:rPr>
              <w:t>Pepperell</w:t>
            </w:r>
          </w:p>
        </w:tc>
        <w:tc>
          <w:tcPr>
            <w:tcW w:w="0" w:type="auto"/>
            <w:shd w:val="clear" w:color="auto" w:fill="FFFFCC"/>
            <w:vAlign w:val="center"/>
            <w:hideMark/>
          </w:tcPr>
          <w:p w14:paraId="6E58C550"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26</w:t>
            </w:r>
          </w:p>
        </w:tc>
        <w:tc>
          <w:tcPr>
            <w:tcW w:w="0" w:type="auto"/>
            <w:shd w:val="clear" w:color="auto" w:fill="FFFFCC"/>
            <w:vAlign w:val="center"/>
            <w:hideMark/>
          </w:tcPr>
          <w:p w14:paraId="5E96920C"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1.6%</w:t>
            </w:r>
          </w:p>
        </w:tc>
        <w:tc>
          <w:tcPr>
            <w:tcW w:w="0" w:type="auto"/>
            <w:shd w:val="clear" w:color="auto" w:fill="FFFFCC"/>
            <w:vAlign w:val="center"/>
            <w:hideMark/>
          </w:tcPr>
          <w:p w14:paraId="516DC1E1"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53</w:t>
            </w:r>
          </w:p>
        </w:tc>
        <w:tc>
          <w:tcPr>
            <w:tcW w:w="0" w:type="auto"/>
            <w:shd w:val="clear" w:color="auto" w:fill="FFFFCC"/>
            <w:vAlign w:val="center"/>
            <w:hideMark/>
          </w:tcPr>
          <w:p w14:paraId="7AB3C7AD"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1.7%</w:t>
            </w:r>
          </w:p>
        </w:tc>
        <w:tc>
          <w:tcPr>
            <w:tcW w:w="0" w:type="auto"/>
            <w:shd w:val="clear" w:color="auto" w:fill="FFFFCC"/>
            <w:vAlign w:val="center"/>
            <w:hideMark/>
          </w:tcPr>
          <w:p w14:paraId="5E002A1D"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74</w:t>
            </w:r>
          </w:p>
        </w:tc>
        <w:tc>
          <w:tcPr>
            <w:tcW w:w="0" w:type="auto"/>
            <w:shd w:val="clear" w:color="auto" w:fill="FFFFCC"/>
            <w:vAlign w:val="center"/>
            <w:hideMark/>
          </w:tcPr>
          <w:p w14:paraId="475C7486"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1.5%</w:t>
            </w:r>
          </w:p>
        </w:tc>
      </w:tr>
      <w:tr w:rsidR="00A47A14" w:rsidRPr="00A47A14" w14:paraId="5B33C080" w14:textId="77777777" w:rsidTr="00A47A14">
        <w:trPr>
          <w:trHeight w:val="290"/>
        </w:trPr>
        <w:tc>
          <w:tcPr>
            <w:tcW w:w="0" w:type="auto"/>
            <w:vAlign w:val="center"/>
            <w:hideMark/>
          </w:tcPr>
          <w:p w14:paraId="2F83A008" w14:textId="751EB99F" w:rsidR="00A47A14" w:rsidRPr="00A47A14" w:rsidRDefault="00A47A14" w:rsidP="00A47A14">
            <w:pPr>
              <w:widowControl/>
              <w:autoSpaceDE/>
              <w:autoSpaceDN/>
              <w:rPr>
                <w:rFonts w:asciiTheme="minorHAnsi" w:eastAsia="Times New Roman" w:hAnsiTheme="minorHAnsi"/>
                <w:color w:val="000000"/>
                <w:szCs w:val="24"/>
              </w:rPr>
            </w:pPr>
            <w:r w:rsidRPr="00A47A14">
              <w:rPr>
                <w:rFonts w:asciiTheme="minorHAnsi" w:eastAsia="Times New Roman" w:hAnsiTheme="minorHAnsi"/>
                <w:color w:val="000000"/>
                <w:szCs w:val="24"/>
              </w:rPr>
              <w:lastRenderedPageBreak/>
              <w:t>All Other</w:t>
            </w:r>
            <w:r w:rsidR="001852B6">
              <w:rPr>
                <w:rStyle w:val="FootnoteReference"/>
                <w:rFonts w:asciiTheme="minorHAnsi" w:eastAsia="Times New Roman" w:hAnsiTheme="minorHAnsi"/>
                <w:color w:val="000000"/>
                <w:szCs w:val="24"/>
              </w:rPr>
              <w:footnoteReference w:id="7"/>
            </w:r>
          </w:p>
        </w:tc>
        <w:tc>
          <w:tcPr>
            <w:tcW w:w="0" w:type="auto"/>
            <w:vAlign w:val="center"/>
            <w:hideMark/>
          </w:tcPr>
          <w:p w14:paraId="679F21E1"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498</w:t>
            </w:r>
          </w:p>
        </w:tc>
        <w:tc>
          <w:tcPr>
            <w:tcW w:w="0" w:type="auto"/>
            <w:vAlign w:val="center"/>
            <w:hideMark/>
          </w:tcPr>
          <w:p w14:paraId="5EE39FCF"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30.9%</w:t>
            </w:r>
          </w:p>
        </w:tc>
        <w:tc>
          <w:tcPr>
            <w:tcW w:w="0" w:type="auto"/>
            <w:vAlign w:val="center"/>
            <w:hideMark/>
          </w:tcPr>
          <w:p w14:paraId="5D76B7B1"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996</w:t>
            </w:r>
          </w:p>
        </w:tc>
        <w:tc>
          <w:tcPr>
            <w:tcW w:w="0" w:type="auto"/>
            <w:vAlign w:val="center"/>
            <w:hideMark/>
          </w:tcPr>
          <w:p w14:paraId="2E71E5EE"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31.0%</w:t>
            </w:r>
          </w:p>
        </w:tc>
        <w:tc>
          <w:tcPr>
            <w:tcW w:w="0" w:type="auto"/>
            <w:vAlign w:val="center"/>
            <w:hideMark/>
          </w:tcPr>
          <w:p w14:paraId="628EB320"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1,629</w:t>
            </w:r>
          </w:p>
        </w:tc>
        <w:tc>
          <w:tcPr>
            <w:tcW w:w="0" w:type="auto"/>
            <w:vAlign w:val="center"/>
            <w:hideMark/>
          </w:tcPr>
          <w:p w14:paraId="177AC066"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34.0%</w:t>
            </w:r>
          </w:p>
        </w:tc>
      </w:tr>
      <w:tr w:rsidR="00A47A14" w:rsidRPr="00A47A14" w14:paraId="168FCF89" w14:textId="77777777" w:rsidTr="00A47A14">
        <w:trPr>
          <w:trHeight w:val="290"/>
        </w:trPr>
        <w:tc>
          <w:tcPr>
            <w:tcW w:w="0" w:type="auto"/>
            <w:vAlign w:val="center"/>
            <w:hideMark/>
          </w:tcPr>
          <w:p w14:paraId="6B6CD839" w14:textId="77777777" w:rsidR="00A47A14" w:rsidRPr="00A47A14" w:rsidRDefault="00A47A14" w:rsidP="00A47A14">
            <w:pPr>
              <w:widowControl/>
              <w:autoSpaceDE/>
              <w:autoSpaceDN/>
              <w:rPr>
                <w:rFonts w:asciiTheme="minorHAnsi" w:eastAsia="Times New Roman" w:hAnsiTheme="minorHAnsi"/>
                <w:color w:val="000000"/>
                <w:szCs w:val="24"/>
              </w:rPr>
            </w:pPr>
            <w:r w:rsidRPr="00A47A14">
              <w:rPr>
                <w:rFonts w:asciiTheme="minorHAnsi" w:eastAsia="Times New Roman" w:hAnsiTheme="minorHAnsi"/>
                <w:color w:val="000000"/>
                <w:szCs w:val="24"/>
              </w:rPr>
              <w:t xml:space="preserve">Total </w:t>
            </w:r>
          </w:p>
        </w:tc>
        <w:tc>
          <w:tcPr>
            <w:tcW w:w="0" w:type="auto"/>
            <w:noWrap/>
            <w:vAlign w:val="bottom"/>
            <w:hideMark/>
          </w:tcPr>
          <w:p w14:paraId="49AFE7DC"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1,610</w:t>
            </w:r>
          </w:p>
        </w:tc>
        <w:tc>
          <w:tcPr>
            <w:tcW w:w="0" w:type="auto"/>
            <w:vAlign w:val="center"/>
            <w:hideMark/>
          </w:tcPr>
          <w:p w14:paraId="7C5EC526"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100.0%</w:t>
            </w:r>
          </w:p>
        </w:tc>
        <w:tc>
          <w:tcPr>
            <w:tcW w:w="0" w:type="auto"/>
            <w:noWrap/>
            <w:vAlign w:val="bottom"/>
            <w:hideMark/>
          </w:tcPr>
          <w:p w14:paraId="5ABE4807"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3,210</w:t>
            </w:r>
          </w:p>
        </w:tc>
        <w:tc>
          <w:tcPr>
            <w:tcW w:w="0" w:type="auto"/>
            <w:vAlign w:val="center"/>
            <w:hideMark/>
          </w:tcPr>
          <w:p w14:paraId="50DE0CE2"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100.0%</w:t>
            </w:r>
          </w:p>
        </w:tc>
        <w:tc>
          <w:tcPr>
            <w:tcW w:w="0" w:type="auto"/>
            <w:noWrap/>
            <w:vAlign w:val="bottom"/>
            <w:hideMark/>
          </w:tcPr>
          <w:p w14:paraId="71A119DB"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4,790</w:t>
            </w:r>
          </w:p>
        </w:tc>
        <w:tc>
          <w:tcPr>
            <w:tcW w:w="0" w:type="auto"/>
            <w:vAlign w:val="center"/>
            <w:hideMark/>
          </w:tcPr>
          <w:p w14:paraId="4C69EC01" w14:textId="77777777" w:rsidR="00A47A14" w:rsidRPr="00A47A14" w:rsidRDefault="00A47A14" w:rsidP="00A47A14">
            <w:pPr>
              <w:widowControl/>
              <w:autoSpaceDE/>
              <w:autoSpaceDN/>
              <w:jc w:val="center"/>
              <w:rPr>
                <w:rFonts w:asciiTheme="minorHAnsi" w:eastAsia="Times New Roman" w:hAnsiTheme="minorHAnsi"/>
                <w:color w:val="000000"/>
                <w:szCs w:val="24"/>
              </w:rPr>
            </w:pPr>
            <w:r w:rsidRPr="00A47A14">
              <w:rPr>
                <w:rFonts w:asciiTheme="minorHAnsi" w:eastAsia="Times New Roman" w:hAnsiTheme="minorHAnsi"/>
                <w:color w:val="000000"/>
                <w:szCs w:val="24"/>
              </w:rPr>
              <w:t>100.0%</w:t>
            </w:r>
          </w:p>
        </w:tc>
      </w:tr>
    </w:tbl>
    <w:p w14:paraId="29039DF4" w14:textId="77777777" w:rsidR="00FD0171" w:rsidRDefault="00FD0171" w:rsidP="00C776B7">
      <w:pPr>
        <w:pStyle w:val="Heading1"/>
        <w:ind w:left="0"/>
      </w:pPr>
    </w:p>
    <w:p w14:paraId="4141DE45" w14:textId="3197E377" w:rsidR="00FD0171" w:rsidRDefault="00FD0171" w:rsidP="00F50B7B">
      <w:r>
        <w:t xml:space="preserve">Table 5 summarizes </w:t>
      </w:r>
      <w:r w:rsidR="003164D8">
        <w:t xml:space="preserve">the </w:t>
      </w:r>
      <w:r w:rsidR="00C42A5B">
        <w:t xml:space="preserve">Applicant’s </w:t>
      </w:r>
      <w:r>
        <w:t>payer mix data</w:t>
      </w:r>
      <w:r w:rsidR="00B77080">
        <w:t xml:space="preserve"> and Table </w:t>
      </w:r>
      <w:r w:rsidR="00597BD8">
        <w:t>6</w:t>
      </w:r>
      <w:r w:rsidR="00B77080">
        <w:t xml:space="preserve"> </w:t>
      </w:r>
      <w:r w:rsidR="00546904">
        <w:t xml:space="preserve">shows </w:t>
      </w:r>
      <w:r w:rsidR="00C30A3A">
        <w:t xml:space="preserve">the </w:t>
      </w:r>
      <w:r w:rsidR="006D0FA9">
        <w:t xml:space="preserve">percent of the </w:t>
      </w:r>
      <w:r w:rsidR="00C30A3A">
        <w:t xml:space="preserve">Center’s </w:t>
      </w:r>
      <w:r w:rsidR="006D0FA9">
        <w:t>patients covered under an alternative payment method (APM)</w:t>
      </w:r>
      <w:r>
        <w:t xml:space="preserve">. The Applicant notes that </w:t>
      </w:r>
      <w:r w:rsidR="00591BD1">
        <w:t xml:space="preserve">in 2024, </w:t>
      </w:r>
      <w:r>
        <w:t xml:space="preserve">commercial payers comprised 81% of the </w:t>
      </w:r>
      <w:r w:rsidR="003164D8">
        <w:t>Center’s</w:t>
      </w:r>
      <w:r>
        <w:t xml:space="preserve"> payer mix, and </w:t>
      </w:r>
      <w:r w:rsidR="00C11272">
        <w:t>in 2024,</w:t>
      </w:r>
      <w:r w:rsidR="0011521C">
        <w:t xml:space="preserve"> </w:t>
      </w:r>
      <w:r w:rsidR="00FB4AE6">
        <w:t xml:space="preserve">approximately </w:t>
      </w:r>
      <w:r w:rsidR="0011521C">
        <w:t>19%</w:t>
      </w:r>
      <w:r>
        <w:t xml:space="preserve"> of </w:t>
      </w:r>
      <w:r w:rsidR="003164D8">
        <w:t xml:space="preserve">the Center’s </w:t>
      </w:r>
      <w:r w:rsidR="00ED54C2">
        <w:t>patients</w:t>
      </w:r>
      <w:r>
        <w:t xml:space="preserve"> </w:t>
      </w:r>
      <w:r w:rsidR="00C11272">
        <w:t>w</w:t>
      </w:r>
      <w:r w:rsidR="00ED54C2">
        <w:t>ere</w:t>
      </w:r>
      <w:r>
        <w:t xml:space="preserve"> insured through a government payer.</w:t>
      </w:r>
      <w:r w:rsidR="000F0382">
        <w:t xml:space="preserve"> The Applicant attributes the </w:t>
      </w:r>
      <w:r w:rsidR="00B4789A">
        <w:t xml:space="preserve">high percentage of </w:t>
      </w:r>
      <w:r w:rsidR="005C3084">
        <w:t>commercial</w:t>
      </w:r>
      <w:r w:rsidR="0055200C">
        <w:t xml:space="preserve"> payers</w:t>
      </w:r>
      <w:r w:rsidR="00583149">
        <w:t xml:space="preserve"> in the Center’s payer mix</w:t>
      </w:r>
      <w:r w:rsidR="0055200C">
        <w:t xml:space="preserve"> </w:t>
      </w:r>
      <w:r w:rsidR="00262E2F">
        <w:t>to the</w:t>
      </w:r>
      <w:r w:rsidR="00B4789A">
        <w:t xml:space="preserve"> </w:t>
      </w:r>
      <w:r w:rsidR="00AC657D" w:rsidRPr="00AC657D">
        <w:t>age and socioeconomic demographics of the Applicant’s service area</w:t>
      </w:r>
      <w:r w:rsidR="004A7ED3">
        <w:t xml:space="preserve">. </w:t>
      </w:r>
      <w:r w:rsidR="00D817C2">
        <w:t xml:space="preserve">Staff confirmed </w:t>
      </w:r>
      <w:r w:rsidR="00081A2A">
        <w:t xml:space="preserve">that </w:t>
      </w:r>
      <w:r w:rsidR="00FC23CC">
        <w:t>in</w:t>
      </w:r>
      <w:r w:rsidR="004A7ED3">
        <w:t xml:space="preserve"> the </w:t>
      </w:r>
      <w:r w:rsidR="00305B02">
        <w:t>majority of the cities and towns in the Applicant’s service area</w:t>
      </w:r>
      <w:r w:rsidR="00081A2A">
        <w:t>, the median household income</w:t>
      </w:r>
      <w:r w:rsidR="00305B02">
        <w:t xml:space="preserve"> </w:t>
      </w:r>
      <w:r w:rsidR="00CC5B4A">
        <w:t>is</w:t>
      </w:r>
      <w:r w:rsidR="006462DA">
        <w:t xml:space="preserve"> higher than the</w:t>
      </w:r>
      <w:r w:rsidR="00305B02">
        <w:t xml:space="preserve"> state</w:t>
      </w:r>
      <w:r w:rsidR="006462DA">
        <w:t xml:space="preserve"> average</w:t>
      </w:r>
      <w:r w:rsidR="00CC5B4A">
        <w:t xml:space="preserve"> and the</w:t>
      </w:r>
      <w:r w:rsidR="00931D81">
        <w:t xml:space="preserve"> percent </w:t>
      </w:r>
      <w:r w:rsidR="00081A2A">
        <w:t xml:space="preserve">living </w:t>
      </w:r>
      <w:r w:rsidR="00931D81">
        <w:t>below the poverty level is below the state average</w:t>
      </w:r>
      <w:r w:rsidR="00305B02">
        <w:t xml:space="preserve">, but </w:t>
      </w:r>
      <w:r w:rsidR="00CC5B4A">
        <w:t xml:space="preserve">staff </w:t>
      </w:r>
      <w:r w:rsidR="00305B02">
        <w:t xml:space="preserve">could not confirm </w:t>
      </w:r>
      <w:r w:rsidR="00CC5B4A">
        <w:t xml:space="preserve">the </w:t>
      </w:r>
      <w:r w:rsidR="006462DA">
        <w:t>percentage</w:t>
      </w:r>
      <w:r w:rsidR="00305B02">
        <w:t xml:space="preserve"> MassHealth enrollment in </w:t>
      </w:r>
      <w:r w:rsidR="006462DA">
        <w:t xml:space="preserve">each of the cities and towns in </w:t>
      </w:r>
      <w:r w:rsidR="00305B02">
        <w:t xml:space="preserve">the </w:t>
      </w:r>
      <w:r w:rsidR="006462DA">
        <w:t xml:space="preserve">Applicant’s </w:t>
      </w:r>
      <w:r w:rsidR="00305B02">
        <w:t xml:space="preserve">service area. </w:t>
      </w:r>
      <w:r w:rsidR="006462DA">
        <w:t>The</w:t>
      </w:r>
      <w:r w:rsidR="004A7ED3">
        <w:t xml:space="preserve"> Applicant</w:t>
      </w:r>
      <w:r w:rsidR="00262E2F">
        <w:t xml:space="preserve"> </w:t>
      </w:r>
      <w:r w:rsidR="006462DA">
        <w:t>also</w:t>
      </w:r>
      <w:r w:rsidR="00262E2F">
        <w:t xml:space="preserve"> </w:t>
      </w:r>
      <w:r w:rsidR="005C3084">
        <w:t xml:space="preserve">attributes the increase in commercial payers and decrease in </w:t>
      </w:r>
      <w:r w:rsidR="00F05AD0">
        <w:t>government</w:t>
      </w:r>
      <w:r w:rsidR="005C3084">
        <w:t xml:space="preserve"> payers </w:t>
      </w:r>
      <w:r w:rsidR="00730BB2">
        <w:t>between 2022 and 2024</w:t>
      </w:r>
      <w:r w:rsidR="00067B08">
        <w:t xml:space="preserve"> </w:t>
      </w:r>
      <w:r w:rsidR="00262E2F">
        <w:t xml:space="preserve">to the change in CRC screening guidelines which </w:t>
      </w:r>
      <w:r w:rsidR="009168D5">
        <w:t xml:space="preserve">led to a </w:t>
      </w:r>
      <w:r w:rsidR="00262E2F">
        <w:t>change</w:t>
      </w:r>
      <w:r w:rsidR="009168D5">
        <w:t xml:space="preserve"> in</w:t>
      </w:r>
      <w:r w:rsidR="00262E2F">
        <w:t xml:space="preserve"> the age composition of the Applicant’s Patient Panel</w:t>
      </w:r>
      <w:r w:rsidR="00606CA7">
        <w:t xml:space="preserve"> and in turn, the </w:t>
      </w:r>
      <w:r w:rsidR="00C73BED">
        <w:t xml:space="preserve">Applicant’s </w:t>
      </w:r>
      <w:r w:rsidR="00606CA7">
        <w:t>payer mix</w:t>
      </w:r>
      <w:r w:rsidR="000F0382">
        <w:t>. This is discussed in greater detail in Factor 1b</w:t>
      </w:r>
      <w:r w:rsidR="007C7704">
        <w:t xml:space="preserve">: Public Health Value. </w:t>
      </w:r>
    </w:p>
    <w:p w14:paraId="1C053F1C" w14:textId="77777777" w:rsidR="00995BB1" w:rsidRDefault="00995BB1" w:rsidP="00F50B7B"/>
    <w:p w14:paraId="10134E4D" w14:textId="147B77F2" w:rsidR="007F367D" w:rsidRPr="007F367D" w:rsidRDefault="007F367D" w:rsidP="00F50B7B">
      <w:pPr>
        <w:rPr>
          <w:b/>
          <w:bCs/>
        </w:rPr>
      </w:pPr>
      <w:r w:rsidRPr="1916EAF1">
        <w:rPr>
          <w:b/>
          <w:bCs/>
          <w:u w:val="single"/>
        </w:rPr>
        <w:t>Table 5</w:t>
      </w:r>
      <w:r w:rsidRPr="1916EAF1">
        <w:rPr>
          <w:b/>
          <w:bCs/>
        </w:rPr>
        <w:t xml:space="preserve">: </w:t>
      </w:r>
      <w:r w:rsidR="00C42A5B" w:rsidRPr="1916EAF1">
        <w:rPr>
          <w:b/>
          <w:bCs/>
        </w:rPr>
        <w:t>EDHC</w:t>
      </w:r>
      <w:r w:rsidRPr="1916EAF1">
        <w:rPr>
          <w:b/>
          <w:bCs/>
        </w:rPr>
        <w:t xml:space="preserve"> </w:t>
      </w:r>
      <w:r w:rsidR="00DA06C9" w:rsidRPr="1916EAF1">
        <w:rPr>
          <w:b/>
          <w:bCs/>
        </w:rPr>
        <w:t xml:space="preserve">Patient Panel </w:t>
      </w:r>
      <w:r w:rsidRPr="1916EAF1">
        <w:rPr>
          <w:b/>
          <w:bCs/>
        </w:rPr>
        <w:t>Payer Mix</w:t>
      </w:r>
      <w:r w:rsidR="00995BB1" w:rsidRPr="1916EAF1">
        <w:rPr>
          <w:b/>
          <w:bCs/>
        </w:rPr>
        <w:t>, 2022 to 2024</w:t>
      </w:r>
    </w:p>
    <w:tbl>
      <w:tblPr>
        <w:tblW w:w="0" w:type="auto"/>
        <w:tblLook w:val="04A0" w:firstRow="1" w:lastRow="0" w:firstColumn="1" w:lastColumn="0" w:noHBand="0" w:noVBand="1"/>
      </w:tblPr>
      <w:tblGrid>
        <w:gridCol w:w="6398"/>
        <w:gridCol w:w="935"/>
        <w:gridCol w:w="935"/>
        <w:gridCol w:w="935"/>
      </w:tblGrid>
      <w:tr w:rsidR="00A26031" w:rsidRPr="00A26031" w14:paraId="2EC56C8B" w14:textId="77777777" w:rsidTr="00A26031">
        <w:trPr>
          <w:trHeight w:val="290"/>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53D981D" w14:textId="2FC63F09" w:rsidR="00A26031" w:rsidRPr="00A26031" w:rsidRDefault="00A26031" w:rsidP="00A26031">
            <w:pPr>
              <w:widowControl/>
              <w:autoSpaceDE/>
              <w:autoSpaceDN/>
              <w:rPr>
                <w:rFonts w:asciiTheme="minorHAnsi" w:eastAsia="Times New Roman" w:hAnsiTheme="minorHAnsi"/>
                <w:b/>
                <w:bCs/>
                <w:color w:val="000000"/>
                <w:szCs w:val="24"/>
              </w:rPr>
            </w:pP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7017055" w14:textId="77777777" w:rsidR="00A26031" w:rsidRPr="00A26031" w:rsidRDefault="00A26031" w:rsidP="00A26031">
            <w:pPr>
              <w:widowControl/>
              <w:autoSpaceDE/>
              <w:autoSpaceDN/>
              <w:jc w:val="center"/>
              <w:rPr>
                <w:rFonts w:asciiTheme="minorHAnsi" w:eastAsia="Times New Roman" w:hAnsiTheme="minorHAnsi"/>
                <w:b/>
                <w:bCs/>
                <w:color w:val="000000"/>
                <w:szCs w:val="24"/>
              </w:rPr>
            </w:pPr>
            <w:r w:rsidRPr="00A26031">
              <w:rPr>
                <w:rFonts w:asciiTheme="minorHAnsi" w:eastAsia="Times New Roman" w:hAnsiTheme="minorHAnsi"/>
                <w:b/>
                <w:bCs/>
                <w:color w:val="000000"/>
                <w:szCs w:val="24"/>
              </w:rPr>
              <w:t>2022</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D3F3C4D" w14:textId="77777777" w:rsidR="00A26031" w:rsidRPr="00A26031" w:rsidRDefault="00A26031" w:rsidP="00A26031">
            <w:pPr>
              <w:widowControl/>
              <w:autoSpaceDE/>
              <w:autoSpaceDN/>
              <w:jc w:val="center"/>
              <w:rPr>
                <w:rFonts w:asciiTheme="minorHAnsi" w:eastAsia="Times New Roman" w:hAnsiTheme="minorHAnsi"/>
                <w:b/>
                <w:bCs/>
                <w:color w:val="000000"/>
                <w:szCs w:val="24"/>
              </w:rPr>
            </w:pPr>
            <w:r w:rsidRPr="00A26031">
              <w:rPr>
                <w:rFonts w:asciiTheme="minorHAnsi" w:eastAsia="Times New Roman" w:hAnsiTheme="minorHAnsi"/>
                <w:b/>
                <w:bCs/>
                <w:color w:val="000000"/>
                <w:szCs w:val="24"/>
              </w:rPr>
              <w:t>2023</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DF9447F" w14:textId="77777777" w:rsidR="00A26031" w:rsidRPr="00A26031" w:rsidRDefault="00A26031" w:rsidP="00A26031">
            <w:pPr>
              <w:widowControl/>
              <w:autoSpaceDE/>
              <w:autoSpaceDN/>
              <w:jc w:val="center"/>
              <w:rPr>
                <w:rFonts w:asciiTheme="minorHAnsi" w:eastAsia="Times New Roman" w:hAnsiTheme="minorHAnsi"/>
                <w:b/>
                <w:bCs/>
                <w:color w:val="000000"/>
                <w:szCs w:val="24"/>
              </w:rPr>
            </w:pPr>
            <w:r w:rsidRPr="00A26031">
              <w:rPr>
                <w:rFonts w:asciiTheme="minorHAnsi" w:eastAsia="Times New Roman" w:hAnsiTheme="minorHAnsi"/>
                <w:b/>
                <w:bCs/>
                <w:color w:val="000000"/>
                <w:szCs w:val="24"/>
              </w:rPr>
              <w:t>2024</w:t>
            </w:r>
          </w:p>
        </w:tc>
      </w:tr>
      <w:tr w:rsidR="00A26031" w:rsidRPr="00A26031" w14:paraId="4970EC93" w14:textId="77777777" w:rsidTr="0AFEC8EA">
        <w:trPr>
          <w:trHeight w:val="290"/>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66E1D102" w14:textId="77777777" w:rsidR="00A26031" w:rsidRPr="00A26031" w:rsidRDefault="00A26031" w:rsidP="00A26031">
            <w:pPr>
              <w:widowControl/>
              <w:autoSpaceDE/>
              <w:autoSpaceDN/>
              <w:rPr>
                <w:rFonts w:asciiTheme="minorHAnsi" w:eastAsia="Times New Roman" w:hAnsiTheme="minorHAnsi"/>
                <w:color w:val="000000"/>
                <w:szCs w:val="24"/>
              </w:rPr>
            </w:pPr>
            <w:r w:rsidRPr="00A26031">
              <w:rPr>
                <w:rFonts w:asciiTheme="minorHAnsi" w:eastAsia="Times New Roman" w:hAnsiTheme="minorHAnsi"/>
                <w:color w:val="000000"/>
                <w:szCs w:val="24"/>
              </w:rPr>
              <w:t>Commercial (PPO/Indemnity and HMO/POS)</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01C22A1" w14:textId="77777777" w:rsidR="00A26031" w:rsidRPr="00A26031" w:rsidRDefault="00A26031" w:rsidP="00A26031">
            <w:pPr>
              <w:widowControl/>
              <w:autoSpaceDE/>
              <w:autoSpaceDN/>
              <w:jc w:val="center"/>
              <w:rPr>
                <w:rFonts w:asciiTheme="minorHAnsi" w:eastAsia="Times New Roman" w:hAnsiTheme="minorHAnsi"/>
                <w:color w:val="000000"/>
                <w:szCs w:val="24"/>
              </w:rPr>
            </w:pPr>
            <w:r w:rsidRPr="00A26031">
              <w:rPr>
                <w:rFonts w:asciiTheme="minorHAnsi" w:eastAsia="Times New Roman" w:hAnsiTheme="minorHAnsi"/>
                <w:color w:val="000000"/>
                <w:szCs w:val="24"/>
              </w:rPr>
              <w:t>60.0%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269395A" w14:textId="77777777" w:rsidR="00A26031" w:rsidRPr="00A26031" w:rsidRDefault="00A26031" w:rsidP="00A26031">
            <w:pPr>
              <w:widowControl/>
              <w:autoSpaceDE/>
              <w:autoSpaceDN/>
              <w:jc w:val="center"/>
              <w:rPr>
                <w:rFonts w:asciiTheme="minorHAnsi" w:eastAsia="Times New Roman" w:hAnsiTheme="minorHAnsi"/>
                <w:color w:val="000000"/>
                <w:szCs w:val="24"/>
              </w:rPr>
            </w:pPr>
            <w:r w:rsidRPr="00A26031">
              <w:rPr>
                <w:rFonts w:asciiTheme="minorHAnsi" w:eastAsia="Times New Roman" w:hAnsiTheme="minorHAnsi"/>
                <w:color w:val="000000"/>
                <w:szCs w:val="24"/>
              </w:rPr>
              <w:t>72.6%</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9CA1ABF" w14:textId="4655EF4F" w:rsidR="00A26031" w:rsidRPr="00A26031" w:rsidRDefault="00A26031" w:rsidP="00A26031">
            <w:pPr>
              <w:widowControl/>
              <w:autoSpaceDE/>
              <w:autoSpaceDN/>
              <w:jc w:val="center"/>
              <w:rPr>
                <w:rFonts w:asciiTheme="minorHAnsi" w:eastAsia="Times New Roman" w:hAnsiTheme="minorHAnsi"/>
                <w:color w:val="000000"/>
                <w:szCs w:val="24"/>
              </w:rPr>
            </w:pPr>
            <w:r w:rsidRPr="00A26031">
              <w:rPr>
                <w:rFonts w:asciiTheme="minorHAnsi" w:eastAsia="Times New Roman" w:hAnsiTheme="minorHAnsi"/>
                <w:color w:val="000000"/>
                <w:szCs w:val="24"/>
              </w:rPr>
              <w:t>80.7</w:t>
            </w:r>
            <w:r w:rsidR="005463FA">
              <w:rPr>
                <w:rFonts w:asciiTheme="minorHAnsi" w:eastAsia="Times New Roman" w:hAnsiTheme="minorHAnsi"/>
                <w:color w:val="000000"/>
                <w:szCs w:val="24"/>
              </w:rPr>
              <w:t>3</w:t>
            </w:r>
            <w:r w:rsidRPr="00A26031">
              <w:rPr>
                <w:rFonts w:asciiTheme="minorHAnsi" w:eastAsia="Times New Roman" w:hAnsiTheme="minorHAnsi"/>
                <w:color w:val="000000"/>
                <w:szCs w:val="24"/>
              </w:rPr>
              <w:t>%</w:t>
            </w:r>
          </w:p>
        </w:tc>
      </w:tr>
      <w:tr w:rsidR="00A26031" w:rsidRPr="00A26031" w14:paraId="7A410603" w14:textId="77777777" w:rsidTr="0AFEC8EA">
        <w:trPr>
          <w:trHeight w:val="290"/>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0C309F6B" w14:textId="3842601A" w:rsidR="00A26031" w:rsidRPr="00A26031" w:rsidRDefault="00A26031" w:rsidP="00A26031">
            <w:pPr>
              <w:widowControl/>
              <w:autoSpaceDE/>
              <w:autoSpaceDN/>
              <w:rPr>
                <w:rFonts w:asciiTheme="minorHAnsi" w:eastAsia="Times New Roman" w:hAnsiTheme="minorHAnsi"/>
                <w:color w:val="000000"/>
                <w:szCs w:val="24"/>
              </w:rPr>
            </w:pPr>
            <w:r w:rsidRPr="00A26031">
              <w:rPr>
                <w:rFonts w:asciiTheme="minorHAnsi" w:eastAsia="Times New Roman" w:hAnsiTheme="minorHAnsi"/>
                <w:color w:val="000000"/>
                <w:szCs w:val="24"/>
              </w:rPr>
              <w:t>Medicare</w:t>
            </w:r>
            <w:r w:rsidR="00A370EA">
              <w:rPr>
                <w:rFonts w:asciiTheme="minorHAnsi" w:eastAsia="Times New Roman" w:hAnsiTheme="minorHAnsi"/>
                <w:color w:val="000000"/>
                <w:szCs w:val="24"/>
              </w:rPr>
              <w:t xml:space="preserve"> FFS</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0608172" w14:textId="77777777" w:rsidR="00A26031" w:rsidRPr="00A26031" w:rsidRDefault="00A26031" w:rsidP="00A26031">
            <w:pPr>
              <w:widowControl/>
              <w:autoSpaceDE/>
              <w:autoSpaceDN/>
              <w:jc w:val="center"/>
              <w:rPr>
                <w:rFonts w:asciiTheme="minorHAnsi" w:eastAsia="Times New Roman" w:hAnsiTheme="minorHAnsi"/>
                <w:color w:val="000000"/>
                <w:szCs w:val="24"/>
              </w:rPr>
            </w:pPr>
            <w:r w:rsidRPr="00A26031">
              <w:rPr>
                <w:rFonts w:asciiTheme="minorHAnsi" w:eastAsia="Times New Roman" w:hAnsiTheme="minorHAnsi"/>
                <w:color w:val="000000"/>
                <w:szCs w:val="24"/>
              </w:rPr>
              <w:t>20.0%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152C762" w14:textId="77777777" w:rsidR="00A26031" w:rsidRPr="00A26031" w:rsidRDefault="00A26031" w:rsidP="00A26031">
            <w:pPr>
              <w:widowControl/>
              <w:autoSpaceDE/>
              <w:autoSpaceDN/>
              <w:jc w:val="center"/>
              <w:rPr>
                <w:rFonts w:asciiTheme="minorHAnsi" w:eastAsia="Times New Roman" w:hAnsiTheme="minorHAnsi"/>
                <w:color w:val="000000"/>
                <w:szCs w:val="24"/>
              </w:rPr>
            </w:pPr>
            <w:r w:rsidRPr="00A26031">
              <w:rPr>
                <w:rFonts w:asciiTheme="minorHAnsi" w:eastAsia="Times New Roman" w:hAnsiTheme="minorHAnsi"/>
                <w:color w:val="000000"/>
                <w:szCs w:val="24"/>
              </w:rPr>
              <w:t>15.0%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FB7D3B0" w14:textId="175908F3" w:rsidR="00A26031" w:rsidRPr="00A26031" w:rsidRDefault="00A26031" w:rsidP="00A26031">
            <w:pPr>
              <w:widowControl/>
              <w:autoSpaceDE/>
              <w:autoSpaceDN/>
              <w:jc w:val="center"/>
              <w:rPr>
                <w:rFonts w:asciiTheme="minorHAnsi" w:eastAsia="Times New Roman" w:hAnsiTheme="minorHAnsi"/>
                <w:color w:val="000000"/>
                <w:szCs w:val="24"/>
              </w:rPr>
            </w:pPr>
            <w:r w:rsidRPr="00A26031">
              <w:rPr>
                <w:rFonts w:asciiTheme="minorHAnsi" w:eastAsia="Times New Roman" w:hAnsiTheme="minorHAnsi"/>
                <w:color w:val="000000"/>
                <w:szCs w:val="24"/>
              </w:rPr>
              <w:t>12.</w:t>
            </w:r>
            <w:r w:rsidR="00EA3D2C">
              <w:rPr>
                <w:rFonts w:asciiTheme="minorHAnsi" w:eastAsia="Times New Roman" w:hAnsiTheme="minorHAnsi"/>
                <w:color w:val="000000"/>
                <w:szCs w:val="24"/>
              </w:rPr>
              <w:t>17</w:t>
            </w:r>
            <w:r w:rsidRPr="00A26031">
              <w:rPr>
                <w:rFonts w:asciiTheme="minorHAnsi" w:eastAsia="Times New Roman" w:hAnsiTheme="minorHAnsi"/>
                <w:color w:val="000000"/>
                <w:szCs w:val="24"/>
              </w:rPr>
              <w:t>%</w:t>
            </w:r>
          </w:p>
        </w:tc>
      </w:tr>
      <w:tr w:rsidR="00A26031" w:rsidRPr="00A26031" w14:paraId="109465F1" w14:textId="77777777" w:rsidTr="0AFEC8EA">
        <w:trPr>
          <w:trHeight w:val="110"/>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B90A3B1" w14:textId="77777777" w:rsidR="00A26031" w:rsidRPr="00A26031" w:rsidRDefault="00A26031" w:rsidP="00A26031">
            <w:pPr>
              <w:widowControl/>
              <w:autoSpaceDE/>
              <w:autoSpaceDN/>
              <w:rPr>
                <w:rFonts w:asciiTheme="minorHAnsi" w:eastAsia="Times New Roman" w:hAnsiTheme="minorHAnsi"/>
                <w:color w:val="000000"/>
                <w:szCs w:val="24"/>
              </w:rPr>
            </w:pPr>
            <w:r w:rsidRPr="00A26031">
              <w:rPr>
                <w:rFonts w:asciiTheme="minorHAnsi" w:eastAsia="Times New Roman" w:hAnsiTheme="minorHAnsi"/>
                <w:color w:val="000000"/>
                <w:szCs w:val="24"/>
              </w:rPr>
              <w:t>Commercial Medicare (Private Medicare/ Medicare Advantage)</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6E487DA" w14:textId="77777777" w:rsidR="00A26031" w:rsidRPr="00A26031" w:rsidRDefault="00A26031" w:rsidP="00A26031">
            <w:pPr>
              <w:widowControl/>
              <w:autoSpaceDE/>
              <w:autoSpaceDN/>
              <w:jc w:val="center"/>
              <w:rPr>
                <w:rFonts w:asciiTheme="minorHAnsi" w:eastAsia="Times New Roman" w:hAnsiTheme="minorHAnsi"/>
                <w:color w:val="000000"/>
                <w:szCs w:val="24"/>
              </w:rPr>
            </w:pPr>
            <w:r w:rsidRPr="00A26031">
              <w:rPr>
                <w:rFonts w:asciiTheme="minorHAnsi" w:eastAsia="Times New Roman" w:hAnsiTheme="minorHAnsi"/>
                <w:color w:val="000000"/>
                <w:szCs w:val="24"/>
              </w:rPr>
              <w:t>11.0%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83CAC21" w14:textId="77777777" w:rsidR="00A26031" w:rsidRPr="00A26031" w:rsidRDefault="00A26031" w:rsidP="00A26031">
            <w:pPr>
              <w:widowControl/>
              <w:autoSpaceDE/>
              <w:autoSpaceDN/>
              <w:jc w:val="center"/>
              <w:rPr>
                <w:rFonts w:asciiTheme="minorHAnsi" w:eastAsia="Times New Roman" w:hAnsiTheme="minorHAnsi"/>
                <w:color w:val="000000"/>
                <w:szCs w:val="24"/>
              </w:rPr>
            </w:pPr>
            <w:r w:rsidRPr="00A26031">
              <w:rPr>
                <w:rFonts w:asciiTheme="minorHAnsi" w:eastAsia="Times New Roman" w:hAnsiTheme="minorHAnsi"/>
                <w:color w:val="000000"/>
                <w:szCs w:val="24"/>
              </w:rPr>
              <w:t>11.0%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AA46A71" w14:textId="143FA0DA" w:rsidR="00A26031" w:rsidRPr="00A26031" w:rsidRDefault="00A26031" w:rsidP="00A26031">
            <w:pPr>
              <w:widowControl/>
              <w:autoSpaceDE/>
              <w:autoSpaceDN/>
              <w:jc w:val="center"/>
              <w:rPr>
                <w:rFonts w:asciiTheme="minorHAnsi" w:eastAsia="Times New Roman" w:hAnsiTheme="minorHAnsi"/>
                <w:color w:val="000000"/>
                <w:szCs w:val="24"/>
              </w:rPr>
            </w:pPr>
            <w:r w:rsidRPr="00A26031">
              <w:rPr>
                <w:rFonts w:asciiTheme="minorHAnsi" w:eastAsia="Times New Roman" w:hAnsiTheme="minorHAnsi"/>
                <w:color w:val="000000"/>
                <w:szCs w:val="24"/>
              </w:rPr>
              <w:t>4.</w:t>
            </w:r>
            <w:r w:rsidR="00EA3D2C">
              <w:rPr>
                <w:rFonts w:asciiTheme="minorHAnsi" w:eastAsia="Times New Roman" w:hAnsiTheme="minorHAnsi"/>
                <w:color w:val="000000"/>
                <w:szCs w:val="24"/>
              </w:rPr>
              <w:t>7</w:t>
            </w:r>
            <w:r w:rsidRPr="00A26031">
              <w:rPr>
                <w:rFonts w:asciiTheme="minorHAnsi" w:eastAsia="Times New Roman" w:hAnsiTheme="minorHAnsi"/>
                <w:color w:val="000000"/>
                <w:szCs w:val="24"/>
              </w:rPr>
              <w:t>8%</w:t>
            </w:r>
          </w:p>
        </w:tc>
      </w:tr>
      <w:tr w:rsidR="00A26031" w:rsidRPr="00A26031" w14:paraId="00D11350" w14:textId="77777777" w:rsidTr="0AFEC8EA">
        <w:trPr>
          <w:trHeight w:val="290"/>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8178FD1" w14:textId="02CD6144" w:rsidR="00A26031" w:rsidRPr="00A26031" w:rsidRDefault="00A370EA" w:rsidP="00A26031">
            <w:pPr>
              <w:widowControl/>
              <w:autoSpaceDE/>
              <w:autoSpaceDN/>
              <w:rPr>
                <w:rFonts w:asciiTheme="minorHAnsi" w:eastAsia="Times New Roman" w:hAnsiTheme="minorHAnsi"/>
                <w:color w:val="000000"/>
                <w:szCs w:val="24"/>
              </w:rPr>
            </w:pPr>
            <w:r>
              <w:rPr>
                <w:rFonts w:asciiTheme="minorHAnsi" w:eastAsia="Times New Roman" w:hAnsiTheme="minorHAnsi"/>
                <w:color w:val="000000"/>
                <w:szCs w:val="24"/>
              </w:rPr>
              <w:t xml:space="preserve">Managed </w:t>
            </w:r>
            <w:r w:rsidR="00A26031" w:rsidRPr="00A26031">
              <w:rPr>
                <w:rFonts w:asciiTheme="minorHAnsi" w:eastAsia="Times New Roman" w:hAnsiTheme="minorHAnsi"/>
                <w:color w:val="000000"/>
                <w:szCs w:val="24"/>
              </w:rPr>
              <w:t>Medicaid</w:t>
            </w:r>
            <w:r>
              <w:rPr>
                <w:rFonts w:asciiTheme="minorHAnsi" w:eastAsia="Times New Roman" w:hAnsiTheme="minorHAnsi"/>
                <w:color w:val="000000"/>
                <w:szCs w:val="24"/>
              </w:rPr>
              <w:t xml:space="preserve"> (Private Medicaid/Medicaid MCOs)</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AF5006C" w14:textId="4DB9187C" w:rsidR="00A26031" w:rsidRPr="00A26031" w:rsidRDefault="00EA3D2C" w:rsidP="00A26031">
            <w:pPr>
              <w:widowControl/>
              <w:autoSpaceDE/>
              <w:autoSpaceDN/>
              <w:jc w:val="center"/>
              <w:rPr>
                <w:rFonts w:asciiTheme="minorHAnsi" w:eastAsia="Times New Roman" w:hAnsiTheme="minorHAnsi"/>
                <w:color w:val="000000"/>
                <w:szCs w:val="24"/>
              </w:rPr>
            </w:pPr>
            <w:r>
              <w:rPr>
                <w:rFonts w:asciiTheme="minorHAnsi" w:eastAsia="Times New Roman" w:hAnsiTheme="minorHAnsi"/>
                <w:color w:val="000000"/>
                <w:szCs w:val="24"/>
              </w:rPr>
              <w:t>4</w:t>
            </w:r>
            <w:r w:rsidR="00A26031" w:rsidRPr="00A26031">
              <w:rPr>
                <w:rFonts w:asciiTheme="minorHAnsi" w:eastAsia="Times New Roman" w:hAnsiTheme="minorHAnsi"/>
                <w:color w:val="000000"/>
                <w:szCs w:val="24"/>
              </w:rPr>
              <w:t>.0%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41DEB41" w14:textId="50ED2E74" w:rsidR="00A26031" w:rsidRPr="00A26031" w:rsidRDefault="00EA3D2C" w:rsidP="00A26031">
            <w:pPr>
              <w:widowControl/>
              <w:autoSpaceDE/>
              <w:autoSpaceDN/>
              <w:jc w:val="center"/>
              <w:rPr>
                <w:rFonts w:asciiTheme="minorHAnsi" w:eastAsia="Times New Roman" w:hAnsiTheme="minorHAnsi"/>
                <w:color w:val="000000"/>
                <w:szCs w:val="24"/>
              </w:rPr>
            </w:pPr>
            <w:r>
              <w:rPr>
                <w:rFonts w:asciiTheme="minorHAnsi" w:eastAsia="Times New Roman" w:hAnsiTheme="minorHAnsi"/>
                <w:color w:val="000000"/>
                <w:szCs w:val="24"/>
              </w:rPr>
              <w:t>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AD6E30B" w14:textId="361BF713" w:rsidR="00A26031" w:rsidRPr="00A26031" w:rsidRDefault="00EA3D2C" w:rsidP="00A26031">
            <w:pPr>
              <w:widowControl/>
              <w:autoSpaceDE/>
              <w:autoSpaceDN/>
              <w:jc w:val="center"/>
              <w:rPr>
                <w:rFonts w:asciiTheme="minorHAnsi" w:eastAsia="Times New Roman" w:hAnsiTheme="minorHAnsi"/>
                <w:color w:val="000000"/>
                <w:szCs w:val="24"/>
              </w:rPr>
            </w:pPr>
            <w:r>
              <w:rPr>
                <w:rFonts w:asciiTheme="minorHAnsi" w:eastAsia="Times New Roman" w:hAnsiTheme="minorHAnsi"/>
                <w:color w:val="000000"/>
                <w:szCs w:val="24"/>
              </w:rPr>
              <w:t>0.34%</w:t>
            </w:r>
          </w:p>
        </w:tc>
      </w:tr>
      <w:tr w:rsidR="00A370EA" w:rsidRPr="00A26031" w14:paraId="45390DFD" w14:textId="77777777" w:rsidTr="0AFEC8EA">
        <w:trPr>
          <w:trHeight w:val="29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2E7CA138" w14:textId="3C7D9885" w:rsidR="00A370EA" w:rsidRDefault="00A370EA" w:rsidP="00A26031">
            <w:pPr>
              <w:widowControl/>
              <w:autoSpaceDE/>
              <w:autoSpaceDN/>
              <w:rPr>
                <w:rFonts w:asciiTheme="minorHAnsi" w:eastAsia="Times New Roman" w:hAnsiTheme="minorHAnsi"/>
                <w:color w:val="000000"/>
                <w:szCs w:val="24"/>
              </w:rPr>
            </w:pPr>
            <w:r>
              <w:rPr>
                <w:rFonts w:asciiTheme="minorHAnsi" w:eastAsia="Times New Roman" w:hAnsiTheme="minorHAnsi"/>
                <w:color w:val="000000"/>
                <w:szCs w:val="24"/>
              </w:rPr>
              <w:t xml:space="preserve">MassHealth </w:t>
            </w:r>
          </w:p>
        </w:tc>
        <w:tc>
          <w:tcPr>
            <w:tcW w:w="0" w:type="auto"/>
            <w:tcBorders>
              <w:top w:val="nil"/>
              <w:left w:val="nil"/>
              <w:bottom w:val="single" w:sz="4" w:space="0" w:color="auto"/>
              <w:right w:val="single" w:sz="4" w:space="0" w:color="auto"/>
            </w:tcBorders>
            <w:shd w:val="clear" w:color="auto" w:fill="FFFFFF" w:themeFill="background1"/>
            <w:vAlign w:val="center"/>
          </w:tcPr>
          <w:p w14:paraId="7E41B051" w14:textId="48A52EA4" w:rsidR="00A370EA" w:rsidRPr="00A26031" w:rsidRDefault="00C12281" w:rsidP="00A26031">
            <w:pPr>
              <w:widowControl/>
              <w:autoSpaceDE/>
              <w:autoSpaceDN/>
              <w:jc w:val="center"/>
              <w:rPr>
                <w:rFonts w:asciiTheme="minorHAnsi" w:eastAsia="Times New Roman" w:hAnsiTheme="minorHAnsi"/>
                <w:color w:val="000000"/>
                <w:szCs w:val="24"/>
              </w:rPr>
            </w:pPr>
            <w:r>
              <w:rPr>
                <w:rFonts w:asciiTheme="minorHAnsi" w:eastAsia="Times New Roman" w:hAnsiTheme="minorHAnsi"/>
                <w:color w:val="000000"/>
                <w:szCs w:val="24"/>
              </w:rPr>
              <w:t>4.0%</w:t>
            </w:r>
          </w:p>
        </w:tc>
        <w:tc>
          <w:tcPr>
            <w:tcW w:w="0" w:type="auto"/>
            <w:tcBorders>
              <w:top w:val="nil"/>
              <w:left w:val="nil"/>
              <w:bottom w:val="single" w:sz="4" w:space="0" w:color="auto"/>
              <w:right w:val="single" w:sz="4" w:space="0" w:color="auto"/>
            </w:tcBorders>
            <w:shd w:val="clear" w:color="auto" w:fill="FFFFFF" w:themeFill="background1"/>
            <w:vAlign w:val="center"/>
          </w:tcPr>
          <w:p w14:paraId="3915FE80" w14:textId="53A9D6EA" w:rsidR="00A370EA" w:rsidRPr="00A26031" w:rsidRDefault="00C12281" w:rsidP="00A26031">
            <w:pPr>
              <w:widowControl/>
              <w:autoSpaceDE/>
              <w:autoSpaceDN/>
              <w:jc w:val="center"/>
              <w:rPr>
                <w:rFonts w:asciiTheme="minorHAnsi" w:eastAsia="Times New Roman" w:hAnsiTheme="minorHAnsi"/>
                <w:color w:val="000000"/>
                <w:szCs w:val="24"/>
              </w:rPr>
            </w:pPr>
            <w:r>
              <w:rPr>
                <w:rFonts w:asciiTheme="minorHAnsi" w:eastAsia="Times New Roman" w:hAnsiTheme="minorHAnsi"/>
                <w:color w:val="000000"/>
                <w:szCs w:val="24"/>
              </w:rPr>
              <w:t>1.4%</w:t>
            </w:r>
          </w:p>
        </w:tc>
        <w:tc>
          <w:tcPr>
            <w:tcW w:w="0" w:type="auto"/>
            <w:tcBorders>
              <w:top w:val="nil"/>
              <w:left w:val="nil"/>
              <w:bottom w:val="single" w:sz="4" w:space="0" w:color="auto"/>
              <w:right w:val="single" w:sz="4" w:space="0" w:color="auto"/>
            </w:tcBorders>
            <w:shd w:val="clear" w:color="auto" w:fill="FFFFFF" w:themeFill="background1"/>
            <w:vAlign w:val="center"/>
          </w:tcPr>
          <w:p w14:paraId="1BD13DB5" w14:textId="1CD80C20" w:rsidR="00A370EA" w:rsidRPr="00A26031" w:rsidRDefault="00C12281" w:rsidP="00A26031">
            <w:pPr>
              <w:widowControl/>
              <w:autoSpaceDE/>
              <w:autoSpaceDN/>
              <w:jc w:val="center"/>
              <w:rPr>
                <w:rFonts w:asciiTheme="minorHAnsi" w:eastAsia="Times New Roman" w:hAnsiTheme="minorHAnsi"/>
                <w:color w:val="000000"/>
                <w:szCs w:val="24"/>
              </w:rPr>
            </w:pPr>
            <w:r>
              <w:rPr>
                <w:rFonts w:asciiTheme="minorHAnsi" w:eastAsia="Times New Roman" w:hAnsiTheme="minorHAnsi"/>
                <w:color w:val="000000"/>
                <w:szCs w:val="24"/>
              </w:rPr>
              <w:t>1.56%</w:t>
            </w:r>
          </w:p>
        </w:tc>
      </w:tr>
      <w:tr w:rsidR="00A26031" w:rsidRPr="00A26031" w14:paraId="6BF70EC5" w14:textId="77777777" w:rsidTr="0AFEC8EA">
        <w:trPr>
          <w:trHeight w:val="290"/>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6FDE9045" w14:textId="69E2730F" w:rsidR="00A26031" w:rsidRPr="00A26031" w:rsidRDefault="00A26031" w:rsidP="00A26031">
            <w:pPr>
              <w:widowControl/>
              <w:autoSpaceDE/>
              <w:autoSpaceDN/>
              <w:rPr>
                <w:rFonts w:asciiTheme="minorHAnsi" w:eastAsia="Times New Roman" w:hAnsiTheme="minorHAnsi"/>
                <w:color w:val="000000"/>
                <w:szCs w:val="24"/>
              </w:rPr>
            </w:pPr>
            <w:r w:rsidRPr="00A26031">
              <w:rPr>
                <w:rFonts w:asciiTheme="minorHAnsi" w:eastAsia="Times New Roman" w:hAnsiTheme="minorHAnsi"/>
                <w:color w:val="000000"/>
                <w:szCs w:val="24"/>
              </w:rPr>
              <w:t>Other</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851875A" w14:textId="77777777" w:rsidR="00A26031" w:rsidRPr="00A26031" w:rsidRDefault="00A26031" w:rsidP="00A26031">
            <w:pPr>
              <w:widowControl/>
              <w:autoSpaceDE/>
              <w:autoSpaceDN/>
              <w:jc w:val="center"/>
              <w:rPr>
                <w:rFonts w:asciiTheme="minorHAnsi" w:eastAsia="Times New Roman" w:hAnsiTheme="minorHAnsi"/>
                <w:color w:val="000000"/>
                <w:szCs w:val="24"/>
              </w:rPr>
            </w:pPr>
            <w:r w:rsidRPr="00A26031">
              <w:rPr>
                <w:rFonts w:asciiTheme="minorHAnsi" w:eastAsia="Times New Roman" w:hAnsiTheme="minorHAnsi"/>
                <w:color w:val="000000"/>
                <w:szCs w:val="24"/>
              </w:rPr>
              <w:t>1.0%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AC25671" w14:textId="77777777" w:rsidR="00A26031" w:rsidRPr="00A26031" w:rsidRDefault="00A26031" w:rsidP="00A26031">
            <w:pPr>
              <w:widowControl/>
              <w:autoSpaceDE/>
              <w:autoSpaceDN/>
              <w:jc w:val="center"/>
              <w:rPr>
                <w:rFonts w:asciiTheme="minorHAnsi" w:eastAsia="Times New Roman" w:hAnsiTheme="minorHAnsi"/>
                <w:color w:val="000000"/>
                <w:szCs w:val="24"/>
              </w:rPr>
            </w:pPr>
            <w:r w:rsidRPr="00A26031">
              <w:rPr>
                <w:rFonts w:asciiTheme="minorHAnsi" w:eastAsia="Times New Roman" w:hAnsiTheme="minorHAnsi"/>
                <w:color w:val="000000"/>
                <w:szCs w:val="24"/>
              </w:rPr>
              <w:t>0.5%</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C7B2996" w14:textId="78439E6E" w:rsidR="00A26031" w:rsidRPr="00A26031" w:rsidRDefault="00A26031" w:rsidP="00A26031">
            <w:pPr>
              <w:widowControl/>
              <w:autoSpaceDE/>
              <w:autoSpaceDN/>
              <w:jc w:val="center"/>
              <w:rPr>
                <w:rFonts w:asciiTheme="minorHAnsi" w:eastAsia="Times New Roman" w:hAnsiTheme="minorHAnsi"/>
                <w:color w:val="000000"/>
                <w:szCs w:val="24"/>
              </w:rPr>
            </w:pPr>
            <w:r w:rsidRPr="00A26031">
              <w:rPr>
                <w:rFonts w:asciiTheme="minorHAnsi" w:eastAsia="Times New Roman" w:hAnsiTheme="minorHAnsi"/>
                <w:color w:val="000000"/>
                <w:szCs w:val="24"/>
              </w:rPr>
              <w:t>0.3</w:t>
            </w:r>
            <w:r w:rsidR="005463FA">
              <w:rPr>
                <w:rFonts w:asciiTheme="minorHAnsi" w:eastAsia="Times New Roman" w:hAnsiTheme="minorHAnsi"/>
                <w:color w:val="000000"/>
                <w:szCs w:val="24"/>
              </w:rPr>
              <w:t>6</w:t>
            </w:r>
            <w:r w:rsidRPr="00A26031">
              <w:rPr>
                <w:rFonts w:asciiTheme="minorHAnsi" w:eastAsia="Times New Roman" w:hAnsiTheme="minorHAnsi"/>
                <w:color w:val="000000"/>
                <w:szCs w:val="24"/>
              </w:rPr>
              <w:t>%</w:t>
            </w:r>
          </w:p>
        </w:tc>
      </w:tr>
      <w:tr w:rsidR="00A26031" w:rsidRPr="00A26031" w14:paraId="3E170C23" w14:textId="77777777" w:rsidTr="0AFEC8EA">
        <w:trPr>
          <w:trHeight w:val="290"/>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FFE8D01" w14:textId="77777777" w:rsidR="00A26031" w:rsidRPr="00A26031" w:rsidRDefault="00A26031" w:rsidP="00A26031">
            <w:pPr>
              <w:widowControl/>
              <w:autoSpaceDE/>
              <w:autoSpaceDN/>
              <w:rPr>
                <w:rFonts w:asciiTheme="minorHAnsi" w:eastAsia="Times New Roman" w:hAnsiTheme="minorHAnsi"/>
                <w:color w:val="000000"/>
                <w:szCs w:val="24"/>
              </w:rPr>
            </w:pPr>
            <w:r w:rsidRPr="00A26031">
              <w:rPr>
                <w:rFonts w:asciiTheme="minorHAnsi" w:eastAsia="Times New Roman" w:hAnsiTheme="minorHAnsi"/>
                <w:color w:val="000000"/>
                <w:szCs w:val="24"/>
              </w:rPr>
              <w:t xml:space="preserve">Total </w:t>
            </w:r>
          </w:p>
        </w:tc>
        <w:tc>
          <w:tcPr>
            <w:tcW w:w="0" w:type="auto"/>
            <w:tcBorders>
              <w:top w:val="nil"/>
              <w:left w:val="nil"/>
              <w:bottom w:val="single" w:sz="4" w:space="0" w:color="auto"/>
              <w:right w:val="single" w:sz="4" w:space="0" w:color="auto"/>
            </w:tcBorders>
            <w:noWrap/>
            <w:vAlign w:val="bottom"/>
            <w:hideMark/>
          </w:tcPr>
          <w:p w14:paraId="63745FDD" w14:textId="77777777" w:rsidR="00A26031" w:rsidRPr="00A26031" w:rsidRDefault="00A26031" w:rsidP="00A26031">
            <w:pPr>
              <w:widowControl/>
              <w:autoSpaceDE/>
              <w:autoSpaceDN/>
              <w:jc w:val="center"/>
              <w:rPr>
                <w:rFonts w:asciiTheme="minorHAnsi" w:eastAsia="Times New Roman" w:hAnsiTheme="minorHAnsi"/>
                <w:color w:val="000000"/>
                <w:szCs w:val="24"/>
              </w:rPr>
            </w:pPr>
            <w:r w:rsidRPr="00A26031">
              <w:rPr>
                <w:rFonts w:asciiTheme="minorHAnsi" w:eastAsia="Times New Roman" w:hAnsiTheme="minorHAnsi"/>
                <w:color w:val="000000"/>
                <w:szCs w:val="24"/>
              </w:rPr>
              <w:t>100.0%</w:t>
            </w:r>
          </w:p>
        </w:tc>
        <w:tc>
          <w:tcPr>
            <w:tcW w:w="0" w:type="auto"/>
            <w:tcBorders>
              <w:top w:val="nil"/>
              <w:left w:val="nil"/>
              <w:bottom w:val="single" w:sz="4" w:space="0" w:color="auto"/>
              <w:right w:val="single" w:sz="4" w:space="0" w:color="auto"/>
            </w:tcBorders>
            <w:noWrap/>
            <w:vAlign w:val="bottom"/>
            <w:hideMark/>
          </w:tcPr>
          <w:p w14:paraId="028E8EE9" w14:textId="23F33A65" w:rsidR="00A26031" w:rsidRPr="00A26031" w:rsidRDefault="00A26031" w:rsidP="00A26031">
            <w:pPr>
              <w:widowControl/>
              <w:autoSpaceDE/>
              <w:autoSpaceDN/>
              <w:jc w:val="center"/>
              <w:rPr>
                <w:rFonts w:asciiTheme="minorHAnsi" w:eastAsia="Times New Roman" w:hAnsiTheme="minorHAnsi"/>
                <w:color w:val="000000"/>
              </w:rPr>
            </w:pPr>
            <w:r w:rsidRPr="0AFEC8EA">
              <w:rPr>
                <w:rFonts w:asciiTheme="minorHAnsi" w:eastAsia="Times New Roman" w:hAnsiTheme="minorHAnsi"/>
                <w:color w:val="000000" w:themeColor="text1"/>
              </w:rPr>
              <w:t>100.</w:t>
            </w:r>
            <w:r w:rsidR="008D2AF6" w:rsidRPr="0AFEC8EA">
              <w:rPr>
                <w:rFonts w:asciiTheme="minorHAnsi" w:eastAsia="Times New Roman" w:hAnsiTheme="minorHAnsi"/>
                <w:color w:val="000000" w:themeColor="text1"/>
              </w:rPr>
              <w:t>0</w:t>
            </w:r>
            <w:r w:rsidRPr="0AFEC8EA">
              <w:rPr>
                <w:rFonts w:asciiTheme="minorHAnsi" w:eastAsia="Times New Roman" w:hAnsiTheme="minorHAnsi"/>
                <w:color w:val="000000" w:themeColor="text1"/>
              </w:rPr>
              <w:t>%</w:t>
            </w:r>
          </w:p>
        </w:tc>
        <w:tc>
          <w:tcPr>
            <w:tcW w:w="0" w:type="auto"/>
            <w:tcBorders>
              <w:top w:val="nil"/>
              <w:left w:val="nil"/>
              <w:bottom w:val="single" w:sz="4" w:space="0" w:color="auto"/>
              <w:right w:val="single" w:sz="4" w:space="0" w:color="auto"/>
            </w:tcBorders>
            <w:noWrap/>
            <w:vAlign w:val="bottom"/>
            <w:hideMark/>
          </w:tcPr>
          <w:p w14:paraId="320D2A28" w14:textId="4513EF5C" w:rsidR="00A26031" w:rsidRPr="00A26031" w:rsidRDefault="008D2AF6" w:rsidP="00A26031">
            <w:pPr>
              <w:widowControl/>
              <w:autoSpaceDE/>
              <w:autoSpaceDN/>
              <w:jc w:val="center"/>
              <w:rPr>
                <w:rFonts w:asciiTheme="minorHAnsi" w:eastAsia="Times New Roman" w:hAnsiTheme="minorHAnsi"/>
                <w:color w:val="000000"/>
              </w:rPr>
            </w:pPr>
            <w:r w:rsidRPr="0AFEC8EA">
              <w:rPr>
                <w:rFonts w:asciiTheme="minorHAnsi" w:eastAsia="Times New Roman" w:hAnsiTheme="minorHAnsi"/>
                <w:color w:val="000000" w:themeColor="text1"/>
              </w:rPr>
              <w:t>100.0</w:t>
            </w:r>
            <w:r w:rsidR="00A26031" w:rsidRPr="0AFEC8EA">
              <w:rPr>
                <w:rFonts w:asciiTheme="minorHAnsi" w:eastAsia="Times New Roman" w:hAnsiTheme="minorHAnsi"/>
                <w:color w:val="000000" w:themeColor="text1"/>
              </w:rPr>
              <w:t>%</w:t>
            </w:r>
          </w:p>
        </w:tc>
      </w:tr>
    </w:tbl>
    <w:p w14:paraId="7E4B790A" w14:textId="77777777" w:rsidR="00C57C34" w:rsidRDefault="00C57C34" w:rsidP="00F50B7B"/>
    <w:p w14:paraId="6BD955CB" w14:textId="2CB65A60" w:rsidR="00207B57" w:rsidRPr="004C2A82" w:rsidRDefault="00207B57" w:rsidP="00F50B7B">
      <w:pPr>
        <w:rPr>
          <w:rFonts w:asciiTheme="minorHAnsi" w:hAnsiTheme="minorHAnsi"/>
          <w:b/>
          <w:bCs/>
          <w:szCs w:val="24"/>
        </w:rPr>
      </w:pPr>
      <w:r w:rsidRPr="004C2A82">
        <w:rPr>
          <w:rFonts w:asciiTheme="minorHAnsi" w:hAnsiTheme="minorHAnsi"/>
          <w:b/>
          <w:bCs/>
          <w:szCs w:val="24"/>
          <w:u w:val="single"/>
        </w:rPr>
        <w:t xml:space="preserve">Table </w:t>
      </w:r>
      <w:r w:rsidR="00597BD8">
        <w:rPr>
          <w:rFonts w:asciiTheme="minorHAnsi" w:hAnsiTheme="minorHAnsi"/>
          <w:b/>
          <w:bCs/>
          <w:szCs w:val="24"/>
          <w:u w:val="single"/>
        </w:rPr>
        <w:t>6</w:t>
      </w:r>
      <w:r w:rsidRPr="004C2A82">
        <w:rPr>
          <w:rFonts w:asciiTheme="minorHAnsi" w:hAnsiTheme="minorHAnsi"/>
          <w:b/>
          <w:bCs/>
          <w:szCs w:val="24"/>
        </w:rPr>
        <w:t xml:space="preserve">: </w:t>
      </w:r>
      <w:r w:rsidR="007C5516">
        <w:rPr>
          <w:rFonts w:asciiTheme="minorHAnsi" w:hAnsiTheme="minorHAnsi"/>
          <w:b/>
          <w:bCs/>
          <w:szCs w:val="24"/>
        </w:rPr>
        <w:t xml:space="preserve">EDHC </w:t>
      </w:r>
      <w:r w:rsidR="00F05AD0">
        <w:rPr>
          <w:rFonts w:asciiTheme="minorHAnsi" w:hAnsiTheme="minorHAnsi"/>
          <w:b/>
          <w:bCs/>
          <w:szCs w:val="24"/>
        </w:rPr>
        <w:t>APM</w:t>
      </w:r>
      <w:r w:rsidR="007C5516" w:rsidRPr="004C2A82">
        <w:rPr>
          <w:rFonts w:asciiTheme="minorHAnsi" w:hAnsiTheme="minorHAnsi"/>
          <w:b/>
          <w:bCs/>
          <w:szCs w:val="24"/>
        </w:rPr>
        <w:t xml:space="preserve"> </w:t>
      </w:r>
      <w:r w:rsidRPr="004C2A82">
        <w:rPr>
          <w:rFonts w:asciiTheme="minorHAnsi" w:hAnsiTheme="minorHAnsi"/>
          <w:b/>
          <w:bCs/>
          <w:szCs w:val="24"/>
        </w:rPr>
        <w:t>Contracts</w:t>
      </w:r>
      <w:r w:rsidR="0087083A">
        <w:rPr>
          <w:rFonts w:asciiTheme="minorHAnsi" w:hAnsiTheme="minorHAnsi"/>
          <w:b/>
          <w:bCs/>
          <w:szCs w:val="24"/>
        </w:rPr>
        <w:t>, 2022 to 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753"/>
        <w:gridCol w:w="753"/>
        <w:gridCol w:w="753"/>
      </w:tblGrid>
      <w:tr w:rsidR="00617253" w:rsidRPr="00617253" w14:paraId="23CCC8FF" w14:textId="77777777" w:rsidTr="00617253">
        <w:trPr>
          <w:trHeight w:val="137"/>
        </w:trPr>
        <w:tc>
          <w:tcPr>
            <w:tcW w:w="0" w:type="auto"/>
            <w:vAlign w:val="center"/>
            <w:hideMark/>
          </w:tcPr>
          <w:p w14:paraId="2884E6C7" w14:textId="2B3F0A97" w:rsidR="00617253" w:rsidRPr="00617253" w:rsidRDefault="00617253" w:rsidP="00617253">
            <w:pPr>
              <w:widowControl/>
              <w:autoSpaceDE/>
              <w:autoSpaceDN/>
              <w:rPr>
                <w:rFonts w:asciiTheme="minorHAnsi" w:eastAsia="Times New Roman" w:hAnsiTheme="minorHAnsi"/>
                <w:b/>
                <w:bCs/>
                <w:color w:val="000000"/>
                <w:szCs w:val="24"/>
              </w:rPr>
            </w:pPr>
          </w:p>
        </w:tc>
        <w:tc>
          <w:tcPr>
            <w:tcW w:w="0" w:type="auto"/>
            <w:shd w:val="clear" w:color="auto" w:fill="DBE5F1" w:themeFill="accent1" w:themeFillTint="33"/>
            <w:vAlign w:val="center"/>
            <w:hideMark/>
          </w:tcPr>
          <w:p w14:paraId="0D963830" w14:textId="77777777" w:rsidR="00617253" w:rsidRPr="00617253" w:rsidRDefault="00617253" w:rsidP="00617253">
            <w:pPr>
              <w:widowControl/>
              <w:autoSpaceDE/>
              <w:autoSpaceDN/>
              <w:jc w:val="center"/>
              <w:rPr>
                <w:rFonts w:asciiTheme="minorHAnsi" w:eastAsia="Times New Roman" w:hAnsiTheme="minorHAnsi"/>
                <w:b/>
                <w:bCs/>
                <w:color w:val="000000"/>
                <w:szCs w:val="24"/>
              </w:rPr>
            </w:pPr>
            <w:r w:rsidRPr="00617253">
              <w:rPr>
                <w:rFonts w:asciiTheme="minorHAnsi" w:eastAsia="Times New Roman" w:hAnsiTheme="minorHAnsi"/>
                <w:b/>
                <w:bCs/>
                <w:color w:val="000000"/>
                <w:szCs w:val="24"/>
              </w:rPr>
              <w:t>2022</w:t>
            </w:r>
          </w:p>
        </w:tc>
        <w:tc>
          <w:tcPr>
            <w:tcW w:w="0" w:type="auto"/>
            <w:shd w:val="clear" w:color="auto" w:fill="DBE5F1" w:themeFill="accent1" w:themeFillTint="33"/>
            <w:vAlign w:val="center"/>
            <w:hideMark/>
          </w:tcPr>
          <w:p w14:paraId="56F63F63" w14:textId="77777777" w:rsidR="00617253" w:rsidRPr="00617253" w:rsidRDefault="00617253" w:rsidP="00617253">
            <w:pPr>
              <w:widowControl/>
              <w:autoSpaceDE/>
              <w:autoSpaceDN/>
              <w:jc w:val="center"/>
              <w:rPr>
                <w:rFonts w:asciiTheme="minorHAnsi" w:eastAsia="Times New Roman" w:hAnsiTheme="minorHAnsi"/>
                <w:b/>
                <w:bCs/>
                <w:color w:val="000000"/>
                <w:szCs w:val="24"/>
              </w:rPr>
            </w:pPr>
            <w:r w:rsidRPr="00617253">
              <w:rPr>
                <w:rFonts w:asciiTheme="minorHAnsi" w:eastAsia="Times New Roman" w:hAnsiTheme="minorHAnsi"/>
                <w:b/>
                <w:bCs/>
                <w:color w:val="000000"/>
                <w:szCs w:val="24"/>
              </w:rPr>
              <w:t>2023</w:t>
            </w:r>
          </w:p>
        </w:tc>
        <w:tc>
          <w:tcPr>
            <w:tcW w:w="0" w:type="auto"/>
            <w:shd w:val="clear" w:color="auto" w:fill="DBE5F1" w:themeFill="accent1" w:themeFillTint="33"/>
            <w:vAlign w:val="center"/>
            <w:hideMark/>
          </w:tcPr>
          <w:p w14:paraId="3FEA8A6A" w14:textId="77777777" w:rsidR="00617253" w:rsidRPr="00617253" w:rsidRDefault="00617253" w:rsidP="00617253">
            <w:pPr>
              <w:widowControl/>
              <w:autoSpaceDE/>
              <w:autoSpaceDN/>
              <w:jc w:val="center"/>
              <w:rPr>
                <w:rFonts w:asciiTheme="minorHAnsi" w:eastAsia="Times New Roman" w:hAnsiTheme="minorHAnsi"/>
                <w:b/>
                <w:bCs/>
                <w:color w:val="000000"/>
                <w:szCs w:val="24"/>
              </w:rPr>
            </w:pPr>
            <w:r w:rsidRPr="00617253">
              <w:rPr>
                <w:rFonts w:asciiTheme="minorHAnsi" w:eastAsia="Times New Roman" w:hAnsiTheme="minorHAnsi"/>
                <w:b/>
                <w:bCs/>
                <w:color w:val="000000"/>
                <w:szCs w:val="24"/>
              </w:rPr>
              <w:t>2024</w:t>
            </w:r>
          </w:p>
        </w:tc>
      </w:tr>
      <w:tr w:rsidR="00617253" w:rsidRPr="00617253" w14:paraId="1867255D" w14:textId="77777777" w:rsidTr="00617253">
        <w:trPr>
          <w:trHeight w:val="56"/>
        </w:trPr>
        <w:tc>
          <w:tcPr>
            <w:tcW w:w="0" w:type="auto"/>
            <w:vAlign w:val="center"/>
            <w:hideMark/>
          </w:tcPr>
          <w:p w14:paraId="024792DE" w14:textId="77777777" w:rsidR="00617253" w:rsidRPr="00617253" w:rsidRDefault="00617253" w:rsidP="00617253">
            <w:pPr>
              <w:widowControl/>
              <w:autoSpaceDE/>
              <w:autoSpaceDN/>
              <w:rPr>
                <w:rFonts w:asciiTheme="minorHAnsi" w:eastAsia="Times New Roman" w:hAnsiTheme="minorHAnsi"/>
                <w:color w:val="000000"/>
                <w:szCs w:val="24"/>
              </w:rPr>
            </w:pPr>
            <w:r w:rsidRPr="00617253">
              <w:rPr>
                <w:rFonts w:asciiTheme="minorHAnsi" w:eastAsia="Times New Roman" w:hAnsiTheme="minorHAnsi"/>
                <w:color w:val="000000"/>
                <w:szCs w:val="24"/>
              </w:rPr>
              <w:t>ACO and APM Contracts</w:t>
            </w:r>
          </w:p>
        </w:tc>
        <w:tc>
          <w:tcPr>
            <w:tcW w:w="0" w:type="auto"/>
            <w:vAlign w:val="center"/>
            <w:hideMark/>
          </w:tcPr>
          <w:p w14:paraId="0ED9F2EB" w14:textId="77777777" w:rsidR="00617253" w:rsidRPr="00617253" w:rsidRDefault="00617253" w:rsidP="00617253">
            <w:pPr>
              <w:widowControl/>
              <w:autoSpaceDE/>
              <w:autoSpaceDN/>
              <w:jc w:val="center"/>
              <w:rPr>
                <w:rFonts w:asciiTheme="minorHAnsi" w:eastAsia="Times New Roman" w:hAnsiTheme="minorHAnsi"/>
                <w:color w:val="000000"/>
                <w:szCs w:val="24"/>
              </w:rPr>
            </w:pPr>
            <w:r w:rsidRPr="00617253">
              <w:rPr>
                <w:rFonts w:asciiTheme="minorHAnsi" w:eastAsia="Times New Roman" w:hAnsiTheme="minorHAnsi"/>
                <w:color w:val="000000"/>
                <w:szCs w:val="24"/>
              </w:rPr>
              <w:t>0%</w:t>
            </w:r>
          </w:p>
        </w:tc>
        <w:tc>
          <w:tcPr>
            <w:tcW w:w="0" w:type="auto"/>
            <w:vAlign w:val="center"/>
            <w:hideMark/>
          </w:tcPr>
          <w:p w14:paraId="5A48D18D" w14:textId="77777777" w:rsidR="00617253" w:rsidRPr="00617253" w:rsidRDefault="00617253" w:rsidP="00617253">
            <w:pPr>
              <w:widowControl/>
              <w:autoSpaceDE/>
              <w:autoSpaceDN/>
              <w:jc w:val="center"/>
              <w:rPr>
                <w:rFonts w:asciiTheme="minorHAnsi" w:eastAsia="Times New Roman" w:hAnsiTheme="minorHAnsi"/>
                <w:color w:val="000000"/>
                <w:szCs w:val="24"/>
              </w:rPr>
            </w:pPr>
            <w:r w:rsidRPr="00617253">
              <w:rPr>
                <w:rFonts w:asciiTheme="minorHAnsi" w:eastAsia="Times New Roman" w:hAnsiTheme="minorHAnsi"/>
                <w:color w:val="000000"/>
                <w:szCs w:val="24"/>
              </w:rPr>
              <w:t>0%</w:t>
            </w:r>
          </w:p>
        </w:tc>
        <w:tc>
          <w:tcPr>
            <w:tcW w:w="0" w:type="auto"/>
            <w:vAlign w:val="center"/>
            <w:hideMark/>
          </w:tcPr>
          <w:p w14:paraId="369BF733" w14:textId="77777777" w:rsidR="00617253" w:rsidRPr="00617253" w:rsidRDefault="00617253" w:rsidP="00617253">
            <w:pPr>
              <w:widowControl/>
              <w:autoSpaceDE/>
              <w:autoSpaceDN/>
              <w:jc w:val="center"/>
              <w:rPr>
                <w:rFonts w:asciiTheme="minorHAnsi" w:eastAsia="Times New Roman" w:hAnsiTheme="minorHAnsi"/>
                <w:color w:val="000000"/>
                <w:szCs w:val="24"/>
              </w:rPr>
            </w:pPr>
            <w:r w:rsidRPr="00617253">
              <w:rPr>
                <w:rFonts w:asciiTheme="minorHAnsi" w:eastAsia="Times New Roman" w:hAnsiTheme="minorHAnsi"/>
                <w:color w:val="000000"/>
                <w:szCs w:val="24"/>
              </w:rPr>
              <w:t>0%</w:t>
            </w:r>
          </w:p>
        </w:tc>
      </w:tr>
      <w:tr w:rsidR="00617253" w:rsidRPr="00617253" w14:paraId="1C495103" w14:textId="77777777" w:rsidTr="00617253">
        <w:trPr>
          <w:trHeight w:val="74"/>
        </w:trPr>
        <w:tc>
          <w:tcPr>
            <w:tcW w:w="0" w:type="auto"/>
            <w:vAlign w:val="center"/>
            <w:hideMark/>
          </w:tcPr>
          <w:p w14:paraId="48111F5A" w14:textId="77777777" w:rsidR="00617253" w:rsidRPr="00617253" w:rsidRDefault="00617253" w:rsidP="00617253">
            <w:pPr>
              <w:widowControl/>
              <w:autoSpaceDE/>
              <w:autoSpaceDN/>
              <w:rPr>
                <w:rFonts w:asciiTheme="minorHAnsi" w:eastAsia="Times New Roman" w:hAnsiTheme="minorHAnsi"/>
                <w:color w:val="000000"/>
                <w:szCs w:val="24"/>
              </w:rPr>
            </w:pPr>
            <w:r w:rsidRPr="00617253">
              <w:rPr>
                <w:rFonts w:asciiTheme="minorHAnsi" w:eastAsia="Times New Roman" w:hAnsiTheme="minorHAnsi"/>
                <w:color w:val="000000"/>
                <w:szCs w:val="24"/>
              </w:rPr>
              <w:t>Non-ACO and APM Contracts</w:t>
            </w:r>
          </w:p>
        </w:tc>
        <w:tc>
          <w:tcPr>
            <w:tcW w:w="0" w:type="auto"/>
            <w:vAlign w:val="center"/>
            <w:hideMark/>
          </w:tcPr>
          <w:p w14:paraId="53EC8CDF" w14:textId="77777777" w:rsidR="00617253" w:rsidRPr="00617253" w:rsidRDefault="00617253" w:rsidP="00617253">
            <w:pPr>
              <w:widowControl/>
              <w:autoSpaceDE/>
              <w:autoSpaceDN/>
              <w:jc w:val="center"/>
              <w:rPr>
                <w:rFonts w:asciiTheme="minorHAnsi" w:eastAsia="Times New Roman" w:hAnsiTheme="minorHAnsi"/>
                <w:color w:val="000000"/>
                <w:szCs w:val="24"/>
              </w:rPr>
            </w:pPr>
            <w:r w:rsidRPr="00617253">
              <w:rPr>
                <w:rFonts w:asciiTheme="minorHAnsi" w:eastAsia="Times New Roman" w:hAnsiTheme="minorHAnsi"/>
                <w:color w:val="000000"/>
                <w:szCs w:val="24"/>
              </w:rPr>
              <w:t>100%</w:t>
            </w:r>
          </w:p>
        </w:tc>
        <w:tc>
          <w:tcPr>
            <w:tcW w:w="0" w:type="auto"/>
            <w:vAlign w:val="center"/>
            <w:hideMark/>
          </w:tcPr>
          <w:p w14:paraId="34E5244C" w14:textId="77777777" w:rsidR="00617253" w:rsidRPr="00617253" w:rsidRDefault="00617253" w:rsidP="00617253">
            <w:pPr>
              <w:widowControl/>
              <w:autoSpaceDE/>
              <w:autoSpaceDN/>
              <w:jc w:val="center"/>
              <w:rPr>
                <w:rFonts w:asciiTheme="minorHAnsi" w:eastAsia="Times New Roman" w:hAnsiTheme="minorHAnsi"/>
                <w:color w:val="000000"/>
                <w:szCs w:val="24"/>
              </w:rPr>
            </w:pPr>
            <w:r w:rsidRPr="00617253">
              <w:rPr>
                <w:rFonts w:asciiTheme="minorHAnsi" w:eastAsia="Times New Roman" w:hAnsiTheme="minorHAnsi"/>
                <w:color w:val="000000"/>
                <w:szCs w:val="24"/>
              </w:rPr>
              <w:t>100%</w:t>
            </w:r>
          </w:p>
        </w:tc>
        <w:tc>
          <w:tcPr>
            <w:tcW w:w="0" w:type="auto"/>
            <w:vAlign w:val="center"/>
            <w:hideMark/>
          </w:tcPr>
          <w:p w14:paraId="55AE56EB" w14:textId="77777777" w:rsidR="00617253" w:rsidRPr="00617253" w:rsidRDefault="00617253" w:rsidP="00617253">
            <w:pPr>
              <w:widowControl/>
              <w:autoSpaceDE/>
              <w:autoSpaceDN/>
              <w:jc w:val="center"/>
              <w:rPr>
                <w:rFonts w:asciiTheme="minorHAnsi" w:eastAsia="Times New Roman" w:hAnsiTheme="minorHAnsi"/>
                <w:color w:val="000000"/>
                <w:szCs w:val="24"/>
              </w:rPr>
            </w:pPr>
            <w:r w:rsidRPr="00617253">
              <w:rPr>
                <w:rFonts w:asciiTheme="minorHAnsi" w:eastAsia="Times New Roman" w:hAnsiTheme="minorHAnsi"/>
                <w:color w:val="000000"/>
                <w:szCs w:val="24"/>
              </w:rPr>
              <w:t>100%</w:t>
            </w:r>
          </w:p>
        </w:tc>
      </w:tr>
      <w:tr w:rsidR="00617253" w:rsidRPr="00617253" w14:paraId="39B037C1" w14:textId="77777777" w:rsidTr="00617253">
        <w:trPr>
          <w:trHeight w:val="92"/>
        </w:trPr>
        <w:tc>
          <w:tcPr>
            <w:tcW w:w="0" w:type="auto"/>
            <w:vAlign w:val="center"/>
            <w:hideMark/>
          </w:tcPr>
          <w:p w14:paraId="43B5992F" w14:textId="476742A2" w:rsidR="00617253" w:rsidRPr="00617253" w:rsidRDefault="00617253" w:rsidP="00617253">
            <w:pPr>
              <w:widowControl/>
              <w:autoSpaceDE/>
              <w:autoSpaceDN/>
              <w:rPr>
                <w:rFonts w:asciiTheme="minorHAnsi" w:eastAsia="Times New Roman" w:hAnsiTheme="minorHAnsi"/>
                <w:color w:val="000000"/>
                <w:szCs w:val="24"/>
              </w:rPr>
            </w:pPr>
            <w:r w:rsidRPr="00617253">
              <w:rPr>
                <w:rFonts w:asciiTheme="minorHAnsi" w:eastAsia="Times New Roman" w:hAnsiTheme="minorHAnsi"/>
                <w:color w:val="000000"/>
                <w:szCs w:val="24"/>
              </w:rPr>
              <w:t xml:space="preserve">Total </w:t>
            </w:r>
          </w:p>
        </w:tc>
        <w:tc>
          <w:tcPr>
            <w:tcW w:w="0" w:type="auto"/>
            <w:vAlign w:val="center"/>
            <w:hideMark/>
          </w:tcPr>
          <w:p w14:paraId="28C289A6" w14:textId="77777777" w:rsidR="00617253" w:rsidRPr="00617253" w:rsidRDefault="00617253" w:rsidP="00617253">
            <w:pPr>
              <w:widowControl/>
              <w:autoSpaceDE/>
              <w:autoSpaceDN/>
              <w:jc w:val="center"/>
              <w:rPr>
                <w:rFonts w:asciiTheme="minorHAnsi" w:eastAsia="Times New Roman" w:hAnsiTheme="minorHAnsi"/>
                <w:color w:val="000000"/>
                <w:szCs w:val="24"/>
              </w:rPr>
            </w:pPr>
            <w:r w:rsidRPr="00617253">
              <w:rPr>
                <w:rFonts w:asciiTheme="minorHAnsi" w:eastAsia="Times New Roman" w:hAnsiTheme="minorHAnsi"/>
                <w:color w:val="000000"/>
                <w:szCs w:val="24"/>
              </w:rPr>
              <w:t>100%</w:t>
            </w:r>
          </w:p>
        </w:tc>
        <w:tc>
          <w:tcPr>
            <w:tcW w:w="0" w:type="auto"/>
            <w:vAlign w:val="center"/>
            <w:hideMark/>
          </w:tcPr>
          <w:p w14:paraId="4A277C85" w14:textId="77777777" w:rsidR="00617253" w:rsidRPr="00617253" w:rsidRDefault="00617253" w:rsidP="00617253">
            <w:pPr>
              <w:widowControl/>
              <w:autoSpaceDE/>
              <w:autoSpaceDN/>
              <w:jc w:val="center"/>
              <w:rPr>
                <w:rFonts w:asciiTheme="minorHAnsi" w:eastAsia="Times New Roman" w:hAnsiTheme="minorHAnsi"/>
                <w:color w:val="000000"/>
                <w:szCs w:val="24"/>
              </w:rPr>
            </w:pPr>
            <w:r w:rsidRPr="00617253">
              <w:rPr>
                <w:rFonts w:asciiTheme="minorHAnsi" w:eastAsia="Times New Roman" w:hAnsiTheme="minorHAnsi"/>
                <w:color w:val="000000"/>
                <w:szCs w:val="24"/>
              </w:rPr>
              <w:t>100%</w:t>
            </w:r>
          </w:p>
        </w:tc>
        <w:tc>
          <w:tcPr>
            <w:tcW w:w="0" w:type="auto"/>
            <w:vAlign w:val="center"/>
            <w:hideMark/>
          </w:tcPr>
          <w:p w14:paraId="67E0E4A3" w14:textId="77777777" w:rsidR="00617253" w:rsidRPr="00617253" w:rsidRDefault="00617253" w:rsidP="00617253">
            <w:pPr>
              <w:widowControl/>
              <w:autoSpaceDE/>
              <w:autoSpaceDN/>
              <w:jc w:val="center"/>
              <w:rPr>
                <w:rFonts w:asciiTheme="minorHAnsi" w:eastAsia="Times New Roman" w:hAnsiTheme="minorHAnsi"/>
                <w:color w:val="000000"/>
                <w:szCs w:val="24"/>
              </w:rPr>
            </w:pPr>
            <w:r w:rsidRPr="00617253">
              <w:rPr>
                <w:rFonts w:asciiTheme="minorHAnsi" w:eastAsia="Times New Roman" w:hAnsiTheme="minorHAnsi"/>
                <w:color w:val="000000"/>
                <w:szCs w:val="24"/>
              </w:rPr>
              <w:t>100%</w:t>
            </w:r>
          </w:p>
        </w:tc>
      </w:tr>
    </w:tbl>
    <w:p w14:paraId="7497A221" w14:textId="77777777" w:rsidR="00207B57" w:rsidRDefault="00207B57" w:rsidP="00F50B7B"/>
    <w:p w14:paraId="5BAD544D" w14:textId="3700C2F4" w:rsidR="004B618A" w:rsidRDefault="004B618A" w:rsidP="00F50B7B">
      <w:r>
        <w:t>Table 7 shows the payer mix for Emerson Hospital patients and for Emerson Hospital endoscopy patients for the most recent year available.</w:t>
      </w:r>
      <w:r w:rsidR="00B03C38">
        <w:t xml:space="preserve"> In 2024,</w:t>
      </w:r>
      <w:r>
        <w:t xml:space="preserve"> </w:t>
      </w:r>
      <w:r w:rsidR="009E600A">
        <w:t>The Center</w:t>
      </w:r>
      <w:r w:rsidR="00414AFF">
        <w:t xml:space="preserve"> had </w:t>
      </w:r>
      <w:r w:rsidR="009E600A">
        <w:t>a higher percentage of commercially insured patients</w:t>
      </w:r>
      <w:r w:rsidR="00414AFF">
        <w:t xml:space="preserve"> in its payer mix</w:t>
      </w:r>
      <w:r w:rsidR="009E600A">
        <w:t xml:space="preserve">, and a lower percentage of Medicare FFS patients as compared to Emerson Hospital endoscopy patients, </w:t>
      </w:r>
      <w:r w:rsidR="00711B68">
        <w:t xml:space="preserve">and the Center’s MassHealth percentage in its payer mix </w:t>
      </w:r>
      <w:r w:rsidR="00414AFF">
        <w:t>was</w:t>
      </w:r>
      <w:r w:rsidR="00711B68">
        <w:t xml:space="preserve"> almost half that of the MassHealth percentage of Emerson Hospital’s endoscopy patients. </w:t>
      </w:r>
    </w:p>
    <w:p w14:paraId="6B859DF5" w14:textId="77777777" w:rsidR="00711B68" w:rsidRDefault="00711B68" w:rsidP="00F50B7B"/>
    <w:p w14:paraId="35D0867F" w14:textId="77777777" w:rsidR="00711B68" w:rsidRDefault="00711B68" w:rsidP="00F50B7B"/>
    <w:p w14:paraId="475C5E86" w14:textId="3AA00579" w:rsidR="00693D82" w:rsidRPr="005656E3" w:rsidRDefault="0026761D" w:rsidP="00F50B7B">
      <w:pPr>
        <w:rPr>
          <w:b/>
          <w:bCs/>
        </w:rPr>
      </w:pPr>
      <w:r w:rsidRPr="005656E3">
        <w:rPr>
          <w:b/>
          <w:bCs/>
          <w:u w:val="single"/>
        </w:rPr>
        <w:lastRenderedPageBreak/>
        <w:t>Table 7</w:t>
      </w:r>
      <w:r w:rsidRPr="005656E3">
        <w:rPr>
          <w:b/>
          <w:bCs/>
        </w:rPr>
        <w:t>: Emerson Hospital and Emerson Hospital Endoscopy Patients Payer Mix, 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7"/>
        <w:gridCol w:w="1893"/>
        <w:gridCol w:w="1910"/>
      </w:tblGrid>
      <w:tr w:rsidR="00EE5AB2" w:rsidRPr="00A26031" w14:paraId="14DEE943" w14:textId="77777777" w:rsidTr="005656E3">
        <w:trPr>
          <w:trHeight w:val="290"/>
        </w:trPr>
        <w:tc>
          <w:tcPr>
            <w:tcW w:w="0" w:type="auto"/>
            <w:shd w:val="clear" w:color="auto" w:fill="DBE5F1" w:themeFill="accent1" w:themeFillTint="33"/>
            <w:vAlign w:val="center"/>
            <w:hideMark/>
          </w:tcPr>
          <w:p w14:paraId="60B5CC93" w14:textId="77777777" w:rsidR="00EE5AB2" w:rsidRPr="00A26031" w:rsidRDefault="00EE5AB2">
            <w:pPr>
              <w:widowControl/>
              <w:autoSpaceDE/>
              <w:autoSpaceDN/>
              <w:rPr>
                <w:rFonts w:asciiTheme="minorHAnsi" w:eastAsia="Times New Roman" w:hAnsiTheme="minorHAnsi"/>
                <w:b/>
                <w:bCs/>
                <w:color w:val="000000"/>
                <w:szCs w:val="24"/>
              </w:rPr>
            </w:pPr>
          </w:p>
        </w:tc>
        <w:tc>
          <w:tcPr>
            <w:tcW w:w="0" w:type="auto"/>
            <w:shd w:val="clear" w:color="auto" w:fill="DBE5F1" w:themeFill="accent1" w:themeFillTint="33"/>
            <w:vAlign w:val="center"/>
            <w:hideMark/>
          </w:tcPr>
          <w:p w14:paraId="39761F09" w14:textId="6730C9C8" w:rsidR="00EE5AB2" w:rsidRPr="00A26031" w:rsidRDefault="00EE5AB2">
            <w:pPr>
              <w:widowControl/>
              <w:autoSpaceDE/>
              <w:autoSpaceDN/>
              <w:jc w:val="center"/>
              <w:rPr>
                <w:rFonts w:asciiTheme="minorHAnsi" w:eastAsia="Times New Roman" w:hAnsiTheme="minorHAnsi"/>
                <w:b/>
                <w:bCs/>
                <w:color w:val="000000"/>
                <w:szCs w:val="24"/>
              </w:rPr>
            </w:pPr>
            <w:r>
              <w:rPr>
                <w:rFonts w:asciiTheme="minorHAnsi" w:eastAsia="Times New Roman" w:hAnsiTheme="minorHAnsi"/>
                <w:b/>
                <w:bCs/>
                <w:color w:val="000000"/>
                <w:szCs w:val="24"/>
              </w:rPr>
              <w:t>Emerson Hospital</w:t>
            </w:r>
          </w:p>
        </w:tc>
        <w:tc>
          <w:tcPr>
            <w:tcW w:w="0" w:type="auto"/>
            <w:shd w:val="clear" w:color="auto" w:fill="DBE5F1" w:themeFill="accent1" w:themeFillTint="33"/>
            <w:vAlign w:val="center"/>
            <w:hideMark/>
          </w:tcPr>
          <w:p w14:paraId="4DA96B83" w14:textId="77777777" w:rsidR="00EE5AB2" w:rsidRDefault="00EE5AB2">
            <w:pPr>
              <w:widowControl/>
              <w:autoSpaceDE/>
              <w:autoSpaceDN/>
              <w:jc w:val="center"/>
              <w:rPr>
                <w:rFonts w:asciiTheme="minorHAnsi" w:eastAsia="Times New Roman" w:hAnsiTheme="minorHAnsi"/>
                <w:b/>
                <w:bCs/>
                <w:color w:val="000000"/>
                <w:szCs w:val="24"/>
              </w:rPr>
            </w:pPr>
            <w:r>
              <w:rPr>
                <w:rFonts w:asciiTheme="minorHAnsi" w:eastAsia="Times New Roman" w:hAnsiTheme="minorHAnsi"/>
                <w:b/>
                <w:bCs/>
                <w:color w:val="000000"/>
                <w:szCs w:val="24"/>
              </w:rPr>
              <w:t xml:space="preserve">Emerson Hospital </w:t>
            </w:r>
          </w:p>
          <w:p w14:paraId="03916AE0" w14:textId="007E17D0" w:rsidR="00EE5AB2" w:rsidRPr="00A26031" w:rsidRDefault="00EE5AB2">
            <w:pPr>
              <w:widowControl/>
              <w:autoSpaceDE/>
              <w:autoSpaceDN/>
              <w:jc w:val="center"/>
              <w:rPr>
                <w:rFonts w:asciiTheme="minorHAnsi" w:eastAsia="Times New Roman" w:hAnsiTheme="minorHAnsi"/>
                <w:b/>
                <w:bCs/>
                <w:color w:val="000000"/>
                <w:szCs w:val="24"/>
              </w:rPr>
            </w:pPr>
            <w:r>
              <w:rPr>
                <w:rFonts w:asciiTheme="minorHAnsi" w:eastAsia="Times New Roman" w:hAnsiTheme="minorHAnsi"/>
                <w:b/>
                <w:bCs/>
                <w:color w:val="000000"/>
                <w:szCs w:val="24"/>
              </w:rPr>
              <w:t xml:space="preserve">Endoscopy </w:t>
            </w:r>
          </w:p>
        </w:tc>
      </w:tr>
      <w:tr w:rsidR="00EE5AB2" w:rsidRPr="00A26031" w14:paraId="1DC3069C" w14:textId="77777777" w:rsidTr="005656E3">
        <w:trPr>
          <w:trHeight w:val="290"/>
        </w:trPr>
        <w:tc>
          <w:tcPr>
            <w:tcW w:w="0" w:type="auto"/>
            <w:shd w:val="clear" w:color="auto" w:fill="FFFFFF" w:themeFill="background1"/>
            <w:vAlign w:val="center"/>
            <w:hideMark/>
          </w:tcPr>
          <w:p w14:paraId="46A76BCF" w14:textId="77777777" w:rsidR="00EE5AB2" w:rsidRPr="00A26031" w:rsidRDefault="00EE5AB2">
            <w:pPr>
              <w:widowControl/>
              <w:autoSpaceDE/>
              <w:autoSpaceDN/>
              <w:rPr>
                <w:rFonts w:asciiTheme="minorHAnsi" w:eastAsia="Times New Roman" w:hAnsiTheme="minorHAnsi"/>
                <w:color w:val="000000"/>
                <w:szCs w:val="24"/>
              </w:rPr>
            </w:pPr>
            <w:r w:rsidRPr="00A26031">
              <w:rPr>
                <w:rFonts w:asciiTheme="minorHAnsi" w:eastAsia="Times New Roman" w:hAnsiTheme="minorHAnsi"/>
                <w:color w:val="000000"/>
                <w:szCs w:val="24"/>
              </w:rPr>
              <w:t>Commercial (PPO/Indemnity and HMO/POS)</w:t>
            </w:r>
          </w:p>
        </w:tc>
        <w:tc>
          <w:tcPr>
            <w:tcW w:w="0" w:type="auto"/>
            <w:shd w:val="clear" w:color="auto" w:fill="FFFFFF" w:themeFill="background1"/>
            <w:vAlign w:val="center"/>
          </w:tcPr>
          <w:p w14:paraId="1FDFAE15" w14:textId="44FF4451" w:rsidR="00EE5AB2" w:rsidRPr="00A26031" w:rsidRDefault="005F0750">
            <w:pPr>
              <w:widowControl/>
              <w:autoSpaceDE/>
              <w:autoSpaceDN/>
              <w:jc w:val="center"/>
              <w:rPr>
                <w:rFonts w:asciiTheme="minorHAnsi" w:eastAsia="Times New Roman" w:hAnsiTheme="minorHAnsi"/>
                <w:color w:val="000000"/>
                <w:szCs w:val="24"/>
              </w:rPr>
            </w:pPr>
            <w:r>
              <w:rPr>
                <w:rFonts w:asciiTheme="minorHAnsi" w:eastAsia="Times New Roman" w:hAnsiTheme="minorHAnsi"/>
                <w:color w:val="000000"/>
                <w:szCs w:val="24"/>
              </w:rPr>
              <w:t>33.0%</w:t>
            </w:r>
          </w:p>
        </w:tc>
        <w:tc>
          <w:tcPr>
            <w:tcW w:w="0" w:type="auto"/>
            <w:shd w:val="clear" w:color="auto" w:fill="FFFFFF" w:themeFill="background1"/>
            <w:vAlign w:val="center"/>
          </w:tcPr>
          <w:p w14:paraId="632612D9" w14:textId="6C9A4022" w:rsidR="00EE5AB2" w:rsidRPr="00A26031" w:rsidRDefault="005F0750">
            <w:pPr>
              <w:widowControl/>
              <w:autoSpaceDE/>
              <w:autoSpaceDN/>
              <w:jc w:val="center"/>
              <w:rPr>
                <w:rFonts w:asciiTheme="minorHAnsi" w:eastAsia="Times New Roman" w:hAnsiTheme="minorHAnsi"/>
                <w:color w:val="000000"/>
                <w:szCs w:val="24"/>
              </w:rPr>
            </w:pPr>
            <w:r>
              <w:rPr>
                <w:rFonts w:asciiTheme="minorHAnsi" w:eastAsia="Times New Roman" w:hAnsiTheme="minorHAnsi"/>
                <w:color w:val="000000"/>
                <w:szCs w:val="24"/>
              </w:rPr>
              <w:t>57.4%</w:t>
            </w:r>
          </w:p>
        </w:tc>
      </w:tr>
      <w:tr w:rsidR="00EE5AB2" w:rsidRPr="00A26031" w14:paraId="444885C7" w14:textId="77777777" w:rsidTr="005656E3">
        <w:trPr>
          <w:trHeight w:val="290"/>
        </w:trPr>
        <w:tc>
          <w:tcPr>
            <w:tcW w:w="0" w:type="auto"/>
            <w:shd w:val="clear" w:color="auto" w:fill="FFFFFF" w:themeFill="background1"/>
            <w:vAlign w:val="center"/>
            <w:hideMark/>
          </w:tcPr>
          <w:p w14:paraId="5DE14944" w14:textId="77777777" w:rsidR="00EE5AB2" w:rsidRPr="00A26031" w:rsidRDefault="00EE5AB2">
            <w:pPr>
              <w:widowControl/>
              <w:autoSpaceDE/>
              <w:autoSpaceDN/>
              <w:rPr>
                <w:rFonts w:asciiTheme="minorHAnsi" w:eastAsia="Times New Roman" w:hAnsiTheme="minorHAnsi"/>
                <w:color w:val="000000"/>
                <w:szCs w:val="24"/>
              </w:rPr>
            </w:pPr>
            <w:r w:rsidRPr="00A26031">
              <w:rPr>
                <w:rFonts w:asciiTheme="minorHAnsi" w:eastAsia="Times New Roman" w:hAnsiTheme="minorHAnsi"/>
                <w:color w:val="000000"/>
                <w:szCs w:val="24"/>
              </w:rPr>
              <w:t>Medicare</w:t>
            </w:r>
            <w:r>
              <w:rPr>
                <w:rFonts w:asciiTheme="minorHAnsi" w:eastAsia="Times New Roman" w:hAnsiTheme="minorHAnsi"/>
                <w:color w:val="000000"/>
                <w:szCs w:val="24"/>
              </w:rPr>
              <w:t xml:space="preserve"> FFS</w:t>
            </w:r>
          </w:p>
        </w:tc>
        <w:tc>
          <w:tcPr>
            <w:tcW w:w="0" w:type="auto"/>
            <w:shd w:val="clear" w:color="auto" w:fill="FFFFFF" w:themeFill="background1"/>
            <w:vAlign w:val="center"/>
          </w:tcPr>
          <w:p w14:paraId="26C49131" w14:textId="0CA8AFC4" w:rsidR="00EE5AB2" w:rsidRPr="00A26031" w:rsidRDefault="005F0750">
            <w:pPr>
              <w:widowControl/>
              <w:autoSpaceDE/>
              <w:autoSpaceDN/>
              <w:jc w:val="center"/>
              <w:rPr>
                <w:rFonts w:asciiTheme="minorHAnsi" w:eastAsia="Times New Roman" w:hAnsiTheme="minorHAnsi"/>
                <w:color w:val="000000"/>
                <w:szCs w:val="24"/>
              </w:rPr>
            </w:pPr>
            <w:r>
              <w:rPr>
                <w:rFonts w:asciiTheme="minorHAnsi" w:eastAsia="Times New Roman" w:hAnsiTheme="minorHAnsi"/>
                <w:color w:val="000000"/>
                <w:szCs w:val="24"/>
              </w:rPr>
              <w:t>11.9%</w:t>
            </w:r>
          </w:p>
        </w:tc>
        <w:tc>
          <w:tcPr>
            <w:tcW w:w="0" w:type="auto"/>
            <w:shd w:val="clear" w:color="auto" w:fill="FFFFFF" w:themeFill="background1"/>
            <w:vAlign w:val="center"/>
          </w:tcPr>
          <w:p w14:paraId="5E02D652" w14:textId="42D998F4" w:rsidR="00EE5AB2" w:rsidRPr="00A26031" w:rsidRDefault="005F0750">
            <w:pPr>
              <w:widowControl/>
              <w:autoSpaceDE/>
              <w:autoSpaceDN/>
              <w:jc w:val="center"/>
              <w:rPr>
                <w:rFonts w:asciiTheme="minorHAnsi" w:eastAsia="Times New Roman" w:hAnsiTheme="minorHAnsi"/>
                <w:color w:val="000000"/>
                <w:szCs w:val="24"/>
              </w:rPr>
            </w:pPr>
            <w:r>
              <w:rPr>
                <w:rFonts w:asciiTheme="minorHAnsi" w:eastAsia="Times New Roman" w:hAnsiTheme="minorHAnsi"/>
                <w:color w:val="000000"/>
                <w:szCs w:val="24"/>
              </w:rPr>
              <w:t>27.5%</w:t>
            </w:r>
          </w:p>
        </w:tc>
      </w:tr>
      <w:tr w:rsidR="00EE5AB2" w:rsidRPr="00A26031" w14:paraId="7D151264" w14:textId="77777777" w:rsidTr="005656E3">
        <w:trPr>
          <w:trHeight w:val="110"/>
        </w:trPr>
        <w:tc>
          <w:tcPr>
            <w:tcW w:w="0" w:type="auto"/>
            <w:shd w:val="clear" w:color="auto" w:fill="FFFFFF" w:themeFill="background1"/>
            <w:vAlign w:val="center"/>
            <w:hideMark/>
          </w:tcPr>
          <w:p w14:paraId="2D40EE4C" w14:textId="77777777" w:rsidR="00EE5AB2" w:rsidRPr="00A26031" w:rsidRDefault="00EE5AB2">
            <w:pPr>
              <w:widowControl/>
              <w:autoSpaceDE/>
              <w:autoSpaceDN/>
              <w:rPr>
                <w:rFonts w:asciiTheme="minorHAnsi" w:eastAsia="Times New Roman" w:hAnsiTheme="minorHAnsi"/>
                <w:color w:val="000000"/>
                <w:szCs w:val="24"/>
              </w:rPr>
            </w:pPr>
            <w:r w:rsidRPr="00A26031">
              <w:rPr>
                <w:rFonts w:asciiTheme="minorHAnsi" w:eastAsia="Times New Roman" w:hAnsiTheme="minorHAnsi"/>
                <w:color w:val="000000"/>
                <w:szCs w:val="24"/>
              </w:rPr>
              <w:t>Commercial Medicare (Private Medicare/ Medicare Advantage)</w:t>
            </w:r>
          </w:p>
        </w:tc>
        <w:tc>
          <w:tcPr>
            <w:tcW w:w="0" w:type="auto"/>
            <w:shd w:val="clear" w:color="auto" w:fill="FFFFFF" w:themeFill="background1"/>
            <w:vAlign w:val="center"/>
          </w:tcPr>
          <w:p w14:paraId="2F02ACA2" w14:textId="2E407A20" w:rsidR="00EE5AB2" w:rsidRPr="00A26031" w:rsidRDefault="005F0750">
            <w:pPr>
              <w:widowControl/>
              <w:autoSpaceDE/>
              <w:autoSpaceDN/>
              <w:jc w:val="center"/>
              <w:rPr>
                <w:rFonts w:asciiTheme="minorHAnsi" w:eastAsia="Times New Roman" w:hAnsiTheme="minorHAnsi"/>
                <w:color w:val="000000"/>
                <w:szCs w:val="24"/>
              </w:rPr>
            </w:pPr>
            <w:r>
              <w:rPr>
                <w:rFonts w:asciiTheme="minorHAnsi" w:eastAsia="Times New Roman" w:hAnsiTheme="minorHAnsi"/>
                <w:color w:val="000000"/>
                <w:szCs w:val="24"/>
              </w:rPr>
              <w:t>47.6%</w:t>
            </w:r>
          </w:p>
        </w:tc>
        <w:tc>
          <w:tcPr>
            <w:tcW w:w="0" w:type="auto"/>
            <w:shd w:val="clear" w:color="auto" w:fill="FFFFFF" w:themeFill="background1"/>
            <w:vAlign w:val="center"/>
          </w:tcPr>
          <w:p w14:paraId="14A58039" w14:textId="202F9EFA" w:rsidR="00EE5AB2" w:rsidRPr="00A26031" w:rsidRDefault="005F0750">
            <w:pPr>
              <w:widowControl/>
              <w:autoSpaceDE/>
              <w:autoSpaceDN/>
              <w:jc w:val="center"/>
              <w:rPr>
                <w:rFonts w:asciiTheme="minorHAnsi" w:eastAsia="Times New Roman" w:hAnsiTheme="minorHAnsi"/>
                <w:color w:val="000000"/>
                <w:szCs w:val="24"/>
              </w:rPr>
            </w:pPr>
            <w:r>
              <w:rPr>
                <w:rFonts w:asciiTheme="minorHAnsi" w:eastAsia="Times New Roman" w:hAnsiTheme="minorHAnsi"/>
                <w:color w:val="000000"/>
                <w:szCs w:val="24"/>
              </w:rPr>
              <w:t>8.6%</w:t>
            </w:r>
          </w:p>
        </w:tc>
      </w:tr>
      <w:tr w:rsidR="00EE5AB2" w:rsidRPr="00A26031" w14:paraId="6D1BF825" w14:textId="77777777" w:rsidTr="005656E3">
        <w:trPr>
          <w:trHeight w:val="290"/>
        </w:trPr>
        <w:tc>
          <w:tcPr>
            <w:tcW w:w="0" w:type="auto"/>
            <w:shd w:val="clear" w:color="auto" w:fill="FFFFFF" w:themeFill="background1"/>
            <w:vAlign w:val="center"/>
            <w:hideMark/>
          </w:tcPr>
          <w:p w14:paraId="2C6F8602" w14:textId="05580408" w:rsidR="00EE5AB2" w:rsidRPr="00A26031" w:rsidRDefault="00EE5AB2">
            <w:pPr>
              <w:widowControl/>
              <w:autoSpaceDE/>
              <w:autoSpaceDN/>
              <w:rPr>
                <w:rFonts w:asciiTheme="minorHAnsi" w:eastAsia="Times New Roman" w:hAnsiTheme="minorHAnsi"/>
                <w:color w:val="000000"/>
                <w:szCs w:val="24"/>
              </w:rPr>
            </w:pPr>
            <w:r>
              <w:rPr>
                <w:rFonts w:asciiTheme="minorHAnsi" w:eastAsia="Times New Roman" w:hAnsiTheme="minorHAnsi"/>
                <w:color w:val="000000"/>
                <w:szCs w:val="24"/>
              </w:rPr>
              <w:t xml:space="preserve">Managed </w:t>
            </w:r>
            <w:r w:rsidRPr="00A26031">
              <w:rPr>
                <w:rFonts w:asciiTheme="minorHAnsi" w:eastAsia="Times New Roman" w:hAnsiTheme="minorHAnsi"/>
                <w:color w:val="000000"/>
                <w:szCs w:val="24"/>
              </w:rPr>
              <w:t>Medicaid</w:t>
            </w:r>
            <w:r>
              <w:rPr>
                <w:rFonts w:asciiTheme="minorHAnsi" w:eastAsia="Times New Roman" w:hAnsiTheme="minorHAnsi"/>
                <w:color w:val="000000"/>
                <w:szCs w:val="24"/>
              </w:rPr>
              <w:t xml:space="preserve"> </w:t>
            </w:r>
          </w:p>
        </w:tc>
        <w:tc>
          <w:tcPr>
            <w:tcW w:w="0" w:type="auto"/>
            <w:shd w:val="clear" w:color="auto" w:fill="FFFFFF" w:themeFill="background1"/>
            <w:vAlign w:val="center"/>
          </w:tcPr>
          <w:p w14:paraId="4D74C1FC" w14:textId="15DCB066" w:rsidR="00EE5AB2" w:rsidRPr="00A26031" w:rsidRDefault="00877956">
            <w:pPr>
              <w:widowControl/>
              <w:autoSpaceDE/>
              <w:autoSpaceDN/>
              <w:jc w:val="center"/>
              <w:rPr>
                <w:rFonts w:asciiTheme="minorHAnsi" w:eastAsia="Times New Roman" w:hAnsiTheme="minorHAnsi"/>
                <w:color w:val="000000"/>
                <w:szCs w:val="24"/>
              </w:rPr>
            </w:pPr>
            <w:r>
              <w:rPr>
                <w:rFonts w:asciiTheme="minorHAnsi" w:eastAsia="Times New Roman" w:hAnsiTheme="minorHAnsi"/>
                <w:color w:val="000000"/>
                <w:szCs w:val="24"/>
              </w:rPr>
              <w:t>3.0%</w:t>
            </w:r>
          </w:p>
        </w:tc>
        <w:tc>
          <w:tcPr>
            <w:tcW w:w="0" w:type="auto"/>
            <w:shd w:val="clear" w:color="auto" w:fill="FFFFFF" w:themeFill="background1"/>
            <w:vAlign w:val="center"/>
          </w:tcPr>
          <w:p w14:paraId="1342B06C" w14:textId="7C82CEE3" w:rsidR="00EE5AB2" w:rsidRPr="00A26031" w:rsidRDefault="00877956">
            <w:pPr>
              <w:widowControl/>
              <w:autoSpaceDE/>
              <w:autoSpaceDN/>
              <w:jc w:val="center"/>
              <w:rPr>
                <w:rFonts w:asciiTheme="minorHAnsi" w:eastAsia="Times New Roman" w:hAnsiTheme="minorHAnsi"/>
                <w:color w:val="000000"/>
                <w:szCs w:val="24"/>
              </w:rPr>
            </w:pPr>
            <w:r>
              <w:rPr>
                <w:rFonts w:asciiTheme="minorHAnsi" w:eastAsia="Times New Roman" w:hAnsiTheme="minorHAnsi"/>
                <w:color w:val="000000"/>
                <w:szCs w:val="24"/>
              </w:rPr>
              <w:t>1.4%</w:t>
            </w:r>
          </w:p>
        </w:tc>
      </w:tr>
      <w:tr w:rsidR="00EE5AB2" w:rsidRPr="00A26031" w14:paraId="127DBD30" w14:textId="77777777" w:rsidTr="005656E3">
        <w:trPr>
          <w:trHeight w:val="290"/>
        </w:trPr>
        <w:tc>
          <w:tcPr>
            <w:tcW w:w="0" w:type="auto"/>
            <w:shd w:val="clear" w:color="auto" w:fill="FFFFFF" w:themeFill="background1"/>
            <w:vAlign w:val="center"/>
          </w:tcPr>
          <w:p w14:paraId="650B8C91" w14:textId="58F7FBD3" w:rsidR="00EE5AB2" w:rsidRDefault="00877956">
            <w:pPr>
              <w:widowControl/>
              <w:autoSpaceDE/>
              <w:autoSpaceDN/>
              <w:rPr>
                <w:rFonts w:asciiTheme="minorHAnsi" w:eastAsia="Times New Roman" w:hAnsiTheme="minorHAnsi"/>
                <w:color w:val="000000"/>
                <w:szCs w:val="24"/>
              </w:rPr>
            </w:pPr>
            <w:r>
              <w:rPr>
                <w:rFonts w:asciiTheme="minorHAnsi" w:eastAsia="Times New Roman" w:hAnsiTheme="minorHAnsi"/>
                <w:color w:val="000000"/>
                <w:szCs w:val="24"/>
              </w:rPr>
              <w:t>Medicaid</w:t>
            </w:r>
          </w:p>
        </w:tc>
        <w:tc>
          <w:tcPr>
            <w:tcW w:w="0" w:type="auto"/>
            <w:shd w:val="clear" w:color="auto" w:fill="FFFFFF" w:themeFill="background1"/>
            <w:vAlign w:val="center"/>
          </w:tcPr>
          <w:p w14:paraId="071C7610" w14:textId="588D59E9" w:rsidR="00EE5AB2" w:rsidRPr="00A26031" w:rsidRDefault="00877956">
            <w:pPr>
              <w:widowControl/>
              <w:autoSpaceDE/>
              <w:autoSpaceDN/>
              <w:jc w:val="center"/>
              <w:rPr>
                <w:rFonts w:asciiTheme="minorHAnsi" w:eastAsia="Times New Roman" w:hAnsiTheme="minorHAnsi"/>
                <w:color w:val="000000"/>
                <w:szCs w:val="24"/>
              </w:rPr>
            </w:pPr>
            <w:r>
              <w:rPr>
                <w:rFonts w:asciiTheme="minorHAnsi" w:eastAsia="Times New Roman" w:hAnsiTheme="minorHAnsi"/>
                <w:color w:val="000000"/>
                <w:szCs w:val="24"/>
              </w:rPr>
              <w:t>1.8%</w:t>
            </w:r>
          </w:p>
        </w:tc>
        <w:tc>
          <w:tcPr>
            <w:tcW w:w="0" w:type="auto"/>
            <w:shd w:val="clear" w:color="auto" w:fill="FFFFFF" w:themeFill="background1"/>
            <w:vAlign w:val="center"/>
          </w:tcPr>
          <w:p w14:paraId="69EA000D" w14:textId="2E1CF185" w:rsidR="00EE5AB2" w:rsidRPr="00A26031" w:rsidRDefault="00877956">
            <w:pPr>
              <w:widowControl/>
              <w:autoSpaceDE/>
              <w:autoSpaceDN/>
              <w:jc w:val="center"/>
              <w:rPr>
                <w:rFonts w:asciiTheme="minorHAnsi" w:eastAsia="Times New Roman" w:hAnsiTheme="minorHAnsi"/>
                <w:color w:val="000000"/>
                <w:szCs w:val="24"/>
              </w:rPr>
            </w:pPr>
            <w:r>
              <w:rPr>
                <w:rFonts w:asciiTheme="minorHAnsi" w:eastAsia="Times New Roman" w:hAnsiTheme="minorHAnsi"/>
                <w:color w:val="000000"/>
                <w:szCs w:val="24"/>
              </w:rPr>
              <w:t>2.8%</w:t>
            </w:r>
          </w:p>
        </w:tc>
      </w:tr>
      <w:tr w:rsidR="00EE5AB2" w:rsidRPr="00A26031" w14:paraId="0A9B547C" w14:textId="77777777" w:rsidTr="005656E3">
        <w:trPr>
          <w:trHeight w:val="290"/>
        </w:trPr>
        <w:tc>
          <w:tcPr>
            <w:tcW w:w="0" w:type="auto"/>
            <w:shd w:val="clear" w:color="auto" w:fill="FFFFFF" w:themeFill="background1"/>
            <w:vAlign w:val="center"/>
            <w:hideMark/>
          </w:tcPr>
          <w:p w14:paraId="7CCF87C4" w14:textId="42091EC0" w:rsidR="00EE5AB2" w:rsidRPr="00A26031" w:rsidRDefault="00877956">
            <w:pPr>
              <w:widowControl/>
              <w:autoSpaceDE/>
              <w:autoSpaceDN/>
              <w:rPr>
                <w:rFonts w:asciiTheme="minorHAnsi" w:eastAsia="Times New Roman" w:hAnsiTheme="minorHAnsi"/>
                <w:color w:val="000000"/>
                <w:szCs w:val="24"/>
              </w:rPr>
            </w:pPr>
            <w:r>
              <w:rPr>
                <w:rFonts w:asciiTheme="minorHAnsi" w:eastAsia="Times New Roman" w:hAnsiTheme="minorHAnsi"/>
                <w:color w:val="000000"/>
                <w:szCs w:val="24"/>
              </w:rPr>
              <w:t xml:space="preserve">All </w:t>
            </w:r>
            <w:r w:rsidR="00EE5AB2" w:rsidRPr="00A26031">
              <w:rPr>
                <w:rFonts w:asciiTheme="minorHAnsi" w:eastAsia="Times New Roman" w:hAnsiTheme="minorHAnsi"/>
                <w:color w:val="000000"/>
                <w:szCs w:val="24"/>
              </w:rPr>
              <w:t>Other</w:t>
            </w:r>
            <w:r w:rsidR="00774AA7">
              <w:rPr>
                <w:rStyle w:val="FootnoteReference"/>
                <w:rFonts w:asciiTheme="minorHAnsi" w:eastAsia="Times New Roman" w:hAnsiTheme="minorHAnsi"/>
                <w:color w:val="000000"/>
                <w:szCs w:val="24"/>
              </w:rPr>
              <w:footnoteReference w:id="8"/>
            </w:r>
          </w:p>
        </w:tc>
        <w:tc>
          <w:tcPr>
            <w:tcW w:w="0" w:type="auto"/>
            <w:shd w:val="clear" w:color="auto" w:fill="FFFFFF" w:themeFill="background1"/>
            <w:vAlign w:val="center"/>
          </w:tcPr>
          <w:p w14:paraId="40986649" w14:textId="712EAC8E" w:rsidR="00EE5AB2" w:rsidRPr="00A26031" w:rsidRDefault="00877956">
            <w:pPr>
              <w:widowControl/>
              <w:autoSpaceDE/>
              <w:autoSpaceDN/>
              <w:jc w:val="center"/>
              <w:rPr>
                <w:rFonts w:asciiTheme="minorHAnsi" w:eastAsia="Times New Roman" w:hAnsiTheme="minorHAnsi"/>
                <w:color w:val="000000"/>
                <w:szCs w:val="24"/>
              </w:rPr>
            </w:pPr>
            <w:r>
              <w:rPr>
                <w:rFonts w:asciiTheme="minorHAnsi" w:eastAsia="Times New Roman" w:hAnsiTheme="minorHAnsi"/>
                <w:color w:val="000000"/>
                <w:szCs w:val="24"/>
              </w:rPr>
              <w:t>2.7%</w:t>
            </w:r>
          </w:p>
        </w:tc>
        <w:tc>
          <w:tcPr>
            <w:tcW w:w="0" w:type="auto"/>
            <w:shd w:val="clear" w:color="auto" w:fill="FFFFFF" w:themeFill="background1"/>
            <w:vAlign w:val="center"/>
          </w:tcPr>
          <w:p w14:paraId="3198D091" w14:textId="6FDAB91F" w:rsidR="00EE5AB2" w:rsidRPr="00A26031" w:rsidRDefault="00877956">
            <w:pPr>
              <w:widowControl/>
              <w:autoSpaceDE/>
              <w:autoSpaceDN/>
              <w:jc w:val="center"/>
              <w:rPr>
                <w:rFonts w:asciiTheme="minorHAnsi" w:eastAsia="Times New Roman" w:hAnsiTheme="minorHAnsi"/>
                <w:color w:val="000000"/>
                <w:szCs w:val="24"/>
              </w:rPr>
            </w:pPr>
            <w:r>
              <w:rPr>
                <w:rFonts w:asciiTheme="minorHAnsi" w:eastAsia="Times New Roman" w:hAnsiTheme="minorHAnsi"/>
                <w:color w:val="000000"/>
                <w:szCs w:val="24"/>
              </w:rPr>
              <w:t>2.3%</w:t>
            </w:r>
          </w:p>
        </w:tc>
      </w:tr>
      <w:tr w:rsidR="00EE5AB2" w:rsidRPr="00A26031" w14:paraId="01E010F4" w14:textId="77777777" w:rsidTr="005656E3">
        <w:trPr>
          <w:trHeight w:val="290"/>
        </w:trPr>
        <w:tc>
          <w:tcPr>
            <w:tcW w:w="0" w:type="auto"/>
            <w:shd w:val="clear" w:color="auto" w:fill="FFFFFF" w:themeFill="background1"/>
            <w:vAlign w:val="center"/>
            <w:hideMark/>
          </w:tcPr>
          <w:p w14:paraId="0404C050" w14:textId="77777777" w:rsidR="00EE5AB2" w:rsidRPr="00A26031" w:rsidRDefault="00EE5AB2">
            <w:pPr>
              <w:widowControl/>
              <w:autoSpaceDE/>
              <w:autoSpaceDN/>
              <w:rPr>
                <w:rFonts w:asciiTheme="minorHAnsi" w:eastAsia="Times New Roman" w:hAnsiTheme="minorHAnsi"/>
                <w:color w:val="000000"/>
                <w:szCs w:val="24"/>
              </w:rPr>
            </w:pPr>
            <w:r w:rsidRPr="00A26031">
              <w:rPr>
                <w:rFonts w:asciiTheme="minorHAnsi" w:eastAsia="Times New Roman" w:hAnsiTheme="minorHAnsi"/>
                <w:color w:val="000000"/>
                <w:szCs w:val="24"/>
              </w:rPr>
              <w:t xml:space="preserve">Total </w:t>
            </w:r>
          </w:p>
        </w:tc>
        <w:tc>
          <w:tcPr>
            <w:tcW w:w="0" w:type="auto"/>
            <w:noWrap/>
            <w:vAlign w:val="bottom"/>
          </w:tcPr>
          <w:p w14:paraId="4552776F" w14:textId="20ECAE20" w:rsidR="00EE5AB2" w:rsidRPr="00A26031" w:rsidRDefault="00AE5E01">
            <w:pPr>
              <w:widowControl/>
              <w:autoSpaceDE/>
              <w:autoSpaceDN/>
              <w:jc w:val="center"/>
              <w:rPr>
                <w:rFonts w:asciiTheme="minorHAnsi" w:eastAsia="Times New Roman" w:hAnsiTheme="minorHAnsi"/>
                <w:color w:val="000000"/>
                <w:szCs w:val="24"/>
              </w:rPr>
            </w:pPr>
            <w:r>
              <w:rPr>
                <w:rFonts w:asciiTheme="minorHAnsi" w:eastAsia="Times New Roman" w:hAnsiTheme="minorHAnsi"/>
                <w:color w:val="000000"/>
                <w:szCs w:val="24"/>
              </w:rPr>
              <w:t>100%</w:t>
            </w:r>
          </w:p>
        </w:tc>
        <w:tc>
          <w:tcPr>
            <w:tcW w:w="0" w:type="auto"/>
            <w:noWrap/>
            <w:vAlign w:val="bottom"/>
          </w:tcPr>
          <w:p w14:paraId="07BCA3E9" w14:textId="357DB718" w:rsidR="00EE5AB2" w:rsidRPr="00A26031" w:rsidRDefault="00AE5E01">
            <w:pPr>
              <w:widowControl/>
              <w:autoSpaceDE/>
              <w:autoSpaceDN/>
              <w:jc w:val="center"/>
              <w:rPr>
                <w:rFonts w:asciiTheme="minorHAnsi" w:eastAsia="Times New Roman" w:hAnsiTheme="minorHAnsi"/>
                <w:color w:val="000000"/>
              </w:rPr>
            </w:pPr>
            <w:r>
              <w:rPr>
                <w:rFonts w:asciiTheme="minorHAnsi" w:eastAsia="Times New Roman" w:hAnsiTheme="minorHAnsi"/>
                <w:color w:val="000000"/>
              </w:rPr>
              <w:t>100%</w:t>
            </w:r>
          </w:p>
        </w:tc>
      </w:tr>
    </w:tbl>
    <w:p w14:paraId="78444292" w14:textId="77777777" w:rsidR="00E70E1B" w:rsidRDefault="00E70E1B" w:rsidP="00F50B7B"/>
    <w:p w14:paraId="4DCEC9EA" w14:textId="23D4926A" w:rsidR="00FD0171" w:rsidRPr="003436F0" w:rsidRDefault="00FD0171" w:rsidP="008917DC">
      <w:pPr>
        <w:pStyle w:val="Heading1"/>
        <w:spacing w:before="268"/>
        <w:ind w:left="0"/>
        <w:rPr>
          <w:rFonts w:asciiTheme="minorHAnsi" w:hAnsiTheme="minorHAnsi"/>
        </w:rPr>
      </w:pPr>
      <w:bookmarkStart w:id="3" w:name="Factor_1a:_Patient_Panel_Need"/>
      <w:bookmarkStart w:id="4" w:name="_Toc207953794"/>
      <w:bookmarkEnd w:id="3"/>
      <w:r>
        <w:rPr>
          <w:rFonts w:asciiTheme="minorHAnsi" w:hAnsiTheme="minorHAnsi"/>
          <w:color w:val="42558C"/>
        </w:rPr>
        <w:t>F</w:t>
      </w:r>
      <w:r w:rsidRPr="003436F0">
        <w:rPr>
          <w:rFonts w:asciiTheme="minorHAnsi" w:hAnsiTheme="minorHAnsi"/>
          <w:color w:val="42558C"/>
        </w:rPr>
        <w:t>actor 1</w:t>
      </w:r>
      <w:r w:rsidR="00460BAC">
        <w:rPr>
          <w:rFonts w:asciiTheme="minorHAnsi" w:hAnsiTheme="minorHAnsi"/>
          <w:color w:val="42558C"/>
        </w:rPr>
        <w:t xml:space="preserve">: </w:t>
      </w:r>
      <w:r w:rsidRPr="003436F0">
        <w:rPr>
          <w:rFonts w:asciiTheme="minorHAnsi" w:hAnsiTheme="minorHAnsi"/>
          <w:color w:val="42558C"/>
        </w:rPr>
        <w:t>a</w:t>
      </w:r>
      <w:r w:rsidR="00460BAC">
        <w:rPr>
          <w:rFonts w:asciiTheme="minorHAnsi" w:hAnsiTheme="minorHAnsi"/>
          <w:color w:val="42558C"/>
        </w:rPr>
        <w:t>)</w:t>
      </w:r>
      <w:r w:rsidRPr="003436F0">
        <w:rPr>
          <w:rFonts w:asciiTheme="minorHAnsi" w:hAnsiTheme="minorHAnsi"/>
          <w:color w:val="42558C"/>
        </w:rPr>
        <w:t xml:space="preserve"> Patient Panel Need</w:t>
      </w:r>
      <w:bookmarkEnd w:id="4"/>
    </w:p>
    <w:p w14:paraId="3F979AE8" w14:textId="77777777" w:rsidR="00FD0171" w:rsidRPr="002760B1" w:rsidRDefault="00FD0171" w:rsidP="002760B1">
      <w:pPr>
        <w:pStyle w:val="BodyText"/>
        <w:spacing w:line="269" w:lineRule="exact"/>
        <w:rPr>
          <w:rFonts w:asciiTheme="minorHAnsi" w:hAnsiTheme="minorHAnsi"/>
        </w:rPr>
      </w:pPr>
      <w:r w:rsidRPr="002760B1">
        <w:rPr>
          <w:rFonts w:asciiTheme="minorHAnsi" w:hAnsiTheme="minorHAnsi"/>
        </w:rPr>
        <w:t>In this section, staff assesses if the Applicant has sufficiently demonstrated need for the Proposed</w:t>
      </w:r>
    </w:p>
    <w:p w14:paraId="2418FFD0" w14:textId="66255E22" w:rsidR="00FD0171" w:rsidRDefault="00FD0171" w:rsidP="002760B1">
      <w:pPr>
        <w:pStyle w:val="BodyText"/>
        <w:spacing w:line="269" w:lineRule="exact"/>
        <w:rPr>
          <w:rFonts w:asciiTheme="minorHAnsi" w:hAnsiTheme="minorHAnsi"/>
        </w:rPr>
      </w:pPr>
      <w:r w:rsidRPr="002760B1">
        <w:rPr>
          <w:rFonts w:asciiTheme="minorHAnsi" w:hAnsiTheme="minorHAnsi"/>
        </w:rPr>
        <w:t>Project components by the Applicant’s Patient Panel.</w:t>
      </w:r>
      <w:r>
        <w:rPr>
          <w:rFonts w:asciiTheme="minorHAnsi" w:hAnsiTheme="minorHAnsi"/>
        </w:rPr>
        <w:t xml:space="preserve"> </w:t>
      </w:r>
      <w:r w:rsidRPr="005925D5">
        <w:rPr>
          <w:rFonts w:asciiTheme="minorHAnsi" w:hAnsiTheme="minorHAnsi"/>
        </w:rPr>
        <w:t xml:space="preserve">The Applicant attributes Patient Panel need for </w:t>
      </w:r>
      <w:r>
        <w:rPr>
          <w:rFonts w:asciiTheme="minorHAnsi" w:hAnsiTheme="minorHAnsi"/>
        </w:rPr>
        <w:t>an additional procedure room and three pre/post operative bays</w:t>
      </w:r>
      <w:r w:rsidRPr="005925D5">
        <w:rPr>
          <w:rFonts w:asciiTheme="minorHAnsi" w:hAnsiTheme="minorHAnsi"/>
        </w:rPr>
        <w:t xml:space="preserve"> </w:t>
      </w:r>
      <w:r w:rsidR="00FC4668">
        <w:rPr>
          <w:rFonts w:asciiTheme="minorHAnsi" w:hAnsiTheme="minorHAnsi"/>
        </w:rPr>
        <w:t xml:space="preserve">at the Center </w:t>
      </w:r>
      <w:r w:rsidRPr="005925D5">
        <w:rPr>
          <w:rFonts w:asciiTheme="minorHAnsi" w:hAnsiTheme="minorHAnsi"/>
        </w:rPr>
        <w:t>to the following factors:</w:t>
      </w:r>
    </w:p>
    <w:p w14:paraId="0B8AE263" w14:textId="7250E0F4" w:rsidR="00FD0171" w:rsidRDefault="00FD0171" w:rsidP="005925D5">
      <w:pPr>
        <w:pStyle w:val="BodyText"/>
        <w:numPr>
          <w:ilvl w:val="0"/>
          <w:numId w:val="18"/>
        </w:numPr>
        <w:rPr>
          <w:rFonts w:asciiTheme="minorHAnsi" w:hAnsiTheme="minorHAnsi"/>
        </w:rPr>
      </w:pPr>
      <w:r>
        <w:rPr>
          <w:rFonts w:asciiTheme="minorHAnsi" w:hAnsiTheme="minorHAnsi"/>
        </w:rPr>
        <w:t>Closure of Nashoba Valley Medical Center (NVMC) and unmet need in the region</w:t>
      </w:r>
    </w:p>
    <w:p w14:paraId="6F90B313" w14:textId="2D7EC465" w:rsidR="00FD0171" w:rsidRDefault="00FD0171" w:rsidP="005925D5">
      <w:pPr>
        <w:pStyle w:val="BodyText"/>
        <w:numPr>
          <w:ilvl w:val="0"/>
          <w:numId w:val="18"/>
        </w:numPr>
        <w:rPr>
          <w:rFonts w:asciiTheme="minorHAnsi" w:hAnsiTheme="minorHAnsi"/>
        </w:rPr>
      </w:pPr>
      <w:r>
        <w:rPr>
          <w:rFonts w:asciiTheme="minorHAnsi" w:hAnsiTheme="minorHAnsi"/>
        </w:rPr>
        <w:t>Increase in referrals from the Applicant’s clinical affiliate Atrius Health</w:t>
      </w:r>
    </w:p>
    <w:p w14:paraId="77758578" w14:textId="34CCF2B6" w:rsidR="00FD0171" w:rsidRDefault="00FD0171" w:rsidP="00CB4C02">
      <w:pPr>
        <w:pStyle w:val="ListParagraph"/>
        <w:numPr>
          <w:ilvl w:val="0"/>
          <w:numId w:val="18"/>
        </w:numPr>
        <w:rPr>
          <w:rFonts w:asciiTheme="minorHAnsi" w:hAnsiTheme="minorHAnsi"/>
          <w:szCs w:val="24"/>
        </w:rPr>
      </w:pPr>
      <w:r w:rsidRPr="00F16A3E">
        <w:rPr>
          <w:rFonts w:asciiTheme="minorHAnsi" w:hAnsiTheme="minorHAnsi"/>
          <w:szCs w:val="24"/>
        </w:rPr>
        <w:t xml:space="preserve">Population Projections in </w:t>
      </w:r>
      <w:r w:rsidR="009064F8">
        <w:rPr>
          <w:rFonts w:asciiTheme="minorHAnsi" w:hAnsiTheme="minorHAnsi"/>
          <w:szCs w:val="24"/>
        </w:rPr>
        <w:t xml:space="preserve">the </w:t>
      </w:r>
      <w:r w:rsidRPr="00F16A3E">
        <w:rPr>
          <w:rFonts w:asciiTheme="minorHAnsi" w:hAnsiTheme="minorHAnsi"/>
          <w:szCs w:val="24"/>
        </w:rPr>
        <w:t xml:space="preserve">Applicant’s Services Area </w:t>
      </w:r>
      <w:r w:rsidR="004A1BA8">
        <w:rPr>
          <w:rFonts w:asciiTheme="minorHAnsi" w:hAnsiTheme="minorHAnsi"/>
          <w:szCs w:val="24"/>
        </w:rPr>
        <w:t xml:space="preserve">and </w:t>
      </w:r>
      <w:r w:rsidR="004645DA">
        <w:rPr>
          <w:rFonts w:asciiTheme="minorHAnsi" w:hAnsiTheme="minorHAnsi"/>
          <w:szCs w:val="24"/>
        </w:rPr>
        <w:t>Colorectal Cancer (</w:t>
      </w:r>
      <w:r w:rsidR="004A1BA8">
        <w:rPr>
          <w:rFonts w:asciiTheme="minorHAnsi" w:hAnsiTheme="minorHAnsi"/>
          <w:szCs w:val="24"/>
        </w:rPr>
        <w:t>CRC</w:t>
      </w:r>
      <w:r w:rsidR="004645DA">
        <w:rPr>
          <w:rFonts w:asciiTheme="minorHAnsi" w:hAnsiTheme="minorHAnsi"/>
          <w:szCs w:val="24"/>
        </w:rPr>
        <w:t>)</w:t>
      </w:r>
      <w:r w:rsidR="004A1BA8">
        <w:rPr>
          <w:rFonts w:asciiTheme="minorHAnsi" w:hAnsiTheme="minorHAnsi"/>
          <w:szCs w:val="24"/>
        </w:rPr>
        <w:t xml:space="preserve"> Screening Guidelines</w:t>
      </w:r>
    </w:p>
    <w:p w14:paraId="335C919F" w14:textId="77777777" w:rsidR="00A81E6C" w:rsidRPr="00A81E6C" w:rsidRDefault="00FD0171" w:rsidP="00A81E6C">
      <w:pPr>
        <w:pStyle w:val="BodyText"/>
        <w:numPr>
          <w:ilvl w:val="0"/>
          <w:numId w:val="18"/>
        </w:numPr>
        <w:spacing w:line="269" w:lineRule="exact"/>
        <w:rPr>
          <w:rFonts w:asciiTheme="minorHAnsi" w:hAnsiTheme="minorHAnsi"/>
        </w:rPr>
      </w:pPr>
      <w:r w:rsidRPr="00A81E6C">
        <w:rPr>
          <w:rFonts w:asciiTheme="minorHAnsi" w:hAnsiTheme="minorHAnsi"/>
        </w:rPr>
        <w:t>Increasing Cancer Rates in Massachusetts</w:t>
      </w:r>
    </w:p>
    <w:p w14:paraId="795862D8" w14:textId="77777777" w:rsidR="00FD0171" w:rsidRDefault="00FD0171" w:rsidP="000B63C8">
      <w:pPr>
        <w:pStyle w:val="BodyText"/>
        <w:spacing w:line="269" w:lineRule="exact"/>
        <w:rPr>
          <w:rFonts w:asciiTheme="minorHAnsi" w:hAnsiTheme="minorHAnsi"/>
        </w:rPr>
      </w:pPr>
    </w:p>
    <w:p w14:paraId="7A6F7DC5" w14:textId="46B25751" w:rsidR="00FD0171" w:rsidRDefault="009064F8" w:rsidP="000B63C8">
      <w:pPr>
        <w:pStyle w:val="BodyText"/>
        <w:spacing w:line="269" w:lineRule="exact"/>
        <w:rPr>
          <w:rFonts w:asciiTheme="minorHAnsi" w:hAnsiTheme="minorHAnsi"/>
          <w:i/>
          <w:iCs/>
        </w:rPr>
      </w:pPr>
      <w:r>
        <w:rPr>
          <w:rFonts w:asciiTheme="minorHAnsi" w:hAnsiTheme="minorHAnsi"/>
          <w:i/>
          <w:iCs/>
        </w:rPr>
        <w:t>B</w:t>
      </w:r>
      <w:r w:rsidR="00FD0171" w:rsidRPr="002D60C6">
        <w:rPr>
          <w:rFonts w:asciiTheme="minorHAnsi" w:hAnsiTheme="minorHAnsi"/>
          <w:i/>
          <w:iCs/>
        </w:rPr>
        <w:t>ackground: Historical Utilization</w:t>
      </w:r>
    </w:p>
    <w:p w14:paraId="42607879" w14:textId="77777777" w:rsidR="00292A9A" w:rsidRDefault="00292A9A" w:rsidP="000B63C8">
      <w:pPr>
        <w:pStyle w:val="BodyText"/>
        <w:spacing w:line="269" w:lineRule="exact"/>
        <w:rPr>
          <w:rFonts w:asciiTheme="minorHAnsi" w:hAnsiTheme="minorHAnsi"/>
        </w:rPr>
      </w:pPr>
    </w:p>
    <w:p w14:paraId="185C9BEC" w14:textId="5F7410CC" w:rsidR="00FD0171" w:rsidRDefault="00E61CC3" w:rsidP="000B63C8">
      <w:pPr>
        <w:pStyle w:val="BodyText"/>
        <w:spacing w:line="269" w:lineRule="exact"/>
        <w:rPr>
          <w:rFonts w:asciiTheme="minorHAnsi" w:hAnsiTheme="minorHAnsi"/>
        </w:rPr>
      </w:pPr>
      <w:r>
        <w:rPr>
          <w:rFonts w:asciiTheme="minorHAnsi" w:hAnsiTheme="minorHAnsi"/>
        </w:rPr>
        <w:t xml:space="preserve">The Applicant states that </w:t>
      </w:r>
      <w:r w:rsidR="00314086">
        <w:rPr>
          <w:rFonts w:asciiTheme="minorHAnsi" w:hAnsiTheme="minorHAnsi"/>
        </w:rPr>
        <w:t>the Center</w:t>
      </w:r>
      <w:r w:rsidR="00640F5E">
        <w:rPr>
          <w:rFonts w:asciiTheme="minorHAnsi" w:hAnsiTheme="minorHAnsi"/>
        </w:rPr>
        <w:t xml:space="preserve"> “has experienced steady volume growth since opening” in </w:t>
      </w:r>
      <w:r w:rsidR="00EE5EC0">
        <w:rPr>
          <w:rFonts w:asciiTheme="minorHAnsi" w:hAnsiTheme="minorHAnsi"/>
        </w:rPr>
        <w:t>2022</w:t>
      </w:r>
      <w:r w:rsidR="00640F5E">
        <w:rPr>
          <w:rFonts w:asciiTheme="minorHAnsi" w:hAnsiTheme="minorHAnsi"/>
        </w:rPr>
        <w:t xml:space="preserve">. </w:t>
      </w:r>
      <w:r w:rsidR="00FD0171">
        <w:rPr>
          <w:rFonts w:asciiTheme="minorHAnsi" w:hAnsiTheme="minorHAnsi"/>
        </w:rPr>
        <w:t xml:space="preserve">Table </w:t>
      </w:r>
      <w:r w:rsidR="000B4947">
        <w:rPr>
          <w:rFonts w:asciiTheme="minorHAnsi" w:hAnsiTheme="minorHAnsi"/>
        </w:rPr>
        <w:t>8</w:t>
      </w:r>
      <w:r w:rsidR="00FD0171">
        <w:rPr>
          <w:rFonts w:asciiTheme="minorHAnsi" w:hAnsiTheme="minorHAnsi"/>
        </w:rPr>
        <w:t xml:space="preserve"> shows </w:t>
      </w:r>
      <w:r w:rsidR="003F7014">
        <w:rPr>
          <w:rFonts w:asciiTheme="minorHAnsi" w:hAnsiTheme="minorHAnsi"/>
        </w:rPr>
        <w:t>the Center’s</w:t>
      </w:r>
      <w:r w:rsidR="00FD0171">
        <w:rPr>
          <w:rFonts w:asciiTheme="minorHAnsi" w:hAnsiTheme="minorHAnsi"/>
        </w:rPr>
        <w:t xml:space="preserve"> historical </w:t>
      </w:r>
      <w:r w:rsidR="009C4585">
        <w:rPr>
          <w:rFonts w:asciiTheme="minorHAnsi" w:hAnsiTheme="minorHAnsi"/>
        </w:rPr>
        <w:t xml:space="preserve">case </w:t>
      </w:r>
      <w:r w:rsidR="00FD0171">
        <w:rPr>
          <w:rFonts w:asciiTheme="minorHAnsi" w:hAnsiTheme="minorHAnsi"/>
        </w:rPr>
        <w:t xml:space="preserve">volume. </w:t>
      </w:r>
      <w:r w:rsidR="00055603">
        <w:rPr>
          <w:rFonts w:asciiTheme="minorHAnsi" w:hAnsiTheme="minorHAnsi"/>
        </w:rPr>
        <w:t>The n</w:t>
      </w:r>
      <w:r w:rsidR="00FD0171">
        <w:rPr>
          <w:rFonts w:asciiTheme="minorHAnsi" w:hAnsiTheme="minorHAnsi"/>
        </w:rPr>
        <w:t>umber of cases per year increased by 173% between 2022 and 2024.</w:t>
      </w:r>
    </w:p>
    <w:p w14:paraId="0D10C322" w14:textId="77777777" w:rsidR="00FD0171" w:rsidRDefault="00FD0171" w:rsidP="000B63C8">
      <w:pPr>
        <w:pStyle w:val="BodyText"/>
        <w:spacing w:line="269" w:lineRule="exact"/>
        <w:rPr>
          <w:rFonts w:asciiTheme="minorHAnsi" w:hAnsiTheme="minorHAnsi"/>
        </w:rPr>
      </w:pPr>
    </w:p>
    <w:p w14:paraId="659DE3D0" w14:textId="02B55B0C" w:rsidR="00FD0171" w:rsidRPr="000B0676" w:rsidRDefault="00FD0171" w:rsidP="000B63C8">
      <w:pPr>
        <w:pStyle w:val="BodyText"/>
        <w:spacing w:line="269" w:lineRule="exact"/>
        <w:rPr>
          <w:rFonts w:asciiTheme="minorHAnsi" w:hAnsiTheme="minorHAnsi"/>
          <w:b/>
          <w:bCs/>
        </w:rPr>
      </w:pPr>
      <w:r w:rsidRPr="000B0676">
        <w:rPr>
          <w:rFonts w:asciiTheme="minorHAnsi" w:hAnsiTheme="minorHAnsi"/>
          <w:b/>
          <w:bCs/>
          <w:u w:val="single"/>
        </w:rPr>
        <w:t xml:space="preserve">Table </w:t>
      </w:r>
      <w:r w:rsidR="000B4947">
        <w:rPr>
          <w:rFonts w:asciiTheme="minorHAnsi" w:hAnsiTheme="minorHAnsi"/>
          <w:b/>
          <w:bCs/>
          <w:u w:val="single"/>
        </w:rPr>
        <w:t>8</w:t>
      </w:r>
      <w:r w:rsidRPr="000B0676">
        <w:rPr>
          <w:rFonts w:asciiTheme="minorHAnsi" w:hAnsiTheme="minorHAnsi"/>
          <w:b/>
          <w:bCs/>
        </w:rPr>
        <w:t xml:space="preserve">: </w:t>
      </w:r>
      <w:r w:rsidR="003F7014">
        <w:rPr>
          <w:rFonts w:asciiTheme="minorHAnsi" w:hAnsiTheme="minorHAnsi"/>
          <w:b/>
          <w:bCs/>
        </w:rPr>
        <w:t>The Center</w:t>
      </w:r>
      <w:r w:rsidR="00B24EC7">
        <w:rPr>
          <w:rFonts w:asciiTheme="minorHAnsi" w:hAnsiTheme="minorHAnsi"/>
          <w:b/>
          <w:bCs/>
        </w:rPr>
        <w:t>’s</w:t>
      </w:r>
      <w:r w:rsidR="009C4585">
        <w:rPr>
          <w:rFonts w:asciiTheme="minorHAnsi" w:hAnsiTheme="minorHAnsi"/>
          <w:b/>
          <w:bCs/>
        </w:rPr>
        <w:t xml:space="preserve"> </w:t>
      </w:r>
      <w:r w:rsidRPr="000B0676">
        <w:rPr>
          <w:rFonts w:asciiTheme="minorHAnsi" w:hAnsiTheme="minorHAnsi"/>
          <w:b/>
          <w:bCs/>
        </w:rPr>
        <w:t>Annual Cases</w:t>
      </w:r>
      <w:r>
        <w:rPr>
          <w:rFonts w:asciiTheme="minorHAnsi" w:hAnsiTheme="minorHAnsi"/>
          <w:b/>
          <w:bCs/>
        </w:rPr>
        <w:t>, 2022 to 2024</w:t>
      </w:r>
      <w:r w:rsidRPr="000B0676">
        <w:rPr>
          <w:rFonts w:asciiTheme="minorHAnsi" w:hAnsiTheme="minorHAnsi"/>
          <w:b/>
          <w:bCs/>
        </w:rPr>
        <w:t xml:space="preserve"> </w:t>
      </w:r>
    </w:p>
    <w:tbl>
      <w:tblPr>
        <w:tblW w:w="5215" w:type="dxa"/>
        <w:tblLook w:val="04A0" w:firstRow="1" w:lastRow="0" w:firstColumn="1" w:lastColumn="0" w:noHBand="0" w:noVBand="1"/>
      </w:tblPr>
      <w:tblGrid>
        <w:gridCol w:w="912"/>
        <w:gridCol w:w="955"/>
        <w:gridCol w:w="955"/>
        <w:gridCol w:w="958"/>
        <w:gridCol w:w="1435"/>
      </w:tblGrid>
      <w:tr w:rsidR="00FD0171" w:rsidRPr="00BC7C5C" w14:paraId="44DD3321" w14:textId="77777777" w:rsidTr="00C71B1F">
        <w:trPr>
          <w:trHeight w:val="560"/>
        </w:trPr>
        <w:tc>
          <w:tcPr>
            <w:tcW w:w="912" w:type="dxa"/>
            <w:tcBorders>
              <w:top w:val="single" w:sz="4" w:space="0" w:color="auto"/>
              <w:left w:val="single" w:sz="4" w:space="0" w:color="auto"/>
              <w:bottom w:val="single" w:sz="4" w:space="0" w:color="auto"/>
              <w:right w:val="single" w:sz="4" w:space="0" w:color="auto"/>
            </w:tcBorders>
            <w:vAlign w:val="center"/>
            <w:hideMark/>
          </w:tcPr>
          <w:p w14:paraId="39CE22F4" w14:textId="2DD5C842" w:rsidR="00FD0171" w:rsidRPr="00BC7C5C" w:rsidRDefault="00FD0171" w:rsidP="000B0676">
            <w:pPr>
              <w:widowControl/>
              <w:autoSpaceDE/>
              <w:autoSpaceDN/>
              <w:rPr>
                <w:rFonts w:eastAsia="Times New Roman" w:cs="Calibri"/>
                <w:b/>
                <w:bCs/>
                <w:color w:val="000000"/>
                <w:szCs w:val="24"/>
              </w:rPr>
            </w:pPr>
          </w:p>
        </w:tc>
        <w:tc>
          <w:tcPr>
            <w:tcW w:w="955"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41FB199" w14:textId="77777777" w:rsidR="00FD0171" w:rsidRPr="00BC7C5C" w:rsidRDefault="00FD0171" w:rsidP="000B0676">
            <w:pPr>
              <w:widowControl/>
              <w:autoSpaceDE/>
              <w:autoSpaceDN/>
              <w:jc w:val="center"/>
              <w:rPr>
                <w:rFonts w:eastAsia="Times New Roman" w:cs="Calibri"/>
                <w:b/>
                <w:bCs/>
                <w:color w:val="000000"/>
                <w:szCs w:val="24"/>
              </w:rPr>
            </w:pPr>
            <w:r w:rsidRPr="00BC7C5C">
              <w:rPr>
                <w:rFonts w:eastAsia="Times New Roman" w:cs="Calibri"/>
                <w:b/>
                <w:bCs/>
                <w:color w:val="000000"/>
                <w:szCs w:val="24"/>
              </w:rPr>
              <w:t>CY2022</w:t>
            </w:r>
          </w:p>
        </w:tc>
        <w:tc>
          <w:tcPr>
            <w:tcW w:w="955"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EED14F2" w14:textId="77777777" w:rsidR="00FD0171" w:rsidRPr="00BC7C5C" w:rsidRDefault="00FD0171" w:rsidP="000B0676">
            <w:pPr>
              <w:widowControl/>
              <w:autoSpaceDE/>
              <w:autoSpaceDN/>
              <w:jc w:val="center"/>
              <w:rPr>
                <w:rFonts w:eastAsia="Times New Roman" w:cs="Calibri"/>
                <w:b/>
                <w:bCs/>
                <w:color w:val="000000"/>
                <w:szCs w:val="24"/>
              </w:rPr>
            </w:pPr>
            <w:r w:rsidRPr="00BC7C5C">
              <w:rPr>
                <w:rFonts w:eastAsia="Times New Roman" w:cs="Calibri"/>
                <w:b/>
                <w:bCs/>
                <w:color w:val="000000"/>
                <w:szCs w:val="24"/>
              </w:rPr>
              <w:t>CY2023</w:t>
            </w:r>
          </w:p>
        </w:tc>
        <w:tc>
          <w:tcPr>
            <w:tcW w:w="95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8496401" w14:textId="77777777" w:rsidR="00FD0171" w:rsidRPr="00BC7C5C" w:rsidRDefault="00FD0171" w:rsidP="000B0676">
            <w:pPr>
              <w:widowControl/>
              <w:autoSpaceDE/>
              <w:autoSpaceDN/>
              <w:jc w:val="center"/>
              <w:rPr>
                <w:rFonts w:eastAsia="Times New Roman" w:cs="Calibri"/>
                <w:b/>
                <w:bCs/>
                <w:color w:val="000000"/>
                <w:szCs w:val="24"/>
              </w:rPr>
            </w:pPr>
            <w:r w:rsidRPr="00BC7C5C">
              <w:rPr>
                <w:rFonts w:eastAsia="Times New Roman" w:cs="Calibri"/>
                <w:b/>
                <w:bCs/>
                <w:color w:val="000000"/>
                <w:szCs w:val="24"/>
              </w:rPr>
              <w:t>CY2024</w:t>
            </w:r>
          </w:p>
        </w:tc>
        <w:tc>
          <w:tcPr>
            <w:tcW w:w="1435"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8082240" w14:textId="77777777" w:rsidR="00FD0171" w:rsidRPr="00BC7C5C" w:rsidRDefault="00FD0171" w:rsidP="000B0676">
            <w:pPr>
              <w:widowControl/>
              <w:autoSpaceDE/>
              <w:autoSpaceDN/>
              <w:jc w:val="center"/>
              <w:rPr>
                <w:rFonts w:eastAsia="Times New Roman" w:cs="Calibri"/>
                <w:b/>
                <w:bCs/>
                <w:color w:val="000000"/>
                <w:szCs w:val="24"/>
              </w:rPr>
            </w:pPr>
            <w:r w:rsidRPr="00BC7C5C">
              <w:rPr>
                <w:rFonts w:eastAsia="Times New Roman" w:cs="Calibri"/>
                <w:b/>
                <w:bCs/>
                <w:color w:val="000000"/>
                <w:szCs w:val="24"/>
              </w:rPr>
              <w:t xml:space="preserve">% Change </w:t>
            </w:r>
          </w:p>
          <w:p w14:paraId="228E36E8" w14:textId="7D704B5D" w:rsidR="00FD0171" w:rsidRPr="00BC7C5C" w:rsidRDefault="00FD0171" w:rsidP="000B0676">
            <w:pPr>
              <w:widowControl/>
              <w:autoSpaceDE/>
              <w:autoSpaceDN/>
              <w:jc w:val="center"/>
              <w:rPr>
                <w:rFonts w:eastAsia="Times New Roman" w:cs="Calibri"/>
                <w:b/>
                <w:bCs/>
                <w:color w:val="000000"/>
                <w:szCs w:val="24"/>
              </w:rPr>
            </w:pPr>
            <w:r w:rsidRPr="00BC7C5C">
              <w:rPr>
                <w:rFonts w:eastAsia="Times New Roman" w:cs="Calibri"/>
                <w:b/>
                <w:bCs/>
                <w:color w:val="000000"/>
                <w:szCs w:val="24"/>
              </w:rPr>
              <w:t>2022-2024</w:t>
            </w:r>
          </w:p>
        </w:tc>
      </w:tr>
      <w:tr w:rsidR="00FD0171" w:rsidRPr="00BC7C5C" w14:paraId="6B69AD1B" w14:textId="77777777" w:rsidTr="00C71B1F">
        <w:trPr>
          <w:trHeight w:val="290"/>
        </w:trPr>
        <w:tc>
          <w:tcPr>
            <w:tcW w:w="912" w:type="dxa"/>
            <w:tcBorders>
              <w:top w:val="nil"/>
              <w:left w:val="single" w:sz="4" w:space="0" w:color="auto"/>
              <w:bottom w:val="single" w:sz="4" w:space="0" w:color="auto"/>
              <w:right w:val="single" w:sz="4" w:space="0" w:color="auto"/>
            </w:tcBorders>
            <w:vAlign w:val="center"/>
            <w:hideMark/>
          </w:tcPr>
          <w:p w14:paraId="74FF5273" w14:textId="292FE7A1" w:rsidR="00FD0171" w:rsidRPr="00BC7C5C" w:rsidRDefault="00FD0171" w:rsidP="000B0676">
            <w:pPr>
              <w:widowControl/>
              <w:autoSpaceDE/>
              <w:autoSpaceDN/>
              <w:rPr>
                <w:rFonts w:eastAsia="Times New Roman" w:cs="Calibri"/>
                <w:color w:val="000000"/>
                <w:szCs w:val="24"/>
              </w:rPr>
            </w:pPr>
            <w:r w:rsidRPr="00BC7C5C">
              <w:rPr>
                <w:rFonts w:eastAsia="Times New Roman" w:cs="Calibri"/>
                <w:color w:val="000000"/>
                <w:szCs w:val="24"/>
              </w:rPr>
              <w:t xml:space="preserve">Cases </w:t>
            </w:r>
          </w:p>
        </w:tc>
        <w:tc>
          <w:tcPr>
            <w:tcW w:w="955" w:type="dxa"/>
            <w:tcBorders>
              <w:top w:val="nil"/>
              <w:left w:val="nil"/>
              <w:bottom w:val="single" w:sz="4" w:space="0" w:color="auto"/>
              <w:right w:val="single" w:sz="4" w:space="0" w:color="auto"/>
            </w:tcBorders>
            <w:vAlign w:val="center"/>
            <w:hideMark/>
          </w:tcPr>
          <w:p w14:paraId="020B0157" w14:textId="77777777" w:rsidR="00FD0171" w:rsidRPr="00BC7C5C" w:rsidRDefault="00FD0171" w:rsidP="000B0676">
            <w:pPr>
              <w:widowControl/>
              <w:autoSpaceDE/>
              <w:autoSpaceDN/>
              <w:jc w:val="center"/>
              <w:rPr>
                <w:rFonts w:eastAsia="Times New Roman" w:cs="Calibri"/>
                <w:color w:val="000000"/>
                <w:szCs w:val="24"/>
              </w:rPr>
            </w:pPr>
            <w:r w:rsidRPr="00BC7C5C">
              <w:rPr>
                <w:rFonts w:eastAsia="Times New Roman" w:cs="Calibri"/>
                <w:color w:val="000000"/>
                <w:szCs w:val="24"/>
              </w:rPr>
              <w:t>1,782</w:t>
            </w:r>
          </w:p>
        </w:tc>
        <w:tc>
          <w:tcPr>
            <w:tcW w:w="955" w:type="dxa"/>
            <w:tcBorders>
              <w:top w:val="nil"/>
              <w:left w:val="nil"/>
              <w:bottom w:val="single" w:sz="4" w:space="0" w:color="auto"/>
              <w:right w:val="single" w:sz="4" w:space="0" w:color="auto"/>
            </w:tcBorders>
            <w:vAlign w:val="center"/>
            <w:hideMark/>
          </w:tcPr>
          <w:p w14:paraId="7B3F07F2" w14:textId="77777777" w:rsidR="00FD0171" w:rsidRPr="00BC7C5C" w:rsidRDefault="00FD0171" w:rsidP="000B0676">
            <w:pPr>
              <w:widowControl/>
              <w:autoSpaceDE/>
              <w:autoSpaceDN/>
              <w:jc w:val="center"/>
              <w:rPr>
                <w:rFonts w:eastAsia="Times New Roman" w:cs="Calibri"/>
                <w:color w:val="000000"/>
                <w:szCs w:val="24"/>
              </w:rPr>
            </w:pPr>
            <w:r w:rsidRPr="00BC7C5C">
              <w:rPr>
                <w:rFonts w:eastAsia="Times New Roman" w:cs="Calibri"/>
                <w:color w:val="000000"/>
                <w:szCs w:val="24"/>
              </w:rPr>
              <w:t>3,583</w:t>
            </w:r>
          </w:p>
        </w:tc>
        <w:tc>
          <w:tcPr>
            <w:tcW w:w="958" w:type="dxa"/>
            <w:tcBorders>
              <w:top w:val="nil"/>
              <w:left w:val="nil"/>
              <w:bottom w:val="single" w:sz="4" w:space="0" w:color="auto"/>
              <w:right w:val="single" w:sz="4" w:space="0" w:color="auto"/>
            </w:tcBorders>
            <w:vAlign w:val="center"/>
            <w:hideMark/>
          </w:tcPr>
          <w:p w14:paraId="3C20C89A" w14:textId="77777777" w:rsidR="00FD0171" w:rsidRPr="00BC7C5C" w:rsidRDefault="00FD0171" w:rsidP="000B0676">
            <w:pPr>
              <w:widowControl/>
              <w:autoSpaceDE/>
              <w:autoSpaceDN/>
              <w:jc w:val="center"/>
              <w:rPr>
                <w:rFonts w:eastAsia="Times New Roman" w:cs="Calibri"/>
                <w:color w:val="000000"/>
                <w:szCs w:val="24"/>
              </w:rPr>
            </w:pPr>
            <w:r w:rsidRPr="00BC7C5C">
              <w:rPr>
                <w:rFonts w:eastAsia="Times New Roman" w:cs="Calibri"/>
                <w:color w:val="000000"/>
                <w:szCs w:val="24"/>
              </w:rPr>
              <w:t>4,873</w:t>
            </w:r>
          </w:p>
        </w:tc>
        <w:tc>
          <w:tcPr>
            <w:tcW w:w="1435" w:type="dxa"/>
            <w:tcBorders>
              <w:top w:val="nil"/>
              <w:left w:val="nil"/>
              <w:bottom w:val="single" w:sz="4" w:space="0" w:color="auto"/>
              <w:right w:val="single" w:sz="4" w:space="0" w:color="auto"/>
            </w:tcBorders>
            <w:noWrap/>
            <w:vAlign w:val="bottom"/>
            <w:hideMark/>
          </w:tcPr>
          <w:p w14:paraId="50BC85E6" w14:textId="40294E2C" w:rsidR="00FD0171" w:rsidRPr="00BC7C5C" w:rsidRDefault="00FD0171" w:rsidP="000B0676">
            <w:pPr>
              <w:widowControl/>
              <w:autoSpaceDE/>
              <w:autoSpaceDN/>
              <w:jc w:val="center"/>
              <w:rPr>
                <w:rFonts w:eastAsia="Times New Roman" w:cs="Calibri"/>
                <w:color w:val="000000"/>
                <w:szCs w:val="24"/>
              </w:rPr>
            </w:pPr>
            <w:r w:rsidRPr="00BC7C5C">
              <w:rPr>
                <w:rFonts w:eastAsia="Times New Roman" w:cs="Calibri"/>
                <w:color w:val="000000"/>
                <w:szCs w:val="24"/>
              </w:rPr>
              <w:t>173%</w:t>
            </w:r>
          </w:p>
        </w:tc>
      </w:tr>
    </w:tbl>
    <w:p w14:paraId="0E03CD2C" w14:textId="77777777" w:rsidR="000631E7" w:rsidRDefault="000631E7" w:rsidP="000631E7">
      <w:pPr>
        <w:pStyle w:val="BodyText"/>
        <w:spacing w:line="269" w:lineRule="exact"/>
        <w:rPr>
          <w:rFonts w:asciiTheme="minorHAnsi" w:hAnsiTheme="minorHAnsi"/>
        </w:rPr>
      </w:pPr>
    </w:p>
    <w:p w14:paraId="1B522C89" w14:textId="3A6BD73A" w:rsidR="00FD0171" w:rsidRDefault="00FD0171" w:rsidP="000B63C8">
      <w:pPr>
        <w:pStyle w:val="BodyText"/>
        <w:spacing w:line="269" w:lineRule="exact"/>
        <w:rPr>
          <w:rFonts w:asciiTheme="minorHAnsi" w:hAnsiTheme="minorHAnsi"/>
        </w:rPr>
      </w:pPr>
      <w:r>
        <w:rPr>
          <w:rFonts w:asciiTheme="minorHAnsi" w:hAnsiTheme="minorHAnsi"/>
        </w:rPr>
        <w:t xml:space="preserve">Table </w:t>
      </w:r>
      <w:r w:rsidR="00A9310C">
        <w:rPr>
          <w:rFonts w:asciiTheme="minorHAnsi" w:hAnsiTheme="minorHAnsi"/>
        </w:rPr>
        <w:t>9</w:t>
      </w:r>
      <w:r>
        <w:rPr>
          <w:rFonts w:asciiTheme="minorHAnsi" w:hAnsiTheme="minorHAnsi"/>
        </w:rPr>
        <w:t xml:space="preserve"> shows year-over-year change in </w:t>
      </w:r>
      <w:r w:rsidR="003F7014">
        <w:rPr>
          <w:rFonts w:asciiTheme="minorHAnsi" w:hAnsiTheme="minorHAnsi"/>
        </w:rPr>
        <w:t>the Center’s</w:t>
      </w:r>
      <w:r w:rsidR="00BC7C5C">
        <w:rPr>
          <w:rFonts w:asciiTheme="minorHAnsi" w:hAnsiTheme="minorHAnsi"/>
        </w:rPr>
        <w:t xml:space="preserve"> </w:t>
      </w:r>
      <w:r>
        <w:rPr>
          <w:rFonts w:asciiTheme="minorHAnsi" w:hAnsiTheme="minorHAnsi"/>
        </w:rPr>
        <w:t xml:space="preserve">case volume. </w:t>
      </w:r>
    </w:p>
    <w:p w14:paraId="4D8BCD19" w14:textId="77777777" w:rsidR="00FD0171" w:rsidRDefault="00FD0171" w:rsidP="000B63C8">
      <w:pPr>
        <w:pStyle w:val="BodyText"/>
        <w:spacing w:line="269" w:lineRule="exact"/>
        <w:rPr>
          <w:rFonts w:asciiTheme="minorHAnsi" w:hAnsiTheme="minorHAnsi"/>
        </w:rPr>
      </w:pPr>
    </w:p>
    <w:p w14:paraId="432320EC" w14:textId="562CA622" w:rsidR="00FD0171" w:rsidRPr="000B0676" w:rsidRDefault="00FD0171" w:rsidP="00C47DE5">
      <w:pPr>
        <w:pStyle w:val="BodyText"/>
        <w:spacing w:line="269" w:lineRule="exact"/>
        <w:rPr>
          <w:rFonts w:asciiTheme="minorHAnsi" w:hAnsiTheme="minorHAnsi"/>
          <w:b/>
          <w:bCs/>
        </w:rPr>
      </w:pPr>
      <w:r w:rsidRPr="000B0676">
        <w:rPr>
          <w:rFonts w:asciiTheme="minorHAnsi" w:hAnsiTheme="minorHAnsi"/>
          <w:b/>
          <w:bCs/>
          <w:u w:val="single"/>
        </w:rPr>
        <w:t xml:space="preserve">Table </w:t>
      </w:r>
      <w:r w:rsidR="00A9310C">
        <w:rPr>
          <w:rFonts w:asciiTheme="minorHAnsi" w:hAnsiTheme="minorHAnsi"/>
          <w:b/>
          <w:bCs/>
          <w:u w:val="single"/>
        </w:rPr>
        <w:t>9</w:t>
      </w:r>
      <w:r w:rsidRPr="000B0676">
        <w:rPr>
          <w:rFonts w:asciiTheme="minorHAnsi" w:hAnsiTheme="minorHAnsi"/>
          <w:b/>
          <w:bCs/>
        </w:rPr>
        <w:t xml:space="preserve">: </w:t>
      </w:r>
      <w:r>
        <w:rPr>
          <w:rFonts w:asciiTheme="minorHAnsi" w:hAnsiTheme="minorHAnsi"/>
          <w:b/>
          <w:bCs/>
        </w:rPr>
        <w:t xml:space="preserve">Year-over-year change in </w:t>
      </w:r>
      <w:r w:rsidR="007C5516">
        <w:rPr>
          <w:rFonts w:asciiTheme="minorHAnsi" w:hAnsiTheme="minorHAnsi"/>
          <w:b/>
          <w:bCs/>
        </w:rPr>
        <w:t>T</w:t>
      </w:r>
      <w:r w:rsidR="003F7014">
        <w:rPr>
          <w:rFonts w:asciiTheme="minorHAnsi" w:hAnsiTheme="minorHAnsi"/>
          <w:b/>
          <w:bCs/>
        </w:rPr>
        <w:t>he Center’s</w:t>
      </w:r>
      <w:r w:rsidR="009C4585">
        <w:rPr>
          <w:rFonts w:asciiTheme="minorHAnsi" w:hAnsiTheme="minorHAnsi"/>
          <w:b/>
          <w:bCs/>
        </w:rPr>
        <w:t xml:space="preserve"> </w:t>
      </w:r>
      <w:r w:rsidR="00A723BD">
        <w:rPr>
          <w:rFonts w:asciiTheme="minorHAnsi" w:hAnsiTheme="minorHAnsi"/>
          <w:b/>
          <w:bCs/>
        </w:rPr>
        <w:t>C</w:t>
      </w:r>
      <w:r>
        <w:rPr>
          <w:rFonts w:asciiTheme="minorHAnsi" w:hAnsiTheme="minorHAnsi"/>
          <w:b/>
          <w:bCs/>
        </w:rPr>
        <w:t>ase</w:t>
      </w:r>
      <w:r w:rsidR="00A723BD">
        <w:rPr>
          <w:rFonts w:asciiTheme="minorHAnsi" w:hAnsiTheme="minorHAnsi"/>
          <w:b/>
          <w:bCs/>
        </w:rPr>
        <w:t xml:space="preserve"> Volume</w:t>
      </w:r>
    </w:p>
    <w:tbl>
      <w:tblPr>
        <w:tblW w:w="0" w:type="auto"/>
        <w:tblLook w:val="04A0" w:firstRow="1" w:lastRow="0" w:firstColumn="1" w:lastColumn="0" w:noHBand="0" w:noVBand="1"/>
      </w:tblPr>
      <w:tblGrid>
        <w:gridCol w:w="767"/>
        <w:gridCol w:w="955"/>
        <w:gridCol w:w="1009"/>
      </w:tblGrid>
      <w:tr w:rsidR="00FD0171" w:rsidRPr="00BC7C5C" w14:paraId="51E6DDC0" w14:textId="77777777" w:rsidTr="00850E56">
        <w:trPr>
          <w:trHeight w:val="560"/>
        </w:trPr>
        <w:tc>
          <w:tcPr>
            <w:tcW w:w="0" w:type="auto"/>
            <w:tcBorders>
              <w:top w:val="single" w:sz="4" w:space="0" w:color="auto"/>
              <w:left w:val="single" w:sz="4" w:space="0" w:color="auto"/>
              <w:bottom w:val="single" w:sz="4" w:space="0" w:color="auto"/>
              <w:right w:val="single" w:sz="4" w:space="0" w:color="auto"/>
            </w:tcBorders>
            <w:vAlign w:val="center"/>
            <w:hideMark/>
          </w:tcPr>
          <w:p w14:paraId="35B2C43E" w14:textId="77777777" w:rsidR="00FD0171" w:rsidRPr="00BC7C5C" w:rsidRDefault="00FD0171" w:rsidP="00EA224C">
            <w:pPr>
              <w:widowControl/>
              <w:autoSpaceDE/>
              <w:autoSpaceDN/>
              <w:rPr>
                <w:rFonts w:asciiTheme="minorHAnsi" w:eastAsia="Times New Roman" w:hAnsiTheme="minorHAnsi"/>
                <w:b/>
                <w:bCs/>
                <w:color w:val="000000"/>
                <w:szCs w:val="24"/>
              </w:rPr>
            </w:pP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DB9A45F" w14:textId="77777777" w:rsidR="00FC1905" w:rsidRDefault="00FD0171" w:rsidP="00EA224C">
            <w:pPr>
              <w:widowControl/>
              <w:autoSpaceDE/>
              <w:autoSpaceDN/>
              <w:jc w:val="center"/>
              <w:rPr>
                <w:rFonts w:asciiTheme="minorHAnsi" w:eastAsia="Times New Roman" w:hAnsiTheme="minorHAnsi"/>
                <w:b/>
                <w:bCs/>
                <w:color w:val="000000"/>
                <w:szCs w:val="24"/>
              </w:rPr>
            </w:pPr>
            <w:r w:rsidRPr="00BC7C5C">
              <w:rPr>
                <w:rFonts w:asciiTheme="minorHAnsi" w:eastAsia="Times New Roman" w:hAnsiTheme="minorHAnsi"/>
                <w:b/>
                <w:bCs/>
                <w:color w:val="000000"/>
                <w:szCs w:val="24"/>
              </w:rPr>
              <w:t xml:space="preserve">CY2022 </w:t>
            </w:r>
          </w:p>
          <w:p w14:paraId="76093831" w14:textId="03480A23" w:rsidR="00FD0171" w:rsidRPr="00BC7C5C" w:rsidRDefault="00FD0171" w:rsidP="00EA224C">
            <w:pPr>
              <w:widowControl/>
              <w:autoSpaceDE/>
              <w:autoSpaceDN/>
              <w:jc w:val="center"/>
              <w:rPr>
                <w:rFonts w:asciiTheme="minorHAnsi" w:eastAsia="Times New Roman" w:hAnsiTheme="minorHAnsi"/>
                <w:b/>
                <w:bCs/>
                <w:color w:val="000000"/>
                <w:szCs w:val="24"/>
              </w:rPr>
            </w:pPr>
            <w:r w:rsidRPr="00BC7C5C">
              <w:rPr>
                <w:rFonts w:asciiTheme="minorHAnsi" w:eastAsia="Times New Roman" w:hAnsiTheme="minorHAnsi"/>
                <w:b/>
                <w:bCs/>
                <w:color w:val="000000"/>
                <w:szCs w:val="24"/>
              </w:rPr>
              <w:t>to</w:t>
            </w:r>
          </w:p>
          <w:p w14:paraId="261F5571" w14:textId="1BB53B07" w:rsidR="00FD0171" w:rsidRPr="00BC7C5C" w:rsidRDefault="00FD0171" w:rsidP="00EA224C">
            <w:pPr>
              <w:widowControl/>
              <w:autoSpaceDE/>
              <w:autoSpaceDN/>
              <w:jc w:val="center"/>
              <w:rPr>
                <w:rFonts w:asciiTheme="minorHAnsi" w:eastAsia="Times New Roman" w:hAnsiTheme="minorHAnsi"/>
                <w:b/>
                <w:bCs/>
                <w:color w:val="000000"/>
                <w:szCs w:val="24"/>
              </w:rPr>
            </w:pPr>
            <w:r w:rsidRPr="00BC7C5C">
              <w:rPr>
                <w:rFonts w:asciiTheme="minorHAnsi" w:eastAsia="Times New Roman" w:hAnsiTheme="minorHAnsi"/>
                <w:b/>
                <w:bCs/>
                <w:color w:val="000000"/>
                <w:szCs w:val="24"/>
              </w:rPr>
              <w:t>CY2023</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11EEEC6" w14:textId="77777777" w:rsidR="001F7B9F" w:rsidRDefault="00FD0171" w:rsidP="00EA224C">
            <w:pPr>
              <w:widowControl/>
              <w:autoSpaceDE/>
              <w:autoSpaceDN/>
              <w:jc w:val="center"/>
              <w:rPr>
                <w:rFonts w:asciiTheme="minorHAnsi" w:eastAsia="Times New Roman" w:hAnsiTheme="minorHAnsi"/>
                <w:b/>
                <w:bCs/>
                <w:color w:val="000000"/>
                <w:szCs w:val="24"/>
              </w:rPr>
            </w:pPr>
            <w:r w:rsidRPr="00BC7C5C">
              <w:rPr>
                <w:rFonts w:asciiTheme="minorHAnsi" w:eastAsia="Times New Roman" w:hAnsiTheme="minorHAnsi"/>
                <w:b/>
                <w:bCs/>
                <w:color w:val="000000"/>
                <w:szCs w:val="24"/>
              </w:rPr>
              <w:t xml:space="preserve">CY2023 </w:t>
            </w:r>
          </w:p>
          <w:p w14:paraId="3991AE0F" w14:textId="6222EE5A" w:rsidR="00FD0171" w:rsidRPr="00BC7C5C" w:rsidRDefault="00FD0171" w:rsidP="00EA224C">
            <w:pPr>
              <w:widowControl/>
              <w:autoSpaceDE/>
              <w:autoSpaceDN/>
              <w:jc w:val="center"/>
              <w:rPr>
                <w:rFonts w:asciiTheme="minorHAnsi" w:eastAsia="Times New Roman" w:hAnsiTheme="minorHAnsi"/>
                <w:b/>
                <w:bCs/>
                <w:color w:val="000000"/>
                <w:szCs w:val="24"/>
              </w:rPr>
            </w:pPr>
            <w:r w:rsidRPr="00BC7C5C">
              <w:rPr>
                <w:rFonts w:asciiTheme="minorHAnsi" w:eastAsia="Times New Roman" w:hAnsiTheme="minorHAnsi"/>
                <w:b/>
                <w:bCs/>
                <w:color w:val="000000"/>
                <w:szCs w:val="24"/>
              </w:rPr>
              <w:t>to</w:t>
            </w:r>
          </w:p>
          <w:p w14:paraId="1B1D9E81" w14:textId="5ABDAC8E" w:rsidR="00FD0171" w:rsidRPr="00BC7C5C" w:rsidRDefault="00FD0171" w:rsidP="00EA224C">
            <w:pPr>
              <w:widowControl/>
              <w:autoSpaceDE/>
              <w:autoSpaceDN/>
              <w:jc w:val="center"/>
              <w:rPr>
                <w:rFonts w:asciiTheme="minorHAnsi" w:eastAsia="Times New Roman" w:hAnsiTheme="minorHAnsi"/>
                <w:b/>
                <w:bCs/>
                <w:color w:val="000000"/>
                <w:szCs w:val="24"/>
              </w:rPr>
            </w:pPr>
            <w:r w:rsidRPr="00BC7C5C">
              <w:rPr>
                <w:rFonts w:asciiTheme="minorHAnsi" w:eastAsia="Times New Roman" w:hAnsiTheme="minorHAnsi"/>
                <w:b/>
                <w:bCs/>
                <w:color w:val="000000"/>
                <w:szCs w:val="24"/>
              </w:rPr>
              <w:t xml:space="preserve"> CY2024</w:t>
            </w:r>
          </w:p>
        </w:tc>
      </w:tr>
      <w:tr w:rsidR="00FD0171" w:rsidRPr="00BC7C5C" w14:paraId="38F48C6B" w14:textId="77777777" w:rsidTr="00850E56">
        <w:trPr>
          <w:trHeight w:val="290"/>
        </w:trPr>
        <w:tc>
          <w:tcPr>
            <w:tcW w:w="0" w:type="auto"/>
            <w:tcBorders>
              <w:top w:val="nil"/>
              <w:left w:val="single" w:sz="4" w:space="0" w:color="auto"/>
              <w:bottom w:val="single" w:sz="4" w:space="0" w:color="auto"/>
              <w:right w:val="single" w:sz="4" w:space="0" w:color="auto"/>
            </w:tcBorders>
            <w:vAlign w:val="center"/>
            <w:hideMark/>
          </w:tcPr>
          <w:p w14:paraId="20D5F34E" w14:textId="77777777" w:rsidR="00FD0171" w:rsidRPr="00BC7C5C" w:rsidRDefault="00FD0171" w:rsidP="00EA224C">
            <w:pPr>
              <w:widowControl/>
              <w:autoSpaceDE/>
              <w:autoSpaceDN/>
              <w:rPr>
                <w:rFonts w:asciiTheme="minorHAnsi" w:eastAsia="Times New Roman" w:hAnsiTheme="minorHAnsi"/>
                <w:color w:val="000000"/>
                <w:szCs w:val="24"/>
              </w:rPr>
            </w:pPr>
            <w:r w:rsidRPr="00BC7C5C">
              <w:rPr>
                <w:rFonts w:asciiTheme="minorHAnsi" w:eastAsia="Times New Roman" w:hAnsiTheme="minorHAnsi"/>
                <w:color w:val="000000"/>
                <w:szCs w:val="24"/>
              </w:rPr>
              <w:t xml:space="preserve">Cases </w:t>
            </w:r>
          </w:p>
        </w:tc>
        <w:tc>
          <w:tcPr>
            <w:tcW w:w="0" w:type="auto"/>
            <w:tcBorders>
              <w:top w:val="nil"/>
              <w:left w:val="nil"/>
              <w:bottom w:val="single" w:sz="4" w:space="0" w:color="auto"/>
              <w:right w:val="single" w:sz="4" w:space="0" w:color="auto"/>
            </w:tcBorders>
            <w:vAlign w:val="center"/>
          </w:tcPr>
          <w:p w14:paraId="4AE3C809" w14:textId="3AE7567D" w:rsidR="00FD0171" w:rsidRPr="00BC7C5C" w:rsidRDefault="00FD0171" w:rsidP="00EA224C">
            <w:pPr>
              <w:widowControl/>
              <w:autoSpaceDE/>
              <w:autoSpaceDN/>
              <w:jc w:val="center"/>
              <w:rPr>
                <w:rFonts w:asciiTheme="minorHAnsi" w:eastAsia="Times New Roman" w:hAnsiTheme="minorHAnsi"/>
                <w:color w:val="000000"/>
                <w:szCs w:val="24"/>
              </w:rPr>
            </w:pPr>
            <w:r w:rsidRPr="00BC7C5C">
              <w:rPr>
                <w:rFonts w:asciiTheme="minorHAnsi" w:eastAsia="Times New Roman" w:hAnsiTheme="minorHAnsi"/>
                <w:color w:val="000000"/>
                <w:szCs w:val="24"/>
              </w:rPr>
              <w:t>101%</w:t>
            </w:r>
          </w:p>
        </w:tc>
        <w:tc>
          <w:tcPr>
            <w:tcW w:w="0" w:type="auto"/>
            <w:tcBorders>
              <w:top w:val="nil"/>
              <w:left w:val="nil"/>
              <w:bottom w:val="single" w:sz="4" w:space="0" w:color="auto"/>
              <w:right w:val="single" w:sz="4" w:space="0" w:color="auto"/>
            </w:tcBorders>
            <w:vAlign w:val="center"/>
          </w:tcPr>
          <w:p w14:paraId="1F7DCCCD" w14:textId="7BA388DA" w:rsidR="00FD0171" w:rsidRPr="00BC7C5C" w:rsidRDefault="00FD0171" w:rsidP="00EA224C">
            <w:pPr>
              <w:widowControl/>
              <w:autoSpaceDE/>
              <w:autoSpaceDN/>
              <w:jc w:val="center"/>
              <w:rPr>
                <w:rFonts w:asciiTheme="minorHAnsi" w:eastAsia="Times New Roman" w:hAnsiTheme="minorHAnsi"/>
                <w:color w:val="000000"/>
                <w:szCs w:val="24"/>
              </w:rPr>
            </w:pPr>
            <w:r w:rsidRPr="00BC7C5C">
              <w:rPr>
                <w:rFonts w:asciiTheme="minorHAnsi" w:eastAsia="Times New Roman" w:hAnsiTheme="minorHAnsi"/>
                <w:color w:val="000000"/>
                <w:szCs w:val="24"/>
              </w:rPr>
              <w:t>36%</w:t>
            </w:r>
          </w:p>
        </w:tc>
      </w:tr>
    </w:tbl>
    <w:p w14:paraId="602BA9EB" w14:textId="77777777" w:rsidR="00FD0171" w:rsidRDefault="00FD0171" w:rsidP="000B63C8">
      <w:pPr>
        <w:pStyle w:val="BodyText"/>
        <w:spacing w:line="269" w:lineRule="exact"/>
        <w:rPr>
          <w:rFonts w:asciiTheme="minorHAnsi" w:hAnsiTheme="minorHAnsi"/>
        </w:rPr>
      </w:pPr>
    </w:p>
    <w:p w14:paraId="20648652" w14:textId="77777777" w:rsidR="003700FA" w:rsidRDefault="003700FA" w:rsidP="00E83366">
      <w:pPr>
        <w:pStyle w:val="BodyText"/>
        <w:spacing w:line="269" w:lineRule="exact"/>
        <w:rPr>
          <w:rFonts w:asciiTheme="minorHAnsi" w:hAnsiTheme="minorHAnsi"/>
        </w:rPr>
      </w:pPr>
    </w:p>
    <w:p w14:paraId="331BB005" w14:textId="55F42571" w:rsidR="00E83366" w:rsidRPr="00E83366" w:rsidRDefault="00E83366" w:rsidP="00E83366">
      <w:pPr>
        <w:pStyle w:val="BodyText"/>
        <w:spacing w:line="269" w:lineRule="exact"/>
        <w:rPr>
          <w:rFonts w:asciiTheme="minorHAnsi" w:hAnsiTheme="minorHAnsi"/>
        </w:rPr>
      </w:pPr>
      <w:r w:rsidRPr="00E83366">
        <w:rPr>
          <w:rFonts w:asciiTheme="minorHAnsi" w:hAnsiTheme="minorHAnsi"/>
        </w:rPr>
        <w:t>The Center experienced a 101% increase in case volume from CY22 to CY23. The Applicant</w:t>
      </w:r>
      <w:r w:rsidRPr="00E83366" w:rsidDel="001C7216">
        <w:rPr>
          <w:rFonts w:asciiTheme="minorHAnsi" w:hAnsiTheme="minorHAnsi"/>
        </w:rPr>
        <w:t xml:space="preserve"> </w:t>
      </w:r>
      <w:r w:rsidR="001C7216">
        <w:rPr>
          <w:rFonts w:asciiTheme="minorHAnsi" w:hAnsiTheme="minorHAnsi"/>
        </w:rPr>
        <w:t xml:space="preserve">attributes this increase to </w:t>
      </w:r>
      <w:r w:rsidR="00FE1874">
        <w:rPr>
          <w:rFonts w:asciiTheme="minorHAnsi" w:hAnsiTheme="minorHAnsi"/>
        </w:rPr>
        <w:t>the</w:t>
      </w:r>
      <w:r w:rsidRPr="00E83366">
        <w:rPr>
          <w:rFonts w:asciiTheme="minorHAnsi" w:hAnsiTheme="minorHAnsi"/>
        </w:rPr>
        <w:t xml:space="preserve"> Center </w:t>
      </w:r>
      <w:r w:rsidR="00FE1874">
        <w:rPr>
          <w:rFonts w:asciiTheme="minorHAnsi" w:hAnsiTheme="minorHAnsi"/>
        </w:rPr>
        <w:t>becoming operational</w:t>
      </w:r>
      <w:r w:rsidR="00447F31">
        <w:rPr>
          <w:rFonts w:asciiTheme="minorHAnsi" w:hAnsiTheme="minorHAnsi"/>
        </w:rPr>
        <w:t xml:space="preserve"> and</w:t>
      </w:r>
      <w:r w:rsidR="00FE1874">
        <w:rPr>
          <w:rFonts w:asciiTheme="minorHAnsi" w:hAnsiTheme="minorHAnsi"/>
        </w:rPr>
        <w:t xml:space="preserve"> </w:t>
      </w:r>
      <w:r w:rsidR="00447F31" w:rsidRPr="00E83366">
        <w:rPr>
          <w:rFonts w:asciiTheme="minorHAnsi" w:hAnsiTheme="minorHAnsi"/>
        </w:rPr>
        <w:t xml:space="preserve">ramping up volume in CY22 and in CY23. </w:t>
      </w:r>
      <w:r w:rsidR="00FE1874">
        <w:rPr>
          <w:rFonts w:asciiTheme="minorHAnsi" w:hAnsiTheme="minorHAnsi"/>
        </w:rPr>
        <w:t xml:space="preserve">The Center opened </w:t>
      </w:r>
      <w:r w:rsidRPr="00E83366" w:rsidDel="00FE1874">
        <w:rPr>
          <w:rFonts w:asciiTheme="minorHAnsi" w:hAnsiTheme="minorHAnsi"/>
        </w:rPr>
        <w:t>in</w:t>
      </w:r>
      <w:r w:rsidRPr="00E83366">
        <w:rPr>
          <w:rFonts w:asciiTheme="minorHAnsi" w:hAnsiTheme="minorHAnsi"/>
        </w:rPr>
        <w:t xml:space="preserve"> April</w:t>
      </w:r>
      <w:r w:rsidR="00FE1874">
        <w:rPr>
          <w:rFonts w:asciiTheme="minorHAnsi" w:hAnsiTheme="minorHAnsi"/>
        </w:rPr>
        <w:t xml:space="preserve"> 2022</w:t>
      </w:r>
      <w:r w:rsidRPr="00E83366">
        <w:rPr>
          <w:rFonts w:asciiTheme="minorHAnsi" w:hAnsiTheme="minorHAnsi"/>
        </w:rPr>
        <w:t xml:space="preserve">, and therefore CY22 patient volume does not represent a full </w:t>
      </w:r>
      <w:r w:rsidR="00447F31">
        <w:rPr>
          <w:rFonts w:asciiTheme="minorHAnsi" w:hAnsiTheme="minorHAnsi"/>
        </w:rPr>
        <w:t>calendar year</w:t>
      </w:r>
      <w:r w:rsidRPr="00E83366" w:rsidDel="00447F31">
        <w:rPr>
          <w:rFonts w:asciiTheme="minorHAnsi" w:hAnsiTheme="minorHAnsi"/>
        </w:rPr>
        <w:t xml:space="preserve">. </w:t>
      </w:r>
    </w:p>
    <w:p w14:paraId="18CD3476" w14:textId="77777777" w:rsidR="00DD3F55" w:rsidRDefault="00DD3F55" w:rsidP="000B63C8">
      <w:pPr>
        <w:pStyle w:val="BodyText"/>
        <w:spacing w:line="269" w:lineRule="exact"/>
        <w:rPr>
          <w:rFonts w:asciiTheme="minorHAnsi" w:hAnsiTheme="minorHAnsi"/>
        </w:rPr>
      </w:pPr>
    </w:p>
    <w:p w14:paraId="3BBE7E19" w14:textId="09EE4CEF" w:rsidR="00BA61A0" w:rsidRDefault="00BA61A0" w:rsidP="000B63C8">
      <w:pPr>
        <w:pStyle w:val="BodyText"/>
        <w:spacing w:line="269" w:lineRule="exact"/>
        <w:rPr>
          <w:rFonts w:asciiTheme="minorHAnsi" w:hAnsiTheme="minorHAnsi"/>
        </w:rPr>
      </w:pPr>
      <w:r>
        <w:rPr>
          <w:rFonts w:asciiTheme="minorHAnsi" w:hAnsiTheme="minorHAnsi"/>
        </w:rPr>
        <w:t xml:space="preserve">Table </w:t>
      </w:r>
      <w:r w:rsidR="000B4947">
        <w:rPr>
          <w:rFonts w:asciiTheme="minorHAnsi" w:hAnsiTheme="minorHAnsi"/>
        </w:rPr>
        <w:t>1</w:t>
      </w:r>
      <w:r w:rsidR="00A9310C">
        <w:rPr>
          <w:rFonts w:asciiTheme="minorHAnsi" w:hAnsiTheme="minorHAnsi"/>
        </w:rPr>
        <w:t>0</w:t>
      </w:r>
      <w:r>
        <w:rPr>
          <w:rFonts w:asciiTheme="minorHAnsi" w:hAnsiTheme="minorHAnsi"/>
        </w:rPr>
        <w:t xml:space="preserve"> shows </w:t>
      </w:r>
      <w:r w:rsidR="00941D2D">
        <w:rPr>
          <w:rFonts w:asciiTheme="minorHAnsi" w:hAnsiTheme="minorHAnsi"/>
        </w:rPr>
        <w:t>a breakdown of the Center’s case volume by upper and lower endoscopy for CY22 to CY24.</w:t>
      </w:r>
      <w:r w:rsidR="00980FF2">
        <w:rPr>
          <w:rFonts w:asciiTheme="minorHAnsi" w:hAnsiTheme="minorHAnsi"/>
        </w:rPr>
        <w:t xml:space="preserve"> Lower endoscopy </w:t>
      </w:r>
      <w:r w:rsidR="00507B82">
        <w:rPr>
          <w:rFonts w:asciiTheme="minorHAnsi" w:hAnsiTheme="minorHAnsi"/>
        </w:rPr>
        <w:t>made up more than 75%</w:t>
      </w:r>
      <w:r w:rsidR="00980FF2">
        <w:rPr>
          <w:rFonts w:asciiTheme="minorHAnsi" w:hAnsiTheme="minorHAnsi"/>
        </w:rPr>
        <w:t xml:space="preserve"> of the Center’s case volume from 2022 to 2024. </w:t>
      </w:r>
    </w:p>
    <w:p w14:paraId="19CB3564" w14:textId="77777777" w:rsidR="00941D2D" w:rsidRDefault="00941D2D" w:rsidP="000B63C8">
      <w:pPr>
        <w:pStyle w:val="BodyText"/>
        <w:spacing w:line="269" w:lineRule="exact"/>
        <w:rPr>
          <w:rFonts w:asciiTheme="minorHAnsi" w:hAnsiTheme="minorHAnsi"/>
        </w:rPr>
      </w:pPr>
    </w:p>
    <w:p w14:paraId="6229BD46" w14:textId="160A137D" w:rsidR="00941D2D" w:rsidRPr="00941D2D" w:rsidRDefault="00941D2D" w:rsidP="000B63C8">
      <w:pPr>
        <w:pStyle w:val="BodyText"/>
        <w:spacing w:line="269" w:lineRule="exact"/>
        <w:rPr>
          <w:rFonts w:asciiTheme="minorHAnsi" w:hAnsiTheme="minorHAnsi"/>
          <w:b/>
          <w:bCs/>
        </w:rPr>
      </w:pPr>
      <w:r w:rsidRPr="00941D2D">
        <w:rPr>
          <w:rFonts w:asciiTheme="minorHAnsi" w:hAnsiTheme="minorHAnsi"/>
          <w:b/>
          <w:bCs/>
          <w:u w:val="single"/>
        </w:rPr>
        <w:t xml:space="preserve">Table </w:t>
      </w:r>
      <w:r w:rsidR="000B4947">
        <w:rPr>
          <w:rFonts w:asciiTheme="minorHAnsi" w:hAnsiTheme="minorHAnsi"/>
          <w:b/>
          <w:bCs/>
          <w:u w:val="single"/>
        </w:rPr>
        <w:t>1</w:t>
      </w:r>
      <w:r w:rsidR="00A9310C">
        <w:rPr>
          <w:rFonts w:asciiTheme="minorHAnsi" w:hAnsiTheme="minorHAnsi"/>
          <w:b/>
          <w:bCs/>
          <w:u w:val="single"/>
        </w:rPr>
        <w:t>0</w:t>
      </w:r>
      <w:r w:rsidRPr="00941D2D">
        <w:rPr>
          <w:rFonts w:asciiTheme="minorHAnsi" w:hAnsiTheme="minorHAnsi"/>
          <w:b/>
          <w:bCs/>
        </w:rPr>
        <w:t xml:space="preserve">: The Center’s Case Volume by Upper and Lower Endoscopy, 2022 to 2024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955"/>
        <w:gridCol w:w="1518"/>
        <w:gridCol w:w="955"/>
        <w:gridCol w:w="1518"/>
        <w:gridCol w:w="955"/>
        <w:gridCol w:w="1518"/>
      </w:tblGrid>
      <w:tr w:rsidR="00E16479" w:rsidRPr="00E16479" w14:paraId="38F09CE2" w14:textId="77777777" w:rsidTr="00E16479">
        <w:trPr>
          <w:trHeight w:val="630"/>
        </w:trPr>
        <w:tc>
          <w:tcPr>
            <w:tcW w:w="0" w:type="auto"/>
            <w:shd w:val="clear" w:color="000000" w:fill="DBE5F1"/>
            <w:vAlign w:val="center"/>
            <w:hideMark/>
          </w:tcPr>
          <w:p w14:paraId="7A1E6297" w14:textId="2BE454FC" w:rsidR="00E16479" w:rsidRPr="00E16479" w:rsidRDefault="00E16479" w:rsidP="00E16479">
            <w:pPr>
              <w:widowControl/>
              <w:autoSpaceDE/>
              <w:autoSpaceDN/>
              <w:rPr>
                <w:rFonts w:eastAsia="Times New Roman" w:cs="Calibri"/>
                <w:b/>
                <w:bCs/>
                <w:color w:val="000000"/>
                <w:szCs w:val="24"/>
              </w:rPr>
            </w:pPr>
          </w:p>
        </w:tc>
        <w:tc>
          <w:tcPr>
            <w:tcW w:w="0" w:type="auto"/>
            <w:shd w:val="clear" w:color="000000" w:fill="DBE5F1"/>
            <w:vAlign w:val="center"/>
            <w:hideMark/>
          </w:tcPr>
          <w:p w14:paraId="7AB93F53" w14:textId="77777777" w:rsidR="00E16479" w:rsidRPr="00E16479" w:rsidRDefault="00E16479" w:rsidP="00E16479">
            <w:pPr>
              <w:widowControl/>
              <w:autoSpaceDE/>
              <w:autoSpaceDN/>
              <w:jc w:val="center"/>
              <w:rPr>
                <w:rFonts w:eastAsia="Times New Roman" w:cs="Calibri"/>
                <w:b/>
                <w:bCs/>
                <w:color w:val="000000"/>
                <w:szCs w:val="24"/>
              </w:rPr>
            </w:pPr>
            <w:r w:rsidRPr="00E16479">
              <w:rPr>
                <w:rFonts w:eastAsia="Times New Roman" w:cs="Calibri"/>
                <w:b/>
                <w:bCs/>
                <w:color w:val="000000"/>
                <w:szCs w:val="24"/>
              </w:rPr>
              <w:t>CY2022</w:t>
            </w:r>
          </w:p>
        </w:tc>
        <w:tc>
          <w:tcPr>
            <w:tcW w:w="0" w:type="auto"/>
            <w:shd w:val="clear" w:color="000000" w:fill="DBE5F1"/>
            <w:vAlign w:val="center"/>
            <w:hideMark/>
          </w:tcPr>
          <w:p w14:paraId="795B081C" w14:textId="77777777" w:rsidR="009F5E6B" w:rsidRDefault="00E16479" w:rsidP="00E16479">
            <w:pPr>
              <w:widowControl/>
              <w:autoSpaceDE/>
              <w:autoSpaceDN/>
              <w:jc w:val="center"/>
              <w:rPr>
                <w:rFonts w:eastAsia="Times New Roman" w:cs="Calibri"/>
                <w:b/>
                <w:bCs/>
                <w:color w:val="000000"/>
                <w:szCs w:val="24"/>
              </w:rPr>
            </w:pPr>
            <w:r w:rsidRPr="00E16479">
              <w:rPr>
                <w:rFonts w:eastAsia="Times New Roman" w:cs="Calibri"/>
                <w:b/>
                <w:bCs/>
                <w:color w:val="000000"/>
                <w:szCs w:val="24"/>
              </w:rPr>
              <w:t xml:space="preserve">% of </w:t>
            </w:r>
          </w:p>
          <w:p w14:paraId="2FBF58C0" w14:textId="1749DB0D" w:rsidR="00E16479" w:rsidRPr="00E16479" w:rsidRDefault="00507B82" w:rsidP="00E16479">
            <w:pPr>
              <w:widowControl/>
              <w:autoSpaceDE/>
              <w:autoSpaceDN/>
              <w:jc w:val="center"/>
              <w:rPr>
                <w:rFonts w:eastAsia="Times New Roman" w:cs="Calibri"/>
                <w:b/>
                <w:bCs/>
                <w:color w:val="000000"/>
                <w:szCs w:val="24"/>
              </w:rPr>
            </w:pPr>
            <w:r>
              <w:rPr>
                <w:rFonts w:eastAsia="Times New Roman" w:cs="Calibri"/>
                <w:b/>
                <w:bCs/>
                <w:color w:val="000000"/>
                <w:szCs w:val="24"/>
              </w:rPr>
              <w:t>CY</w:t>
            </w:r>
            <w:r w:rsidR="009F5E6B">
              <w:rPr>
                <w:rFonts w:eastAsia="Times New Roman" w:cs="Calibri"/>
                <w:b/>
                <w:bCs/>
                <w:color w:val="000000"/>
                <w:szCs w:val="24"/>
              </w:rPr>
              <w:t xml:space="preserve">2022 </w:t>
            </w:r>
            <w:r w:rsidR="00E16479" w:rsidRPr="00E16479">
              <w:rPr>
                <w:rFonts w:eastAsia="Times New Roman" w:cs="Calibri"/>
                <w:b/>
                <w:bCs/>
                <w:color w:val="000000"/>
                <w:szCs w:val="24"/>
              </w:rPr>
              <w:t xml:space="preserve">Total </w:t>
            </w:r>
          </w:p>
        </w:tc>
        <w:tc>
          <w:tcPr>
            <w:tcW w:w="0" w:type="auto"/>
            <w:shd w:val="clear" w:color="000000" w:fill="DBE5F1"/>
            <w:vAlign w:val="center"/>
            <w:hideMark/>
          </w:tcPr>
          <w:p w14:paraId="5ABC927E" w14:textId="77777777" w:rsidR="00E16479" w:rsidRPr="00E16479" w:rsidRDefault="00E16479" w:rsidP="00E16479">
            <w:pPr>
              <w:widowControl/>
              <w:autoSpaceDE/>
              <w:autoSpaceDN/>
              <w:jc w:val="center"/>
              <w:rPr>
                <w:rFonts w:eastAsia="Times New Roman" w:cs="Calibri"/>
                <w:b/>
                <w:bCs/>
                <w:color w:val="000000"/>
                <w:szCs w:val="24"/>
              </w:rPr>
            </w:pPr>
            <w:r w:rsidRPr="00E16479">
              <w:rPr>
                <w:rFonts w:eastAsia="Times New Roman" w:cs="Calibri"/>
                <w:b/>
                <w:bCs/>
                <w:color w:val="000000"/>
                <w:szCs w:val="24"/>
              </w:rPr>
              <w:t>CY2023</w:t>
            </w:r>
          </w:p>
        </w:tc>
        <w:tc>
          <w:tcPr>
            <w:tcW w:w="0" w:type="auto"/>
            <w:shd w:val="clear" w:color="000000" w:fill="DBE5F1"/>
            <w:vAlign w:val="center"/>
            <w:hideMark/>
          </w:tcPr>
          <w:p w14:paraId="71F6F454" w14:textId="77777777" w:rsidR="009F5E6B" w:rsidRDefault="00E16479" w:rsidP="00E16479">
            <w:pPr>
              <w:widowControl/>
              <w:autoSpaceDE/>
              <w:autoSpaceDN/>
              <w:jc w:val="center"/>
              <w:rPr>
                <w:rFonts w:eastAsia="Times New Roman" w:cs="Calibri"/>
                <w:b/>
                <w:bCs/>
                <w:color w:val="000000"/>
                <w:szCs w:val="24"/>
              </w:rPr>
            </w:pPr>
            <w:r w:rsidRPr="00E16479">
              <w:rPr>
                <w:rFonts w:eastAsia="Times New Roman" w:cs="Calibri"/>
                <w:b/>
                <w:bCs/>
                <w:color w:val="000000"/>
                <w:szCs w:val="24"/>
              </w:rPr>
              <w:t xml:space="preserve">% of </w:t>
            </w:r>
          </w:p>
          <w:p w14:paraId="0F4CD653" w14:textId="4FDC4107" w:rsidR="00E16479" w:rsidRPr="00E16479" w:rsidRDefault="00507B82" w:rsidP="00E16479">
            <w:pPr>
              <w:widowControl/>
              <w:autoSpaceDE/>
              <w:autoSpaceDN/>
              <w:jc w:val="center"/>
              <w:rPr>
                <w:rFonts w:eastAsia="Times New Roman" w:cs="Calibri"/>
                <w:b/>
                <w:bCs/>
                <w:color w:val="000000"/>
                <w:szCs w:val="24"/>
              </w:rPr>
            </w:pPr>
            <w:r>
              <w:rPr>
                <w:rFonts w:eastAsia="Times New Roman" w:cs="Calibri"/>
                <w:b/>
                <w:bCs/>
                <w:color w:val="000000"/>
                <w:szCs w:val="24"/>
              </w:rPr>
              <w:t>CY</w:t>
            </w:r>
            <w:r w:rsidR="009F5E6B">
              <w:rPr>
                <w:rFonts w:eastAsia="Times New Roman" w:cs="Calibri"/>
                <w:b/>
                <w:bCs/>
                <w:color w:val="000000"/>
                <w:szCs w:val="24"/>
              </w:rPr>
              <w:t xml:space="preserve">2023 </w:t>
            </w:r>
            <w:r w:rsidR="00E16479" w:rsidRPr="00E16479">
              <w:rPr>
                <w:rFonts w:eastAsia="Times New Roman" w:cs="Calibri"/>
                <w:b/>
                <w:bCs/>
                <w:color w:val="000000"/>
                <w:szCs w:val="24"/>
              </w:rPr>
              <w:t>Total</w:t>
            </w:r>
          </w:p>
        </w:tc>
        <w:tc>
          <w:tcPr>
            <w:tcW w:w="0" w:type="auto"/>
            <w:shd w:val="clear" w:color="000000" w:fill="DBE5F1"/>
            <w:vAlign w:val="center"/>
            <w:hideMark/>
          </w:tcPr>
          <w:p w14:paraId="11C6ECDF" w14:textId="77777777" w:rsidR="00E16479" w:rsidRPr="00E16479" w:rsidRDefault="00E16479" w:rsidP="00E16479">
            <w:pPr>
              <w:widowControl/>
              <w:autoSpaceDE/>
              <w:autoSpaceDN/>
              <w:jc w:val="center"/>
              <w:rPr>
                <w:rFonts w:eastAsia="Times New Roman" w:cs="Calibri"/>
                <w:b/>
                <w:bCs/>
                <w:color w:val="000000"/>
                <w:szCs w:val="24"/>
              </w:rPr>
            </w:pPr>
            <w:r w:rsidRPr="00E16479">
              <w:rPr>
                <w:rFonts w:eastAsia="Times New Roman" w:cs="Calibri"/>
                <w:b/>
                <w:bCs/>
                <w:color w:val="000000"/>
                <w:szCs w:val="24"/>
              </w:rPr>
              <w:t>CY2024</w:t>
            </w:r>
          </w:p>
        </w:tc>
        <w:tc>
          <w:tcPr>
            <w:tcW w:w="0" w:type="auto"/>
            <w:shd w:val="clear" w:color="000000" w:fill="DBE5F1"/>
            <w:vAlign w:val="center"/>
            <w:hideMark/>
          </w:tcPr>
          <w:p w14:paraId="1634F3E0" w14:textId="77777777" w:rsidR="009F5E6B" w:rsidRDefault="00E16479" w:rsidP="00E16479">
            <w:pPr>
              <w:widowControl/>
              <w:autoSpaceDE/>
              <w:autoSpaceDN/>
              <w:jc w:val="center"/>
              <w:rPr>
                <w:rFonts w:eastAsia="Times New Roman" w:cs="Calibri"/>
                <w:b/>
                <w:bCs/>
                <w:color w:val="000000"/>
                <w:szCs w:val="24"/>
              </w:rPr>
            </w:pPr>
            <w:r w:rsidRPr="00E16479">
              <w:rPr>
                <w:rFonts w:eastAsia="Times New Roman" w:cs="Calibri"/>
                <w:b/>
                <w:bCs/>
                <w:color w:val="000000"/>
                <w:szCs w:val="24"/>
              </w:rPr>
              <w:t xml:space="preserve">% of </w:t>
            </w:r>
          </w:p>
          <w:p w14:paraId="1779DBC4" w14:textId="4F184E2F" w:rsidR="00E16479" w:rsidRPr="00E16479" w:rsidRDefault="00507B82" w:rsidP="00E16479">
            <w:pPr>
              <w:widowControl/>
              <w:autoSpaceDE/>
              <w:autoSpaceDN/>
              <w:jc w:val="center"/>
              <w:rPr>
                <w:rFonts w:eastAsia="Times New Roman" w:cs="Calibri"/>
                <w:b/>
                <w:bCs/>
                <w:color w:val="000000"/>
                <w:szCs w:val="24"/>
              </w:rPr>
            </w:pPr>
            <w:r>
              <w:rPr>
                <w:rFonts w:eastAsia="Times New Roman" w:cs="Calibri"/>
                <w:b/>
                <w:bCs/>
                <w:color w:val="000000"/>
                <w:szCs w:val="24"/>
              </w:rPr>
              <w:t>CY</w:t>
            </w:r>
            <w:r w:rsidR="009F5E6B">
              <w:rPr>
                <w:rFonts w:eastAsia="Times New Roman" w:cs="Calibri"/>
                <w:b/>
                <w:bCs/>
                <w:color w:val="000000"/>
                <w:szCs w:val="24"/>
              </w:rPr>
              <w:t xml:space="preserve">2024 </w:t>
            </w:r>
            <w:r w:rsidR="00E16479" w:rsidRPr="00E16479">
              <w:rPr>
                <w:rFonts w:eastAsia="Times New Roman" w:cs="Calibri"/>
                <w:b/>
                <w:bCs/>
                <w:color w:val="000000"/>
                <w:szCs w:val="24"/>
              </w:rPr>
              <w:t>Total</w:t>
            </w:r>
          </w:p>
        </w:tc>
      </w:tr>
      <w:tr w:rsidR="00E16479" w:rsidRPr="00E16479" w14:paraId="68F21613" w14:textId="77777777" w:rsidTr="00E16479">
        <w:trPr>
          <w:trHeight w:val="320"/>
        </w:trPr>
        <w:tc>
          <w:tcPr>
            <w:tcW w:w="0" w:type="auto"/>
            <w:vAlign w:val="center"/>
            <w:hideMark/>
          </w:tcPr>
          <w:p w14:paraId="01BF6A2A" w14:textId="77777777" w:rsidR="00E16479" w:rsidRPr="00E16479" w:rsidRDefault="00E16479" w:rsidP="00E16479">
            <w:pPr>
              <w:widowControl/>
              <w:autoSpaceDE/>
              <w:autoSpaceDN/>
              <w:jc w:val="both"/>
              <w:rPr>
                <w:rFonts w:eastAsia="Times New Roman" w:cs="Calibri"/>
                <w:color w:val="000000"/>
                <w:szCs w:val="24"/>
              </w:rPr>
            </w:pPr>
            <w:r w:rsidRPr="00E16479">
              <w:rPr>
                <w:rFonts w:eastAsia="Times New Roman" w:cs="Calibri"/>
                <w:color w:val="000000"/>
                <w:szCs w:val="24"/>
              </w:rPr>
              <w:t>Upper</w:t>
            </w:r>
          </w:p>
        </w:tc>
        <w:tc>
          <w:tcPr>
            <w:tcW w:w="0" w:type="auto"/>
            <w:vAlign w:val="center"/>
            <w:hideMark/>
          </w:tcPr>
          <w:p w14:paraId="27587B7E" w14:textId="77777777" w:rsidR="00E16479" w:rsidRPr="00E16479" w:rsidRDefault="00E16479" w:rsidP="00E16479">
            <w:pPr>
              <w:widowControl/>
              <w:autoSpaceDE/>
              <w:autoSpaceDN/>
              <w:jc w:val="center"/>
              <w:rPr>
                <w:rFonts w:eastAsia="Times New Roman" w:cs="Calibri"/>
                <w:color w:val="000000"/>
                <w:szCs w:val="24"/>
              </w:rPr>
            </w:pPr>
            <w:r w:rsidRPr="00E16479">
              <w:rPr>
                <w:rFonts w:eastAsia="Times New Roman" w:cs="Calibri"/>
                <w:color w:val="000000"/>
                <w:szCs w:val="24"/>
              </w:rPr>
              <w:t>433</w:t>
            </w:r>
          </w:p>
        </w:tc>
        <w:tc>
          <w:tcPr>
            <w:tcW w:w="0" w:type="auto"/>
            <w:vAlign w:val="center"/>
            <w:hideMark/>
          </w:tcPr>
          <w:p w14:paraId="08864707" w14:textId="77777777" w:rsidR="00E16479" w:rsidRPr="00E16479" w:rsidRDefault="00E16479" w:rsidP="00E16479">
            <w:pPr>
              <w:widowControl/>
              <w:autoSpaceDE/>
              <w:autoSpaceDN/>
              <w:jc w:val="center"/>
              <w:rPr>
                <w:rFonts w:eastAsia="Times New Roman" w:cs="Calibri"/>
                <w:color w:val="000000"/>
                <w:szCs w:val="24"/>
              </w:rPr>
            </w:pPr>
            <w:r w:rsidRPr="00E16479">
              <w:rPr>
                <w:rFonts w:eastAsia="Times New Roman" w:cs="Calibri"/>
                <w:color w:val="000000"/>
                <w:szCs w:val="24"/>
              </w:rPr>
              <w:t>24%</w:t>
            </w:r>
          </w:p>
        </w:tc>
        <w:tc>
          <w:tcPr>
            <w:tcW w:w="0" w:type="auto"/>
            <w:vAlign w:val="center"/>
            <w:hideMark/>
          </w:tcPr>
          <w:p w14:paraId="225F8F24" w14:textId="77777777" w:rsidR="00E16479" w:rsidRPr="00E16479" w:rsidRDefault="00E16479" w:rsidP="00E16479">
            <w:pPr>
              <w:widowControl/>
              <w:autoSpaceDE/>
              <w:autoSpaceDN/>
              <w:jc w:val="center"/>
              <w:rPr>
                <w:rFonts w:eastAsia="Times New Roman" w:cs="Calibri"/>
                <w:color w:val="000000"/>
                <w:szCs w:val="24"/>
              </w:rPr>
            </w:pPr>
            <w:r w:rsidRPr="00E16479">
              <w:rPr>
                <w:rFonts w:eastAsia="Times New Roman" w:cs="Calibri"/>
                <w:color w:val="000000"/>
                <w:szCs w:val="24"/>
              </w:rPr>
              <w:t>759</w:t>
            </w:r>
          </w:p>
        </w:tc>
        <w:tc>
          <w:tcPr>
            <w:tcW w:w="0" w:type="auto"/>
            <w:vAlign w:val="center"/>
            <w:hideMark/>
          </w:tcPr>
          <w:p w14:paraId="47032960" w14:textId="77777777" w:rsidR="00E16479" w:rsidRPr="00E16479" w:rsidRDefault="00E16479" w:rsidP="00E16479">
            <w:pPr>
              <w:widowControl/>
              <w:autoSpaceDE/>
              <w:autoSpaceDN/>
              <w:jc w:val="center"/>
              <w:rPr>
                <w:rFonts w:eastAsia="Times New Roman" w:cs="Calibri"/>
                <w:color w:val="000000"/>
                <w:szCs w:val="24"/>
              </w:rPr>
            </w:pPr>
            <w:r w:rsidRPr="00E16479">
              <w:rPr>
                <w:rFonts w:eastAsia="Times New Roman" w:cs="Calibri"/>
                <w:color w:val="000000"/>
                <w:szCs w:val="24"/>
              </w:rPr>
              <w:t>21%</w:t>
            </w:r>
          </w:p>
        </w:tc>
        <w:tc>
          <w:tcPr>
            <w:tcW w:w="0" w:type="auto"/>
            <w:vAlign w:val="center"/>
            <w:hideMark/>
          </w:tcPr>
          <w:p w14:paraId="5F5724C9" w14:textId="77777777" w:rsidR="00E16479" w:rsidRPr="00E16479" w:rsidRDefault="00E16479" w:rsidP="00E16479">
            <w:pPr>
              <w:widowControl/>
              <w:autoSpaceDE/>
              <w:autoSpaceDN/>
              <w:jc w:val="center"/>
              <w:rPr>
                <w:rFonts w:eastAsia="Times New Roman" w:cs="Calibri"/>
                <w:color w:val="000000"/>
                <w:szCs w:val="24"/>
              </w:rPr>
            </w:pPr>
            <w:r w:rsidRPr="00E16479">
              <w:rPr>
                <w:rFonts w:eastAsia="Times New Roman" w:cs="Calibri"/>
                <w:color w:val="000000"/>
                <w:szCs w:val="24"/>
              </w:rPr>
              <w:t>951</w:t>
            </w:r>
          </w:p>
        </w:tc>
        <w:tc>
          <w:tcPr>
            <w:tcW w:w="0" w:type="auto"/>
            <w:vAlign w:val="center"/>
            <w:hideMark/>
          </w:tcPr>
          <w:p w14:paraId="2D2B15DA" w14:textId="77777777" w:rsidR="00E16479" w:rsidRPr="00E16479" w:rsidRDefault="00E16479" w:rsidP="00E16479">
            <w:pPr>
              <w:widowControl/>
              <w:autoSpaceDE/>
              <w:autoSpaceDN/>
              <w:jc w:val="center"/>
              <w:rPr>
                <w:rFonts w:eastAsia="Times New Roman" w:cs="Calibri"/>
                <w:color w:val="000000"/>
                <w:szCs w:val="24"/>
              </w:rPr>
            </w:pPr>
            <w:r w:rsidRPr="00E16479">
              <w:rPr>
                <w:rFonts w:eastAsia="Times New Roman" w:cs="Calibri"/>
                <w:color w:val="000000"/>
                <w:szCs w:val="24"/>
              </w:rPr>
              <w:t>20%</w:t>
            </w:r>
          </w:p>
        </w:tc>
      </w:tr>
      <w:tr w:rsidR="00E16479" w:rsidRPr="00E16479" w14:paraId="49421526" w14:textId="77777777" w:rsidTr="00E16479">
        <w:trPr>
          <w:trHeight w:val="320"/>
        </w:trPr>
        <w:tc>
          <w:tcPr>
            <w:tcW w:w="0" w:type="auto"/>
            <w:vAlign w:val="center"/>
            <w:hideMark/>
          </w:tcPr>
          <w:p w14:paraId="2A45B47D" w14:textId="77777777" w:rsidR="00E16479" w:rsidRPr="00E16479" w:rsidRDefault="00E16479" w:rsidP="00E16479">
            <w:pPr>
              <w:widowControl/>
              <w:autoSpaceDE/>
              <w:autoSpaceDN/>
              <w:jc w:val="both"/>
              <w:rPr>
                <w:rFonts w:eastAsia="Times New Roman" w:cs="Calibri"/>
                <w:color w:val="000000"/>
                <w:szCs w:val="24"/>
              </w:rPr>
            </w:pPr>
            <w:r w:rsidRPr="00E16479">
              <w:rPr>
                <w:rFonts w:eastAsia="Times New Roman" w:cs="Calibri"/>
                <w:color w:val="000000"/>
                <w:szCs w:val="24"/>
              </w:rPr>
              <w:t>Lower</w:t>
            </w:r>
          </w:p>
        </w:tc>
        <w:tc>
          <w:tcPr>
            <w:tcW w:w="0" w:type="auto"/>
            <w:vAlign w:val="center"/>
            <w:hideMark/>
          </w:tcPr>
          <w:p w14:paraId="4F29F43A" w14:textId="77777777" w:rsidR="00E16479" w:rsidRPr="00E16479" w:rsidRDefault="00E16479" w:rsidP="00E16479">
            <w:pPr>
              <w:widowControl/>
              <w:autoSpaceDE/>
              <w:autoSpaceDN/>
              <w:jc w:val="center"/>
              <w:rPr>
                <w:rFonts w:eastAsia="Times New Roman" w:cs="Calibri"/>
                <w:color w:val="000000"/>
                <w:szCs w:val="24"/>
              </w:rPr>
            </w:pPr>
            <w:r w:rsidRPr="00E16479">
              <w:rPr>
                <w:rFonts w:eastAsia="Times New Roman" w:cs="Calibri"/>
                <w:color w:val="000000"/>
                <w:szCs w:val="24"/>
              </w:rPr>
              <w:t>1,349</w:t>
            </w:r>
          </w:p>
        </w:tc>
        <w:tc>
          <w:tcPr>
            <w:tcW w:w="0" w:type="auto"/>
            <w:vAlign w:val="center"/>
            <w:hideMark/>
          </w:tcPr>
          <w:p w14:paraId="178B4697" w14:textId="77777777" w:rsidR="00E16479" w:rsidRPr="00E16479" w:rsidRDefault="00E16479" w:rsidP="00E16479">
            <w:pPr>
              <w:widowControl/>
              <w:autoSpaceDE/>
              <w:autoSpaceDN/>
              <w:jc w:val="center"/>
              <w:rPr>
                <w:rFonts w:eastAsia="Times New Roman" w:cs="Calibri"/>
                <w:color w:val="000000"/>
                <w:szCs w:val="24"/>
              </w:rPr>
            </w:pPr>
            <w:r w:rsidRPr="00E16479">
              <w:rPr>
                <w:rFonts w:eastAsia="Times New Roman" w:cs="Calibri"/>
                <w:color w:val="000000"/>
                <w:szCs w:val="24"/>
              </w:rPr>
              <w:t>76%</w:t>
            </w:r>
          </w:p>
        </w:tc>
        <w:tc>
          <w:tcPr>
            <w:tcW w:w="0" w:type="auto"/>
            <w:vAlign w:val="center"/>
            <w:hideMark/>
          </w:tcPr>
          <w:p w14:paraId="551FC973" w14:textId="77777777" w:rsidR="00E16479" w:rsidRPr="00E16479" w:rsidRDefault="00E16479" w:rsidP="00E16479">
            <w:pPr>
              <w:widowControl/>
              <w:autoSpaceDE/>
              <w:autoSpaceDN/>
              <w:jc w:val="center"/>
              <w:rPr>
                <w:rFonts w:eastAsia="Times New Roman" w:cs="Calibri"/>
                <w:color w:val="000000"/>
                <w:szCs w:val="24"/>
              </w:rPr>
            </w:pPr>
            <w:r w:rsidRPr="00E16479">
              <w:rPr>
                <w:rFonts w:eastAsia="Times New Roman" w:cs="Calibri"/>
                <w:color w:val="000000"/>
                <w:szCs w:val="24"/>
              </w:rPr>
              <w:t>2,824</w:t>
            </w:r>
          </w:p>
        </w:tc>
        <w:tc>
          <w:tcPr>
            <w:tcW w:w="0" w:type="auto"/>
            <w:vAlign w:val="center"/>
            <w:hideMark/>
          </w:tcPr>
          <w:p w14:paraId="3F801C44" w14:textId="77777777" w:rsidR="00E16479" w:rsidRPr="00E16479" w:rsidRDefault="00E16479" w:rsidP="00E16479">
            <w:pPr>
              <w:widowControl/>
              <w:autoSpaceDE/>
              <w:autoSpaceDN/>
              <w:jc w:val="center"/>
              <w:rPr>
                <w:rFonts w:eastAsia="Times New Roman" w:cs="Calibri"/>
                <w:color w:val="000000"/>
                <w:szCs w:val="24"/>
              </w:rPr>
            </w:pPr>
            <w:r w:rsidRPr="00E16479">
              <w:rPr>
                <w:rFonts w:eastAsia="Times New Roman" w:cs="Calibri"/>
                <w:color w:val="000000"/>
                <w:szCs w:val="24"/>
              </w:rPr>
              <w:t>79%</w:t>
            </w:r>
          </w:p>
        </w:tc>
        <w:tc>
          <w:tcPr>
            <w:tcW w:w="0" w:type="auto"/>
            <w:vAlign w:val="center"/>
            <w:hideMark/>
          </w:tcPr>
          <w:p w14:paraId="30C92E3A" w14:textId="77777777" w:rsidR="00E16479" w:rsidRPr="00E16479" w:rsidRDefault="00E16479" w:rsidP="00E16479">
            <w:pPr>
              <w:widowControl/>
              <w:autoSpaceDE/>
              <w:autoSpaceDN/>
              <w:jc w:val="center"/>
              <w:rPr>
                <w:rFonts w:eastAsia="Times New Roman" w:cs="Calibri"/>
                <w:color w:val="000000"/>
                <w:szCs w:val="24"/>
              </w:rPr>
            </w:pPr>
            <w:r w:rsidRPr="00E16479">
              <w:rPr>
                <w:rFonts w:eastAsia="Times New Roman" w:cs="Calibri"/>
                <w:color w:val="000000"/>
                <w:szCs w:val="24"/>
              </w:rPr>
              <w:t>3,922</w:t>
            </w:r>
          </w:p>
        </w:tc>
        <w:tc>
          <w:tcPr>
            <w:tcW w:w="0" w:type="auto"/>
            <w:vAlign w:val="center"/>
            <w:hideMark/>
          </w:tcPr>
          <w:p w14:paraId="30FF3286" w14:textId="77777777" w:rsidR="00E16479" w:rsidRPr="00E16479" w:rsidRDefault="00E16479" w:rsidP="00E16479">
            <w:pPr>
              <w:widowControl/>
              <w:autoSpaceDE/>
              <w:autoSpaceDN/>
              <w:jc w:val="center"/>
              <w:rPr>
                <w:rFonts w:eastAsia="Times New Roman" w:cs="Calibri"/>
                <w:color w:val="000000"/>
                <w:szCs w:val="24"/>
              </w:rPr>
            </w:pPr>
            <w:r w:rsidRPr="00E16479">
              <w:rPr>
                <w:rFonts w:eastAsia="Times New Roman" w:cs="Calibri"/>
                <w:color w:val="000000"/>
                <w:szCs w:val="24"/>
              </w:rPr>
              <w:t>80%</w:t>
            </w:r>
          </w:p>
        </w:tc>
      </w:tr>
      <w:tr w:rsidR="009F5E6B" w:rsidRPr="00E16479" w14:paraId="1E35032B" w14:textId="77777777" w:rsidTr="00E16479">
        <w:trPr>
          <w:trHeight w:val="320"/>
        </w:trPr>
        <w:tc>
          <w:tcPr>
            <w:tcW w:w="0" w:type="auto"/>
            <w:noWrap/>
            <w:vAlign w:val="center"/>
            <w:hideMark/>
          </w:tcPr>
          <w:p w14:paraId="07321DD0" w14:textId="77777777" w:rsidR="00E16479" w:rsidRPr="00E16479" w:rsidRDefault="00E16479" w:rsidP="00E16479">
            <w:pPr>
              <w:widowControl/>
              <w:autoSpaceDE/>
              <w:autoSpaceDN/>
              <w:rPr>
                <w:rFonts w:eastAsia="Times New Roman" w:cs="Calibri"/>
                <w:color w:val="000000"/>
                <w:szCs w:val="24"/>
              </w:rPr>
            </w:pPr>
            <w:r w:rsidRPr="00E16479">
              <w:rPr>
                <w:rFonts w:eastAsia="Times New Roman" w:cs="Calibri"/>
                <w:color w:val="000000"/>
                <w:szCs w:val="24"/>
              </w:rPr>
              <w:t xml:space="preserve">Total Cases </w:t>
            </w:r>
          </w:p>
        </w:tc>
        <w:tc>
          <w:tcPr>
            <w:tcW w:w="0" w:type="auto"/>
            <w:noWrap/>
            <w:vAlign w:val="center"/>
            <w:hideMark/>
          </w:tcPr>
          <w:p w14:paraId="28AE6139" w14:textId="77777777" w:rsidR="00E16479" w:rsidRPr="00E16479" w:rsidRDefault="00E16479" w:rsidP="00E16479">
            <w:pPr>
              <w:widowControl/>
              <w:autoSpaceDE/>
              <w:autoSpaceDN/>
              <w:jc w:val="center"/>
              <w:rPr>
                <w:rFonts w:eastAsia="Times New Roman" w:cs="Calibri"/>
                <w:color w:val="000000"/>
                <w:szCs w:val="24"/>
              </w:rPr>
            </w:pPr>
            <w:r w:rsidRPr="00E16479">
              <w:rPr>
                <w:rFonts w:eastAsia="Times New Roman" w:cs="Calibri"/>
                <w:color w:val="000000"/>
                <w:szCs w:val="24"/>
              </w:rPr>
              <w:t>1,782</w:t>
            </w:r>
          </w:p>
        </w:tc>
        <w:tc>
          <w:tcPr>
            <w:tcW w:w="0" w:type="auto"/>
            <w:vAlign w:val="center"/>
            <w:hideMark/>
          </w:tcPr>
          <w:p w14:paraId="44D48513" w14:textId="77777777" w:rsidR="00E16479" w:rsidRPr="00E16479" w:rsidRDefault="00E16479" w:rsidP="00E16479">
            <w:pPr>
              <w:widowControl/>
              <w:autoSpaceDE/>
              <w:autoSpaceDN/>
              <w:jc w:val="center"/>
              <w:rPr>
                <w:rFonts w:eastAsia="Times New Roman" w:cs="Calibri"/>
                <w:color w:val="000000"/>
                <w:szCs w:val="24"/>
              </w:rPr>
            </w:pPr>
            <w:r w:rsidRPr="00E16479">
              <w:rPr>
                <w:rFonts w:eastAsia="Times New Roman" w:cs="Calibri"/>
                <w:color w:val="000000"/>
                <w:szCs w:val="24"/>
              </w:rPr>
              <w:t>100%</w:t>
            </w:r>
          </w:p>
        </w:tc>
        <w:tc>
          <w:tcPr>
            <w:tcW w:w="0" w:type="auto"/>
            <w:noWrap/>
            <w:vAlign w:val="center"/>
            <w:hideMark/>
          </w:tcPr>
          <w:p w14:paraId="2801FAAD" w14:textId="77777777" w:rsidR="00E16479" w:rsidRPr="00E16479" w:rsidRDefault="00E16479" w:rsidP="00E16479">
            <w:pPr>
              <w:widowControl/>
              <w:autoSpaceDE/>
              <w:autoSpaceDN/>
              <w:jc w:val="center"/>
              <w:rPr>
                <w:rFonts w:eastAsia="Times New Roman" w:cs="Calibri"/>
                <w:color w:val="000000"/>
                <w:szCs w:val="24"/>
              </w:rPr>
            </w:pPr>
            <w:r w:rsidRPr="00E16479">
              <w:rPr>
                <w:rFonts w:eastAsia="Times New Roman" w:cs="Calibri"/>
                <w:color w:val="000000"/>
                <w:szCs w:val="24"/>
              </w:rPr>
              <w:t>3,583</w:t>
            </w:r>
          </w:p>
        </w:tc>
        <w:tc>
          <w:tcPr>
            <w:tcW w:w="0" w:type="auto"/>
            <w:vAlign w:val="center"/>
            <w:hideMark/>
          </w:tcPr>
          <w:p w14:paraId="6EFA9157" w14:textId="77777777" w:rsidR="00E16479" w:rsidRPr="00E16479" w:rsidRDefault="00E16479" w:rsidP="00E16479">
            <w:pPr>
              <w:widowControl/>
              <w:autoSpaceDE/>
              <w:autoSpaceDN/>
              <w:jc w:val="center"/>
              <w:rPr>
                <w:rFonts w:eastAsia="Times New Roman" w:cs="Calibri"/>
                <w:color w:val="000000"/>
                <w:szCs w:val="24"/>
              </w:rPr>
            </w:pPr>
            <w:r w:rsidRPr="00E16479">
              <w:rPr>
                <w:rFonts w:eastAsia="Times New Roman" w:cs="Calibri"/>
                <w:color w:val="000000"/>
                <w:szCs w:val="24"/>
              </w:rPr>
              <w:t>100%</w:t>
            </w:r>
          </w:p>
        </w:tc>
        <w:tc>
          <w:tcPr>
            <w:tcW w:w="0" w:type="auto"/>
            <w:noWrap/>
            <w:vAlign w:val="center"/>
            <w:hideMark/>
          </w:tcPr>
          <w:p w14:paraId="1DA6B649" w14:textId="77777777" w:rsidR="00E16479" w:rsidRPr="00E16479" w:rsidRDefault="00E16479" w:rsidP="00E16479">
            <w:pPr>
              <w:widowControl/>
              <w:autoSpaceDE/>
              <w:autoSpaceDN/>
              <w:jc w:val="center"/>
              <w:rPr>
                <w:rFonts w:eastAsia="Times New Roman" w:cs="Calibri"/>
                <w:color w:val="000000"/>
                <w:szCs w:val="24"/>
              </w:rPr>
            </w:pPr>
            <w:r w:rsidRPr="00E16479">
              <w:rPr>
                <w:rFonts w:eastAsia="Times New Roman" w:cs="Calibri"/>
                <w:color w:val="000000"/>
                <w:szCs w:val="24"/>
              </w:rPr>
              <w:t>4,873</w:t>
            </w:r>
          </w:p>
        </w:tc>
        <w:tc>
          <w:tcPr>
            <w:tcW w:w="0" w:type="auto"/>
            <w:vAlign w:val="center"/>
            <w:hideMark/>
          </w:tcPr>
          <w:p w14:paraId="1FABD5C7" w14:textId="77777777" w:rsidR="00E16479" w:rsidRPr="00E16479" w:rsidRDefault="00E16479" w:rsidP="00E16479">
            <w:pPr>
              <w:widowControl/>
              <w:autoSpaceDE/>
              <w:autoSpaceDN/>
              <w:jc w:val="center"/>
              <w:rPr>
                <w:rFonts w:eastAsia="Times New Roman" w:cs="Calibri"/>
                <w:color w:val="000000"/>
                <w:szCs w:val="24"/>
              </w:rPr>
            </w:pPr>
            <w:r w:rsidRPr="00E16479">
              <w:rPr>
                <w:rFonts w:eastAsia="Times New Roman" w:cs="Calibri"/>
                <w:color w:val="000000"/>
                <w:szCs w:val="24"/>
              </w:rPr>
              <w:t>100%</w:t>
            </w:r>
          </w:p>
        </w:tc>
      </w:tr>
    </w:tbl>
    <w:p w14:paraId="707FEBAE" w14:textId="77777777" w:rsidR="00941D2D" w:rsidRDefault="00941D2D" w:rsidP="000B63C8">
      <w:pPr>
        <w:pStyle w:val="BodyText"/>
        <w:spacing w:line="269" w:lineRule="exact"/>
        <w:rPr>
          <w:rFonts w:asciiTheme="minorHAnsi" w:hAnsiTheme="minorHAnsi"/>
        </w:rPr>
      </w:pPr>
    </w:p>
    <w:p w14:paraId="74341860" w14:textId="4D7CDB9D" w:rsidR="00FD0171" w:rsidRDefault="00FD0171" w:rsidP="000B63C8">
      <w:pPr>
        <w:pStyle w:val="BodyText"/>
        <w:spacing w:line="269" w:lineRule="exact"/>
        <w:rPr>
          <w:rFonts w:asciiTheme="minorHAnsi" w:hAnsiTheme="minorHAnsi"/>
        </w:rPr>
      </w:pPr>
      <w:r>
        <w:rPr>
          <w:rFonts w:asciiTheme="minorHAnsi" w:hAnsiTheme="minorHAnsi"/>
        </w:rPr>
        <w:t xml:space="preserve">The Applicant states that the most common procedures performed at </w:t>
      </w:r>
      <w:r w:rsidR="003F7014">
        <w:rPr>
          <w:rFonts w:asciiTheme="minorHAnsi" w:hAnsiTheme="minorHAnsi"/>
        </w:rPr>
        <w:t>the Center</w:t>
      </w:r>
      <w:r>
        <w:rPr>
          <w:rFonts w:asciiTheme="minorHAnsi" w:hAnsiTheme="minorHAnsi"/>
        </w:rPr>
        <w:t xml:space="preserve"> include colonoscopy screenings for high</w:t>
      </w:r>
      <w:r w:rsidR="0077225C">
        <w:rPr>
          <w:rFonts w:asciiTheme="minorHAnsi" w:hAnsiTheme="minorHAnsi"/>
        </w:rPr>
        <w:t>-</w:t>
      </w:r>
      <w:r>
        <w:rPr>
          <w:rFonts w:asciiTheme="minorHAnsi" w:hAnsiTheme="minorHAnsi"/>
        </w:rPr>
        <w:t>risk patients and standard patients, colonoscopies to conduct biopsies or remove polyps, and esophagogastroduodenoscopies (EGD) to perform biopsies.</w:t>
      </w:r>
      <w:r w:rsidR="00B04E89">
        <w:rPr>
          <w:rFonts w:asciiTheme="minorHAnsi" w:hAnsiTheme="minorHAnsi"/>
        </w:rPr>
        <w:t xml:space="preserve"> The Applicant states </w:t>
      </w:r>
      <w:r w:rsidR="009300EC">
        <w:rPr>
          <w:rFonts w:asciiTheme="minorHAnsi" w:hAnsiTheme="minorHAnsi"/>
        </w:rPr>
        <w:t xml:space="preserve">further </w:t>
      </w:r>
      <w:r w:rsidR="00B04E89">
        <w:rPr>
          <w:rFonts w:asciiTheme="minorHAnsi" w:hAnsiTheme="minorHAnsi"/>
        </w:rPr>
        <w:t>that</w:t>
      </w:r>
      <w:r>
        <w:rPr>
          <w:rFonts w:asciiTheme="minorHAnsi" w:hAnsiTheme="minorHAnsi"/>
        </w:rPr>
        <w:t xml:space="preserve"> </w:t>
      </w:r>
      <w:r w:rsidR="00B04E89">
        <w:rPr>
          <w:rFonts w:asciiTheme="minorHAnsi" w:hAnsiTheme="minorHAnsi"/>
        </w:rPr>
        <w:t>in</w:t>
      </w:r>
      <w:r>
        <w:rPr>
          <w:rFonts w:asciiTheme="minorHAnsi" w:hAnsiTheme="minorHAnsi"/>
        </w:rPr>
        <w:t xml:space="preserve"> some </w:t>
      </w:r>
      <w:r w:rsidR="009300EC">
        <w:rPr>
          <w:rFonts w:asciiTheme="minorHAnsi" w:hAnsiTheme="minorHAnsi"/>
        </w:rPr>
        <w:t xml:space="preserve">cases </w:t>
      </w:r>
      <w:r>
        <w:rPr>
          <w:rFonts w:asciiTheme="minorHAnsi" w:hAnsiTheme="minorHAnsi"/>
        </w:rPr>
        <w:t xml:space="preserve">the patient returns to </w:t>
      </w:r>
      <w:r w:rsidR="00B04E89">
        <w:rPr>
          <w:rFonts w:asciiTheme="minorHAnsi" w:hAnsiTheme="minorHAnsi"/>
        </w:rPr>
        <w:t>the Center</w:t>
      </w:r>
      <w:r w:rsidR="00B04E89" w:rsidRPr="00B04E89">
        <w:rPr>
          <w:rFonts w:asciiTheme="minorHAnsi" w:hAnsiTheme="minorHAnsi"/>
          <w:szCs w:val="20"/>
        </w:rPr>
        <w:t xml:space="preserve"> </w:t>
      </w:r>
      <w:r w:rsidR="00B04E89">
        <w:rPr>
          <w:rFonts w:asciiTheme="minorHAnsi" w:hAnsiTheme="minorHAnsi"/>
          <w:szCs w:val="20"/>
        </w:rPr>
        <w:t xml:space="preserve">because </w:t>
      </w:r>
      <w:r w:rsidR="00B04E89" w:rsidRPr="00B04E89">
        <w:rPr>
          <w:rFonts w:asciiTheme="minorHAnsi" w:hAnsiTheme="minorHAnsi"/>
        </w:rPr>
        <w:t>a procedure requires further investigation</w:t>
      </w:r>
      <w:r w:rsidR="00155454">
        <w:rPr>
          <w:rFonts w:asciiTheme="minorHAnsi" w:hAnsiTheme="minorHAnsi"/>
        </w:rPr>
        <w:t>, leading to approximately</w:t>
      </w:r>
      <w:r>
        <w:rPr>
          <w:rFonts w:asciiTheme="minorHAnsi" w:hAnsiTheme="minorHAnsi"/>
        </w:rPr>
        <w:t xml:space="preserve"> 21 recalls per month for further testing at </w:t>
      </w:r>
      <w:r w:rsidR="00B04E89">
        <w:rPr>
          <w:rFonts w:asciiTheme="minorHAnsi" w:hAnsiTheme="minorHAnsi"/>
        </w:rPr>
        <w:t>the Center</w:t>
      </w:r>
      <w:r>
        <w:rPr>
          <w:rFonts w:asciiTheme="minorHAnsi" w:hAnsiTheme="minorHAnsi"/>
        </w:rPr>
        <w:t xml:space="preserve">. The most common diagnoses </w:t>
      </w:r>
      <w:r w:rsidR="00AB228A">
        <w:rPr>
          <w:rFonts w:asciiTheme="minorHAnsi" w:hAnsiTheme="minorHAnsi"/>
        </w:rPr>
        <w:t xml:space="preserve">for </w:t>
      </w:r>
      <w:r w:rsidR="00B04E89">
        <w:rPr>
          <w:rFonts w:asciiTheme="minorHAnsi" w:hAnsiTheme="minorHAnsi"/>
        </w:rPr>
        <w:t>the Center</w:t>
      </w:r>
      <w:r w:rsidR="0012464C">
        <w:rPr>
          <w:rFonts w:asciiTheme="minorHAnsi" w:hAnsiTheme="minorHAnsi"/>
        </w:rPr>
        <w:t>’</w:t>
      </w:r>
      <w:r w:rsidR="00B04E89">
        <w:rPr>
          <w:rFonts w:asciiTheme="minorHAnsi" w:hAnsiTheme="minorHAnsi"/>
        </w:rPr>
        <w:t>s</w:t>
      </w:r>
      <w:r w:rsidR="00AB228A">
        <w:rPr>
          <w:rFonts w:asciiTheme="minorHAnsi" w:hAnsiTheme="minorHAnsi"/>
        </w:rPr>
        <w:t xml:space="preserve"> patients </w:t>
      </w:r>
      <w:r>
        <w:rPr>
          <w:rFonts w:asciiTheme="minorHAnsi" w:hAnsiTheme="minorHAnsi"/>
        </w:rPr>
        <w:t xml:space="preserve">are colon cancer, colon polyps, gastrointestinal cancer, epigastric pain, and melena. </w:t>
      </w:r>
    </w:p>
    <w:p w14:paraId="7BE93F6F" w14:textId="77777777" w:rsidR="004677BD" w:rsidRDefault="004677BD" w:rsidP="000B63C8">
      <w:pPr>
        <w:pStyle w:val="BodyText"/>
        <w:spacing w:line="269" w:lineRule="exact"/>
        <w:rPr>
          <w:rFonts w:asciiTheme="minorHAnsi" w:hAnsiTheme="minorHAnsi"/>
        </w:rPr>
      </w:pPr>
    </w:p>
    <w:p w14:paraId="383083F1" w14:textId="50827BFF" w:rsidR="00A60C1B" w:rsidRDefault="00B04E89" w:rsidP="000B63C8">
      <w:pPr>
        <w:pStyle w:val="BodyText"/>
        <w:spacing w:line="269" w:lineRule="exact"/>
        <w:rPr>
          <w:rFonts w:asciiTheme="minorHAnsi" w:hAnsiTheme="minorHAnsi"/>
        </w:rPr>
      </w:pPr>
      <w:r>
        <w:rPr>
          <w:rFonts w:asciiTheme="minorHAnsi" w:hAnsiTheme="minorHAnsi"/>
        </w:rPr>
        <w:t>The Center</w:t>
      </w:r>
      <w:r w:rsidR="00A60C1B">
        <w:rPr>
          <w:rFonts w:asciiTheme="minorHAnsi" w:hAnsiTheme="minorHAnsi"/>
        </w:rPr>
        <w:t xml:space="preserve"> operates from 7a.m. to 5p.m.</w:t>
      </w:r>
      <w:r w:rsidR="001508F6">
        <w:rPr>
          <w:rFonts w:asciiTheme="minorHAnsi" w:hAnsiTheme="minorHAnsi"/>
        </w:rPr>
        <w:t xml:space="preserve">, Monday through Friday. The Applicant states the following about </w:t>
      </w:r>
      <w:r w:rsidR="0012464C">
        <w:rPr>
          <w:rFonts w:asciiTheme="minorHAnsi" w:hAnsiTheme="minorHAnsi"/>
        </w:rPr>
        <w:t>the Center’s</w:t>
      </w:r>
      <w:r w:rsidR="001508F6">
        <w:rPr>
          <w:rFonts w:asciiTheme="minorHAnsi" w:hAnsiTheme="minorHAnsi"/>
        </w:rPr>
        <w:t xml:space="preserve"> </w:t>
      </w:r>
      <w:r w:rsidR="005F5B1A">
        <w:rPr>
          <w:rFonts w:asciiTheme="minorHAnsi" w:hAnsiTheme="minorHAnsi"/>
        </w:rPr>
        <w:t xml:space="preserve">procedure </w:t>
      </w:r>
      <w:r w:rsidR="00E207FF">
        <w:rPr>
          <w:rFonts w:asciiTheme="minorHAnsi" w:hAnsiTheme="minorHAnsi"/>
        </w:rPr>
        <w:t>capacity</w:t>
      </w:r>
      <w:r w:rsidR="001508F6">
        <w:rPr>
          <w:rFonts w:asciiTheme="minorHAnsi" w:hAnsiTheme="minorHAnsi"/>
        </w:rPr>
        <w:t>:</w:t>
      </w:r>
    </w:p>
    <w:p w14:paraId="02A52124" w14:textId="1C83B53B" w:rsidR="001508F6" w:rsidRDefault="00675BE6" w:rsidP="001508F6">
      <w:pPr>
        <w:pStyle w:val="BodyText"/>
        <w:numPr>
          <w:ilvl w:val="0"/>
          <w:numId w:val="33"/>
        </w:numPr>
        <w:spacing w:line="269" w:lineRule="exact"/>
        <w:rPr>
          <w:rFonts w:asciiTheme="minorHAnsi" w:hAnsiTheme="minorHAnsi"/>
        </w:rPr>
      </w:pPr>
      <w:r>
        <w:rPr>
          <w:rFonts w:asciiTheme="minorHAnsi" w:hAnsiTheme="minorHAnsi"/>
        </w:rPr>
        <w:t xml:space="preserve">Each case is scheduled for a </w:t>
      </w:r>
      <w:r w:rsidRPr="009728E5">
        <w:rPr>
          <w:rFonts w:asciiTheme="minorHAnsi" w:hAnsiTheme="minorHAnsi"/>
          <w:b/>
          <w:bCs/>
        </w:rPr>
        <w:t>30-minute</w:t>
      </w:r>
      <w:r>
        <w:rPr>
          <w:rFonts w:asciiTheme="minorHAnsi" w:hAnsiTheme="minorHAnsi"/>
        </w:rPr>
        <w:t xml:space="preserve"> slot </w:t>
      </w:r>
      <w:r w:rsidR="0012464C" w:rsidRPr="0012464C">
        <w:rPr>
          <w:rFonts w:asciiTheme="minorHAnsi" w:hAnsiTheme="minorHAnsi"/>
        </w:rPr>
        <w:t xml:space="preserve">with </w:t>
      </w:r>
      <w:r w:rsidR="0012464C" w:rsidRPr="0012464C">
        <w:rPr>
          <w:rFonts w:asciiTheme="minorHAnsi" w:hAnsiTheme="minorHAnsi"/>
          <w:b/>
          <w:bCs/>
        </w:rPr>
        <w:t>10 minutes</w:t>
      </w:r>
      <w:r w:rsidR="0012464C" w:rsidRPr="0012464C">
        <w:rPr>
          <w:rFonts w:asciiTheme="minorHAnsi" w:hAnsiTheme="minorHAnsi"/>
        </w:rPr>
        <w:t xml:space="preserve"> of turnover time between each case</w:t>
      </w:r>
      <w:r w:rsidR="0012464C">
        <w:rPr>
          <w:rFonts w:asciiTheme="minorHAnsi" w:hAnsiTheme="minorHAnsi"/>
        </w:rPr>
        <w:t>,</w:t>
      </w:r>
      <w:r w:rsidR="0012464C" w:rsidRPr="0012464C">
        <w:rPr>
          <w:rFonts w:asciiTheme="minorHAnsi" w:hAnsiTheme="minorHAnsi"/>
        </w:rPr>
        <w:t xml:space="preserve"> </w:t>
      </w:r>
      <w:r>
        <w:rPr>
          <w:rFonts w:asciiTheme="minorHAnsi" w:hAnsiTheme="minorHAnsi"/>
        </w:rPr>
        <w:t xml:space="preserve">which allows for a </w:t>
      </w:r>
      <w:r w:rsidR="00300D44">
        <w:rPr>
          <w:rFonts w:asciiTheme="minorHAnsi" w:hAnsiTheme="minorHAnsi"/>
        </w:rPr>
        <w:t>maximum</w:t>
      </w:r>
      <w:r>
        <w:rPr>
          <w:rFonts w:asciiTheme="minorHAnsi" w:hAnsiTheme="minorHAnsi"/>
        </w:rPr>
        <w:t xml:space="preserve"> of </w:t>
      </w:r>
      <w:r w:rsidR="00300D44" w:rsidRPr="009728E5">
        <w:rPr>
          <w:rFonts w:asciiTheme="minorHAnsi" w:hAnsiTheme="minorHAnsi"/>
          <w:b/>
          <w:bCs/>
        </w:rPr>
        <w:t>14 cases</w:t>
      </w:r>
      <w:r w:rsidR="00300D44">
        <w:rPr>
          <w:rFonts w:asciiTheme="minorHAnsi" w:hAnsiTheme="minorHAnsi"/>
        </w:rPr>
        <w:t xml:space="preserve"> per room per day. </w:t>
      </w:r>
    </w:p>
    <w:p w14:paraId="516C6D12" w14:textId="3F1C58C4" w:rsidR="00300D44" w:rsidRDefault="00FF400A" w:rsidP="001508F6">
      <w:pPr>
        <w:pStyle w:val="BodyText"/>
        <w:numPr>
          <w:ilvl w:val="0"/>
          <w:numId w:val="33"/>
        </w:numPr>
        <w:spacing w:line="269" w:lineRule="exact"/>
        <w:rPr>
          <w:rFonts w:asciiTheme="minorHAnsi" w:hAnsiTheme="minorHAnsi"/>
        </w:rPr>
      </w:pPr>
      <w:r>
        <w:rPr>
          <w:rFonts w:asciiTheme="minorHAnsi" w:hAnsiTheme="minorHAnsi"/>
        </w:rPr>
        <w:t xml:space="preserve">Because </w:t>
      </w:r>
      <w:r w:rsidR="0012464C">
        <w:rPr>
          <w:rFonts w:asciiTheme="minorHAnsi" w:hAnsiTheme="minorHAnsi"/>
        </w:rPr>
        <w:t>the Center</w:t>
      </w:r>
      <w:r>
        <w:rPr>
          <w:rFonts w:asciiTheme="minorHAnsi" w:hAnsiTheme="minorHAnsi"/>
        </w:rPr>
        <w:t xml:space="preserve"> is closed for 10 holidays each year, each procedure room can accommodate a maximum of </w:t>
      </w:r>
      <w:r w:rsidR="00940983" w:rsidRPr="0045219D">
        <w:rPr>
          <w:rFonts w:asciiTheme="minorHAnsi" w:hAnsiTheme="minorHAnsi"/>
          <w:b/>
          <w:bCs/>
        </w:rPr>
        <w:t>3,500 cases</w:t>
      </w:r>
      <w:r w:rsidR="00940983">
        <w:rPr>
          <w:rFonts w:asciiTheme="minorHAnsi" w:hAnsiTheme="minorHAnsi"/>
        </w:rPr>
        <w:t xml:space="preserve"> per year.</w:t>
      </w:r>
      <w:r w:rsidR="00940983">
        <w:rPr>
          <w:rStyle w:val="FootnoteReference"/>
          <w:rFonts w:asciiTheme="minorHAnsi" w:hAnsiTheme="minorHAnsi"/>
        </w:rPr>
        <w:footnoteReference w:id="9"/>
      </w:r>
      <w:r w:rsidR="00940983">
        <w:rPr>
          <w:rFonts w:asciiTheme="minorHAnsi" w:hAnsiTheme="minorHAnsi"/>
        </w:rPr>
        <w:t xml:space="preserve"> </w:t>
      </w:r>
    </w:p>
    <w:p w14:paraId="09B61028" w14:textId="77777777" w:rsidR="00043618" w:rsidRDefault="00043618" w:rsidP="00043618">
      <w:pPr>
        <w:pStyle w:val="BodyText"/>
        <w:spacing w:line="269" w:lineRule="exact"/>
        <w:rPr>
          <w:rFonts w:asciiTheme="minorHAnsi" w:hAnsiTheme="minorHAnsi"/>
        </w:rPr>
      </w:pPr>
    </w:p>
    <w:p w14:paraId="327647D9" w14:textId="1B9A71C3" w:rsidR="00043618" w:rsidRDefault="004C09CC" w:rsidP="00043618">
      <w:pPr>
        <w:pStyle w:val="BodyText"/>
        <w:spacing w:line="269" w:lineRule="exact"/>
        <w:rPr>
          <w:rFonts w:asciiTheme="minorHAnsi" w:hAnsiTheme="minorHAnsi"/>
        </w:rPr>
      </w:pPr>
      <w:r>
        <w:rPr>
          <w:rFonts w:asciiTheme="minorHAnsi" w:hAnsiTheme="minorHAnsi"/>
        </w:rPr>
        <w:t xml:space="preserve">The Applicant states that the optimal operating capacity for the Center is 75% to 85%. </w:t>
      </w:r>
      <w:r w:rsidR="00043618">
        <w:rPr>
          <w:rFonts w:asciiTheme="minorHAnsi" w:hAnsiTheme="minorHAnsi"/>
        </w:rPr>
        <w:t xml:space="preserve">Table </w:t>
      </w:r>
      <w:r w:rsidR="00597BD8">
        <w:rPr>
          <w:rFonts w:asciiTheme="minorHAnsi" w:hAnsiTheme="minorHAnsi"/>
        </w:rPr>
        <w:t>1</w:t>
      </w:r>
      <w:r w:rsidR="00A9310C">
        <w:rPr>
          <w:rFonts w:asciiTheme="minorHAnsi" w:hAnsiTheme="minorHAnsi"/>
        </w:rPr>
        <w:t>1</w:t>
      </w:r>
      <w:r w:rsidR="00043618">
        <w:rPr>
          <w:rFonts w:asciiTheme="minorHAnsi" w:hAnsiTheme="minorHAnsi"/>
        </w:rPr>
        <w:t xml:space="preserve"> shows </w:t>
      </w:r>
      <w:r w:rsidR="00565210">
        <w:rPr>
          <w:rFonts w:asciiTheme="minorHAnsi" w:hAnsiTheme="minorHAnsi"/>
        </w:rPr>
        <w:t xml:space="preserve">the Center’s operating capacity from 2022 to 2024. </w:t>
      </w:r>
      <w:r w:rsidR="00CE7473">
        <w:rPr>
          <w:rFonts w:asciiTheme="minorHAnsi" w:hAnsiTheme="minorHAnsi"/>
        </w:rPr>
        <w:t>As of April</w:t>
      </w:r>
      <w:r w:rsidR="008077F8">
        <w:rPr>
          <w:rFonts w:asciiTheme="minorHAnsi" w:hAnsiTheme="minorHAnsi"/>
        </w:rPr>
        <w:t xml:space="preserve"> and </w:t>
      </w:r>
      <w:r w:rsidR="00CE7473">
        <w:rPr>
          <w:rFonts w:asciiTheme="minorHAnsi" w:hAnsiTheme="minorHAnsi"/>
        </w:rPr>
        <w:t xml:space="preserve">May of </w:t>
      </w:r>
      <w:r w:rsidR="00917D7E">
        <w:rPr>
          <w:rFonts w:asciiTheme="minorHAnsi" w:hAnsiTheme="minorHAnsi"/>
        </w:rPr>
        <w:t>2025</w:t>
      </w:r>
      <w:r w:rsidR="00CE7473">
        <w:rPr>
          <w:rFonts w:asciiTheme="minorHAnsi" w:hAnsiTheme="minorHAnsi"/>
        </w:rPr>
        <w:t>, the Cen</w:t>
      </w:r>
      <w:r w:rsidR="00F7326D">
        <w:rPr>
          <w:rFonts w:asciiTheme="minorHAnsi" w:hAnsiTheme="minorHAnsi"/>
        </w:rPr>
        <w:t>t</w:t>
      </w:r>
      <w:r w:rsidR="00CE7473">
        <w:rPr>
          <w:rFonts w:asciiTheme="minorHAnsi" w:hAnsiTheme="minorHAnsi"/>
        </w:rPr>
        <w:t xml:space="preserve">er’s operating capacity </w:t>
      </w:r>
      <w:r w:rsidR="00565C5D">
        <w:rPr>
          <w:rFonts w:asciiTheme="minorHAnsi" w:hAnsiTheme="minorHAnsi"/>
        </w:rPr>
        <w:t>was 75%</w:t>
      </w:r>
      <w:r w:rsidR="004C0213">
        <w:rPr>
          <w:rFonts w:asciiTheme="minorHAnsi" w:hAnsiTheme="minorHAnsi"/>
        </w:rPr>
        <w:t xml:space="preserve">, which the </w:t>
      </w:r>
      <w:r w:rsidR="005C23A3">
        <w:rPr>
          <w:rFonts w:asciiTheme="minorHAnsi" w:hAnsiTheme="minorHAnsi"/>
        </w:rPr>
        <w:t xml:space="preserve">Applicant states </w:t>
      </w:r>
      <w:r w:rsidR="004C0213">
        <w:rPr>
          <w:rFonts w:asciiTheme="minorHAnsi" w:hAnsiTheme="minorHAnsi"/>
        </w:rPr>
        <w:t>is</w:t>
      </w:r>
      <w:r w:rsidR="005C23A3">
        <w:rPr>
          <w:rFonts w:asciiTheme="minorHAnsi" w:hAnsiTheme="minorHAnsi"/>
        </w:rPr>
        <w:t xml:space="preserve"> optimal operating capacity </w:t>
      </w:r>
      <w:r w:rsidR="00265C6D">
        <w:rPr>
          <w:rFonts w:asciiTheme="minorHAnsi" w:hAnsiTheme="minorHAnsi"/>
        </w:rPr>
        <w:t>to allow for add-on cases</w:t>
      </w:r>
      <w:r w:rsidR="005C23A3">
        <w:rPr>
          <w:rFonts w:asciiTheme="minorHAnsi" w:hAnsiTheme="minorHAnsi"/>
        </w:rPr>
        <w:t xml:space="preserve">. </w:t>
      </w:r>
      <w:r w:rsidR="00E7621F">
        <w:rPr>
          <w:rFonts w:asciiTheme="minorHAnsi" w:hAnsiTheme="minorHAnsi"/>
        </w:rPr>
        <w:t>A</w:t>
      </w:r>
      <w:r w:rsidR="00E7621F" w:rsidRPr="00E7621F">
        <w:rPr>
          <w:rFonts w:asciiTheme="minorHAnsi" w:hAnsiTheme="minorHAnsi"/>
        </w:rPr>
        <w:t xml:space="preserve">s of July 2025, operating capacity </w:t>
      </w:r>
      <w:r w:rsidR="00E7621F">
        <w:rPr>
          <w:rFonts w:asciiTheme="minorHAnsi" w:hAnsiTheme="minorHAnsi"/>
        </w:rPr>
        <w:t xml:space="preserve">at the Center </w:t>
      </w:r>
      <w:r w:rsidR="00E7621F" w:rsidRPr="00E7621F">
        <w:rPr>
          <w:rFonts w:asciiTheme="minorHAnsi" w:hAnsiTheme="minorHAnsi"/>
        </w:rPr>
        <w:t xml:space="preserve">is 80%. </w:t>
      </w:r>
      <w:r w:rsidR="0073549D" w:rsidRPr="0073549D">
        <w:rPr>
          <w:rFonts w:asciiTheme="minorHAnsi" w:hAnsiTheme="minorHAnsi"/>
        </w:rPr>
        <w:t xml:space="preserve">It has been previously reported that </w:t>
      </w:r>
      <w:r w:rsidR="002670A5">
        <w:rPr>
          <w:rFonts w:asciiTheme="minorHAnsi" w:hAnsiTheme="minorHAnsi"/>
        </w:rPr>
        <w:t>a</w:t>
      </w:r>
      <w:r w:rsidR="0073549D" w:rsidRPr="0073549D">
        <w:rPr>
          <w:rFonts w:asciiTheme="minorHAnsi" w:hAnsiTheme="minorHAnsi"/>
        </w:rPr>
        <w:t xml:space="preserve"> 70% to 80% range is optimal for utilization depending on the type of ASC, with single-specialty ASCs in the higher range and multi-specialty ASCs towards the lower end.</w:t>
      </w:r>
      <w:r w:rsidR="0073549D" w:rsidRPr="0073549D">
        <w:rPr>
          <w:rFonts w:asciiTheme="minorHAnsi" w:hAnsiTheme="minorHAnsi"/>
          <w:vertAlign w:val="superscript"/>
        </w:rPr>
        <w:endnoteReference w:id="3"/>
      </w:r>
    </w:p>
    <w:p w14:paraId="10E8D631" w14:textId="77777777" w:rsidR="00082CDA" w:rsidRDefault="00082CDA" w:rsidP="00043618">
      <w:pPr>
        <w:pStyle w:val="BodyText"/>
        <w:spacing w:line="269" w:lineRule="exact"/>
        <w:rPr>
          <w:rFonts w:asciiTheme="minorHAnsi" w:hAnsiTheme="minorHAnsi"/>
        </w:rPr>
      </w:pPr>
    </w:p>
    <w:p w14:paraId="40C1469F" w14:textId="3ED6F09C" w:rsidR="00082CDA" w:rsidRPr="00082CDA" w:rsidRDefault="00082CDA" w:rsidP="00043618">
      <w:pPr>
        <w:pStyle w:val="BodyText"/>
        <w:spacing w:line="269" w:lineRule="exact"/>
        <w:rPr>
          <w:rFonts w:asciiTheme="minorHAnsi" w:hAnsiTheme="minorHAnsi"/>
          <w:b/>
          <w:bCs/>
        </w:rPr>
      </w:pPr>
      <w:r w:rsidRPr="00082CDA">
        <w:rPr>
          <w:rFonts w:asciiTheme="minorHAnsi" w:hAnsiTheme="minorHAnsi"/>
          <w:b/>
          <w:bCs/>
          <w:u w:val="single"/>
        </w:rPr>
        <w:t xml:space="preserve">Table </w:t>
      </w:r>
      <w:r w:rsidR="00597BD8">
        <w:rPr>
          <w:rFonts w:asciiTheme="minorHAnsi" w:hAnsiTheme="minorHAnsi"/>
          <w:b/>
          <w:bCs/>
          <w:u w:val="single"/>
        </w:rPr>
        <w:t>1</w:t>
      </w:r>
      <w:r w:rsidR="00A9310C">
        <w:rPr>
          <w:rFonts w:asciiTheme="minorHAnsi" w:hAnsiTheme="minorHAnsi"/>
          <w:b/>
          <w:u w:val="single"/>
        </w:rPr>
        <w:t>1</w:t>
      </w:r>
      <w:r w:rsidR="004958B2" w:rsidRPr="00082CDA">
        <w:rPr>
          <w:rFonts w:asciiTheme="minorHAnsi" w:hAnsiTheme="minorHAnsi"/>
          <w:b/>
          <w:bCs/>
        </w:rPr>
        <w:t xml:space="preserve"> </w:t>
      </w:r>
      <w:r w:rsidRPr="00082CDA">
        <w:rPr>
          <w:rFonts w:asciiTheme="minorHAnsi" w:hAnsiTheme="minorHAnsi"/>
          <w:b/>
          <w:bCs/>
        </w:rPr>
        <w:t xml:space="preserve">Center’s </w:t>
      </w:r>
      <w:r w:rsidR="0097513C">
        <w:rPr>
          <w:rFonts w:asciiTheme="minorHAnsi" w:hAnsiTheme="minorHAnsi"/>
          <w:b/>
          <w:bCs/>
        </w:rPr>
        <w:t>O</w:t>
      </w:r>
      <w:r w:rsidRPr="00082CDA">
        <w:rPr>
          <w:rFonts w:asciiTheme="minorHAnsi" w:hAnsiTheme="minorHAnsi"/>
          <w:b/>
          <w:bCs/>
        </w:rPr>
        <w:t>perating Capacity, 2022 to 202</w:t>
      </w:r>
      <w:r w:rsidR="0097513C">
        <w:rPr>
          <w:rFonts w:asciiTheme="minorHAnsi" w:hAnsiTheme="minorHAnsi"/>
          <w:b/>
          <w:bCs/>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1806"/>
        <w:gridCol w:w="1582"/>
        <w:gridCol w:w="1217"/>
      </w:tblGrid>
      <w:tr w:rsidR="00CB7C42" w:rsidRPr="00082CDA" w14:paraId="07496C05" w14:textId="77777777" w:rsidTr="00C71B1F">
        <w:trPr>
          <w:trHeight w:val="182"/>
        </w:trPr>
        <w:tc>
          <w:tcPr>
            <w:tcW w:w="0" w:type="auto"/>
            <w:shd w:val="clear" w:color="auto" w:fill="DBE5F1" w:themeFill="accent1" w:themeFillTint="33"/>
            <w:hideMark/>
          </w:tcPr>
          <w:p w14:paraId="16D3077D" w14:textId="7D583991" w:rsidR="00CB7C42" w:rsidRPr="00082CDA" w:rsidRDefault="00CB7C42" w:rsidP="00082CDA">
            <w:pPr>
              <w:widowControl/>
              <w:autoSpaceDE/>
              <w:autoSpaceDN/>
              <w:jc w:val="both"/>
              <w:rPr>
                <w:rFonts w:asciiTheme="minorHAnsi" w:eastAsia="Times New Roman" w:hAnsiTheme="minorHAnsi"/>
                <w:b/>
                <w:bCs/>
                <w:color w:val="000000" w:themeColor="text1"/>
                <w:szCs w:val="24"/>
              </w:rPr>
            </w:pPr>
            <w:r w:rsidRPr="00082CDA">
              <w:rPr>
                <w:rFonts w:asciiTheme="minorHAnsi" w:eastAsia="Times New Roman" w:hAnsiTheme="minorHAnsi"/>
                <w:b/>
                <w:bCs/>
                <w:color w:val="000000" w:themeColor="text1"/>
                <w:szCs w:val="24"/>
              </w:rPr>
              <w:t>Calendar Year</w:t>
            </w:r>
          </w:p>
        </w:tc>
        <w:tc>
          <w:tcPr>
            <w:tcW w:w="0" w:type="auto"/>
            <w:shd w:val="clear" w:color="auto" w:fill="DBE5F1" w:themeFill="accent1" w:themeFillTint="33"/>
            <w:hideMark/>
          </w:tcPr>
          <w:p w14:paraId="38D3043A" w14:textId="1624C1AE" w:rsidR="00CB7C42" w:rsidRPr="00082CDA" w:rsidRDefault="00CB7C42" w:rsidP="008C50E3">
            <w:pPr>
              <w:widowControl/>
              <w:autoSpaceDE/>
              <w:autoSpaceDN/>
              <w:jc w:val="center"/>
              <w:rPr>
                <w:rFonts w:asciiTheme="minorHAnsi" w:eastAsia="Times New Roman" w:hAnsiTheme="minorHAnsi"/>
                <w:b/>
                <w:bCs/>
                <w:color w:val="000000" w:themeColor="text1"/>
                <w:szCs w:val="24"/>
              </w:rPr>
            </w:pPr>
            <w:hyperlink r:id="rId17" w:anchor="RANGE!_ftn1" w:history="1">
              <w:r w:rsidRPr="00082CDA">
                <w:rPr>
                  <w:rFonts w:asciiTheme="minorHAnsi" w:eastAsia="Times New Roman" w:hAnsiTheme="minorHAnsi"/>
                  <w:b/>
                  <w:bCs/>
                  <w:color w:val="000000" w:themeColor="text1"/>
                  <w:szCs w:val="24"/>
                </w:rPr>
                <w:t xml:space="preserve">Cases per Room </w:t>
              </w:r>
            </w:hyperlink>
          </w:p>
        </w:tc>
        <w:tc>
          <w:tcPr>
            <w:tcW w:w="0" w:type="auto"/>
            <w:shd w:val="clear" w:color="auto" w:fill="DBE5F1" w:themeFill="accent1" w:themeFillTint="33"/>
          </w:tcPr>
          <w:p w14:paraId="0C1F77F3" w14:textId="77777777" w:rsidR="000F66D5" w:rsidRDefault="00CB7C42" w:rsidP="000F66D5">
            <w:pPr>
              <w:widowControl/>
              <w:autoSpaceDE/>
              <w:autoSpaceDN/>
              <w:jc w:val="center"/>
              <w:rPr>
                <w:rFonts w:asciiTheme="minorHAnsi" w:eastAsia="Times New Roman" w:hAnsiTheme="minorHAnsi"/>
                <w:b/>
                <w:bCs/>
                <w:color w:val="000000" w:themeColor="text1"/>
                <w:szCs w:val="24"/>
              </w:rPr>
            </w:pPr>
            <w:r>
              <w:rPr>
                <w:rFonts w:asciiTheme="minorHAnsi" w:eastAsia="Times New Roman" w:hAnsiTheme="minorHAnsi"/>
                <w:b/>
                <w:bCs/>
                <w:color w:val="000000" w:themeColor="text1"/>
                <w:szCs w:val="24"/>
              </w:rPr>
              <w:t>Case Capacity</w:t>
            </w:r>
            <w:r w:rsidR="000F66D5">
              <w:rPr>
                <w:rFonts w:asciiTheme="minorHAnsi" w:eastAsia="Times New Roman" w:hAnsiTheme="minorHAnsi"/>
                <w:b/>
                <w:bCs/>
                <w:color w:val="000000" w:themeColor="text1"/>
                <w:szCs w:val="24"/>
              </w:rPr>
              <w:t xml:space="preserve"> </w:t>
            </w:r>
          </w:p>
          <w:p w14:paraId="27D340B4" w14:textId="48E4C9D3" w:rsidR="00CB7C42" w:rsidRPr="00082CDA" w:rsidRDefault="00CB7C42" w:rsidP="000F66D5">
            <w:pPr>
              <w:widowControl/>
              <w:autoSpaceDE/>
              <w:autoSpaceDN/>
              <w:jc w:val="center"/>
              <w:rPr>
                <w:rFonts w:asciiTheme="minorHAnsi" w:eastAsia="Times New Roman" w:hAnsiTheme="minorHAnsi"/>
                <w:b/>
                <w:bCs/>
                <w:color w:val="000000" w:themeColor="text1"/>
                <w:szCs w:val="24"/>
              </w:rPr>
            </w:pPr>
            <w:r>
              <w:rPr>
                <w:rFonts w:asciiTheme="minorHAnsi" w:eastAsia="Times New Roman" w:hAnsiTheme="minorHAnsi"/>
                <w:b/>
                <w:bCs/>
                <w:color w:val="000000" w:themeColor="text1"/>
                <w:szCs w:val="24"/>
              </w:rPr>
              <w:t>Per Room</w:t>
            </w:r>
          </w:p>
        </w:tc>
        <w:tc>
          <w:tcPr>
            <w:tcW w:w="0" w:type="auto"/>
            <w:shd w:val="clear" w:color="auto" w:fill="DBE5F1" w:themeFill="accent1" w:themeFillTint="33"/>
            <w:hideMark/>
          </w:tcPr>
          <w:p w14:paraId="6BE561F2" w14:textId="77777777" w:rsidR="000F66D5" w:rsidRDefault="00CB7C42" w:rsidP="008C50E3">
            <w:pPr>
              <w:widowControl/>
              <w:autoSpaceDE/>
              <w:autoSpaceDN/>
              <w:jc w:val="center"/>
              <w:rPr>
                <w:rFonts w:asciiTheme="minorHAnsi" w:eastAsia="Times New Roman" w:hAnsiTheme="minorHAnsi"/>
                <w:b/>
                <w:bCs/>
                <w:color w:val="000000" w:themeColor="text1"/>
                <w:szCs w:val="24"/>
              </w:rPr>
            </w:pPr>
            <w:r w:rsidRPr="00082CDA">
              <w:rPr>
                <w:rFonts w:asciiTheme="minorHAnsi" w:eastAsia="Times New Roman" w:hAnsiTheme="minorHAnsi"/>
                <w:b/>
                <w:bCs/>
                <w:color w:val="000000" w:themeColor="text1"/>
                <w:szCs w:val="24"/>
              </w:rPr>
              <w:t xml:space="preserve">Operating </w:t>
            </w:r>
          </w:p>
          <w:p w14:paraId="1255F94B" w14:textId="494B616D" w:rsidR="00CB7C42" w:rsidRPr="00082CDA" w:rsidRDefault="00CB7C42" w:rsidP="008C50E3">
            <w:pPr>
              <w:widowControl/>
              <w:autoSpaceDE/>
              <w:autoSpaceDN/>
              <w:jc w:val="center"/>
              <w:rPr>
                <w:rFonts w:asciiTheme="minorHAnsi" w:eastAsia="Times New Roman" w:hAnsiTheme="minorHAnsi"/>
                <w:b/>
                <w:bCs/>
                <w:color w:val="000000" w:themeColor="text1"/>
                <w:szCs w:val="24"/>
              </w:rPr>
            </w:pPr>
            <w:r w:rsidRPr="00082CDA">
              <w:rPr>
                <w:rFonts w:asciiTheme="minorHAnsi" w:eastAsia="Times New Roman" w:hAnsiTheme="minorHAnsi"/>
                <w:b/>
                <w:bCs/>
                <w:color w:val="000000" w:themeColor="text1"/>
                <w:szCs w:val="24"/>
              </w:rPr>
              <w:t>Capacity</w:t>
            </w:r>
          </w:p>
        </w:tc>
      </w:tr>
      <w:tr w:rsidR="00CB7C42" w:rsidRPr="00082CDA" w14:paraId="33D43CCA" w14:textId="77777777" w:rsidTr="00C71B1F">
        <w:trPr>
          <w:trHeight w:val="300"/>
        </w:trPr>
        <w:tc>
          <w:tcPr>
            <w:tcW w:w="0" w:type="auto"/>
            <w:vAlign w:val="center"/>
            <w:hideMark/>
          </w:tcPr>
          <w:p w14:paraId="614EF16A" w14:textId="04DBF853" w:rsidR="00CB7C42" w:rsidRPr="00082CDA" w:rsidRDefault="00CB7C42" w:rsidP="00082CDA">
            <w:pPr>
              <w:widowControl/>
              <w:autoSpaceDE/>
              <w:autoSpaceDN/>
              <w:jc w:val="both"/>
              <w:rPr>
                <w:rFonts w:asciiTheme="minorHAnsi" w:eastAsia="Times New Roman" w:hAnsiTheme="minorHAnsi"/>
                <w:color w:val="000000" w:themeColor="text1"/>
                <w:szCs w:val="24"/>
              </w:rPr>
            </w:pPr>
            <w:bookmarkStart w:id="5" w:name="RANGE!B4"/>
            <w:r w:rsidRPr="00082CDA">
              <w:rPr>
                <w:rFonts w:asciiTheme="minorHAnsi" w:eastAsia="Times New Roman" w:hAnsiTheme="minorHAnsi"/>
                <w:color w:val="000000" w:themeColor="text1"/>
                <w:szCs w:val="24"/>
              </w:rPr>
              <w:t>2022</w:t>
            </w:r>
            <w:bookmarkEnd w:id="5"/>
            <w:r w:rsidRPr="00082CDA">
              <w:rPr>
                <w:rStyle w:val="FootnoteReference"/>
                <w:rFonts w:asciiTheme="minorHAnsi" w:eastAsia="Times New Roman" w:hAnsiTheme="minorHAnsi"/>
                <w:color w:val="000000" w:themeColor="text1"/>
                <w:szCs w:val="24"/>
              </w:rPr>
              <w:footnoteReference w:id="10"/>
            </w:r>
          </w:p>
        </w:tc>
        <w:tc>
          <w:tcPr>
            <w:tcW w:w="0" w:type="auto"/>
            <w:vAlign w:val="center"/>
            <w:hideMark/>
          </w:tcPr>
          <w:p w14:paraId="2C90544A" w14:textId="4B9E643D" w:rsidR="00CB7C42" w:rsidRPr="00082CDA" w:rsidRDefault="00CB7C42" w:rsidP="008C50E3">
            <w:pPr>
              <w:widowControl/>
              <w:autoSpaceDE/>
              <w:autoSpaceDN/>
              <w:jc w:val="center"/>
              <w:rPr>
                <w:rFonts w:asciiTheme="minorHAnsi" w:eastAsia="Times New Roman" w:hAnsiTheme="minorHAnsi"/>
                <w:color w:val="000000" w:themeColor="text1"/>
                <w:szCs w:val="24"/>
              </w:rPr>
            </w:pPr>
            <w:r w:rsidRPr="00082CDA">
              <w:rPr>
                <w:rFonts w:asciiTheme="minorHAnsi" w:eastAsia="Times New Roman" w:hAnsiTheme="minorHAnsi"/>
                <w:color w:val="000000" w:themeColor="text1"/>
                <w:szCs w:val="24"/>
              </w:rPr>
              <w:t>891</w:t>
            </w:r>
          </w:p>
        </w:tc>
        <w:tc>
          <w:tcPr>
            <w:tcW w:w="0" w:type="auto"/>
          </w:tcPr>
          <w:p w14:paraId="5006A486" w14:textId="44F7F9D0" w:rsidR="00CB7C42" w:rsidRPr="00082CDA" w:rsidRDefault="00CB7C42" w:rsidP="008C50E3">
            <w:pPr>
              <w:widowControl/>
              <w:autoSpaceDE/>
              <w:autoSpaceDN/>
              <w:jc w:val="center"/>
              <w:rPr>
                <w:rFonts w:asciiTheme="minorHAnsi" w:eastAsia="Times New Roman" w:hAnsiTheme="minorHAnsi"/>
                <w:color w:val="000000" w:themeColor="text1"/>
                <w:szCs w:val="24"/>
              </w:rPr>
            </w:pPr>
            <w:r>
              <w:rPr>
                <w:rFonts w:asciiTheme="minorHAnsi" w:eastAsia="Times New Roman" w:hAnsiTheme="minorHAnsi"/>
                <w:color w:val="000000" w:themeColor="text1"/>
                <w:szCs w:val="24"/>
              </w:rPr>
              <w:t>3,500</w:t>
            </w:r>
          </w:p>
        </w:tc>
        <w:tc>
          <w:tcPr>
            <w:tcW w:w="0" w:type="auto"/>
            <w:vAlign w:val="center"/>
            <w:hideMark/>
          </w:tcPr>
          <w:p w14:paraId="37FE5A20" w14:textId="5931368D" w:rsidR="00CB7C42" w:rsidRPr="00082CDA" w:rsidRDefault="00CB7C42" w:rsidP="008C50E3">
            <w:pPr>
              <w:widowControl/>
              <w:autoSpaceDE/>
              <w:autoSpaceDN/>
              <w:jc w:val="center"/>
              <w:rPr>
                <w:rFonts w:asciiTheme="minorHAnsi" w:eastAsia="Times New Roman" w:hAnsiTheme="minorHAnsi"/>
                <w:color w:val="000000" w:themeColor="text1"/>
                <w:szCs w:val="24"/>
              </w:rPr>
            </w:pPr>
            <w:r w:rsidRPr="00082CDA">
              <w:rPr>
                <w:rFonts w:asciiTheme="minorHAnsi" w:eastAsia="Times New Roman" w:hAnsiTheme="minorHAnsi"/>
                <w:color w:val="000000" w:themeColor="text1"/>
                <w:szCs w:val="24"/>
              </w:rPr>
              <w:t>25%</w:t>
            </w:r>
          </w:p>
        </w:tc>
      </w:tr>
      <w:tr w:rsidR="00CB7C42" w:rsidRPr="00082CDA" w14:paraId="7A97F85B" w14:textId="77777777" w:rsidTr="00C71B1F">
        <w:trPr>
          <w:trHeight w:val="300"/>
        </w:trPr>
        <w:tc>
          <w:tcPr>
            <w:tcW w:w="0" w:type="auto"/>
            <w:vAlign w:val="center"/>
            <w:hideMark/>
          </w:tcPr>
          <w:p w14:paraId="702CEFF1" w14:textId="77777777" w:rsidR="00CB7C42" w:rsidRPr="00082CDA" w:rsidRDefault="00CB7C42" w:rsidP="00082CDA">
            <w:pPr>
              <w:widowControl/>
              <w:autoSpaceDE/>
              <w:autoSpaceDN/>
              <w:jc w:val="both"/>
              <w:rPr>
                <w:rFonts w:asciiTheme="minorHAnsi" w:eastAsia="Times New Roman" w:hAnsiTheme="minorHAnsi"/>
                <w:color w:val="000000" w:themeColor="text1"/>
                <w:szCs w:val="24"/>
              </w:rPr>
            </w:pPr>
            <w:r w:rsidRPr="00082CDA">
              <w:rPr>
                <w:rFonts w:asciiTheme="minorHAnsi" w:eastAsia="Times New Roman" w:hAnsiTheme="minorHAnsi"/>
                <w:color w:val="000000" w:themeColor="text1"/>
                <w:szCs w:val="24"/>
              </w:rPr>
              <w:lastRenderedPageBreak/>
              <w:t>2023</w:t>
            </w:r>
          </w:p>
        </w:tc>
        <w:tc>
          <w:tcPr>
            <w:tcW w:w="0" w:type="auto"/>
            <w:vAlign w:val="center"/>
            <w:hideMark/>
          </w:tcPr>
          <w:p w14:paraId="06FDD33C" w14:textId="231962B7" w:rsidR="00CB7C42" w:rsidRPr="00082CDA" w:rsidRDefault="00CB7C42" w:rsidP="008C50E3">
            <w:pPr>
              <w:widowControl/>
              <w:autoSpaceDE/>
              <w:autoSpaceDN/>
              <w:jc w:val="center"/>
              <w:rPr>
                <w:rFonts w:asciiTheme="minorHAnsi" w:eastAsia="Times New Roman" w:hAnsiTheme="minorHAnsi"/>
                <w:color w:val="000000" w:themeColor="text1"/>
                <w:szCs w:val="24"/>
              </w:rPr>
            </w:pPr>
            <w:r w:rsidRPr="00082CDA">
              <w:rPr>
                <w:rFonts w:asciiTheme="minorHAnsi" w:eastAsia="Times New Roman" w:hAnsiTheme="minorHAnsi"/>
                <w:color w:val="000000" w:themeColor="text1"/>
                <w:szCs w:val="24"/>
              </w:rPr>
              <w:t>1,791</w:t>
            </w:r>
          </w:p>
        </w:tc>
        <w:tc>
          <w:tcPr>
            <w:tcW w:w="0" w:type="auto"/>
          </w:tcPr>
          <w:p w14:paraId="3D6D6C4B" w14:textId="2A7DFBB6" w:rsidR="00CB7C42" w:rsidRPr="00082CDA" w:rsidRDefault="00CB7C42" w:rsidP="008C50E3">
            <w:pPr>
              <w:widowControl/>
              <w:autoSpaceDE/>
              <w:autoSpaceDN/>
              <w:jc w:val="center"/>
              <w:rPr>
                <w:rFonts w:asciiTheme="minorHAnsi" w:eastAsia="Times New Roman" w:hAnsiTheme="minorHAnsi"/>
                <w:color w:val="000000" w:themeColor="text1"/>
                <w:szCs w:val="24"/>
              </w:rPr>
            </w:pPr>
            <w:r>
              <w:rPr>
                <w:rFonts w:asciiTheme="minorHAnsi" w:eastAsia="Times New Roman" w:hAnsiTheme="minorHAnsi"/>
                <w:color w:val="000000" w:themeColor="text1"/>
                <w:szCs w:val="24"/>
              </w:rPr>
              <w:t>3,500</w:t>
            </w:r>
          </w:p>
        </w:tc>
        <w:tc>
          <w:tcPr>
            <w:tcW w:w="0" w:type="auto"/>
            <w:vAlign w:val="center"/>
            <w:hideMark/>
          </w:tcPr>
          <w:p w14:paraId="529D60D0" w14:textId="6EAEA7EF" w:rsidR="00CB7C42" w:rsidRPr="00082CDA" w:rsidRDefault="00CB7C42" w:rsidP="008C50E3">
            <w:pPr>
              <w:widowControl/>
              <w:autoSpaceDE/>
              <w:autoSpaceDN/>
              <w:jc w:val="center"/>
              <w:rPr>
                <w:rFonts w:asciiTheme="minorHAnsi" w:eastAsia="Times New Roman" w:hAnsiTheme="minorHAnsi"/>
                <w:color w:val="000000" w:themeColor="text1"/>
                <w:szCs w:val="24"/>
              </w:rPr>
            </w:pPr>
            <w:r w:rsidRPr="00082CDA">
              <w:rPr>
                <w:rFonts w:asciiTheme="minorHAnsi" w:eastAsia="Times New Roman" w:hAnsiTheme="minorHAnsi"/>
                <w:color w:val="000000" w:themeColor="text1"/>
                <w:szCs w:val="24"/>
              </w:rPr>
              <w:t>51%</w:t>
            </w:r>
          </w:p>
        </w:tc>
      </w:tr>
      <w:tr w:rsidR="00CB7C42" w:rsidRPr="00082CDA" w14:paraId="573E4B08" w14:textId="77777777" w:rsidTr="00C71B1F">
        <w:trPr>
          <w:trHeight w:val="300"/>
        </w:trPr>
        <w:tc>
          <w:tcPr>
            <w:tcW w:w="0" w:type="auto"/>
            <w:vAlign w:val="center"/>
            <w:hideMark/>
          </w:tcPr>
          <w:p w14:paraId="331FB15F" w14:textId="77777777" w:rsidR="00CB7C42" w:rsidRPr="00082CDA" w:rsidRDefault="00CB7C42" w:rsidP="00082CDA">
            <w:pPr>
              <w:widowControl/>
              <w:autoSpaceDE/>
              <w:autoSpaceDN/>
              <w:jc w:val="both"/>
              <w:rPr>
                <w:rFonts w:asciiTheme="minorHAnsi" w:eastAsia="Times New Roman" w:hAnsiTheme="minorHAnsi"/>
                <w:color w:val="000000" w:themeColor="text1"/>
                <w:szCs w:val="24"/>
              </w:rPr>
            </w:pPr>
            <w:r w:rsidRPr="00082CDA">
              <w:rPr>
                <w:rFonts w:asciiTheme="minorHAnsi" w:eastAsia="Times New Roman" w:hAnsiTheme="minorHAnsi"/>
                <w:color w:val="000000" w:themeColor="text1"/>
                <w:szCs w:val="24"/>
              </w:rPr>
              <w:t>2024</w:t>
            </w:r>
          </w:p>
        </w:tc>
        <w:tc>
          <w:tcPr>
            <w:tcW w:w="0" w:type="auto"/>
            <w:vAlign w:val="center"/>
            <w:hideMark/>
          </w:tcPr>
          <w:p w14:paraId="61E45C28" w14:textId="591F4CBC" w:rsidR="00CB7C42" w:rsidRPr="00082CDA" w:rsidRDefault="00CB7C42" w:rsidP="008C50E3">
            <w:pPr>
              <w:widowControl/>
              <w:autoSpaceDE/>
              <w:autoSpaceDN/>
              <w:jc w:val="center"/>
              <w:rPr>
                <w:rFonts w:asciiTheme="minorHAnsi" w:eastAsia="Times New Roman" w:hAnsiTheme="minorHAnsi"/>
                <w:color w:val="000000" w:themeColor="text1"/>
                <w:szCs w:val="24"/>
              </w:rPr>
            </w:pPr>
            <w:r w:rsidRPr="00082CDA">
              <w:rPr>
                <w:rFonts w:asciiTheme="minorHAnsi" w:eastAsia="Times New Roman" w:hAnsiTheme="minorHAnsi"/>
                <w:color w:val="000000" w:themeColor="text1"/>
                <w:szCs w:val="24"/>
              </w:rPr>
              <w:t>2,436</w:t>
            </w:r>
          </w:p>
        </w:tc>
        <w:tc>
          <w:tcPr>
            <w:tcW w:w="0" w:type="auto"/>
          </w:tcPr>
          <w:p w14:paraId="13590621" w14:textId="4E328757" w:rsidR="00CB7C42" w:rsidRPr="00082CDA" w:rsidRDefault="00CB7C42" w:rsidP="008C50E3">
            <w:pPr>
              <w:widowControl/>
              <w:autoSpaceDE/>
              <w:autoSpaceDN/>
              <w:jc w:val="center"/>
              <w:rPr>
                <w:rFonts w:asciiTheme="minorHAnsi" w:eastAsia="Times New Roman" w:hAnsiTheme="minorHAnsi"/>
                <w:color w:val="000000" w:themeColor="text1"/>
                <w:szCs w:val="24"/>
              </w:rPr>
            </w:pPr>
            <w:r>
              <w:rPr>
                <w:rFonts w:asciiTheme="minorHAnsi" w:eastAsia="Times New Roman" w:hAnsiTheme="minorHAnsi"/>
                <w:color w:val="000000" w:themeColor="text1"/>
                <w:szCs w:val="24"/>
              </w:rPr>
              <w:t>3,500</w:t>
            </w:r>
          </w:p>
        </w:tc>
        <w:tc>
          <w:tcPr>
            <w:tcW w:w="0" w:type="auto"/>
            <w:vAlign w:val="center"/>
            <w:hideMark/>
          </w:tcPr>
          <w:p w14:paraId="10B051C9" w14:textId="59A7BF0C" w:rsidR="00CB7C42" w:rsidRPr="00082CDA" w:rsidRDefault="00CB7C42" w:rsidP="008C50E3">
            <w:pPr>
              <w:widowControl/>
              <w:autoSpaceDE/>
              <w:autoSpaceDN/>
              <w:jc w:val="center"/>
              <w:rPr>
                <w:rFonts w:asciiTheme="minorHAnsi" w:eastAsia="Times New Roman" w:hAnsiTheme="minorHAnsi"/>
                <w:color w:val="000000" w:themeColor="text1"/>
                <w:szCs w:val="24"/>
              </w:rPr>
            </w:pPr>
            <w:r w:rsidRPr="00082CDA">
              <w:rPr>
                <w:rFonts w:asciiTheme="minorHAnsi" w:eastAsia="Times New Roman" w:hAnsiTheme="minorHAnsi"/>
                <w:color w:val="000000" w:themeColor="text1"/>
                <w:szCs w:val="24"/>
              </w:rPr>
              <w:t>69%</w:t>
            </w:r>
          </w:p>
        </w:tc>
      </w:tr>
      <w:tr w:rsidR="00360B54" w:rsidRPr="00082CDA" w14:paraId="4128B9EA" w14:textId="77777777" w:rsidTr="00C71B1F">
        <w:trPr>
          <w:trHeight w:val="300"/>
        </w:trPr>
        <w:tc>
          <w:tcPr>
            <w:tcW w:w="0" w:type="auto"/>
            <w:vAlign w:val="center"/>
          </w:tcPr>
          <w:p w14:paraId="21B524A1" w14:textId="3090922C" w:rsidR="00360B54" w:rsidRPr="00082CDA" w:rsidRDefault="00360B54" w:rsidP="00082CDA">
            <w:pPr>
              <w:widowControl/>
              <w:autoSpaceDE/>
              <w:autoSpaceDN/>
              <w:jc w:val="both"/>
              <w:rPr>
                <w:rFonts w:asciiTheme="minorHAnsi" w:eastAsia="Times New Roman" w:hAnsiTheme="minorHAnsi"/>
                <w:color w:val="000000" w:themeColor="text1"/>
                <w:szCs w:val="24"/>
              </w:rPr>
            </w:pPr>
            <w:r>
              <w:rPr>
                <w:rFonts w:asciiTheme="minorHAnsi" w:eastAsia="Times New Roman" w:hAnsiTheme="minorHAnsi"/>
                <w:color w:val="000000" w:themeColor="text1"/>
                <w:szCs w:val="24"/>
              </w:rPr>
              <w:t>2025</w:t>
            </w:r>
            <w:r w:rsidR="00E2626A">
              <w:rPr>
                <w:rFonts w:asciiTheme="minorHAnsi" w:eastAsia="Times New Roman" w:hAnsiTheme="minorHAnsi"/>
                <w:color w:val="000000" w:themeColor="text1"/>
                <w:szCs w:val="24"/>
              </w:rPr>
              <w:t xml:space="preserve"> (Annualized)</w:t>
            </w:r>
            <w:r w:rsidR="00BE1029">
              <w:rPr>
                <w:rStyle w:val="FootnoteReference"/>
                <w:rFonts w:asciiTheme="minorHAnsi" w:eastAsia="Times New Roman" w:hAnsiTheme="minorHAnsi"/>
                <w:color w:val="000000" w:themeColor="text1"/>
                <w:szCs w:val="24"/>
              </w:rPr>
              <w:footnoteReference w:id="11"/>
            </w:r>
          </w:p>
        </w:tc>
        <w:tc>
          <w:tcPr>
            <w:tcW w:w="0" w:type="auto"/>
            <w:vAlign w:val="center"/>
          </w:tcPr>
          <w:p w14:paraId="3D4AF334" w14:textId="6D478945" w:rsidR="00360B54" w:rsidRPr="00082CDA" w:rsidRDefault="00B22B47" w:rsidP="008C50E3">
            <w:pPr>
              <w:widowControl/>
              <w:autoSpaceDE/>
              <w:autoSpaceDN/>
              <w:jc w:val="center"/>
              <w:rPr>
                <w:rFonts w:asciiTheme="minorHAnsi" w:eastAsia="Times New Roman" w:hAnsiTheme="minorHAnsi"/>
                <w:color w:val="000000" w:themeColor="text1"/>
                <w:szCs w:val="24"/>
              </w:rPr>
            </w:pPr>
            <w:r>
              <w:rPr>
                <w:rFonts w:asciiTheme="minorHAnsi" w:eastAsia="Times New Roman" w:hAnsiTheme="minorHAnsi"/>
                <w:color w:val="000000" w:themeColor="text1"/>
                <w:szCs w:val="24"/>
              </w:rPr>
              <w:t>(</w:t>
            </w:r>
            <w:r w:rsidR="00E2626A">
              <w:rPr>
                <w:rFonts w:asciiTheme="minorHAnsi" w:eastAsia="Times New Roman" w:hAnsiTheme="minorHAnsi"/>
                <w:color w:val="000000" w:themeColor="text1"/>
                <w:szCs w:val="24"/>
              </w:rPr>
              <w:t>2,628</w:t>
            </w:r>
            <w:r>
              <w:rPr>
                <w:rFonts w:asciiTheme="minorHAnsi" w:eastAsia="Times New Roman" w:hAnsiTheme="minorHAnsi"/>
                <w:color w:val="000000" w:themeColor="text1"/>
                <w:szCs w:val="24"/>
              </w:rPr>
              <w:t>)</w:t>
            </w:r>
          </w:p>
        </w:tc>
        <w:tc>
          <w:tcPr>
            <w:tcW w:w="0" w:type="auto"/>
          </w:tcPr>
          <w:p w14:paraId="7F60ED00" w14:textId="20B6F61F" w:rsidR="00360B54" w:rsidRDefault="00E2626A" w:rsidP="008C50E3">
            <w:pPr>
              <w:widowControl/>
              <w:autoSpaceDE/>
              <w:autoSpaceDN/>
              <w:jc w:val="center"/>
              <w:rPr>
                <w:rFonts w:asciiTheme="minorHAnsi" w:eastAsia="Times New Roman" w:hAnsiTheme="minorHAnsi"/>
                <w:color w:val="000000" w:themeColor="text1"/>
                <w:szCs w:val="24"/>
              </w:rPr>
            </w:pPr>
            <w:r>
              <w:rPr>
                <w:rFonts w:asciiTheme="minorHAnsi" w:eastAsia="Times New Roman" w:hAnsiTheme="minorHAnsi"/>
                <w:color w:val="000000" w:themeColor="text1"/>
                <w:szCs w:val="24"/>
              </w:rPr>
              <w:t>3,500</w:t>
            </w:r>
          </w:p>
        </w:tc>
        <w:tc>
          <w:tcPr>
            <w:tcW w:w="0" w:type="auto"/>
            <w:vAlign w:val="center"/>
          </w:tcPr>
          <w:p w14:paraId="44711468" w14:textId="57B352B0" w:rsidR="00360B54" w:rsidRPr="00082CDA" w:rsidRDefault="00E2626A" w:rsidP="008C50E3">
            <w:pPr>
              <w:widowControl/>
              <w:autoSpaceDE/>
              <w:autoSpaceDN/>
              <w:jc w:val="center"/>
              <w:rPr>
                <w:rFonts w:asciiTheme="minorHAnsi" w:eastAsia="Times New Roman" w:hAnsiTheme="minorHAnsi"/>
                <w:color w:val="000000" w:themeColor="text1"/>
                <w:szCs w:val="24"/>
              </w:rPr>
            </w:pPr>
            <w:r>
              <w:rPr>
                <w:rFonts w:asciiTheme="minorHAnsi" w:eastAsia="Times New Roman" w:hAnsiTheme="minorHAnsi"/>
                <w:color w:val="000000" w:themeColor="text1"/>
                <w:szCs w:val="24"/>
              </w:rPr>
              <w:t>75%</w:t>
            </w:r>
          </w:p>
        </w:tc>
      </w:tr>
    </w:tbl>
    <w:p w14:paraId="3F01B153" w14:textId="77777777" w:rsidR="00082CDA" w:rsidRDefault="00082CDA" w:rsidP="00043618">
      <w:pPr>
        <w:pStyle w:val="BodyText"/>
        <w:spacing w:line="269" w:lineRule="exact"/>
        <w:rPr>
          <w:rFonts w:asciiTheme="minorHAnsi" w:hAnsiTheme="minorHAnsi"/>
        </w:rPr>
      </w:pPr>
    </w:p>
    <w:p w14:paraId="343BFDB4" w14:textId="3519726F" w:rsidR="00007EEC" w:rsidRDefault="00171B0A" w:rsidP="00E43477">
      <w:pPr>
        <w:pStyle w:val="BodyText"/>
        <w:spacing w:line="269" w:lineRule="exact"/>
        <w:rPr>
          <w:rFonts w:asciiTheme="minorHAnsi" w:hAnsiTheme="minorHAnsi"/>
        </w:rPr>
      </w:pPr>
      <w:r>
        <w:rPr>
          <w:rFonts w:asciiTheme="minorHAnsi" w:hAnsiTheme="minorHAnsi"/>
        </w:rPr>
        <w:t xml:space="preserve">The Original DoN stated that the ASC would address Patient Panel need for endoscopy services by shifting clinically appropriate cases from Emerson Hospital to the Center. </w:t>
      </w:r>
      <w:r w:rsidR="006D62D6">
        <w:rPr>
          <w:rFonts w:asciiTheme="minorHAnsi" w:hAnsiTheme="minorHAnsi"/>
        </w:rPr>
        <w:t xml:space="preserve">Table </w:t>
      </w:r>
      <w:r w:rsidR="000B4947">
        <w:rPr>
          <w:rFonts w:asciiTheme="minorHAnsi" w:hAnsiTheme="minorHAnsi"/>
        </w:rPr>
        <w:t>1</w:t>
      </w:r>
      <w:r w:rsidR="00A9310C">
        <w:rPr>
          <w:rFonts w:asciiTheme="minorHAnsi" w:hAnsiTheme="minorHAnsi"/>
        </w:rPr>
        <w:t>2</w:t>
      </w:r>
      <w:r w:rsidR="006D62D6">
        <w:rPr>
          <w:rFonts w:asciiTheme="minorHAnsi" w:hAnsiTheme="minorHAnsi"/>
        </w:rPr>
        <w:t xml:space="preserve"> from the Original DoN, shows projected endoscopy case volume at the </w:t>
      </w:r>
      <w:r w:rsidR="006D4173">
        <w:rPr>
          <w:rFonts w:asciiTheme="minorHAnsi" w:hAnsiTheme="minorHAnsi"/>
        </w:rPr>
        <w:t>Center</w:t>
      </w:r>
      <w:r w:rsidR="006D62D6">
        <w:rPr>
          <w:rFonts w:asciiTheme="minorHAnsi" w:hAnsiTheme="minorHAnsi"/>
        </w:rPr>
        <w:t xml:space="preserve"> and Emerson Hospital.</w:t>
      </w:r>
      <w:r w:rsidR="00655BD5" w:rsidRPr="00655BD5">
        <w:rPr>
          <w:rFonts w:asciiTheme="minorHAnsi" w:hAnsiTheme="minorHAnsi"/>
        </w:rPr>
        <w:t xml:space="preserve"> In the Original DoN, EDHC stated that the projections were based on historical utilization with modest growth over time.</w:t>
      </w:r>
      <w:r w:rsidR="00E43477" w:rsidRPr="00E43477">
        <w:rPr>
          <w:rFonts w:asciiTheme="minorHAnsi" w:hAnsiTheme="minorHAnsi"/>
        </w:rPr>
        <w:t xml:space="preserve"> In the Original DoN, EDHC projected that overall cases would increase, but at Emerson Hospital, they were expected to decrease over time as case volume at the Center increased. </w:t>
      </w:r>
    </w:p>
    <w:p w14:paraId="71D6F1C6" w14:textId="77777777" w:rsidR="00007EEC" w:rsidRDefault="00007EEC" w:rsidP="00E43477">
      <w:pPr>
        <w:pStyle w:val="BodyText"/>
        <w:spacing w:line="269" w:lineRule="exact"/>
        <w:rPr>
          <w:rFonts w:asciiTheme="minorHAnsi" w:hAnsiTheme="minorHAnsi"/>
        </w:rPr>
      </w:pPr>
    </w:p>
    <w:p w14:paraId="133486AE" w14:textId="32E8DB40" w:rsidR="00E43477" w:rsidRPr="00E43477" w:rsidRDefault="00E43477" w:rsidP="00E43477">
      <w:pPr>
        <w:pStyle w:val="BodyText"/>
        <w:spacing w:line="269" w:lineRule="exact"/>
        <w:rPr>
          <w:rFonts w:asciiTheme="minorHAnsi" w:hAnsiTheme="minorHAnsi"/>
        </w:rPr>
      </w:pPr>
      <w:r w:rsidRPr="00E43477">
        <w:rPr>
          <w:rFonts w:asciiTheme="minorHAnsi" w:hAnsiTheme="minorHAnsi"/>
        </w:rPr>
        <w:t xml:space="preserve">The Applicant provided data to show that the Center has effectively shifted clinically appropriate </w:t>
      </w:r>
      <w:r w:rsidR="00F11947">
        <w:rPr>
          <w:rFonts w:asciiTheme="minorHAnsi" w:hAnsiTheme="minorHAnsi"/>
        </w:rPr>
        <w:t xml:space="preserve">(routine) </w:t>
      </w:r>
      <w:r w:rsidRPr="00E43477">
        <w:rPr>
          <w:rFonts w:asciiTheme="minorHAnsi" w:hAnsiTheme="minorHAnsi"/>
        </w:rPr>
        <w:t>cases from Emerson Hospital to the ASC setting</w:t>
      </w:r>
      <w:r w:rsidR="00B664D1">
        <w:rPr>
          <w:rFonts w:asciiTheme="minorHAnsi" w:hAnsiTheme="minorHAnsi"/>
        </w:rPr>
        <w:t xml:space="preserve"> based on available capacity at the Center. W</w:t>
      </w:r>
      <w:r w:rsidRPr="00E43477">
        <w:rPr>
          <w:rFonts w:asciiTheme="minorHAnsi" w:hAnsiTheme="minorHAnsi"/>
        </w:rPr>
        <w:t xml:space="preserve">hen the Center first opened the majority of cases were performed at Emerson Hospital, </w:t>
      </w:r>
      <w:r w:rsidR="00B664D1">
        <w:rPr>
          <w:rFonts w:asciiTheme="minorHAnsi" w:hAnsiTheme="minorHAnsi"/>
        </w:rPr>
        <w:t xml:space="preserve">and </w:t>
      </w:r>
      <w:r w:rsidR="00CF4107">
        <w:rPr>
          <w:rFonts w:asciiTheme="minorHAnsi" w:hAnsiTheme="minorHAnsi"/>
        </w:rPr>
        <w:t>presently</w:t>
      </w:r>
      <w:r w:rsidR="00B664D1">
        <w:rPr>
          <w:rFonts w:asciiTheme="minorHAnsi" w:hAnsiTheme="minorHAnsi"/>
        </w:rPr>
        <w:t xml:space="preserve">, </w:t>
      </w:r>
      <w:r w:rsidRPr="00E43477">
        <w:rPr>
          <w:rFonts w:asciiTheme="minorHAnsi" w:hAnsiTheme="minorHAnsi"/>
        </w:rPr>
        <w:t xml:space="preserve">the majority of cases are performed at the Center. This is shown in Table 13. </w:t>
      </w:r>
    </w:p>
    <w:p w14:paraId="0DE1B57D" w14:textId="77777777" w:rsidR="006D62D6" w:rsidRDefault="006D62D6" w:rsidP="00171B0A">
      <w:pPr>
        <w:pStyle w:val="BodyText"/>
        <w:spacing w:line="269" w:lineRule="exact"/>
        <w:rPr>
          <w:rFonts w:asciiTheme="minorHAnsi" w:hAnsiTheme="minorHAnsi"/>
        </w:rPr>
      </w:pPr>
    </w:p>
    <w:p w14:paraId="42D9E319" w14:textId="0313E4CF" w:rsidR="00CB25C7" w:rsidRPr="005656E3" w:rsidRDefault="00CB25C7" w:rsidP="00171B0A">
      <w:pPr>
        <w:pStyle w:val="BodyText"/>
        <w:spacing w:line="269" w:lineRule="exact"/>
        <w:rPr>
          <w:rFonts w:asciiTheme="minorHAnsi" w:hAnsiTheme="minorHAnsi"/>
          <w:b/>
        </w:rPr>
      </w:pPr>
      <w:r w:rsidRPr="005656E3">
        <w:rPr>
          <w:rFonts w:asciiTheme="minorHAnsi" w:hAnsiTheme="minorHAnsi"/>
          <w:b/>
          <w:bCs/>
          <w:u w:val="single"/>
        </w:rPr>
        <w:t xml:space="preserve">Table </w:t>
      </w:r>
      <w:r w:rsidR="000B4947">
        <w:rPr>
          <w:rFonts w:asciiTheme="minorHAnsi" w:hAnsiTheme="minorHAnsi"/>
          <w:b/>
          <w:bCs/>
          <w:u w:val="single"/>
        </w:rPr>
        <w:t>1</w:t>
      </w:r>
      <w:r w:rsidR="00A9310C">
        <w:rPr>
          <w:rFonts w:asciiTheme="minorHAnsi" w:hAnsiTheme="minorHAnsi"/>
          <w:b/>
          <w:bCs/>
          <w:u w:val="single"/>
        </w:rPr>
        <w:t>2</w:t>
      </w:r>
      <w:r w:rsidR="00C81794" w:rsidRPr="005656E3">
        <w:rPr>
          <w:rFonts w:asciiTheme="minorHAnsi" w:hAnsiTheme="minorHAnsi"/>
          <w:b/>
          <w:bCs/>
        </w:rPr>
        <w:t>: Projected Endoscopy Procedures by Site from the Original DoN</w:t>
      </w:r>
      <w:r w:rsidR="00A640FA">
        <w:rPr>
          <w:rFonts w:asciiTheme="minorHAnsi" w:hAnsiTheme="minorHAnsi"/>
          <w:b/>
          <w:bCs/>
        </w:rPr>
        <w:t>, 2022 to 2026</w:t>
      </w:r>
    </w:p>
    <w:tbl>
      <w:tblPr>
        <w:tblStyle w:val="TableGrid"/>
        <w:tblW w:w="0" w:type="auto"/>
        <w:tblLook w:val="04A0" w:firstRow="1" w:lastRow="0" w:firstColumn="1" w:lastColumn="0" w:noHBand="0" w:noVBand="1"/>
      </w:tblPr>
      <w:tblGrid>
        <w:gridCol w:w="1645"/>
        <w:gridCol w:w="714"/>
        <w:gridCol w:w="856"/>
        <w:gridCol w:w="714"/>
        <w:gridCol w:w="856"/>
        <w:gridCol w:w="714"/>
        <w:gridCol w:w="856"/>
        <w:gridCol w:w="714"/>
        <w:gridCol w:w="856"/>
        <w:gridCol w:w="714"/>
        <w:gridCol w:w="856"/>
      </w:tblGrid>
      <w:tr w:rsidR="00B446DA" w:rsidRPr="00B446DA" w14:paraId="0947A0CF" w14:textId="7C840CBB">
        <w:tc>
          <w:tcPr>
            <w:tcW w:w="0" w:type="auto"/>
            <w:shd w:val="clear" w:color="auto" w:fill="DBE5F1" w:themeFill="accent1" w:themeFillTint="33"/>
          </w:tcPr>
          <w:p w14:paraId="02C0EAC6" w14:textId="77777777" w:rsidR="00B446DA" w:rsidRPr="005656E3" w:rsidRDefault="00B446DA" w:rsidP="00B446DA">
            <w:pPr>
              <w:pStyle w:val="BodyText"/>
              <w:rPr>
                <w:rFonts w:asciiTheme="minorHAnsi" w:hAnsiTheme="minorHAnsi"/>
                <w:b/>
                <w:bCs/>
                <w:sz w:val="20"/>
                <w:szCs w:val="20"/>
              </w:rPr>
            </w:pPr>
            <w:r w:rsidRPr="005656E3">
              <w:rPr>
                <w:rFonts w:asciiTheme="minorHAnsi" w:hAnsiTheme="minorHAnsi"/>
                <w:b/>
                <w:bCs/>
                <w:sz w:val="20"/>
                <w:szCs w:val="20"/>
              </w:rPr>
              <w:t>Location</w:t>
            </w:r>
          </w:p>
        </w:tc>
        <w:tc>
          <w:tcPr>
            <w:tcW w:w="0" w:type="auto"/>
            <w:shd w:val="clear" w:color="auto" w:fill="DBE5F1" w:themeFill="accent1" w:themeFillTint="33"/>
          </w:tcPr>
          <w:p w14:paraId="3DFB51D2" w14:textId="77777777" w:rsidR="00B446DA" w:rsidRPr="005656E3" w:rsidRDefault="00B446DA" w:rsidP="005656E3">
            <w:pPr>
              <w:pStyle w:val="BodyText"/>
              <w:jc w:val="center"/>
              <w:rPr>
                <w:rFonts w:asciiTheme="minorHAnsi" w:hAnsiTheme="minorHAnsi"/>
                <w:b/>
                <w:bCs/>
                <w:sz w:val="20"/>
                <w:szCs w:val="20"/>
              </w:rPr>
            </w:pPr>
            <w:r w:rsidRPr="005656E3">
              <w:rPr>
                <w:rFonts w:asciiTheme="minorHAnsi" w:hAnsiTheme="minorHAnsi"/>
                <w:b/>
                <w:bCs/>
                <w:sz w:val="20"/>
                <w:szCs w:val="20"/>
              </w:rPr>
              <w:t>2022</w:t>
            </w:r>
          </w:p>
          <w:p w14:paraId="6D7EBF5A" w14:textId="77777777" w:rsidR="00B446DA" w:rsidRPr="005656E3" w:rsidRDefault="00B446DA" w:rsidP="005656E3">
            <w:pPr>
              <w:pStyle w:val="BodyText"/>
              <w:jc w:val="center"/>
              <w:rPr>
                <w:rFonts w:asciiTheme="minorHAnsi" w:hAnsiTheme="minorHAnsi"/>
                <w:b/>
                <w:bCs/>
                <w:sz w:val="20"/>
                <w:szCs w:val="20"/>
              </w:rPr>
            </w:pPr>
            <w:r w:rsidRPr="005656E3">
              <w:rPr>
                <w:rFonts w:asciiTheme="minorHAnsi" w:hAnsiTheme="minorHAnsi"/>
                <w:b/>
                <w:bCs/>
                <w:sz w:val="20"/>
                <w:szCs w:val="20"/>
              </w:rPr>
              <w:t>Count</w:t>
            </w:r>
          </w:p>
        </w:tc>
        <w:tc>
          <w:tcPr>
            <w:tcW w:w="0" w:type="auto"/>
            <w:shd w:val="clear" w:color="auto" w:fill="DBE5F1" w:themeFill="accent1" w:themeFillTint="33"/>
          </w:tcPr>
          <w:p w14:paraId="327FDD47" w14:textId="77777777" w:rsidR="00B446DA" w:rsidRPr="005656E3" w:rsidRDefault="00B446DA" w:rsidP="005656E3">
            <w:pPr>
              <w:pStyle w:val="BodyText"/>
              <w:jc w:val="center"/>
              <w:rPr>
                <w:rFonts w:asciiTheme="minorHAnsi" w:hAnsiTheme="minorHAnsi"/>
                <w:b/>
                <w:bCs/>
                <w:sz w:val="20"/>
                <w:szCs w:val="20"/>
              </w:rPr>
            </w:pPr>
            <w:r w:rsidRPr="005656E3">
              <w:rPr>
                <w:rFonts w:asciiTheme="minorHAnsi" w:hAnsiTheme="minorHAnsi"/>
                <w:b/>
                <w:bCs/>
                <w:sz w:val="20"/>
                <w:szCs w:val="20"/>
              </w:rPr>
              <w:t>2022</w:t>
            </w:r>
          </w:p>
          <w:p w14:paraId="6E58B0C0" w14:textId="77777777" w:rsidR="00B446DA" w:rsidRPr="005656E3" w:rsidRDefault="00B446DA" w:rsidP="005656E3">
            <w:pPr>
              <w:pStyle w:val="BodyText"/>
              <w:jc w:val="center"/>
              <w:rPr>
                <w:rFonts w:asciiTheme="minorHAnsi" w:hAnsiTheme="minorHAnsi"/>
                <w:b/>
                <w:bCs/>
                <w:sz w:val="20"/>
                <w:szCs w:val="20"/>
              </w:rPr>
            </w:pPr>
            <w:r w:rsidRPr="005656E3">
              <w:rPr>
                <w:rFonts w:asciiTheme="minorHAnsi" w:hAnsiTheme="minorHAnsi"/>
                <w:b/>
                <w:bCs/>
                <w:sz w:val="20"/>
                <w:szCs w:val="20"/>
              </w:rPr>
              <w:t>Percent</w:t>
            </w:r>
          </w:p>
        </w:tc>
        <w:tc>
          <w:tcPr>
            <w:tcW w:w="0" w:type="auto"/>
            <w:shd w:val="clear" w:color="auto" w:fill="DBE5F1" w:themeFill="accent1" w:themeFillTint="33"/>
          </w:tcPr>
          <w:p w14:paraId="5B81AC49" w14:textId="77777777" w:rsidR="00B446DA" w:rsidRPr="005656E3" w:rsidRDefault="00B446DA" w:rsidP="005656E3">
            <w:pPr>
              <w:pStyle w:val="BodyText"/>
              <w:jc w:val="center"/>
              <w:rPr>
                <w:rFonts w:asciiTheme="minorHAnsi" w:hAnsiTheme="minorHAnsi"/>
                <w:b/>
                <w:bCs/>
                <w:sz w:val="20"/>
                <w:szCs w:val="20"/>
              </w:rPr>
            </w:pPr>
            <w:r w:rsidRPr="005656E3">
              <w:rPr>
                <w:rFonts w:asciiTheme="minorHAnsi" w:hAnsiTheme="minorHAnsi"/>
                <w:b/>
                <w:bCs/>
                <w:sz w:val="20"/>
                <w:szCs w:val="20"/>
              </w:rPr>
              <w:t>2023</w:t>
            </w:r>
          </w:p>
          <w:p w14:paraId="18BB5426" w14:textId="77777777" w:rsidR="00B446DA" w:rsidRPr="005656E3" w:rsidRDefault="00B446DA" w:rsidP="005656E3">
            <w:pPr>
              <w:pStyle w:val="BodyText"/>
              <w:jc w:val="center"/>
              <w:rPr>
                <w:rFonts w:asciiTheme="minorHAnsi" w:hAnsiTheme="minorHAnsi"/>
                <w:b/>
                <w:bCs/>
                <w:sz w:val="20"/>
                <w:szCs w:val="20"/>
              </w:rPr>
            </w:pPr>
            <w:r w:rsidRPr="005656E3">
              <w:rPr>
                <w:rFonts w:asciiTheme="minorHAnsi" w:hAnsiTheme="minorHAnsi"/>
                <w:b/>
                <w:bCs/>
                <w:sz w:val="20"/>
                <w:szCs w:val="20"/>
              </w:rPr>
              <w:t>Count</w:t>
            </w:r>
          </w:p>
        </w:tc>
        <w:tc>
          <w:tcPr>
            <w:tcW w:w="0" w:type="auto"/>
            <w:shd w:val="clear" w:color="auto" w:fill="DBE5F1" w:themeFill="accent1" w:themeFillTint="33"/>
          </w:tcPr>
          <w:p w14:paraId="6597F14C" w14:textId="77777777" w:rsidR="00B446DA" w:rsidRPr="005656E3" w:rsidRDefault="00B446DA" w:rsidP="005656E3">
            <w:pPr>
              <w:pStyle w:val="BodyText"/>
              <w:jc w:val="center"/>
              <w:rPr>
                <w:rFonts w:asciiTheme="minorHAnsi" w:hAnsiTheme="minorHAnsi"/>
                <w:b/>
                <w:bCs/>
                <w:sz w:val="20"/>
                <w:szCs w:val="20"/>
              </w:rPr>
            </w:pPr>
            <w:r w:rsidRPr="005656E3">
              <w:rPr>
                <w:rFonts w:asciiTheme="minorHAnsi" w:hAnsiTheme="minorHAnsi"/>
                <w:b/>
                <w:bCs/>
                <w:sz w:val="20"/>
                <w:szCs w:val="20"/>
              </w:rPr>
              <w:t>2023</w:t>
            </w:r>
          </w:p>
          <w:p w14:paraId="1110D2FE" w14:textId="77777777" w:rsidR="00B446DA" w:rsidRPr="005656E3" w:rsidRDefault="00B446DA" w:rsidP="005656E3">
            <w:pPr>
              <w:pStyle w:val="BodyText"/>
              <w:jc w:val="center"/>
              <w:rPr>
                <w:rFonts w:asciiTheme="minorHAnsi" w:hAnsiTheme="minorHAnsi"/>
                <w:b/>
                <w:bCs/>
                <w:sz w:val="20"/>
                <w:szCs w:val="20"/>
              </w:rPr>
            </w:pPr>
            <w:r w:rsidRPr="005656E3">
              <w:rPr>
                <w:rFonts w:asciiTheme="minorHAnsi" w:hAnsiTheme="minorHAnsi"/>
                <w:b/>
                <w:bCs/>
                <w:sz w:val="20"/>
                <w:szCs w:val="20"/>
              </w:rPr>
              <w:t>Percent</w:t>
            </w:r>
          </w:p>
        </w:tc>
        <w:tc>
          <w:tcPr>
            <w:tcW w:w="0" w:type="auto"/>
            <w:shd w:val="clear" w:color="auto" w:fill="DBE5F1" w:themeFill="accent1" w:themeFillTint="33"/>
          </w:tcPr>
          <w:p w14:paraId="4D7B20B5" w14:textId="77777777" w:rsidR="00B446DA" w:rsidRPr="005656E3" w:rsidRDefault="00B446DA" w:rsidP="005656E3">
            <w:pPr>
              <w:pStyle w:val="BodyText"/>
              <w:jc w:val="center"/>
              <w:rPr>
                <w:rFonts w:asciiTheme="minorHAnsi" w:hAnsiTheme="minorHAnsi"/>
                <w:b/>
                <w:bCs/>
                <w:sz w:val="20"/>
                <w:szCs w:val="20"/>
              </w:rPr>
            </w:pPr>
            <w:r w:rsidRPr="005656E3">
              <w:rPr>
                <w:rFonts w:asciiTheme="minorHAnsi" w:hAnsiTheme="minorHAnsi"/>
                <w:b/>
                <w:bCs/>
                <w:sz w:val="20"/>
                <w:szCs w:val="20"/>
              </w:rPr>
              <w:t>2024</w:t>
            </w:r>
          </w:p>
          <w:p w14:paraId="07A28FB5" w14:textId="77777777" w:rsidR="00B446DA" w:rsidRPr="005656E3" w:rsidRDefault="00B446DA" w:rsidP="005656E3">
            <w:pPr>
              <w:pStyle w:val="BodyText"/>
              <w:jc w:val="center"/>
              <w:rPr>
                <w:rFonts w:asciiTheme="minorHAnsi" w:hAnsiTheme="minorHAnsi"/>
                <w:b/>
                <w:bCs/>
                <w:sz w:val="20"/>
                <w:szCs w:val="20"/>
              </w:rPr>
            </w:pPr>
            <w:r w:rsidRPr="005656E3">
              <w:rPr>
                <w:rFonts w:asciiTheme="minorHAnsi" w:hAnsiTheme="minorHAnsi"/>
                <w:b/>
                <w:bCs/>
                <w:sz w:val="20"/>
                <w:szCs w:val="20"/>
              </w:rPr>
              <w:t>Count</w:t>
            </w:r>
          </w:p>
        </w:tc>
        <w:tc>
          <w:tcPr>
            <w:tcW w:w="0" w:type="auto"/>
            <w:shd w:val="clear" w:color="auto" w:fill="DBE5F1" w:themeFill="accent1" w:themeFillTint="33"/>
          </w:tcPr>
          <w:p w14:paraId="026FBEF7" w14:textId="77777777" w:rsidR="00B446DA" w:rsidRPr="005656E3" w:rsidRDefault="00B446DA" w:rsidP="005656E3">
            <w:pPr>
              <w:pStyle w:val="BodyText"/>
              <w:jc w:val="center"/>
              <w:rPr>
                <w:rFonts w:asciiTheme="minorHAnsi" w:hAnsiTheme="minorHAnsi"/>
                <w:b/>
                <w:bCs/>
                <w:sz w:val="20"/>
                <w:szCs w:val="20"/>
              </w:rPr>
            </w:pPr>
            <w:r w:rsidRPr="005656E3">
              <w:rPr>
                <w:rFonts w:asciiTheme="minorHAnsi" w:hAnsiTheme="minorHAnsi"/>
                <w:b/>
                <w:bCs/>
                <w:sz w:val="20"/>
                <w:szCs w:val="20"/>
              </w:rPr>
              <w:t>2024</w:t>
            </w:r>
          </w:p>
          <w:p w14:paraId="13FDC3A7" w14:textId="77777777" w:rsidR="00B446DA" w:rsidRPr="005656E3" w:rsidRDefault="00B446DA" w:rsidP="005656E3">
            <w:pPr>
              <w:pStyle w:val="BodyText"/>
              <w:jc w:val="center"/>
              <w:rPr>
                <w:rFonts w:asciiTheme="minorHAnsi" w:hAnsiTheme="minorHAnsi"/>
                <w:b/>
                <w:bCs/>
                <w:sz w:val="20"/>
                <w:szCs w:val="20"/>
              </w:rPr>
            </w:pPr>
            <w:r w:rsidRPr="005656E3">
              <w:rPr>
                <w:rFonts w:asciiTheme="minorHAnsi" w:hAnsiTheme="minorHAnsi"/>
                <w:b/>
                <w:bCs/>
                <w:sz w:val="20"/>
                <w:szCs w:val="20"/>
              </w:rPr>
              <w:t>Percent</w:t>
            </w:r>
          </w:p>
        </w:tc>
        <w:tc>
          <w:tcPr>
            <w:tcW w:w="0" w:type="auto"/>
            <w:shd w:val="clear" w:color="auto" w:fill="DBE5F1" w:themeFill="accent1" w:themeFillTint="33"/>
          </w:tcPr>
          <w:p w14:paraId="0DA61E1B" w14:textId="64F8C531" w:rsidR="00B446DA" w:rsidRPr="005656E3" w:rsidRDefault="00B446DA" w:rsidP="005656E3">
            <w:pPr>
              <w:pStyle w:val="BodyText"/>
              <w:jc w:val="center"/>
              <w:rPr>
                <w:rFonts w:asciiTheme="minorHAnsi" w:hAnsiTheme="minorHAnsi"/>
                <w:b/>
                <w:bCs/>
                <w:sz w:val="20"/>
                <w:szCs w:val="20"/>
              </w:rPr>
            </w:pPr>
            <w:r w:rsidRPr="005656E3">
              <w:rPr>
                <w:rFonts w:asciiTheme="minorHAnsi" w:hAnsiTheme="minorHAnsi"/>
                <w:b/>
                <w:bCs/>
                <w:sz w:val="20"/>
                <w:szCs w:val="20"/>
              </w:rPr>
              <w:t>202</w:t>
            </w:r>
            <w:r>
              <w:rPr>
                <w:rFonts w:asciiTheme="minorHAnsi" w:hAnsiTheme="minorHAnsi"/>
                <w:b/>
                <w:bCs/>
                <w:sz w:val="20"/>
                <w:szCs w:val="20"/>
              </w:rPr>
              <w:t>5</w:t>
            </w:r>
          </w:p>
          <w:p w14:paraId="7742DA75" w14:textId="38DDB3BF" w:rsidR="00B446DA" w:rsidRPr="00B446DA" w:rsidRDefault="00B446DA" w:rsidP="00B446DA">
            <w:pPr>
              <w:pStyle w:val="BodyText"/>
              <w:jc w:val="center"/>
              <w:rPr>
                <w:rFonts w:asciiTheme="minorHAnsi" w:hAnsiTheme="minorHAnsi"/>
                <w:b/>
                <w:bCs/>
                <w:sz w:val="20"/>
                <w:szCs w:val="20"/>
              </w:rPr>
            </w:pPr>
            <w:r w:rsidRPr="005656E3">
              <w:rPr>
                <w:rFonts w:asciiTheme="minorHAnsi" w:hAnsiTheme="minorHAnsi"/>
                <w:b/>
                <w:bCs/>
                <w:sz w:val="20"/>
                <w:szCs w:val="20"/>
              </w:rPr>
              <w:t>Count</w:t>
            </w:r>
          </w:p>
        </w:tc>
        <w:tc>
          <w:tcPr>
            <w:tcW w:w="0" w:type="auto"/>
            <w:shd w:val="clear" w:color="auto" w:fill="DBE5F1" w:themeFill="accent1" w:themeFillTint="33"/>
          </w:tcPr>
          <w:p w14:paraId="2C457A3C" w14:textId="38E6103F" w:rsidR="00B446DA" w:rsidRPr="005656E3" w:rsidRDefault="00B446DA" w:rsidP="005656E3">
            <w:pPr>
              <w:pStyle w:val="BodyText"/>
              <w:jc w:val="center"/>
              <w:rPr>
                <w:rFonts w:asciiTheme="minorHAnsi" w:hAnsiTheme="minorHAnsi"/>
                <w:b/>
                <w:bCs/>
                <w:sz w:val="20"/>
                <w:szCs w:val="20"/>
              </w:rPr>
            </w:pPr>
            <w:r w:rsidRPr="005656E3">
              <w:rPr>
                <w:rFonts w:asciiTheme="minorHAnsi" w:hAnsiTheme="minorHAnsi"/>
                <w:b/>
                <w:bCs/>
                <w:sz w:val="20"/>
                <w:szCs w:val="20"/>
              </w:rPr>
              <w:t>202</w:t>
            </w:r>
            <w:r>
              <w:rPr>
                <w:rFonts w:asciiTheme="minorHAnsi" w:hAnsiTheme="minorHAnsi"/>
                <w:b/>
                <w:bCs/>
                <w:sz w:val="20"/>
                <w:szCs w:val="20"/>
              </w:rPr>
              <w:t>5</w:t>
            </w:r>
          </w:p>
          <w:p w14:paraId="68DC09F6" w14:textId="006F0D18" w:rsidR="00B446DA" w:rsidRPr="00B446DA" w:rsidRDefault="00B446DA" w:rsidP="00B446DA">
            <w:pPr>
              <w:pStyle w:val="BodyText"/>
              <w:jc w:val="center"/>
              <w:rPr>
                <w:rFonts w:asciiTheme="minorHAnsi" w:hAnsiTheme="minorHAnsi"/>
                <w:b/>
                <w:bCs/>
                <w:sz w:val="20"/>
                <w:szCs w:val="20"/>
              </w:rPr>
            </w:pPr>
            <w:r w:rsidRPr="005656E3">
              <w:rPr>
                <w:rFonts w:asciiTheme="minorHAnsi" w:hAnsiTheme="minorHAnsi"/>
                <w:b/>
                <w:bCs/>
                <w:sz w:val="20"/>
                <w:szCs w:val="20"/>
              </w:rPr>
              <w:t>Percent</w:t>
            </w:r>
          </w:p>
        </w:tc>
        <w:tc>
          <w:tcPr>
            <w:tcW w:w="0" w:type="auto"/>
            <w:shd w:val="clear" w:color="auto" w:fill="DBE5F1" w:themeFill="accent1" w:themeFillTint="33"/>
          </w:tcPr>
          <w:p w14:paraId="25C35669" w14:textId="7B48BE15" w:rsidR="00B446DA" w:rsidRPr="005656E3" w:rsidRDefault="00B446DA" w:rsidP="005656E3">
            <w:pPr>
              <w:pStyle w:val="BodyText"/>
              <w:jc w:val="center"/>
              <w:rPr>
                <w:rFonts w:asciiTheme="minorHAnsi" w:hAnsiTheme="minorHAnsi"/>
                <w:b/>
                <w:bCs/>
                <w:sz w:val="20"/>
                <w:szCs w:val="20"/>
              </w:rPr>
            </w:pPr>
            <w:r w:rsidRPr="005656E3">
              <w:rPr>
                <w:rFonts w:asciiTheme="minorHAnsi" w:hAnsiTheme="minorHAnsi"/>
                <w:b/>
                <w:bCs/>
                <w:sz w:val="20"/>
                <w:szCs w:val="20"/>
              </w:rPr>
              <w:t>202</w:t>
            </w:r>
            <w:r>
              <w:rPr>
                <w:rFonts w:asciiTheme="minorHAnsi" w:hAnsiTheme="minorHAnsi"/>
                <w:b/>
                <w:bCs/>
                <w:sz w:val="20"/>
                <w:szCs w:val="20"/>
              </w:rPr>
              <w:t>6</w:t>
            </w:r>
          </w:p>
          <w:p w14:paraId="3720B314" w14:textId="51D6D3AF" w:rsidR="00B446DA" w:rsidRPr="00B446DA" w:rsidRDefault="00B446DA" w:rsidP="00B446DA">
            <w:pPr>
              <w:pStyle w:val="BodyText"/>
              <w:jc w:val="center"/>
              <w:rPr>
                <w:rFonts w:asciiTheme="minorHAnsi" w:hAnsiTheme="minorHAnsi"/>
                <w:b/>
                <w:bCs/>
                <w:sz w:val="20"/>
                <w:szCs w:val="20"/>
              </w:rPr>
            </w:pPr>
            <w:r w:rsidRPr="005656E3">
              <w:rPr>
                <w:rFonts w:asciiTheme="minorHAnsi" w:hAnsiTheme="minorHAnsi"/>
                <w:b/>
                <w:bCs/>
                <w:sz w:val="20"/>
                <w:szCs w:val="20"/>
              </w:rPr>
              <w:t>Count</w:t>
            </w:r>
          </w:p>
        </w:tc>
        <w:tc>
          <w:tcPr>
            <w:tcW w:w="0" w:type="auto"/>
            <w:shd w:val="clear" w:color="auto" w:fill="DBE5F1" w:themeFill="accent1" w:themeFillTint="33"/>
          </w:tcPr>
          <w:p w14:paraId="3983BCBD" w14:textId="2AE89370" w:rsidR="00B446DA" w:rsidRPr="005656E3" w:rsidRDefault="00B446DA" w:rsidP="005656E3">
            <w:pPr>
              <w:pStyle w:val="BodyText"/>
              <w:jc w:val="center"/>
              <w:rPr>
                <w:rFonts w:asciiTheme="minorHAnsi" w:hAnsiTheme="minorHAnsi"/>
                <w:b/>
                <w:bCs/>
                <w:sz w:val="20"/>
                <w:szCs w:val="20"/>
              </w:rPr>
            </w:pPr>
            <w:r w:rsidRPr="005656E3">
              <w:rPr>
                <w:rFonts w:asciiTheme="minorHAnsi" w:hAnsiTheme="minorHAnsi"/>
                <w:b/>
                <w:bCs/>
                <w:sz w:val="20"/>
                <w:szCs w:val="20"/>
              </w:rPr>
              <w:t>202</w:t>
            </w:r>
            <w:r>
              <w:rPr>
                <w:rFonts w:asciiTheme="minorHAnsi" w:hAnsiTheme="minorHAnsi"/>
                <w:b/>
                <w:bCs/>
                <w:sz w:val="20"/>
                <w:szCs w:val="20"/>
              </w:rPr>
              <w:t>6</w:t>
            </w:r>
          </w:p>
          <w:p w14:paraId="70E9691A" w14:textId="0DEC622D" w:rsidR="00B446DA" w:rsidRPr="00B446DA" w:rsidRDefault="00B446DA" w:rsidP="00B446DA">
            <w:pPr>
              <w:pStyle w:val="BodyText"/>
              <w:jc w:val="center"/>
              <w:rPr>
                <w:rFonts w:asciiTheme="minorHAnsi" w:hAnsiTheme="minorHAnsi"/>
                <w:b/>
                <w:bCs/>
                <w:sz w:val="20"/>
                <w:szCs w:val="20"/>
              </w:rPr>
            </w:pPr>
            <w:r w:rsidRPr="005656E3">
              <w:rPr>
                <w:rFonts w:asciiTheme="minorHAnsi" w:hAnsiTheme="minorHAnsi"/>
                <w:b/>
                <w:bCs/>
                <w:sz w:val="20"/>
                <w:szCs w:val="20"/>
              </w:rPr>
              <w:t>Percent</w:t>
            </w:r>
          </w:p>
        </w:tc>
      </w:tr>
      <w:tr w:rsidR="00B446DA" w:rsidRPr="00B446DA" w14:paraId="7F053FD4" w14:textId="4AAE3215">
        <w:tc>
          <w:tcPr>
            <w:tcW w:w="0" w:type="auto"/>
          </w:tcPr>
          <w:p w14:paraId="1BF0E617" w14:textId="77777777" w:rsidR="00B446DA" w:rsidRPr="005656E3" w:rsidRDefault="00B446DA" w:rsidP="00B446DA">
            <w:pPr>
              <w:pStyle w:val="BodyText"/>
              <w:rPr>
                <w:rFonts w:asciiTheme="minorHAnsi" w:hAnsiTheme="minorHAnsi"/>
                <w:sz w:val="20"/>
                <w:szCs w:val="20"/>
              </w:rPr>
            </w:pPr>
            <w:r w:rsidRPr="005656E3">
              <w:rPr>
                <w:rFonts w:asciiTheme="minorHAnsi" w:hAnsiTheme="minorHAnsi"/>
                <w:sz w:val="20"/>
                <w:szCs w:val="20"/>
              </w:rPr>
              <w:t>The Center</w:t>
            </w:r>
          </w:p>
        </w:tc>
        <w:tc>
          <w:tcPr>
            <w:tcW w:w="0" w:type="auto"/>
          </w:tcPr>
          <w:p w14:paraId="03B7BF60" w14:textId="5665841F" w:rsidR="00B446DA" w:rsidRPr="005656E3" w:rsidRDefault="00B446DA" w:rsidP="00B446DA">
            <w:pPr>
              <w:pStyle w:val="BodyText"/>
              <w:rPr>
                <w:rFonts w:asciiTheme="minorHAnsi" w:hAnsiTheme="minorHAnsi"/>
                <w:sz w:val="20"/>
                <w:szCs w:val="20"/>
              </w:rPr>
            </w:pPr>
            <w:r w:rsidRPr="005656E3">
              <w:rPr>
                <w:rFonts w:asciiTheme="minorHAnsi" w:hAnsiTheme="minorHAnsi"/>
                <w:sz w:val="20"/>
                <w:szCs w:val="20"/>
              </w:rPr>
              <w:t>3,416</w:t>
            </w:r>
          </w:p>
        </w:tc>
        <w:tc>
          <w:tcPr>
            <w:tcW w:w="0" w:type="auto"/>
          </w:tcPr>
          <w:p w14:paraId="3B357023" w14:textId="4EE70D2D" w:rsidR="00B446DA" w:rsidRPr="005656E3" w:rsidRDefault="00B446DA" w:rsidP="00B446DA">
            <w:pPr>
              <w:pStyle w:val="BodyText"/>
              <w:rPr>
                <w:rFonts w:asciiTheme="minorHAnsi" w:hAnsiTheme="minorHAnsi"/>
                <w:sz w:val="20"/>
                <w:szCs w:val="20"/>
              </w:rPr>
            </w:pPr>
            <w:r w:rsidRPr="005656E3">
              <w:rPr>
                <w:rFonts w:asciiTheme="minorHAnsi" w:hAnsiTheme="minorHAnsi"/>
                <w:sz w:val="20"/>
                <w:szCs w:val="20"/>
              </w:rPr>
              <w:t>81%</w:t>
            </w:r>
          </w:p>
        </w:tc>
        <w:tc>
          <w:tcPr>
            <w:tcW w:w="0" w:type="auto"/>
          </w:tcPr>
          <w:p w14:paraId="0C1BB347" w14:textId="1448D5AC" w:rsidR="00B446DA" w:rsidRPr="005656E3" w:rsidRDefault="00B446DA" w:rsidP="00B446DA">
            <w:pPr>
              <w:pStyle w:val="BodyText"/>
              <w:rPr>
                <w:rFonts w:asciiTheme="minorHAnsi" w:hAnsiTheme="minorHAnsi"/>
                <w:sz w:val="20"/>
                <w:szCs w:val="20"/>
              </w:rPr>
            </w:pPr>
            <w:r w:rsidRPr="005656E3">
              <w:rPr>
                <w:rFonts w:asciiTheme="minorHAnsi" w:hAnsiTheme="minorHAnsi"/>
                <w:sz w:val="20"/>
                <w:szCs w:val="20"/>
              </w:rPr>
              <w:t>4,290</w:t>
            </w:r>
          </w:p>
        </w:tc>
        <w:tc>
          <w:tcPr>
            <w:tcW w:w="0" w:type="auto"/>
          </w:tcPr>
          <w:p w14:paraId="1DB965FD" w14:textId="4F0FD8D1" w:rsidR="00B446DA" w:rsidRPr="005656E3" w:rsidRDefault="00B446DA" w:rsidP="00B446DA">
            <w:pPr>
              <w:pStyle w:val="BodyText"/>
              <w:rPr>
                <w:rFonts w:asciiTheme="minorHAnsi" w:hAnsiTheme="minorHAnsi"/>
                <w:sz w:val="20"/>
                <w:szCs w:val="20"/>
              </w:rPr>
            </w:pPr>
            <w:r w:rsidRPr="005656E3">
              <w:rPr>
                <w:rFonts w:asciiTheme="minorHAnsi" w:hAnsiTheme="minorHAnsi"/>
                <w:sz w:val="20"/>
                <w:szCs w:val="20"/>
              </w:rPr>
              <w:t>84%</w:t>
            </w:r>
          </w:p>
        </w:tc>
        <w:tc>
          <w:tcPr>
            <w:tcW w:w="0" w:type="auto"/>
          </w:tcPr>
          <w:p w14:paraId="6C8A616A" w14:textId="79D62176" w:rsidR="00B446DA" w:rsidRPr="005656E3" w:rsidRDefault="00B446DA" w:rsidP="00B446DA">
            <w:pPr>
              <w:pStyle w:val="BodyText"/>
              <w:rPr>
                <w:rFonts w:asciiTheme="minorHAnsi" w:hAnsiTheme="minorHAnsi"/>
                <w:sz w:val="20"/>
                <w:szCs w:val="20"/>
              </w:rPr>
            </w:pPr>
            <w:r w:rsidRPr="005656E3">
              <w:rPr>
                <w:rFonts w:asciiTheme="minorHAnsi" w:hAnsiTheme="minorHAnsi"/>
                <w:sz w:val="20"/>
                <w:szCs w:val="20"/>
              </w:rPr>
              <w:t>4,719</w:t>
            </w:r>
          </w:p>
        </w:tc>
        <w:tc>
          <w:tcPr>
            <w:tcW w:w="0" w:type="auto"/>
          </w:tcPr>
          <w:p w14:paraId="13C81CCA" w14:textId="62279ACC" w:rsidR="00B446DA" w:rsidRPr="005656E3" w:rsidRDefault="00B446DA" w:rsidP="00B446DA">
            <w:pPr>
              <w:pStyle w:val="BodyText"/>
              <w:rPr>
                <w:rFonts w:asciiTheme="minorHAnsi" w:hAnsiTheme="minorHAnsi"/>
                <w:sz w:val="20"/>
                <w:szCs w:val="20"/>
              </w:rPr>
            </w:pPr>
            <w:r w:rsidRPr="005656E3">
              <w:rPr>
                <w:rFonts w:asciiTheme="minorHAnsi" w:hAnsiTheme="minorHAnsi"/>
                <w:sz w:val="20"/>
                <w:szCs w:val="20"/>
              </w:rPr>
              <w:t>85%</w:t>
            </w:r>
          </w:p>
        </w:tc>
        <w:tc>
          <w:tcPr>
            <w:tcW w:w="0" w:type="auto"/>
          </w:tcPr>
          <w:p w14:paraId="05C20F4E" w14:textId="246A7A0C" w:rsidR="00B446DA" w:rsidRPr="00E1595B" w:rsidRDefault="00B446DA" w:rsidP="00B446DA">
            <w:pPr>
              <w:pStyle w:val="BodyText"/>
              <w:rPr>
                <w:rFonts w:asciiTheme="minorHAnsi" w:hAnsiTheme="minorHAnsi"/>
                <w:sz w:val="20"/>
                <w:szCs w:val="20"/>
              </w:rPr>
            </w:pPr>
            <w:r w:rsidRPr="005656E3">
              <w:rPr>
                <w:rFonts w:asciiTheme="minorHAnsi" w:hAnsiTheme="minorHAnsi"/>
                <w:sz w:val="20"/>
                <w:szCs w:val="20"/>
              </w:rPr>
              <w:t>4,813</w:t>
            </w:r>
          </w:p>
        </w:tc>
        <w:tc>
          <w:tcPr>
            <w:tcW w:w="0" w:type="auto"/>
          </w:tcPr>
          <w:p w14:paraId="27C67AD5" w14:textId="23D8F474" w:rsidR="00B446DA" w:rsidRPr="00E1595B" w:rsidRDefault="00B446DA" w:rsidP="00B446DA">
            <w:pPr>
              <w:pStyle w:val="BodyText"/>
              <w:rPr>
                <w:rFonts w:asciiTheme="minorHAnsi" w:hAnsiTheme="minorHAnsi"/>
                <w:sz w:val="20"/>
                <w:szCs w:val="20"/>
              </w:rPr>
            </w:pPr>
            <w:r w:rsidRPr="005656E3">
              <w:rPr>
                <w:rFonts w:asciiTheme="minorHAnsi" w:hAnsiTheme="minorHAnsi"/>
                <w:sz w:val="20"/>
                <w:szCs w:val="20"/>
              </w:rPr>
              <w:t>85%</w:t>
            </w:r>
          </w:p>
        </w:tc>
        <w:tc>
          <w:tcPr>
            <w:tcW w:w="0" w:type="auto"/>
          </w:tcPr>
          <w:p w14:paraId="06B914CB" w14:textId="5526D4AA" w:rsidR="00B446DA" w:rsidRPr="00E1595B" w:rsidRDefault="00B446DA" w:rsidP="00B446DA">
            <w:pPr>
              <w:pStyle w:val="BodyText"/>
              <w:rPr>
                <w:rFonts w:asciiTheme="minorHAnsi" w:hAnsiTheme="minorHAnsi"/>
                <w:sz w:val="20"/>
                <w:szCs w:val="20"/>
              </w:rPr>
            </w:pPr>
            <w:r w:rsidRPr="005656E3">
              <w:rPr>
                <w:rFonts w:asciiTheme="minorHAnsi" w:hAnsiTheme="minorHAnsi"/>
                <w:sz w:val="20"/>
                <w:szCs w:val="20"/>
              </w:rPr>
              <w:t>4,910</w:t>
            </w:r>
          </w:p>
        </w:tc>
        <w:tc>
          <w:tcPr>
            <w:tcW w:w="0" w:type="auto"/>
          </w:tcPr>
          <w:p w14:paraId="17C433BC" w14:textId="4DB96562" w:rsidR="00B446DA" w:rsidRPr="00E1595B" w:rsidRDefault="00B446DA" w:rsidP="00B446DA">
            <w:pPr>
              <w:pStyle w:val="BodyText"/>
              <w:rPr>
                <w:rFonts w:asciiTheme="minorHAnsi" w:hAnsiTheme="minorHAnsi"/>
                <w:sz w:val="20"/>
                <w:szCs w:val="20"/>
              </w:rPr>
            </w:pPr>
            <w:r w:rsidRPr="005656E3">
              <w:rPr>
                <w:rFonts w:asciiTheme="minorHAnsi" w:hAnsiTheme="minorHAnsi"/>
                <w:sz w:val="20"/>
                <w:szCs w:val="20"/>
              </w:rPr>
              <w:t>86%</w:t>
            </w:r>
          </w:p>
        </w:tc>
      </w:tr>
      <w:tr w:rsidR="00B446DA" w:rsidRPr="00B446DA" w14:paraId="54AC1A2E" w14:textId="1F26B6BA">
        <w:tc>
          <w:tcPr>
            <w:tcW w:w="0" w:type="auto"/>
          </w:tcPr>
          <w:p w14:paraId="076EAF0A" w14:textId="77777777" w:rsidR="00B446DA" w:rsidRPr="005656E3" w:rsidRDefault="00B446DA" w:rsidP="00B446DA">
            <w:pPr>
              <w:pStyle w:val="BodyText"/>
              <w:rPr>
                <w:rFonts w:asciiTheme="minorHAnsi" w:hAnsiTheme="minorHAnsi"/>
                <w:sz w:val="20"/>
                <w:szCs w:val="20"/>
              </w:rPr>
            </w:pPr>
            <w:r w:rsidRPr="005656E3">
              <w:rPr>
                <w:rFonts w:asciiTheme="minorHAnsi" w:hAnsiTheme="minorHAnsi"/>
                <w:sz w:val="20"/>
                <w:szCs w:val="20"/>
              </w:rPr>
              <w:t>Emerson Hospital</w:t>
            </w:r>
          </w:p>
        </w:tc>
        <w:tc>
          <w:tcPr>
            <w:tcW w:w="0" w:type="auto"/>
          </w:tcPr>
          <w:p w14:paraId="3C3DD266" w14:textId="388EE5A4" w:rsidR="00B446DA" w:rsidRPr="005656E3" w:rsidRDefault="00B446DA" w:rsidP="00B446DA">
            <w:pPr>
              <w:pStyle w:val="BodyText"/>
              <w:rPr>
                <w:rFonts w:asciiTheme="minorHAnsi" w:hAnsiTheme="minorHAnsi"/>
                <w:sz w:val="20"/>
                <w:szCs w:val="20"/>
              </w:rPr>
            </w:pPr>
            <w:r w:rsidRPr="005656E3">
              <w:rPr>
                <w:rFonts w:asciiTheme="minorHAnsi" w:hAnsiTheme="minorHAnsi"/>
                <w:sz w:val="20"/>
                <w:szCs w:val="20"/>
              </w:rPr>
              <w:t>816</w:t>
            </w:r>
          </w:p>
        </w:tc>
        <w:tc>
          <w:tcPr>
            <w:tcW w:w="0" w:type="auto"/>
          </w:tcPr>
          <w:p w14:paraId="2ABD5CA3" w14:textId="449429AB" w:rsidR="00B446DA" w:rsidRPr="005656E3" w:rsidRDefault="00B446DA" w:rsidP="00B446DA">
            <w:pPr>
              <w:pStyle w:val="BodyText"/>
              <w:rPr>
                <w:rFonts w:asciiTheme="minorHAnsi" w:hAnsiTheme="minorHAnsi"/>
                <w:sz w:val="20"/>
                <w:szCs w:val="20"/>
              </w:rPr>
            </w:pPr>
            <w:r w:rsidRPr="005656E3">
              <w:rPr>
                <w:rFonts w:asciiTheme="minorHAnsi" w:hAnsiTheme="minorHAnsi"/>
                <w:sz w:val="20"/>
                <w:szCs w:val="20"/>
              </w:rPr>
              <w:t>19%</w:t>
            </w:r>
          </w:p>
        </w:tc>
        <w:tc>
          <w:tcPr>
            <w:tcW w:w="0" w:type="auto"/>
          </w:tcPr>
          <w:p w14:paraId="3D979AED" w14:textId="00954B37" w:rsidR="00B446DA" w:rsidRPr="005656E3" w:rsidRDefault="00B446DA" w:rsidP="00B446DA">
            <w:pPr>
              <w:pStyle w:val="BodyText"/>
              <w:rPr>
                <w:rFonts w:asciiTheme="minorHAnsi" w:hAnsiTheme="minorHAnsi"/>
                <w:sz w:val="20"/>
                <w:szCs w:val="20"/>
              </w:rPr>
            </w:pPr>
            <w:r w:rsidRPr="005656E3">
              <w:rPr>
                <w:rFonts w:asciiTheme="minorHAnsi" w:hAnsiTheme="minorHAnsi"/>
                <w:sz w:val="20"/>
                <w:szCs w:val="20"/>
              </w:rPr>
              <w:t>819</w:t>
            </w:r>
          </w:p>
        </w:tc>
        <w:tc>
          <w:tcPr>
            <w:tcW w:w="0" w:type="auto"/>
          </w:tcPr>
          <w:p w14:paraId="7C1F5B66" w14:textId="2F142CD0" w:rsidR="00B446DA" w:rsidRPr="005656E3" w:rsidRDefault="00B446DA" w:rsidP="00B446DA">
            <w:pPr>
              <w:pStyle w:val="BodyText"/>
              <w:rPr>
                <w:rFonts w:asciiTheme="minorHAnsi" w:hAnsiTheme="minorHAnsi"/>
                <w:sz w:val="20"/>
                <w:szCs w:val="20"/>
              </w:rPr>
            </w:pPr>
            <w:r w:rsidRPr="005656E3">
              <w:rPr>
                <w:rFonts w:asciiTheme="minorHAnsi" w:hAnsiTheme="minorHAnsi"/>
                <w:sz w:val="20"/>
                <w:szCs w:val="20"/>
              </w:rPr>
              <w:t>16%</w:t>
            </w:r>
          </w:p>
        </w:tc>
        <w:tc>
          <w:tcPr>
            <w:tcW w:w="0" w:type="auto"/>
          </w:tcPr>
          <w:p w14:paraId="5A024812" w14:textId="31B7A344" w:rsidR="00B446DA" w:rsidRPr="005656E3" w:rsidRDefault="00B446DA" w:rsidP="00B446DA">
            <w:pPr>
              <w:pStyle w:val="BodyText"/>
              <w:rPr>
                <w:rFonts w:asciiTheme="minorHAnsi" w:hAnsiTheme="minorHAnsi"/>
                <w:sz w:val="20"/>
                <w:szCs w:val="20"/>
              </w:rPr>
            </w:pPr>
            <w:r w:rsidRPr="005656E3">
              <w:rPr>
                <w:rFonts w:asciiTheme="minorHAnsi" w:hAnsiTheme="minorHAnsi"/>
                <w:sz w:val="20"/>
                <w:szCs w:val="20"/>
              </w:rPr>
              <w:t>822</w:t>
            </w:r>
          </w:p>
        </w:tc>
        <w:tc>
          <w:tcPr>
            <w:tcW w:w="0" w:type="auto"/>
          </w:tcPr>
          <w:p w14:paraId="2493C9A9" w14:textId="13663281" w:rsidR="00B446DA" w:rsidRPr="005656E3" w:rsidRDefault="00B446DA" w:rsidP="00B446DA">
            <w:pPr>
              <w:pStyle w:val="BodyText"/>
              <w:rPr>
                <w:rFonts w:asciiTheme="minorHAnsi" w:hAnsiTheme="minorHAnsi"/>
                <w:sz w:val="20"/>
                <w:szCs w:val="20"/>
              </w:rPr>
            </w:pPr>
            <w:r w:rsidRPr="005656E3">
              <w:rPr>
                <w:rFonts w:asciiTheme="minorHAnsi" w:hAnsiTheme="minorHAnsi"/>
                <w:sz w:val="20"/>
                <w:szCs w:val="20"/>
              </w:rPr>
              <w:t>15%</w:t>
            </w:r>
          </w:p>
        </w:tc>
        <w:tc>
          <w:tcPr>
            <w:tcW w:w="0" w:type="auto"/>
          </w:tcPr>
          <w:p w14:paraId="16BD8899" w14:textId="52AC3E07" w:rsidR="00B446DA" w:rsidRPr="00E1595B" w:rsidRDefault="00B446DA" w:rsidP="00B446DA">
            <w:pPr>
              <w:pStyle w:val="BodyText"/>
              <w:rPr>
                <w:rFonts w:asciiTheme="minorHAnsi" w:hAnsiTheme="minorHAnsi"/>
                <w:sz w:val="20"/>
                <w:szCs w:val="20"/>
              </w:rPr>
            </w:pPr>
            <w:r w:rsidRPr="005656E3">
              <w:rPr>
                <w:rFonts w:asciiTheme="minorHAnsi" w:hAnsiTheme="minorHAnsi"/>
                <w:sz w:val="20"/>
                <w:szCs w:val="20"/>
              </w:rPr>
              <w:t>825</w:t>
            </w:r>
          </w:p>
        </w:tc>
        <w:tc>
          <w:tcPr>
            <w:tcW w:w="0" w:type="auto"/>
          </w:tcPr>
          <w:p w14:paraId="659A15AF" w14:textId="34D4711A" w:rsidR="00B446DA" w:rsidRPr="00E1595B" w:rsidRDefault="00B446DA" w:rsidP="00B446DA">
            <w:pPr>
              <w:pStyle w:val="BodyText"/>
              <w:rPr>
                <w:rFonts w:asciiTheme="minorHAnsi" w:hAnsiTheme="minorHAnsi"/>
                <w:sz w:val="20"/>
                <w:szCs w:val="20"/>
              </w:rPr>
            </w:pPr>
            <w:r w:rsidRPr="005656E3">
              <w:rPr>
                <w:rFonts w:asciiTheme="minorHAnsi" w:hAnsiTheme="minorHAnsi"/>
                <w:sz w:val="20"/>
                <w:szCs w:val="20"/>
              </w:rPr>
              <w:t>14%</w:t>
            </w:r>
          </w:p>
        </w:tc>
        <w:tc>
          <w:tcPr>
            <w:tcW w:w="0" w:type="auto"/>
          </w:tcPr>
          <w:p w14:paraId="1F237E4C" w14:textId="5503D520" w:rsidR="00B446DA" w:rsidRPr="00E1595B" w:rsidRDefault="00B446DA" w:rsidP="00B446DA">
            <w:pPr>
              <w:pStyle w:val="BodyText"/>
              <w:rPr>
                <w:rFonts w:asciiTheme="minorHAnsi" w:hAnsiTheme="minorHAnsi"/>
                <w:sz w:val="20"/>
                <w:szCs w:val="20"/>
              </w:rPr>
            </w:pPr>
            <w:r w:rsidRPr="005656E3">
              <w:rPr>
                <w:rFonts w:asciiTheme="minorHAnsi" w:hAnsiTheme="minorHAnsi"/>
                <w:sz w:val="20"/>
                <w:szCs w:val="20"/>
              </w:rPr>
              <w:t>828</w:t>
            </w:r>
          </w:p>
        </w:tc>
        <w:tc>
          <w:tcPr>
            <w:tcW w:w="0" w:type="auto"/>
          </w:tcPr>
          <w:p w14:paraId="2B3CB338" w14:textId="0F140EEF" w:rsidR="00B446DA" w:rsidRPr="00E1595B" w:rsidRDefault="00B446DA" w:rsidP="00B446DA">
            <w:pPr>
              <w:pStyle w:val="BodyText"/>
              <w:rPr>
                <w:rFonts w:asciiTheme="minorHAnsi" w:hAnsiTheme="minorHAnsi"/>
                <w:sz w:val="20"/>
                <w:szCs w:val="20"/>
              </w:rPr>
            </w:pPr>
            <w:r w:rsidRPr="005656E3">
              <w:rPr>
                <w:rFonts w:asciiTheme="minorHAnsi" w:hAnsiTheme="minorHAnsi"/>
                <w:sz w:val="20"/>
                <w:szCs w:val="20"/>
              </w:rPr>
              <w:t>14%</w:t>
            </w:r>
          </w:p>
        </w:tc>
      </w:tr>
      <w:tr w:rsidR="00B446DA" w:rsidRPr="00B446DA" w14:paraId="1420AC1C" w14:textId="77777777">
        <w:tc>
          <w:tcPr>
            <w:tcW w:w="0" w:type="auto"/>
          </w:tcPr>
          <w:p w14:paraId="0E8C8C7C" w14:textId="7C35940E" w:rsidR="00B446DA" w:rsidRPr="00E1595B" w:rsidRDefault="00B446DA" w:rsidP="00B446DA">
            <w:pPr>
              <w:pStyle w:val="BodyText"/>
              <w:rPr>
                <w:rFonts w:asciiTheme="minorHAnsi" w:hAnsiTheme="minorHAnsi"/>
                <w:sz w:val="20"/>
                <w:szCs w:val="20"/>
              </w:rPr>
            </w:pPr>
            <w:r w:rsidRPr="005656E3">
              <w:rPr>
                <w:rFonts w:asciiTheme="minorHAnsi" w:hAnsiTheme="minorHAnsi"/>
                <w:sz w:val="20"/>
                <w:szCs w:val="20"/>
              </w:rPr>
              <w:t>Total</w:t>
            </w:r>
          </w:p>
        </w:tc>
        <w:tc>
          <w:tcPr>
            <w:tcW w:w="0" w:type="auto"/>
          </w:tcPr>
          <w:p w14:paraId="40F6214D" w14:textId="2E7DD486" w:rsidR="00B446DA" w:rsidRPr="00E1595B" w:rsidRDefault="00B446DA" w:rsidP="00B446DA">
            <w:pPr>
              <w:pStyle w:val="BodyText"/>
              <w:rPr>
                <w:rFonts w:asciiTheme="minorHAnsi" w:hAnsiTheme="minorHAnsi"/>
                <w:sz w:val="20"/>
                <w:szCs w:val="20"/>
              </w:rPr>
            </w:pPr>
            <w:r w:rsidRPr="005656E3">
              <w:rPr>
                <w:rFonts w:asciiTheme="minorHAnsi" w:hAnsiTheme="minorHAnsi"/>
                <w:sz w:val="20"/>
                <w:szCs w:val="20"/>
              </w:rPr>
              <w:t>4</w:t>
            </w:r>
            <w:r w:rsidRPr="00E1595B">
              <w:rPr>
                <w:rFonts w:asciiTheme="minorHAnsi" w:hAnsiTheme="minorHAnsi"/>
                <w:sz w:val="20"/>
                <w:szCs w:val="20"/>
              </w:rPr>
              <w:t>,</w:t>
            </w:r>
            <w:r w:rsidRPr="005656E3">
              <w:rPr>
                <w:rFonts w:asciiTheme="minorHAnsi" w:hAnsiTheme="minorHAnsi"/>
                <w:sz w:val="20"/>
                <w:szCs w:val="20"/>
              </w:rPr>
              <w:t>232</w:t>
            </w:r>
          </w:p>
        </w:tc>
        <w:tc>
          <w:tcPr>
            <w:tcW w:w="0" w:type="auto"/>
          </w:tcPr>
          <w:p w14:paraId="3D685FEA" w14:textId="2C4EE0D6" w:rsidR="00B446DA" w:rsidRPr="00E1595B" w:rsidRDefault="00B446DA" w:rsidP="00B446DA">
            <w:pPr>
              <w:pStyle w:val="BodyText"/>
              <w:rPr>
                <w:rFonts w:asciiTheme="minorHAnsi" w:hAnsiTheme="minorHAnsi"/>
                <w:sz w:val="20"/>
                <w:szCs w:val="20"/>
              </w:rPr>
            </w:pPr>
            <w:r w:rsidRPr="005656E3">
              <w:rPr>
                <w:rFonts w:asciiTheme="minorHAnsi" w:hAnsiTheme="minorHAnsi"/>
                <w:sz w:val="20"/>
                <w:szCs w:val="20"/>
              </w:rPr>
              <w:t>100%</w:t>
            </w:r>
          </w:p>
        </w:tc>
        <w:tc>
          <w:tcPr>
            <w:tcW w:w="0" w:type="auto"/>
          </w:tcPr>
          <w:p w14:paraId="68345EC9" w14:textId="4010826B" w:rsidR="00B446DA" w:rsidRPr="00E1595B" w:rsidRDefault="00B446DA" w:rsidP="00B446DA">
            <w:pPr>
              <w:pStyle w:val="BodyText"/>
              <w:rPr>
                <w:rFonts w:asciiTheme="minorHAnsi" w:hAnsiTheme="minorHAnsi"/>
                <w:sz w:val="20"/>
                <w:szCs w:val="20"/>
              </w:rPr>
            </w:pPr>
            <w:r w:rsidRPr="005656E3">
              <w:rPr>
                <w:rFonts w:asciiTheme="minorHAnsi" w:hAnsiTheme="minorHAnsi"/>
                <w:sz w:val="20"/>
                <w:szCs w:val="20"/>
              </w:rPr>
              <w:t>5</w:t>
            </w:r>
            <w:r w:rsidR="005A01EF">
              <w:rPr>
                <w:rFonts w:asciiTheme="minorHAnsi" w:hAnsiTheme="minorHAnsi"/>
                <w:sz w:val="20"/>
                <w:szCs w:val="20"/>
              </w:rPr>
              <w:t>,</w:t>
            </w:r>
            <w:r w:rsidRPr="005656E3">
              <w:rPr>
                <w:rFonts w:asciiTheme="minorHAnsi" w:hAnsiTheme="minorHAnsi"/>
                <w:sz w:val="20"/>
                <w:szCs w:val="20"/>
              </w:rPr>
              <w:t>109</w:t>
            </w:r>
          </w:p>
        </w:tc>
        <w:tc>
          <w:tcPr>
            <w:tcW w:w="0" w:type="auto"/>
          </w:tcPr>
          <w:p w14:paraId="3C252980" w14:textId="4A2E8A1A" w:rsidR="00B446DA" w:rsidRPr="00E1595B" w:rsidRDefault="00B446DA" w:rsidP="00B446DA">
            <w:pPr>
              <w:pStyle w:val="BodyText"/>
              <w:rPr>
                <w:rFonts w:asciiTheme="minorHAnsi" w:hAnsiTheme="minorHAnsi"/>
                <w:sz w:val="20"/>
                <w:szCs w:val="20"/>
              </w:rPr>
            </w:pPr>
            <w:r w:rsidRPr="005656E3">
              <w:rPr>
                <w:rFonts w:asciiTheme="minorHAnsi" w:hAnsiTheme="minorHAnsi"/>
                <w:sz w:val="20"/>
                <w:szCs w:val="20"/>
              </w:rPr>
              <w:t>100%</w:t>
            </w:r>
          </w:p>
        </w:tc>
        <w:tc>
          <w:tcPr>
            <w:tcW w:w="0" w:type="auto"/>
          </w:tcPr>
          <w:p w14:paraId="78B5DD3A" w14:textId="7674F058" w:rsidR="00B446DA" w:rsidRPr="00E1595B" w:rsidRDefault="00B446DA" w:rsidP="00B446DA">
            <w:pPr>
              <w:pStyle w:val="BodyText"/>
              <w:rPr>
                <w:rFonts w:asciiTheme="minorHAnsi" w:hAnsiTheme="minorHAnsi"/>
                <w:sz w:val="20"/>
                <w:szCs w:val="20"/>
              </w:rPr>
            </w:pPr>
            <w:r w:rsidRPr="005656E3">
              <w:rPr>
                <w:rFonts w:asciiTheme="minorHAnsi" w:hAnsiTheme="minorHAnsi"/>
                <w:sz w:val="20"/>
                <w:szCs w:val="20"/>
              </w:rPr>
              <w:t>5</w:t>
            </w:r>
            <w:r w:rsidRPr="00E1595B">
              <w:rPr>
                <w:rFonts w:asciiTheme="minorHAnsi" w:hAnsiTheme="minorHAnsi"/>
                <w:sz w:val="20"/>
                <w:szCs w:val="20"/>
              </w:rPr>
              <w:t>,</w:t>
            </w:r>
            <w:r w:rsidRPr="005656E3">
              <w:rPr>
                <w:rFonts w:asciiTheme="minorHAnsi" w:hAnsiTheme="minorHAnsi"/>
                <w:sz w:val="20"/>
                <w:szCs w:val="20"/>
              </w:rPr>
              <w:t>541</w:t>
            </w:r>
          </w:p>
        </w:tc>
        <w:tc>
          <w:tcPr>
            <w:tcW w:w="0" w:type="auto"/>
          </w:tcPr>
          <w:p w14:paraId="73F4F014" w14:textId="7F354531" w:rsidR="00B446DA" w:rsidRPr="00E1595B" w:rsidRDefault="00B446DA" w:rsidP="00B446DA">
            <w:pPr>
              <w:pStyle w:val="BodyText"/>
              <w:rPr>
                <w:rFonts w:asciiTheme="minorHAnsi" w:hAnsiTheme="minorHAnsi"/>
                <w:sz w:val="20"/>
                <w:szCs w:val="20"/>
              </w:rPr>
            </w:pPr>
            <w:r w:rsidRPr="005656E3">
              <w:rPr>
                <w:rFonts w:asciiTheme="minorHAnsi" w:hAnsiTheme="minorHAnsi"/>
                <w:sz w:val="20"/>
                <w:szCs w:val="20"/>
              </w:rPr>
              <w:t>100%</w:t>
            </w:r>
          </w:p>
        </w:tc>
        <w:tc>
          <w:tcPr>
            <w:tcW w:w="0" w:type="auto"/>
          </w:tcPr>
          <w:p w14:paraId="16AB32C5" w14:textId="39AC784A" w:rsidR="00B446DA" w:rsidRPr="00E1595B" w:rsidRDefault="00B446DA" w:rsidP="00B446DA">
            <w:pPr>
              <w:pStyle w:val="BodyText"/>
              <w:rPr>
                <w:rFonts w:asciiTheme="minorHAnsi" w:hAnsiTheme="minorHAnsi"/>
                <w:sz w:val="20"/>
                <w:szCs w:val="20"/>
              </w:rPr>
            </w:pPr>
            <w:r w:rsidRPr="005656E3">
              <w:rPr>
                <w:rFonts w:asciiTheme="minorHAnsi" w:hAnsiTheme="minorHAnsi"/>
                <w:sz w:val="20"/>
                <w:szCs w:val="20"/>
              </w:rPr>
              <w:t>5</w:t>
            </w:r>
            <w:r w:rsidRPr="00E1595B">
              <w:rPr>
                <w:rFonts w:asciiTheme="minorHAnsi" w:hAnsiTheme="minorHAnsi"/>
                <w:sz w:val="20"/>
                <w:szCs w:val="20"/>
              </w:rPr>
              <w:t>,</w:t>
            </w:r>
            <w:r w:rsidRPr="005656E3">
              <w:rPr>
                <w:rFonts w:asciiTheme="minorHAnsi" w:hAnsiTheme="minorHAnsi"/>
                <w:sz w:val="20"/>
                <w:szCs w:val="20"/>
              </w:rPr>
              <w:t>638</w:t>
            </w:r>
          </w:p>
        </w:tc>
        <w:tc>
          <w:tcPr>
            <w:tcW w:w="0" w:type="auto"/>
          </w:tcPr>
          <w:p w14:paraId="40C75AA7" w14:textId="288F82BB" w:rsidR="00B446DA" w:rsidRPr="00E1595B" w:rsidRDefault="00B446DA" w:rsidP="00B446DA">
            <w:pPr>
              <w:pStyle w:val="BodyText"/>
              <w:rPr>
                <w:rFonts w:asciiTheme="minorHAnsi" w:hAnsiTheme="minorHAnsi"/>
                <w:sz w:val="20"/>
                <w:szCs w:val="20"/>
              </w:rPr>
            </w:pPr>
            <w:r w:rsidRPr="005656E3">
              <w:rPr>
                <w:rFonts w:asciiTheme="minorHAnsi" w:hAnsiTheme="minorHAnsi"/>
                <w:sz w:val="20"/>
                <w:szCs w:val="20"/>
              </w:rPr>
              <w:t>100%</w:t>
            </w:r>
          </w:p>
        </w:tc>
        <w:tc>
          <w:tcPr>
            <w:tcW w:w="0" w:type="auto"/>
          </w:tcPr>
          <w:p w14:paraId="3AED7D27" w14:textId="2496FD3A" w:rsidR="00B446DA" w:rsidRPr="00E1595B" w:rsidRDefault="00B446DA" w:rsidP="00B446DA">
            <w:pPr>
              <w:pStyle w:val="BodyText"/>
              <w:rPr>
                <w:rFonts w:asciiTheme="minorHAnsi" w:hAnsiTheme="minorHAnsi"/>
                <w:sz w:val="20"/>
                <w:szCs w:val="20"/>
              </w:rPr>
            </w:pPr>
            <w:r w:rsidRPr="005656E3">
              <w:rPr>
                <w:rFonts w:asciiTheme="minorHAnsi" w:hAnsiTheme="minorHAnsi"/>
                <w:sz w:val="20"/>
                <w:szCs w:val="20"/>
              </w:rPr>
              <w:t>5</w:t>
            </w:r>
            <w:r w:rsidRPr="00E1595B">
              <w:rPr>
                <w:rFonts w:asciiTheme="minorHAnsi" w:hAnsiTheme="minorHAnsi"/>
                <w:sz w:val="20"/>
                <w:szCs w:val="20"/>
              </w:rPr>
              <w:t>,</w:t>
            </w:r>
            <w:r w:rsidRPr="005656E3">
              <w:rPr>
                <w:rFonts w:asciiTheme="minorHAnsi" w:hAnsiTheme="minorHAnsi"/>
                <w:sz w:val="20"/>
                <w:szCs w:val="20"/>
              </w:rPr>
              <w:t>738</w:t>
            </w:r>
          </w:p>
        </w:tc>
        <w:tc>
          <w:tcPr>
            <w:tcW w:w="0" w:type="auto"/>
          </w:tcPr>
          <w:p w14:paraId="43E71BC2" w14:textId="4F7D63E0" w:rsidR="00B446DA" w:rsidRPr="00E1595B" w:rsidRDefault="00B446DA" w:rsidP="00B446DA">
            <w:pPr>
              <w:pStyle w:val="BodyText"/>
              <w:rPr>
                <w:rFonts w:asciiTheme="minorHAnsi" w:hAnsiTheme="minorHAnsi"/>
                <w:sz w:val="20"/>
                <w:szCs w:val="20"/>
              </w:rPr>
            </w:pPr>
            <w:r w:rsidRPr="005656E3">
              <w:rPr>
                <w:rFonts w:asciiTheme="minorHAnsi" w:hAnsiTheme="minorHAnsi"/>
                <w:sz w:val="20"/>
                <w:szCs w:val="20"/>
              </w:rPr>
              <w:t>100%</w:t>
            </w:r>
          </w:p>
        </w:tc>
      </w:tr>
    </w:tbl>
    <w:p w14:paraId="760999B3" w14:textId="77777777" w:rsidR="00B446DA" w:rsidRDefault="00B446DA" w:rsidP="00171B0A">
      <w:pPr>
        <w:pStyle w:val="BodyText"/>
        <w:spacing w:line="269" w:lineRule="exact"/>
        <w:rPr>
          <w:rFonts w:asciiTheme="minorHAnsi" w:hAnsiTheme="minorHAnsi"/>
        </w:rPr>
      </w:pPr>
    </w:p>
    <w:p w14:paraId="4B93ECEA" w14:textId="7288EAC0" w:rsidR="003F2A12" w:rsidRPr="00A14BA8" w:rsidRDefault="003F2A12" w:rsidP="003F2A12">
      <w:pPr>
        <w:pStyle w:val="BodyText"/>
        <w:spacing w:line="269" w:lineRule="exact"/>
        <w:rPr>
          <w:rFonts w:asciiTheme="minorHAnsi" w:hAnsiTheme="minorHAnsi"/>
          <w:b/>
          <w:bCs/>
        </w:rPr>
      </w:pPr>
      <w:r w:rsidRPr="00A14BA8">
        <w:rPr>
          <w:rFonts w:asciiTheme="minorHAnsi" w:hAnsiTheme="minorHAnsi"/>
          <w:b/>
          <w:bCs/>
          <w:u w:val="single"/>
        </w:rPr>
        <w:t xml:space="preserve">Table </w:t>
      </w:r>
      <w:r>
        <w:rPr>
          <w:rFonts w:asciiTheme="minorHAnsi" w:hAnsiTheme="minorHAnsi"/>
          <w:b/>
          <w:bCs/>
          <w:u w:val="single"/>
        </w:rPr>
        <w:t>1</w:t>
      </w:r>
      <w:r w:rsidR="00A9310C">
        <w:rPr>
          <w:rFonts w:asciiTheme="minorHAnsi" w:hAnsiTheme="minorHAnsi"/>
          <w:b/>
          <w:bCs/>
          <w:u w:val="single"/>
        </w:rPr>
        <w:t>3</w:t>
      </w:r>
      <w:r w:rsidRPr="00A14BA8">
        <w:rPr>
          <w:rFonts w:asciiTheme="minorHAnsi" w:hAnsiTheme="minorHAnsi"/>
          <w:b/>
          <w:bCs/>
        </w:rPr>
        <w:t xml:space="preserve">: Endoscopy Cases at Emerson Hospital and </w:t>
      </w:r>
      <w:r>
        <w:rPr>
          <w:rFonts w:asciiTheme="minorHAnsi" w:hAnsiTheme="minorHAnsi"/>
          <w:b/>
          <w:bCs/>
        </w:rPr>
        <w:t>T</w:t>
      </w:r>
      <w:r w:rsidRPr="00A14BA8">
        <w:rPr>
          <w:rFonts w:asciiTheme="minorHAnsi" w:hAnsiTheme="minorHAnsi"/>
          <w:b/>
          <w:bCs/>
        </w:rPr>
        <w:t>he Center, 2022 to 2024</w:t>
      </w:r>
    </w:p>
    <w:tbl>
      <w:tblPr>
        <w:tblStyle w:val="TableGrid"/>
        <w:tblW w:w="0" w:type="auto"/>
        <w:tblLook w:val="04A0" w:firstRow="1" w:lastRow="0" w:firstColumn="1" w:lastColumn="0" w:noHBand="0" w:noVBand="1"/>
      </w:tblPr>
      <w:tblGrid>
        <w:gridCol w:w="1645"/>
        <w:gridCol w:w="714"/>
        <w:gridCol w:w="856"/>
        <w:gridCol w:w="714"/>
        <w:gridCol w:w="856"/>
        <w:gridCol w:w="714"/>
        <w:gridCol w:w="856"/>
      </w:tblGrid>
      <w:tr w:rsidR="004469FF" w:rsidRPr="00825874" w14:paraId="0192F39A" w14:textId="77777777" w:rsidTr="005656E3">
        <w:tc>
          <w:tcPr>
            <w:tcW w:w="0" w:type="auto"/>
            <w:shd w:val="clear" w:color="auto" w:fill="DBE5F1" w:themeFill="accent1" w:themeFillTint="33"/>
          </w:tcPr>
          <w:p w14:paraId="7AECA3FB" w14:textId="77B1BB45" w:rsidR="004469FF" w:rsidRPr="005656E3" w:rsidRDefault="004469FF" w:rsidP="00655BD5">
            <w:pPr>
              <w:pStyle w:val="BodyText"/>
              <w:rPr>
                <w:rFonts w:asciiTheme="minorHAnsi" w:hAnsiTheme="minorHAnsi"/>
                <w:b/>
                <w:bCs/>
                <w:sz w:val="20"/>
                <w:szCs w:val="20"/>
              </w:rPr>
            </w:pPr>
            <w:r w:rsidRPr="005656E3">
              <w:rPr>
                <w:rFonts w:asciiTheme="minorHAnsi" w:hAnsiTheme="minorHAnsi"/>
                <w:b/>
                <w:bCs/>
                <w:sz w:val="20"/>
                <w:szCs w:val="20"/>
              </w:rPr>
              <w:t>Location</w:t>
            </w:r>
          </w:p>
        </w:tc>
        <w:tc>
          <w:tcPr>
            <w:tcW w:w="0" w:type="auto"/>
            <w:shd w:val="clear" w:color="auto" w:fill="DBE5F1" w:themeFill="accent1" w:themeFillTint="33"/>
          </w:tcPr>
          <w:p w14:paraId="7C8FD3B3" w14:textId="77777777" w:rsidR="004469FF" w:rsidRPr="005656E3" w:rsidRDefault="004469FF" w:rsidP="005656E3">
            <w:pPr>
              <w:pStyle w:val="BodyText"/>
              <w:jc w:val="center"/>
              <w:rPr>
                <w:rFonts w:asciiTheme="minorHAnsi" w:hAnsiTheme="minorHAnsi"/>
                <w:b/>
                <w:bCs/>
                <w:sz w:val="20"/>
                <w:szCs w:val="20"/>
              </w:rPr>
            </w:pPr>
            <w:r w:rsidRPr="005656E3">
              <w:rPr>
                <w:rFonts w:asciiTheme="minorHAnsi" w:hAnsiTheme="minorHAnsi"/>
                <w:b/>
                <w:bCs/>
                <w:sz w:val="20"/>
                <w:szCs w:val="20"/>
              </w:rPr>
              <w:t>2022</w:t>
            </w:r>
          </w:p>
          <w:p w14:paraId="635BD343" w14:textId="493FB884" w:rsidR="004469FF" w:rsidRPr="005656E3" w:rsidRDefault="004469FF" w:rsidP="005656E3">
            <w:pPr>
              <w:pStyle w:val="BodyText"/>
              <w:jc w:val="center"/>
              <w:rPr>
                <w:rFonts w:asciiTheme="minorHAnsi" w:hAnsiTheme="minorHAnsi"/>
                <w:b/>
                <w:bCs/>
                <w:sz w:val="20"/>
                <w:szCs w:val="20"/>
              </w:rPr>
            </w:pPr>
            <w:r w:rsidRPr="005656E3">
              <w:rPr>
                <w:rFonts w:asciiTheme="minorHAnsi" w:hAnsiTheme="minorHAnsi"/>
                <w:b/>
                <w:bCs/>
                <w:sz w:val="20"/>
                <w:szCs w:val="20"/>
              </w:rPr>
              <w:t>Count</w:t>
            </w:r>
          </w:p>
        </w:tc>
        <w:tc>
          <w:tcPr>
            <w:tcW w:w="0" w:type="auto"/>
            <w:shd w:val="clear" w:color="auto" w:fill="DBE5F1" w:themeFill="accent1" w:themeFillTint="33"/>
          </w:tcPr>
          <w:p w14:paraId="2E210C91" w14:textId="77777777" w:rsidR="004469FF" w:rsidRPr="005656E3" w:rsidRDefault="004469FF" w:rsidP="005656E3">
            <w:pPr>
              <w:pStyle w:val="BodyText"/>
              <w:jc w:val="center"/>
              <w:rPr>
                <w:rFonts w:asciiTheme="minorHAnsi" w:hAnsiTheme="minorHAnsi"/>
                <w:b/>
                <w:bCs/>
                <w:sz w:val="20"/>
                <w:szCs w:val="20"/>
              </w:rPr>
            </w:pPr>
            <w:r w:rsidRPr="005656E3">
              <w:rPr>
                <w:rFonts w:asciiTheme="minorHAnsi" w:hAnsiTheme="minorHAnsi"/>
                <w:b/>
                <w:bCs/>
                <w:sz w:val="20"/>
                <w:szCs w:val="20"/>
              </w:rPr>
              <w:t>2022</w:t>
            </w:r>
          </w:p>
          <w:p w14:paraId="54C48D93" w14:textId="37F8322C" w:rsidR="004469FF" w:rsidRPr="005656E3" w:rsidRDefault="004469FF" w:rsidP="005656E3">
            <w:pPr>
              <w:pStyle w:val="BodyText"/>
              <w:jc w:val="center"/>
              <w:rPr>
                <w:rFonts w:asciiTheme="minorHAnsi" w:hAnsiTheme="minorHAnsi"/>
                <w:b/>
                <w:bCs/>
                <w:sz w:val="20"/>
                <w:szCs w:val="20"/>
              </w:rPr>
            </w:pPr>
            <w:r w:rsidRPr="005656E3">
              <w:rPr>
                <w:rFonts w:asciiTheme="minorHAnsi" w:hAnsiTheme="minorHAnsi"/>
                <w:b/>
                <w:bCs/>
                <w:sz w:val="20"/>
                <w:szCs w:val="20"/>
              </w:rPr>
              <w:t>Percent</w:t>
            </w:r>
          </w:p>
        </w:tc>
        <w:tc>
          <w:tcPr>
            <w:tcW w:w="0" w:type="auto"/>
            <w:shd w:val="clear" w:color="auto" w:fill="DBE5F1" w:themeFill="accent1" w:themeFillTint="33"/>
          </w:tcPr>
          <w:p w14:paraId="27AD7160" w14:textId="77777777" w:rsidR="004469FF" w:rsidRPr="005656E3" w:rsidRDefault="004469FF" w:rsidP="005656E3">
            <w:pPr>
              <w:pStyle w:val="BodyText"/>
              <w:jc w:val="center"/>
              <w:rPr>
                <w:rFonts w:asciiTheme="minorHAnsi" w:hAnsiTheme="minorHAnsi"/>
                <w:b/>
                <w:bCs/>
                <w:sz w:val="20"/>
                <w:szCs w:val="20"/>
              </w:rPr>
            </w:pPr>
            <w:r w:rsidRPr="005656E3">
              <w:rPr>
                <w:rFonts w:asciiTheme="minorHAnsi" w:hAnsiTheme="minorHAnsi"/>
                <w:b/>
                <w:bCs/>
                <w:sz w:val="20"/>
                <w:szCs w:val="20"/>
              </w:rPr>
              <w:t>2023</w:t>
            </w:r>
          </w:p>
          <w:p w14:paraId="1378313F" w14:textId="69E5A803" w:rsidR="004469FF" w:rsidRPr="005656E3" w:rsidRDefault="004469FF" w:rsidP="005656E3">
            <w:pPr>
              <w:pStyle w:val="BodyText"/>
              <w:jc w:val="center"/>
              <w:rPr>
                <w:rFonts w:asciiTheme="minorHAnsi" w:hAnsiTheme="minorHAnsi"/>
                <w:b/>
                <w:bCs/>
                <w:sz w:val="20"/>
                <w:szCs w:val="20"/>
              </w:rPr>
            </w:pPr>
            <w:r w:rsidRPr="005656E3">
              <w:rPr>
                <w:rFonts w:asciiTheme="minorHAnsi" w:hAnsiTheme="minorHAnsi"/>
                <w:b/>
                <w:bCs/>
                <w:sz w:val="20"/>
                <w:szCs w:val="20"/>
              </w:rPr>
              <w:t>Count</w:t>
            </w:r>
          </w:p>
        </w:tc>
        <w:tc>
          <w:tcPr>
            <w:tcW w:w="0" w:type="auto"/>
            <w:shd w:val="clear" w:color="auto" w:fill="DBE5F1" w:themeFill="accent1" w:themeFillTint="33"/>
          </w:tcPr>
          <w:p w14:paraId="3564C1E9" w14:textId="77777777" w:rsidR="004469FF" w:rsidRPr="005656E3" w:rsidRDefault="004469FF" w:rsidP="005656E3">
            <w:pPr>
              <w:pStyle w:val="BodyText"/>
              <w:jc w:val="center"/>
              <w:rPr>
                <w:rFonts w:asciiTheme="minorHAnsi" w:hAnsiTheme="minorHAnsi"/>
                <w:b/>
                <w:bCs/>
                <w:sz w:val="20"/>
                <w:szCs w:val="20"/>
              </w:rPr>
            </w:pPr>
            <w:r w:rsidRPr="005656E3">
              <w:rPr>
                <w:rFonts w:asciiTheme="minorHAnsi" w:hAnsiTheme="minorHAnsi"/>
                <w:b/>
                <w:bCs/>
                <w:sz w:val="20"/>
                <w:szCs w:val="20"/>
              </w:rPr>
              <w:t>2023</w:t>
            </w:r>
          </w:p>
          <w:p w14:paraId="0506067F" w14:textId="120277F1" w:rsidR="004469FF" w:rsidRPr="005656E3" w:rsidRDefault="004469FF" w:rsidP="005656E3">
            <w:pPr>
              <w:pStyle w:val="BodyText"/>
              <w:jc w:val="center"/>
              <w:rPr>
                <w:rFonts w:asciiTheme="minorHAnsi" w:hAnsiTheme="minorHAnsi"/>
                <w:b/>
                <w:bCs/>
                <w:sz w:val="20"/>
                <w:szCs w:val="20"/>
              </w:rPr>
            </w:pPr>
            <w:r w:rsidRPr="005656E3">
              <w:rPr>
                <w:rFonts w:asciiTheme="minorHAnsi" w:hAnsiTheme="minorHAnsi"/>
                <w:b/>
                <w:bCs/>
                <w:sz w:val="20"/>
                <w:szCs w:val="20"/>
              </w:rPr>
              <w:t>Percent</w:t>
            </w:r>
          </w:p>
        </w:tc>
        <w:tc>
          <w:tcPr>
            <w:tcW w:w="0" w:type="auto"/>
            <w:shd w:val="clear" w:color="auto" w:fill="DBE5F1" w:themeFill="accent1" w:themeFillTint="33"/>
          </w:tcPr>
          <w:p w14:paraId="734852D0" w14:textId="77777777" w:rsidR="004469FF" w:rsidRPr="005656E3" w:rsidRDefault="004469FF" w:rsidP="005656E3">
            <w:pPr>
              <w:pStyle w:val="BodyText"/>
              <w:jc w:val="center"/>
              <w:rPr>
                <w:rFonts w:asciiTheme="minorHAnsi" w:hAnsiTheme="minorHAnsi"/>
                <w:b/>
                <w:bCs/>
                <w:sz w:val="20"/>
                <w:szCs w:val="20"/>
              </w:rPr>
            </w:pPr>
            <w:r w:rsidRPr="005656E3">
              <w:rPr>
                <w:rFonts w:asciiTheme="minorHAnsi" w:hAnsiTheme="minorHAnsi"/>
                <w:b/>
                <w:bCs/>
                <w:sz w:val="20"/>
                <w:szCs w:val="20"/>
              </w:rPr>
              <w:t>2024</w:t>
            </w:r>
          </w:p>
          <w:p w14:paraId="5333E9FC" w14:textId="07ECA37A" w:rsidR="004469FF" w:rsidRPr="005656E3" w:rsidRDefault="004469FF" w:rsidP="005656E3">
            <w:pPr>
              <w:pStyle w:val="BodyText"/>
              <w:jc w:val="center"/>
              <w:rPr>
                <w:rFonts w:asciiTheme="minorHAnsi" w:hAnsiTheme="minorHAnsi"/>
                <w:b/>
                <w:bCs/>
                <w:sz w:val="20"/>
                <w:szCs w:val="20"/>
              </w:rPr>
            </w:pPr>
            <w:r w:rsidRPr="005656E3">
              <w:rPr>
                <w:rFonts w:asciiTheme="minorHAnsi" w:hAnsiTheme="minorHAnsi"/>
                <w:b/>
                <w:bCs/>
                <w:sz w:val="20"/>
                <w:szCs w:val="20"/>
              </w:rPr>
              <w:t>Count</w:t>
            </w:r>
          </w:p>
        </w:tc>
        <w:tc>
          <w:tcPr>
            <w:tcW w:w="0" w:type="auto"/>
            <w:shd w:val="clear" w:color="auto" w:fill="DBE5F1" w:themeFill="accent1" w:themeFillTint="33"/>
          </w:tcPr>
          <w:p w14:paraId="6EC03FB2" w14:textId="77777777" w:rsidR="004469FF" w:rsidRPr="005656E3" w:rsidRDefault="004469FF" w:rsidP="005656E3">
            <w:pPr>
              <w:pStyle w:val="BodyText"/>
              <w:jc w:val="center"/>
              <w:rPr>
                <w:rFonts w:asciiTheme="minorHAnsi" w:hAnsiTheme="minorHAnsi"/>
                <w:b/>
                <w:bCs/>
                <w:sz w:val="20"/>
                <w:szCs w:val="20"/>
              </w:rPr>
            </w:pPr>
            <w:r w:rsidRPr="005656E3">
              <w:rPr>
                <w:rFonts w:asciiTheme="minorHAnsi" w:hAnsiTheme="minorHAnsi"/>
                <w:b/>
                <w:bCs/>
                <w:sz w:val="20"/>
                <w:szCs w:val="20"/>
              </w:rPr>
              <w:t>2024</w:t>
            </w:r>
          </w:p>
          <w:p w14:paraId="09A45D10" w14:textId="5745D42C" w:rsidR="004469FF" w:rsidRPr="005656E3" w:rsidRDefault="004469FF" w:rsidP="005656E3">
            <w:pPr>
              <w:pStyle w:val="BodyText"/>
              <w:jc w:val="center"/>
              <w:rPr>
                <w:rFonts w:asciiTheme="minorHAnsi" w:hAnsiTheme="minorHAnsi"/>
                <w:b/>
                <w:bCs/>
                <w:sz w:val="20"/>
                <w:szCs w:val="20"/>
              </w:rPr>
            </w:pPr>
            <w:r w:rsidRPr="005656E3">
              <w:rPr>
                <w:rFonts w:asciiTheme="minorHAnsi" w:hAnsiTheme="minorHAnsi"/>
                <w:b/>
                <w:bCs/>
                <w:sz w:val="20"/>
                <w:szCs w:val="20"/>
              </w:rPr>
              <w:t>Percent</w:t>
            </w:r>
          </w:p>
        </w:tc>
      </w:tr>
      <w:tr w:rsidR="004469FF" w:rsidRPr="00825874" w14:paraId="0570DF99" w14:textId="77777777" w:rsidTr="005656E3">
        <w:tc>
          <w:tcPr>
            <w:tcW w:w="0" w:type="auto"/>
          </w:tcPr>
          <w:p w14:paraId="7D9804AD" w14:textId="47BF62C8" w:rsidR="004469FF" w:rsidRPr="005656E3" w:rsidRDefault="004469FF" w:rsidP="00655BD5">
            <w:pPr>
              <w:pStyle w:val="BodyText"/>
              <w:rPr>
                <w:rFonts w:asciiTheme="minorHAnsi" w:hAnsiTheme="minorHAnsi"/>
                <w:sz w:val="20"/>
                <w:szCs w:val="20"/>
              </w:rPr>
            </w:pPr>
            <w:r w:rsidRPr="005656E3">
              <w:rPr>
                <w:rFonts w:asciiTheme="minorHAnsi" w:hAnsiTheme="minorHAnsi"/>
                <w:sz w:val="20"/>
                <w:szCs w:val="20"/>
              </w:rPr>
              <w:t>The Center</w:t>
            </w:r>
          </w:p>
        </w:tc>
        <w:tc>
          <w:tcPr>
            <w:tcW w:w="0" w:type="auto"/>
          </w:tcPr>
          <w:p w14:paraId="4BF867B8" w14:textId="1BE2F4D8" w:rsidR="004469FF" w:rsidRPr="005656E3" w:rsidRDefault="004469FF" w:rsidP="00655BD5">
            <w:pPr>
              <w:pStyle w:val="BodyText"/>
              <w:rPr>
                <w:rFonts w:asciiTheme="minorHAnsi" w:hAnsiTheme="minorHAnsi"/>
                <w:sz w:val="20"/>
                <w:szCs w:val="20"/>
              </w:rPr>
            </w:pPr>
            <w:r w:rsidRPr="005656E3">
              <w:rPr>
                <w:rFonts w:asciiTheme="minorHAnsi" w:hAnsiTheme="minorHAnsi"/>
                <w:sz w:val="20"/>
                <w:szCs w:val="20"/>
              </w:rPr>
              <w:t>1,970</w:t>
            </w:r>
          </w:p>
        </w:tc>
        <w:tc>
          <w:tcPr>
            <w:tcW w:w="0" w:type="auto"/>
          </w:tcPr>
          <w:p w14:paraId="13AFE16D" w14:textId="3ED7FDEB" w:rsidR="004469FF" w:rsidRPr="005656E3" w:rsidRDefault="004469FF" w:rsidP="00655BD5">
            <w:pPr>
              <w:pStyle w:val="BodyText"/>
              <w:rPr>
                <w:rFonts w:asciiTheme="minorHAnsi" w:hAnsiTheme="minorHAnsi"/>
                <w:sz w:val="20"/>
                <w:szCs w:val="20"/>
              </w:rPr>
            </w:pPr>
            <w:r w:rsidRPr="005656E3">
              <w:rPr>
                <w:rFonts w:asciiTheme="minorHAnsi" w:hAnsiTheme="minorHAnsi"/>
                <w:sz w:val="20"/>
                <w:szCs w:val="20"/>
              </w:rPr>
              <w:t>31%</w:t>
            </w:r>
          </w:p>
        </w:tc>
        <w:tc>
          <w:tcPr>
            <w:tcW w:w="0" w:type="auto"/>
          </w:tcPr>
          <w:p w14:paraId="5D67D56F" w14:textId="12572432" w:rsidR="004469FF" w:rsidRPr="005656E3" w:rsidRDefault="004469FF" w:rsidP="00655BD5">
            <w:pPr>
              <w:pStyle w:val="BodyText"/>
              <w:rPr>
                <w:rFonts w:asciiTheme="minorHAnsi" w:hAnsiTheme="minorHAnsi"/>
                <w:sz w:val="20"/>
                <w:szCs w:val="20"/>
              </w:rPr>
            </w:pPr>
            <w:r w:rsidRPr="005656E3">
              <w:rPr>
                <w:rFonts w:asciiTheme="minorHAnsi" w:hAnsiTheme="minorHAnsi"/>
                <w:sz w:val="20"/>
                <w:szCs w:val="20"/>
              </w:rPr>
              <w:t>3,273</w:t>
            </w:r>
          </w:p>
        </w:tc>
        <w:tc>
          <w:tcPr>
            <w:tcW w:w="0" w:type="auto"/>
          </w:tcPr>
          <w:p w14:paraId="7373DE0F" w14:textId="45EE0140" w:rsidR="004469FF" w:rsidRPr="005656E3" w:rsidRDefault="004469FF" w:rsidP="00655BD5">
            <w:pPr>
              <w:pStyle w:val="BodyText"/>
              <w:rPr>
                <w:rFonts w:asciiTheme="minorHAnsi" w:hAnsiTheme="minorHAnsi"/>
                <w:sz w:val="20"/>
                <w:szCs w:val="20"/>
              </w:rPr>
            </w:pPr>
            <w:r w:rsidRPr="005656E3">
              <w:rPr>
                <w:rFonts w:asciiTheme="minorHAnsi" w:hAnsiTheme="minorHAnsi"/>
                <w:sz w:val="20"/>
                <w:szCs w:val="20"/>
              </w:rPr>
              <w:t>50%</w:t>
            </w:r>
          </w:p>
        </w:tc>
        <w:tc>
          <w:tcPr>
            <w:tcW w:w="0" w:type="auto"/>
          </w:tcPr>
          <w:p w14:paraId="3F1AE461" w14:textId="06A3DDAA" w:rsidR="004469FF" w:rsidRPr="005656E3" w:rsidRDefault="004469FF" w:rsidP="00655BD5">
            <w:pPr>
              <w:pStyle w:val="BodyText"/>
              <w:rPr>
                <w:rFonts w:asciiTheme="minorHAnsi" w:hAnsiTheme="minorHAnsi"/>
                <w:sz w:val="20"/>
                <w:szCs w:val="20"/>
              </w:rPr>
            </w:pPr>
            <w:r w:rsidRPr="005656E3">
              <w:rPr>
                <w:rFonts w:asciiTheme="minorHAnsi" w:hAnsiTheme="minorHAnsi"/>
                <w:sz w:val="20"/>
                <w:szCs w:val="20"/>
              </w:rPr>
              <w:t>4,873</w:t>
            </w:r>
          </w:p>
        </w:tc>
        <w:tc>
          <w:tcPr>
            <w:tcW w:w="0" w:type="auto"/>
          </w:tcPr>
          <w:p w14:paraId="05B82BB1" w14:textId="27626429" w:rsidR="004469FF" w:rsidRPr="005656E3" w:rsidRDefault="004469FF" w:rsidP="00655BD5">
            <w:pPr>
              <w:pStyle w:val="BodyText"/>
              <w:rPr>
                <w:rFonts w:asciiTheme="minorHAnsi" w:hAnsiTheme="minorHAnsi"/>
                <w:sz w:val="20"/>
                <w:szCs w:val="20"/>
              </w:rPr>
            </w:pPr>
            <w:r w:rsidRPr="005656E3">
              <w:rPr>
                <w:rFonts w:asciiTheme="minorHAnsi" w:hAnsiTheme="minorHAnsi"/>
                <w:sz w:val="20"/>
                <w:szCs w:val="20"/>
              </w:rPr>
              <w:t>57%</w:t>
            </w:r>
          </w:p>
        </w:tc>
      </w:tr>
      <w:tr w:rsidR="004469FF" w:rsidRPr="00825874" w14:paraId="1E661B12" w14:textId="77777777" w:rsidTr="005656E3">
        <w:tc>
          <w:tcPr>
            <w:tcW w:w="0" w:type="auto"/>
          </w:tcPr>
          <w:p w14:paraId="563EB032" w14:textId="07568C43" w:rsidR="004469FF" w:rsidRPr="005656E3" w:rsidRDefault="004469FF" w:rsidP="00655BD5">
            <w:pPr>
              <w:pStyle w:val="BodyText"/>
              <w:rPr>
                <w:rFonts w:asciiTheme="minorHAnsi" w:hAnsiTheme="minorHAnsi"/>
                <w:sz w:val="20"/>
                <w:szCs w:val="20"/>
              </w:rPr>
            </w:pPr>
            <w:r w:rsidRPr="005656E3">
              <w:rPr>
                <w:rFonts w:asciiTheme="minorHAnsi" w:hAnsiTheme="minorHAnsi"/>
                <w:sz w:val="20"/>
                <w:szCs w:val="20"/>
              </w:rPr>
              <w:t>Emerson Hospital</w:t>
            </w:r>
          </w:p>
        </w:tc>
        <w:tc>
          <w:tcPr>
            <w:tcW w:w="0" w:type="auto"/>
          </w:tcPr>
          <w:p w14:paraId="3DFA502C" w14:textId="277A91CD" w:rsidR="004469FF" w:rsidRPr="005656E3" w:rsidRDefault="00825874" w:rsidP="00655BD5">
            <w:pPr>
              <w:pStyle w:val="BodyText"/>
              <w:rPr>
                <w:rFonts w:asciiTheme="minorHAnsi" w:hAnsiTheme="minorHAnsi"/>
                <w:sz w:val="20"/>
                <w:szCs w:val="20"/>
              </w:rPr>
            </w:pPr>
            <w:r w:rsidRPr="005656E3">
              <w:rPr>
                <w:rFonts w:asciiTheme="minorHAnsi" w:hAnsiTheme="minorHAnsi"/>
                <w:sz w:val="20"/>
                <w:szCs w:val="20"/>
              </w:rPr>
              <w:t>4,363</w:t>
            </w:r>
          </w:p>
        </w:tc>
        <w:tc>
          <w:tcPr>
            <w:tcW w:w="0" w:type="auto"/>
          </w:tcPr>
          <w:p w14:paraId="46E271F0" w14:textId="61A05475" w:rsidR="004469FF" w:rsidRPr="005656E3" w:rsidRDefault="00825874" w:rsidP="00655BD5">
            <w:pPr>
              <w:pStyle w:val="BodyText"/>
              <w:rPr>
                <w:rFonts w:asciiTheme="minorHAnsi" w:hAnsiTheme="minorHAnsi"/>
                <w:sz w:val="20"/>
                <w:szCs w:val="20"/>
              </w:rPr>
            </w:pPr>
            <w:r w:rsidRPr="005656E3">
              <w:rPr>
                <w:rFonts w:asciiTheme="minorHAnsi" w:hAnsiTheme="minorHAnsi"/>
                <w:sz w:val="20"/>
                <w:szCs w:val="20"/>
              </w:rPr>
              <w:t>69%</w:t>
            </w:r>
          </w:p>
        </w:tc>
        <w:tc>
          <w:tcPr>
            <w:tcW w:w="0" w:type="auto"/>
          </w:tcPr>
          <w:p w14:paraId="7839E8BD" w14:textId="18D3DEFF" w:rsidR="004469FF" w:rsidRPr="005656E3" w:rsidRDefault="00825874" w:rsidP="00655BD5">
            <w:pPr>
              <w:pStyle w:val="BodyText"/>
              <w:rPr>
                <w:rFonts w:asciiTheme="minorHAnsi" w:hAnsiTheme="minorHAnsi"/>
                <w:sz w:val="20"/>
                <w:szCs w:val="20"/>
              </w:rPr>
            </w:pPr>
            <w:r w:rsidRPr="005656E3">
              <w:rPr>
                <w:rFonts w:asciiTheme="minorHAnsi" w:hAnsiTheme="minorHAnsi"/>
                <w:sz w:val="20"/>
                <w:szCs w:val="20"/>
              </w:rPr>
              <w:t>3,258</w:t>
            </w:r>
          </w:p>
        </w:tc>
        <w:tc>
          <w:tcPr>
            <w:tcW w:w="0" w:type="auto"/>
          </w:tcPr>
          <w:p w14:paraId="60A291B8" w14:textId="641B40C8" w:rsidR="004469FF" w:rsidRPr="005656E3" w:rsidRDefault="00825874" w:rsidP="00655BD5">
            <w:pPr>
              <w:pStyle w:val="BodyText"/>
              <w:rPr>
                <w:rFonts w:asciiTheme="minorHAnsi" w:hAnsiTheme="minorHAnsi"/>
                <w:sz w:val="20"/>
                <w:szCs w:val="20"/>
              </w:rPr>
            </w:pPr>
            <w:r w:rsidRPr="005656E3">
              <w:rPr>
                <w:rFonts w:asciiTheme="minorHAnsi" w:hAnsiTheme="minorHAnsi"/>
                <w:sz w:val="20"/>
                <w:szCs w:val="20"/>
              </w:rPr>
              <w:t>50%</w:t>
            </w:r>
          </w:p>
        </w:tc>
        <w:tc>
          <w:tcPr>
            <w:tcW w:w="0" w:type="auto"/>
          </w:tcPr>
          <w:p w14:paraId="57BD31CF" w14:textId="1ACF7991" w:rsidR="004469FF" w:rsidRPr="005656E3" w:rsidRDefault="00825874" w:rsidP="00655BD5">
            <w:pPr>
              <w:pStyle w:val="BodyText"/>
              <w:rPr>
                <w:rFonts w:asciiTheme="minorHAnsi" w:hAnsiTheme="minorHAnsi"/>
                <w:sz w:val="20"/>
                <w:szCs w:val="20"/>
              </w:rPr>
            </w:pPr>
            <w:r w:rsidRPr="005656E3">
              <w:rPr>
                <w:rFonts w:asciiTheme="minorHAnsi" w:hAnsiTheme="minorHAnsi"/>
                <w:sz w:val="20"/>
                <w:szCs w:val="20"/>
              </w:rPr>
              <w:t>3,633</w:t>
            </w:r>
          </w:p>
        </w:tc>
        <w:tc>
          <w:tcPr>
            <w:tcW w:w="0" w:type="auto"/>
          </w:tcPr>
          <w:p w14:paraId="102CB69B" w14:textId="6DCB42A2" w:rsidR="004469FF" w:rsidRPr="005656E3" w:rsidRDefault="00825874" w:rsidP="00655BD5">
            <w:pPr>
              <w:pStyle w:val="BodyText"/>
              <w:rPr>
                <w:rFonts w:asciiTheme="minorHAnsi" w:hAnsiTheme="minorHAnsi"/>
                <w:sz w:val="20"/>
                <w:szCs w:val="20"/>
              </w:rPr>
            </w:pPr>
            <w:r w:rsidRPr="005656E3">
              <w:rPr>
                <w:rFonts w:asciiTheme="minorHAnsi" w:hAnsiTheme="minorHAnsi"/>
                <w:sz w:val="20"/>
                <w:szCs w:val="20"/>
              </w:rPr>
              <w:t>43%</w:t>
            </w:r>
          </w:p>
        </w:tc>
      </w:tr>
      <w:tr w:rsidR="004469FF" w:rsidRPr="00825874" w14:paraId="71A49ED5" w14:textId="77777777" w:rsidTr="005656E3">
        <w:tc>
          <w:tcPr>
            <w:tcW w:w="0" w:type="auto"/>
          </w:tcPr>
          <w:p w14:paraId="4E29554F" w14:textId="4255EFF6" w:rsidR="004469FF" w:rsidRPr="005656E3" w:rsidRDefault="004469FF" w:rsidP="00655BD5">
            <w:pPr>
              <w:pStyle w:val="BodyText"/>
              <w:rPr>
                <w:rFonts w:asciiTheme="minorHAnsi" w:hAnsiTheme="minorHAnsi"/>
                <w:sz w:val="20"/>
                <w:szCs w:val="20"/>
              </w:rPr>
            </w:pPr>
            <w:r w:rsidRPr="005656E3">
              <w:rPr>
                <w:rFonts w:asciiTheme="minorHAnsi" w:hAnsiTheme="minorHAnsi"/>
                <w:sz w:val="20"/>
                <w:szCs w:val="20"/>
              </w:rPr>
              <w:t>Total (Routine)</w:t>
            </w:r>
          </w:p>
        </w:tc>
        <w:tc>
          <w:tcPr>
            <w:tcW w:w="0" w:type="auto"/>
          </w:tcPr>
          <w:p w14:paraId="22BA9463" w14:textId="6BBB4F2F" w:rsidR="004469FF" w:rsidRPr="005656E3" w:rsidRDefault="00825874" w:rsidP="00655BD5">
            <w:pPr>
              <w:pStyle w:val="BodyText"/>
              <w:rPr>
                <w:rFonts w:asciiTheme="minorHAnsi" w:hAnsiTheme="minorHAnsi"/>
                <w:sz w:val="20"/>
                <w:szCs w:val="20"/>
              </w:rPr>
            </w:pPr>
            <w:r w:rsidRPr="005656E3">
              <w:rPr>
                <w:rFonts w:asciiTheme="minorHAnsi" w:hAnsiTheme="minorHAnsi"/>
                <w:sz w:val="20"/>
                <w:szCs w:val="20"/>
              </w:rPr>
              <w:t>6,333</w:t>
            </w:r>
          </w:p>
        </w:tc>
        <w:tc>
          <w:tcPr>
            <w:tcW w:w="0" w:type="auto"/>
          </w:tcPr>
          <w:p w14:paraId="6ADB67E3" w14:textId="6CE8BE6D" w:rsidR="004469FF" w:rsidRPr="005656E3" w:rsidRDefault="00825874" w:rsidP="00655BD5">
            <w:pPr>
              <w:pStyle w:val="BodyText"/>
              <w:rPr>
                <w:rFonts w:asciiTheme="minorHAnsi" w:hAnsiTheme="minorHAnsi"/>
                <w:sz w:val="20"/>
                <w:szCs w:val="20"/>
              </w:rPr>
            </w:pPr>
            <w:r w:rsidRPr="005656E3">
              <w:rPr>
                <w:rFonts w:asciiTheme="minorHAnsi" w:hAnsiTheme="minorHAnsi"/>
                <w:sz w:val="20"/>
                <w:szCs w:val="20"/>
              </w:rPr>
              <w:t>100%</w:t>
            </w:r>
          </w:p>
        </w:tc>
        <w:tc>
          <w:tcPr>
            <w:tcW w:w="0" w:type="auto"/>
          </w:tcPr>
          <w:p w14:paraId="7E2D6C11" w14:textId="6199BA40" w:rsidR="004469FF" w:rsidRPr="005656E3" w:rsidRDefault="00825874" w:rsidP="00655BD5">
            <w:pPr>
              <w:pStyle w:val="BodyText"/>
              <w:rPr>
                <w:rFonts w:asciiTheme="minorHAnsi" w:hAnsiTheme="minorHAnsi"/>
                <w:sz w:val="20"/>
                <w:szCs w:val="20"/>
              </w:rPr>
            </w:pPr>
            <w:r w:rsidRPr="005656E3">
              <w:rPr>
                <w:rFonts w:asciiTheme="minorHAnsi" w:hAnsiTheme="minorHAnsi"/>
                <w:sz w:val="20"/>
                <w:szCs w:val="20"/>
              </w:rPr>
              <w:t>6,531</w:t>
            </w:r>
          </w:p>
        </w:tc>
        <w:tc>
          <w:tcPr>
            <w:tcW w:w="0" w:type="auto"/>
          </w:tcPr>
          <w:p w14:paraId="2F97CB14" w14:textId="5EEFD40B" w:rsidR="004469FF" w:rsidRPr="005656E3" w:rsidRDefault="00825874" w:rsidP="00655BD5">
            <w:pPr>
              <w:pStyle w:val="BodyText"/>
              <w:rPr>
                <w:rFonts w:asciiTheme="minorHAnsi" w:hAnsiTheme="minorHAnsi"/>
                <w:sz w:val="20"/>
                <w:szCs w:val="20"/>
              </w:rPr>
            </w:pPr>
            <w:r w:rsidRPr="005656E3">
              <w:rPr>
                <w:rFonts w:asciiTheme="minorHAnsi" w:hAnsiTheme="minorHAnsi"/>
                <w:sz w:val="20"/>
                <w:szCs w:val="20"/>
              </w:rPr>
              <w:t>100%</w:t>
            </w:r>
          </w:p>
        </w:tc>
        <w:tc>
          <w:tcPr>
            <w:tcW w:w="0" w:type="auto"/>
          </w:tcPr>
          <w:p w14:paraId="6D567E54" w14:textId="7DF3A9D0" w:rsidR="004469FF" w:rsidRPr="005656E3" w:rsidRDefault="00825874" w:rsidP="00655BD5">
            <w:pPr>
              <w:pStyle w:val="BodyText"/>
              <w:rPr>
                <w:rFonts w:asciiTheme="minorHAnsi" w:hAnsiTheme="minorHAnsi"/>
                <w:sz w:val="20"/>
                <w:szCs w:val="20"/>
              </w:rPr>
            </w:pPr>
            <w:r w:rsidRPr="005656E3">
              <w:rPr>
                <w:rFonts w:asciiTheme="minorHAnsi" w:hAnsiTheme="minorHAnsi"/>
                <w:sz w:val="20"/>
                <w:szCs w:val="20"/>
              </w:rPr>
              <w:t>8,506</w:t>
            </w:r>
          </w:p>
        </w:tc>
        <w:tc>
          <w:tcPr>
            <w:tcW w:w="0" w:type="auto"/>
          </w:tcPr>
          <w:p w14:paraId="2A3941F8" w14:textId="4CB93ECD" w:rsidR="004469FF" w:rsidRPr="005656E3" w:rsidRDefault="00825874" w:rsidP="00655BD5">
            <w:pPr>
              <w:pStyle w:val="BodyText"/>
              <w:rPr>
                <w:rFonts w:asciiTheme="minorHAnsi" w:hAnsiTheme="minorHAnsi"/>
                <w:sz w:val="20"/>
                <w:szCs w:val="20"/>
              </w:rPr>
            </w:pPr>
            <w:r w:rsidRPr="005656E3">
              <w:rPr>
                <w:rFonts w:asciiTheme="minorHAnsi" w:hAnsiTheme="minorHAnsi"/>
                <w:sz w:val="20"/>
                <w:szCs w:val="20"/>
              </w:rPr>
              <w:t>100%</w:t>
            </w:r>
          </w:p>
        </w:tc>
      </w:tr>
    </w:tbl>
    <w:p w14:paraId="4F9C9DD5" w14:textId="77777777" w:rsidR="004C5625" w:rsidRPr="00655BD5" w:rsidRDefault="004C5625" w:rsidP="00655BD5">
      <w:pPr>
        <w:pStyle w:val="BodyText"/>
        <w:rPr>
          <w:rFonts w:asciiTheme="minorHAnsi" w:hAnsiTheme="minorHAnsi"/>
        </w:rPr>
      </w:pPr>
    </w:p>
    <w:p w14:paraId="0B4BE5B4" w14:textId="5E6BEAB8" w:rsidR="002F39BB" w:rsidRPr="002F39BB" w:rsidRDefault="002F39BB" w:rsidP="002F39BB">
      <w:pPr>
        <w:pStyle w:val="BodyText"/>
        <w:rPr>
          <w:rFonts w:asciiTheme="minorHAnsi" w:hAnsiTheme="minorHAnsi"/>
        </w:rPr>
      </w:pPr>
      <w:r w:rsidRPr="002F39BB">
        <w:rPr>
          <w:rFonts w:asciiTheme="minorHAnsi" w:hAnsiTheme="minorHAnsi"/>
        </w:rPr>
        <w:t>As shown in Table</w:t>
      </w:r>
      <w:r w:rsidR="003F2A12">
        <w:rPr>
          <w:rFonts w:asciiTheme="minorHAnsi" w:hAnsiTheme="minorHAnsi"/>
        </w:rPr>
        <w:t>s 1</w:t>
      </w:r>
      <w:r w:rsidR="00A9310C">
        <w:rPr>
          <w:rFonts w:asciiTheme="minorHAnsi" w:hAnsiTheme="minorHAnsi"/>
        </w:rPr>
        <w:t>2</w:t>
      </w:r>
      <w:r w:rsidR="003F2A12">
        <w:rPr>
          <w:rFonts w:asciiTheme="minorHAnsi" w:hAnsiTheme="minorHAnsi"/>
        </w:rPr>
        <w:t xml:space="preserve"> and 1</w:t>
      </w:r>
      <w:r w:rsidR="00A9310C">
        <w:rPr>
          <w:rFonts w:asciiTheme="minorHAnsi" w:hAnsiTheme="minorHAnsi"/>
        </w:rPr>
        <w:t>3</w:t>
      </w:r>
      <w:r w:rsidRPr="002F39BB">
        <w:rPr>
          <w:rFonts w:asciiTheme="minorHAnsi" w:hAnsiTheme="minorHAnsi"/>
        </w:rPr>
        <w:t xml:space="preserve">, the Center’s case volume initially fell below its projections in 2022 and 2023, but began to outpace projections in 2024. </w:t>
      </w:r>
      <w:r w:rsidR="007C3ED5">
        <w:rPr>
          <w:rFonts w:asciiTheme="minorHAnsi" w:hAnsiTheme="minorHAnsi"/>
        </w:rPr>
        <w:t xml:space="preserve">The Center’s </w:t>
      </w:r>
      <w:r w:rsidRPr="002F39BB">
        <w:rPr>
          <w:rFonts w:asciiTheme="minorHAnsi" w:hAnsiTheme="minorHAnsi"/>
        </w:rPr>
        <w:t xml:space="preserve">2024 actual utilization exceeded the projected volume for 2025 and nearly met the projected volume for 2026. </w:t>
      </w:r>
    </w:p>
    <w:p w14:paraId="68A16224" w14:textId="77777777" w:rsidR="00655BD5" w:rsidRPr="00655BD5" w:rsidRDefault="00655BD5" w:rsidP="00655BD5">
      <w:pPr>
        <w:pStyle w:val="BodyText"/>
        <w:rPr>
          <w:rFonts w:asciiTheme="minorHAnsi" w:hAnsiTheme="minorHAnsi"/>
        </w:rPr>
      </w:pPr>
    </w:p>
    <w:p w14:paraId="123EE150" w14:textId="5FE04FED" w:rsidR="00655BD5" w:rsidRPr="00655BD5" w:rsidRDefault="00655BD5" w:rsidP="00655BD5">
      <w:pPr>
        <w:pStyle w:val="BodyText"/>
        <w:rPr>
          <w:rFonts w:asciiTheme="minorHAnsi" w:hAnsiTheme="minorHAnsi"/>
        </w:rPr>
      </w:pPr>
      <w:r w:rsidRPr="00655BD5">
        <w:rPr>
          <w:rFonts w:asciiTheme="minorHAnsi" w:hAnsiTheme="minorHAnsi"/>
        </w:rPr>
        <w:t>The Applicant states that the Center’s case volume is surpassing projections due to the following:</w:t>
      </w:r>
    </w:p>
    <w:p w14:paraId="11567290" w14:textId="77777777" w:rsidR="00655BD5" w:rsidRPr="00655BD5" w:rsidRDefault="00655BD5" w:rsidP="00655BD5">
      <w:pPr>
        <w:pStyle w:val="BodyText"/>
        <w:numPr>
          <w:ilvl w:val="0"/>
          <w:numId w:val="52"/>
        </w:numPr>
        <w:rPr>
          <w:rFonts w:asciiTheme="minorHAnsi" w:hAnsiTheme="minorHAnsi"/>
        </w:rPr>
      </w:pPr>
      <w:r w:rsidRPr="00655BD5">
        <w:rPr>
          <w:rFonts w:asciiTheme="minorHAnsi" w:hAnsiTheme="minorHAnsi"/>
        </w:rPr>
        <w:t xml:space="preserve">The CRC screening guidelines lowered the starting age of screening from 50 to 45, making more patients eligible for screening; </w:t>
      </w:r>
    </w:p>
    <w:p w14:paraId="3C75B024" w14:textId="77777777" w:rsidR="00655BD5" w:rsidRPr="00655BD5" w:rsidRDefault="00655BD5" w:rsidP="00655BD5">
      <w:pPr>
        <w:pStyle w:val="BodyText"/>
        <w:numPr>
          <w:ilvl w:val="0"/>
          <w:numId w:val="52"/>
        </w:numPr>
        <w:rPr>
          <w:rFonts w:asciiTheme="minorHAnsi" w:hAnsiTheme="minorHAnsi"/>
        </w:rPr>
      </w:pPr>
      <w:r w:rsidRPr="00655BD5">
        <w:rPr>
          <w:rFonts w:asciiTheme="minorHAnsi" w:hAnsiTheme="minorHAnsi"/>
        </w:rPr>
        <w:t>The closure of NVMC’s endoscopy service; and</w:t>
      </w:r>
    </w:p>
    <w:p w14:paraId="09F326E7" w14:textId="2BABCD4C" w:rsidR="00655BD5" w:rsidRPr="00655BD5" w:rsidRDefault="00655BD5" w:rsidP="00655BD5">
      <w:pPr>
        <w:pStyle w:val="BodyText"/>
        <w:numPr>
          <w:ilvl w:val="0"/>
          <w:numId w:val="52"/>
        </w:numPr>
        <w:rPr>
          <w:rFonts w:asciiTheme="minorHAnsi" w:hAnsiTheme="minorHAnsi"/>
        </w:rPr>
      </w:pPr>
      <w:r w:rsidRPr="00655BD5">
        <w:rPr>
          <w:rFonts w:asciiTheme="minorHAnsi" w:hAnsiTheme="minorHAnsi"/>
        </w:rPr>
        <w:t xml:space="preserve">The hiring of two physicians by Emerson GI, and one GI physician by Atrius </w:t>
      </w:r>
      <w:r w:rsidR="007C3ED5">
        <w:rPr>
          <w:rFonts w:asciiTheme="minorHAnsi" w:hAnsiTheme="minorHAnsi"/>
        </w:rPr>
        <w:t>H</w:t>
      </w:r>
      <w:r w:rsidRPr="00655BD5">
        <w:rPr>
          <w:rFonts w:asciiTheme="minorHAnsi" w:hAnsiTheme="minorHAnsi"/>
        </w:rPr>
        <w:t>ealth</w:t>
      </w:r>
      <w:r w:rsidR="006D756A">
        <w:rPr>
          <w:rFonts w:asciiTheme="minorHAnsi" w:hAnsiTheme="minorHAnsi"/>
        </w:rPr>
        <w:t>.</w:t>
      </w:r>
    </w:p>
    <w:p w14:paraId="520D38D8" w14:textId="77777777" w:rsidR="00655BD5" w:rsidRDefault="00655BD5" w:rsidP="00171B0A">
      <w:pPr>
        <w:pStyle w:val="BodyText"/>
        <w:spacing w:line="269" w:lineRule="exact"/>
        <w:rPr>
          <w:rFonts w:asciiTheme="minorHAnsi" w:hAnsiTheme="minorHAnsi"/>
        </w:rPr>
      </w:pPr>
    </w:p>
    <w:p w14:paraId="44D51EE1" w14:textId="3FA06539" w:rsidR="00B44430" w:rsidRDefault="005F3F1F" w:rsidP="00C73047">
      <w:pPr>
        <w:pStyle w:val="BodyText"/>
        <w:spacing w:line="269" w:lineRule="exact"/>
        <w:rPr>
          <w:rFonts w:asciiTheme="minorHAnsi" w:hAnsiTheme="minorHAnsi"/>
        </w:rPr>
      </w:pPr>
      <w:r>
        <w:rPr>
          <w:rFonts w:asciiTheme="minorHAnsi" w:hAnsiTheme="minorHAnsi"/>
        </w:rPr>
        <w:t>As discussed above, by 2024 the actual volume at the Center exceeded projected volume</w:t>
      </w:r>
      <w:r w:rsidR="00B02545">
        <w:rPr>
          <w:rFonts w:asciiTheme="minorHAnsi" w:hAnsiTheme="minorHAnsi"/>
        </w:rPr>
        <w:t xml:space="preserve">. </w:t>
      </w:r>
      <w:r w:rsidR="00181683">
        <w:rPr>
          <w:rFonts w:asciiTheme="minorHAnsi" w:hAnsiTheme="minorHAnsi"/>
        </w:rPr>
        <w:t>However, actual volume</w:t>
      </w:r>
      <w:r w:rsidR="00826CEF">
        <w:rPr>
          <w:rFonts w:asciiTheme="minorHAnsi" w:hAnsiTheme="minorHAnsi"/>
        </w:rPr>
        <w:t xml:space="preserve"> at Emerson Hospital</w:t>
      </w:r>
      <w:r w:rsidR="00181683">
        <w:rPr>
          <w:rFonts w:asciiTheme="minorHAnsi" w:hAnsiTheme="minorHAnsi"/>
        </w:rPr>
        <w:t xml:space="preserve"> outpaced </w:t>
      </w:r>
      <w:r w:rsidR="00E51853">
        <w:rPr>
          <w:rFonts w:asciiTheme="minorHAnsi" w:hAnsiTheme="minorHAnsi"/>
        </w:rPr>
        <w:t>project</w:t>
      </w:r>
      <w:r w:rsidR="000923A9">
        <w:rPr>
          <w:rFonts w:asciiTheme="minorHAnsi" w:hAnsiTheme="minorHAnsi"/>
        </w:rPr>
        <w:t>ed volume</w:t>
      </w:r>
      <w:r w:rsidR="00E51853">
        <w:rPr>
          <w:rFonts w:asciiTheme="minorHAnsi" w:hAnsiTheme="minorHAnsi"/>
        </w:rPr>
        <w:t>, as well.</w:t>
      </w:r>
      <w:r w:rsidR="000B2364">
        <w:rPr>
          <w:rFonts w:asciiTheme="minorHAnsi" w:hAnsiTheme="minorHAnsi"/>
        </w:rPr>
        <w:t xml:space="preserve"> Across the two sites, endoscopy cases exceeded</w:t>
      </w:r>
      <w:r w:rsidR="000923A9">
        <w:rPr>
          <w:rFonts w:asciiTheme="minorHAnsi" w:hAnsiTheme="minorHAnsi"/>
        </w:rPr>
        <w:t xml:space="preserve"> total</w:t>
      </w:r>
      <w:r w:rsidR="000B2364">
        <w:rPr>
          <w:rFonts w:asciiTheme="minorHAnsi" w:hAnsiTheme="minorHAnsi"/>
        </w:rPr>
        <w:t xml:space="preserve"> projections</w:t>
      </w:r>
      <w:r w:rsidR="00171B0A">
        <w:rPr>
          <w:rFonts w:asciiTheme="minorHAnsi" w:hAnsiTheme="minorHAnsi"/>
        </w:rPr>
        <w:t xml:space="preserve"> by </w:t>
      </w:r>
      <w:r w:rsidR="001D3C23" w:rsidRPr="001D3C23">
        <w:rPr>
          <w:rFonts w:asciiTheme="minorHAnsi" w:hAnsiTheme="minorHAnsi"/>
        </w:rPr>
        <w:t>2</w:t>
      </w:r>
      <w:r w:rsidR="00D058D1">
        <w:rPr>
          <w:rFonts w:asciiTheme="minorHAnsi" w:hAnsiTheme="minorHAnsi"/>
        </w:rPr>
        <w:t>,</w:t>
      </w:r>
      <w:r w:rsidR="001D3C23" w:rsidRPr="001D3C23">
        <w:rPr>
          <w:rFonts w:asciiTheme="minorHAnsi" w:hAnsiTheme="minorHAnsi"/>
        </w:rPr>
        <w:t xml:space="preserve">101 cases </w:t>
      </w:r>
      <w:r w:rsidR="00995FDE">
        <w:rPr>
          <w:rFonts w:asciiTheme="minorHAnsi" w:hAnsiTheme="minorHAnsi"/>
        </w:rPr>
        <w:t xml:space="preserve">(50%) </w:t>
      </w:r>
      <w:r w:rsidR="001D3C23" w:rsidRPr="001D3C23">
        <w:rPr>
          <w:rFonts w:asciiTheme="minorHAnsi" w:hAnsiTheme="minorHAnsi"/>
        </w:rPr>
        <w:t>in 2022, 1</w:t>
      </w:r>
      <w:r w:rsidR="00D058D1">
        <w:rPr>
          <w:rFonts w:asciiTheme="minorHAnsi" w:hAnsiTheme="minorHAnsi"/>
        </w:rPr>
        <w:t>,</w:t>
      </w:r>
      <w:r w:rsidR="001D3C23" w:rsidRPr="001D3C23">
        <w:rPr>
          <w:rFonts w:asciiTheme="minorHAnsi" w:hAnsiTheme="minorHAnsi"/>
        </w:rPr>
        <w:t>422 cases</w:t>
      </w:r>
      <w:r w:rsidR="00995FDE">
        <w:rPr>
          <w:rFonts w:asciiTheme="minorHAnsi" w:hAnsiTheme="minorHAnsi"/>
        </w:rPr>
        <w:t xml:space="preserve"> </w:t>
      </w:r>
      <w:r w:rsidR="001F6B29">
        <w:rPr>
          <w:rFonts w:asciiTheme="minorHAnsi" w:hAnsiTheme="minorHAnsi"/>
        </w:rPr>
        <w:t>(28%)</w:t>
      </w:r>
      <w:r w:rsidR="001D3C23" w:rsidRPr="001D3C23">
        <w:rPr>
          <w:rFonts w:asciiTheme="minorHAnsi" w:hAnsiTheme="minorHAnsi"/>
        </w:rPr>
        <w:t xml:space="preserve"> in 2023, and 2</w:t>
      </w:r>
      <w:r w:rsidR="00D058D1">
        <w:rPr>
          <w:rFonts w:asciiTheme="minorHAnsi" w:hAnsiTheme="minorHAnsi"/>
        </w:rPr>
        <w:t>,</w:t>
      </w:r>
      <w:r w:rsidR="001D3C23" w:rsidRPr="001D3C23">
        <w:rPr>
          <w:rFonts w:asciiTheme="minorHAnsi" w:hAnsiTheme="minorHAnsi"/>
        </w:rPr>
        <w:t>965</w:t>
      </w:r>
      <w:r w:rsidR="001F6B29">
        <w:rPr>
          <w:rFonts w:asciiTheme="minorHAnsi" w:hAnsiTheme="minorHAnsi"/>
        </w:rPr>
        <w:t xml:space="preserve"> (</w:t>
      </w:r>
      <w:r w:rsidR="00442106">
        <w:rPr>
          <w:rFonts w:asciiTheme="minorHAnsi" w:hAnsiTheme="minorHAnsi"/>
        </w:rPr>
        <w:t>54%)</w:t>
      </w:r>
      <w:r w:rsidR="001D3C23" w:rsidRPr="001D3C23">
        <w:rPr>
          <w:rFonts w:asciiTheme="minorHAnsi" w:hAnsiTheme="minorHAnsi"/>
        </w:rPr>
        <w:t xml:space="preserve"> in 2024</w:t>
      </w:r>
      <w:r w:rsidR="001D3C23">
        <w:rPr>
          <w:rFonts w:asciiTheme="minorHAnsi" w:hAnsiTheme="minorHAnsi"/>
        </w:rPr>
        <w:t xml:space="preserve">. The 2024 </w:t>
      </w:r>
      <w:r w:rsidR="00826CEF">
        <w:rPr>
          <w:rFonts w:asciiTheme="minorHAnsi" w:hAnsiTheme="minorHAnsi"/>
        </w:rPr>
        <w:t xml:space="preserve">total </w:t>
      </w:r>
      <w:r w:rsidR="001D3C23">
        <w:rPr>
          <w:rFonts w:asciiTheme="minorHAnsi" w:hAnsiTheme="minorHAnsi"/>
        </w:rPr>
        <w:t xml:space="preserve">actual volume </w:t>
      </w:r>
      <w:r w:rsidR="00385665">
        <w:rPr>
          <w:rFonts w:asciiTheme="minorHAnsi" w:hAnsiTheme="minorHAnsi"/>
        </w:rPr>
        <w:t xml:space="preserve">also </w:t>
      </w:r>
      <w:r w:rsidR="001D3C23">
        <w:rPr>
          <w:rFonts w:asciiTheme="minorHAnsi" w:hAnsiTheme="minorHAnsi"/>
        </w:rPr>
        <w:t xml:space="preserve">exceeded </w:t>
      </w:r>
      <w:r w:rsidR="00770384">
        <w:rPr>
          <w:rFonts w:asciiTheme="minorHAnsi" w:hAnsiTheme="minorHAnsi"/>
        </w:rPr>
        <w:t xml:space="preserve">the </w:t>
      </w:r>
      <w:r w:rsidR="00385665">
        <w:rPr>
          <w:rFonts w:asciiTheme="minorHAnsi" w:hAnsiTheme="minorHAnsi"/>
        </w:rPr>
        <w:t xml:space="preserve">projected total </w:t>
      </w:r>
      <w:r w:rsidR="00385665">
        <w:rPr>
          <w:rFonts w:asciiTheme="minorHAnsi" w:hAnsiTheme="minorHAnsi"/>
        </w:rPr>
        <w:lastRenderedPageBreak/>
        <w:t xml:space="preserve">volume for 2025 and </w:t>
      </w:r>
      <w:r w:rsidR="00770384">
        <w:rPr>
          <w:rFonts w:asciiTheme="minorHAnsi" w:hAnsiTheme="minorHAnsi"/>
        </w:rPr>
        <w:t>2026</w:t>
      </w:r>
      <w:r w:rsidR="00AE1109">
        <w:rPr>
          <w:rFonts w:asciiTheme="minorHAnsi" w:hAnsiTheme="minorHAnsi"/>
        </w:rPr>
        <w:t xml:space="preserve">. </w:t>
      </w:r>
      <w:r w:rsidR="0063232C">
        <w:rPr>
          <w:rFonts w:asciiTheme="minorHAnsi" w:hAnsiTheme="minorHAnsi"/>
        </w:rPr>
        <w:t xml:space="preserve">The </w:t>
      </w:r>
      <w:r w:rsidR="00402B3C">
        <w:rPr>
          <w:rFonts w:asciiTheme="minorHAnsi" w:hAnsiTheme="minorHAnsi"/>
        </w:rPr>
        <w:t xml:space="preserve">Applicant states the </w:t>
      </w:r>
      <w:r w:rsidR="00A24F8F">
        <w:rPr>
          <w:rFonts w:asciiTheme="minorHAnsi" w:hAnsiTheme="minorHAnsi"/>
        </w:rPr>
        <w:t>actual case</w:t>
      </w:r>
      <w:r w:rsidR="00456752">
        <w:rPr>
          <w:rFonts w:asciiTheme="minorHAnsi" w:hAnsiTheme="minorHAnsi"/>
        </w:rPr>
        <w:t xml:space="preserve"> </w:t>
      </w:r>
      <w:r w:rsidR="00E94544">
        <w:rPr>
          <w:rFonts w:asciiTheme="minorHAnsi" w:hAnsiTheme="minorHAnsi"/>
        </w:rPr>
        <w:t xml:space="preserve">volumes indicate </w:t>
      </w:r>
      <w:r w:rsidR="00A93F2C">
        <w:rPr>
          <w:rFonts w:asciiTheme="minorHAnsi" w:hAnsiTheme="minorHAnsi"/>
        </w:rPr>
        <w:t xml:space="preserve">a need for endoscopy in the region greater than what </w:t>
      </w:r>
      <w:r w:rsidR="00B23423">
        <w:rPr>
          <w:rFonts w:asciiTheme="minorHAnsi" w:hAnsiTheme="minorHAnsi"/>
        </w:rPr>
        <w:t xml:space="preserve">the projected volume relied on </w:t>
      </w:r>
      <w:r w:rsidR="00A93F2C">
        <w:rPr>
          <w:rFonts w:asciiTheme="minorHAnsi" w:hAnsiTheme="minorHAnsi"/>
        </w:rPr>
        <w:t xml:space="preserve">in the Original DoN. </w:t>
      </w:r>
      <w:r w:rsidR="002F35A0" w:rsidRPr="002F35A0">
        <w:rPr>
          <w:rFonts w:asciiTheme="minorHAnsi" w:hAnsiTheme="minorHAnsi"/>
        </w:rPr>
        <w:t xml:space="preserve">As </w:t>
      </w:r>
      <w:r w:rsidR="002F35A0">
        <w:rPr>
          <w:rFonts w:asciiTheme="minorHAnsi" w:hAnsiTheme="minorHAnsi"/>
        </w:rPr>
        <w:t>described above</w:t>
      </w:r>
      <w:r w:rsidR="002F35A0" w:rsidRPr="002F35A0">
        <w:rPr>
          <w:rFonts w:asciiTheme="minorHAnsi" w:hAnsiTheme="minorHAnsi"/>
        </w:rPr>
        <w:t>, the majority of cases are performed at the Center, however</w:t>
      </w:r>
      <w:r w:rsidR="002F35A0">
        <w:rPr>
          <w:rFonts w:asciiTheme="minorHAnsi" w:hAnsiTheme="minorHAnsi"/>
        </w:rPr>
        <w:t>,</w:t>
      </w:r>
      <w:r w:rsidR="002F35A0" w:rsidRPr="002F35A0">
        <w:rPr>
          <w:rFonts w:asciiTheme="minorHAnsi" w:hAnsiTheme="minorHAnsi"/>
        </w:rPr>
        <w:t xml:space="preserve"> actual </w:t>
      </w:r>
      <w:r w:rsidR="002F35A0">
        <w:rPr>
          <w:rFonts w:asciiTheme="minorHAnsi" w:hAnsiTheme="minorHAnsi"/>
        </w:rPr>
        <w:t xml:space="preserve">percentage of cases falls short of the projected percentages with </w:t>
      </w:r>
      <w:r w:rsidR="002F35A0" w:rsidRPr="002F35A0">
        <w:rPr>
          <w:rFonts w:asciiTheme="minorHAnsi" w:hAnsiTheme="minorHAnsi"/>
        </w:rPr>
        <w:t xml:space="preserve">57% </w:t>
      </w:r>
      <w:r w:rsidR="002F35A0">
        <w:rPr>
          <w:rFonts w:asciiTheme="minorHAnsi" w:hAnsiTheme="minorHAnsi"/>
        </w:rPr>
        <w:t xml:space="preserve">of cases performed </w:t>
      </w:r>
      <w:r w:rsidR="002F35A0" w:rsidRPr="002F35A0">
        <w:rPr>
          <w:rFonts w:asciiTheme="minorHAnsi" w:hAnsiTheme="minorHAnsi"/>
        </w:rPr>
        <w:t>at the Center and 43% at Emerson Hospital</w:t>
      </w:r>
      <w:r w:rsidR="002F35A0">
        <w:rPr>
          <w:rFonts w:asciiTheme="minorHAnsi" w:hAnsiTheme="minorHAnsi"/>
        </w:rPr>
        <w:t xml:space="preserve"> in 2024. In its Original DoN, the Applicant projected</w:t>
      </w:r>
      <w:r w:rsidR="002F35A0" w:rsidRPr="002F35A0">
        <w:rPr>
          <w:rFonts w:asciiTheme="minorHAnsi" w:hAnsiTheme="minorHAnsi"/>
        </w:rPr>
        <w:t xml:space="preserve"> 85% </w:t>
      </w:r>
      <w:r w:rsidR="002F35A0">
        <w:rPr>
          <w:rFonts w:asciiTheme="minorHAnsi" w:hAnsiTheme="minorHAnsi"/>
        </w:rPr>
        <w:t xml:space="preserve">of cases in 2024 would be </w:t>
      </w:r>
      <w:r w:rsidR="002F35A0" w:rsidRPr="002F35A0">
        <w:rPr>
          <w:rFonts w:asciiTheme="minorHAnsi" w:hAnsiTheme="minorHAnsi"/>
        </w:rPr>
        <w:t>performed at the Center and 15% performed at the Hospital.</w:t>
      </w:r>
      <w:r w:rsidR="002F35A0">
        <w:rPr>
          <w:rFonts w:asciiTheme="minorHAnsi" w:hAnsiTheme="minorHAnsi"/>
        </w:rPr>
        <w:t xml:space="preserve"> </w:t>
      </w:r>
      <w:r w:rsidR="00987B96">
        <w:rPr>
          <w:rFonts w:asciiTheme="minorHAnsi" w:hAnsiTheme="minorHAnsi"/>
        </w:rPr>
        <w:t>Consequently</w:t>
      </w:r>
      <w:r w:rsidR="00B23423">
        <w:rPr>
          <w:rFonts w:asciiTheme="minorHAnsi" w:hAnsiTheme="minorHAnsi"/>
        </w:rPr>
        <w:t xml:space="preserve">, the Applicant </w:t>
      </w:r>
      <w:r w:rsidR="005E3963">
        <w:rPr>
          <w:rFonts w:asciiTheme="minorHAnsi" w:hAnsiTheme="minorHAnsi"/>
        </w:rPr>
        <w:t>anticipates that continued</w:t>
      </w:r>
      <w:r w:rsidR="00A93F2C">
        <w:rPr>
          <w:rFonts w:asciiTheme="minorHAnsi" w:hAnsiTheme="minorHAnsi"/>
        </w:rPr>
        <w:t xml:space="preserve"> timely access to endoscopy services</w:t>
      </w:r>
      <w:r w:rsidR="005E3963">
        <w:rPr>
          <w:rFonts w:asciiTheme="minorHAnsi" w:hAnsiTheme="minorHAnsi"/>
        </w:rPr>
        <w:t xml:space="preserve"> requires </w:t>
      </w:r>
      <w:r w:rsidR="00A93F2C" w:rsidDel="005E3963">
        <w:rPr>
          <w:rFonts w:asciiTheme="minorHAnsi" w:hAnsiTheme="minorHAnsi"/>
        </w:rPr>
        <w:t>a</w:t>
      </w:r>
      <w:r w:rsidR="00A93F2C">
        <w:rPr>
          <w:rFonts w:asciiTheme="minorHAnsi" w:hAnsiTheme="minorHAnsi"/>
        </w:rPr>
        <w:t xml:space="preserve">n additional procedure room. </w:t>
      </w:r>
    </w:p>
    <w:p w14:paraId="6C3A6FD1" w14:textId="77777777" w:rsidR="003353C7" w:rsidRDefault="003353C7" w:rsidP="00C73047">
      <w:pPr>
        <w:pStyle w:val="BodyText"/>
        <w:spacing w:line="269" w:lineRule="exact"/>
        <w:rPr>
          <w:rFonts w:asciiTheme="minorHAnsi" w:hAnsiTheme="minorHAnsi"/>
        </w:rPr>
      </w:pPr>
    </w:p>
    <w:p w14:paraId="5A353D2A" w14:textId="227129A5" w:rsidR="00FD0171" w:rsidRPr="000B63C8" w:rsidRDefault="00FD0171" w:rsidP="000B63C8">
      <w:pPr>
        <w:pStyle w:val="BodyText"/>
        <w:numPr>
          <w:ilvl w:val="0"/>
          <w:numId w:val="20"/>
        </w:numPr>
        <w:spacing w:line="269" w:lineRule="exact"/>
        <w:rPr>
          <w:rFonts w:asciiTheme="minorHAnsi" w:hAnsiTheme="minorHAnsi"/>
          <w:b/>
          <w:bCs/>
        </w:rPr>
      </w:pPr>
      <w:r w:rsidRPr="000B63C8">
        <w:rPr>
          <w:rFonts w:asciiTheme="minorHAnsi" w:hAnsiTheme="minorHAnsi"/>
          <w:b/>
          <w:bCs/>
        </w:rPr>
        <w:t xml:space="preserve">Closure </w:t>
      </w:r>
      <w:r>
        <w:rPr>
          <w:rFonts w:asciiTheme="minorHAnsi" w:hAnsiTheme="minorHAnsi"/>
          <w:b/>
          <w:bCs/>
        </w:rPr>
        <w:t>o</w:t>
      </w:r>
      <w:r w:rsidRPr="000B63C8">
        <w:rPr>
          <w:rFonts w:asciiTheme="minorHAnsi" w:hAnsiTheme="minorHAnsi"/>
          <w:b/>
          <w:bCs/>
        </w:rPr>
        <w:t>f NVMC</w:t>
      </w:r>
    </w:p>
    <w:p w14:paraId="7D200BE8" w14:textId="0757FEEC" w:rsidR="002F1494" w:rsidRDefault="14013C8B" w:rsidP="00AB17F5">
      <w:pPr>
        <w:pStyle w:val="BodyText"/>
        <w:spacing w:line="269" w:lineRule="exact"/>
        <w:rPr>
          <w:rFonts w:asciiTheme="minorHAnsi" w:hAnsiTheme="minorHAnsi"/>
        </w:rPr>
      </w:pPr>
      <w:r w:rsidRPr="29CA6377">
        <w:rPr>
          <w:rFonts w:asciiTheme="minorHAnsi" w:hAnsiTheme="minorHAnsi"/>
        </w:rPr>
        <w:t>The Applicant states</w:t>
      </w:r>
      <w:r w:rsidR="00CD41DA">
        <w:rPr>
          <w:rFonts w:asciiTheme="minorHAnsi" w:hAnsiTheme="minorHAnsi"/>
        </w:rPr>
        <w:t xml:space="preserve"> the recent closure of NVMC </w:t>
      </w:r>
      <w:r w:rsidR="0070042A">
        <w:rPr>
          <w:rFonts w:asciiTheme="minorHAnsi" w:hAnsiTheme="minorHAnsi"/>
        </w:rPr>
        <w:t>is a significant driver of the need for the Proposed Project</w:t>
      </w:r>
      <w:r w:rsidR="0067458F">
        <w:rPr>
          <w:rFonts w:asciiTheme="minorHAnsi" w:hAnsiTheme="minorHAnsi"/>
        </w:rPr>
        <w:t xml:space="preserve">. NVMC’s closure occurred on August 31, 2024 and </w:t>
      </w:r>
      <w:r w:rsidR="002068CE">
        <w:rPr>
          <w:rFonts w:asciiTheme="minorHAnsi" w:hAnsiTheme="minorHAnsi"/>
        </w:rPr>
        <w:t xml:space="preserve">the </w:t>
      </w:r>
      <w:r w:rsidR="0067458F">
        <w:rPr>
          <w:rFonts w:asciiTheme="minorHAnsi" w:hAnsiTheme="minorHAnsi"/>
        </w:rPr>
        <w:t xml:space="preserve">NVMC </w:t>
      </w:r>
      <w:r w:rsidR="00EA5323">
        <w:rPr>
          <w:rFonts w:asciiTheme="minorHAnsi" w:hAnsiTheme="minorHAnsi"/>
        </w:rPr>
        <w:t>service area overlapped with the Center’s</w:t>
      </w:r>
      <w:r w:rsidR="00EA5323" w:rsidRPr="29CA6377">
        <w:rPr>
          <w:rFonts w:asciiTheme="minorHAnsi" w:hAnsiTheme="minorHAnsi"/>
        </w:rPr>
        <w:t>, including the towns/cities of Acton, Westford, Littleton, Groton, Harvard, Leominster, Ayer, Lunenburg, and Pepperell.</w:t>
      </w:r>
      <w:r w:rsidR="4BC9EFD7" w:rsidRPr="29CA6377" w:rsidDel="0070042A">
        <w:rPr>
          <w:rFonts w:asciiTheme="minorHAnsi" w:hAnsiTheme="minorHAnsi"/>
        </w:rPr>
        <w:t xml:space="preserve"> </w:t>
      </w:r>
      <w:r w:rsidR="00EA5323">
        <w:rPr>
          <w:rFonts w:asciiTheme="minorHAnsi" w:hAnsiTheme="minorHAnsi"/>
        </w:rPr>
        <w:t xml:space="preserve">The Applicant asserts that NVMC’s closure has </w:t>
      </w:r>
      <w:r w:rsidR="648C885F" w:rsidRPr="29CA6377">
        <w:rPr>
          <w:rFonts w:asciiTheme="minorHAnsi" w:hAnsiTheme="minorHAnsi"/>
        </w:rPr>
        <w:t>“resulted in unmet demand for endoscopy</w:t>
      </w:r>
      <w:r w:rsidR="00EA5323">
        <w:rPr>
          <w:rFonts w:asciiTheme="minorHAnsi" w:hAnsiTheme="minorHAnsi"/>
        </w:rPr>
        <w:t>” within the Center’s service area.</w:t>
      </w:r>
      <w:r w:rsidR="648C885F" w:rsidRPr="29CA6377">
        <w:rPr>
          <w:rFonts w:asciiTheme="minorHAnsi" w:hAnsiTheme="minorHAnsi"/>
        </w:rPr>
        <w:t xml:space="preserve"> </w:t>
      </w:r>
    </w:p>
    <w:p w14:paraId="09B2A824" w14:textId="77777777" w:rsidR="002F1494" w:rsidRDefault="002F1494" w:rsidP="00AB17F5">
      <w:pPr>
        <w:pStyle w:val="BodyText"/>
        <w:spacing w:line="269" w:lineRule="exact"/>
        <w:rPr>
          <w:rFonts w:asciiTheme="minorHAnsi" w:hAnsiTheme="minorHAnsi"/>
        </w:rPr>
      </w:pPr>
    </w:p>
    <w:p w14:paraId="43D24C8E" w14:textId="7FBBAAC7" w:rsidR="002F1494" w:rsidRDefault="002F1494" w:rsidP="000B63C8">
      <w:pPr>
        <w:pStyle w:val="BodyText"/>
        <w:spacing w:line="269" w:lineRule="exact"/>
        <w:rPr>
          <w:rFonts w:asciiTheme="minorHAnsi" w:hAnsiTheme="minorHAnsi"/>
        </w:rPr>
      </w:pPr>
      <w:r w:rsidRPr="00AA4981">
        <w:rPr>
          <w:rFonts w:asciiTheme="minorHAnsi" w:hAnsiTheme="minorHAnsi"/>
        </w:rPr>
        <w:t>The Applicant states that</w:t>
      </w:r>
      <w:r w:rsidR="00663C1D">
        <w:rPr>
          <w:rFonts w:asciiTheme="minorHAnsi" w:hAnsiTheme="minorHAnsi"/>
        </w:rPr>
        <w:t xml:space="preserve"> many</w:t>
      </w:r>
      <w:r w:rsidRPr="00AA4981">
        <w:rPr>
          <w:rFonts w:asciiTheme="minorHAnsi" w:hAnsiTheme="minorHAnsi"/>
        </w:rPr>
        <w:t xml:space="preserve"> NVMC patients are making Emerson Hospital their medical home, resulting in increasing need for the Center’s endoscopy services.</w:t>
      </w:r>
      <w:r w:rsidRPr="00AA4981">
        <w:rPr>
          <w:rFonts w:asciiTheme="minorHAnsi" w:hAnsiTheme="minorHAnsi"/>
          <w:vertAlign w:val="superscript"/>
        </w:rPr>
        <w:footnoteReference w:id="12"/>
      </w:r>
      <w:r w:rsidRPr="00AA4981">
        <w:rPr>
          <w:rFonts w:asciiTheme="minorHAnsi" w:hAnsiTheme="minorHAnsi"/>
        </w:rPr>
        <w:t xml:space="preserve"> </w:t>
      </w:r>
      <w:r>
        <w:rPr>
          <w:rFonts w:asciiTheme="minorHAnsi" w:hAnsiTheme="minorHAnsi"/>
        </w:rPr>
        <w:t>Additionally, the Applicant clarifies there</w:t>
      </w:r>
      <w:r w:rsidR="00AB17F5" w:rsidRPr="00AB17F5">
        <w:rPr>
          <w:rFonts w:asciiTheme="minorHAnsi" w:hAnsiTheme="minorHAnsi"/>
        </w:rPr>
        <w:t xml:space="preserve"> is only one other ASC providing endoscopy procedures within the </w:t>
      </w:r>
      <w:r w:rsidR="009770BA">
        <w:rPr>
          <w:rFonts w:asciiTheme="minorHAnsi" w:hAnsiTheme="minorHAnsi"/>
        </w:rPr>
        <w:t xml:space="preserve">service area shared by </w:t>
      </w:r>
      <w:r w:rsidR="00367BEC">
        <w:rPr>
          <w:rFonts w:asciiTheme="minorHAnsi" w:hAnsiTheme="minorHAnsi"/>
        </w:rPr>
        <w:t xml:space="preserve">the </w:t>
      </w:r>
      <w:r>
        <w:rPr>
          <w:rFonts w:asciiTheme="minorHAnsi" w:hAnsiTheme="minorHAnsi"/>
        </w:rPr>
        <w:t xml:space="preserve">former </w:t>
      </w:r>
      <w:r w:rsidR="00AB17F5" w:rsidRPr="00AB17F5">
        <w:rPr>
          <w:rFonts w:asciiTheme="minorHAnsi" w:hAnsiTheme="minorHAnsi"/>
        </w:rPr>
        <w:t xml:space="preserve">NVMC </w:t>
      </w:r>
      <w:r w:rsidR="009770BA">
        <w:rPr>
          <w:rFonts w:asciiTheme="minorHAnsi" w:hAnsiTheme="minorHAnsi"/>
        </w:rPr>
        <w:t>and the Center</w:t>
      </w:r>
      <w:r>
        <w:rPr>
          <w:rFonts w:asciiTheme="minorHAnsi" w:hAnsiTheme="minorHAnsi"/>
        </w:rPr>
        <w:t>.</w:t>
      </w:r>
      <w:r w:rsidR="00AB17F5" w:rsidRPr="00AB17F5">
        <w:rPr>
          <w:rFonts w:asciiTheme="minorHAnsi" w:hAnsiTheme="minorHAnsi"/>
        </w:rPr>
        <w:t xml:space="preserve"> </w:t>
      </w:r>
      <w:r>
        <w:rPr>
          <w:rFonts w:asciiTheme="minorHAnsi" w:hAnsiTheme="minorHAnsi"/>
        </w:rPr>
        <w:t>In</w:t>
      </w:r>
      <w:r w:rsidR="00AB17F5" w:rsidRPr="00AB17F5">
        <w:rPr>
          <w:rFonts w:asciiTheme="minorHAnsi" w:hAnsiTheme="minorHAnsi"/>
        </w:rPr>
        <w:t xml:space="preserve"> the year prior to its closure, NVMC performed 3,500 endoscopy procedures. The Applicant asserts this number exceeds the amount of procedures that one facility can absorb</w:t>
      </w:r>
      <w:r>
        <w:rPr>
          <w:rFonts w:asciiTheme="minorHAnsi" w:hAnsiTheme="minorHAnsi"/>
        </w:rPr>
        <w:t xml:space="preserve"> and Emerson Health has experienced an increase in demand for testing and screening services, including colonoscopies systemwide. The Applicant states that is expects 15% to 30% of NVMC’s historical endoscopy procedure volume to shift to the Center, and notes that </w:t>
      </w:r>
      <w:r w:rsidR="08E95C1E" w:rsidRPr="0692B114">
        <w:rPr>
          <w:rFonts w:asciiTheme="minorHAnsi" w:hAnsiTheme="minorHAnsi"/>
        </w:rPr>
        <w:t>in addition to reflecting the increases resulting from the Emerson Hospital referrals to the Center,</w:t>
      </w:r>
      <w:r w:rsidRPr="0692B114">
        <w:rPr>
          <w:rFonts w:asciiTheme="minorHAnsi" w:hAnsiTheme="minorHAnsi"/>
        </w:rPr>
        <w:t xml:space="preserve"> </w:t>
      </w:r>
      <w:r>
        <w:rPr>
          <w:rFonts w:asciiTheme="minorHAnsi" w:hAnsiTheme="minorHAnsi"/>
        </w:rPr>
        <w:t>this shift will be further supported by Emerson Health’s hiring of additional PCPs from NVMC and Emerson Health’s partnerships with PCPs in the service area.</w:t>
      </w:r>
      <w:r w:rsidR="000F0825">
        <w:rPr>
          <w:rStyle w:val="FootnoteReference"/>
          <w:rFonts w:asciiTheme="minorHAnsi" w:hAnsiTheme="minorHAnsi"/>
        </w:rPr>
        <w:footnoteReference w:id="13"/>
      </w:r>
      <w:r w:rsidR="00984239">
        <w:rPr>
          <w:rFonts w:asciiTheme="minorHAnsi" w:hAnsiTheme="minorHAnsi"/>
        </w:rPr>
        <w:t xml:space="preserve"> </w:t>
      </w:r>
      <w:r w:rsidRPr="00AA4981">
        <w:rPr>
          <w:rFonts w:asciiTheme="minorHAnsi" w:hAnsiTheme="minorHAnsi"/>
        </w:rPr>
        <w:t xml:space="preserve">Emerson Health’s hiring of additional PCPs </w:t>
      </w:r>
      <w:r w:rsidR="1585843C" w:rsidRPr="0692B114">
        <w:rPr>
          <w:rFonts w:asciiTheme="minorHAnsi" w:hAnsiTheme="minorHAnsi"/>
        </w:rPr>
        <w:t>within</w:t>
      </w:r>
      <w:r w:rsidRPr="00AA4981">
        <w:rPr>
          <w:rFonts w:asciiTheme="minorHAnsi" w:hAnsiTheme="minorHAnsi"/>
        </w:rPr>
        <w:t xml:space="preserve"> the NVMC service area </w:t>
      </w:r>
      <w:r w:rsidR="596E3FCE" w:rsidRPr="0692B114">
        <w:rPr>
          <w:rFonts w:asciiTheme="minorHAnsi" w:hAnsiTheme="minorHAnsi"/>
        </w:rPr>
        <w:t>is anticipated to</w:t>
      </w:r>
      <w:r w:rsidRPr="00AA4981">
        <w:rPr>
          <w:rFonts w:asciiTheme="minorHAnsi" w:hAnsiTheme="minorHAnsi"/>
        </w:rPr>
        <w:t xml:space="preserve"> lead to more endoscopy cases </w:t>
      </w:r>
      <w:r w:rsidR="35E43245" w:rsidRPr="0692B114">
        <w:rPr>
          <w:rFonts w:asciiTheme="minorHAnsi" w:hAnsiTheme="minorHAnsi"/>
        </w:rPr>
        <w:t>at</w:t>
      </w:r>
      <w:r w:rsidRPr="00AA4981">
        <w:rPr>
          <w:rFonts w:asciiTheme="minorHAnsi" w:hAnsiTheme="minorHAnsi"/>
        </w:rPr>
        <w:t xml:space="preserve"> the Center because PCPs are a significant referral source for endoscopy</w:t>
      </w:r>
      <w:r>
        <w:rPr>
          <w:rFonts w:asciiTheme="minorHAnsi" w:hAnsiTheme="minorHAnsi"/>
        </w:rPr>
        <w:t xml:space="preserve">. </w:t>
      </w:r>
    </w:p>
    <w:p w14:paraId="6E12CA1A" w14:textId="77777777" w:rsidR="002F1494" w:rsidRDefault="002F1494" w:rsidP="000B63C8">
      <w:pPr>
        <w:pStyle w:val="BodyText"/>
        <w:spacing w:line="269" w:lineRule="exact"/>
        <w:rPr>
          <w:rFonts w:asciiTheme="minorHAnsi" w:hAnsiTheme="minorHAnsi"/>
        </w:rPr>
      </w:pPr>
    </w:p>
    <w:p w14:paraId="3465EC8B" w14:textId="1E05C829" w:rsidR="002F1494" w:rsidRDefault="002F1494" w:rsidP="000B63C8">
      <w:pPr>
        <w:pStyle w:val="BodyText"/>
        <w:spacing w:line="269" w:lineRule="exact"/>
        <w:rPr>
          <w:rFonts w:asciiTheme="minorHAnsi" w:hAnsiTheme="minorHAnsi"/>
        </w:rPr>
      </w:pPr>
      <w:r>
        <w:rPr>
          <w:rFonts w:asciiTheme="minorHAnsi" w:hAnsiTheme="minorHAnsi"/>
        </w:rPr>
        <w:t xml:space="preserve">To prepare for the expected increase in patients resulting from the closure of NVMC, the Applicant states that the Center internally monitored provider utilization, nurse/technician staffing ratios, and tracked supplies. The Applicant states that it also began preparing to expand the Center’s procedure room capacity to prepare for the closure. The Applicant states that the Center has experienced an increase in procedures since the closure of NVMC, based on actual and scheduled procedures in July 2025. The Center has experienced a 15% increase in utilization from 435 cases in July 2024 to 501 cases in July 2025. As of July 2025, the Center is operating at 80% capacity, which the Applicant states leaves limited capacity at the Center to increase procedure volume, while maintaining optimal utilization of 75% to 85%. </w:t>
      </w:r>
    </w:p>
    <w:p w14:paraId="74A4AE49" w14:textId="3FAD0BEC" w:rsidR="000552FC" w:rsidRDefault="000552FC" w:rsidP="004F76AC">
      <w:pPr>
        <w:pStyle w:val="BodyText"/>
        <w:spacing w:line="269" w:lineRule="exact"/>
        <w:rPr>
          <w:rFonts w:asciiTheme="minorHAnsi" w:hAnsiTheme="minorHAnsi"/>
        </w:rPr>
      </w:pPr>
    </w:p>
    <w:p w14:paraId="6BD6651E" w14:textId="6CAF2902" w:rsidR="00A354AA" w:rsidRDefault="00A354AA" w:rsidP="00C71B1F">
      <w:pPr>
        <w:pStyle w:val="BodyText"/>
        <w:spacing w:line="269" w:lineRule="exact"/>
        <w:rPr>
          <w:rFonts w:asciiTheme="minorHAnsi" w:hAnsiTheme="minorHAnsi"/>
        </w:rPr>
      </w:pPr>
      <w:r w:rsidRPr="00A354AA">
        <w:rPr>
          <w:rFonts w:asciiTheme="minorHAnsi" w:hAnsiTheme="minorHAnsi"/>
        </w:rPr>
        <w:t xml:space="preserve">Staff reviewed the Final Report of The Nashoba Valley Health Planning Working Group, a group that was convened by Governor Healey in 2024 to examine the rising health care needs associated with </w:t>
      </w:r>
      <w:r w:rsidRPr="00A354AA">
        <w:rPr>
          <w:rFonts w:asciiTheme="minorHAnsi" w:hAnsiTheme="minorHAnsi"/>
        </w:rPr>
        <w:lastRenderedPageBreak/>
        <w:t xml:space="preserve">the closure of NVMC. </w:t>
      </w:r>
      <w:r w:rsidR="008D6A68" w:rsidRPr="008D6A68">
        <w:rPr>
          <w:rFonts w:asciiTheme="minorHAnsi" w:hAnsiTheme="minorHAnsi"/>
        </w:rPr>
        <w:t>The Final Report</w:t>
      </w:r>
      <w:r w:rsidR="008D6A68">
        <w:rPr>
          <w:rFonts w:asciiTheme="minorHAnsi" w:hAnsiTheme="minorHAnsi"/>
        </w:rPr>
        <w:t>, issued March 2025,</w:t>
      </w:r>
      <w:r w:rsidR="008D6A68" w:rsidRPr="008D6A68">
        <w:rPr>
          <w:rFonts w:asciiTheme="minorHAnsi" w:hAnsiTheme="minorHAnsi"/>
        </w:rPr>
        <w:t xml:space="preserve"> states, “Closure of NVMC presented significant challenges for the region, impacting access to emergency and inpatient care, straining nearby healthcare facilities, and requiring residents to travel farther for certain medical services.”</w:t>
      </w:r>
      <w:r w:rsidR="008D6A68" w:rsidRPr="008D6A68">
        <w:rPr>
          <w:rFonts w:asciiTheme="minorHAnsi" w:hAnsiTheme="minorHAnsi"/>
          <w:vertAlign w:val="superscript"/>
        </w:rPr>
        <w:endnoteReference w:id="4"/>
      </w:r>
      <w:r w:rsidR="008D6A68" w:rsidRPr="008D6A68">
        <w:rPr>
          <w:rFonts w:asciiTheme="minorHAnsi" w:hAnsiTheme="minorHAnsi"/>
        </w:rPr>
        <w:t xml:space="preserve"> </w:t>
      </w:r>
      <w:r w:rsidRPr="00A354AA">
        <w:rPr>
          <w:rFonts w:asciiTheme="minorHAnsi" w:hAnsiTheme="minorHAnsi"/>
        </w:rPr>
        <w:t>The Final Report</w:t>
      </w:r>
      <w:r w:rsidR="008D6A68">
        <w:rPr>
          <w:rFonts w:asciiTheme="minorHAnsi" w:hAnsiTheme="minorHAnsi"/>
        </w:rPr>
        <w:t xml:space="preserve"> </w:t>
      </w:r>
      <w:r w:rsidRPr="00A354AA">
        <w:rPr>
          <w:rFonts w:asciiTheme="minorHAnsi" w:hAnsiTheme="minorHAnsi"/>
        </w:rPr>
        <w:t>discusses Emerson Health’s response to the closure of NVMC</w:t>
      </w:r>
      <w:r w:rsidRPr="00A354AA">
        <w:rPr>
          <w:rFonts w:asciiTheme="minorHAnsi" w:hAnsiTheme="minorHAnsi"/>
          <w:vertAlign w:val="superscript"/>
        </w:rPr>
        <w:footnoteReference w:id="14"/>
      </w:r>
      <w:r w:rsidRPr="00A354AA">
        <w:rPr>
          <w:rFonts w:asciiTheme="minorHAnsi" w:hAnsiTheme="minorHAnsi"/>
        </w:rPr>
        <w:t xml:space="preserve"> to increase access to services for former NVMC patients.</w:t>
      </w:r>
      <w:r w:rsidRPr="00A354AA">
        <w:rPr>
          <w:rFonts w:asciiTheme="minorHAnsi" w:hAnsiTheme="minorHAnsi"/>
          <w:vertAlign w:val="superscript"/>
        </w:rPr>
        <w:endnoteReference w:id="5"/>
      </w:r>
      <w:r w:rsidRPr="00A354AA">
        <w:rPr>
          <w:rFonts w:asciiTheme="minorHAnsi" w:hAnsiTheme="minorHAnsi"/>
        </w:rPr>
        <w:t xml:space="preserve"> In the Final Report, the Emergency, Outpatient, and Healthcare Services Subcommittee recommended “re-establishment of essential services in a tiered approach as soon as possible, to reduce overall and long-lasting negative health impacts in this region” with a Tier </w:t>
      </w:r>
      <w:r w:rsidR="00B71AA5">
        <w:rPr>
          <w:rFonts w:asciiTheme="minorHAnsi" w:hAnsiTheme="minorHAnsi"/>
        </w:rPr>
        <w:t xml:space="preserve">1 </w:t>
      </w:r>
      <w:r w:rsidRPr="00A354AA">
        <w:rPr>
          <w:rFonts w:asciiTheme="minorHAnsi" w:hAnsiTheme="minorHAnsi"/>
        </w:rPr>
        <w:t>recommendation to re-establish Endoscopy, with a GI physician on call 24/7 and an additional recommendation to establish a satellite emergency facility (SEF) with complementary services such as endoscopy. Distance to and shortage of access to specialty care were also cited as concerns in the Final Report by the Upstream Efforts and Public Health Subcommittee.</w:t>
      </w:r>
    </w:p>
    <w:p w14:paraId="3B45A51F" w14:textId="77777777" w:rsidR="00B83833" w:rsidRDefault="00B83833" w:rsidP="00C71B1F">
      <w:pPr>
        <w:pStyle w:val="BodyText"/>
        <w:spacing w:line="269" w:lineRule="exact"/>
        <w:rPr>
          <w:rFonts w:asciiTheme="minorHAnsi" w:hAnsiTheme="minorHAnsi"/>
        </w:rPr>
      </w:pPr>
    </w:p>
    <w:p w14:paraId="70058083" w14:textId="38A4D8DE" w:rsidR="00FD0171" w:rsidRPr="00B869E0" w:rsidRDefault="00FD0171" w:rsidP="00B869E0">
      <w:pPr>
        <w:pStyle w:val="BodyText"/>
        <w:numPr>
          <w:ilvl w:val="0"/>
          <w:numId w:val="20"/>
        </w:numPr>
        <w:spacing w:line="269" w:lineRule="exact"/>
        <w:rPr>
          <w:rFonts w:asciiTheme="minorHAnsi" w:hAnsiTheme="minorHAnsi"/>
          <w:b/>
          <w:bCs/>
        </w:rPr>
      </w:pPr>
      <w:r w:rsidRPr="00B869E0">
        <w:rPr>
          <w:rFonts w:asciiTheme="minorHAnsi" w:hAnsiTheme="minorHAnsi"/>
          <w:b/>
          <w:bCs/>
        </w:rPr>
        <w:t xml:space="preserve">Increase in Referrals from Atrius Health </w:t>
      </w:r>
    </w:p>
    <w:p w14:paraId="29AFBA45" w14:textId="16C52E7C" w:rsidR="00FD0171" w:rsidRDefault="00865760" w:rsidP="55088E3F">
      <w:pPr>
        <w:pStyle w:val="BodyText"/>
        <w:spacing w:line="269" w:lineRule="exact"/>
        <w:rPr>
          <w:rFonts w:asciiTheme="minorHAnsi" w:hAnsiTheme="minorHAnsi"/>
        </w:rPr>
      </w:pPr>
      <w:r w:rsidRPr="55088E3F">
        <w:rPr>
          <w:rFonts w:asciiTheme="minorHAnsi" w:hAnsiTheme="minorHAnsi"/>
        </w:rPr>
        <w:t xml:space="preserve">Emerson Hospital, a joint </w:t>
      </w:r>
      <w:r w:rsidR="00435F6C" w:rsidRPr="55088E3F">
        <w:rPr>
          <w:rFonts w:asciiTheme="minorHAnsi" w:hAnsiTheme="minorHAnsi"/>
        </w:rPr>
        <w:t xml:space="preserve">owner of </w:t>
      </w:r>
      <w:r w:rsidR="008A561C" w:rsidRPr="55088E3F">
        <w:rPr>
          <w:rFonts w:asciiTheme="minorHAnsi" w:hAnsiTheme="minorHAnsi"/>
        </w:rPr>
        <w:t>the Center</w:t>
      </w:r>
      <w:r w:rsidR="00435F6C" w:rsidRPr="55088E3F">
        <w:rPr>
          <w:rFonts w:asciiTheme="minorHAnsi" w:hAnsiTheme="minorHAnsi"/>
        </w:rPr>
        <w:t>, has a clinical affiliation with Atrius Health</w:t>
      </w:r>
      <w:r w:rsidR="002F3AF0" w:rsidRPr="55088E3F">
        <w:rPr>
          <w:rFonts w:asciiTheme="minorHAnsi" w:hAnsiTheme="minorHAnsi"/>
        </w:rPr>
        <w:t xml:space="preserve">, </w:t>
      </w:r>
      <w:r w:rsidR="009414DA" w:rsidRPr="55088E3F">
        <w:rPr>
          <w:rFonts w:asciiTheme="minorHAnsi" w:hAnsiTheme="minorHAnsi"/>
        </w:rPr>
        <w:t xml:space="preserve">a </w:t>
      </w:r>
      <w:r w:rsidR="00A8376E" w:rsidRPr="55088E3F">
        <w:rPr>
          <w:rFonts w:asciiTheme="minorHAnsi" w:hAnsiTheme="minorHAnsi"/>
        </w:rPr>
        <w:t xml:space="preserve">nonprofit </w:t>
      </w:r>
      <w:r w:rsidR="000A03F4" w:rsidRPr="55088E3F">
        <w:rPr>
          <w:rFonts w:asciiTheme="minorHAnsi" w:hAnsiTheme="minorHAnsi"/>
        </w:rPr>
        <w:t xml:space="preserve">multi-specialty </w:t>
      </w:r>
      <w:r w:rsidR="007F685B" w:rsidRPr="55088E3F">
        <w:rPr>
          <w:rFonts w:asciiTheme="minorHAnsi" w:hAnsiTheme="minorHAnsi"/>
        </w:rPr>
        <w:t>physician</w:t>
      </w:r>
      <w:r w:rsidR="004E1E99" w:rsidRPr="55088E3F">
        <w:rPr>
          <w:rFonts w:asciiTheme="minorHAnsi" w:hAnsiTheme="minorHAnsi"/>
        </w:rPr>
        <w:t xml:space="preserve"> group</w:t>
      </w:r>
      <w:r w:rsidR="002F3AF0" w:rsidRPr="55088E3F">
        <w:rPr>
          <w:rFonts w:asciiTheme="minorHAnsi" w:hAnsiTheme="minorHAnsi"/>
        </w:rPr>
        <w:t xml:space="preserve"> </w:t>
      </w:r>
      <w:r w:rsidR="004E1E99" w:rsidRPr="55088E3F">
        <w:rPr>
          <w:rFonts w:asciiTheme="minorHAnsi" w:hAnsiTheme="minorHAnsi"/>
        </w:rPr>
        <w:t>serving adult and pediatric patients</w:t>
      </w:r>
      <w:r w:rsidR="00AE2C07">
        <w:rPr>
          <w:rFonts w:asciiTheme="minorHAnsi" w:hAnsiTheme="minorHAnsi"/>
        </w:rPr>
        <w:t xml:space="preserve"> in eastern Massachusetts</w:t>
      </w:r>
      <w:r w:rsidR="002F3AF0" w:rsidRPr="55088E3F">
        <w:rPr>
          <w:rFonts w:asciiTheme="minorHAnsi" w:hAnsiTheme="minorHAnsi"/>
        </w:rPr>
        <w:t>.</w:t>
      </w:r>
      <w:r w:rsidR="00056F79" w:rsidRPr="55088E3F">
        <w:rPr>
          <w:rFonts w:asciiTheme="minorHAnsi" w:hAnsiTheme="minorHAnsi"/>
        </w:rPr>
        <w:t xml:space="preserve"> </w:t>
      </w:r>
      <w:r w:rsidR="001E7D6F">
        <w:rPr>
          <w:rFonts w:asciiTheme="minorHAnsi" w:hAnsiTheme="minorHAnsi"/>
        </w:rPr>
        <w:t>Emerson Hospital’s</w:t>
      </w:r>
      <w:r w:rsidR="007D091A">
        <w:rPr>
          <w:rFonts w:asciiTheme="minorHAnsi" w:hAnsiTheme="minorHAnsi"/>
        </w:rPr>
        <w:t xml:space="preserve"> clinical affiliation </w:t>
      </w:r>
      <w:r w:rsidR="001E7D6F">
        <w:rPr>
          <w:rFonts w:asciiTheme="minorHAnsi" w:hAnsiTheme="minorHAnsi"/>
        </w:rPr>
        <w:t xml:space="preserve">with Atrius </w:t>
      </w:r>
      <w:r w:rsidR="007D091A">
        <w:rPr>
          <w:rFonts w:asciiTheme="minorHAnsi" w:hAnsiTheme="minorHAnsi"/>
        </w:rPr>
        <w:t xml:space="preserve">began in December 2022. </w:t>
      </w:r>
      <w:r w:rsidR="00FD0171" w:rsidRPr="55088E3F">
        <w:rPr>
          <w:rFonts w:asciiTheme="minorHAnsi" w:hAnsiTheme="minorHAnsi"/>
        </w:rPr>
        <w:t xml:space="preserve">Atrius Health has </w:t>
      </w:r>
      <w:r w:rsidR="00056F79" w:rsidRPr="55088E3F">
        <w:rPr>
          <w:rFonts w:asciiTheme="minorHAnsi" w:hAnsiTheme="minorHAnsi"/>
        </w:rPr>
        <w:t>2</w:t>
      </w:r>
      <w:r w:rsidR="002F3AF0" w:rsidRPr="55088E3F">
        <w:rPr>
          <w:rFonts w:asciiTheme="minorHAnsi" w:hAnsiTheme="minorHAnsi"/>
        </w:rPr>
        <w:t>8</w:t>
      </w:r>
      <w:r w:rsidR="00056F79" w:rsidRPr="55088E3F">
        <w:rPr>
          <w:rFonts w:asciiTheme="minorHAnsi" w:hAnsiTheme="minorHAnsi"/>
        </w:rPr>
        <w:t xml:space="preserve"> practice locations in </w:t>
      </w:r>
      <w:r w:rsidR="00B35655" w:rsidRPr="55088E3F">
        <w:rPr>
          <w:rFonts w:asciiTheme="minorHAnsi" w:hAnsiTheme="minorHAnsi"/>
        </w:rPr>
        <w:t>Eastern</w:t>
      </w:r>
      <w:r w:rsidR="00056F79" w:rsidRPr="55088E3F">
        <w:rPr>
          <w:rFonts w:asciiTheme="minorHAnsi" w:hAnsiTheme="minorHAnsi"/>
        </w:rPr>
        <w:t xml:space="preserve"> M</w:t>
      </w:r>
      <w:r w:rsidR="008A561C" w:rsidRPr="55088E3F">
        <w:rPr>
          <w:rFonts w:asciiTheme="minorHAnsi" w:hAnsiTheme="minorHAnsi"/>
        </w:rPr>
        <w:t>assachusetts</w:t>
      </w:r>
      <w:r w:rsidR="00056F79" w:rsidRPr="55088E3F">
        <w:rPr>
          <w:rFonts w:asciiTheme="minorHAnsi" w:hAnsiTheme="minorHAnsi"/>
        </w:rPr>
        <w:t xml:space="preserve"> and </w:t>
      </w:r>
      <w:r w:rsidR="00216973" w:rsidRPr="55088E3F">
        <w:rPr>
          <w:rFonts w:asciiTheme="minorHAnsi" w:hAnsiTheme="minorHAnsi"/>
        </w:rPr>
        <w:t xml:space="preserve">the Applicant states that </w:t>
      </w:r>
      <w:r w:rsidR="00056F79" w:rsidRPr="55088E3F">
        <w:rPr>
          <w:rFonts w:asciiTheme="minorHAnsi" w:hAnsiTheme="minorHAnsi"/>
        </w:rPr>
        <w:t>one of those</w:t>
      </w:r>
      <w:r w:rsidR="00FD0171" w:rsidRPr="55088E3F">
        <w:rPr>
          <w:rFonts w:asciiTheme="minorHAnsi" w:hAnsiTheme="minorHAnsi"/>
        </w:rPr>
        <w:t xml:space="preserve"> location</w:t>
      </w:r>
      <w:r w:rsidR="00056F79" w:rsidRPr="55088E3F">
        <w:rPr>
          <w:rFonts w:asciiTheme="minorHAnsi" w:hAnsiTheme="minorHAnsi"/>
        </w:rPr>
        <w:t>s is</w:t>
      </w:r>
      <w:r w:rsidR="00FD0171" w:rsidRPr="55088E3F">
        <w:rPr>
          <w:rFonts w:asciiTheme="minorHAnsi" w:hAnsiTheme="minorHAnsi"/>
        </w:rPr>
        <w:t xml:space="preserve"> within the same plaza as </w:t>
      </w:r>
      <w:r w:rsidR="006B43A7" w:rsidRPr="55088E3F">
        <w:rPr>
          <w:rFonts w:asciiTheme="minorHAnsi" w:hAnsiTheme="minorHAnsi"/>
        </w:rPr>
        <w:t>the Center</w:t>
      </w:r>
      <w:r w:rsidR="00FD0171" w:rsidRPr="55088E3F">
        <w:rPr>
          <w:rFonts w:asciiTheme="minorHAnsi" w:hAnsiTheme="minorHAnsi"/>
        </w:rPr>
        <w:t>.</w:t>
      </w:r>
      <w:r w:rsidR="002F3AF0" w:rsidRPr="55088E3F">
        <w:rPr>
          <w:rStyle w:val="EndnoteReference"/>
          <w:rFonts w:asciiTheme="minorHAnsi" w:hAnsiTheme="minorHAnsi"/>
        </w:rPr>
        <w:endnoteReference w:id="6"/>
      </w:r>
      <w:r w:rsidR="009D6090" w:rsidRPr="55088E3F">
        <w:rPr>
          <w:rFonts w:asciiTheme="minorHAnsi" w:hAnsiTheme="minorHAnsi"/>
          <w:vertAlign w:val="superscript"/>
        </w:rPr>
        <w:t>,</w:t>
      </w:r>
      <w:r w:rsidR="009D6090" w:rsidRPr="55088E3F">
        <w:rPr>
          <w:rStyle w:val="FootnoteReference"/>
          <w:rFonts w:asciiTheme="minorHAnsi" w:hAnsiTheme="minorHAnsi"/>
        </w:rPr>
        <w:footnoteReference w:id="15"/>
      </w:r>
      <w:r w:rsidR="00FD0171" w:rsidRPr="55088E3F">
        <w:rPr>
          <w:rFonts w:asciiTheme="minorHAnsi" w:hAnsiTheme="minorHAnsi"/>
        </w:rPr>
        <w:t xml:space="preserve"> The Applicant states </w:t>
      </w:r>
      <w:r w:rsidR="0087521D" w:rsidRPr="55088E3F">
        <w:rPr>
          <w:rFonts w:asciiTheme="minorHAnsi" w:hAnsiTheme="minorHAnsi"/>
        </w:rPr>
        <w:t>that</w:t>
      </w:r>
      <w:r w:rsidR="00FD0171" w:rsidRPr="55088E3F">
        <w:rPr>
          <w:rFonts w:asciiTheme="minorHAnsi" w:hAnsiTheme="minorHAnsi"/>
        </w:rPr>
        <w:t xml:space="preserve"> </w:t>
      </w:r>
      <w:r w:rsidR="0087521D" w:rsidRPr="55088E3F">
        <w:rPr>
          <w:rFonts w:asciiTheme="minorHAnsi" w:hAnsiTheme="minorHAnsi"/>
        </w:rPr>
        <w:t xml:space="preserve">through </w:t>
      </w:r>
      <w:r w:rsidR="00BC2535" w:rsidRPr="55088E3F">
        <w:rPr>
          <w:rFonts w:asciiTheme="minorHAnsi" w:hAnsiTheme="minorHAnsi"/>
        </w:rPr>
        <w:t>Emerson Hospital and Atrius Health’s</w:t>
      </w:r>
      <w:r w:rsidR="0087521D" w:rsidRPr="55088E3F">
        <w:rPr>
          <w:rFonts w:asciiTheme="minorHAnsi" w:hAnsiTheme="minorHAnsi"/>
        </w:rPr>
        <w:t xml:space="preserve"> affiliation</w:t>
      </w:r>
      <w:r w:rsidR="00FD0171" w:rsidRPr="55088E3F">
        <w:rPr>
          <w:rFonts w:asciiTheme="minorHAnsi" w:hAnsiTheme="minorHAnsi"/>
        </w:rPr>
        <w:t xml:space="preserve"> agreement, </w:t>
      </w:r>
      <w:r w:rsidR="006B43A7" w:rsidRPr="55088E3F">
        <w:rPr>
          <w:rFonts w:asciiTheme="minorHAnsi" w:hAnsiTheme="minorHAnsi"/>
        </w:rPr>
        <w:t>the Center</w:t>
      </w:r>
      <w:r w:rsidR="00FD0171" w:rsidRPr="55088E3F">
        <w:rPr>
          <w:rFonts w:asciiTheme="minorHAnsi" w:hAnsiTheme="minorHAnsi"/>
        </w:rPr>
        <w:t xml:space="preserve"> provides preventive and diagnostic endoscopy services for patients of Atrius Health’s </w:t>
      </w:r>
      <w:r w:rsidR="00B35655" w:rsidRPr="55088E3F">
        <w:rPr>
          <w:rFonts w:asciiTheme="minorHAnsi" w:hAnsiTheme="minorHAnsi"/>
        </w:rPr>
        <w:t>PCPs</w:t>
      </w:r>
      <w:r w:rsidR="00FD0171" w:rsidRPr="55088E3F">
        <w:rPr>
          <w:rFonts w:asciiTheme="minorHAnsi" w:hAnsiTheme="minorHAnsi"/>
        </w:rPr>
        <w:t xml:space="preserve"> and gastroenterologists. </w:t>
      </w:r>
      <w:r w:rsidR="00BC6E48">
        <w:rPr>
          <w:rFonts w:asciiTheme="minorHAnsi" w:hAnsiTheme="minorHAnsi"/>
        </w:rPr>
        <w:t xml:space="preserve">The Applicant states that there are two referral pathways </w:t>
      </w:r>
      <w:r w:rsidR="003F0675">
        <w:rPr>
          <w:rFonts w:asciiTheme="minorHAnsi" w:hAnsiTheme="minorHAnsi"/>
        </w:rPr>
        <w:t xml:space="preserve">that Atrius patients have </w:t>
      </w:r>
      <w:r w:rsidR="00BC6E48">
        <w:rPr>
          <w:rFonts w:asciiTheme="minorHAnsi" w:hAnsiTheme="minorHAnsi"/>
        </w:rPr>
        <w:t xml:space="preserve">to the Center: 1) Atrius patients are referred to Emerson </w:t>
      </w:r>
      <w:r w:rsidR="00565A8A">
        <w:rPr>
          <w:rFonts w:asciiTheme="minorHAnsi" w:hAnsiTheme="minorHAnsi"/>
        </w:rPr>
        <w:t xml:space="preserve">Health </w:t>
      </w:r>
      <w:r w:rsidR="00BC6E48">
        <w:rPr>
          <w:rFonts w:asciiTheme="minorHAnsi" w:hAnsiTheme="minorHAnsi"/>
        </w:rPr>
        <w:t xml:space="preserve">Gastroenterologists (GIs) to receive care at the Center by </w:t>
      </w:r>
      <w:r w:rsidR="00892C23">
        <w:rPr>
          <w:rFonts w:asciiTheme="minorHAnsi" w:hAnsiTheme="minorHAnsi"/>
        </w:rPr>
        <w:t>the</w:t>
      </w:r>
      <w:r w:rsidR="00BC6E48">
        <w:rPr>
          <w:rFonts w:asciiTheme="minorHAnsi" w:hAnsiTheme="minorHAnsi"/>
        </w:rPr>
        <w:t xml:space="preserve"> Emerson </w:t>
      </w:r>
      <w:r w:rsidR="00565A8A">
        <w:rPr>
          <w:rFonts w:asciiTheme="minorHAnsi" w:hAnsiTheme="minorHAnsi"/>
        </w:rPr>
        <w:t>Health</w:t>
      </w:r>
      <w:r w:rsidR="00BC6E48">
        <w:rPr>
          <w:rFonts w:asciiTheme="minorHAnsi" w:hAnsiTheme="minorHAnsi"/>
        </w:rPr>
        <w:t xml:space="preserve"> GI provider</w:t>
      </w:r>
      <w:r w:rsidR="00772295">
        <w:rPr>
          <w:rFonts w:asciiTheme="minorHAnsi" w:hAnsiTheme="minorHAnsi"/>
        </w:rPr>
        <w:t xml:space="preserve">; and 2) </w:t>
      </w:r>
      <w:r w:rsidR="009B56D6">
        <w:rPr>
          <w:rFonts w:asciiTheme="minorHAnsi" w:hAnsiTheme="minorHAnsi"/>
        </w:rPr>
        <w:t xml:space="preserve">the </w:t>
      </w:r>
      <w:r w:rsidR="00F73B7B">
        <w:rPr>
          <w:rFonts w:asciiTheme="minorHAnsi" w:hAnsiTheme="minorHAnsi"/>
        </w:rPr>
        <w:t xml:space="preserve">Atrius </w:t>
      </w:r>
      <w:r w:rsidR="009B56D6">
        <w:rPr>
          <w:rFonts w:asciiTheme="minorHAnsi" w:hAnsiTheme="minorHAnsi"/>
        </w:rPr>
        <w:t xml:space="preserve">patient is scheduled </w:t>
      </w:r>
      <w:r w:rsidR="00D57C54">
        <w:rPr>
          <w:rFonts w:asciiTheme="minorHAnsi" w:hAnsiTheme="minorHAnsi"/>
        </w:rPr>
        <w:t>at the Center to be seen by an Atrius GI provider that is credentialed to perform cases at the Center.</w:t>
      </w:r>
      <w:r w:rsidR="00BC6E48">
        <w:rPr>
          <w:rFonts w:asciiTheme="minorHAnsi" w:hAnsiTheme="minorHAnsi"/>
        </w:rPr>
        <w:t xml:space="preserve"> </w:t>
      </w:r>
      <w:r w:rsidR="00FD0171" w:rsidRPr="55088E3F">
        <w:rPr>
          <w:rFonts w:asciiTheme="minorHAnsi" w:hAnsiTheme="minorHAnsi"/>
        </w:rPr>
        <w:t xml:space="preserve">The Applicant states that 45 cases per month at </w:t>
      </w:r>
      <w:r w:rsidR="006B43A7" w:rsidRPr="55088E3F">
        <w:rPr>
          <w:rFonts w:asciiTheme="minorHAnsi" w:hAnsiTheme="minorHAnsi"/>
        </w:rPr>
        <w:t>the Center</w:t>
      </w:r>
      <w:r w:rsidR="00FD0171" w:rsidRPr="55088E3F">
        <w:rPr>
          <w:rFonts w:asciiTheme="minorHAnsi" w:hAnsiTheme="minorHAnsi"/>
        </w:rPr>
        <w:t xml:space="preserve"> are a result of th</w:t>
      </w:r>
      <w:r w:rsidR="00780238" w:rsidRPr="55088E3F">
        <w:rPr>
          <w:rFonts w:asciiTheme="minorHAnsi" w:hAnsiTheme="minorHAnsi"/>
        </w:rPr>
        <w:t>e</w:t>
      </w:r>
      <w:r w:rsidR="00FD0171" w:rsidRPr="55088E3F">
        <w:rPr>
          <w:rFonts w:asciiTheme="minorHAnsi" w:hAnsiTheme="minorHAnsi"/>
        </w:rPr>
        <w:t xml:space="preserve"> clinical affiliation</w:t>
      </w:r>
      <w:r w:rsidR="00780238" w:rsidRPr="55088E3F">
        <w:rPr>
          <w:rFonts w:asciiTheme="minorHAnsi" w:hAnsiTheme="minorHAnsi"/>
        </w:rPr>
        <w:t xml:space="preserve"> between Emerson Hospital and Atrius Health</w:t>
      </w:r>
      <w:r w:rsidR="00FD0171" w:rsidRPr="55088E3F">
        <w:rPr>
          <w:rFonts w:asciiTheme="minorHAnsi" w:hAnsiTheme="minorHAnsi"/>
        </w:rPr>
        <w:t>. The Applicant expects the number of cases per month</w:t>
      </w:r>
      <w:r w:rsidR="00780238" w:rsidRPr="55088E3F">
        <w:rPr>
          <w:rFonts w:asciiTheme="minorHAnsi" w:hAnsiTheme="minorHAnsi"/>
        </w:rPr>
        <w:t xml:space="preserve"> at </w:t>
      </w:r>
      <w:r w:rsidR="006B43A7" w:rsidRPr="55088E3F">
        <w:rPr>
          <w:rFonts w:asciiTheme="minorHAnsi" w:hAnsiTheme="minorHAnsi"/>
        </w:rPr>
        <w:t xml:space="preserve">the Center </w:t>
      </w:r>
      <w:r w:rsidR="00780238" w:rsidRPr="55088E3F">
        <w:rPr>
          <w:rFonts w:asciiTheme="minorHAnsi" w:hAnsiTheme="minorHAnsi"/>
        </w:rPr>
        <w:t>that are the result of the clinical affiliation</w:t>
      </w:r>
      <w:r w:rsidR="00FD0171" w:rsidRPr="55088E3F">
        <w:rPr>
          <w:rFonts w:asciiTheme="minorHAnsi" w:hAnsiTheme="minorHAnsi"/>
        </w:rPr>
        <w:t xml:space="preserve"> to increase to 75 in 2025</w:t>
      </w:r>
      <w:r w:rsidR="00391FAE">
        <w:rPr>
          <w:rFonts w:asciiTheme="minorHAnsi" w:hAnsiTheme="minorHAnsi"/>
        </w:rPr>
        <w:t xml:space="preserve">. </w:t>
      </w:r>
      <w:r w:rsidR="00391FAE" w:rsidRPr="00391FAE">
        <w:rPr>
          <w:rFonts w:asciiTheme="minorHAnsi" w:hAnsiTheme="minorHAnsi"/>
        </w:rPr>
        <w:t>The Applicant states that Atrius hired an additional provider who began requesting block time at the Center in August 2025, and this has led to the increase in Atrius cases from 45 per month to</w:t>
      </w:r>
      <w:r w:rsidR="000F2D1C">
        <w:rPr>
          <w:rFonts w:asciiTheme="minorHAnsi" w:hAnsiTheme="minorHAnsi"/>
        </w:rPr>
        <w:t xml:space="preserve"> the expected</w:t>
      </w:r>
      <w:r w:rsidR="00391FAE" w:rsidRPr="00391FAE">
        <w:rPr>
          <w:rFonts w:asciiTheme="minorHAnsi" w:hAnsiTheme="minorHAnsi"/>
        </w:rPr>
        <w:t xml:space="preserve"> 75 per month</w:t>
      </w:r>
      <w:r w:rsidR="000F2D1C">
        <w:rPr>
          <w:rFonts w:asciiTheme="minorHAnsi" w:hAnsiTheme="minorHAnsi"/>
        </w:rPr>
        <w:t xml:space="preserve"> in 2025</w:t>
      </w:r>
      <w:r w:rsidR="00391FAE" w:rsidRPr="00391FAE">
        <w:rPr>
          <w:rFonts w:asciiTheme="minorHAnsi" w:hAnsiTheme="minorHAnsi"/>
        </w:rPr>
        <w:t xml:space="preserve">. </w:t>
      </w:r>
      <w:r w:rsidR="00391FAE">
        <w:rPr>
          <w:rFonts w:asciiTheme="minorHAnsi" w:hAnsiTheme="minorHAnsi"/>
        </w:rPr>
        <w:t>The Applicant projects th</w:t>
      </w:r>
      <w:r w:rsidR="00312161">
        <w:rPr>
          <w:rFonts w:asciiTheme="minorHAnsi" w:hAnsiTheme="minorHAnsi"/>
        </w:rPr>
        <w:t>is affiliation and the recent changes</w:t>
      </w:r>
      <w:r w:rsidR="001A4002">
        <w:rPr>
          <w:rFonts w:asciiTheme="minorHAnsi" w:hAnsiTheme="minorHAnsi"/>
        </w:rPr>
        <w:t xml:space="preserve">, including additional providers and the request for block time, will result in </w:t>
      </w:r>
      <w:r w:rsidR="00EB2141">
        <w:rPr>
          <w:rFonts w:asciiTheme="minorHAnsi" w:hAnsiTheme="minorHAnsi"/>
        </w:rPr>
        <w:t>an increase</w:t>
      </w:r>
      <w:r w:rsidR="001A4002">
        <w:rPr>
          <w:rFonts w:asciiTheme="minorHAnsi" w:hAnsiTheme="minorHAnsi"/>
        </w:rPr>
        <w:t xml:space="preserve"> in the</w:t>
      </w:r>
      <w:r w:rsidR="00391FAE">
        <w:rPr>
          <w:rFonts w:asciiTheme="minorHAnsi" w:hAnsiTheme="minorHAnsi"/>
        </w:rPr>
        <w:t xml:space="preserve"> number of Atrius cases </w:t>
      </w:r>
      <w:r w:rsidR="001A4002">
        <w:rPr>
          <w:rFonts w:asciiTheme="minorHAnsi" w:hAnsiTheme="minorHAnsi"/>
        </w:rPr>
        <w:t>referred to the Center.</w:t>
      </w:r>
      <w:r w:rsidR="00FD0171" w:rsidRPr="55088E3F">
        <w:rPr>
          <w:rFonts w:asciiTheme="minorHAnsi" w:hAnsiTheme="minorHAnsi"/>
        </w:rPr>
        <w:t xml:space="preserve"> </w:t>
      </w:r>
      <w:r w:rsidR="001D090E">
        <w:rPr>
          <w:rFonts w:asciiTheme="minorHAnsi" w:hAnsiTheme="minorHAnsi"/>
        </w:rPr>
        <w:t xml:space="preserve"> </w:t>
      </w:r>
    </w:p>
    <w:p w14:paraId="262D1192" w14:textId="77777777" w:rsidR="00FD0171" w:rsidRDefault="00FD0171" w:rsidP="00B869E0">
      <w:pPr>
        <w:pStyle w:val="BodyText"/>
        <w:spacing w:line="269" w:lineRule="exact"/>
        <w:rPr>
          <w:rFonts w:asciiTheme="minorHAnsi" w:hAnsiTheme="minorHAnsi"/>
        </w:rPr>
      </w:pPr>
    </w:p>
    <w:p w14:paraId="07C5890D" w14:textId="755B4223" w:rsidR="00FD0171" w:rsidRPr="00F16A3E" w:rsidRDefault="00FD0171" w:rsidP="00F16A3E">
      <w:pPr>
        <w:pStyle w:val="BodyText"/>
        <w:numPr>
          <w:ilvl w:val="0"/>
          <w:numId w:val="20"/>
        </w:numPr>
        <w:spacing w:line="269" w:lineRule="exact"/>
        <w:rPr>
          <w:rFonts w:asciiTheme="minorHAnsi" w:hAnsiTheme="minorHAnsi"/>
          <w:b/>
          <w:bCs/>
        </w:rPr>
      </w:pPr>
      <w:r w:rsidRPr="00F16A3E">
        <w:rPr>
          <w:rFonts w:asciiTheme="minorHAnsi" w:hAnsiTheme="minorHAnsi"/>
          <w:b/>
          <w:bCs/>
        </w:rPr>
        <w:t>Population Projections in Applicant’s Services Area</w:t>
      </w:r>
      <w:r w:rsidR="008A2C57">
        <w:rPr>
          <w:rFonts w:asciiTheme="minorHAnsi" w:hAnsiTheme="minorHAnsi"/>
          <w:b/>
          <w:bCs/>
        </w:rPr>
        <w:t xml:space="preserve"> and </w:t>
      </w:r>
      <w:r w:rsidR="00F718D5">
        <w:rPr>
          <w:rFonts w:asciiTheme="minorHAnsi" w:hAnsiTheme="minorHAnsi"/>
          <w:b/>
          <w:bCs/>
        </w:rPr>
        <w:t xml:space="preserve">CRC </w:t>
      </w:r>
      <w:r w:rsidR="008A2C57">
        <w:rPr>
          <w:rFonts w:asciiTheme="minorHAnsi" w:hAnsiTheme="minorHAnsi"/>
          <w:b/>
          <w:bCs/>
        </w:rPr>
        <w:t>Screening Guidelines</w:t>
      </w:r>
      <w:r w:rsidRPr="00F16A3E">
        <w:rPr>
          <w:rFonts w:asciiTheme="minorHAnsi" w:hAnsiTheme="minorHAnsi"/>
          <w:b/>
          <w:bCs/>
        </w:rPr>
        <w:t xml:space="preserve"> </w:t>
      </w:r>
    </w:p>
    <w:p w14:paraId="42042466" w14:textId="249AC82A" w:rsidR="00E27F87" w:rsidRDefault="00FD0171" w:rsidP="00E27F87">
      <w:pPr>
        <w:pStyle w:val="BodyText"/>
        <w:spacing w:line="269" w:lineRule="exact"/>
        <w:rPr>
          <w:rFonts w:asciiTheme="minorHAnsi" w:hAnsiTheme="minorHAnsi"/>
        </w:rPr>
      </w:pPr>
      <w:r>
        <w:rPr>
          <w:rFonts w:asciiTheme="minorHAnsi" w:hAnsiTheme="minorHAnsi"/>
        </w:rPr>
        <w:t xml:space="preserve">The Applicant states that </w:t>
      </w:r>
      <w:r w:rsidR="00C26DEF">
        <w:rPr>
          <w:rFonts w:asciiTheme="minorHAnsi" w:hAnsiTheme="minorHAnsi"/>
        </w:rPr>
        <w:t>based on</w:t>
      </w:r>
      <w:r>
        <w:rPr>
          <w:rFonts w:asciiTheme="minorHAnsi" w:hAnsiTheme="minorHAnsi"/>
        </w:rPr>
        <w:t xml:space="preserve"> UMass Don</w:t>
      </w:r>
      <w:r w:rsidR="00441031">
        <w:rPr>
          <w:rFonts w:asciiTheme="minorHAnsi" w:hAnsiTheme="minorHAnsi"/>
        </w:rPr>
        <w:t>a</w:t>
      </w:r>
      <w:r>
        <w:rPr>
          <w:rFonts w:asciiTheme="minorHAnsi" w:hAnsiTheme="minorHAnsi"/>
        </w:rPr>
        <w:t>hue Population Projections, by 2030 the</w:t>
      </w:r>
      <w:r w:rsidR="00E87DA1">
        <w:rPr>
          <w:rFonts w:asciiTheme="minorHAnsi" w:hAnsiTheme="minorHAnsi"/>
        </w:rPr>
        <w:t xml:space="preserve"> combined projection for the</w:t>
      </w:r>
      <w:r>
        <w:rPr>
          <w:rFonts w:asciiTheme="minorHAnsi" w:hAnsiTheme="minorHAnsi"/>
        </w:rPr>
        <w:t xml:space="preserve"> 45</w:t>
      </w:r>
      <w:r w:rsidR="00E87DA1">
        <w:rPr>
          <w:rFonts w:asciiTheme="minorHAnsi" w:hAnsiTheme="minorHAnsi"/>
        </w:rPr>
        <w:t xml:space="preserve"> to 49 age group and the 50</w:t>
      </w:r>
      <w:r w:rsidR="00CB006B">
        <w:rPr>
          <w:rFonts w:asciiTheme="minorHAnsi" w:hAnsiTheme="minorHAnsi"/>
        </w:rPr>
        <w:t xml:space="preserve"> to </w:t>
      </w:r>
      <w:r>
        <w:rPr>
          <w:rFonts w:asciiTheme="minorHAnsi" w:hAnsiTheme="minorHAnsi"/>
        </w:rPr>
        <w:t xml:space="preserve">74 age </w:t>
      </w:r>
      <w:r w:rsidR="00AA01D1">
        <w:rPr>
          <w:rFonts w:asciiTheme="minorHAnsi" w:hAnsiTheme="minorHAnsi"/>
        </w:rPr>
        <w:t>group</w:t>
      </w:r>
      <w:r>
        <w:rPr>
          <w:rFonts w:asciiTheme="minorHAnsi" w:hAnsiTheme="minorHAnsi"/>
        </w:rPr>
        <w:t xml:space="preserve"> is expected to be more than 39,000 residents in the top five towns in the Applicant’s service area.</w:t>
      </w:r>
      <w:r>
        <w:rPr>
          <w:rStyle w:val="EndnoteReference"/>
          <w:rFonts w:asciiTheme="minorHAnsi" w:hAnsiTheme="minorHAnsi"/>
        </w:rPr>
        <w:endnoteReference w:id="7"/>
      </w:r>
      <w:r>
        <w:rPr>
          <w:rFonts w:asciiTheme="minorHAnsi" w:hAnsiTheme="minorHAnsi"/>
        </w:rPr>
        <w:t xml:space="preserve"> </w:t>
      </w:r>
      <w:r w:rsidR="00441031" w:rsidDel="000E6825">
        <w:rPr>
          <w:rFonts w:asciiTheme="minorHAnsi" w:hAnsiTheme="minorHAnsi"/>
        </w:rPr>
        <w:t xml:space="preserve">This is shown in Table </w:t>
      </w:r>
      <w:r w:rsidR="00814CD2">
        <w:rPr>
          <w:rFonts w:asciiTheme="minorHAnsi" w:hAnsiTheme="minorHAnsi"/>
        </w:rPr>
        <w:t>1</w:t>
      </w:r>
      <w:r w:rsidR="00A9310C">
        <w:rPr>
          <w:rFonts w:asciiTheme="minorHAnsi" w:hAnsiTheme="minorHAnsi"/>
        </w:rPr>
        <w:t>4</w:t>
      </w:r>
      <w:r w:rsidR="00441031" w:rsidDel="000E6825">
        <w:rPr>
          <w:rFonts w:asciiTheme="minorHAnsi" w:hAnsiTheme="minorHAnsi"/>
        </w:rPr>
        <w:t xml:space="preserve">. </w:t>
      </w:r>
      <w:r w:rsidR="00E27F87" w:rsidRPr="00E27F87">
        <w:rPr>
          <w:rFonts w:asciiTheme="minorHAnsi" w:hAnsiTheme="minorHAnsi"/>
        </w:rPr>
        <w:t xml:space="preserve">The Applicant states that based on screening guidelines for this age group, a minimum of 3,900 residents will require CRC screening each year, </w:t>
      </w:r>
      <w:r w:rsidR="00C34D29">
        <w:rPr>
          <w:rFonts w:asciiTheme="minorHAnsi" w:hAnsiTheme="minorHAnsi"/>
        </w:rPr>
        <w:t>and</w:t>
      </w:r>
      <w:r w:rsidR="00E27F87" w:rsidRPr="00E27F87">
        <w:rPr>
          <w:rFonts w:asciiTheme="minorHAnsi" w:hAnsiTheme="minorHAnsi"/>
        </w:rPr>
        <w:t xml:space="preserve"> those with a higher risk of CRC </w:t>
      </w:r>
      <w:r w:rsidR="00C34D29">
        <w:rPr>
          <w:rFonts w:asciiTheme="minorHAnsi" w:hAnsiTheme="minorHAnsi"/>
        </w:rPr>
        <w:t>will</w:t>
      </w:r>
      <w:r w:rsidR="00E27F87" w:rsidRPr="00E27F87">
        <w:rPr>
          <w:rFonts w:asciiTheme="minorHAnsi" w:hAnsiTheme="minorHAnsi"/>
        </w:rPr>
        <w:t xml:space="preserve"> </w:t>
      </w:r>
      <w:r w:rsidR="004C6687">
        <w:rPr>
          <w:rFonts w:asciiTheme="minorHAnsi" w:hAnsiTheme="minorHAnsi"/>
        </w:rPr>
        <w:t xml:space="preserve">require </w:t>
      </w:r>
      <w:r w:rsidR="00E27F87" w:rsidRPr="00E27F87">
        <w:rPr>
          <w:rFonts w:asciiTheme="minorHAnsi" w:hAnsiTheme="minorHAnsi"/>
        </w:rPr>
        <w:t>more frequent screening.</w:t>
      </w:r>
      <w:r w:rsidR="00F000F9">
        <w:rPr>
          <w:rFonts w:asciiTheme="minorHAnsi" w:hAnsiTheme="minorHAnsi"/>
        </w:rPr>
        <w:t xml:space="preserve"> </w:t>
      </w:r>
    </w:p>
    <w:p w14:paraId="6B85CD32" w14:textId="77777777" w:rsidR="004C6687" w:rsidRPr="00E27F87" w:rsidRDefault="004C6687" w:rsidP="00E27F87">
      <w:pPr>
        <w:pStyle w:val="BodyText"/>
        <w:spacing w:line="269" w:lineRule="exact"/>
        <w:rPr>
          <w:rFonts w:asciiTheme="minorHAnsi" w:hAnsiTheme="minorHAnsi"/>
        </w:rPr>
      </w:pPr>
    </w:p>
    <w:p w14:paraId="6E6F9429" w14:textId="77777777" w:rsidR="00563BD8" w:rsidRDefault="00563BD8" w:rsidP="00E27F87">
      <w:pPr>
        <w:pStyle w:val="BodyText"/>
        <w:spacing w:line="269" w:lineRule="exact"/>
        <w:rPr>
          <w:rFonts w:asciiTheme="minorHAnsi" w:hAnsiTheme="minorHAnsi"/>
        </w:rPr>
      </w:pPr>
    </w:p>
    <w:p w14:paraId="4E71A5C2" w14:textId="77777777" w:rsidR="00563BD8" w:rsidRPr="00E27F87" w:rsidRDefault="00563BD8" w:rsidP="00E27F87">
      <w:pPr>
        <w:pStyle w:val="BodyText"/>
        <w:spacing w:line="269" w:lineRule="exact"/>
        <w:rPr>
          <w:rFonts w:asciiTheme="minorHAnsi" w:hAnsiTheme="minorHAnsi"/>
        </w:rPr>
      </w:pPr>
    </w:p>
    <w:p w14:paraId="74D89520" w14:textId="60FDC407" w:rsidR="00441031" w:rsidRPr="00441031" w:rsidRDefault="00441031" w:rsidP="00F16A3E">
      <w:pPr>
        <w:pStyle w:val="BodyText"/>
        <w:spacing w:line="269" w:lineRule="exact"/>
        <w:rPr>
          <w:rFonts w:asciiTheme="minorHAnsi" w:hAnsiTheme="minorHAnsi"/>
          <w:b/>
          <w:bCs/>
        </w:rPr>
      </w:pPr>
      <w:r w:rsidRPr="00441031">
        <w:rPr>
          <w:rFonts w:asciiTheme="minorHAnsi" w:hAnsiTheme="minorHAnsi"/>
          <w:b/>
          <w:bCs/>
          <w:u w:val="single"/>
        </w:rPr>
        <w:lastRenderedPageBreak/>
        <w:t xml:space="preserve">Table </w:t>
      </w:r>
      <w:r w:rsidR="00CB006B">
        <w:rPr>
          <w:rFonts w:asciiTheme="minorHAnsi" w:hAnsiTheme="minorHAnsi"/>
          <w:b/>
          <w:bCs/>
          <w:u w:val="single"/>
        </w:rPr>
        <w:t>1</w:t>
      </w:r>
      <w:r w:rsidR="00A9310C">
        <w:rPr>
          <w:rFonts w:asciiTheme="minorHAnsi" w:hAnsiTheme="minorHAnsi"/>
          <w:b/>
          <w:bCs/>
          <w:u w:val="single"/>
        </w:rPr>
        <w:t>4</w:t>
      </w:r>
      <w:r w:rsidRPr="00441031">
        <w:rPr>
          <w:rFonts w:asciiTheme="minorHAnsi" w:hAnsiTheme="minorHAnsi"/>
          <w:b/>
          <w:bCs/>
        </w:rPr>
        <w:t xml:space="preserve">: </w:t>
      </w:r>
      <w:r w:rsidR="00342B2F">
        <w:rPr>
          <w:rFonts w:asciiTheme="minorHAnsi" w:hAnsiTheme="minorHAnsi"/>
          <w:b/>
          <w:bCs/>
        </w:rPr>
        <w:t>Age 45 to 74 P</w:t>
      </w:r>
      <w:r w:rsidR="00342B2F" w:rsidRPr="00441031">
        <w:rPr>
          <w:rFonts w:asciiTheme="minorHAnsi" w:hAnsiTheme="minorHAnsi"/>
          <w:b/>
          <w:bCs/>
        </w:rPr>
        <w:t xml:space="preserve">opulation </w:t>
      </w:r>
      <w:r w:rsidRPr="00441031">
        <w:rPr>
          <w:rFonts w:asciiTheme="minorHAnsi" w:hAnsiTheme="minorHAnsi"/>
          <w:b/>
          <w:bCs/>
        </w:rPr>
        <w:t xml:space="preserve">Projections for Top Five Towns in </w:t>
      </w:r>
      <w:r w:rsidR="002B3CC3">
        <w:rPr>
          <w:rFonts w:asciiTheme="minorHAnsi" w:hAnsiTheme="minorHAnsi"/>
          <w:b/>
          <w:bCs/>
        </w:rPr>
        <w:t xml:space="preserve">the </w:t>
      </w:r>
      <w:r w:rsidR="0009338B">
        <w:rPr>
          <w:rFonts w:asciiTheme="minorHAnsi" w:hAnsiTheme="minorHAnsi"/>
          <w:b/>
          <w:bCs/>
        </w:rPr>
        <w:t>Applicant’s</w:t>
      </w:r>
      <w:r w:rsidRPr="00441031">
        <w:rPr>
          <w:rFonts w:asciiTheme="minorHAnsi" w:hAnsiTheme="minorHAnsi"/>
          <w:b/>
          <w:bCs/>
        </w:rPr>
        <w:t xml:space="preserve"> Service Area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053"/>
        <w:gridCol w:w="1099"/>
        <w:gridCol w:w="773"/>
        <w:gridCol w:w="773"/>
        <w:gridCol w:w="773"/>
        <w:gridCol w:w="773"/>
      </w:tblGrid>
      <w:tr w:rsidR="00DC594E" w:rsidRPr="00AB385A" w14:paraId="0BB9707F" w14:textId="40E8E9F6" w:rsidTr="00850E56">
        <w:trPr>
          <w:trHeight w:val="290"/>
        </w:trPr>
        <w:tc>
          <w:tcPr>
            <w:tcW w:w="0" w:type="auto"/>
            <w:shd w:val="clear" w:color="auto" w:fill="DBE5F1" w:themeFill="accent1" w:themeFillTint="33"/>
            <w:noWrap/>
            <w:vAlign w:val="bottom"/>
            <w:hideMark/>
          </w:tcPr>
          <w:p w14:paraId="51FE0A8F" w14:textId="77777777" w:rsidR="00DC594E" w:rsidRPr="00AB385A" w:rsidRDefault="00DC594E" w:rsidP="00FD0171">
            <w:pPr>
              <w:widowControl/>
              <w:autoSpaceDE/>
              <w:autoSpaceDN/>
              <w:rPr>
                <w:rFonts w:asciiTheme="minorHAnsi" w:eastAsia="Times New Roman" w:hAnsiTheme="minorHAnsi"/>
                <w:b/>
                <w:bCs/>
                <w:color w:val="000000"/>
                <w:sz w:val="20"/>
              </w:rPr>
            </w:pPr>
            <w:r w:rsidRPr="00AB385A">
              <w:rPr>
                <w:rFonts w:asciiTheme="minorHAnsi" w:eastAsia="Times New Roman" w:hAnsiTheme="minorHAnsi"/>
                <w:b/>
                <w:bCs/>
                <w:color w:val="000000"/>
                <w:sz w:val="20"/>
              </w:rPr>
              <w:t>Municipality</w:t>
            </w:r>
          </w:p>
        </w:tc>
        <w:tc>
          <w:tcPr>
            <w:tcW w:w="0" w:type="auto"/>
            <w:shd w:val="clear" w:color="auto" w:fill="DBE5F1" w:themeFill="accent1" w:themeFillTint="33"/>
            <w:noWrap/>
            <w:vAlign w:val="bottom"/>
            <w:hideMark/>
          </w:tcPr>
          <w:p w14:paraId="19E7F627" w14:textId="77777777" w:rsidR="00DC594E" w:rsidRPr="00AB385A" w:rsidRDefault="00DC594E" w:rsidP="00FD0171">
            <w:pPr>
              <w:widowControl/>
              <w:autoSpaceDE/>
              <w:autoSpaceDN/>
              <w:jc w:val="center"/>
              <w:rPr>
                <w:rFonts w:asciiTheme="minorHAnsi" w:eastAsia="Times New Roman" w:hAnsiTheme="minorHAnsi"/>
                <w:b/>
                <w:bCs/>
                <w:color w:val="000000"/>
                <w:sz w:val="20"/>
              </w:rPr>
            </w:pPr>
            <w:r w:rsidRPr="00AB385A">
              <w:rPr>
                <w:rFonts w:asciiTheme="minorHAnsi" w:eastAsia="Times New Roman" w:hAnsiTheme="minorHAnsi"/>
                <w:b/>
                <w:bCs/>
                <w:color w:val="000000"/>
                <w:sz w:val="20"/>
              </w:rPr>
              <w:t>County</w:t>
            </w:r>
          </w:p>
        </w:tc>
        <w:tc>
          <w:tcPr>
            <w:tcW w:w="0" w:type="auto"/>
            <w:shd w:val="clear" w:color="auto" w:fill="DBE5F1" w:themeFill="accent1" w:themeFillTint="33"/>
            <w:noWrap/>
            <w:vAlign w:val="bottom"/>
            <w:hideMark/>
          </w:tcPr>
          <w:p w14:paraId="72DB06B7" w14:textId="77777777" w:rsidR="00DC594E" w:rsidRPr="00AB385A" w:rsidRDefault="00DC594E" w:rsidP="00FD0171">
            <w:pPr>
              <w:widowControl/>
              <w:autoSpaceDE/>
              <w:autoSpaceDN/>
              <w:jc w:val="center"/>
              <w:rPr>
                <w:rFonts w:asciiTheme="minorHAnsi" w:eastAsia="Times New Roman" w:hAnsiTheme="minorHAnsi"/>
                <w:b/>
                <w:bCs/>
                <w:color w:val="000000"/>
                <w:sz w:val="20"/>
              </w:rPr>
            </w:pPr>
            <w:r w:rsidRPr="00AB385A">
              <w:rPr>
                <w:rFonts w:asciiTheme="minorHAnsi" w:eastAsia="Times New Roman" w:hAnsiTheme="minorHAnsi"/>
                <w:b/>
                <w:bCs/>
                <w:color w:val="000000"/>
                <w:sz w:val="20"/>
              </w:rPr>
              <w:t>Age Group</w:t>
            </w:r>
          </w:p>
        </w:tc>
        <w:tc>
          <w:tcPr>
            <w:tcW w:w="0" w:type="auto"/>
            <w:shd w:val="clear" w:color="auto" w:fill="DBE5F1" w:themeFill="accent1" w:themeFillTint="33"/>
            <w:noWrap/>
            <w:vAlign w:val="bottom"/>
            <w:hideMark/>
          </w:tcPr>
          <w:p w14:paraId="50084E27" w14:textId="77777777" w:rsidR="00DC594E" w:rsidRPr="00AB385A" w:rsidRDefault="00DC594E" w:rsidP="00FD0171">
            <w:pPr>
              <w:widowControl/>
              <w:autoSpaceDE/>
              <w:autoSpaceDN/>
              <w:jc w:val="center"/>
              <w:rPr>
                <w:rFonts w:asciiTheme="minorHAnsi" w:eastAsia="Times New Roman" w:hAnsiTheme="minorHAnsi"/>
                <w:b/>
                <w:bCs/>
                <w:color w:val="000000"/>
                <w:sz w:val="20"/>
              </w:rPr>
            </w:pPr>
            <w:r w:rsidRPr="00AB385A">
              <w:rPr>
                <w:rFonts w:asciiTheme="minorHAnsi" w:eastAsia="Times New Roman" w:hAnsiTheme="minorHAnsi"/>
                <w:b/>
                <w:bCs/>
                <w:color w:val="000000"/>
                <w:sz w:val="20"/>
              </w:rPr>
              <w:t>2010</w:t>
            </w:r>
          </w:p>
        </w:tc>
        <w:tc>
          <w:tcPr>
            <w:tcW w:w="0" w:type="auto"/>
            <w:shd w:val="clear" w:color="auto" w:fill="DBE5F1" w:themeFill="accent1" w:themeFillTint="33"/>
            <w:noWrap/>
            <w:vAlign w:val="bottom"/>
            <w:hideMark/>
          </w:tcPr>
          <w:p w14:paraId="69AB023C" w14:textId="77777777" w:rsidR="00DC594E" w:rsidRPr="00AB385A" w:rsidRDefault="00DC594E" w:rsidP="00FD0171">
            <w:pPr>
              <w:widowControl/>
              <w:autoSpaceDE/>
              <w:autoSpaceDN/>
              <w:jc w:val="center"/>
              <w:rPr>
                <w:rFonts w:asciiTheme="minorHAnsi" w:eastAsia="Times New Roman" w:hAnsiTheme="minorHAnsi"/>
                <w:b/>
                <w:bCs/>
                <w:color w:val="000000"/>
                <w:sz w:val="20"/>
              </w:rPr>
            </w:pPr>
            <w:r w:rsidRPr="00AB385A">
              <w:rPr>
                <w:rFonts w:asciiTheme="minorHAnsi" w:eastAsia="Times New Roman" w:hAnsiTheme="minorHAnsi"/>
                <w:b/>
                <w:bCs/>
                <w:color w:val="000000"/>
                <w:sz w:val="20"/>
              </w:rPr>
              <w:t>2020</w:t>
            </w:r>
          </w:p>
        </w:tc>
        <w:tc>
          <w:tcPr>
            <w:tcW w:w="0" w:type="auto"/>
            <w:shd w:val="clear" w:color="auto" w:fill="DBE5F1" w:themeFill="accent1" w:themeFillTint="33"/>
            <w:noWrap/>
            <w:vAlign w:val="bottom"/>
            <w:hideMark/>
          </w:tcPr>
          <w:p w14:paraId="6081B05B" w14:textId="77777777" w:rsidR="00DC594E" w:rsidRPr="00AB385A" w:rsidRDefault="00DC594E" w:rsidP="00FD0171">
            <w:pPr>
              <w:widowControl/>
              <w:autoSpaceDE/>
              <w:autoSpaceDN/>
              <w:jc w:val="center"/>
              <w:rPr>
                <w:rFonts w:asciiTheme="minorHAnsi" w:eastAsia="Times New Roman" w:hAnsiTheme="minorHAnsi"/>
                <w:b/>
                <w:bCs/>
                <w:color w:val="000000"/>
                <w:sz w:val="20"/>
              </w:rPr>
            </w:pPr>
            <w:r w:rsidRPr="00AB385A">
              <w:rPr>
                <w:rFonts w:asciiTheme="minorHAnsi" w:eastAsia="Times New Roman" w:hAnsiTheme="minorHAnsi"/>
                <w:b/>
                <w:bCs/>
                <w:color w:val="000000"/>
                <w:sz w:val="20"/>
              </w:rPr>
              <w:t>2025</w:t>
            </w:r>
          </w:p>
        </w:tc>
        <w:tc>
          <w:tcPr>
            <w:tcW w:w="0" w:type="auto"/>
            <w:shd w:val="clear" w:color="auto" w:fill="DBE5F1" w:themeFill="accent1" w:themeFillTint="33"/>
            <w:noWrap/>
            <w:vAlign w:val="bottom"/>
            <w:hideMark/>
          </w:tcPr>
          <w:p w14:paraId="6A5776DC" w14:textId="77777777" w:rsidR="00DC594E" w:rsidRPr="00AB385A" w:rsidRDefault="00DC594E" w:rsidP="00FD0171">
            <w:pPr>
              <w:widowControl/>
              <w:autoSpaceDE/>
              <w:autoSpaceDN/>
              <w:jc w:val="center"/>
              <w:rPr>
                <w:rFonts w:asciiTheme="minorHAnsi" w:eastAsia="Times New Roman" w:hAnsiTheme="minorHAnsi"/>
                <w:b/>
                <w:bCs/>
                <w:color w:val="000000"/>
                <w:sz w:val="20"/>
              </w:rPr>
            </w:pPr>
            <w:r w:rsidRPr="00AB385A">
              <w:rPr>
                <w:rFonts w:asciiTheme="minorHAnsi" w:eastAsia="Times New Roman" w:hAnsiTheme="minorHAnsi"/>
                <w:b/>
                <w:bCs/>
                <w:color w:val="000000"/>
                <w:sz w:val="20"/>
              </w:rPr>
              <w:t>2030</w:t>
            </w:r>
          </w:p>
        </w:tc>
      </w:tr>
      <w:tr w:rsidR="00DC594E" w:rsidRPr="00AB385A" w14:paraId="0471D684" w14:textId="6A787A94" w:rsidTr="00F54CE8">
        <w:trPr>
          <w:trHeight w:val="290"/>
        </w:trPr>
        <w:tc>
          <w:tcPr>
            <w:tcW w:w="0" w:type="auto"/>
            <w:noWrap/>
            <w:vAlign w:val="bottom"/>
            <w:hideMark/>
          </w:tcPr>
          <w:p w14:paraId="55DBED0B" w14:textId="77777777" w:rsidR="00DC594E" w:rsidRPr="00AB385A" w:rsidRDefault="00DC594E" w:rsidP="00FD0171">
            <w:pPr>
              <w:widowControl/>
              <w:autoSpaceDE/>
              <w:autoSpaceDN/>
              <w:rPr>
                <w:rFonts w:asciiTheme="minorHAnsi" w:eastAsia="Times New Roman" w:hAnsiTheme="minorHAnsi"/>
                <w:color w:val="000000"/>
                <w:sz w:val="20"/>
              </w:rPr>
            </w:pPr>
            <w:r w:rsidRPr="00AB385A">
              <w:rPr>
                <w:rFonts w:asciiTheme="minorHAnsi" w:eastAsia="Times New Roman" w:hAnsiTheme="minorHAnsi"/>
                <w:color w:val="000000"/>
                <w:sz w:val="20"/>
              </w:rPr>
              <w:t>Acton</w:t>
            </w:r>
          </w:p>
        </w:tc>
        <w:tc>
          <w:tcPr>
            <w:tcW w:w="0" w:type="auto"/>
            <w:noWrap/>
            <w:vAlign w:val="bottom"/>
            <w:hideMark/>
          </w:tcPr>
          <w:p w14:paraId="7121B42E" w14:textId="77777777"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Middlesex</w:t>
            </w:r>
          </w:p>
        </w:tc>
        <w:tc>
          <w:tcPr>
            <w:tcW w:w="0" w:type="auto"/>
            <w:noWrap/>
            <w:vAlign w:val="bottom"/>
            <w:hideMark/>
          </w:tcPr>
          <w:p w14:paraId="350A4C36" w14:textId="77777777"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45-74</w:t>
            </w:r>
          </w:p>
        </w:tc>
        <w:tc>
          <w:tcPr>
            <w:tcW w:w="0" w:type="auto"/>
            <w:noWrap/>
            <w:vAlign w:val="bottom"/>
            <w:hideMark/>
          </w:tcPr>
          <w:p w14:paraId="7F6FA1A8" w14:textId="15A4D795"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8</w:t>
            </w:r>
            <w:r>
              <w:rPr>
                <w:rFonts w:asciiTheme="minorHAnsi" w:eastAsia="Times New Roman" w:hAnsiTheme="minorHAnsi"/>
                <w:color w:val="000000"/>
                <w:sz w:val="20"/>
              </w:rPr>
              <w:t>,</w:t>
            </w:r>
            <w:r w:rsidRPr="00AB385A">
              <w:rPr>
                <w:rFonts w:asciiTheme="minorHAnsi" w:eastAsia="Times New Roman" w:hAnsiTheme="minorHAnsi"/>
                <w:color w:val="000000"/>
                <w:sz w:val="20"/>
              </w:rPr>
              <w:t>644</w:t>
            </w:r>
          </w:p>
        </w:tc>
        <w:tc>
          <w:tcPr>
            <w:tcW w:w="0" w:type="auto"/>
            <w:noWrap/>
            <w:vAlign w:val="bottom"/>
            <w:hideMark/>
          </w:tcPr>
          <w:p w14:paraId="7899AAFB" w14:textId="0F278855"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9</w:t>
            </w:r>
            <w:r>
              <w:rPr>
                <w:rFonts w:asciiTheme="minorHAnsi" w:eastAsia="Times New Roman" w:hAnsiTheme="minorHAnsi"/>
                <w:color w:val="000000"/>
                <w:sz w:val="20"/>
              </w:rPr>
              <w:t>,</w:t>
            </w:r>
            <w:r w:rsidRPr="00AB385A">
              <w:rPr>
                <w:rFonts w:asciiTheme="minorHAnsi" w:eastAsia="Times New Roman" w:hAnsiTheme="minorHAnsi"/>
                <w:color w:val="000000"/>
                <w:sz w:val="20"/>
              </w:rPr>
              <w:t>814</w:t>
            </w:r>
          </w:p>
        </w:tc>
        <w:tc>
          <w:tcPr>
            <w:tcW w:w="0" w:type="auto"/>
            <w:shd w:val="clear" w:color="auto" w:fill="FFFFFF" w:themeFill="background1"/>
            <w:noWrap/>
            <w:vAlign w:val="bottom"/>
            <w:hideMark/>
          </w:tcPr>
          <w:p w14:paraId="3A415040" w14:textId="56FF8913"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9</w:t>
            </w:r>
            <w:r>
              <w:rPr>
                <w:rFonts w:asciiTheme="minorHAnsi" w:eastAsia="Times New Roman" w:hAnsiTheme="minorHAnsi"/>
                <w:color w:val="000000"/>
                <w:sz w:val="20"/>
              </w:rPr>
              <w:t>,</w:t>
            </w:r>
            <w:r w:rsidRPr="00AB385A">
              <w:rPr>
                <w:rFonts w:asciiTheme="minorHAnsi" w:eastAsia="Times New Roman" w:hAnsiTheme="minorHAnsi"/>
                <w:color w:val="000000"/>
                <w:sz w:val="20"/>
              </w:rPr>
              <w:t>713</w:t>
            </w:r>
          </w:p>
        </w:tc>
        <w:tc>
          <w:tcPr>
            <w:tcW w:w="0" w:type="auto"/>
            <w:shd w:val="clear" w:color="auto" w:fill="FFFFCC"/>
            <w:noWrap/>
            <w:vAlign w:val="bottom"/>
            <w:hideMark/>
          </w:tcPr>
          <w:p w14:paraId="76B084D5" w14:textId="65329EAE"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9</w:t>
            </w:r>
            <w:r>
              <w:rPr>
                <w:rFonts w:asciiTheme="minorHAnsi" w:eastAsia="Times New Roman" w:hAnsiTheme="minorHAnsi"/>
                <w:color w:val="000000"/>
                <w:sz w:val="20"/>
              </w:rPr>
              <w:t>,</w:t>
            </w:r>
            <w:r w:rsidRPr="00AB385A">
              <w:rPr>
                <w:rFonts w:asciiTheme="minorHAnsi" w:eastAsia="Times New Roman" w:hAnsiTheme="minorHAnsi"/>
                <w:color w:val="000000"/>
                <w:sz w:val="20"/>
              </w:rPr>
              <w:t>803</w:t>
            </w:r>
          </w:p>
        </w:tc>
      </w:tr>
      <w:tr w:rsidR="00DC594E" w:rsidRPr="00AB385A" w14:paraId="191E01F0" w14:textId="6FD7B90C" w:rsidTr="00F54CE8">
        <w:trPr>
          <w:trHeight w:val="290"/>
        </w:trPr>
        <w:tc>
          <w:tcPr>
            <w:tcW w:w="0" w:type="auto"/>
            <w:noWrap/>
            <w:vAlign w:val="bottom"/>
            <w:hideMark/>
          </w:tcPr>
          <w:p w14:paraId="78717AD0" w14:textId="77777777" w:rsidR="00DC594E" w:rsidRPr="00AB385A" w:rsidRDefault="00DC594E" w:rsidP="00FD0171">
            <w:pPr>
              <w:widowControl/>
              <w:autoSpaceDE/>
              <w:autoSpaceDN/>
              <w:rPr>
                <w:rFonts w:asciiTheme="minorHAnsi" w:eastAsia="Times New Roman" w:hAnsiTheme="minorHAnsi"/>
                <w:color w:val="000000"/>
                <w:sz w:val="20"/>
              </w:rPr>
            </w:pPr>
            <w:r w:rsidRPr="00AB385A">
              <w:rPr>
                <w:rFonts w:asciiTheme="minorHAnsi" w:eastAsia="Times New Roman" w:hAnsiTheme="minorHAnsi"/>
                <w:color w:val="000000"/>
                <w:sz w:val="20"/>
              </w:rPr>
              <w:t>Concord</w:t>
            </w:r>
          </w:p>
        </w:tc>
        <w:tc>
          <w:tcPr>
            <w:tcW w:w="0" w:type="auto"/>
            <w:noWrap/>
            <w:vAlign w:val="bottom"/>
            <w:hideMark/>
          </w:tcPr>
          <w:p w14:paraId="348180B0" w14:textId="77777777"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Middlesex</w:t>
            </w:r>
          </w:p>
        </w:tc>
        <w:tc>
          <w:tcPr>
            <w:tcW w:w="0" w:type="auto"/>
            <w:noWrap/>
            <w:vAlign w:val="bottom"/>
            <w:hideMark/>
          </w:tcPr>
          <w:p w14:paraId="6732B4FB" w14:textId="77777777"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45-74</w:t>
            </w:r>
          </w:p>
        </w:tc>
        <w:tc>
          <w:tcPr>
            <w:tcW w:w="0" w:type="auto"/>
            <w:noWrap/>
            <w:vAlign w:val="bottom"/>
            <w:hideMark/>
          </w:tcPr>
          <w:p w14:paraId="3CAEDC1E" w14:textId="6FEF2A2B"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7</w:t>
            </w:r>
            <w:r>
              <w:rPr>
                <w:rFonts w:asciiTheme="minorHAnsi" w:eastAsia="Times New Roman" w:hAnsiTheme="minorHAnsi"/>
                <w:color w:val="000000"/>
                <w:sz w:val="20"/>
              </w:rPr>
              <w:t>,</w:t>
            </w:r>
            <w:r w:rsidRPr="00AB385A">
              <w:rPr>
                <w:rFonts w:asciiTheme="minorHAnsi" w:eastAsia="Times New Roman" w:hAnsiTheme="minorHAnsi"/>
                <w:color w:val="000000"/>
                <w:sz w:val="20"/>
              </w:rPr>
              <w:t>473</w:t>
            </w:r>
          </w:p>
        </w:tc>
        <w:tc>
          <w:tcPr>
            <w:tcW w:w="0" w:type="auto"/>
            <w:noWrap/>
            <w:vAlign w:val="bottom"/>
            <w:hideMark/>
          </w:tcPr>
          <w:p w14:paraId="1B3F4783" w14:textId="7AA5E04B"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7</w:t>
            </w:r>
            <w:r>
              <w:rPr>
                <w:rFonts w:asciiTheme="minorHAnsi" w:eastAsia="Times New Roman" w:hAnsiTheme="minorHAnsi"/>
                <w:color w:val="000000"/>
                <w:sz w:val="20"/>
              </w:rPr>
              <w:t>,</w:t>
            </w:r>
            <w:r w:rsidRPr="00AB385A">
              <w:rPr>
                <w:rFonts w:asciiTheme="minorHAnsi" w:eastAsia="Times New Roman" w:hAnsiTheme="minorHAnsi"/>
                <w:color w:val="000000"/>
                <w:sz w:val="20"/>
              </w:rPr>
              <w:t>827</w:t>
            </w:r>
          </w:p>
        </w:tc>
        <w:tc>
          <w:tcPr>
            <w:tcW w:w="0" w:type="auto"/>
            <w:shd w:val="clear" w:color="auto" w:fill="FFFFFF" w:themeFill="background1"/>
            <w:noWrap/>
            <w:vAlign w:val="bottom"/>
            <w:hideMark/>
          </w:tcPr>
          <w:p w14:paraId="65A7338C" w14:textId="243A7D70"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7</w:t>
            </w:r>
            <w:r>
              <w:rPr>
                <w:rFonts w:asciiTheme="minorHAnsi" w:eastAsia="Times New Roman" w:hAnsiTheme="minorHAnsi"/>
                <w:color w:val="000000"/>
                <w:sz w:val="20"/>
              </w:rPr>
              <w:t>,</w:t>
            </w:r>
            <w:r w:rsidRPr="00AB385A">
              <w:rPr>
                <w:rFonts w:asciiTheme="minorHAnsi" w:eastAsia="Times New Roman" w:hAnsiTheme="minorHAnsi"/>
                <w:color w:val="000000"/>
                <w:sz w:val="20"/>
              </w:rPr>
              <w:t>661</w:t>
            </w:r>
          </w:p>
        </w:tc>
        <w:tc>
          <w:tcPr>
            <w:tcW w:w="0" w:type="auto"/>
            <w:shd w:val="clear" w:color="auto" w:fill="FFFFCC"/>
            <w:noWrap/>
            <w:vAlign w:val="bottom"/>
            <w:hideMark/>
          </w:tcPr>
          <w:p w14:paraId="5A715C39" w14:textId="61FE75BD"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7</w:t>
            </w:r>
            <w:r>
              <w:rPr>
                <w:rFonts w:asciiTheme="minorHAnsi" w:eastAsia="Times New Roman" w:hAnsiTheme="minorHAnsi"/>
                <w:color w:val="000000"/>
                <w:sz w:val="20"/>
              </w:rPr>
              <w:t>,</w:t>
            </w:r>
            <w:r w:rsidRPr="00AB385A">
              <w:rPr>
                <w:rFonts w:asciiTheme="minorHAnsi" w:eastAsia="Times New Roman" w:hAnsiTheme="minorHAnsi"/>
                <w:color w:val="000000"/>
                <w:sz w:val="20"/>
              </w:rPr>
              <w:t>544</w:t>
            </w:r>
          </w:p>
        </w:tc>
      </w:tr>
      <w:tr w:rsidR="00DC594E" w:rsidRPr="00AB385A" w14:paraId="4F1F8B6A" w14:textId="6931AD39" w:rsidTr="00F54CE8">
        <w:trPr>
          <w:trHeight w:val="290"/>
        </w:trPr>
        <w:tc>
          <w:tcPr>
            <w:tcW w:w="0" w:type="auto"/>
            <w:noWrap/>
            <w:vAlign w:val="bottom"/>
            <w:hideMark/>
          </w:tcPr>
          <w:p w14:paraId="55C2FAC1" w14:textId="77777777" w:rsidR="00DC594E" w:rsidRPr="00AB385A" w:rsidRDefault="00DC594E" w:rsidP="00FD0171">
            <w:pPr>
              <w:widowControl/>
              <w:autoSpaceDE/>
              <w:autoSpaceDN/>
              <w:rPr>
                <w:rFonts w:asciiTheme="minorHAnsi" w:eastAsia="Times New Roman" w:hAnsiTheme="minorHAnsi"/>
                <w:color w:val="000000"/>
                <w:sz w:val="20"/>
              </w:rPr>
            </w:pPr>
            <w:r w:rsidRPr="00AB385A">
              <w:rPr>
                <w:rFonts w:asciiTheme="minorHAnsi" w:eastAsia="Times New Roman" w:hAnsiTheme="minorHAnsi"/>
                <w:color w:val="000000"/>
                <w:sz w:val="20"/>
              </w:rPr>
              <w:t>Groton</w:t>
            </w:r>
          </w:p>
        </w:tc>
        <w:tc>
          <w:tcPr>
            <w:tcW w:w="0" w:type="auto"/>
            <w:noWrap/>
            <w:vAlign w:val="bottom"/>
            <w:hideMark/>
          </w:tcPr>
          <w:p w14:paraId="341A97F4" w14:textId="77777777"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Middlesex</w:t>
            </w:r>
          </w:p>
        </w:tc>
        <w:tc>
          <w:tcPr>
            <w:tcW w:w="0" w:type="auto"/>
            <w:noWrap/>
            <w:vAlign w:val="bottom"/>
            <w:hideMark/>
          </w:tcPr>
          <w:p w14:paraId="7B443D4F" w14:textId="77777777"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45-74</w:t>
            </w:r>
          </w:p>
        </w:tc>
        <w:tc>
          <w:tcPr>
            <w:tcW w:w="0" w:type="auto"/>
            <w:noWrap/>
            <w:vAlign w:val="bottom"/>
            <w:hideMark/>
          </w:tcPr>
          <w:p w14:paraId="4F84D371" w14:textId="4531B8EB"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4</w:t>
            </w:r>
            <w:r>
              <w:rPr>
                <w:rFonts w:asciiTheme="minorHAnsi" w:eastAsia="Times New Roman" w:hAnsiTheme="minorHAnsi"/>
                <w:color w:val="000000"/>
                <w:sz w:val="20"/>
              </w:rPr>
              <w:t>,</w:t>
            </w:r>
            <w:r w:rsidRPr="00AB385A">
              <w:rPr>
                <w:rFonts w:asciiTheme="minorHAnsi" w:eastAsia="Times New Roman" w:hAnsiTheme="minorHAnsi"/>
                <w:color w:val="000000"/>
                <w:sz w:val="20"/>
              </w:rPr>
              <w:t>385</w:t>
            </w:r>
          </w:p>
        </w:tc>
        <w:tc>
          <w:tcPr>
            <w:tcW w:w="0" w:type="auto"/>
            <w:noWrap/>
            <w:vAlign w:val="bottom"/>
            <w:hideMark/>
          </w:tcPr>
          <w:p w14:paraId="35B068C6" w14:textId="489A9F06"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4</w:t>
            </w:r>
            <w:r>
              <w:rPr>
                <w:rFonts w:asciiTheme="minorHAnsi" w:eastAsia="Times New Roman" w:hAnsiTheme="minorHAnsi"/>
                <w:color w:val="000000"/>
                <w:sz w:val="20"/>
              </w:rPr>
              <w:t>,</w:t>
            </w:r>
            <w:r w:rsidRPr="00AB385A">
              <w:rPr>
                <w:rFonts w:asciiTheme="minorHAnsi" w:eastAsia="Times New Roman" w:hAnsiTheme="minorHAnsi"/>
                <w:color w:val="000000"/>
                <w:sz w:val="20"/>
              </w:rPr>
              <w:t>848</w:t>
            </w:r>
          </w:p>
        </w:tc>
        <w:tc>
          <w:tcPr>
            <w:tcW w:w="0" w:type="auto"/>
            <w:shd w:val="clear" w:color="auto" w:fill="FFFFFF" w:themeFill="background1"/>
            <w:noWrap/>
            <w:vAlign w:val="bottom"/>
            <w:hideMark/>
          </w:tcPr>
          <w:p w14:paraId="4BB03BC9" w14:textId="72EAFBDD"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4</w:t>
            </w:r>
            <w:r>
              <w:rPr>
                <w:rFonts w:asciiTheme="minorHAnsi" w:eastAsia="Times New Roman" w:hAnsiTheme="minorHAnsi"/>
                <w:color w:val="000000"/>
                <w:sz w:val="20"/>
              </w:rPr>
              <w:t>,</w:t>
            </w:r>
            <w:r w:rsidRPr="00AB385A">
              <w:rPr>
                <w:rFonts w:asciiTheme="minorHAnsi" w:eastAsia="Times New Roman" w:hAnsiTheme="minorHAnsi"/>
                <w:color w:val="000000"/>
                <w:sz w:val="20"/>
              </w:rPr>
              <w:t>683</w:t>
            </w:r>
          </w:p>
        </w:tc>
        <w:tc>
          <w:tcPr>
            <w:tcW w:w="0" w:type="auto"/>
            <w:shd w:val="clear" w:color="auto" w:fill="FFFFCC"/>
            <w:noWrap/>
            <w:vAlign w:val="bottom"/>
            <w:hideMark/>
          </w:tcPr>
          <w:p w14:paraId="42F26F47" w14:textId="79F7CF83"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4</w:t>
            </w:r>
            <w:r>
              <w:rPr>
                <w:rFonts w:asciiTheme="minorHAnsi" w:eastAsia="Times New Roman" w:hAnsiTheme="minorHAnsi"/>
                <w:color w:val="000000"/>
                <w:sz w:val="20"/>
              </w:rPr>
              <w:t>,</w:t>
            </w:r>
            <w:r w:rsidRPr="00AB385A">
              <w:rPr>
                <w:rFonts w:asciiTheme="minorHAnsi" w:eastAsia="Times New Roman" w:hAnsiTheme="minorHAnsi"/>
                <w:color w:val="000000"/>
                <w:sz w:val="20"/>
              </w:rPr>
              <w:t>548</w:t>
            </w:r>
          </w:p>
        </w:tc>
      </w:tr>
      <w:tr w:rsidR="00DC594E" w:rsidRPr="00AB385A" w14:paraId="4014CAFC" w14:textId="01850211" w:rsidTr="00F54CE8">
        <w:trPr>
          <w:trHeight w:val="290"/>
        </w:trPr>
        <w:tc>
          <w:tcPr>
            <w:tcW w:w="0" w:type="auto"/>
            <w:noWrap/>
            <w:vAlign w:val="bottom"/>
            <w:hideMark/>
          </w:tcPr>
          <w:p w14:paraId="56EF75D7" w14:textId="77777777" w:rsidR="00DC594E" w:rsidRPr="00AB385A" w:rsidRDefault="00DC594E" w:rsidP="00FD0171">
            <w:pPr>
              <w:widowControl/>
              <w:autoSpaceDE/>
              <w:autoSpaceDN/>
              <w:rPr>
                <w:rFonts w:asciiTheme="minorHAnsi" w:eastAsia="Times New Roman" w:hAnsiTheme="minorHAnsi"/>
                <w:color w:val="000000"/>
                <w:sz w:val="20"/>
              </w:rPr>
            </w:pPr>
            <w:r w:rsidRPr="00AB385A">
              <w:rPr>
                <w:rFonts w:asciiTheme="minorHAnsi" w:eastAsia="Times New Roman" w:hAnsiTheme="minorHAnsi"/>
                <w:color w:val="000000"/>
                <w:sz w:val="20"/>
              </w:rPr>
              <w:t>Sudbury</w:t>
            </w:r>
          </w:p>
        </w:tc>
        <w:tc>
          <w:tcPr>
            <w:tcW w:w="0" w:type="auto"/>
            <w:noWrap/>
            <w:vAlign w:val="bottom"/>
            <w:hideMark/>
          </w:tcPr>
          <w:p w14:paraId="3B8893C5" w14:textId="77777777"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Middlesex</w:t>
            </w:r>
          </w:p>
        </w:tc>
        <w:tc>
          <w:tcPr>
            <w:tcW w:w="0" w:type="auto"/>
            <w:noWrap/>
            <w:vAlign w:val="bottom"/>
            <w:hideMark/>
          </w:tcPr>
          <w:p w14:paraId="0199BE2B" w14:textId="77777777"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45-74</w:t>
            </w:r>
          </w:p>
        </w:tc>
        <w:tc>
          <w:tcPr>
            <w:tcW w:w="0" w:type="auto"/>
            <w:noWrap/>
            <w:vAlign w:val="bottom"/>
            <w:hideMark/>
          </w:tcPr>
          <w:p w14:paraId="4C629C8F" w14:textId="1F8FEE9B"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7</w:t>
            </w:r>
            <w:r>
              <w:rPr>
                <w:rFonts w:asciiTheme="minorHAnsi" w:eastAsia="Times New Roman" w:hAnsiTheme="minorHAnsi"/>
                <w:color w:val="000000"/>
                <w:sz w:val="20"/>
              </w:rPr>
              <w:t>,</w:t>
            </w:r>
            <w:r w:rsidRPr="00AB385A">
              <w:rPr>
                <w:rFonts w:asciiTheme="minorHAnsi" w:eastAsia="Times New Roman" w:hAnsiTheme="minorHAnsi"/>
                <w:color w:val="000000"/>
                <w:sz w:val="20"/>
              </w:rPr>
              <w:t>095</w:t>
            </w:r>
          </w:p>
        </w:tc>
        <w:tc>
          <w:tcPr>
            <w:tcW w:w="0" w:type="auto"/>
            <w:noWrap/>
            <w:vAlign w:val="bottom"/>
            <w:hideMark/>
          </w:tcPr>
          <w:p w14:paraId="7E1CF0D3" w14:textId="6ED373BB"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7</w:t>
            </w:r>
            <w:r>
              <w:rPr>
                <w:rFonts w:asciiTheme="minorHAnsi" w:eastAsia="Times New Roman" w:hAnsiTheme="minorHAnsi"/>
                <w:color w:val="000000"/>
                <w:sz w:val="20"/>
              </w:rPr>
              <w:t>,</w:t>
            </w:r>
            <w:r w:rsidRPr="00AB385A">
              <w:rPr>
                <w:rFonts w:asciiTheme="minorHAnsi" w:eastAsia="Times New Roman" w:hAnsiTheme="minorHAnsi"/>
                <w:color w:val="000000"/>
                <w:sz w:val="20"/>
              </w:rPr>
              <w:t>778</w:t>
            </w:r>
          </w:p>
        </w:tc>
        <w:tc>
          <w:tcPr>
            <w:tcW w:w="0" w:type="auto"/>
            <w:shd w:val="clear" w:color="auto" w:fill="FFFFFF" w:themeFill="background1"/>
            <w:noWrap/>
            <w:vAlign w:val="bottom"/>
            <w:hideMark/>
          </w:tcPr>
          <w:p w14:paraId="374FBC33" w14:textId="3BCD46BF"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7</w:t>
            </w:r>
            <w:r>
              <w:rPr>
                <w:rFonts w:asciiTheme="minorHAnsi" w:eastAsia="Times New Roman" w:hAnsiTheme="minorHAnsi"/>
                <w:color w:val="000000"/>
                <w:sz w:val="20"/>
              </w:rPr>
              <w:t>,</w:t>
            </w:r>
            <w:r w:rsidRPr="00AB385A">
              <w:rPr>
                <w:rFonts w:asciiTheme="minorHAnsi" w:eastAsia="Times New Roman" w:hAnsiTheme="minorHAnsi"/>
                <w:color w:val="000000"/>
                <w:sz w:val="20"/>
              </w:rPr>
              <w:t>622</w:t>
            </w:r>
          </w:p>
        </w:tc>
        <w:tc>
          <w:tcPr>
            <w:tcW w:w="0" w:type="auto"/>
            <w:shd w:val="clear" w:color="auto" w:fill="FFFFCC"/>
            <w:noWrap/>
            <w:vAlign w:val="bottom"/>
            <w:hideMark/>
          </w:tcPr>
          <w:p w14:paraId="08F3B996" w14:textId="32E0DE76"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7</w:t>
            </w:r>
            <w:r>
              <w:rPr>
                <w:rFonts w:asciiTheme="minorHAnsi" w:eastAsia="Times New Roman" w:hAnsiTheme="minorHAnsi"/>
                <w:color w:val="000000"/>
                <w:sz w:val="20"/>
              </w:rPr>
              <w:t>,</w:t>
            </w:r>
            <w:r w:rsidRPr="00AB385A">
              <w:rPr>
                <w:rFonts w:asciiTheme="minorHAnsi" w:eastAsia="Times New Roman" w:hAnsiTheme="minorHAnsi"/>
                <w:color w:val="000000"/>
                <w:sz w:val="20"/>
              </w:rPr>
              <w:t>533</w:t>
            </w:r>
          </w:p>
        </w:tc>
      </w:tr>
      <w:tr w:rsidR="00DC594E" w:rsidRPr="00AB385A" w14:paraId="431DFE53" w14:textId="54066C7C" w:rsidTr="00F54CE8">
        <w:trPr>
          <w:trHeight w:val="290"/>
        </w:trPr>
        <w:tc>
          <w:tcPr>
            <w:tcW w:w="0" w:type="auto"/>
            <w:noWrap/>
            <w:vAlign w:val="bottom"/>
            <w:hideMark/>
          </w:tcPr>
          <w:p w14:paraId="60AB7A57" w14:textId="77777777" w:rsidR="00DC594E" w:rsidRPr="00AB385A" w:rsidRDefault="00DC594E" w:rsidP="00FD0171">
            <w:pPr>
              <w:widowControl/>
              <w:autoSpaceDE/>
              <w:autoSpaceDN/>
              <w:rPr>
                <w:rFonts w:asciiTheme="minorHAnsi" w:eastAsia="Times New Roman" w:hAnsiTheme="minorHAnsi"/>
                <w:color w:val="000000"/>
                <w:sz w:val="20"/>
              </w:rPr>
            </w:pPr>
            <w:r w:rsidRPr="00AB385A">
              <w:rPr>
                <w:rFonts w:asciiTheme="minorHAnsi" w:eastAsia="Times New Roman" w:hAnsiTheme="minorHAnsi"/>
                <w:color w:val="000000"/>
                <w:sz w:val="20"/>
              </w:rPr>
              <w:t>Westford</w:t>
            </w:r>
          </w:p>
        </w:tc>
        <w:tc>
          <w:tcPr>
            <w:tcW w:w="0" w:type="auto"/>
            <w:noWrap/>
            <w:vAlign w:val="bottom"/>
            <w:hideMark/>
          </w:tcPr>
          <w:p w14:paraId="2D8146D4" w14:textId="77777777"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Middlesex</w:t>
            </w:r>
          </w:p>
        </w:tc>
        <w:tc>
          <w:tcPr>
            <w:tcW w:w="0" w:type="auto"/>
            <w:noWrap/>
            <w:vAlign w:val="bottom"/>
            <w:hideMark/>
          </w:tcPr>
          <w:p w14:paraId="53870A15" w14:textId="77777777"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45-74</w:t>
            </w:r>
          </w:p>
        </w:tc>
        <w:tc>
          <w:tcPr>
            <w:tcW w:w="0" w:type="auto"/>
            <w:noWrap/>
            <w:vAlign w:val="bottom"/>
            <w:hideMark/>
          </w:tcPr>
          <w:p w14:paraId="0D9305DF" w14:textId="6FC184FA"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8</w:t>
            </w:r>
            <w:r>
              <w:rPr>
                <w:rFonts w:asciiTheme="minorHAnsi" w:eastAsia="Times New Roman" w:hAnsiTheme="minorHAnsi"/>
                <w:color w:val="000000"/>
                <w:sz w:val="20"/>
              </w:rPr>
              <w:t>,</w:t>
            </w:r>
            <w:r w:rsidRPr="00AB385A">
              <w:rPr>
                <w:rFonts w:asciiTheme="minorHAnsi" w:eastAsia="Times New Roman" w:hAnsiTheme="minorHAnsi"/>
                <w:color w:val="000000"/>
                <w:sz w:val="20"/>
              </w:rPr>
              <w:t>873</w:t>
            </w:r>
          </w:p>
        </w:tc>
        <w:tc>
          <w:tcPr>
            <w:tcW w:w="0" w:type="auto"/>
            <w:noWrap/>
            <w:vAlign w:val="bottom"/>
            <w:hideMark/>
          </w:tcPr>
          <w:p w14:paraId="5C54FC60" w14:textId="410BC2DF"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10</w:t>
            </w:r>
            <w:r>
              <w:rPr>
                <w:rFonts w:asciiTheme="minorHAnsi" w:eastAsia="Times New Roman" w:hAnsiTheme="minorHAnsi"/>
                <w:color w:val="000000"/>
                <w:sz w:val="20"/>
              </w:rPr>
              <w:t>,</w:t>
            </w:r>
            <w:r w:rsidRPr="00AB385A">
              <w:rPr>
                <w:rFonts w:asciiTheme="minorHAnsi" w:eastAsia="Times New Roman" w:hAnsiTheme="minorHAnsi"/>
                <w:color w:val="000000"/>
                <w:sz w:val="20"/>
              </w:rPr>
              <w:t>139</w:t>
            </w:r>
          </w:p>
        </w:tc>
        <w:tc>
          <w:tcPr>
            <w:tcW w:w="0" w:type="auto"/>
            <w:shd w:val="clear" w:color="auto" w:fill="FFFFFF" w:themeFill="background1"/>
            <w:noWrap/>
            <w:vAlign w:val="bottom"/>
            <w:hideMark/>
          </w:tcPr>
          <w:p w14:paraId="4362C9D7" w14:textId="4D1FD1CC"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10</w:t>
            </w:r>
            <w:r>
              <w:rPr>
                <w:rFonts w:asciiTheme="minorHAnsi" w:eastAsia="Times New Roman" w:hAnsiTheme="minorHAnsi"/>
                <w:color w:val="000000"/>
                <w:sz w:val="20"/>
              </w:rPr>
              <w:t>,</w:t>
            </w:r>
            <w:r w:rsidRPr="00AB385A">
              <w:rPr>
                <w:rFonts w:asciiTheme="minorHAnsi" w:eastAsia="Times New Roman" w:hAnsiTheme="minorHAnsi"/>
                <w:color w:val="000000"/>
                <w:sz w:val="20"/>
              </w:rPr>
              <w:t>129</w:t>
            </w:r>
          </w:p>
        </w:tc>
        <w:tc>
          <w:tcPr>
            <w:tcW w:w="0" w:type="auto"/>
            <w:shd w:val="clear" w:color="auto" w:fill="FFFFCC"/>
            <w:noWrap/>
            <w:vAlign w:val="bottom"/>
            <w:hideMark/>
          </w:tcPr>
          <w:p w14:paraId="3FE60436" w14:textId="77C310BB"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10</w:t>
            </w:r>
            <w:r>
              <w:rPr>
                <w:rFonts w:asciiTheme="minorHAnsi" w:eastAsia="Times New Roman" w:hAnsiTheme="minorHAnsi"/>
                <w:color w:val="000000"/>
                <w:sz w:val="20"/>
              </w:rPr>
              <w:t>,</w:t>
            </w:r>
            <w:r w:rsidRPr="00AB385A">
              <w:rPr>
                <w:rFonts w:asciiTheme="minorHAnsi" w:eastAsia="Times New Roman" w:hAnsiTheme="minorHAnsi"/>
                <w:color w:val="000000"/>
                <w:sz w:val="20"/>
              </w:rPr>
              <w:t>284</w:t>
            </w:r>
          </w:p>
        </w:tc>
      </w:tr>
      <w:tr w:rsidR="00DC594E" w:rsidRPr="00AB385A" w14:paraId="5599E173" w14:textId="71EAA829" w:rsidTr="00F54CE8">
        <w:trPr>
          <w:trHeight w:val="290"/>
        </w:trPr>
        <w:tc>
          <w:tcPr>
            <w:tcW w:w="0" w:type="auto"/>
            <w:noWrap/>
            <w:vAlign w:val="bottom"/>
            <w:hideMark/>
          </w:tcPr>
          <w:p w14:paraId="0D3995BA" w14:textId="77777777" w:rsidR="00DC594E" w:rsidRPr="00AB385A" w:rsidRDefault="00DC594E" w:rsidP="00FD0171">
            <w:pPr>
              <w:widowControl/>
              <w:autoSpaceDE/>
              <w:autoSpaceDN/>
              <w:rPr>
                <w:rFonts w:asciiTheme="minorHAnsi" w:eastAsia="Times New Roman" w:hAnsiTheme="minorHAnsi"/>
                <w:color w:val="000000"/>
                <w:sz w:val="20"/>
              </w:rPr>
            </w:pPr>
            <w:r w:rsidRPr="00AB385A">
              <w:rPr>
                <w:rFonts w:asciiTheme="minorHAnsi" w:eastAsia="Times New Roman" w:hAnsiTheme="minorHAnsi"/>
                <w:color w:val="000000"/>
                <w:sz w:val="20"/>
              </w:rPr>
              <w:t xml:space="preserve">Total 1-5 </w:t>
            </w:r>
          </w:p>
        </w:tc>
        <w:tc>
          <w:tcPr>
            <w:tcW w:w="0" w:type="auto"/>
            <w:noWrap/>
            <w:vAlign w:val="bottom"/>
            <w:hideMark/>
          </w:tcPr>
          <w:p w14:paraId="7531A5F5" w14:textId="77777777"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Middlesex</w:t>
            </w:r>
          </w:p>
        </w:tc>
        <w:tc>
          <w:tcPr>
            <w:tcW w:w="0" w:type="auto"/>
            <w:noWrap/>
            <w:vAlign w:val="bottom"/>
            <w:hideMark/>
          </w:tcPr>
          <w:p w14:paraId="0CB89A59" w14:textId="77777777"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45-74</w:t>
            </w:r>
          </w:p>
        </w:tc>
        <w:tc>
          <w:tcPr>
            <w:tcW w:w="0" w:type="auto"/>
            <w:noWrap/>
            <w:vAlign w:val="bottom"/>
            <w:hideMark/>
          </w:tcPr>
          <w:p w14:paraId="7EADF974" w14:textId="6E174E66"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36</w:t>
            </w:r>
            <w:r>
              <w:rPr>
                <w:rFonts w:asciiTheme="minorHAnsi" w:eastAsia="Times New Roman" w:hAnsiTheme="minorHAnsi"/>
                <w:color w:val="000000"/>
                <w:sz w:val="20"/>
              </w:rPr>
              <w:t>,</w:t>
            </w:r>
            <w:r w:rsidRPr="00AB385A">
              <w:rPr>
                <w:rFonts w:asciiTheme="minorHAnsi" w:eastAsia="Times New Roman" w:hAnsiTheme="minorHAnsi"/>
                <w:color w:val="000000"/>
                <w:sz w:val="20"/>
              </w:rPr>
              <w:t>470</w:t>
            </w:r>
          </w:p>
        </w:tc>
        <w:tc>
          <w:tcPr>
            <w:tcW w:w="0" w:type="auto"/>
            <w:noWrap/>
            <w:vAlign w:val="bottom"/>
            <w:hideMark/>
          </w:tcPr>
          <w:p w14:paraId="7347CAE7" w14:textId="7B3FBB40"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40</w:t>
            </w:r>
            <w:r>
              <w:rPr>
                <w:rFonts w:asciiTheme="minorHAnsi" w:eastAsia="Times New Roman" w:hAnsiTheme="minorHAnsi"/>
                <w:color w:val="000000"/>
                <w:sz w:val="20"/>
              </w:rPr>
              <w:t>,</w:t>
            </w:r>
            <w:r w:rsidRPr="00AB385A">
              <w:rPr>
                <w:rFonts w:asciiTheme="minorHAnsi" w:eastAsia="Times New Roman" w:hAnsiTheme="minorHAnsi"/>
                <w:color w:val="000000"/>
                <w:sz w:val="20"/>
              </w:rPr>
              <w:t>406</w:t>
            </w:r>
          </w:p>
        </w:tc>
        <w:tc>
          <w:tcPr>
            <w:tcW w:w="0" w:type="auto"/>
            <w:shd w:val="clear" w:color="auto" w:fill="FFFFFF" w:themeFill="background1"/>
            <w:noWrap/>
            <w:vAlign w:val="bottom"/>
            <w:hideMark/>
          </w:tcPr>
          <w:p w14:paraId="243FF230" w14:textId="58C052BA"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39</w:t>
            </w:r>
            <w:r>
              <w:rPr>
                <w:rFonts w:asciiTheme="minorHAnsi" w:eastAsia="Times New Roman" w:hAnsiTheme="minorHAnsi"/>
                <w:color w:val="000000"/>
                <w:sz w:val="20"/>
              </w:rPr>
              <w:t>,</w:t>
            </w:r>
            <w:r w:rsidRPr="00AB385A">
              <w:rPr>
                <w:rFonts w:asciiTheme="minorHAnsi" w:eastAsia="Times New Roman" w:hAnsiTheme="minorHAnsi"/>
                <w:color w:val="000000"/>
                <w:sz w:val="20"/>
              </w:rPr>
              <w:t>808</w:t>
            </w:r>
          </w:p>
        </w:tc>
        <w:tc>
          <w:tcPr>
            <w:tcW w:w="0" w:type="auto"/>
            <w:shd w:val="clear" w:color="auto" w:fill="FFFFCC"/>
            <w:noWrap/>
            <w:vAlign w:val="bottom"/>
            <w:hideMark/>
          </w:tcPr>
          <w:p w14:paraId="443ACF10" w14:textId="1165DB29" w:rsidR="00DC594E" w:rsidRPr="00AB385A" w:rsidRDefault="00DC594E" w:rsidP="00FD0171">
            <w:pPr>
              <w:widowControl/>
              <w:autoSpaceDE/>
              <w:autoSpaceDN/>
              <w:jc w:val="center"/>
              <w:rPr>
                <w:rFonts w:asciiTheme="minorHAnsi" w:eastAsia="Times New Roman" w:hAnsiTheme="minorHAnsi"/>
                <w:color w:val="000000"/>
                <w:sz w:val="20"/>
              </w:rPr>
            </w:pPr>
            <w:r w:rsidRPr="00AB385A">
              <w:rPr>
                <w:rFonts w:asciiTheme="minorHAnsi" w:eastAsia="Times New Roman" w:hAnsiTheme="minorHAnsi"/>
                <w:color w:val="000000"/>
                <w:sz w:val="20"/>
              </w:rPr>
              <w:t>39</w:t>
            </w:r>
            <w:r>
              <w:rPr>
                <w:rFonts w:asciiTheme="minorHAnsi" w:eastAsia="Times New Roman" w:hAnsiTheme="minorHAnsi"/>
                <w:color w:val="000000"/>
                <w:sz w:val="20"/>
              </w:rPr>
              <w:t>,</w:t>
            </w:r>
            <w:r w:rsidRPr="00AB385A">
              <w:rPr>
                <w:rFonts w:asciiTheme="minorHAnsi" w:eastAsia="Times New Roman" w:hAnsiTheme="minorHAnsi"/>
                <w:color w:val="000000"/>
                <w:sz w:val="20"/>
              </w:rPr>
              <w:t>712</w:t>
            </w:r>
          </w:p>
        </w:tc>
      </w:tr>
    </w:tbl>
    <w:p w14:paraId="70CCA337" w14:textId="77777777" w:rsidR="00CB5F1B" w:rsidRDefault="00CB5F1B" w:rsidP="00F16A3E">
      <w:pPr>
        <w:pStyle w:val="BodyText"/>
        <w:spacing w:line="269" w:lineRule="exact"/>
        <w:rPr>
          <w:rFonts w:asciiTheme="minorHAnsi" w:hAnsiTheme="minorHAnsi"/>
        </w:rPr>
      </w:pPr>
    </w:p>
    <w:p w14:paraId="32340499" w14:textId="1974DD1A" w:rsidR="00D03433" w:rsidRDefault="00FD0171" w:rsidP="00F16A3E">
      <w:pPr>
        <w:pStyle w:val="BodyText"/>
        <w:spacing w:line="269" w:lineRule="exact"/>
        <w:rPr>
          <w:rFonts w:asciiTheme="minorHAnsi" w:hAnsiTheme="minorHAnsi"/>
        </w:rPr>
      </w:pPr>
      <w:r>
        <w:rPr>
          <w:rFonts w:asciiTheme="minorHAnsi" w:hAnsiTheme="minorHAnsi"/>
        </w:rPr>
        <w:t xml:space="preserve">The </w:t>
      </w:r>
      <w:r w:rsidR="002B7D29">
        <w:rPr>
          <w:rFonts w:asciiTheme="minorHAnsi" w:hAnsiTheme="minorHAnsi"/>
        </w:rPr>
        <w:t xml:space="preserve">American Cancer Society’s </w:t>
      </w:r>
      <w:r w:rsidR="002B3CC3">
        <w:rPr>
          <w:rFonts w:asciiTheme="minorHAnsi" w:hAnsiTheme="minorHAnsi"/>
        </w:rPr>
        <w:t>CRC</w:t>
      </w:r>
      <w:r>
        <w:rPr>
          <w:rFonts w:asciiTheme="minorHAnsi" w:hAnsiTheme="minorHAnsi"/>
        </w:rPr>
        <w:t xml:space="preserve"> screening guidelines recommend </w:t>
      </w:r>
      <w:r w:rsidR="007442AB">
        <w:rPr>
          <w:rFonts w:asciiTheme="minorHAnsi" w:hAnsiTheme="minorHAnsi"/>
        </w:rPr>
        <w:t xml:space="preserve">that </w:t>
      </w:r>
      <w:r w:rsidR="00DB09B0">
        <w:rPr>
          <w:rFonts w:asciiTheme="minorHAnsi" w:hAnsiTheme="minorHAnsi"/>
        </w:rPr>
        <w:t xml:space="preserve">adults </w:t>
      </w:r>
      <w:r w:rsidR="007442AB">
        <w:rPr>
          <w:rFonts w:asciiTheme="minorHAnsi" w:hAnsiTheme="minorHAnsi"/>
        </w:rPr>
        <w:t xml:space="preserve">with average risk </w:t>
      </w:r>
      <w:r w:rsidR="002B3CC3">
        <w:rPr>
          <w:rFonts w:asciiTheme="minorHAnsi" w:hAnsiTheme="minorHAnsi"/>
        </w:rPr>
        <w:t xml:space="preserve">of CRC </w:t>
      </w:r>
      <w:r w:rsidR="007442AB">
        <w:rPr>
          <w:rFonts w:asciiTheme="minorHAnsi" w:hAnsiTheme="minorHAnsi"/>
        </w:rPr>
        <w:t xml:space="preserve">begin </w:t>
      </w:r>
      <w:r>
        <w:rPr>
          <w:rFonts w:asciiTheme="minorHAnsi" w:hAnsiTheme="minorHAnsi"/>
        </w:rPr>
        <w:t>screening at age 45</w:t>
      </w:r>
      <w:r w:rsidR="00AB150C">
        <w:rPr>
          <w:rFonts w:asciiTheme="minorHAnsi" w:hAnsiTheme="minorHAnsi"/>
        </w:rPr>
        <w:t>, and continue screening</w:t>
      </w:r>
      <w:r w:rsidR="00952293">
        <w:rPr>
          <w:rFonts w:asciiTheme="minorHAnsi" w:hAnsiTheme="minorHAnsi"/>
        </w:rPr>
        <w:t xml:space="preserve"> every 10 years</w:t>
      </w:r>
      <w:r w:rsidR="00AB150C">
        <w:rPr>
          <w:rFonts w:asciiTheme="minorHAnsi" w:hAnsiTheme="minorHAnsi"/>
        </w:rPr>
        <w:t xml:space="preserve"> </w:t>
      </w:r>
      <w:r>
        <w:rPr>
          <w:rFonts w:asciiTheme="minorHAnsi" w:hAnsiTheme="minorHAnsi"/>
        </w:rPr>
        <w:t>through age 75</w:t>
      </w:r>
      <w:r w:rsidR="00271665">
        <w:rPr>
          <w:rFonts w:asciiTheme="minorHAnsi" w:hAnsiTheme="minorHAnsi"/>
        </w:rPr>
        <w:t xml:space="preserve">, </w:t>
      </w:r>
      <w:r w:rsidR="00285C78">
        <w:rPr>
          <w:rFonts w:asciiTheme="minorHAnsi" w:hAnsiTheme="minorHAnsi"/>
        </w:rPr>
        <w:t>with</w:t>
      </w:r>
      <w:r w:rsidR="00701383">
        <w:rPr>
          <w:rFonts w:asciiTheme="minorHAnsi" w:hAnsiTheme="minorHAnsi"/>
        </w:rPr>
        <w:t xml:space="preserve"> more frequent screening</w:t>
      </w:r>
      <w:r w:rsidR="00285C78">
        <w:rPr>
          <w:rFonts w:asciiTheme="minorHAnsi" w:hAnsiTheme="minorHAnsi"/>
        </w:rPr>
        <w:t xml:space="preserve"> recommended</w:t>
      </w:r>
      <w:r w:rsidR="00701383">
        <w:rPr>
          <w:rFonts w:asciiTheme="minorHAnsi" w:hAnsiTheme="minorHAnsi"/>
        </w:rPr>
        <w:t xml:space="preserve"> for </w:t>
      </w:r>
      <w:r w:rsidR="0076610F">
        <w:rPr>
          <w:rFonts w:asciiTheme="minorHAnsi" w:hAnsiTheme="minorHAnsi"/>
        </w:rPr>
        <w:t>adults</w:t>
      </w:r>
      <w:r w:rsidR="00701383">
        <w:rPr>
          <w:rFonts w:asciiTheme="minorHAnsi" w:hAnsiTheme="minorHAnsi"/>
        </w:rPr>
        <w:t xml:space="preserve"> at higher risk.</w:t>
      </w:r>
      <w:r w:rsidR="00AB150C">
        <w:rPr>
          <w:rStyle w:val="EndnoteReference"/>
          <w:rFonts w:asciiTheme="minorHAnsi" w:hAnsiTheme="minorHAnsi"/>
        </w:rPr>
        <w:endnoteReference w:id="8"/>
      </w:r>
      <w:r>
        <w:rPr>
          <w:rFonts w:asciiTheme="minorHAnsi" w:hAnsiTheme="minorHAnsi"/>
        </w:rPr>
        <w:t xml:space="preserve"> </w:t>
      </w:r>
      <w:r w:rsidR="00730E9C">
        <w:rPr>
          <w:rFonts w:asciiTheme="minorHAnsi" w:hAnsiTheme="minorHAnsi"/>
        </w:rPr>
        <w:t xml:space="preserve">The </w:t>
      </w:r>
      <w:r w:rsidR="007A4263">
        <w:rPr>
          <w:rFonts w:asciiTheme="minorHAnsi" w:hAnsiTheme="minorHAnsi"/>
        </w:rPr>
        <w:t xml:space="preserve">2021 </w:t>
      </w:r>
      <w:r w:rsidR="00730E9C">
        <w:rPr>
          <w:rFonts w:asciiTheme="minorHAnsi" w:hAnsiTheme="minorHAnsi"/>
        </w:rPr>
        <w:t>U.S</w:t>
      </w:r>
      <w:r w:rsidR="00CE5706">
        <w:rPr>
          <w:rFonts w:asciiTheme="minorHAnsi" w:hAnsiTheme="minorHAnsi"/>
        </w:rPr>
        <w:t>. Preventative Service Taskforce (USPSTF) screening recommendations for colon cancer are as follows:</w:t>
      </w:r>
    </w:p>
    <w:p w14:paraId="7611BD9C" w14:textId="07C2EF19" w:rsidR="00CE5706" w:rsidRPr="007D6CBE" w:rsidRDefault="00CE5706" w:rsidP="007D6CBE">
      <w:pPr>
        <w:pStyle w:val="BodyText"/>
        <w:numPr>
          <w:ilvl w:val="0"/>
          <w:numId w:val="40"/>
        </w:numPr>
        <w:spacing w:line="269" w:lineRule="exact"/>
        <w:rPr>
          <w:rFonts w:asciiTheme="minorHAnsi" w:hAnsiTheme="minorHAnsi"/>
        </w:rPr>
      </w:pPr>
      <w:r>
        <w:rPr>
          <w:rFonts w:asciiTheme="minorHAnsi" w:hAnsiTheme="minorHAnsi"/>
        </w:rPr>
        <w:t>Grade A</w:t>
      </w:r>
      <w:r w:rsidR="00E5721F">
        <w:rPr>
          <w:rFonts w:asciiTheme="minorHAnsi" w:hAnsiTheme="minorHAnsi"/>
        </w:rPr>
        <w:t xml:space="preserve"> (substantial net benefit)</w:t>
      </w:r>
      <w:r>
        <w:rPr>
          <w:rFonts w:asciiTheme="minorHAnsi" w:hAnsiTheme="minorHAnsi"/>
        </w:rPr>
        <w:t xml:space="preserve">: </w:t>
      </w:r>
      <w:r w:rsidR="00793807" w:rsidRPr="007D6CBE">
        <w:rPr>
          <w:rFonts w:asciiTheme="minorHAnsi" w:hAnsiTheme="minorHAnsi"/>
        </w:rPr>
        <w:t>S</w:t>
      </w:r>
      <w:r w:rsidR="00AB2392" w:rsidRPr="007D6CBE">
        <w:rPr>
          <w:rFonts w:asciiTheme="minorHAnsi" w:hAnsiTheme="minorHAnsi"/>
        </w:rPr>
        <w:t>creening is recommended for colorectal cancer in all adults aged 50 to 75 years.</w:t>
      </w:r>
    </w:p>
    <w:p w14:paraId="24816664" w14:textId="28C8BE98" w:rsidR="00AB2392" w:rsidRPr="007D6CBE" w:rsidRDefault="00AB2392" w:rsidP="007D6CBE">
      <w:pPr>
        <w:pStyle w:val="BodyText"/>
        <w:numPr>
          <w:ilvl w:val="0"/>
          <w:numId w:val="40"/>
        </w:numPr>
        <w:spacing w:line="269" w:lineRule="exact"/>
        <w:rPr>
          <w:rFonts w:asciiTheme="minorHAnsi" w:hAnsiTheme="minorHAnsi"/>
        </w:rPr>
      </w:pPr>
      <w:r>
        <w:rPr>
          <w:rFonts w:asciiTheme="minorHAnsi" w:hAnsiTheme="minorHAnsi"/>
        </w:rPr>
        <w:t>Grade B</w:t>
      </w:r>
      <w:r w:rsidR="00793807">
        <w:rPr>
          <w:rFonts w:asciiTheme="minorHAnsi" w:hAnsiTheme="minorHAnsi"/>
        </w:rPr>
        <w:t xml:space="preserve"> (moderate net benefit)</w:t>
      </w:r>
      <w:r>
        <w:rPr>
          <w:rFonts w:asciiTheme="minorHAnsi" w:hAnsiTheme="minorHAnsi"/>
        </w:rPr>
        <w:t xml:space="preserve">: </w:t>
      </w:r>
      <w:r w:rsidR="00793807" w:rsidRPr="007D6CBE">
        <w:rPr>
          <w:rFonts w:asciiTheme="minorHAnsi" w:hAnsiTheme="minorHAnsi"/>
        </w:rPr>
        <w:t>S</w:t>
      </w:r>
      <w:r w:rsidR="008C2647" w:rsidRPr="007D6CBE">
        <w:rPr>
          <w:rFonts w:asciiTheme="minorHAnsi" w:hAnsiTheme="minorHAnsi"/>
        </w:rPr>
        <w:t>creening is recommended for colorectal cancer in adults aged 45 to 49 years.</w:t>
      </w:r>
    </w:p>
    <w:p w14:paraId="2B6B4773" w14:textId="55142B40" w:rsidR="008C2647" w:rsidRPr="007D6CBE" w:rsidRDefault="008C2647" w:rsidP="007D6CBE">
      <w:pPr>
        <w:pStyle w:val="BodyText"/>
        <w:numPr>
          <w:ilvl w:val="0"/>
          <w:numId w:val="40"/>
        </w:numPr>
        <w:spacing w:line="269" w:lineRule="exact"/>
        <w:rPr>
          <w:rFonts w:asciiTheme="minorHAnsi" w:hAnsiTheme="minorHAnsi"/>
        </w:rPr>
      </w:pPr>
      <w:r>
        <w:rPr>
          <w:rFonts w:asciiTheme="minorHAnsi" w:hAnsiTheme="minorHAnsi"/>
        </w:rPr>
        <w:t>Grade C</w:t>
      </w:r>
      <w:r w:rsidR="00793807">
        <w:rPr>
          <w:rFonts w:asciiTheme="minorHAnsi" w:hAnsiTheme="minorHAnsi"/>
        </w:rPr>
        <w:t xml:space="preserve"> (small net benefit)</w:t>
      </w:r>
      <w:r>
        <w:rPr>
          <w:rFonts w:asciiTheme="minorHAnsi" w:hAnsiTheme="minorHAnsi"/>
        </w:rPr>
        <w:t xml:space="preserve">: </w:t>
      </w:r>
      <w:r w:rsidR="00793807" w:rsidRPr="007D6CBE">
        <w:rPr>
          <w:rFonts w:asciiTheme="minorHAnsi" w:hAnsiTheme="minorHAnsi"/>
        </w:rPr>
        <w:t>R</w:t>
      </w:r>
      <w:r w:rsidR="00DB23AD" w:rsidRPr="007D6CBE">
        <w:rPr>
          <w:rFonts w:asciiTheme="minorHAnsi" w:hAnsiTheme="minorHAnsi"/>
        </w:rPr>
        <w:t xml:space="preserve">ecommends selectively offering screening </w:t>
      </w:r>
      <w:r w:rsidR="00E11827" w:rsidRPr="007D6CBE">
        <w:rPr>
          <w:rFonts w:asciiTheme="minorHAnsi" w:hAnsiTheme="minorHAnsi"/>
        </w:rPr>
        <w:t>for colorectal cancer in adults aged 76 to 85 years.</w:t>
      </w:r>
      <w:r w:rsidR="007D6CBE">
        <w:rPr>
          <w:rStyle w:val="EndnoteReference"/>
          <w:rFonts w:asciiTheme="minorHAnsi" w:hAnsiTheme="minorHAnsi"/>
        </w:rPr>
        <w:endnoteReference w:id="9"/>
      </w:r>
    </w:p>
    <w:p w14:paraId="131E3F2B" w14:textId="77777777" w:rsidR="00D03433" w:rsidRDefault="00D03433" w:rsidP="00F16A3E">
      <w:pPr>
        <w:pStyle w:val="BodyText"/>
        <w:spacing w:line="269" w:lineRule="exact"/>
        <w:rPr>
          <w:rFonts w:asciiTheme="minorHAnsi" w:hAnsiTheme="minorHAnsi"/>
        </w:rPr>
      </w:pPr>
    </w:p>
    <w:p w14:paraId="497B9D6C" w14:textId="27069D61" w:rsidR="00C804A6" w:rsidRPr="00BC6183" w:rsidRDefault="00994B41" w:rsidP="00B555C1">
      <w:pPr>
        <w:pStyle w:val="BodyText"/>
        <w:spacing w:line="269" w:lineRule="exact"/>
        <w:rPr>
          <w:rFonts w:asciiTheme="minorHAnsi" w:hAnsiTheme="minorHAnsi"/>
        </w:rPr>
      </w:pPr>
      <w:r>
        <w:rPr>
          <w:rFonts w:asciiTheme="minorHAnsi" w:hAnsiTheme="minorHAnsi"/>
        </w:rPr>
        <w:t xml:space="preserve">The Applicant states </w:t>
      </w:r>
      <w:r w:rsidR="009C6DF2">
        <w:rPr>
          <w:rFonts w:asciiTheme="minorHAnsi" w:hAnsiTheme="minorHAnsi"/>
        </w:rPr>
        <w:t xml:space="preserve">that </w:t>
      </w:r>
      <w:r w:rsidR="00FD0171">
        <w:rPr>
          <w:rFonts w:asciiTheme="minorHAnsi" w:hAnsiTheme="minorHAnsi"/>
        </w:rPr>
        <w:t>need for endoscopy</w:t>
      </w:r>
      <w:r>
        <w:rPr>
          <w:rFonts w:asciiTheme="minorHAnsi" w:hAnsiTheme="minorHAnsi"/>
        </w:rPr>
        <w:t xml:space="preserve"> services</w:t>
      </w:r>
      <w:r w:rsidR="00FD0171">
        <w:rPr>
          <w:rFonts w:asciiTheme="minorHAnsi" w:hAnsiTheme="minorHAnsi"/>
        </w:rPr>
        <w:t>, and specifically colonoscopy</w:t>
      </w:r>
      <w:r>
        <w:rPr>
          <w:rFonts w:asciiTheme="minorHAnsi" w:hAnsiTheme="minorHAnsi"/>
        </w:rPr>
        <w:t xml:space="preserve"> services</w:t>
      </w:r>
      <w:r w:rsidR="00FD0171">
        <w:rPr>
          <w:rFonts w:asciiTheme="minorHAnsi" w:hAnsiTheme="minorHAnsi"/>
        </w:rPr>
        <w:t>, will continue to increase as the population ages.</w:t>
      </w:r>
      <w:r w:rsidR="00FD0171">
        <w:rPr>
          <w:rStyle w:val="EndnoteReference"/>
          <w:rFonts w:asciiTheme="minorHAnsi" w:hAnsiTheme="minorHAnsi"/>
        </w:rPr>
        <w:endnoteReference w:id="10"/>
      </w:r>
      <w:r w:rsidR="00AA4D4C">
        <w:rPr>
          <w:rFonts w:asciiTheme="minorHAnsi" w:hAnsiTheme="minorHAnsi"/>
        </w:rPr>
        <w:t xml:space="preserve"> </w:t>
      </w:r>
      <w:r w:rsidR="00681EDE">
        <w:rPr>
          <w:rFonts w:asciiTheme="minorHAnsi" w:hAnsiTheme="minorHAnsi"/>
        </w:rPr>
        <w:t>Staff notes that t</w:t>
      </w:r>
      <w:r w:rsidR="00062CEC">
        <w:rPr>
          <w:rFonts w:asciiTheme="minorHAnsi" w:hAnsiTheme="minorHAnsi"/>
        </w:rPr>
        <w:t xml:space="preserve">he </w:t>
      </w:r>
      <w:r w:rsidR="00303323">
        <w:rPr>
          <w:rFonts w:asciiTheme="minorHAnsi" w:hAnsiTheme="minorHAnsi"/>
        </w:rPr>
        <w:t xml:space="preserve">American Cancer Society’s </w:t>
      </w:r>
      <w:r w:rsidR="00062CEC">
        <w:rPr>
          <w:rFonts w:asciiTheme="minorHAnsi" w:hAnsiTheme="minorHAnsi"/>
        </w:rPr>
        <w:t>National Colorectal Cancer Roundtable</w:t>
      </w:r>
      <w:r w:rsidR="000C42AC">
        <w:rPr>
          <w:rFonts w:asciiTheme="minorHAnsi" w:hAnsiTheme="minorHAnsi"/>
        </w:rPr>
        <w:t xml:space="preserve">, </w:t>
      </w:r>
      <w:r w:rsidR="00444864">
        <w:rPr>
          <w:rFonts w:asciiTheme="minorHAnsi" w:hAnsiTheme="minorHAnsi"/>
        </w:rPr>
        <w:t>established in 1997 in partnership with the Centers for Disease Control and Prevention</w:t>
      </w:r>
      <w:r w:rsidR="00605B2D">
        <w:rPr>
          <w:rFonts w:asciiTheme="minorHAnsi" w:hAnsiTheme="minorHAnsi"/>
        </w:rPr>
        <w:t xml:space="preserve"> (CDC)</w:t>
      </w:r>
      <w:r w:rsidR="000C42AC">
        <w:rPr>
          <w:rFonts w:asciiTheme="minorHAnsi" w:hAnsiTheme="minorHAnsi"/>
        </w:rPr>
        <w:t xml:space="preserve">, set a </w:t>
      </w:r>
      <w:r w:rsidR="00062CEC" w:rsidRPr="00062CEC">
        <w:rPr>
          <w:rFonts w:asciiTheme="minorHAnsi" w:hAnsiTheme="minorHAnsi"/>
        </w:rPr>
        <w:t>target for</w:t>
      </w:r>
      <w:r w:rsidR="007D238C">
        <w:rPr>
          <w:rFonts w:asciiTheme="minorHAnsi" w:hAnsiTheme="minorHAnsi"/>
        </w:rPr>
        <w:t xml:space="preserve"> CRC</w:t>
      </w:r>
      <w:r w:rsidR="00062CEC" w:rsidRPr="00062CEC">
        <w:rPr>
          <w:rFonts w:asciiTheme="minorHAnsi" w:hAnsiTheme="minorHAnsi"/>
        </w:rPr>
        <w:t xml:space="preserve"> screening rates in the U</w:t>
      </w:r>
      <w:r w:rsidR="00605B2D">
        <w:rPr>
          <w:rFonts w:asciiTheme="minorHAnsi" w:hAnsiTheme="minorHAnsi"/>
        </w:rPr>
        <w:t>nited States</w:t>
      </w:r>
      <w:r w:rsidR="00062CEC" w:rsidRPr="00062CEC">
        <w:rPr>
          <w:rFonts w:asciiTheme="minorHAnsi" w:hAnsiTheme="minorHAnsi"/>
        </w:rPr>
        <w:t xml:space="preserve"> </w:t>
      </w:r>
      <w:r w:rsidR="000C42AC">
        <w:rPr>
          <w:rFonts w:asciiTheme="minorHAnsi" w:hAnsiTheme="minorHAnsi"/>
        </w:rPr>
        <w:t>at</w:t>
      </w:r>
      <w:r w:rsidR="00062CEC" w:rsidRPr="00062CEC">
        <w:rPr>
          <w:rFonts w:asciiTheme="minorHAnsi" w:hAnsiTheme="minorHAnsi"/>
        </w:rPr>
        <w:t> 80%</w:t>
      </w:r>
      <w:r w:rsidR="000C42AC">
        <w:rPr>
          <w:rFonts w:asciiTheme="minorHAnsi" w:hAnsiTheme="minorHAnsi"/>
        </w:rPr>
        <w:t>.</w:t>
      </w:r>
      <w:r w:rsidR="00C1419A">
        <w:rPr>
          <w:rStyle w:val="EndnoteReference"/>
          <w:rFonts w:asciiTheme="minorHAnsi" w:hAnsiTheme="minorHAnsi"/>
        </w:rPr>
        <w:endnoteReference w:id="11"/>
      </w:r>
      <w:r w:rsidR="00C1419A" w:rsidRPr="00C1419A">
        <w:rPr>
          <w:rFonts w:asciiTheme="minorHAnsi" w:hAnsiTheme="minorHAnsi"/>
          <w:vertAlign w:val="superscript"/>
        </w:rPr>
        <w:t>,</w:t>
      </w:r>
      <w:r w:rsidR="00444864">
        <w:rPr>
          <w:rStyle w:val="FootnoteReference"/>
          <w:rFonts w:asciiTheme="minorHAnsi" w:hAnsiTheme="minorHAnsi"/>
        </w:rPr>
        <w:footnoteReference w:id="16"/>
      </w:r>
      <w:r w:rsidR="000C42AC">
        <w:rPr>
          <w:rFonts w:asciiTheme="minorHAnsi" w:hAnsiTheme="minorHAnsi"/>
        </w:rPr>
        <w:t xml:space="preserve"> </w:t>
      </w:r>
      <w:r w:rsidR="002C6E72">
        <w:rPr>
          <w:rFonts w:asciiTheme="minorHAnsi" w:hAnsiTheme="minorHAnsi"/>
        </w:rPr>
        <w:t xml:space="preserve">In 2022, </w:t>
      </w:r>
      <w:r w:rsidR="008B5796">
        <w:rPr>
          <w:rFonts w:asciiTheme="minorHAnsi" w:hAnsiTheme="minorHAnsi"/>
        </w:rPr>
        <w:t>70.9% of adults ages 45 to 75 r</w:t>
      </w:r>
      <w:r w:rsidR="008B5796" w:rsidRPr="00CB1BA3">
        <w:rPr>
          <w:rFonts w:asciiTheme="minorHAnsi" w:hAnsiTheme="minorHAnsi"/>
        </w:rPr>
        <w:t xml:space="preserve">eceived at </w:t>
      </w:r>
      <w:r w:rsidR="008B5796">
        <w:rPr>
          <w:rFonts w:asciiTheme="minorHAnsi" w:hAnsiTheme="minorHAnsi"/>
        </w:rPr>
        <w:t>l</w:t>
      </w:r>
      <w:r w:rsidR="008B5796" w:rsidRPr="00CB1BA3">
        <w:rPr>
          <w:rFonts w:asciiTheme="minorHAnsi" w:hAnsiTheme="minorHAnsi"/>
        </w:rPr>
        <w:t xml:space="preserve">east </w:t>
      </w:r>
      <w:r w:rsidR="008B5796">
        <w:rPr>
          <w:rFonts w:asciiTheme="minorHAnsi" w:hAnsiTheme="minorHAnsi"/>
        </w:rPr>
        <w:t>o</w:t>
      </w:r>
      <w:r w:rsidR="008B5796" w:rsidRPr="00CB1BA3">
        <w:rPr>
          <w:rFonts w:asciiTheme="minorHAnsi" w:hAnsiTheme="minorHAnsi"/>
        </w:rPr>
        <w:t xml:space="preserve">ne </w:t>
      </w:r>
      <w:r w:rsidR="008B5796">
        <w:rPr>
          <w:rFonts w:asciiTheme="minorHAnsi" w:hAnsiTheme="minorHAnsi"/>
        </w:rPr>
        <w:t>r</w:t>
      </w:r>
      <w:r w:rsidR="008B5796" w:rsidRPr="00CB1BA3">
        <w:rPr>
          <w:rFonts w:asciiTheme="minorHAnsi" w:hAnsiTheme="minorHAnsi"/>
        </w:rPr>
        <w:t xml:space="preserve">ecommended CRC </w:t>
      </w:r>
      <w:r w:rsidR="008B5796">
        <w:rPr>
          <w:rFonts w:asciiTheme="minorHAnsi" w:hAnsiTheme="minorHAnsi"/>
        </w:rPr>
        <w:t>screening t</w:t>
      </w:r>
      <w:r w:rsidR="008B5796" w:rsidRPr="00CB1BA3">
        <w:rPr>
          <w:rFonts w:asciiTheme="minorHAnsi" w:hAnsiTheme="minorHAnsi"/>
        </w:rPr>
        <w:t>est</w:t>
      </w:r>
      <w:r w:rsidR="002C6E72">
        <w:rPr>
          <w:rFonts w:asciiTheme="minorHAnsi" w:hAnsiTheme="minorHAnsi"/>
        </w:rPr>
        <w:t xml:space="preserve"> in Massachusetts</w:t>
      </w:r>
      <w:r w:rsidR="008B5796">
        <w:rPr>
          <w:rFonts w:asciiTheme="minorHAnsi" w:hAnsiTheme="minorHAnsi"/>
        </w:rPr>
        <w:t>.</w:t>
      </w:r>
      <w:r w:rsidR="008B5796">
        <w:rPr>
          <w:rStyle w:val="EndnoteReference"/>
          <w:rFonts w:asciiTheme="minorHAnsi" w:hAnsiTheme="minorHAnsi"/>
        </w:rPr>
        <w:endnoteReference w:id="12"/>
      </w:r>
      <w:r w:rsidR="008B5796">
        <w:rPr>
          <w:rFonts w:asciiTheme="minorHAnsi" w:hAnsiTheme="minorHAnsi"/>
        </w:rPr>
        <w:t xml:space="preserve"> </w:t>
      </w:r>
      <w:r w:rsidR="00B555C1">
        <w:rPr>
          <w:rFonts w:asciiTheme="minorHAnsi" w:hAnsiTheme="minorHAnsi"/>
        </w:rPr>
        <w:t>The Applicant argues that the Proposed Project</w:t>
      </w:r>
      <w:r w:rsidR="008813DE">
        <w:rPr>
          <w:rFonts w:asciiTheme="minorHAnsi" w:hAnsiTheme="minorHAnsi"/>
        </w:rPr>
        <w:t xml:space="preserve"> </w:t>
      </w:r>
      <w:r w:rsidR="00C804A6">
        <w:rPr>
          <w:rFonts w:asciiTheme="minorHAnsi" w:hAnsiTheme="minorHAnsi"/>
        </w:rPr>
        <w:t>is anticipated to provide endoscopy services to segments of the population outside of the Center and Emerson Hospital’s historical endoscopy utilization patient population</w:t>
      </w:r>
      <w:r w:rsidR="008B5796">
        <w:rPr>
          <w:rFonts w:asciiTheme="minorHAnsi" w:hAnsiTheme="minorHAnsi"/>
        </w:rPr>
        <w:t xml:space="preserve"> </w:t>
      </w:r>
      <w:r w:rsidR="00CA34DC">
        <w:rPr>
          <w:rFonts w:asciiTheme="minorHAnsi" w:hAnsiTheme="minorHAnsi"/>
        </w:rPr>
        <w:t xml:space="preserve">and </w:t>
      </w:r>
      <w:r w:rsidR="00A34781">
        <w:rPr>
          <w:rFonts w:asciiTheme="minorHAnsi" w:hAnsiTheme="minorHAnsi"/>
        </w:rPr>
        <w:t xml:space="preserve">states </w:t>
      </w:r>
      <w:r w:rsidR="00F7033D">
        <w:rPr>
          <w:rFonts w:asciiTheme="minorHAnsi" w:hAnsiTheme="minorHAnsi"/>
        </w:rPr>
        <w:t xml:space="preserve">increased access aligns with </w:t>
      </w:r>
      <w:r w:rsidR="004101D5">
        <w:rPr>
          <w:rFonts w:asciiTheme="minorHAnsi" w:hAnsiTheme="minorHAnsi"/>
        </w:rPr>
        <w:t xml:space="preserve">efforts to </w:t>
      </w:r>
      <w:r w:rsidR="00F7033D">
        <w:rPr>
          <w:rFonts w:asciiTheme="minorHAnsi" w:hAnsiTheme="minorHAnsi"/>
        </w:rPr>
        <w:t>achieve the 80% CRC screening goal</w:t>
      </w:r>
      <w:r w:rsidR="004101D5">
        <w:rPr>
          <w:rFonts w:asciiTheme="minorHAnsi" w:hAnsiTheme="minorHAnsi"/>
        </w:rPr>
        <w:t xml:space="preserve"> in every community</w:t>
      </w:r>
      <w:r w:rsidR="00C804A6">
        <w:rPr>
          <w:rFonts w:asciiTheme="minorHAnsi" w:hAnsiTheme="minorHAnsi"/>
        </w:rPr>
        <w:t>.</w:t>
      </w:r>
      <w:r w:rsidR="004101D5">
        <w:rPr>
          <w:rFonts w:asciiTheme="minorHAnsi" w:hAnsiTheme="minorHAnsi"/>
        </w:rPr>
        <w:t xml:space="preserve"> </w:t>
      </w:r>
    </w:p>
    <w:p w14:paraId="272E6B95" w14:textId="77777777" w:rsidR="005C189C" w:rsidRDefault="005C189C" w:rsidP="00AA4D4C">
      <w:pPr>
        <w:pStyle w:val="BodyText"/>
        <w:spacing w:line="269" w:lineRule="exact"/>
        <w:rPr>
          <w:rFonts w:asciiTheme="minorHAnsi" w:hAnsiTheme="minorHAnsi"/>
        </w:rPr>
      </w:pPr>
    </w:p>
    <w:p w14:paraId="6FC07B6B" w14:textId="37D209A8" w:rsidR="00FD0171" w:rsidRPr="00A81E6C" w:rsidRDefault="00FD0171" w:rsidP="00A81E6C">
      <w:pPr>
        <w:pStyle w:val="BodyText"/>
        <w:numPr>
          <w:ilvl w:val="0"/>
          <w:numId w:val="20"/>
        </w:numPr>
        <w:spacing w:line="269" w:lineRule="exact"/>
        <w:rPr>
          <w:rFonts w:asciiTheme="minorHAnsi" w:hAnsiTheme="minorHAnsi"/>
          <w:b/>
          <w:bCs/>
        </w:rPr>
      </w:pPr>
      <w:r w:rsidRPr="00A81E6C">
        <w:rPr>
          <w:rFonts w:asciiTheme="minorHAnsi" w:hAnsiTheme="minorHAnsi"/>
          <w:b/>
          <w:bCs/>
        </w:rPr>
        <w:t xml:space="preserve">Increasing Cancer Rates in Massachusetts </w:t>
      </w:r>
    </w:p>
    <w:p w14:paraId="53791355" w14:textId="3BE095CA" w:rsidR="00893A49" w:rsidRDefault="00FD0171" w:rsidP="00A81E6C">
      <w:pPr>
        <w:pStyle w:val="BodyText"/>
        <w:spacing w:line="269" w:lineRule="exact"/>
        <w:rPr>
          <w:rFonts w:asciiTheme="minorHAnsi" w:hAnsiTheme="minorHAnsi"/>
        </w:rPr>
      </w:pPr>
      <w:r>
        <w:rPr>
          <w:rFonts w:asciiTheme="minorHAnsi" w:hAnsiTheme="minorHAnsi"/>
        </w:rPr>
        <w:t xml:space="preserve">The Applicant states that </w:t>
      </w:r>
      <w:r w:rsidR="00114475">
        <w:rPr>
          <w:rFonts w:asciiTheme="minorHAnsi" w:hAnsiTheme="minorHAnsi"/>
        </w:rPr>
        <w:t xml:space="preserve">ASCs in Massachusetts will </w:t>
      </w:r>
      <w:r w:rsidR="00F718D5">
        <w:rPr>
          <w:rFonts w:asciiTheme="minorHAnsi" w:hAnsiTheme="minorHAnsi"/>
        </w:rPr>
        <w:t>“play a pivotal role in early detection and improving health outcomes”</w:t>
      </w:r>
      <w:r>
        <w:rPr>
          <w:rFonts w:asciiTheme="minorHAnsi" w:hAnsiTheme="minorHAnsi"/>
        </w:rPr>
        <w:t xml:space="preserve"> in response to </w:t>
      </w:r>
      <w:r w:rsidR="009A201C">
        <w:rPr>
          <w:rFonts w:asciiTheme="minorHAnsi" w:hAnsiTheme="minorHAnsi"/>
        </w:rPr>
        <w:t xml:space="preserve">increasing </w:t>
      </w:r>
      <w:r w:rsidR="009267A0">
        <w:rPr>
          <w:rFonts w:asciiTheme="minorHAnsi" w:hAnsiTheme="minorHAnsi"/>
        </w:rPr>
        <w:t xml:space="preserve">cancer </w:t>
      </w:r>
      <w:r w:rsidR="00BE0F41">
        <w:rPr>
          <w:rFonts w:asciiTheme="minorHAnsi" w:hAnsiTheme="minorHAnsi"/>
        </w:rPr>
        <w:t>rates</w:t>
      </w:r>
      <w:r>
        <w:rPr>
          <w:rFonts w:asciiTheme="minorHAnsi" w:hAnsiTheme="minorHAnsi"/>
        </w:rPr>
        <w:t xml:space="preserve"> in Massachusetts. </w:t>
      </w:r>
      <w:r w:rsidR="00893A49">
        <w:rPr>
          <w:rFonts w:asciiTheme="minorHAnsi" w:hAnsiTheme="minorHAnsi"/>
        </w:rPr>
        <w:t>The Applicant cited the following reports on rising cancer rates:</w:t>
      </w:r>
    </w:p>
    <w:p w14:paraId="240BACC5" w14:textId="77777777" w:rsidR="00893A49" w:rsidRDefault="00893A49" w:rsidP="00893A49">
      <w:pPr>
        <w:pStyle w:val="BodyText"/>
        <w:numPr>
          <w:ilvl w:val="0"/>
          <w:numId w:val="34"/>
        </w:numPr>
        <w:spacing w:line="269" w:lineRule="exact"/>
        <w:rPr>
          <w:rFonts w:asciiTheme="minorHAnsi" w:hAnsiTheme="minorHAnsi"/>
        </w:rPr>
      </w:pPr>
      <w:r>
        <w:rPr>
          <w:rFonts w:asciiTheme="minorHAnsi" w:hAnsiTheme="minorHAnsi"/>
        </w:rPr>
        <w:t xml:space="preserve">The </w:t>
      </w:r>
      <w:r w:rsidR="00973FF9">
        <w:rPr>
          <w:rFonts w:asciiTheme="minorHAnsi" w:hAnsiTheme="minorHAnsi"/>
        </w:rPr>
        <w:t>Massachusetts Cancer Registry</w:t>
      </w:r>
      <w:r>
        <w:rPr>
          <w:rFonts w:asciiTheme="minorHAnsi" w:hAnsiTheme="minorHAnsi"/>
        </w:rPr>
        <w:t xml:space="preserve"> </w:t>
      </w:r>
      <w:r w:rsidR="00973FF9">
        <w:rPr>
          <w:rFonts w:asciiTheme="minorHAnsi" w:hAnsiTheme="minorHAnsi"/>
        </w:rPr>
        <w:t>states that</w:t>
      </w:r>
      <w:r w:rsidR="00FD0171">
        <w:rPr>
          <w:rFonts w:asciiTheme="minorHAnsi" w:hAnsiTheme="minorHAnsi"/>
        </w:rPr>
        <w:t xml:space="preserve">, between 2016 to 2020, </w:t>
      </w:r>
      <w:r w:rsidR="00C87732" w:rsidRPr="00C87732">
        <w:rPr>
          <w:rFonts w:asciiTheme="minorHAnsi" w:hAnsiTheme="minorHAnsi"/>
        </w:rPr>
        <w:t xml:space="preserve">there were 196,399 new cancer cases in Massachusetts, an average of 39,280 cases </w:t>
      </w:r>
      <w:r w:rsidR="00C87732">
        <w:rPr>
          <w:rFonts w:asciiTheme="minorHAnsi" w:hAnsiTheme="minorHAnsi"/>
        </w:rPr>
        <w:t>per year.</w:t>
      </w:r>
      <w:r w:rsidR="00C87732">
        <w:rPr>
          <w:rStyle w:val="EndnoteReference"/>
          <w:rFonts w:asciiTheme="minorHAnsi" w:hAnsiTheme="minorHAnsi"/>
        </w:rPr>
        <w:endnoteReference w:id="13"/>
      </w:r>
      <w:r w:rsidR="00E9574B">
        <w:rPr>
          <w:rFonts w:asciiTheme="minorHAnsi" w:hAnsiTheme="minorHAnsi"/>
        </w:rPr>
        <w:t xml:space="preserve"> </w:t>
      </w:r>
    </w:p>
    <w:p w14:paraId="2AA8983D" w14:textId="77777777" w:rsidR="00204617" w:rsidRDefault="00E9574B" w:rsidP="00893A49">
      <w:pPr>
        <w:pStyle w:val="BodyText"/>
        <w:numPr>
          <w:ilvl w:val="0"/>
          <w:numId w:val="34"/>
        </w:numPr>
        <w:spacing w:line="269" w:lineRule="exact"/>
        <w:rPr>
          <w:rFonts w:asciiTheme="minorHAnsi" w:hAnsiTheme="minorHAnsi"/>
        </w:rPr>
      </w:pPr>
      <w:r>
        <w:rPr>
          <w:rFonts w:asciiTheme="minorHAnsi" w:hAnsiTheme="minorHAnsi"/>
        </w:rPr>
        <w:t>The</w:t>
      </w:r>
      <w:r w:rsidR="00FD0171">
        <w:rPr>
          <w:rFonts w:asciiTheme="minorHAnsi" w:hAnsiTheme="minorHAnsi"/>
        </w:rPr>
        <w:t xml:space="preserve"> American Cancer Society estimated 44,0</w:t>
      </w:r>
      <w:r w:rsidR="00DE291C">
        <w:rPr>
          <w:rFonts w:asciiTheme="minorHAnsi" w:hAnsiTheme="minorHAnsi"/>
        </w:rPr>
        <w:t>0</w:t>
      </w:r>
      <w:r w:rsidR="00FD0171">
        <w:rPr>
          <w:rFonts w:asciiTheme="minorHAnsi" w:hAnsiTheme="minorHAnsi"/>
        </w:rPr>
        <w:t xml:space="preserve">0 </w:t>
      </w:r>
      <w:r w:rsidR="006B41FD">
        <w:rPr>
          <w:rFonts w:asciiTheme="minorHAnsi" w:hAnsiTheme="minorHAnsi"/>
        </w:rPr>
        <w:t xml:space="preserve">new </w:t>
      </w:r>
      <w:r w:rsidR="00FD0171">
        <w:rPr>
          <w:rFonts w:asciiTheme="minorHAnsi" w:hAnsiTheme="minorHAnsi"/>
        </w:rPr>
        <w:t xml:space="preserve">cancer cases in </w:t>
      </w:r>
      <w:r w:rsidR="006B41FD">
        <w:rPr>
          <w:rFonts w:asciiTheme="minorHAnsi" w:hAnsiTheme="minorHAnsi"/>
        </w:rPr>
        <w:t xml:space="preserve">Massachusetts in </w:t>
      </w:r>
      <w:r w:rsidR="00FD0171">
        <w:rPr>
          <w:rFonts w:asciiTheme="minorHAnsi" w:hAnsiTheme="minorHAnsi"/>
        </w:rPr>
        <w:t>202</w:t>
      </w:r>
      <w:r w:rsidR="00DE291C">
        <w:rPr>
          <w:rFonts w:asciiTheme="minorHAnsi" w:hAnsiTheme="minorHAnsi"/>
        </w:rPr>
        <w:t>5</w:t>
      </w:r>
      <w:r w:rsidR="00856487">
        <w:rPr>
          <w:rFonts w:asciiTheme="minorHAnsi" w:hAnsiTheme="minorHAnsi"/>
        </w:rPr>
        <w:t>, with 2,770 of those</w:t>
      </w:r>
      <w:r w:rsidR="00011B77">
        <w:rPr>
          <w:rFonts w:asciiTheme="minorHAnsi" w:hAnsiTheme="minorHAnsi"/>
        </w:rPr>
        <w:t xml:space="preserve"> cases being cancer of the colon and rectum</w:t>
      </w:r>
      <w:r w:rsidR="00FD0171">
        <w:rPr>
          <w:rFonts w:asciiTheme="minorHAnsi" w:hAnsiTheme="minorHAnsi"/>
        </w:rPr>
        <w:t>.</w:t>
      </w:r>
      <w:r w:rsidR="00FD0171">
        <w:rPr>
          <w:rStyle w:val="EndnoteReference"/>
          <w:rFonts w:asciiTheme="minorHAnsi" w:hAnsiTheme="minorHAnsi"/>
        </w:rPr>
        <w:endnoteReference w:id="14"/>
      </w:r>
      <w:r w:rsidR="00FD0171">
        <w:rPr>
          <w:rFonts w:asciiTheme="minorHAnsi" w:hAnsiTheme="minorHAnsi"/>
        </w:rPr>
        <w:t xml:space="preserve"> </w:t>
      </w:r>
    </w:p>
    <w:p w14:paraId="46884BC2" w14:textId="151D934C" w:rsidR="00893A49" w:rsidRDefault="002E1FE7" w:rsidP="00893A49">
      <w:pPr>
        <w:pStyle w:val="BodyText"/>
        <w:numPr>
          <w:ilvl w:val="0"/>
          <w:numId w:val="34"/>
        </w:numPr>
        <w:spacing w:line="269" w:lineRule="exact"/>
        <w:rPr>
          <w:rFonts w:asciiTheme="minorHAnsi" w:hAnsiTheme="minorHAnsi"/>
        </w:rPr>
      </w:pPr>
      <w:r>
        <w:rPr>
          <w:rFonts w:asciiTheme="minorHAnsi" w:hAnsiTheme="minorHAnsi"/>
        </w:rPr>
        <w:t>T</w:t>
      </w:r>
      <w:r w:rsidR="00FD0171">
        <w:rPr>
          <w:rFonts w:asciiTheme="minorHAnsi" w:hAnsiTheme="minorHAnsi"/>
        </w:rPr>
        <w:t xml:space="preserve">he </w:t>
      </w:r>
      <w:r w:rsidR="003A4547">
        <w:rPr>
          <w:rFonts w:asciiTheme="minorHAnsi" w:hAnsiTheme="minorHAnsi"/>
        </w:rPr>
        <w:t xml:space="preserve">American Cancer Society reported that </w:t>
      </w:r>
      <w:r w:rsidR="000B1DE2">
        <w:rPr>
          <w:rFonts w:asciiTheme="minorHAnsi" w:hAnsiTheme="minorHAnsi"/>
        </w:rPr>
        <w:t xml:space="preserve">adults </w:t>
      </w:r>
      <w:r w:rsidR="00543724">
        <w:rPr>
          <w:rFonts w:asciiTheme="minorHAnsi" w:hAnsiTheme="minorHAnsi"/>
        </w:rPr>
        <w:t>aged</w:t>
      </w:r>
      <w:r w:rsidR="00FD0171">
        <w:rPr>
          <w:rFonts w:asciiTheme="minorHAnsi" w:hAnsiTheme="minorHAnsi"/>
        </w:rPr>
        <w:t xml:space="preserve"> 50 were the only group to experience an increase in overall cancer incidence between 1995 and 2020</w:t>
      </w:r>
      <w:r>
        <w:rPr>
          <w:rFonts w:asciiTheme="minorHAnsi" w:hAnsiTheme="minorHAnsi"/>
        </w:rPr>
        <w:t xml:space="preserve">, and </w:t>
      </w:r>
      <w:r w:rsidR="00C319AE">
        <w:rPr>
          <w:rFonts w:asciiTheme="minorHAnsi" w:hAnsiTheme="minorHAnsi"/>
        </w:rPr>
        <w:t xml:space="preserve">CRC cases among adults younger than </w:t>
      </w:r>
      <w:r w:rsidR="00F95402">
        <w:rPr>
          <w:rFonts w:asciiTheme="minorHAnsi" w:hAnsiTheme="minorHAnsi"/>
        </w:rPr>
        <w:t xml:space="preserve">age </w:t>
      </w:r>
      <w:r w:rsidR="00C319AE">
        <w:rPr>
          <w:rFonts w:asciiTheme="minorHAnsi" w:hAnsiTheme="minorHAnsi"/>
        </w:rPr>
        <w:t>50 are increasing.</w:t>
      </w:r>
      <w:r w:rsidR="00FD0171">
        <w:rPr>
          <w:rStyle w:val="EndnoteReference"/>
          <w:rFonts w:asciiTheme="minorHAnsi" w:hAnsiTheme="minorHAnsi"/>
        </w:rPr>
        <w:endnoteReference w:id="15"/>
      </w:r>
      <w:r w:rsidR="00FD0171">
        <w:rPr>
          <w:rFonts w:asciiTheme="minorHAnsi" w:hAnsiTheme="minorHAnsi"/>
        </w:rPr>
        <w:t xml:space="preserve"> </w:t>
      </w:r>
    </w:p>
    <w:p w14:paraId="67D3C07D" w14:textId="0733B6F2" w:rsidR="00617D11" w:rsidRDefault="00FD0171" w:rsidP="1916EAF1">
      <w:pPr>
        <w:pStyle w:val="BodyText"/>
        <w:numPr>
          <w:ilvl w:val="0"/>
          <w:numId w:val="34"/>
        </w:numPr>
        <w:spacing w:line="269" w:lineRule="exact"/>
        <w:rPr>
          <w:rFonts w:asciiTheme="minorHAnsi" w:hAnsiTheme="minorHAnsi"/>
        </w:rPr>
      </w:pPr>
      <w:r w:rsidRPr="1916EAF1">
        <w:rPr>
          <w:rFonts w:asciiTheme="minorHAnsi" w:hAnsiTheme="minorHAnsi"/>
        </w:rPr>
        <w:t>CRC</w:t>
      </w:r>
      <w:r w:rsidR="00C319AE" w:rsidRPr="1916EAF1">
        <w:rPr>
          <w:rFonts w:asciiTheme="minorHAnsi" w:hAnsiTheme="minorHAnsi"/>
        </w:rPr>
        <w:t xml:space="preserve">, once the fourth leading cause of </w:t>
      </w:r>
      <w:r w:rsidR="003469C0">
        <w:rPr>
          <w:rFonts w:asciiTheme="minorHAnsi" w:hAnsiTheme="minorHAnsi"/>
        </w:rPr>
        <w:t xml:space="preserve">cancer </w:t>
      </w:r>
      <w:r w:rsidR="00C319AE" w:rsidRPr="1916EAF1">
        <w:rPr>
          <w:rFonts w:asciiTheme="minorHAnsi" w:hAnsiTheme="minorHAnsi"/>
        </w:rPr>
        <w:t xml:space="preserve">death among men and women in the 1990s, </w:t>
      </w:r>
      <w:r w:rsidRPr="1916EAF1">
        <w:rPr>
          <w:rFonts w:asciiTheme="minorHAnsi" w:hAnsiTheme="minorHAnsi"/>
        </w:rPr>
        <w:t xml:space="preserve">is </w:t>
      </w:r>
      <w:r w:rsidR="00C319AE" w:rsidRPr="1916EAF1">
        <w:rPr>
          <w:rFonts w:asciiTheme="minorHAnsi" w:hAnsiTheme="minorHAnsi"/>
        </w:rPr>
        <w:t xml:space="preserve">now </w:t>
      </w:r>
      <w:r w:rsidRPr="1916EAF1">
        <w:rPr>
          <w:rFonts w:asciiTheme="minorHAnsi" w:hAnsiTheme="minorHAnsi"/>
        </w:rPr>
        <w:t xml:space="preserve">the leading cause of </w:t>
      </w:r>
      <w:r w:rsidR="003469C0">
        <w:rPr>
          <w:rFonts w:asciiTheme="minorHAnsi" w:hAnsiTheme="minorHAnsi"/>
        </w:rPr>
        <w:t xml:space="preserve">cancer </w:t>
      </w:r>
      <w:r w:rsidRPr="1916EAF1">
        <w:rPr>
          <w:rFonts w:asciiTheme="minorHAnsi" w:hAnsiTheme="minorHAnsi"/>
        </w:rPr>
        <w:t xml:space="preserve">death </w:t>
      </w:r>
      <w:r w:rsidR="00A123FC" w:rsidRPr="1916EAF1">
        <w:rPr>
          <w:rFonts w:asciiTheme="minorHAnsi" w:hAnsiTheme="minorHAnsi"/>
        </w:rPr>
        <w:t>in</w:t>
      </w:r>
      <w:r w:rsidRPr="1916EAF1">
        <w:rPr>
          <w:rFonts w:asciiTheme="minorHAnsi" w:hAnsiTheme="minorHAnsi"/>
        </w:rPr>
        <w:t xml:space="preserve"> men younger than 50 and the second leading cause </w:t>
      </w:r>
      <w:r w:rsidRPr="1916EAF1">
        <w:rPr>
          <w:rFonts w:asciiTheme="minorHAnsi" w:hAnsiTheme="minorHAnsi"/>
        </w:rPr>
        <w:lastRenderedPageBreak/>
        <w:t xml:space="preserve">of </w:t>
      </w:r>
      <w:r w:rsidR="003E2D72">
        <w:rPr>
          <w:rFonts w:asciiTheme="minorHAnsi" w:hAnsiTheme="minorHAnsi"/>
        </w:rPr>
        <w:t xml:space="preserve">cancer </w:t>
      </w:r>
      <w:r w:rsidRPr="1916EAF1">
        <w:rPr>
          <w:rFonts w:asciiTheme="minorHAnsi" w:hAnsiTheme="minorHAnsi"/>
        </w:rPr>
        <w:t xml:space="preserve">death </w:t>
      </w:r>
      <w:r w:rsidR="00A123FC" w:rsidRPr="1916EAF1">
        <w:rPr>
          <w:rFonts w:asciiTheme="minorHAnsi" w:hAnsiTheme="minorHAnsi"/>
        </w:rPr>
        <w:t>in</w:t>
      </w:r>
      <w:r w:rsidRPr="1916EAF1">
        <w:rPr>
          <w:rFonts w:asciiTheme="minorHAnsi" w:hAnsiTheme="minorHAnsi"/>
        </w:rPr>
        <w:t xml:space="preserve"> women younger than 50.</w:t>
      </w:r>
      <w:r w:rsidRPr="1916EAF1">
        <w:rPr>
          <w:rStyle w:val="EndnoteReference"/>
          <w:rFonts w:asciiTheme="minorHAnsi" w:hAnsiTheme="minorHAnsi"/>
        </w:rPr>
        <w:endnoteReference w:id="16"/>
      </w:r>
    </w:p>
    <w:p w14:paraId="554B64C9" w14:textId="1F0AD0E4" w:rsidR="002D3F98" w:rsidRDefault="002D3F98" w:rsidP="00893A49">
      <w:pPr>
        <w:pStyle w:val="BodyText"/>
        <w:numPr>
          <w:ilvl w:val="0"/>
          <w:numId w:val="34"/>
        </w:numPr>
        <w:spacing w:line="269" w:lineRule="exact"/>
        <w:rPr>
          <w:rFonts w:asciiTheme="minorHAnsi" w:hAnsiTheme="minorHAnsi"/>
        </w:rPr>
      </w:pPr>
      <w:r>
        <w:rPr>
          <w:rFonts w:asciiTheme="minorHAnsi" w:hAnsiTheme="minorHAnsi"/>
        </w:rPr>
        <w:t>By 20</w:t>
      </w:r>
      <w:r w:rsidR="0051788C">
        <w:rPr>
          <w:rFonts w:asciiTheme="minorHAnsi" w:hAnsiTheme="minorHAnsi"/>
        </w:rPr>
        <w:t>3</w:t>
      </w:r>
      <w:r>
        <w:rPr>
          <w:rFonts w:asciiTheme="minorHAnsi" w:hAnsiTheme="minorHAnsi"/>
        </w:rPr>
        <w:t>0, i</w:t>
      </w:r>
      <w:r w:rsidR="00703B11">
        <w:rPr>
          <w:rFonts w:asciiTheme="minorHAnsi" w:hAnsiTheme="minorHAnsi"/>
        </w:rPr>
        <w:t xml:space="preserve">t is estimated that colon cancer with be </w:t>
      </w:r>
      <w:r w:rsidR="00E853B6">
        <w:rPr>
          <w:rFonts w:asciiTheme="minorHAnsi" w:hAnsiTheme="minorHAnsi"/>
        </w:rPr>
        <w:t xml:space="preserve">the leading cause of </w:t>
      </w:r>
      <w:r w:rsidR="00A27166">
        <w:rPr>
          <w:rFonts w:asciiTheme="minorHAnsi" w:hAnsiTheme="minorHAnsi"/>
        </w:rPr>
        <w:t xml:space="preserve">cancer-related </w:t>
      </w:r>
      <w:r w:rsidR="00E853B6">
        <w:rPr>
          <w:rFonts w:asciiTheme="minorHAnsi" w:hAnsiTheme="minorHAnsi"/>
        </w:rPr>
        <w:t>death</w:t>
      </w:r>
      <w:r w:rsidR="00A462B2">
        <w:rPr>
          <w:rFonts w:asciiTheme="minorHAnsi" w:hAnsiTheme="minorHAnsi"/>
        </w:rPr>
        <w:t>s</w:t>
      </w:r>
      <w:r w:rsidR="00CA798E">
        <w:rPr>
          <w:rFonts w:asciiTheme="minorHAnsi" w:hAnsiTheme="minorHAnsi"/>
        </w:rPr>
        <w:t xml:space="preserve"> in the 20 to 49 age group</w:t>
      </w:r>
      <w:r w:rsidR="00E853B6">
        <w:rPr>
          <w:rFonts w:asciiTheme="minorHAnsi" w:hAnsiTheme="minorHAnsi"/>
        </w:rPr>
        <w:t>.</w:t>
      </w:r>
      <w:r w:rsidR="00027161">
        <w:rPr>
          <w:rStyle w:val="EndnoteReference"/>
          <w:rFonts w:asciiTheme="minorHAnsi" w:hAnsiTheme="minorHAnsi"/>
        </w:rPr>
        <w:endnoteReference w:id="17"/>
      </w:r>
      <w:r w:rsidR="00CA798E">
        <w:rPr>
          <w:rFonts w:asciiTheme="minorHAnsi" w:hAnsiTheme="minorHAnsi"/>
        </w:rPr>
        <w:t xml:space="preserve"> </w:t>
      </w:r>
    </w:p>
    <w:p w14:paraId="0A139F7B" w14:textId="77777777" w:rsidR="00617D11" w:rsidRDefault="00617D11" w:rsidP="00A81E6C">
      <w:pPr>
        <w:pStyle w:val="BodyText"/>
        <w:spacing w:line="269" w:lineRule="exact"/>
        <w:rPr>
          <w:rFonts w:asciiTheme="minorHAnsi" w:hAnsiTheme="minorHAnsi"/>
        </w:rPr>
      </w:pPr>
    </w:p>
    <w:p w14:paraId="31DA2BDC" w14:textId="697F4742" w:rsidR="00F44509" w:rsidRDefault="00F44509" w:rsidP="00A81E6C">
      <w:pPr>
        <w:pStyle w:val="BodyText"/>
        <w:spacing w:line="269" w:lineRule="exact"/>
        <w:rPr>
          <w:rFonts w:asciiTheme="minorHAnsi" w:hAnsiTheme="minorHAnsi"/>
        </w:rPr>
      </w:pPr>
      <w:r>
        <w:rPr>
          <w:rFonts w:asciiTheme="minorHAnsi" w:hAnsiTheme="minorHAnsi"/>
        </w:rPr>
        <w:t xml:space="preserve">The Applicant states that increasing cancer incidence among adults younger than age </w:t>
      </w:r>
      <w:r w:rsidR="00B47821">
        <w:rPr>
          <w:rFonts w:asciiTheme="minorHAnsi" w:hAnsiTheme="minorHAnsi"/>
        </w:rPr>
        <w:t>50</w:t>
      </w:r>
      <w:r>
        <w:rPr>
          <w:rFonts w:asciiTheme="minorHAnsi" w:hAnsiTheme="minorHAnsi"/>
        </w:rPr>
        <w:t xml:space="preserve"> will increase need for endoscopy services, and for colonoscopy in particular. </w:t>
      </w:r>
    </w:p>
    <w:p w14:paraId="6A719574" w14:textId="77777777" w:rsidR="00971DF9" w:rsidRDefault="00971DF9" w:rsidP="00A81E6C">
      <w:pPr>
        <w:pStyle w:val="BodyText"/>
        <w:spacing w:line="269" w:lineRule="exact"/>
        <w:rPr>
          <w:rFonts w:asciiTheme="minorHAnsi" w:hAnsiTheme="minorHAnsi"/>
        </w:rPr>
      </w:pPr>
    </w:p>
    <w:p w14:paraId="0BD6DE0C" w14:textId="7DB497DB" w:rsidR="00971DF9" w:rsidRPr="00971DF9" w:rsidRDefault="002F6B55" w:rsidP="00A81E6C">
      <w:pPr>
        <w:pStyle w:val="BodyText"/>
        <w:spacing w:line="269" w:lineRule="exact"/>
        <w:rPr>
          <w:rFonts w:asciiTheme="minorHAnsi" w:hAnsiTheme="minorHAnsi"/>
          <w:b/>
          <w:bCs/>
        </w:rPr>
      </w:pPr>
      <w:r>
        <w:rPr>
          <w:rFonts w:asciiTheme="minorHAnsi" w:hAnsiTheme="minorHAnsi"/>
          <w:b/>
          <w:bCs/>
        </w:rPr>
        <w:t xml:space="preserve">Need </w:t>
      </w:r>
      <w:r w:rsidR="00971DF9" w:rsidRPr="00971DF9">
        <w:rPr>
          <w:rFonts w:asciiTheme="minorHAnsi" w:hAnsiTheme="minorHAnsi"/>
          <w:b/>
          <w:bCs/>
        </w:rPr>
        <w:t>Methodology</w:t>
      </w:r>
    </w:p>
    <w:p w14:paraId="57C0AFF4" w14:textId="7776CC19" w:rsidR="004F1ADC" w:rsidRDefault="00CB3380" w:rsidP="00A81E6C">
      <w:pPr>
        <w:pStyle w:val="BodyText"/>
        <w:spacing w:line="269" w:lineRule="exact"/>
        <w:rPr>
          <w:rFonts w:asciiTheme="minorHAnsi" w:hAnsiTheme="minorHAnsi"/>
        </w:rPr>
      </w:pPr>
      <w:r>
        <w:rPr>
          <w:rFonts w:asciiTheme="minorHAnsi" w:hAnsiTheme="minorHAnsi"/>
        </w:rPr>
        <w:t xml:space="preserve">When determining the number of procedure rooms needed to address Patient Panel need for the Center’s endoscopy services, the Applicant considered </w:t>
      </w:r>
      <w:r w:rsidR="00C1560A">
        <w:rPr>
          <w:rFonts w:asciiTheme="minorHAnsi" w:hAnsiTheme="minorHAnsi"/>
        </w:rPr>
        <w:t xml:space="preserve">the Center’s </w:t>
      </w:r>
      <w:r>
        <w:rPr>
          <w:rFonts w:asciiTheme="minorHAnsi" w:hAnsiTheme="minorHAnsi"/>
        </w:rPr>
        <w:t xml:space="preserve">operating capacity (current and projected), </w:t>
      </w:r>
      <w:r w:rsidR="00924F9B">
        <w:rPr>
          <w:rFonts w:asciiTheme="minorHAnsi" w:hAnsiTheme="minorHAnsi"/>
        </w:rPr>
        <w:t xml:space="preserve">anticipated increases in patient volume and cases, and wait times. </w:t>
      </w:r>
      <w:r w:rsidR="0007652C" w:rsidRPr="0007652C">
        <w:rPr>
          <w:rFonts w:asciiTheme="minorHAnsi" w:hAnsiTheme="minorHAnsi"/>
        </w:rPr>
        <w:t>The Applicant maintains that need for an additional procedure room is also supported by the evidence of the benefits of access to timely screening and diagnosis of CRC. Colonoscopy is considered the “gold standard” for CRC screening, with the ability to both screen for and prevent CRC</w:t>
      </w:r>
      <w:r w:rsidR="00F61B02">
        <w:rPr>
          <w:rFonts w:asciiTheme="minorHAnsi" w:hAnsiTheme="minorHAnsi"/>
        </w:rPr>
        <w:t xml:space="preserve"> through </w:t>
      </w:r>
      <w:r w:rsidR="00791DBD">
        <w:rPr>
          <w:rFonts w:asciiTheme="minorHAnsi" w:hAnsiTheme="minorHAnsi"/>
        </w:rPr>
        <w:t xml:space="preserve">identifying and </w:t>
      </w:r>
      <w:r w:rsidR="00F61B02">
        <w:rPr>
          <w:rFonts w:asciiTheme="minorHAnsi" w:hAnsiTheme="minorHAnsi"/>
        </w:rPr>
        <w:t>removing precancerous polyps</w:t>
      </w:r>
      <w:r w:rsidR="007B3FD2">
        <w:rPr>
          <w:rFonts w:asciiTheme="minorHAnsi" w:hAnsiTheme="minorHAnsi"/>
        </w:rPr>
        <w:t>.</w:t>
      </w:r>
      <w:r w:rsidR="00C61856">
        <w:rPr>
          <w:rFonts w:asciiTheme="minorHAnsi" w:hAnsiTheme="minorHAnsi"/>
        </w:rPr>
        <w:t xml:space="preserve"> </w:t>
      </w:r>
      <w:r w:rsidR="0007652C" w:rsidRPr="0007652C">
        <w:rPr>
          <w:rFonts w:asciiTheme="minorHAnsi" w:hAnsiTheme="minorHAnsi"/>
        </w:rPr>
        <w:t xml:space="preserve">The Applicant points to the effectiveness of CRC screening in reducing CRC incidence and CRC mortality, as well as the rise in CRC among younger adults. </w:t>
      </w:r>
      <w:r w:rsidR="00924F9B">
        <w:rPr>
          <w:rFonts w:asciiTheme="minorHAnsi" w:hAnsiTheme="minorHAnsi"/>
        </w:rPr>
        <w:t xml:space="preserve">The Applicant states that </w:t>
      </w:r>
      <w:r w:rsidR="005804B1">
        <w:rPr>
          <w:rFonts w:asciiTheme="minorHAnsi" w:hAnsiTheme="minorHAnsi"/>
        </w:rPr>
        <w:t>the Center already has available space to build out a third procedure</w:t>
      </w:r>
      <w:r w:rsidR="00B77612">
        <w:rPr>
          <w:rFonts w:asciiTheme="minorHAnsi" w:hAnsiTheme="minorHAnsi"/>
        </w:rPr>
        <w:t xml:space="preserve"> room, allowing the Applicant to increase access to the Center’s services in a cost-effective manner. </w:t>
      </w:r>
    </w:p>
    <w:p w14:paraId="0EBA9646" w14:textId="77777777" w:rsidR="004F1ADC" w:rsidRDefault="004F1ADC" w:rsidP="00A81E6C">
      <w:pPr>
        <w:pStyle w:val="BodyText"/>
        <w:spacing w:line="269" w:lineRule="exact"/>
        <w:rPr>
          <w:rFonts w:asciiTheme="minorHAnsi" w:hAnsiTheme="minorHAnsi"/>
        </w:rPr>
      </w:pPr>
    </w:p>
    <w:p w14:paraId="4E553A3B" w14:textId="2CCB618B" w:rsidR="00D56830" w:rsidRDefault="007B0ED4" w:rsidP="00593525">
      <w:pPr>
        <w:pStyle w:val="BodyText"/>
        <w:spacing w:line="269" w:lineRule="exact"/>
        <w:rPr>
          <w:rFonts w:asciiTheme="minorHAnsi" w:hAnsiTheme="minorHAnsi"/>
        </w:rPr>
      </w:pPr>
      <w:r w:rsidRPr="1916EAF1">
        <w:rPr>
          <w:rFonts w:asciiTheme="minorHAnsi" w:hAnsiTheme="minorHAnsi"/>
        </w:rPr>
        <w:t xml:space="preserve">The Applicant states that it is starting to see wait times at the Center increase, and that wait times will continue to increase without the addition of another procedure room. </w:t>
      </w:r>
      <w:r w:rsidR="00011D83" w:rsidRPr="1916EAF1">
        <w:rPr>
          <w:rFonts w:asciiTheme="minorHAnsi" w:hAnsiTheme="minorHAnsi"/>
        </w:rPr>
        <w:t xml:space="preserve">At the Center, </w:t>
      </w:r>
      <w:r w:rsidR="00F451FF" w:rsidRPr="1916EAF1">
        <w:rPr>
          <w:rFonts w:asciiTheme="minorHAnsi" w:hAnsiTheme="minorHAnsi"/>
        </w:rPr>
        <w:t xml:space="preserve">wait times </w:t>
      </w:r>
      <w:r w:rsidR="009D51CA" w:rsidRPr="1916EAF1">
        <w:rPr>
          <w:rFonts w:asciiTheme="minorHAnsi" w:hAnsiTheme="minorHAnsi"/>
        </w:rPr>
        <w:t xml:space="preserve">are one month for </w:t>
      </w:r>
      <w:r w:rsidR="00182A77" w:rsidRPr="1916EAF1">
        <w:rPr>
          <w:rFonts w:asciiTheme="minorHAnsi" w:hAnsiTheme="minorHAnsi"/>
        </w:rPr>
        <w:t xml:space="preserve">Emerson </w:t>
      </w:r>
      <w:r w:rsidR="00565A8A">
        <w:rPr>
          <w:rFonts w:asciiTheme="minorHAnsi" w:hAnsiTheme="minorHAnsi"/>
        </w:rPr>
        <w:t xml:space="preserve">Health </w:t>
      </w:r>
      <w:r w:rsidR="00182A77" w:rsidRPr="1916EAF1">
        <w:rPr>
          <w:rFonts w:asciiTheme="minorHAnsi" w:hAnsiTheme="minorHAnsi"/>
        </w:rPr>
        <w:t>GI patients</w:t>
      </w:r>
      <w:r w:rsidR="00E219BB" w:rsidRPr="1916EAF1">
        <w:rPr>
          <w:rFonts w:asciiTheme="minorHAnsi" w:hAnsiTheme="minorHAnsi"/>
        </w:rPr>
        <w:t xml:space="preserve">, and </w:t>
      </w:r>
      <w:r w:rsidR="00DD674E" w:rsidRPr="1916EAF1">
        <w:rPr>
          <w:rFonts w:asciiTheme="minorHAnsi" w:hAnsiTheme="minorHAnsi"/>
        </w:rPr>
        <w:t xml:space="preserve">a minimum of </w:t>
      </w:r>
      <w:r w:rsidR="00E219BB" w:rsidRPr="1916EAF1">
        <w:rPr>
          <w:rFonts w:asciiTheme="minorHAnsi" w:hAnsiTheme="minorHAnsi"/>
        </w:rPr>
        <w:t>three months for Atrius</w:t>
      </w:r>
      <w:r w:rsidR="00CF7A33" w:rsidRPr="1916EAF1">
        <w:rPr>
          <w:rFonts w:asciiTheme="minorHAnsi" w:hAnsiTheme="minorHAnsi"/>
        </w:rPr>
        <w:t xml:space="preserve"> patients</w:t>
      </w:r>
      <w:r w:rsidR="00E219BB" w:rsidRPr="1916EAF1">
        <w:rPr>
          <w:rFonts w:asciiTheme="minorHAnsi" w:hAnsiTheme="minorHAnsi"/>
        </w:rPr>
        <w:t xml:space="preserve">. </w:t>
      </w:r>
      <w:r w:rsidR="004272E2">
        <w:rPr>
          <w:rFonts w:asciiTheme="minorHAnsi" w:hAnsiTheme="minorHAnsi"/>
        </w:rPr>
        <w:t xml:space="preserve">The Applicant’s </w:t>
      </w:r>
      <w:r w:rsidR="00B30DB1">
        <w:rPr>
          <w:rFonts w:asciiTheme="minorHAnsi" w:hAnsiTheme="minorHAnsi"/>
        </w:rPr>
        <w:t xml:space="preserve">stated </w:t>
      </w:r>
      <w:r w:rsidR="004272E2">
        <w:rPr>
          <w:rFonts w:asciiTheme="minorHAnsi" w:hAnsiTheme="minorHAnsi"/>
        </w:rPr>
        <w:t>goal is to address Patient Panel need for the Center’s endoscopy services before wait</w:t>
      </w:r>
      <w:r w:rsidR="006220F0">
        <w:rPr>
          <w:rFonts w:asciiTheme="minorHAnsi" w:hAnsiTheme="minorHAnsi"/>
        </w:rPr>
        <w:t>-</w:t>
      </w:r>
      <w:r w:rsidR="004272E2">
        <w:rPr>
          <w:rFonts w:asciiTheme="minorHAnsi" w:hAnsiTheme="minorHAnsi"/>
        </w:rPr>
        <w:t>times surpass six months, and</w:t>
      </w:r>
      <w:r w:rsidR="005B5A72">
        <w:rPr>
          <w:rFonts w:asciiTheme="minorHAnsi" w:hAnsiTheme="minorHAnsi"/>
        </w:rPr>
        <w:t xml:space="preserve"> patient health outcomes</w:t>
      </w:r>
      <w:r w:rsidR="004272E2">
        <w:rPr>
          <w:rFonts w:asciiTheme="minorHAnsi" w:hAnsiTheme="minorHAnsi"/>
        </w:rPr>
        <w:t xml:space="preserve"> begin to </w:t>
      </w:r>
      <w:r w:rsidR="005B5A72">
        <w:rPr>
          <w:rFonts w:asciiTheme="minorHAnsi" w:hAnsiTheme="minorHAnsi"/>
        </w:rPr>
        <w:t xml:space="preserve">be </w:t>
      </w:r>
      <w:r w:rsidR="004272E2">
        <w:rPr>
          <w:rFonts w:asciiTheme="minorHAnsi" w:hAnsiTheme="minorHAnsi"/>
        </w:rPr>
        <w:t>negatively impac</w:t>
      </w:r>
      <w:r w:rsidR="005B5A72">
        <w:rPr>
          <w:rFonts w:asciiTheme="minorHAnsi" w:hAnsiTheme="minorHAnsi"/>
        </w:rPr>
        <w:t>ted</w:t>
      </w:r>
      <w:r w:rsidR="004272E2">
        <w:rPr>
          <w:rFonts w:asciiTheme="minorHAnsi" w:hAnsiTheme="minorHAnsi"/>
        </w:rPr>
        <w:t xml:space="preserve">. </w:t>
      </w:r>
      <w:r w:rsidR="009F2206">
        <w:rPr>
          <w:rFonts w:asciiTheme="minorHAnsi" w:hAnsiTheme="minorHAnsi"/>
        </w:rPr>
        <w:t xml:space="preserve">The Applicant states that </w:t>
      </w:r>
      <w:r w:rsidR="004272E2">
        <w:rPr>
          <w:rFonts w:asciiTheme="minorHAnsi" w:hAnsiTheme="minorHAnsi"/>
        </w:rPr>
        <w:t xml:space="preserve">the Center’s </w:t>
      </w:r>
      <w:r w:rsidR="009F2206">
        <w:rPr>
          <w:rFonts w:asciiTheme="minorHAnsi" w:hAnsiTheme="minorHAnsi"/>
        </w:rPr>
        <w:t>wait times will increase alongside the Center’s increasing case volume</w:t>
      </w:r>
      <w:r w:rsidR="004272E2">
        <w:rPr>
          <w:rFonts w:asciiTheme="minorHAnsi" w:hAnsiTheme="minorHAnsi"/>
        </w:rPr>
        <w:t xml:space="preserve"> and </w:t>
      </w:r>
      <w:r w:rsidR="00D45548">
        <w:rPr>
          <w:rFonts w:asciiTheme="minorHAnsi" w:hAnsiTheme="minorHAnsi"/>
        </w:rPr>
        <w:t>due to</w:t>
      </w:r>
      <w:r w:rsidR="004272E2">
        <w:rPr>
          <w:rFonts w:asciiTheme="minorHAnsi" w:hAnsiTheme="minorHAnsi"/>
        </w:rPr>
        <w:t xml:space="preserve"> the addition of a new Atrius GI physician</w:t>
      </w:r>
      <w:r w:rsidR="009F2206">
        <w:rPr>
          <w:rFonts w:asciiTheme="minorHAnsi" w:hAnsiTheme="minorHAnsi"/>
        </w:rPr>
        <w:t xml:space="preserve">. </w:t>
      </w:r>
      <w:r w:rsidR="00CD3CF2" w:rsidRPr="1916EAF1">
        <w:rPr>
          <w:rFonts w:asciiTheme="minorHAnsi" w:hAnsiTheme="minorHAnsi"/>
        </w:rPr>
        <w:t xml:space="preserve">The Applicant states </w:t>
      </w:r>
      <w:r w:rsidR="009F2206">
        <w:rPr>
          <w:rFonts w:asciiTheme="minorHAnsi" w:hAnsiTheme="minorHAnsi"/>
        </w:rPr>
        <w:t>further</w:t>
      </w:r>
      <w:r w:rsidR="00CD3CF2" w:rsidRPr="1916EAF1">
        <w:rPr>
          <w:rFonts w:asciiTheme="minorHAnsi" w:hAnsiTheme="minorHAnsi"/>
        </w:rPr>
        <w:t xml:space="preserve"> that Atrius has a backlog of cases, and </w:t>
      </w:r>
      <w:r w:rsidR="00F771C4" w:rsidRPr="1916EAF1">
        <w:rPr>
          <w:rFonts w:asciiTheme="minorHAnsi" w:hAnsiTheme="minorHAnsi"/>
        </w:rPr>
        <w:t>Atrius providers</w:t>
      </w:r>
      <w:r w:rsidR="00CD3CF2" w:rsidRPr="1916EAF1">
        <w:rPr>
          <w:rFonts w:asciiTheme="minorHAnsi" w:hAnsiTheme="minorHAnsi"/>
        </w:rPr>
        <w:t xml:space="preserve"> have requested additional </w:t>
      </w:r>
      <w:r w:rsidR="00973992" w:rsidRPr="1916EAF1">
        <w:rPr>
          <w:rFonts w:asciiTheme="minorHAnsi" w:hAnsiTheme="minorHAnsi"/>
        </w:rPr>
        <w:t xml:space="preserve">procedural </w:t>
      </w:r>
      <w:r w:rsidR="00CD3CF2" w:rsidRPr="1916EAF1">
        <w:rPr>
          <w:rFonts w:asciiTheme="minorHAnsi" w:hAnsiTheme="minorHAnsi"/>
        </w:rPr>
        <w:t xml:space="preserve">block time </w:t>
      </w:r>
      <w:r w:rsidR="00973992" w:rsidRPr="1916EAF1">
        <w:rPr>
          <w:rFonts w:asciiTheme="minorHAnsi" w:hAnsiTheme="minorHAnsi"/>
        </w:rPr>
        <w:t xml:space="preserve">at the Center </w:t>
      </w:r>
      <w:r w:rsidR="00CD3CF2" w:rsidRPr="1916EAF1">
        <w:rPr>
          <w:rFonts w:asciiTheme="minorHAnsi" w:hAnsiTheme="minorHAnsi"/>
        </w:rPr>
        <w:t xml:space="preserve">to address it, but </w:t>
      </w:r>
      <w:r w:rsidR="00973992" w:rsidRPr="1916EAF1">
        <w:rPr>
          <w:rFonts w:asciiTheme="minorHAnsi" w:hAnsiTheme="minorHAnsi"/>
        </w:rPr>
        <w:t xml:space="preserve">the Center does not have additional block time to </w:t>
      </w:r>
      <w:r w:rsidR="00F771C4" w:rsidRPr="1916EAF1">
        <w:rPr>
          <w:rFonts w:asciiTheme="minorHAnsi" w:hAnsiTheme="minorHAnsi"/>
        </w:rPr>
        <w:t>offer</w:t>
      </w:r>
      <w:r w:rsidR="00973992" w:rsidRPr="1916EAF1">
        <w:rPr>
          <w:rFonts w:asciiTheme="minorHAnsi" w:hAnsiTheme="minorHAnsi"/>
        </w:rPr>
        <w:t xml:space="preserve"> to Atrius providers </w:t>
      </w:r>
      <w:r w:rsidR="00944AB3" w:rsidRPr="1916EAF1">
        <w:rPr>
          <w:rFonts w:asciiTheme="minorHAnsi" w:hAnsiTheme="minorHAnsi"/>
        </w:rPr>
        <w:t>at this time due to</w:t>
      </w:r>
      <w:r w:rsidR="00AA528B" w:rsidRPr="1916EAF1">
        <w:rPr>
          <w:rFonts w:asciiTheme="minorHAnsi" w:hAnsiTheme="minorHAnsi"/>
        </w:rPr>
        <w:t xml:space="preserve"> the Center’s current </w:t>
      </w:r>
      <w:r w:rsidR="00944AB3" w:rsidRPr="1916EAF1">
        <w:rPr>
          <w:rFonts w:asciiTheme="minorHAnsi" w:hAnsiTheme="minorHAnsi"/>
        </w:rPr>
        <w:t xml:space="preserve">operating </w:t>
      </w:r>
      <w:r w:rsidR="00AA528B" w:rsidRPr="1916EAF1">
        <w:rPr>
          <w:rFonts w:asciiTheme="minorHAnsi" w:hAnsiTheme="minorHAnsi"/>
        </w:rPr>
        <w:t>capacity</w:t>
      </w:r>
      <w:r w:rsidR="00973992" w:rsidRPr="1916EAF1">
        <w:rPr>
          <w:rFonts w:asciiTheme="minorHAnsi" w:hAnsiTheme="minorHAnsi"/>
        </w:rPr>
        <w:t xml:space="preserve">. </w:t>
      </w:r>
    </w:p>
    <w:p w14:paraId="5FA18794" w14:textId="77777777" w:rsidR="00D56830" w:rsidRDefault="00D56830" w:rsidP="00593525">
      <w:pPr>
        <w:pStyle w:val="BodyText"/>
        <w:spacing w:line="269" w:lineRule="exact"/>
        <w:rPr>
          <w:rFonts w:asciiTheme="minorHAnsi" w:hAnsiTheme="minorHAnsi"/>
        </w:rPr>
      </w:pPr>
    </w:p>
    <w:p w14:paraId="4A447FF1" w14:textId="24542313" w:rsidR="00612B9A" w:rsidRDefault="00B01207" w:rsidP="00593525">
      <w:pPr>
        <w:pStyle w:val="BodyText"/>
        <w:spacing w:line="269" w:lineRule="exact"/>
        <w:rPr>
          <w:rFonts w:asciiTheme="minorHAnsi" w:hAnsiTheme="minorHAnsi"/>
        </w:rPr>
      </w:pPr>
      <w:r w:rsidRPr="1916EAF1">
        <w:rPr>
          <w:rFonts w:asciiTheme="minorHAnsi" w:hAnsiTheme="minorHAnsi"/>
        </w:rPr>
        <w:t xml:space="preserve">The Applicant </w:t>
      </w:r>
      <w:r w:rsidR="00CF7A33" w:rsidRPr="1916EAF1">
        <w:rPr>
          <w:rFonts w:asciiTheme="minorHAnsi" w:hAnsiTheme="minorHAnsi"/>
        </w:rPr>
        <w:t>expects</w:t>
      </w:r>
      <w:r w:rsidRPr="1916EAF1">
        <w:rPr>
          <w:rFonts w:asciiTheme="minorHAnsi" w:hAnsiTheme="minorHAnsi"/>
        </w:rPr>
        <w:t xml:space="preserve"> that the Center’s wait times for diagnostic procedures will remain under two months after implementation of the Proposed Project</w:t>
      </w:r>
      <w:r w:rsidR="00EF3CB4">
        <w:rPr>
          <w:rFonts w:asciiTheme="minorHAnsi" w:hAnsiTheme="minorHAnsi"/>
        </w:rPr>
        <w:t xml:space="preserve">, which </w:t>
      </w:r>
      <w:r w:rsidR="005B5A72">
        <w:rPr>
          <w:rFonts w:asciiTheme="minorHAnsi" w:hAnsiTheme="minorHAnsi"/>
        </w:rPr>
        <w:t xml:space="preserve">the Applicant states </w:t>
      </w:r>
      <w:r w:rsidR="00EF3CB4">
        <w:rPr>
          <w:rFonts w:asciiTheme="minorHAnsi" w:hAnsiTheme="minorHAnsi"/>
        </w:rPr>
        <w:t>is consistent with the only standard that current</w:t>
      </w:r>
      <w:r w:rsidR="007045E5">
        <w:rPr>
          <w:rFonts w:asciiTheme="minorHAnsi" w:hAnsiTheme="minorHAnsi"/>
        </w:rPr>
        <w:t>ly</w:t>
      </w:r>
      <w:r w:rsidR="00EF3CB4">
        <w:rPr>
          <w:rFonts w:asciiTheme="minorHAnsi" w:hAnsiTheme="minorHAnsi"/>
        </w:rPr>
        <w:t xml:space="preserve"> exists</w:t>
      </w:r>
      <w:r w:rsidRPr="1916EAF1">
        <w:rPr>
          <w:rFonts w:asciiTheme="minorHAnsi" w:hAnsiTheme="minorHAnsi"/>
        </w:rPr>
        <w:t xml:space="preserve">. </w:t>
      </w:r>
      <w:r w:rsidR="00182A77" w:rsidRPr="1916EAF1">
        <w:rPr>
          <w:rFonts w:asciiTheme="minorHAnsi" w:hAnsiTheme="minorHAnsi"/>
        </w:rPr>
        <w:t>The Applicant states</w:t>
      </w:r>
      <w:r w:rsidR="005B5A72">
        <w:rPr>
          <w:rFonts w:asciiTheme="minorHAnsi" w:hAnsiTheme="minorHAnsi"/>
        </w:rPr>
        <w:t xml:space="preserve"> further</w:t>
      </w:r>
      <w:r w:rsidR="00182A77" w:rsidRPr="1916EAF1">
        <w:rPr>
          <w:rFonts w:asciiTheme="minorHAnsi" w:hAnsiTheme="minorHAnsi"/>
        </w:rPr>
        <w:t xml:space="preserve"> that the United State</w:t>
      </w:r>
      <w:r w:rsidR="00AC48BD" w:rsidRPr="1916EAF1">
        <w:rPr>
          <w:rFonts w:asciiTheme="minorHAnsi" w:hAnsiTheme="minorHAnsi"/>
        </w:rPr>
        <w:t>s has</w:t>
      </w:r>
      <w:r w:rsidR="00301278" w:rsidRPr="1916EAF1">
        <w:rPr>
          <w:rFonts w:asciiTheme="minorHAnsi" w:hAnsiTheme="minorHAnsi"/>
        </w:rPr>
        <w:t xml:space="preserve"> not</w:t>
      </w:r>
      <w:r w:rsidR="00AC48BD" w:rsidRPr="1916EAF1">
        <w:rPr>
          <w:rFonts w:asciiTheme="minorHAnsi" w:hAnsiTheme="minorHAnsi"/>
        </w:rPr>
        <w:t xml:space="preserve"> developed a wait time measure, and points to the Canadian Association of Gastroenterology</w:t>
      </w:r>
      <w:r w:rsidR="007D0CC0" w:rsidRPr="1916EAF1">
        <w:rPr>
          <w:rFonts w:asciiTheme="minorHAnsi" w:hAnsiTheme="minorHAnsi"/>
        </w:rPr>
        <w:t>’s guidelines which recommend a maximal wait time of two months for diagnostic colonoscopy and six months for screening colonoscopy.</w:t>
      </w:r>
      <w:r w:rsidR="00D76ED2" w:rsidRPr="1916EAF1">
        <w:rPr>
          <w:rStyle w:val="EndnoteReference"/>
          <w:rFonts w:asciiTheme="minorHAnsi" w:hAnsiTheme="minorHAnsi"/>
        </w:rPr>
        <w:endnoteReference w:id="18"/>
      </w:r>
      <w:r w:rsidR="007D0CC0" w:rsidRPr="1916EAF1">
        <w:rPr>
          <w:rFonts w:asciiTheme="minorHAnsi" w:hAnsiTheme="minorHAnsi"/>
        </w:rPr>
        <w:t xml:space="preserve"> </w:t>
      </w:r>
      <w:r w:rsidR="001F6D06">
        <w:rPr>
          <w:rFonts w:asciiTheme="minorHAnsi" w:hAnsiTheme="minorHAnsi"/>
        </w:rPr>
        <w:t>Other studies have remarked on the lack of consensus on colonoscopy guidelines</w:t>
      </w:r>
      <w:r w:rsidR="004C67EF">
        <w:rPr>
          <w:rFonts w:asciiTheme="minorHAnsi" w:hAnsiTheme="minorHAnsi"/>
        </w:rPr>
        <w:t xml:space="preserve"> in the United States</w:t>
      </w:r>
      <w:r w:rsidR="001F6D06">
        <w:rPr>
          <w:rFonts w:asciiTheme="minorHAnsi" w:hAnsiTheme="minorHAnsi"/>
        </w:rPr>
        <w:t xml:space="preserve">. </w:t>
      </w:r>
      <w:r w:rsidR="00870D08">
        <w:rPr>
          <w:rFonts w:asciiTheme="minorHAnsi" w:hAnsiTheme="minorHAnsi"/>
        </w:rPr>
        <w:t xml:space="preserve">A </w:t>
      </w:r>
      <w:r w:rsidR="00C25E4D">
        <w:rPr>
          <w:rFonts w:asciiTheme="minorHAnsi" w:hAnsiTheme="minorHAnsi"/>
        </w:rPr>
        <w:t xml:space="preserve">2024 </w:t>
      </w:r>
      <w:r w:rsidR="00870D08">
        <w:rPr>
          <w:rFonts w:asciiTheme="minorHAnsi" w:hAnsiTheme="minorHAnsi"/>
        </w:rPr>
        <w:t>study on</w:t>
      </w:r>
      <w:r w:rsidR="00BA54EA">
        <w:rPr>
          <w:rFonts w:asciiTheme="minorHAnsi" w:hAnsiTheme="minorHAnsi"/>
        </w:rPr>
        <w:t xml:space="preserve"> colonoscopy and underinsured patients stated “</w:t>
      </w:r>
      <w:r w:rsidR="00593525" w:rsidRPr="00593525">
        <w:rPr>
          <w:rFonts w:asciiTheme="minorHAnsi" w:hAnsiTheme="minorHAnsi"/>
        </w:rPr>
        <w:t>Given the lack of guidelines</w:t>
      </w:r>
      <w:r w:rsidR="00593525">
        <w:rPr>
          <w:rFonts w:asciiTheme="minorHAnsi" w:hAnsiTheme="minorHAnsi"/>
        </w:rPr>
        <w:t xml:space="preserve"> </w:t>
      </w:r>
      <w:r w:rsidR="00593525" w:rsidRPr="00593525">
        <w:rPr>
          <w:rFonts w:asciiTheme="minorHAnsi" w:hAnsiTheme="minorHAnsi"/>
        </w:rPr>
        <w:t>on acceptable colonoscopy wait times in the United States, we</w:t>
      </w:r>
      <w:r w:rsidR="00593525">
        <w:rPr>
          <w:rFonts w:asciiTheme="minorHAnsi" w:hAnsiTheme="minorHAnsi"/>
        </w:rPr>
        <w:t xml:space="preserve"> </w:t>
      </w:r>
      <w:r w:rsidR="00593525" w:rsidRPr="00593525">
        <w:rPr>
          <w:rFonts w:asciiTheme="minorHAnsi" w:hAnsiTheme="minorHAnsi"/>
        </w:rPr>
        <w:t>referred to the Canadian Association of Gastroenterology expert</w:t>
      </w:r>
      <w:r w:rsidR="00593525">
        <w:rPr>
          <w:rFonts w:asciiTheme="minorHAnsi" w:hAnsiTheme="minorHAnsi"/>
        </w:rPr>
        <w:t xml:space="preserve"> </w:t>
      </w:r>
      <w:r w:rsidR="00593525" w:rsidRPr="00593525">
        <w:rPr>
          <w:rFonts w:asciiTheme="minorHAnsi" w:hAnsiTheme="minorHAnsi"/>
        </w:rPr>
        <w:t>consensus statement on suggested wait times for colonoscopy</w:t>
      </w:r>
      <w:r w:rsidR="00593525">
        <w:rPr>
          <w:rFonts w:asciiTheme="minorHAnsi" w:hAnsiTheme="minorHAnsi"/>
        </w:rPr>
        <w:t xml:space="preserve"> </w:t>
      </w:r>
      <w:r w:rsidR="00593525" w:rsidRPr="00593525">
        <w:rPr>
          <w:rFonts w:asciiTheme="minorHAnsi" w:hAnsiTheme="minorHAnsi"/>
        </w:rPr>
        <w:t>based on the acuity categor</w:t>
      </w:r>
      <w:r w:rsidR="00662C83">
        <w:rPr>
          <w:rFonts w:asciiTheme="minorHAnsi" w:hAnsiTheme="minorHAnsi"/>
        </w:rPr>
        <w:t>y.”</w:t>
      </w:r>
      <w:r w:rsidR="00662C83">
        <w:rPr>
          <w:rStyle w:val="EndnoteReference"/>
          <w:rFonts w:asciiTheme="minorHAnsi" w:hAnsiTheme="minorHAnsi"/>
        </w:rPr>
        <w:endnoteReference w:id="19"/>
      </w:r>
      <w:r w:rsidR="00F6085F">
        <w:rPr>
          <w:rFonts w:asciiTheme="minorHAnsi" w:hAnsiTheme="minorHAnsi"/>
        </w:rPr>
        <w:t xml:space="preserve"> </w:t>
      </w:r>
      <w:r w:rsidR="00172667">
        <w:rPr>
          <w:rFonts w:asciiTheme="minorHAnsi" w:hAnsiTheme="minorHAnsi"/>
        </w:rPr>
        <w:t xml:space="preserve">Another </w:t>
      </w:r>
      <w:r w:rsidR="00976D26">
        <w:rPr>
          <w:rFonts w:asciiTheme="minorHAnsi" w:hAnsiTheme="minorHAnsi"/>
        </w:rPr>
        <w:t xml:space="preserve">2017 </w:t>
      </w:r>
      <w:r w:rsidR="00172667">
        <w:rPr>
          <w:rFonts w:asciiTheme="minorHAnsi" w:hAnsiTheme="minorHAnsi"/>
        </w:rPr>
        <w:t xml:space="preserve">study looking at </w:t>
      </w:r>
      <w:r w:rsidR="00D23FE2">
        <w:rPr>
          <w:rFonts w:asciiTheme="minorHAnsi" w:hAnsiTheme="minorHAnsi"/>
        </w:rPr>
        <w:t>time to colonoscopy following a positive fecal</w:t>
      </w:r>
      <w:r w:rsidR="007E78E7">
        <w:rPr>
          <w:rFonts w:asciiTheme="minorHAnsi" w:hAnsiTheme="minorHAnsi"/>
        </w:rPr>
        <w:t xml:space="preserve"> occult blood</w:t>
      </w:r>
      <w:r w:rsidR="00D23FE2">
        <w:rPr>
          <w:rFonts w:asciiTheme="minorHAnsi" w:hAnsiTheme="minorHAnsi"/>
        </w:rPr>
        <w:t xml:space="preserve"> test stated “</w:t>
      </w:r>
      <w:r w:rsidR="00D23FE2" w:rsidRPr="00D23FE2">
        <w:rPr>
          <w:rFonts w:asciiTheme="minorHAnsi" w:hAnsiTheme="minorHAnsi"/>
        </w:rPr>
        <w:t>Guidelines for colonoscopy follow-up vary and lack supporting data</w:t>
      </w:r>
      <w:r w:rsidR="00D05A08">
        <w:rPr>
          <w:rFonts w:asciiTheme="minorHAnsi" w:hAnsiTheme="minorHAnsi"/>
        </w:rPr>
        <w:t>”</w:t>
      </w:r>
      <w:r w:rsidR="00FE147A">
        <w:rPr>
          <w:rFonts w:asciiTheme="minorHAnsi" w:hAnsiTheme="minorHAnsi"/>
        </w:rPr>
        <w:t xml:space="preserve">, citing differences and challenges with the </w:t>
      </w:r>
      <w:r w:rsidR="00B17207">
        <w:rPr>
          <w:rFonts w:asciiTheme="minorHAnsi" w:hAnsiTheme="minorHAnsi"/>
        </w:rPr>
        <w:t xml:space="preserve">2006 </w:t>
      </w:r>
      <w:r w:rsidR="00D644F5">
        <w:rPr>
          <w:rFonts w:asciiTheme="minorHAnsi" w:hAnsiTheme="minorHAnsi"/>
        </w:rPr>
        <w:t xml:space="preserve">Canadian consensus group </w:t>
      </w:r>
      <w:r w:rsidR="004449AF">
        <w:rPr>
          <w:rFonts w:asciiTheme="minorHAnsi" w:hAnsiTheme="minorHAnsi"/>
        </w:rPr>
        <w:t>recommendation</w:t>
      </w:r>
      <w:r w:rsidR="005518B6">
        <w:rPr>
          <w:rFonts w:asciiTheme="minorHAnsi" w:hAnsiTheme="minorHAnsi"/>
        </w:rPr>
        <w:t xml:space="preserve"> of </w:t>
      </w:r>
      <w:r w:rsidR="00A34936">
        <w:rPr>
          <w:rFonts w:asciiTheme="minorHAnsi" w:hAnsiTheme="minorHAnsi"/>
        </w:rPr>
        <w:t xml:space="preserve">diagnostic </w:t>
      </w:r>
      <w:r w:rsidR="004449AF">
        <w:rPr>
          <w:rFonts w:asciiTheme="minorHAnsi" w:hAnsiTheme="minorHAnsi"/>
        </w:rPr>
        <w:t xml:space="preserve">colonoscopy within </w:t>
      </w:r>
      <w:r w:rsidR="005518B6">
        <w:rPr>
          <w:rFonts w:asciiTheme="minorHAnsi" w:hAnsiTheme="minorHAnsi"/>
        </w:rPr>
        <w:t xml:space="preserve">two months </w:t>
      </w:r>
      <w:r w:rsidR="0057602C">
        <w:rPr>
          <w:rFonts w:asciiTheme="minorHAnsi" w:hAnsiTheme="minorHAnsi"/>
        </w:rPr>
        <w:t xml:space="preserve">of a </w:t>
      </w:r>
      <w:r w:rsidR="00B32B1F">
        <w:rPr>
          <w:rFonts w:asciiTheme="minorHAnsi" w:hAnsiTheme="minorHAnsi"/>
        </w:rPr>
        <w:t xml:space="preserve">an abnormal, or </w:t>
      </w:r>
      <w:r w:rsidR="0057602C">
        <w:rPr>
          <w:rFonts w:asciiTheme="minorHAnsi" w:hAnsiTheme="minorHAnsi"/>
        </w:rPr>
        <w:t xml:space="preserve">positive </w:t>
      </w:r>
      <w:hyperlink r:id="rId18" w:tgtFrame="_blank" w:history="1">
        <w:r w:rsidR="005F3E36" w:rsidRPr="00C71B1F">
          <w:rPr>
            <w:rStyle w:val="Hyperlink"/>
            <w:rFonts w:asciiTheme="minorHAnsi" w:hAnsiTheme="minorHAnsi"/>
            <w:color w:val="000000" w:themeColor="text1"/>
            <w:u w:val="none"/>
          </w:rPr>
          <w:t>fecal immunochemical test</w:t>
        </w:r>
      </w:hyperlink>
      <w:r w:rsidR="005F3E36" w:rsidRPr="005F3E36">
        <w:rPr>
          <w:rFonts w:asciiTheme="minorHAnsi" w:hAnsiTheme="minorHAnsi"/>
        </w:rPr>
        <w:t> (FIT)</w:t>
      </w:r>
      <w:r w:rsidR="0057602C">
        <w:rPr>
          <w:rFonts w:asciiTheme="minorHAnsi" w:hAnsiTheme="minorHAnsi"/>
        </w:rPr>
        <w:t xml:space="preserve"> result</w:t>
      </w:r>
      <w:r w:rsidR="00D644F5">
        <w:rPr>
          <w:rFonts w:asciiTheme="minorHAnsi" w:hAnsiTheme="minorHAnsi"/>
        </w:rPr>
        <w:t xml:space="preserve">, the </w:t>
      </w:r>
      <w:r w:rsidR="00B17207">
        <w:rPr>
          <w:rFonts w:asciiTheme="minorHAnsi" w:hAnsiTheme="minorHAnsi"/>
        </w:rPr>
        <w:t xml:space="preserve">2007 </w:t>
      </w:r>
      <w:r w:rsidR="00D644F5">
        <w:rPr>
          <w:rFonts w:asciiTheme="minorHAnsi" w:hAnsiTheme="minorHAnsi"/>
        </w:rPr>
        <w:t>Veteran’s Health Administration directive</w:t>
      </w:r>
      <w:r w:rsidR="00C404F7">
        <w:rPr>
          <w:rFonts w:asciiTheme="minorHAnsi" w:hAnsiTheme="minorHAnsi"/>
        </w:rPr>
        <w:t xml:space="preserve"> </w:t>
      </w:r>
      <w:r w:rsidR="005E71AA">
        <w:rPr>
          <w:rFonts w:asciiTheme="minorHAnsi" w:hAnsiTheme="minorHAnsi"/>
        </w:rPr>
        <w:t xml:space="preserve">that a </w:t>
      </w:r>
      <w:r w:rsidR="003F61C3">
        <w:rPr>
          <w:rFonts w:asciiTheme="minorHAnsi" w:hAnsiTheme="minorHAnsi"/>
        </w:rPr>
        <w:t xml:space="preserve">diagnostic </w:t>
      </w:r>
      <w:r w:rsidR="005E71AA">
        <w:rPr>
          <w:rFonts w:asciiTheme="minorHAnsi" w:hAnsiTheme="minorHAnsi"/>
        </w:rPr>
        <w:t xml:space="preserve">colonoscopy be performed within </w:t>
      </w:r>
      <w:r w:rsidR="00C404F7">
        <w:rPr>
          <w:rFonts w:asciiTheme="minorHAnsi" w:hAnsiTheme="minorHAnsi"/>
        </w:rPr>
        <w:t>60 days</w:t>
      </w:r>
      <w:r w:rsidR="00D644F5">
        <w:rPr>
          <w:rFonts w:asciiTheme="minorHAnsi" w:hAnsiTheme="minorHAnsi"/>
        </w:rPr>
        <w:t xml:space="preserve">, and the </w:t>
      </w:r>
      <w:r w:rsidR="0091735F">
        <w:rPr>
          <w:rFonts w:asciiTheme="minorHAnsi" w:hAnsiTheme="minorHAnsi"/>
        </w:rPr>
        <w:t xml:space="preserve">2012 </w:t>
      </w:r>
      <w:r w:rsidR="00B17207">
        <w:rPr>
          <w:rFonts w:asciiTheme="minorHAnsi" w:hAnsiTheme="minorHAnsi"/>
        </w:rPr>
        <w:t>European guidelines</w:t>
      </w:r>
      <w:r w:rsidR="00795465">
        <w:rPr>
          <w:rFonts w:asciiTheme="minorHAnsi" w:hAnsiTheme="minorHAnsi"/>
        </w:rPr>
        <w:t xml:space="preserve"> recommending</w:t>
      </w:r>
      <w:r w:rsidR="000B7B27">
        <w:rPr>
          <w:rFonts w:asciiTheme="minorHAnsi" w:hAnsiTheme="minorHAnsi"/>
        </w:rPr>
        <w:t xml:space="preserve"> </w:t>
      </w:r>
      <w:r w:rsidR="00A71417">
        <w:rPr>
          <w:rFonts w:asciiTheme="minorHAnsi" w:hAnsiTheme="minorHAnsi"/>
        </w:rPr>
        <w:t>diagnostic</w:t>
      </w:r>
      <w:r w:rsidR="00380B05">
        <w:rPr>
          <w:rFonts w:asciiTheme="minorHAnsi" w:hAnsiTheme="minorHAnsi"/>
        </w:rPr>
        <w:t xml:space="preserve"> </w:t>
      </w:r>
      <w:r w:rsidR="000B7B27">
        <w:rPr>
          <w:rFonts w:asciiTheme="minorHAnsi" w:hAnsiTheme="minorHAnsi"/>
        </w:rPr>
        <w:t xml:space="preserve">colonoscopy </w:t>
      </w:r>
      <w:r w:rsidR="00C97C9C">
        <w:rPr>
          <w:rFonts w:asciiTheme="minorHAnsi" w:hAnsiTheme="minorHAnsi"/>
        </w:rPr>
        <w:t xml:space="preserve">after positive screening </w:t>
      </w:r>
      <w:r w:rsidR="000B7B27">
        <w:rPr>
          <w:rFonts w:asciiTheme="minorHAnsi" w:hAnsiTheme="minorHAnsi"/>
        </w:rPr>
        <w:t>with</w:t>
      </w:r>
      <w:r w:rsidR="006A16CD">
        <w:rPr>
          <w:rFonts w:asciiTheme="minorHAnsi" w:hAnsiTheme="minorHAnsi"/>
        </w:rPr>
        <w:t>in</w:t>
      </w:r>
      <w:r w:rsidR="000B7B27">
        <w:rPr>
          <w:rFonts w:asciiTheme="minorHAnsi" w:hAnsiTheme="minorHAnsi"/>
        </w:rPr>
        <w:t xml:space="preserve"> 31 days.</w:t>
      </w:r>
      <w:r w:rsidR="00D05A08">
        <w:rPr>
          <w:rStyle w:val="EndnoteReference"/>
          <w:rFonts w:asciiTheme="minorHAnsi" w:hAnsiTheme="minorHAnsi"/>
        </w:rPr>
        <w:endnoteReference w:id="20"/>
      </w:r>
    </w:p>
    <w:p w14:paraId="0BEE56B7" w14:textId="2FAF4288" w:rsidR="004C4DF4" w:rsidRDefault="007A773E" w:rsidP="00A81E6C">
      <w:pPr>
        <w:pStyle w:val="BodyText"/>
        <w:spacing w:line="269" w:lineRule="exact"/>
        <w:rPr>
          <w:rFonts w:asciiTheme="minorHAnsi" w:hAnsiTheme="minorHAnsi"/>
        </w:rPr>
      </w:pPr>
      <w:r w:rsidRPr="00FC34BB">
        <w:rPr>
          <w:rFonts w:asciiTheme="minorHAnsi" w:hAnsiTheme="minorHAnsi"/>
        </w:rPr>
        <w:t>The Applicant states that adding additional capacity to the Center at this time will prevent a backlog of patients from developing, which w</w:t>
      </w:r>
      <w:r w:rsidR="00303D73">
        <w:rPr>
          <w:rFonts w:asciiTheme="minorHAnsi" w:hAnsiTheme="minorHAnsi"/>
        </w:rPr>
        <w:t>oul</w:t>
      </w:r>
      <w:r w:rsidR="007A172E">
        <w:rPr>
          <w:rFonts w:asciiTheme="minorHAnsi" w:hAnsiTheme="minorHAnsi"/>
        </w:rPr>
        <w:t>d</w:t>
      </w:r>
      <w:r w:rsidRPr="00FC34BB">
        <w:rPr>
          <w:rFonts w:asciiTheme="minorHAnsi" w:hAnsiTheme="minorHAnsi"/>
        </w:rPr>
        <w:t xml:space="preserve"> delay access to endoscopy services for the Applicant’s </w:t>
      </w:r>
      <w:r w:rsidRPr="00FC34BB">
        <w:rPr>
          <w:rFonts w:asciiTheme="minorHAnsi" w:hAnsiTheme="minorHAnsi"/>
        </w:rPr>
        <w:lastRenderedPageBreak/>
        <w:t>Patient Panel. The Applicant maintains that it “is taking a proactive approach to address this known public health need for timely access in the community to colorectal screening and treatment.”</w:t>
      </w:r>
      <w:r w:rsidR="006C0E61">
        <w:rPr>
          <w:rFonts w:asciiTheme="minorHAnsi" w:hAnsiTheme="minorHAnsi"/>
        </w:rPr>
        <w:t xml:space="preserve"> </w:t>
      </w:r>
      <w:r w:rsidR="00612B9A" w:rsidRPr="00612B9A">
        <w:rPr>
          <w:rFonts w:asciiTheme="minorHAnsi" w:hAnsiTheme="minorHAnsi"/>
        </w:rPr>
        <w:t xml:space="preserve">As described above, the Applicant projects higher case volume in the coming years, due in part from </w:t>
      </w:r>
      <w:r w:rsidR="00C25E4D">
        <w:rPr>
          <w:rFonts w:asciiTheme="minorHAnsi" w:hAnsiTheme="minorHAnsi"/>
        </w:rPr>
        <w:t xml:space="preserve"> </w:t>
      </w:r>
      <w:r w:rsidR="00612B9A" w:rsidRPr="00612B9A">
        <w:rPr>
          <w:rFonts w:asciiTheme="minorHAnsi" w:hAnsiTheme="minorHAnsi"/>
        </w:rPr>
        <w:t>the closure of NVMC, and states that the addition of a procedure room will allow the Center to accommodate 9,000 patients annually, which will in turn allow the Applicant to maintain</w:t>
      </w:r>
      <w:r w:rsidR="00EC3E10">
        <w:rPr>
          <w:rFonts w:asciiTheme="minorHAnsi" w:hAnsiTheme="minorHAnsi"/>
        </w:rPr>
        <w:t xml:space="preserve"> and reduce</w:t>
      </w:r>
      <w:r w:rsidR="00612B9A" w:rsidRPr="00612B9A">
        <w:rPr>
          <w:rFonts w:asciiTheme="minorHAnsi" w:hAnsiTheme="minorHAnsi"/>
        </w:rPr>
        <w:t xml:space="preserve"> current wait times for all patients. </w:t>
      </w:r>
    </w:p>
    <w:p w14:paraId="684BB54D" w14:textId="77777777" w:rsidR="00DE058A" w:rsidRDefault="00DE058A" w:rsidP="00A81E6C">
      <w:pPr>
        <w:pStyle w:val="BodyText"/>
        <w:spacing w:line="269" w:lineRule="exact"/>
        <w:rPr>
          <w:rFonts w:asciiTheme="minorHAnsi" w:hAnsiTheme="minorHAnsi"/>
        </w:rPr>
      </w:pPr>
    </w:p>
    <w:p w14:paraId="25A5066C" w14:textId="5C5F46E9" w:rsidR="00DE058A" w:rsidRDefault="00C65707" w:rsidP="00850E56">
      <w:pPr>
        <w:pStyle w:val="BodyText"/>
        <w:rPr>
          <w:rFonts w:asciiTheme="minorHAnsi" w:hAnsiTheme="minorHAnsi"/>
        </w:rPr>
      </w:pPr>
      <w:r>
        <w:rPr>
          <w:rFonts w:asciiTheme="minorHAnsi" w:hAnsiTheme="minorHAnsi"/>
        </w:rPr>
        <w:t xml:space="preserve">Studies have also </w:t>
      </w:r>
      <w:r w:rsidR="000B0A71">
        <w:rPr>
          <w:rFonts w:asciiTheme="minorHAnsi" w:hAnsiTheme="minorHAnsi"/>
        </w:rPr>
        <w:t>mentioned factors similar to those cited by the Applicant, as</w:t>
      </w:r>
      <w:r w:rsidR="00A4485F">
        <w:rPr>
          <w:rFonts w:asciiTheme="minorHAnsi" w:hAnsiTheme="minorHAnsi"/>
        </w:rPr>
        <w:t xml:space="preserve"> contributing</w:t>
      </w:r>
      <w:r w:rsidR="000B0A71">
        <w:rPr>
          <w:rFonts w:asciiTheme="minorHAnsi" w:hAnsiTheme="minorHAnsi"/>
        </w:rPr>
        <w:t xml:space="preserve"> to a growing</w:t>
      </w:r>
      <w:r>
        <w:rPr>
          <w:rFonts w:asciiTheme="minorHAnsi" w:hAnsiTheme="minorHAnsi"/>
        </w:rPr>
        <w:t xml:space="preserve"> need for endoscopy services. </w:t>
      </w:r>
      <w:r w:rsidR="00816609" w:rsidRPr="00816609">
        <w:rPr>
          <w:rFonts w:asciiTheme="minorHAnsi" w:hAnsiTheme="minorHAnsi"/>
        </w:rPr>
        <w:t>A 2022 study comparing adverse outcomes after outpatient GI endoscopy procedures (EDG and colonoscopy) performed in ASCs and HOPDs, stated that “Outpatient GI endoscopies are increasingly being performed in ambulatory surgery centers (ASCs)” and that “Technologic advancements, provider preference, and consumer demand” have all contributed to the increased volumes in ASCs.”</w:t>
      </w:r>
      <w:r w:rsidR="00816609" w:rsidRPr="00816609">
        <w:rPr>
          <w:rFonts w:asciiTheme="minorHAnsi" w:hAnsiTheme="minorHAnsi"/>
          <w:vertAlign w:val="superscript"/>
        </w:rPr>
        <w:endnoteReference w:id="21"/>
      </w:r>
      <w:r w:rsidR="00816609">
        <w:rPr>
          <w:rFonts w:asciiTheme="minorHAnsi" w:hAnsiTheme="minorHAnsi"/>
        </w:rPr>
        <w:t xml:space="preserve"> </w:t>
      </w:r>
      <w:r w:rsidR="00DE058A" w:rsidRPr="00DE058A">
        <w:rPr>
          <w:rFonts w:asciiTheme="minorHAnsi" w:hAnsiTheme="minorHAnsi"/>
        </w:rPr>
        <w:t>A 2024 review on establishing a</w:t>
      </w:r>
      <w:r w:rsidR="00851410">
        <w:rPr>
          <w:rFonts w:asciiTheme="minorHAnsi" w:hAnsiTheme="minorHAnsi"/>
        </w:rPr>
        <w:t xml:space="preserve"> freestanding </w:t>
      </w:r>
      <w:r w:rsidR="00DE058A" w:rsidRPr="00DE058A">
        <w:rPr>
          <w:rFonts w:asciiTheme="minorHAnsi" w:hAnsiTheme="minorHAnsi"/>
        </w:rPr>
        <w:t xml:space="preserve">GI endoscopy </w:t>
      </w:r>
      <w:r w:rsidR="00EA00C5">
        <w:rPr>
          <w:rFonts w:asciiTheme="minorHAnsi" w:hAnsiTheme="minorHAnsi"/>
        </w:rPr>
        <w:t>surgical center</w:t>
      </w:r>
      <w:r w:rsidR="00DE058A" w:rsidRPr="00DE058A">
        <w:rPr>
          <w:rFonts w:asciiTheme="minorHAnsi" w:hAnsiTheme="minorHAnsi"/>
        </w:rPr>
        <w:t xml:space="preserve"> in the United States, examined need and site selection for endoscopy focused ASCs, and cited an aging population, current CRC screening guidelines</w:t>
      </w:r>
      <w:r w:rsidR="00E44D7E">
        <w:rPr>
          <w:rFonts w:asciiTheme="minorHAnsi" w:hAnsiTheme="minorHAnsi"/>
        </w:rPr>
        <w:t xml:space="preserve"> requiring screening begin at age 45</w:t>
      </w:r>
      <w:r w:rsidR="00DE058A" w:rsidRPr="00DE058A">
        <w:rPr>
          <w:rFonts w:asciiTheme="minorHAnsi" w:hAnsiTheme="minorHAnsi"/>
        </w:rPr>
        <w:t>, and an increase in the prevalence of gastrointestinal disorders, including in younger patients, as creating need for endoscopic procedures</w:t>
      </w:r>
      <w:r w:rsidR="00E01FC8">
        <w:rPr>
          <w:rFonts w:asciiTheme="minorHAnsi" w:hAnsiTheme="minorHAnsi"/>
        </w:rPr>
        <w:t xml:space="preserve"> and in turn, endoscopy centers</w:t>
      </w:r>
      <w:r w:rsidR="00DE058A" w:rsidRPr="00DE058A">
        <w:rPr>
          <w:rFonts w:asciiTheme="minorHAnsi" w:hAnsiTheme="minorHAnsi"/>
        </w:rPr>
        <w:t>.</w:t>
      </w:r>
      <w:r w:rsidR="00DE058A" w:rsidRPr="00DE058A">
        <w:rPr>
          <w:rFonts w:asciiTheme="minorHAnsi" w:hAnsiTheme="minorHAnsi"/>
          <w:vertAlign w:val="superscript"/>
        </w:rPr>
        <w:endnoteReference w:id="22"/>
      </w:r>
      <w:r w:rsidR="00986E97">
        <w:rPr>
          <w:rFonts w:asciiTheme="minorHAnsi" w:hAnsiTheme="minorHAnsi"/>
        </w:rPr>
        <w:t xml:space="preserve"> </w:t>
      </w:r>
      <w:r w:rsidR="00B71287">
        <w:rPr>
          <w:rFonts w:asciiTheme="minorHAnsi" w:hAnsiTheme="minorHAnsi"/>
        </w:rPr>
        <w:t>For example Gastrointestinal Reflux Disease (GERD), is predominant among older populations, but has been increasing in younger populations, particularly the 30 to 39 age group over the last ten years.</w:t>
      </w:r>
      <w:r w:rsidR="00852462">
        <w:rPr>
          <w:rStyle w:val="EndnoteReference"/>
          <w:rFonts w:asciiTheme="minorHAnsi" w:hAnsiTheme="minorHAnsi"/>
        </w:rPr>
        <w:endnoteReference w:id="23"/>
      </w:r>
      <w:r w:rsidR="00B71287">
        <w:rPr>
          <w:rFonts w:asciiTheme="minorHAnsi" w:hAnsiTheme="minorHAnsi"/>
        </w:rPr>
        <w:t xml:space="preserve"> </w:t>
      </w:r>
    </w:p>
    <w:p w14:paraId="1B737BFA" w14:textId="77777777" w:rsidR="00944AB3" w:rsidRDefault="00944AB3" w:rsidP="00A81E6C">
      <w:pPr>
        <w:pStyle w:val="BodyText"/>
        <w:spacing w:line="269" w:lineRule="exact"/>
        <w:rPr>
          <w:rFonts w:asciiTheme="minorHAnsi" w:hAnsiTheme="minorHAnsi"/>
        </w:rPr>
      </w:pPr>
    </w:p>
    <w:p w14:paraId="7A3768F1" w14:textId="4E98AEF0" w:rsidR="00617D11" w:rsidRPr="00617D11" w:rsidRDefault="00617D11" w:rsidP="00A81E6C">
      <w:pPr>
        <w:pStyle w:val="BodyText"/>
        <w:spacing w:line="269" w:lineRule="exact"/>
        <w:rPr>
          <w:rFonts w:asciiTheme="minorHAnsi" w:hAnsiTheme="minorHAnsi"/>
          <w:b/>
          <w:bCs/>
        </w:rPr>
      </w:pPr>
      <w:r w:rsidRPr="00617D11">
        <w:rPr>
          <w:rFonts w:asciiTheme="minorHAnsi" w:hAnsiTheme="minorHAnsi"/>
          <w:b/>
          <w:bCs/>
        </w:rPr>
        <w:t>Projected Volume</w:t>
      </w:r>
    </w:p>
    <w:p w14:paraId="29D08BD3" w14:textId="0D9358D1" w:rsidR="00343767" w:rsidRPr="00343767" w:rsidRDefault="00343767" w:rsidP="00343767">
      <w:pPr>
        <w:rPr>
          <w:rFonts w:asciiTheme="minorHAnsi" w:hAnsiTheme="minorHAnsi"/>
          <w:szCs w:val="24"/>
        </w:rPr>
      </w:pPr>
      <w:bookmarkStart w:id="6" w:name="_cp_change_25"/>
      <w:r w:rsidRPr="00343767">
        <w:rPr>
          <w:rFonts w:asciiTheme="minorHAnsi" w:hAnsiTheme="minorHAnsi"/>
          <w:szCs w:val="24"/>
        </w:rPr>
        <w:t>The Applicant is proposing to increase procedure room capacity at the Center to</w:t>
      </w:r>
      <w:r>
        <w:rPr>
          <w:rFonts w:asciiTheme="minorHAnsi" w:hAnsiTheme="minorHAnsi"/>
          <w:szCs w:val="24"/>
        </w:rPr>
        <w:t xml:space="preserve"> </w:t>
      </w:r>
      <w:r w:rsidR="00020F56">
        <w:rPr>
          <w:rFonts w:asciiTheme="minorHAnsi" w:hAnsiTheme="minorHAnsi"/>
          <w:szCs w:val="24"/>
        </w:rPr>
        <w:t xml:space="preserve">anticipate increases to utilization and support continued </w:t>
      </w:r>
      <w:r>
        <w:rPr>
          <w:rFonts w:asciiTheme="minorHAnsi" w:hAnsiTheme="minorHAnsi"/>
          <w:szCs w:val="24"/>
        </w:rPr>
        <w:t>timely access to endoscopy services in the community and to</w:t>
      </w:r>
      <w:r w:rsidRPr="00343767">
        <w:rPr>
          <w:rFonts w:asciiTheme="minorHAnsi" w:hAnsiTheme="minorHAnsi"/>
          <w:szCs w:val="24"/>
        </w:rPr>
        <w:t xml:space="preserve"> meet projected need for endoscopy services before patients </w:t>
      </w:r>
      <w:r w:rsidR="00974D0E">
        <w:rPr>
          <w:rFonts w:asciiTheme="minorHAnsi" w:hAnsiTheme="minorHAnsi"/>
          <w:szCs w:val="24"/>
        </w:rPr>
        <w:t>begin experiencing</w:t>
      </w:r>
      <w:r w:rsidRPr="00343767">
        <w:rPr>
          <w:rFonts w:asciiTheme="minorHAnsi" w:hAnsiTheme="minorHAnsi"/>
          <w:szCs w:val="24"/>
        </w:rPr>
        <w:t xml:space="preserve"> challenges accessing the Center as a result of longer wait times. </w:t>
      </w:r>
    </w:p>
    <w:p w14:paraId="736A7370" w14:textId="77777777" w:rsidR="00656883" w:rsidRDefault="00656883" w:rsidP="00C316C3">
      <w:pPr>
        <w:rPr>
          <w:rFonts w:asciiTheme="minorHAnsi" w:hAnsiTheme="minorHAnsi"/>
          <w:szCs w:val="24"/>
        </w:rPr>
      </w:pPr>
    </w:p>
    <w:p w14:paraId="33E097A6" w14:textId="1169D9F4" w:rsidR="009577FC" w:rsidRDefault="00D06285" w:rsidP="6509F378">
      <w:pPr>
        <w:rPr>
          <w:rFonts w:asciiTheme="minorHAnsi" w:hAnsiTheme="minorHAnsi"/>
        </w:rPr>
      </w:pPr>
      <w:r w:rsidRPr="6509F378">
        <w:rPr>
          <w:rFonts w:asciiTheme="minorHAnsi" w:hAnsiTheme="minorHAnsi"/>
        </w:rPr>
        <w:t xml:space="preserve">Table </w:t>
      </w:r>
      <w:r w:rsidR="002C4A5F" w:rsidRPr="6509F378">
        <w:rPr>
          <w:rFonts w:asciiTheme="minorHAnsi" w:hAnsiTheme="minorHAnsi"/>
        </w:rPr>
        <w:t>1</w:t>
      </w:r>
      <w:r w:rsidR="00A9310C">
        <w:rPr>
          <w:rFonts w:asciiTheme="minorHAnsi" w:hAnsiTheme="minorHAnsi"/>
        </w:rPr>
        <w:t>5</w:t>
      </w:r>
      <w:r w:rsidRPr="6509F378">
        <w:rPr>
          <w:rFonts w:asciiTheme="minorHAnsi" w:hAnsiTheme="minorHAnsi"/>
        </w:rPr>
        <w:t xml:space="preserve"> shows the projected volume at</w:t>
      </w:r>
      <w:r w:rsidR="003A5E3B" w:rsidRPr="6509F378">
        <w:rPr>
          <w:rFonts w:asciiTheme="minorHAnsi" w:hAnsiTheme="minorHAnsi"/>
        </w:rPr>
        <w:t xml:space="preserve"> the Center</w:t>
      </w:r>
      <w:r w:rsidRPr="6509F378">
        <w:rPr>
          <w:rFonts w:asciiTheme="minorHAnsi" w:hAnsiTheme="minorHAnsi"/>
        </w:rPr>
        <w:t xml:space="preserve"> from 2027 to 2031. </w:t>
      </w:r>
      <w:r w:rsidR="00E850B8" w:rsidRPr="6509F378">
        <w:rPr>
          <w:rFonts w:asciiTheme="minorHAnsi" w:hAnsiTheme="minorHAnsi"/>
        </w:rPr>
        <w:t xml:space="preserve">The Applicant anticipates </w:t>
      </w:r>
      <w:r w:rsidR="0072555F">
        <w:rPr>
          <w:rFonts w:asciiTheme="minorHAnsi" w:hAnsiTheme="minorHAnsi"/>
        </w:rPr>
        <w:t xml:space="preserve">during this time period, </w:t>
      </w:r>
      <w:r w:rsidR="00E57BF6">
        <w:rPr>
          <w:rFonts w:asciiTheme="minorHAnsi" w:hAnsiTheme="minorHAnsi"/>
        </w:rPr>
        <w:t>between</w:t>
      </w:r>
      <w:r w:rsidR="00E57BF6" w:rsidRPr="6509F378">
        <w:rPr>
          <w:rFonts w:asciiTheme="minorHAnsi" w:hAnsiTheme="minorHAnsi"/>
        </w:rPr>
        <w:t xml:space="preserve"> </w:t>
      </w:r>
      <w:r w:rsidR="00E850B8" w:rsidRPr="6509F378">
        <w:rPr>
          <w:rFonts w:asciiTheme="minorHAnsi" w:hAnsiTheme="minorHAnsi"/>
        </w:rPr>
        <w:t xml:space="preserve">500 to 1,000 cases </w:t>
      </w:r>
      <w:r w:rsidR="0027575D">
        <w:rPr>
          <w:rFonts w:asciiTheme="minorHAnsi" w:hAnsiTheme="minorHAnsi"/>
        </w:rPr>
        <w:t xml:space="preserve">annually </w:t>
      </w:r>
      <w:r w:rsidR="0072555F">
        <w:rPr>
          <w:rFonts w:asciiTheme="minorHAnsi" w:hAnsiTheme="minorHAnsi"/>
        </w:rPr>
        <w:t xml:space="preserve">will be the </w:t>
      </w:r>
      <w:r w:rsidR="00E9356E">
        <w:rPr>
          <w:rFonts w:asciiTheme="minorHAnsi" w:hAnsiTheme="minorHAnsi"/>
        </w:rPr>
        <w:t>result of th</w:t>
      </w:r>
      <w:r w:rsidR="00E850B8" w:rsidRPr="6509F378">
        <w:rPr>
          <w:rFonts w:asciiTheme="minorHAnsi" w:hAnsiTheme="minorHAnsi"/>
        </w:rPr>
        <w:t xml:space="preserve">e </w:t>
      </w:r>
      <w:r w:rsidR="00E9356E">
        <w:rPr>
          <w:rFonts w:asciiTheme="minorHAnsi" w:hAnsiTheme="minorHAnsi"/>
        </w:rPr>
        <w:t xml:space="preserve">NVMC </w:t>
      </w:r>
      <w:r w:rsidR="00E850B8" w:rsidRPr="6509F378">
        <w:rPr>
          <w:rFonts w:asciiTheme="minorHAnsi" w:hAnsiTheme="minorHAnsi"/>
        </w:rPr>
        <w:t>closure, and</w:t>
      </w:r>
      <w:r w:rsidR="0072555F">
        <w:rPr>
          <w:rFonts w:asciiTheme="minorHAnsi" w:hAnsiTheme="minorHAnsi"/>
        </w:rPr>
        <w:t xml:space="preserve"> an additional</w:t>
      </w:r>
      <w:r w:rsidR="00E850B8" w:rsidRPr="6509F378">
        <w:rPr>
          <w:rFonts w:asciiTheme="minorHAnsi" w:hAnsiTheme="minorHAnsi"/>
        </w:rPr>
        <w:t xml:space="preserve"> 2,000 referrals </w:t>
      </w:r>
      <w:r w:rsidR="0027575D">
        <w:rPr>
          <w:rFonts w:asciiTheme="minorHAnsi" w:hAnsiTheme="minorHAnsi"/>
        </w:rPr>
        <w:t xml:space="preserve">annually </w:t>
      </w:r>
      <w:r w:rsidR="00E850B8" w:rsidRPr="6509F378">
        <w:rPr>
          <w:rFonts w:asciiTheme="minorHAnsi" w:hAnsiTheme="minorHAnsi"/>
        </w:rPr>
        <w:t>will come from Atrius Health.</w:t>
      </w:r>
      <w:r w:rsidR="002F6B55" w:rsidRPr="6509F378">
        <w:rPr>
          <w:rFonts w:asciiTheme="minorHAnsi" w:hAnsiTheme="minorHAnsi"/>
        </w:rPr>
        <w:t xml:space="preserve"> </w:t>
      </w:r>
      <w:r w:rsidR="00033EE4" w:rsidRPr="6509F378">
        <w:rPr>
          <w:rFonts w:asciiTheme="minorHAnsi" w:hAnsiTheme="minorHAnsi"/>
        </w:rPr>
        <w:t xml:space="preserve">The Applicant expects volume at </w:t>
      </w:r>
      <w:r w:rsidR="003A5E3B" w:rsidRPr="6509F378">
        <w:rPr>
          <w:rFonts w:asciiTheme="minorHAnsi" w:hAnsiTheme="minorHAnsi"/>
        </w:rPr>
        <w:t>the Center</w:t>
      </w:r>
      <w:r w:rsidR="00033EE4" w:rsidRPr="6509F378">
        <w:rPr>
          <w:rFonts w:asciiTheme="minorHAnsi" w:hAnsiTheme="minorHAnsi"/>
        </w:rPr>
        <w:t xml:space="preserve"> to increase by 67% during the projection period</w:t>
      </w:r>
      <w:r w:rsidR="009577FC" w:rsidRPr="6509F378">
        <w:rPr>
          <w:rFonts w:asciiTheme="minorHAnsi" w:hAnsiTheme="minorHAnsi"/>
        </w:rPr>
        <w:t xml:space="preserve">. The Applicant also expects to maintain a utilization rate below 90% during the projection period, which the Applicant states will not negatively impact wait times. </w:t>
      </w:r>
    </w:p>
    <w:p w14:paraId="04DCDF01" w14:textId="77777777" w:rsidR="00033EE4" w:rsidRDefault="00033EE4" w:rsidP="00C316C3">
      <w:pPr>
        <w:rPr>
          <w:rFonts w:asciiTheme="minorHAnsi" w:hAnsiTheme="minorHAnsi"/>
          <w:szCs w:val="24"/>
        </w:rPr>
      </w:pPr>
    </w:p>
    <w:p w14:paraId="7DA58C8B" w14:textId="24DB31EB" w:rsidR="00033EE4" w:rsidRPr="00033EE4" w:rsidRDefault="00033EE4" w:rsidP="00C316C3">
      <w:pPr>
        <w:rPr>
          <w:rFonts w:asciiTheme="minorHAnsi" w:hAnsiTheme="minorHAnsi"/>
          <w:b/>
          <w:bCs/>
          <w:szCs w:val="24"/>
        </w:rPr>
      </w:pPr>
      <w:r w:rsidRPr="00033EE4">
        <w:rPr>
          <w:rFonts w:asciiTheme="minorHAnsi" w:hAnsiTheme="minorHAnsi"/>
          <w:b/>
          <w:bCs/>
          <w:szCs w:val="24"/>
          <w:u w:val="single"/>
        </w:rPr>
        <w:t xml:space="preserve">Table </w:t>
      </w:r>
      <w:r w:rsidR="002C4A5F">
        <w:rPr>
          <w:rFonts w:asciiTheme="minorHAnsi" w:hAnsiTheme="minorHAnsi"/>
          <w:b/>
          <w:bCs/>
          <w:szCs w:val="24"/>
          <w:u w:val="single"/>
        </w:rPr>
        <w:t>1</w:t>
      </w:r>
      <w:r w:rsidR="00A9310C">
        <w:rPr>
          <w:rFonts w:asciiTheme="minorHAnsi" w:hAnsiTheme="minorHAnsi"/>
          <w:b/>
          <w:bCs/>
          <w:szCs w:val="24"/>
          <w:u w:val="single"/>
        </w:rPr>
        <w:t>5</w:t>
      </w:r>
      <w:r w:rsidRPr="00033EE4">
        <w:rPr>
          <w:rFonts w:asciiTheme="minorHAnsi" w:hAnsiTheme="minorHAnsi"/>
          <w:b/>
          <w:bCs/>
          <w:szCs w:val="24"/>
        </w:rPr>
        <w:t xml:space="preserve">: Projected Volume at </w:t>
      </w:r>
      <w:r w:rsidR="000920E4">
        <w:rPr>
          <w:rFonts w:asciiTheme="minorHAnsi" w:hAnsiTheme="minorHAnsi"/>
          <w:b/>
          <w:bCs/>
          <w:szCs w:val="24"/>
        </w:rPr>
        <w:t>T</w:t>
      </w:r>
      <w:r w:rsidR="003A5E3B">
        <w:rPr>
          <w:rFonts w:asciiTheme="minorHAnsi" w:hAnsiTheme="minorHAnsi"/>
          <w:b/>
          <w:bCs/>
          <w:szCs w:val="24"/>
        </w:rPr>
        <w:t>he Center</w:t>
      </w:r>
      <w:r w:rsidRPr="00033EE4">
        <w:rPr>
          <w:rFonts w:asciiTheme="minorHAnsi" w:hAnsiTheme="minorHAnsi"/>
          <w:b/>
          <w:bCs/>
          <w:szCs w:val="24"/>
        </w:rPr>
        <w:t>, 2027 to 2031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763"/>
        <w:gridCol w:w="763"/>
        <w:gridCol w:w="763"/>
        <w:gridCol w:w="763"/>
        <w:gridCol w:w="763"/>
        <w:gridCol w:w="1263"/>
      </w:tblGrid>
      <w:tr w:rsidR="00033EE4" w:rsidRPr="00714831" w14:paraId="26C74597" w14:textId="77777777" w:rsidTr="008C173F">
        <w:trPr>
          <w:trHeight w:val="590"/>
        </w:trPr>
        <w:tc>
          <w:tcPr>
            <w:tcW w:w="0" w:type="auto"/>
            <w:vAlign w:val="center"/>
            <w:hideMark/>
          </w:tcPr>
          <w:p w14:paraId="476A14F8" w14:textId="3C56EF0B" w:rsidR="00033EE4" w:rsidRPr="00714831" w:rsidRDefault="00033EE4" w:rsidP="00033EE4">
            <w:pPr>
              <w:widowControl/>
              <w:autoSpaceDE/>
              <w:autoSpaceDN/>
              <w:rPr>
                <w:rFonts w:asciiTheme="minorHAnsi" w:eastAsia="Times New Roman" w:hAnsiTheme="minorHAnsi"/>
                <w:b/>
                <w:bCs/>
                <w:color w:val="000000"/>
                <w:szCs w:val="24"/>
              </w:rPr>
            </w:pPr>
          </w:p>
        </w:tc>
        <w:tc>
          <w:tcPr>
            <w:tcW w:w="0" w:type="auto"/>
            <w:shd w:val="clear" w:color="auto" w:fill="DBE5F1" w:themeFill="accent1" w:themeFillTint="33"/>
            <w:vAlign w:val="center"/>
            <w:hideMark/>
          </w:tcPr>
          <w:p w14:paraId="4BB34B74" w14:textId="77777777" w:rsidR="00033EE4" w:rsidRPr="00714831" w:rsidRDefault="00033EE4" w:rsidP="00033EE4">
            <w:pPr>
              <w:widowControl/>
              <w:autoSpaceDE/>
              <w:autoSpaceDN/>
              <w:jc w:val="center"/>
              <w:rPr>
                <w:rFonts w:asciiTheme="minorHAnsi" w:eastAsia="Times New Roman" w:hAnsiTheme="minorHAnsi"/>
                <w:b/>
                <w:bCs/>
                <w:color w:val="000000"/>
                <w:szCs w:val="24"/>
              </w:rPr>
            </w:pPr>
            <w:r w:rsidRPr="00714831">
              <w:rPr>
                <w:rFonts w:asciiTheme="minorHAnsi" w:eastAsia="Times New Roman" w:hAnsiTheme="minorHAnsi"/>
                <w:b/>
                <w:bCs/>
                <w:color w:val="000000"/>
                <w:szCs w:val="24"/>
              </w:rPr>
              <w:t>2027</w:t>
            </w:r>
          </w:p>
        </w:tc>
        <w:tc>
          <w:tcPr>
            <w:tcW w:w="0" w:type="auto"/>
            <w:shd w:val="clear" w:color="auto" w:fill="DBE5F1" w:themeFill="accent1" w:themeFillTint="33"/>
            <w:vAlign w:val="center"/>
            <w:hideMark/>
          </w:tcPr>
          <w:p w14:paraId="3862876B" w14:textId="77777777" w:rsidR="00033EE4" w:rsidRPr="00714831" w:rsidRDefault="00033EE4" w:rsidP="00033EE4">
            <w:pPr>
              <w:widowControl/>
              <w:autoSpaceDE/>
              <w:autoSpaceDN/>
              <w:jc w:val="center"/>
              <w:rPr>
                <w:rFonts w:asciiTheme="minorHAnsi" w:eastAsia="Times New Roman" w:hAnsiTheme="minorHAnsi"/>
                <w:b/>
                <w:bCs/>
                <w:color w:val="000000"/>
                <w:szCs w:val="24"/>
              </w:rPr>
            </w:pPr>
            <w:r w:rsidRPr="00714831">
              <w:rPr>
                <w:rFonts w:asciiTheme="minorHAnsi" w:eastAsia="Times New Roman" w:hAnsiTheme="minorHAnsi"/>
                <w:b/>
                <w:bCs/>
                <w:color w:val="000000"/>
                <w:szCs w:val="24"/>
              </w:rPr>
              <w:t>2028</w:t>
            </w:r>
          </w:p>
        </w:tc>
        <w:tc>
          <w:tcPr>
            <w:tcW w:w="0" w:type="auto"/>
            <w:shd w:val="clear" w:color="auto" w:fill="DBE5F1" w:themeFill="accent1" w:themeFillTint="33"/>
            <w:vAlign w:val="center"/>
            <w:hideMark/>
          </w:tcPr>
          <w:p w14:paraId="36F1EB63" w14:textId="77777777" w:rsidR="00033EE4" w:rsidRPr="00714831" w:rsidRDefault="00033EE4" w:rsidP="00033EE4">
            <w:pPr>
              <w:widowControl/>
              <w:autoSpaceDE/>
              <w:autoSpaceDN/>
              <w:jc w:val="center"/>
              <w:rPr>
                <w:rFonts w:asciiTheme="minorHAnsi" w:eastAsia="Times New Roman" w:hAnsiTheme="minorHAnsi"/>
                <w:b/>
                <w:bCs/>
                <w:color w:val="000000"/>
                <w:szCs w:val="24"/>
              </w:rPr>
            </w:pPr>
            <w:r w:rsidRPr="00714831">
              <w:rPr>
                <w:rFonts w:asciiTheme="minorHAnsi" w:eastAsia="Times New Roman" w:hAnsiTheme="minorHAnsi"/>
                <w:b/>
                <w:bCs/>
                <w:color w:val="000000"/>
                <w:szCs w:val="24"/>
              </w:rPr>
              <w:t>2029</w:t>
            </w:r>
          </w:p>
        </w:tc>
        <w:tc>
          <w:tcPr>
            <w:tcW w:w="0" w:type="auto"/>
            <w:shd w:val="clear" w:color="auto" w:fill="DBE5F1" w:themeFill="accent1" w:themeFillTint="33"/>
            <w:vAlign w:val="center"/>
            <w:hideMark/>
          </w:tcPr>
          <w:p w14:paraId="79E014CB" w14:textId="77777777" w:rsidR="00033EE4" w:rsidRPr="00714831" w:rsidRDefault="00033EE4" w:rsidP="00033EE4">
            <w:pPr>
              <w:widowControl/>
              <w:autoSpaceDE/>
              <w:autoSpaceDN/>
              <w:jc w:val="center"/>
              <w:rPr>
                <w:rFonts w:asciiTheme="minorHAnsi" w:eastAsia="Times New Roman" w:hAnsiTheme="minorHAnsi"/>
                <w:b/>
                <w:bCs/>
                <w:color w:val="000000"/>
                <w:szCs w:val="24"/>
              </w:rPr>
            </w:pPr>
            <w:r w:rsidRPr="00714831">
              <w:rPr>
                <w:rFonts w:asciiTheme="minorHAnsi" w:eastAsia="Times New Roman" w:hAnsiTheme="minorHAnsi"/>
                <w:b/>
                <w:bCs/>
                <w:color w:val="000000"/>
                <w:szCs w:val="24"/>
              </w:rPr>
              <w:t>2030</w:t>
            </w:r>
          </w:p>
        </w:tc>
        <w:tc>
          <w:tcPr>
            <w:tcW w:w="0" w:type="auto"/>
            <w:shd w:val="clear" w:color="auto" w:fill="DBE5F1" w:themeFill="accent1" w:themeFillTint="33"/>
            <w:vAlign w:val="center"/>
            <w:hideMark/>
          </w:tcPr>
          <w:p w14:paraId="248ABC2A" w14:textId="77777777" w:rsidR="00033EE4" w:rsidRPr="00714831" w:rsidRDefault="00033EE4" w:rsidP="00033EE4">
            <w:pPr>
              <w:widowControl/>
              <w:autoSpaceDE/>
              <w:autoSpaceDN/>
              <w:jc w:val="center"/>
              <w:rPr>
                <w:rFonts w:asciiTheme="minorHAnsi" w:eastAsia="Times New Roman" w:hAnsiTheme="minorHAnsi"/>
                <w:b/>
                <w:bCs/>
                <w:color w:val="000000"/>
                <w:szCs w:val="24"/>
              </w:rPr>
            </w:pPr>
            <w:r w:rsidRPr="00714831">
              <w:rPr>
                <w:rFonts w:asciiTheme="minorHAnsi" w:eastAsia="Times New Roman" w:hAnsiTheme="minorHAnsi"/>
                <w:b/>
                <w:bCs/>
                <w:color w:val="000000"/>
                <w:szCs w:val="24"/>
              </w:rPr>
              <w:t>2031</w:t>
            </w:r>
          </w:p>
        </w:tc>
        <w:tc>
          <w:tcPr>
            <w:tcW w:w="0" w:type="auto"/>
            <w:shd w:val="clear" w:color="auto" w:fill="DBE5F1" w:themeFill="accent1" w:themeFillTint="33"/>
            <w:vAlign w:val="bottom"/>
            <w:hideMark/>
          </w:tcPr>
          <w:p w14:paraId="21FB2F6B" w14:textId="77777777" w:rsidR="00033EE4" w:rsidRPr="00714831" w:rsidRDefault="00033EE4" w:rsidP="00033EE4">
            <w:pPr>
              <w:widowControl/>
              <w:autoSpaceDE/>
              <w:autoSpaceDN/>
              <w:jc w:val="center"/>
              <w:rPr>
                <w:rFonts w:asciiTheme="minorHAnsi" w:eastAsia="Times New Roman" w:hAnsiTheme="minorHAnsi"/>
                <w:b/>
                <w:bCs/>
                <w:color w:val="000000"/>
                <w:szCs w:val="24"/>
              </w:rPr>
            </w:pPr>
            <w:r w:rsidRPr="00714831">
              <w:rPr>
                <w:rFonts w:asciiTheme="minorHAnsi" w:eastAsia="Times New Roman" w:hAnsiTheme="minorHAnsi"/>
                <w:b/>
                <w:bCs/>
                <w:color w:val="000000"/>
                <w:szCs w:val="24"/>
              </w:rPr>
              <w:t xml:space="preserve">% Change      </w:t>
            </w:r>
          </w:p>
          <w:p w14:paraId="79615A04" w14:textId="54537D4F" w:rsidR="00033EE4" w:rsidRPr="00714831" w:rsidRDefault="00033EE4" w:rsidP="00033EE4">
            <w:pPr>
              <w:widowControl/>
              <w:autoSpaceDE/>
              <w:autoSpaceDN/>
              <w:jc w:val="center"/>
              <w:rPr>
                <w:rFonts w:asciiTheme="minorHAnsi" w:eastAsia="Times New Roman" w:hAnsiTheme="minorHAnsi"/>
                <w:b/>
                <w:bCs/>
                <w:color w:val="000000"/>
                <w:szCs w:val="24"/>
              </w:rPr>
            </w:pPr>
            <w:r w:rsidRPr="00714831">
              <w:rPr>
                <w:rFonts w:asciiTheme="minorHAnsi" w:eastAsia="Times New Roman" w:hAnsiTheme="minorHAnsi"/>
                <w:b/>
                <w:bCs/>
                <w:color w:val="000000"/>
                <w:szCs w:val="24"/>
              </w:rPr>
              <w:t>2027-2031</w:t>
            </w:r>
          </w:p>
        </w:tc>
      </w:tr>
      <w:tr w:rsidR="00033EE4" w:rsidRPr="00714831" w14:paraId="6DA02731" w14:textId="77777777" w:rsidTr="008C173F">
        <w:trPr>
          <w:trHeight w:val="300"/>
        </w:trPr>
        <w:tc>
          <w:tcPr>
            <w:tcW w:w="0" w:type="auto"/>
            <w:vAlign w:val="center"/>
            <w:hideMark/>
          </w:tcPr>
          <w:p w14:paraId="45C56854" w14:textId="77777777" w:rsidR="00033EE4" w:rsidRPr="00714831" w:rsidRDefault="00033EE4" w:rsidP="00033EE4">
            <w:pPr>
              <w:widowControl/>
              <w:autoSpaceDE/>
              <w:autoSpaceDN/>
              <w:rPr>
                <w:rFonts w:asciiTheme="minorHAnsi" w:eastAsia="Times New Roman" w:hAnsiTheme="minorHAnsi"/>
                <w:color w:val="000000"/>
                <w:szCs w:val="24"/>
              </w:rPr>
            </w:pPr>
            <w:r w:rsidRPr="00714831">
              <w:rPr>
                <w:rFonts w:asciiTheme="minorHAnsi" w:eastAsia="Times New Roman" w:hAnsiTheme="minorHAnsi"/>
                <w:color w:val="000000"/>
                <w:szCs w:val="24"/>
              </w:rPr>
              <w:t xml:space="preserve">Total Cases </w:t>
            </w:r>
          </w:p>
        </w:tc>
        <w:tc>
          <w:tcPr>
            <w:tcW w:w="0" w:type="auto"/>
            <w:vAlign w:val="center"/>
            <w:hideMark/>
          </w:tcPr>
          <w:p w14:paraId="41403A61" w14:textId="77777777" w:rsidR="00033EE4" w:rsidRPr="00714831" w:rsidRDefault="00033EE4" w:rsidP="00033EE4">
            <w:pPr>
              <w:widowControl/>
              <w:autoSpaceDE/>
              <w:autoSpaceDN/>
              <w:jc w:val="center"/>
              <w:rPr>
                <w:rFonts w:asciiTheme="minorHAnsi" w:eastAsia="Times New Roman" w:hAnsiTheme="minorHAnsi"/>
                <w:color w:val="000000"/>
                <w:szCs w:val="24"/>
              </w:rPr>
            </w:pPr>
            <w:r w:rsidRPr="00714831">
              <w:rPr>
                <w:rFonts w:asciiTheme="minorHAnsi" w:eastAsia="Times New Roman" w:hAnsiTheme="minorHAnsi"/>
                <w:color w:val="000000"/>
                <w:szCs w:val="24"/>
              </w:rPr>
              <w:t>5,564</w:t>
            </w:r>
          </w:p>
        </w:tc>
        <w:tc>
          <w:tcPr>
            <w:tcW w:w="0" w:type="auto"/>
            <w:vAlign w:val="center"/>
            <w:hideMark/>
          </w:tcPr>
          <w:p w14:paraId="580C693D" w14:textId="77777777" w:rsidR="00033EE4" w:rsidRPr="00714831" w:rsidRDefault="00033EE4" w:rsidP="00033EE4">
            <w:pPr>
              <w:widowControl/>
              <w:autoSpaceDE/>
              <w:autoSpaceDN/>
              <w:jc w:val="center"/>
              <w:rPr>
                <w:rFonts w:asciiTheme="minorHAnsi" w:eastAsia="Times New Roman" w:hAnsiTheme="minorHAnsi"/>
                <w:color w:val="000000"/>
                <w:szCs w:val="24"/>
              </w:rPr>
            </w:pPr>
            <w:r w:rsidRPr="00714831">
              <w:rPr>
                <w:rFonts w:asciiTheme="minorHAnsi" w:eastAsia="Times New Roman" w:hAnsiTheme="minorHAnsi"/>
                <w:color w:val="000000"/>
                <w:szCs w:val="24"/>
              </w:rPr>
              <w:t>6,564</w:t>
            </w:r>
          </w:p>
        </w:tc>
        <w:tc>
          <w:tcPr>
            <w:tcW w:w="0" w:type="auto"/>
            <w:vAlign w:val="center"/>
            <w:hideMark/>
          </w:tcPr>
          <w:p w14:paraId="6F2E265E" w14:textId="77777777" w:rsidR="00033EE4" w:rsidRPr="00714831" w:rsidRDefault="00033EE4" w:rsidP="00033EE4">
            <w:pPr>
              <w:widowControl/>
              <w:autoSpaceDE/>
              <w:autoSpaceDN/>
              <w:jc w:val="center"/>
              <w:rPr>
                <w:rFonts w:asciiTheme="minorHAnsi" w:eastAsia="Times New Roman" w:hAnsiTheme="minorHAnsi"/>
                <w:color w:val="000000"/>
                <w:szCs w:val="24"/>
              </w:rPr>
            </w:pPr>
            <w:r w:rsidRPr="00714831">
              <w:rPr>
                <w:rFonts w:asciiTheme="minorHAnsi" w:eastAsia="Times New Roman" w:hAnsiTheme="minorHAnsi"/>
                <w:color w:val="000000"/>
                <w:szCs w:val="24"/>
              </w:rPr>
              <w:t>7,564</w:t>
            </w:r>
          </w:p>
        </w:tc>
        <w:tc>
          <w:tcPr>
            <w:tcW w:w="0" w:type="auto"/>
            <w:vAlign w:val="center"/>
            <w:hideMark/>
          </w:tcPr>
          <w:p w14:paraId="5882E2DA" w14:textId="77777777" w:rsidR="00033EE4" w:rsidRPr="00714831" w:rsidRDefault="00033EE4" w:rsidP="00033EE4">
            <w:pPr>
              <w:widowControl/>
              <w:autoSpaceDE/>
              <w:autoSpaceDN/>
              <w:jc w:val="center"/>
              <w:rPr>
                <w:rFonts w:asciiTheme="minorHAnsi" w:eastAsia="Times New Roman" w:hAnsiTheme="minorHAnsi"/>
                <w:color w:val="000000"/>
                <w:szCs w:val="24"/>
              </w:rPr>
            </w:pPr>
            <w:r w:rsidRPr="00714831">
              <w:rPr>
                <w:rFonts w:asciiTheme="minorHAnsi" w:eastAsia="Times New Roman" w:hAnsiTheme="minorHAnsi"/>
                <w:color w:val="000000"/>
                <w:szCs w:val="24"/>
              </w:rPr>
              <w:t>8,564</w:t>
            </w:r>
          </w:p>
        </w:tc>
        <w:tc>
          <w:tcPr>
            <w:tcW w:w="0" w:type="auto"/>
            <w:vAlign w:val="center"/>
            <w:hideMark/>
          </w:tcPr>
          <w:p w14:paraId="3045A508" w14:textId="77777777" w:rsidR="00033EE4" w:rsidRPr="00714831" w:rsidRDefault="00033EE4" w:rsidP="00033EE4">
            <w:pPr>
              <w:widowControl/>
              <w:autoSpaceDE/>
              <w:autoSpaceDN/>
              <w:jc w:val="center"/>
              <w:rPr>
                <w:rFonts w:asciiTheme="minorHAnsi" w:eastAsia="Times New Roman" w:hAnsiTheme="minorHAnsi"/>
                <w:color w:val="000000"/>
                <w:szCs w:val="24"/>
              </w:rPr>
            </w:pPr>
            <w:r w:rsidRPr="00714831">
              <w:rPr>
                <w:rFonts w:asciiTheme="minorHAnsi" w:eastAsia="Times New Roman" w:hAnsiTheme="minorHAnsi"/>
                <w:color w:val="000000"/>
                <w:szCs w:val="24"/>
              </w:rPr>
              <w:t>9,314</w:t>
            </w:r>
          </w:p>
        </w:tc>
        <w:tc>
          <w:tcPr>
            <w:tcW w:w="0" w:type="auto"/>
            <w:noWrap/>
            <w:vAlign w:val="bottom"/>
            <w:hideMark/>
          </w:tcPr>
          <w:p w14:paraId="7AD8E398" w14:textId="0F77A7BB" w:rsidR="00033EE4" w:rsidRPr="00714831" w:rsidRDefault="00033EE4" w:rsidP="00033EE4">
            <w:pPr>
              <w:widowControl/>
              <w:autoSpaceDE/>
              <w:autoSpaceDN/>
              <w:jc w:val="center"/>
              <w:rPr>
                <w:rFonts w:asciiTheme="minorHAnsi" w:eastAsia="Times New Roman" w:hAnsiTheme="minorHAnsi"/>
                <w:color w:val="000000"/>
                <w:szCs w:val="24"/>
              </w:rPr>
            </w:pPr>
            <w:r w:rsidRPr="00714831">
              <w:rPr>
                <w:rFonts w:asciiTheme="minorHAnsi" w:eastAsia="Times New Roman" w:hAnsiTheme="minorHAnsi"/>
                <w:color w:val="000000"/>
                <w:szCs w:val="24"/>
              </w:rPr>
              <w:t>67%</w:t>
            </w:r>
          </w:p>
        </w:tc>
      </w:tr>
    </w:tbl>
    <w:p w14:paraId="280950EA" w14:textId="77777777" w:rsidR="00B65A1E" w:rsidRDefault="00B65A1E" w:rsidP="00C316C3">
      <w:pPr>
        <w:rPr>
          <w:rFonts w:asciiTheme="minorHAnsi" w:hAnsiTheme="minorHAnsi"/>
          <w:szCs w:val="24"/>
        </w:rPr>
      </w:pPr>
    </w:p>
    <w:p w14:paraId="04B0837F" w14:textId="0816DAC4" w:rsidR="00071B40" w:rsidRDefault="00071B40" w:rsidP="00C316C3">
      <w:pPr>
        <w:rPr>
          <w:rFonts w:asciiTheme="minorHAnsi" w:hAnsiTheme="minorHAnsi"/>
          <w:szCs w:val="24"/>
        </w:rPr>
      </w:pPr>
      <w:r>
        <w:rPr>
          <w:rFonts w:asciiTheme="minorHAnsi" w:hAnsiTheme="minorHAnsi"/>
          <w:szCs w:val="24"/>
        </w:rPr>
        <w:t xml:space="preserve">Table </w:t>
      </w:r>
      <w:r w:rsidR="0021482F">
        <w:rPr>
          <w:rFonts w:asciiTheme="minorHAnsi" w:hAnsiTheme="minorHAnsi"/>
          <w:szCs w:val="24"/>
        </w:rPr>
        <w:t>1</w:t>
      </w:r>
      <w:r w:rsidR="00A9310C">
        <w:rPr>
          <w:rFonts w:asciiTheme="minorHAnsi" w:hAnsiTheme="minorHAnsi"/>
          <w:szCs w:val="24"/>
        </w:rPr>
        <w:t>6</w:t>
      </w:r>
      <w:r>
        <w:rPr>
          <w:rFonts w:asciiTheme="minorHAnsi" w:hAnsiTheme="minorHAnsi"/>
          <w:szCs w:val="24"/>
        </w:rPr>
        <w:t xml:space="preserve"> shows projected operating capacity at the Center from 2025 to 2030. </w:t>
      </w:r>
    </w:p>
    <w:p w14:paraId="6875D53B" w14:textId="77777777" w:rsidR="00071B40" w:rsidRDefault="00071B40" w:rsidP="00C316C3">
      <w:pPr>
        <w:rPr>
          <w:rFonts w:asciiTheme="minorHAnsi" w:hAnsiTheme="minorHAnsi"/>
          <w:szCs w:val="24"/>
        </w:rPr>
      </w:pPr>
    </w:p>
    <w:p w14:paraId="195CC996" w14:textId="40C1F94D" w:rsidR="00071B40" w:rsidRPr="00071B40" w:rsidRDefault="00071B40" w:rsidP="00C316C3">
      <w:pPr>
        <w:rPr>
          <w:rFonts w:asciiTheme="minorHAnsi" w:hAnsiTheme="minorHAnsi"/>
          <w:b/>
          <w:bCs/>
          <w:szCs w:val="24"/>
        </w:rPr>
      </w:pPr>
      <w:r w:rsidRPr="00071B40">
        <w:rPr>
          <w:rFonts w:asciiTheme="minorHAnsi" w:hAnsiTheme="minorHAnsi"/>
          <w:b/>
          <w:bCs/>
          <w:szCs w:val="24"/>
          <w:u w:val="single"/>
        </w:rPr>
        <w:t xml:space="preserve">Table </w:t>
      </w:r>
      <w:r w:rsidR="0021482F">
        <w:rPr>
          <w:rFonts w:asciiTheme="minorHAnsi" w:hAnsiTheme="minorHAnsi"/>
          <w:b/>
          <w:bCs/>
          <w:szCs w:val="24"/>
          <w:u w:val="single"/>
        </w:rPr>
        <w:t>1</w:t>
      </w:r>
      <w:r w:rsidR="00A9310C">
        <w:rPr>
          <w:rFonts w:asciiTheme="minorHAnsi" w:hAnsiTheme="minorHAnsi"/>
          <w:b/>
          <w:bCs/>
          <w:szCs w:val="24"/>
          <w:u w:val="single"/>
        </w:rPr>
        <w:t>6</w:t>
      </w:r>
      <w:r w:rsidRPr="00071B40">
        <w:rPr>
          <w:rFonts w:asciiTheme="minorHAnsi" w:hAnsiTheme="minorHAnsi"/>
          <w:b/>
          <w:bCs/>
          <w:szCs w:val="24"/>
        </w:rPr>
        <w:t xml:space="preserve">: Projected Operating Capacity at </w:t>
      </w:r>
      <w:r w:rsidR="000920E4">
        <w:rPr>
          <w:rFonts w:asciiTheme="minorHAnsi" w:hAnsiTheme="minorHAnsi"/>
          <w:b/>
          <w:bCs/>
          <w:szCs w:val="24"/>
        </w:rPr>
        <w:t>T</w:t>
      </w:r>
      <w:r w:rsidRPr="00071B40">
        <w:rPr>
          <w:rFonts w:asciiTheme="minorHAnsi" w:hAnsiTheme="minorHAnsi"/>
          <w:b/>
          <w:bCs/>
          <w:szCs w:val="24"/>
        </w:rPr>
        <w:t>he Center, 202</w:t>
      </w:r>
      <w:r w:rsidR="00AA36AF">
        <w:rPr>
          <w:rFonts w:asciiTheme="minorHAnsi" w:hAnsiTheme="minorHAnsi"/>
          <w:b/>
          <w:bCs/>
          <w:szCs w:val="24"/>
        </w:rPr>
        <w:t>6</w:t>
      </w:r>
      <w:r w:rsidRPr="00071B40">
        <w:rPr>
          <w:rFonts w:asciiTheme="minorHAnsi" w:hAnsiTheme="minorHAnsi"/>
          <w:b/>
          <w:bCs/>
          <w:szCs w:val="24"/>
        </w:rPr>
        <w:t xml:space="preserve"> to 2030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2010"/>
        <w:gridCol w:w="2160"/>
      </w:tblGrid>
      <w:tr w:rsidR="00805E6E" w:rsidRPr="00E5470F" w14:paraId="2E0CBCF0" w14:textId="77777777" w:rsidTr="00805E6E">
        <w:trPr>
          <w:trHeight w:val="146"/>
        </w:trPr>
        <w:tc>
          <w:tcPr>
            <w:tcW w:w="0" w:type="auto"/>
            <w:shd w:val="clear" w:color="auto" w:fill="DBE5F1" w:themeFill="accent1" w:themeFillTint="33"/>
            <w:vAlign w:val="center"/>
            <w:hideMark/>
          </w:tcPr>
          <w:p w14:paraId="55A8FAC2" w14:textId="60DD970C" w:rsidR="009422B4" w:rsidRPr="004C3088" w:rsidRDefault="009422B4" w:rsidP="004C3088">
            <w:pPr>
              <w:widowControl/>
              <w:autoSpaceDE/>
              <w:autoSpaceDN/>
              <w:jc w:val="both"/>
              <w:rPr>
                <w:rFonts w:asciiTheme="minorHAnsi" w:eastAsia="Times New Roman" w:hAnsiTheme="minorHAnsi"/>
                <w:b/>
                <w:bCs/>
                <w:color w:val="000000" w:themeColor="text1"/>
                <w:szCs w:val="24"/>
              </w:rPr>
            </w:pPr>
            <w:r w:rsidRPr="004C3088">
              <w:rPr>
                <w:rFonts w:asciiTheme="minorHAnsi" w:eastAsia="Times New Roman" w:hAnsiTheme="minorHAnsi"/>
                <w:b/>
                <w:bCs/>
                <w:color w:val="000000" w:themeColor="text1"/>
                <w:szCs w:val="24"/>
              </w:rPr>
              <w:t>Calendar Year</w:t>
            </w:r>
          </w:p>
        </w:tc>
        <w:tc>
          <w:tcPr>
            <w:tcW w:w="2010" w:type="dxa"/>
            <w:shd w:val="clear" w:color="auto" w:fill="DBE5F1" w:themeFill="accent1" w:themeFillTint="33"/>
            <w:vAlign w:val="center"/>
            <w:hideMark/>
          </w:tcPr>
          <w:p w14:paraId="4EA8D1DF" w14:textId="4F80E49F" w:rsidR="009422B4" w:rsidRPr="004C3088" w:rsidRDefault="009422B4" w:rsidP="009422B4">
            <w:pPr>
              <w:widowControl/>
              <w:autoSpaceDE/>
              <w:autoSpaceDN/>
              <w:jc w:val="center"/>
              <w:rPr>
                <w:rFonts w:asciiTheme="minorHAnsi" w:eastAsia="Times New Roman" w:hAnsiTheme="minorHAnsi"/>
                <w:b/>
                <w:bCs/>
                <w:color w:val="000000" w:themeColor="text1"/>
                <w:szCs w:val="24"/>
              </w:rPr>
            </w:pPr>
            <w:hyperlink r:id="rId19" w:anchor="RANGE!_ftn1" w:history="1">
              <w:r w:rsidRPr="004C3088">
                <w:rPr>
                  <w:rFonts w:asciiTheme="minorHAnsi" w:eastAsia="Times New Roman" w:hAnsiTheme="minorHAnsi"/>
                  <w:b/>
                  <w:bCs/>
                  <w:color w:val="000000" w:themeColor="text1"/>
                  <w:szCs w:val="24"/>
                </w:rPr>
                <w:t xml:space="preserve">Projected Cases </w:t>
              </w:r>
              <w:r w:rsidR="00805E6E">
                <w:rPr>
                  <w:rFonts w:asciiTheme="minorHAnsi" w:eastAsia="Times New Roman" w:hAnsiTheme="minorHAnsi"/>
                  <w:b/>
                  <w:bCs/>
                  <w:color w:val="000000" w:themeColor="text1"/>
                  <w:szCs w:val="24"/>
                </w:rPr>
                <w:t xml:space="preserve">                                                            </w:t>
              </w:r>
              <w:r w:rsidRPr="004C3088">
                <w:rPr>
                  <w:rFonts w:asciiTheme="minorHAnsi" w:eastAsia="Times New Roman" w:hAnsiTheme="minorHAnsi"/>
                  <w:b/>
                  <w:bCs/>
                  <w:color w:val="000000" w:themeColor="text1"/>
                  <w:szCs w:val="24"/>
                </w:rPr>
                <w:t xml:space="preserve">per Room </w:t>
              </w:r>
            </w:hyperlink>
          </w:p>
        </w:tc>
        <w:tc>
          <w:tcPr>
            <w:tcW w:w="2160" w:type="dxa"/>
            <w:shd w:val="clear" w:color="auto" w:fill="DBE5F1" w:themeFill="accent1" w:themeFillTint="33"/>
            <w:vAlign w:val="center"/>
            <w:hideMark/>
          </w:tcPr>
          <w:p w14:paraId="3D883958" w14:textId="160E270E" w:rsidR="009422B4" w:rsidRPr="004C3088" w:rsidRDefault="009422B4" w:rsidP="009422B4">
            <w:pPr>
              <w:widowControl/>
              <w:autoSpaceDE/>
              <w:autoSpaceDN/>
              <w:jc w:val="center"/>
              <w:rPr>
                <w:rFonts w:asciiTheme="minorHAnsi" w:eastAsia="Times New Roman" w:hAnsiTheme="minorHAnsi"/>
                <w:b/>
                <w:bCs/>
                <w:color w:val="000000" w:themeColor="text1"/>
                <w:szCs w:val="24"/>
              </w:rPr>
            </w:pPr>
            <w:r w:rsidRPr="004C3088">
              <w:rPr>
                <w:rFonts w:asciiTheme="minorHAnsi" w:eastAsia="Times New Roman" w:hAnsiTheme="minorHAnsi"/>
                <w:b/>
                <w:bCs/>
                <w:color w:val="000000" w:themeColor="text1"/>
                <w:szCs w:val="24"/>
              </w:rPr>
              <w:t>Projected Operating Capacity</w:t>
            </w:r>
          </w:p>
        </w:tc>
      </w:tr>
      <w:tr w:rsidR="00805E6E" w:rsidRPr="00E5470F" w14:paraId="78826200" w14:textId="77777777" w:rsidTr="00805E6E">
        <w:trPr>
          <w:trHeight w:val="300"/>
        </w:trPr>
        <w:tc>
          <w:tcPr>
            <w:tcW w:w="0" w:type="auto"/>
            <w:vAlign w:val="center"/>
            <w:hideMark/>
          </w:tcPr>
          <w:p w14:paraId="73214A34" w14:textId="77777777" w:rsidR="004C3088" w:rsidRPr="004C3088" w:rsidRDefault="004C3088" w:rsidP="00C71B1F">
            <w:pPr>
              <w:widowControl/>
              <w:autoSpaceDE/>
              <w:autoSpaceDN/>
              <w:jc w:val="center"/>
              <w:rPr>
                <w:rFonts w:asciiTheme="minorHAnsi" w:eastAsia="Times New Roman" w:hAnsiTheme="minorHAnsi"/>
                <w:color w:val="000000" w:themeColor="text1"/>
                <w:szCs w:val="24"/>
              </w:rPr>
            </w:pPr>
            <w:r w:rsidRPr="004C3088">
              <w:rPr>
                <w:rFonts w:asciiTheme="minorHAnsi" w:eastAsia="Times New Roman" w:hAnsiTheme="minorHAnsi"/>
                <w:color w:val="000000" w:themeColor="text1"/>
                <w:szCs w:val="24"/>
              </w:rPr>
              <w:t>2026</w:t>
            </w:r>
          </w:p>
        </w:tc>
        <w:tc>
          <w:tcPr>
            <w:tcW w:w="2010" w:type="dxa"/>
            <w:vAlign w:val="center"/>
            <w:hideMark/>
          </w:tcPr>
          <w:p w14:paraId="5F28A7EC" w14:textId="07CFAF5D" w:rsidR="004C3088" w:rsidRPr="004C3088" w:rsidRDefault="004C3088" w:rsidP="009422B4">
            <w:pPr>
              <w:widowControl/>
              <w:autoSpaceDE/>
              <w:autoSpaceDN/>
              <w:jc w:val="center"/>
              <w:rPr>
                <w:rFonts w:asciiTheme="minorHAnsi" w:eastAsia="Times New Roman" w:hAnsiTheme="minorHAnsi"/>
                <w:color w:val="000000" w:themeColor="text1"/>
                <w:szCs w:val="24"/>
              </w:rPr>
            </w:pPr>
            <w:r w:rsidRPr="004C3088">
              <w:rPr>
                <w:rFonts w:asciiTheme="minorHAnsi" w:eastAsia="Times New Roman" w:hAnsiTheme="minorHAnsi"/>
                <w:color w:val="000000" w:themeColor="text1"/>
                <w:szCs w:val="24"/>
              </w:rPr>
              <w:t>1,855</w:t>
            </w:r>
          </w:p>
        </w:tc>
        <w:tc>
          <w:tcPr>
            <w:tcW w:w="2160" w:type="dxa"/>
            <w:vAlign w:val="center"/>
            <w:hideMark/>
          </w:tcPr>
          <w:p w14:paraId="35BEEC77" w14:textId="2586DEB0" w:rsidR="004C3088" w:rsidRPr="004C3088" w:rsidRDefault="004C3088" w:rsidP="009422B4">
            <w:pPr>
              <w:widowControl/>
              <w:autoSpaceDE/>
              <w:autoSpaceDN/>
              <w:jc w:val="center"/>
              <w:rPr>
                <w:rFonts w:asciiTheme="minorHAnsi" w:eastAsia="Times New Roman" w:hAnsiTheme="minorHAnsi"/>
                <w:color w:val="000000" w:themeColor="text1"/>
                <w:szCs w:val="24"/>
              </w:rPr>
            </w:pPr>
            <w:r w:rsidRPr="004C3088">
              <w:rPr>
                <w:rFonts w:asciiTheme="minorHAnsi" w:eastAsia="Times New Roman" w:hAnsiTheme="minorHAnsi"/>
                <w:color w:val="000000" w:themeColor="text1"/>
                <w:szCs w:val="24"/>
              </w:rPr>
              <w:t>53%</w:t>
            </w:r>
          </w:p>
        </w:tc>
      </w:tr>
      <w:tr w:rsidR="00805E6E" w:rsidRPr="00E5470F" w14:paraId="636294A2" w14:textId="77777777" w:rsidTr="00805E6E">
        <w:trPr>
          <w:trHeight w:val="300"/>
        </w:trPr>
        <w:tc>
          <w:tcPr>
            <w:tcW w:w="0" w:type="auto"/>
            <w:vAlign w:val="center"/>
            <w:hideMark/>
          </w:tcPr>
          <w:p w14:paraId="3CF692DC" w14:textId="77777777" w:rsidR="004C3088" w:rsidRPr="004C3088" w:rsidRDefault="004C3088" w:rsidP="00C71B1F">
            <w:pPr>
              <w:widowControl/>
              <w:autoSpaceDE/>
              <w:autoSpaceDN/>
              <w:jc w:val="center"/>
              <w:rPr>
                <w:rFonts w:asciiTheme="minorHAnsi" w:eastAsia="Times New Roman" w:hAnsiTheme="minorHAnsi"/>
                <w:color w:val="000000" w:themeColor="text1"/>
                <w:szCs w:val="24"/>
              </w:rPr>
            </w:pPr>
            <w:r w:rsidRPr="004C3088">
              <w:rPr>
                <w:rFonts w:asciiTheme="minorHAnsi" w:eastAsia="Times New Roman" w:hAnsiTheme="minorHAnsi"/>
                <w:color w:val="000000" w:themeColor="text1"/>
                <w:szCs w:val="24"/>
              </w:rPr>
              <w:lastRenderedPageBreak/>
              <w:t>2027</w:t>
            </w:r>
          </w:p>
        </w:tc>
        <w:tc>
          <w:tcPr>
            <w:tcW w:w="2010" w:type="dxa"/>
            <w:vAlign w:val="center"/>
            <w:hideMark/>
          </w:tcPr>
          <w:p w14:paraId="5A6CDB4F" w14:textId="458743BF" w:rsidR="004C3088" w:rsidRPr="004C3088" w:rsidRDefault="004C3088" w:rsidP="009422B4">
            <w:pPr>
              <w:widowControl/>
              <w:autoSpaceDE/>
              <w:autoSpaceDN/>
              <w:jc w:val="center"/>
              <w:rPr>
                <w:rFonts w:asciiTheme="minorHAnsi" w:eastAsia="Times New Roman" w:hAnsiTheme="minorHAnsi"/>
                <w:color w:val="000000" w:themeColor="text1"/>
                <w:szCs w:val="24"/>
              </w:rPr>
            </w:pPr>
            <w:r w:rsidRPr="004C3088">
              <w:rPr>
                <w:rFonts w:asciiTheme="minorHAnsi" w:eastAsia="Times New Roman" w:hAnsiTheme="minorHAnsi"/>
                <w:color w:val="000000" w:themeColor="text1"/>
                <w:szCs w:val="24"/>
              </w:rPr>
              <w:t>2,188</w:t>
            </w:r>
          </w:p>
        </w:tc>
        <w:tc>
          <w:tcPr>
            <w:tcW w:w="2160" w:type="dxa"/>
            <w:vAlign w:val="center"/>
            <w:hideMark/>
          </w:tcPr>
          <w:p w14:paraId="1D265A4A" w14:textId="4219DA16" w:rsidR="004C3088" w:rsidRPr="004C3088" w:rsidRDefault="004C3088" w:rsidP="009422B4">
            <w:pPr>
              <w:widowControl/>
              <w:autoSpaceDE/>
              <w:autoSpaceDN/>
              <w:jc w:val="center"/>
              <w:rPr>
                <w:rFonts w:asciiTheme="minorHAnsi" w:eastAsia="Times New Roman" w:hAnsiTheme="minorHAnsi"/>
                <w:color w:val="000000" w:themeColor="text1"/>
                <w:szCs w:val="24"/>
              </w:rPr>
            </w:pPr>
            <w:r w:rsidRPr="004C3088">
              <w:rPr>
                <w:rFonts w:asciiTheme="minorHAnsi" w:eastAsia="Times New Roman" w:hAnsiTheme="minorHAnsi"/>
                <w:color w:val="000000" w:themeColor="text1"/>
                <w:szCs w:val="24"/>
              </w:rPr>
              <w:t>63%</w:t>
            </w:r>
          </w:p>
        </w:tc>
      </w:tr>
      <w:tr w:rsidR="00805E6E" w:rsidRPr="00E5470F" w14:paraId="20D56D5D" w14:textId="77777777" w:rsidTr="00805E6E">
        <w:trPr>
          <w:trHeight w:val="300"/>
        </w:trPr>
        <w:tc>
          <w:tcPr>
            <w:tcW w:w="0" w:type="auto"/>
            <w:vAlign w:val="center"/>
            <w:hideMark/>
          </w:tcPr>
          <w:p w14:paraId="57ECFD31" w14:textId="77777777" w:rsidR="004C3088" w:rsidRPr="004C3088" w:rsidRDefault="004C3088" w:rsidP="00C71B1F">
            <w:pPr>
              <w:widowControl/>
              <w:autoSpaceDE/>
              <w:autoSpaceDN/>
              <w:jc w:val="center"/>
              <w:rPr>
                <w:rFonts w:asciiTheme="minorHAnsi" w:eastAsia="Times New Roman" w:hAnsiTheme="minorHAnsi"/>
                <w:color w:val="000000" w:themeColor="text1"/>
                <w:szCs w:val="24"/>
              </w:rPr>
            </w:pPr>
            <w:r w:rsidRPr="004C3088">
              <w:rPr>
                <w:rFonts w:asciiTheme="minorHAnsi" w:eastAsia="Times New Roman" w:hAnsiTheme="minorHAnsi"/>
                <w:color w:val="000000" w:themeColor="text1"/>
                <w:szCs w:val="24"/>
              </w:rPr>
              <w:t>2028</w:t>
            </w:r>
          </w:p>
        </w:tc>
        <w:tc>
          <w:tcPr>
            <w:tcW w:w="2010" w:type="dxa"/>
            <w:vAlign w:val="center"/>
            <w:hideMark/>
          </w:tcPr>
          <w:p w14:paraId="39BA21AF" w14:textId="713EE2BB" w:rsidR="004C3088" w:rsidRPr="004C3088" w:rsidRDefault="004C3088" w:rsidP="009422B4">
            <w:pPr>
              <w:widowControl/>
              <w:autoSpaceDE/>
              <w:autoSpaceDN/>
              <w:jc w:val="center"/>
              <w:rPr>
                <w:rFonts w:asciiTheme="minorHAnsi" w:eastAsia="Times New Roman" w:hAnsiTheme="minorHAnsi"/>
                <w:color w:val="000000" w:themeColor="text1"/>
                <w:szCs w:val="24"/>
              </w:rPr>
            </w:pPr>
            <w:r w:rsidRPr="004C3088">
              <w:rPr>
                <w:rFonts w:asciiTheme="minorHAnsi" w:eastAsia="Times New Roman" w:hAnsiTheme="minorHAnsi"/>
                <w:color w:val="000000" w:themeColor="text1"/>
                <w:szCs w:val="24"/>
              </w:rPr>
              <w:t>2,521</w:t>
            </w:r>
          </w:p>
        </w:tc>
        <w:tc>
          <w:tcPr>
            <w:tcW w:w="2160" w:type="dxa"/>
            <w:vAlign w:val="center"/>
            <w:hideMark/>
          </w:tcPr>
          <w:p w14:paraId="34AB0B18" w14:textId="74D047CB" w:rsidR="004C3088" w:rsidRPr="004C3088" w:rsidRDefault="004C3088" w:rsidP="009422B4">
            <w:pPr>
              <w:widowControl/>
              <w:autoSpaceDE/>
              <w:autoSpaceDN/>
              <w:jc w:val="center"/>
              <w:rPr>
                <w:rFonts w:asciiTheme="minorHAnsi" w:eastAsia="Times New Roman" w:hAnsiTheme="minorHAnsi"/>
                <w:color w:val="000000" w:themeColor="text1"/>
                <w:szCs w:val="24"/>
              </w:rPr>
            </w:pPr>
            <w:r w:rsidRPr="004C3088">
              <w:rPr>
                <w:rFonts w:asciiTheme="minorHAnsi" w:eastAsia="Times New Roman" w:hAnsiTheme="minorHAnsi"/>
                <w:color w:val="000000" w:themeColor="text1"/>
                <w:szCs w:val="24"/>
              </w:rPr>
              <w:t>72%</w:t>
            </w:r>
          </w:p>
        </w:tc>
      </w:tr>
      <w:tr w:rsidR="00805E6E" w:rsidRPr="00E5470F" w14:paraId="3D7770C8" w14:textId="77777777" w:rsidTr="00805E6E">
        <w:trPr>
          <w:trHeight w:val="300"/>
        </w:trPr>
        <w:tc>
          <w:tcPr>
            <w:tcW w:w="0" w:type="auto"/>
            <w:vAlign w:val="center"/>
            <w:hideMark/>
          </w:tcPr>
          <w:p w14:paraId="36D153DD" w14:textId="77777777" w:rsidR="004C3088" w:rsidRPr="004C3088" w:rsidRDefault="004C3088" w:rsidP="00C71B1F">
            <w:pPr>
              <w:widowControl/>
              <w:autoSpaceDE/>
              <w:autoSpaceDN/>
              <w:jc w:val="center"/>
              <w:rPr>
                <w:rFonts w:asciiTheme="minorHAnsi" w:eastAsia="Times New Roman" w:hAnsiTheme="minorHAnsi"/>
                <w:color w:val="000000" w:themeColor="text1"/>
                <w:szCs w:val="24"/>
              </w:rPr>
            </w:pPr>
            <w:r w:rsidRPr="004C3088">
              <w:rPr>
                <w:rFonts w:asciiTheme="minorHAnsi" w:eastAsia="Times New Roman" w:hAnsiTheme="minorHAnsi"/>
                <w:color w:val="000000" w:themeColor="text1"/>
                <w:szCs w:val="24"/>
              </w:rPr>
              <w:t>2029</w:t>
            </w:r>
          </w:p>
        </w:tc>
        <w:tc>
          <w:tcPr>
            <w:tcW w:w="2010" w:type="dxa"/>
            <w:vAlign w:val="center"/>
            <w:hideMark/>
          </w:tcPr>
          <w:p w14:paraId="178B1F47" w14:textId="148D12CD" w:rsidR="004C3088" w:rsidRPr="004C3088" w:rsidRDefault="004C3088" w:rsidP="009422B4">
            <w:pPr>
              <w:widowControl/>
              <w:autoSpaceDE/>
              <w:autoSpaceDN/>
              <w:jc w:val="center"/>
              <w:rPr>
                <w:rFonts w:asciiTheme="minorHAnsi" w:eastAsia="Times New Roman" w:hAnsiTheme="minorHAnsi"/>
                <w:color w:val="000000" w:themeColor="text1"/>
                <w:szCs w:val="24"/>
              </w:rPr>
            </w:pPr>
            <w:r w:rsidRPr="004C3088">
              <w:rPr>
                <w:rFonts w:asciiTheme="minorHAnsi" w:eastAsia="Times New Roman" w:hAnsiTheme="minorHAnsi"/>
                <w:color w:val="000000" w:themeColor="text1"/>
                <w:szCs w:val="24"/>
              </w:rPr>
              <w:t>2,855</w:t>
            </w:r>
          </w:p>
        </w:tc>
        <w:tc>
          <w:tcPr>
            <w:tcW w:w="2160" w:type="dxa"/>
            <w:vAlign w:val="center"/>
            <w:hideMark/>
          </w:tcPr>
          <w:p w14:paraId="4F3BA00A" w14:textId="755F33B9" w:rsidR="004C3088" w:rsidRPr="004C3088" w:rsidRDefault="004C3088" w:rsidP="009422B4">
            <w:pPr>
              <w:widowControl/>
              <w:autoSpaceDE/>
              <w:autoSpaceDN/>
              <w:jc w:val="center"/>
              <w:rPr>
                <w:rFonts w:asciiTheme="minorHAnsi" w:eastAsia="Times New Roman" w:hAnsiTheme="minorHAnsi"/>
                <w:color w:val="000000" w:themeColor="text1"/>
                <w:szCs w:val="24"/>
              </w:rPr>
            </w:pPr>
            <w:r w:rsidRPr="004C3088">
              <w:rPr>
                <w:rFonts w:asciiTheme="minorHAnsi" w:eastAsia="Times New Roman" w:hAnsiTheme="minorHAnsi"/>
                <w:color w:val="000000" w:themeColor="text1"/>
                <w:szCs w:val="24"/>
              </w:rPr>
              <w:t>82%</w:t>
            </w:r>
          </w:p>
        </w:tc>
      </w:tr>
      <w:tr w:rsidR="00805E6E" w:rsidRPr="00E5470F" w14:paraId="237C92AE" w14:textId="77777777" w:rsidTr="00805E6E">
        <w:trPr>
          <w:trHeight w:val="300"/>
        </w:trPr>
        <w:tc>
          <w:tcPr>
            <w:tcW w:w="0" w:type="auto"/>
            <w:vAlign w:val="center"/>
            <w:hideMark/>
          </w:tcPr>
          <w:p w14:paraId="2A2E77A2" w14:textId="77777777" w:rsidR="004C3088" w:rsidRPr="004C3088" w:rsidRDefault="004C3088" w:rsidP="00C71B1F">
            <w:pPr>
              <w:widowControl/>
              <w:autoSpaceDE/>
              <w:autoSpaceDN/>
              <w:jc w:val="center"/>
              <w:rPr>
                <w:rFonts w:asciiTheme="minorHAnsi" w:eastAsia="Times New Roman" w:hAnsiTheme="minorHAnsi"/>
                <w:color w:val="000000" w:themeColor="text1"/>
                <w:szCs w:val="24"/>
              </w:rPr>
            </w:pPr>
            <w:r w:rsidRPr="004C3088">
              <w:rPr>
                <w:rFonts w:asciiTheme="minorHAnsi" w:eastAsia="Times New Roman" w:hAnsiTheme="minorHAnsi"/>
                <w:color w:val="000000" w:themeColor="text1"/>
                <w:szCs w:val="24"/>
              </w:rPr>
              <w:t>2030</w:t>
            </w:r>
          </w:p>
        </w:tc>
        <w:tc>
          <w:tcPr>
            <w:tcW w:w="2010" w:type="dxa"/>
            <w:vAlign w:val="center"/>
            <w:hideMark/>
          </w:tcPr>
          <w:p w14:paraId="53B0468F" w14:textId="0317077C" w:rsidR="004C3088" w:rsidRPr="004C3088" w:rsidRDefault="004C3088" w:rsidP="009422B4">
            <w:pPr>
              <w:widowControl/>
              <w:autoSpaceDE/>
              <w:autoSpaceDN/>
              <w:jc w:val="center"/>
              <w:rPr>
                <w:rFonts w:asciiTheme="minorHAnsi" w:eastAsia="Times New Roman" w:hAnsiTheme="minorHAnsi"/>
                <w:color w:val="000000" w:themeColor="text1"/>
                <w:szCs w:val="24"/>
              </w:rPr>
            </w:pPr>
            <w:r w:rsidRPr="004C3088">
              <w:rPr>
                <w:rFonts w:asciiTheme="minorHAnsi" w:eastAsia="Times New Roman" w:hAnsiTheme="minorHAnsi"/>
                <w:color w:val="000000" w:themeColor="text1"/>
                <w:szCs w:val="24"/>
              </w:rPr>
              <w:t>3,105</w:t>
            </w:r>
          </w:p>
        </w:tc>
        <w:tc>
          <w:tcPr>
            <w:tcW w:w="2160" w:type="dxa"/>
            <w:vAlign w:val="center"/>
            <w:hideMark/>
          </w:tcPr>
          <w:p w14:paraId="2C8FCB72" w14:textId="60503F82" w:rsidR="004C3088" w:rsidRPr="004C3088" w:rsidRDefault="004C3088" w:rsidP="009422B4">
            <w:pPr>
              <w:widowControl/>
              <w:autoSpaceDE/>
              <w:autoSpaceDN/>
              <w:jc w:val="center"/>
              <w:rPr>
                <w:rFonts w:asciiTheme="minorHAnsi" w:eastAsia="Times New Roman" w:hAnsiTheme="minorHAnsi"/>
                <w:color w:val="000000" w:themeColor="text1"/>
                <w:szCs w:val="24"/>
              </w:rPr>
            </w:pPr>
            <w:r w:rsidRPr="004C3088">
              <w:rPr>
                <w:rFonts w:asciiTheme="minorHAnsi" w:eastAsia="Times New Roman" w:hAnsiTheme="minorHAnsi"/>
                <w:color w:val="000000" w:themeColor="text1"/>
                <w:szCs w:val="24"/>
              </w:rPr>
              <w:t>89%</w:t>
            </w:r>
          </w:p>
        </w:tc>
      </w:tr>
    </w:tbl>
    <w:p w14:paraId="2C37F78A" w14:textId="77777777" w:rsidR="00071B40" w:rsidRDefault="00071B40" w:rsidP="00C316C3">
      <w:pPr>
        <w:rPr>
          <w:rFonts w:asciiTheme="minorHAnsi" w:hAnsiTheme="minorHAnsi"/>
          <w:szCs w:val="24"/>
        </w:rPr>
      </w:pPr>
    </w:p>
    <w:p w14:paraId="0993FEC9" w14:textId="73055966" w:rsidR="00297926" w:rsidRDefault="00297926" w:rsidP="00297926">
      <w:pPr>
        <w:pStyle w:val="BodyText"/>
        <w:spacing w:line="269" w:lineRule="exact"/>
        <w:rPr>
          <w:rFonts w:asciiTheme="minorHAnsi" w:hAnsiTheme="minorHAnsi"/>
        </w:rPr>
      </w:pPr>
      <w:r>
        <w:rPr>
          <w:rFonts w:asciiTheme="minorHAnsi" w:hAnsiTheme="minorHAnsi"/>
        </w:rPr>
        <w:t xml:space="preserve">Table </w:t>
      </w:r>
      <w:r w:rsidR="00350EC1">
        <w:rPr>
          <w:rFonts w:asciiTheme="minorHAnsi" w:hAnsiTheme="minorHAnsi"/>
        </w:rPr>
        <w:t>1</w:t>
      </w:r>
      <w:r w:rsidR="00A9310C">
        <w:rPr>
          <w:rFonts w:asciiTheme="minorHAnsi" w:hAnsiTheme="minorHAnsi"/>
        </w:rPr>
        <w:t>7</w:t>
      </w:r>
      <w:r>
        <w:rPr>
          <w:rFonts w:asciiTheme="minorHAnsi" w:hAnsiTheme="minorHAnsi"/>
        </w:rPr>
        <w:t xml:space="preserve"> shows a breakdown of the Center’s projected case volume by upper and lower endoscopy for CY22 to CY24.</w:t>
      </w:r>
    </w:p>
    <w:p w14:paraId="0DA21F18" w14:textId="77777777" w:rsidR="00297926" w:rsidRDefault="00297926" w:rsidP="00297926">
      <w:pPr>
        <w:pStyle w:val="BodyText"/>
        <w:spacing w:line="269" w:lineRule="exact"/>
        <w:rPr>
          <w:rFonts w:asciiTheme="minorHAnsi" w:hAnsiTheme="minorHAnsi"/>
        </w:rPr>
      </w:pPr>
    </w:p>
    <w:p w14:paraId="1F8F866E" w14:textId="5051B957" w:rsidR="00297926" w:rsidRPr="00941D2D" w:rsidRDefault="00297926" w:rsidP="00297926">
      <w:pPr>
        <w:pStyle w:val="BodyText"/>
        <w:spacing w:line="269" w:lineRule="exact"/>
        <w:rPr>
          <w:rFonts w:asciiTheme="minorHAnsi" w:hAnsiTheme="minorHAnsi"/>
          <w:b/>
          <w:bCs/>
        </w:rPr>
      </w:pPr>
      <w:r w:rsidRPr="00941D2D">
        <w:rPr>
          <w:rFonts w:asciiTheme="minorHAnsi" w:hAnsiTheme="minorHAnsi"/>
          <w:b/>
          <w:bCs/>
          <w:u w:val="single"/>
        </w:rPr>
        <w:t xml:space="preserve">Table </w:t>
      </w:r>
      <w:r w:rsidR="00350EC1">
        <w:rPr>
          <w:rFonts w:asciiTheme="minorHAnsi" w:hAnsiTheme="minorHAnsi"/>
          <w:b/>
          <w:bCs/>
          <w:u w:val="single"/>
        </w:rPr>
        <w:t>1</w:t>
      </w:r>
      <w:r w:rsidR="00A9310C">
        <w:rPr>
          <w:rFonts w:asciiTheme="minorHAnsi" w:hAnsiTheme="minorHAnsi"/>
          <w:b/>
          <w:bCs/>
          <w:u w:val="single"/>
        </w:rPr>
        <w:t>7</w:t>
      </w:r>
      <w:r w:rsidRPr="00941D2D">
        <w:rPr>
          <w:rFonts w:asciiTheme="minorHAnsi" w:hAnsiTheme="minorHAnsi"/>
          <w:b/>
          <w:bCs/>
        </w:rPr>
        <w:t>: The Center’s</w:t>
      </w:r>
      <w:r w:rsidR="00DE2067">
        <w:rPr>
          <w:rFonts w:asciiTheme="minorHAnsi" w:hAnsiTheme="minorHAnsi"/>
          <w:b/>
          <w:bCs/>
        </w:rPr>
        <w:t xml:space="preserve"> Projected</w:t>
      </w:r>
      <w:r w:rsidRPr="00941D2D">
        <w:rPr>
          <w:rFonts w:asciiTheme="minorHAnsi" w:hAnsiTheme="minorHAnsi"/>
          <w:b/>
          <w:bCs/>
        </w:rPr>
        <w:t xml:space="preserve"> Case Volume by Upper and Lower Endoscopy, 202</w:t>
      </w:r>
      <w:r w:rsidR="009D3855">
        <w:rPr>
          <w:rFonts w:asciiTheme="minorHAnsi" w:hAnsiTheme="minorHAnsi"/>
          <w:b/>
          <w:bCs/>
        </w:rPr>
        <w:t>7</w:t>
      </w:r>
      <w:r w:rsidRPr="00941D2D">
        <w:rPr>
          <w:rFonts w:asciiTheme="minorHAnsi" w:hAnsiTheme="minorHAnsi"/>
          <w:b/>
          <w:bCs/>
        </w:rPr>
        <w:t xml:space="preserve"> to 20</w:t>
      </w:r>
      <w:r w:rsidR="009D3855">
        <w:rPr>
          <w:rFonts w:asciiTheme="minorHAnsi" w:hAnsiTheme="minorHAnsi"/>
          <w:b/>
          <w:bCs/>
        </w:rPr>
        <w:t>31</w:t>
      </w:r>
      <w:r w:rsidRPr="00941D2D">
        <w:rPr>
          <w:rFonts w:asciiTheme="minorHAnsi" w:hAnsiTheme="minorHAnsi"/>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763"/>
        <w:gridCol w:w="763"/>
        <w:gridCol w:w="763"/>
        <w:gridCol w:w="763"/>
        <w:gridCol w:w="763"/>
      </w:tblGrid>
      <w:tr w:rsidR="00F35121" w:rsidRPr="00DF3149" w14:paraId="73D5027F" w14:textId="77777777" w:rsidTr="00DF3149">
        <w:trPr>
          <w:trHeight w:val="173"/>
        </w:trPr>
        <w:tc>
          <w:tcPr>
            <w:tcW w:w="0" w:type="auto"/>
            <w:shd w:val="clear" w:color="auto" w:fill="DBE5F1" w:themeFill="accent1" w:themeFillTint="33"/>
            <w:vAlign w:val="center"/>
            <w:hideMark/>
          </w:tcPr>
          <w:p w14:paraId="12880F14" w14:textId="05D3E7A8" w:rsidR="00F35121" w:rsidRPr="008B7C17" w:rsidRDefault="00F35121" w:rsidP="008B7C17">
            <w:pPr>
              <w:widowControl/>
              <w:autoSpaceDE/>
              <w:autoSpaceDN/>
              <w:rPr>
                <w:rFonts w:asciiTheme="minorHAnsi" w:eastAsia="Times New Roman" w:hAnsiTheme="minorHAnsi"/>
                <w:b/>
                <w:bCs/>
                <w:color w:val="000000"/>
                <w:szCs w:val="24"/>
              </w:rPr>
            </w:pPr>
            <w:r w:rsidRPr="008B7C17">
              <w:rPr>
                <w:rFonts w:asciiTheme="minorHAnsi" w:eastAsia="Times New Roman" w:hAnsiTheme="minorHAnsi"/>
                <w:b/>
                <w:bCs/>
                <w:color w:val="000000"/>
                <w:szCs w:val="24"/>
              </w:rPr>
              <w:t xml:space="preserve">Projected Volume </w:t>
            </w:r>
          </w:p>
        </w:tc>
        <w:tc>
          <w:tcPr>
            <w:tcW w:w="0" w:type="auto"/>
            <w:shd w:val="clear" w:color="auto" w:fill="DBE5F1" w:themeFill="accent1" w:themeFillTint="33"/>
            <w:vAlign w:val="center"/>
            <w:hideMark/>
          </w:tcPr>
          <w:p w14:paraId="08B73628" w14:textId="77777777" w:rsidR="00F35121" w:rsidRPr="008B7C17" w:rsidRDefault="00F35121" w:rsidP="00DF3149">
            <w:pPr>
              <w:widowControl/>
              <w:autoSpaceDE/>
              <w:autoSpaceDN/>
              <w:jc w:val="center"/>
              <w:rPr>
                <w:rFonts w:asciiTheme="minorHAnsi" w:eastAsia="Times New Roman" w:hAnsiTheme="minorHAnsi"/>
                <w:b/>
                <w:bCs/>
                <w:color w:val="000000"/>
                <w:szCs w:val="24"/>
              </w:rPr>
            </w:pPr>
            <w:r w:rsidRPr="008B7C17">
              <w:rPr>
                <w:rFonts w:asciiTheme="minorHAnsi" w:eastAsia="Times New Roman" w:hAnsiTheme="minorHAnsi"/>
                <w:b/>
                <w:bCs/>
                <w:color w:val="000000"/>
                <w:szCs w:val="24"/>
              </w:rPr>
              <w:t>2027</w:t>
            </w:r>
          </w:p>
        </w:tc>
        <w:tc>
          <w:tcPr>
            <w:tcW w:w="0" w:type="auto"/>
            <w:shd w:val="clear" w:color="auto" w:fill="DBE5F1" w:themeFill="accent1" w:themeFillTint="33"/>
            <w:vAlign w:val="center"/>
            <w:hideMark/>
          </w:tcPr>
          <w:p w14:paraId="77A54ADF" w14:textId="77777777" w:rsidR="00F35121" w:rsidRPr="008B7C17" w:rsidRDefault="00F35121" w:rsidP="00DF3149">
            <w:pPr>
              <w:widowControl/>
              <w:autoSpaceDE/>
              <w:autoSpaceDN/>
              <w:jc w:val="center"/>
              <w:rPr>
                <w:rFonts w:asciiTheme="minorHAnsi" w:eastAsia="Times New Roman" w:hAnsiTheme="minorHAnsi"/>
                <w:b/>
                <w:bCs/>
                <w:color w:val="000000"/>
                <w:szCs w:val="24"/>
              </w:rPr>
            </w:pPr>
            <w:r w:rsidRPr="008B7C17">
              <w:rPr>
                <w:rFonts w:asciiTheme="minorHAnsi" w:eastAsia="Times New Roman" w:hAnsiTheme="minorHAnsi"/>
                <w:b/>
                <w:bCs/>
                <w:color w:val="000000"/>
                <w:szCs w:val="24"/>
              </w:rPr>
              <w:t>2028</w:t>
            </w:r>
          </w:p>
        </w:tc>
        <w:tc>
          <w:tcPr>
            <w:tcW w:w="0" w:type="auto"/>
            <w:shd w:val="clear" w:color="auto" w:fill="DBE5F1" w:themeFill="accent1" w:themeFillTint="33"/>
            <w:vAlign w:val="center"/>
            <w:hideMark/>
          </w:tcPr>
          <w:p w14:paraId="1B364743" w14:textId="77777777" w:rsidR="00F35121" w:rsidRPr="008B7C17" w:rsidRDefault="00F35121" w:rsidP="00DF3149">
            <w:pPr>
              <w:widowControl/>
              <w:autoSpaceDE/>
              <w:autoSpaceDN/>
              <w:jc w:val="center"/>
              <w:rPr>
                <w:rFonts w:asciiTheme="minorHAnsi" w:eastAsia="Times New Roman" w:hAnsiTheme="minorHAnsi"/>
                <w:b/>
                <w:bCs/>
                <w:color w:val="000000"/>
                <w:szCs w:val="24"/>
              </w:rPr>
            </w:pPr>
            <w:r w:rsidRPr="008B7C17">
              <w:rPr>
                <w:rFonts w:asciiTheme="minorHAnsi" w:eastAsia="Times New Roman" w:hAnsiTheme="minorHAnsi"/>
                <w:b/>
                <w:bCs/>
                <w:color w:val="000000"/>
                <w:szCs w:val="24"/>
              </w:rPr>
              <w:t>2029</w:t>
            </w:r>
          </w:p>
        </w:tc>
        <w:tc>
          <w:tcPr>
            <w:tcW w:w="0" w:type="auto"/>
            <w:shd w:val="clear" w:color="auto" w:fill="DBE5F1" w:themeFill="accent1" w:themeFillTint="33"/>
            <w:vAlign w:val="center"/>
            <w:hideMark/>
          </w:tcPr>
          <w:p w14:paraId="0C5882FA" w14:textId="77777777" w:rsidR="00F35121" w:rsidRPr="008B7C17" w:rsidRDefault="00F35121" w:rsidP="00DF3149">
            <w:pPr>
              <w:widowControl/>
              <w:autoSpaceDE/>
              <w:autoSpaceDN/>
              <w:jc w:val="center"/>
              <w:rPr>
                <w:rFonts w:asciiTheme="minorHAnsi" w:eastAsia="Times New Roman" w:hAnsiTheme="minorHAnsi"/>
                <w:b/>
                <w:bCs/>
                <w:color w:val="000000"/>
                <w:szCs w:val="24"/>
              </w:rPr>
            </w:pPr>
            <w:r w:rsidRPr="008B7C17">
              <w:rPr>
                <w:rFonts w:asciiTheme="minorHAnsi" w:eastAsia="Times New Roman" w:hAnsiTheme="minorHAnsi"/>
                <w:b/>
                <w:bCs/>
                <w:color w:val="000000"/>
                <w:szCs w:val="24"/>
              </w:rPr>
              <w:t>2030</w:t>
            </w:r>
          </w:p>
        </w:tc>
        <w:tc>
          <w:tcPr>
            <w:tcW w:w="0" w:type="auto"/>
            <w:shd w:val="clear" w:color="auto" w:fill="DBE5F1" w:themeFill="accent1" w:themeFillTint="33"/>
            <w:vAlign w:val="center"/>
            <w:hideMark/>
          </w:tcPr>
          <w:p w14:paraId="3AA555B0" w14:textId="77777777" w:rsidR="00F35121" w:rsidRPr="008B7C17" w:rsidRDefault="00F35121" w:rsidP="00DF3149">
            <w:pPr>
              <w:widowControl/>
              <w:autoSpaceDE/>
              <w:autoSpaceDN/>
              <w:jc w:val="center"/>
              <w:rPr>
                <w:rFonts w:asciiTheme="minorHAnsi" w:eastAsia="Times New Roman" w:hAnsiTheme="minorHAnsi"/>
                <w:b/>
                <w:bCs/>
                <w:color w:val="000000"/>
                <w:szCs w:val="24"/>
              </w:rPr>
            </w:pPr>
            <w:r w:rsidRPr="008B7C17">
              <w:rPr>
                <w:rFonts w:asciiTheme="minorHAnsi" w:eastAsia="Times New Roman" w:hAnsiTheme="minorHAnsi"/>
                <w:b/>
                <w:bCs/>
                <w:color w:val="000000"/>
                <w:szCs w:val="24"/>
              </w:rPr>
              <w:t>2031</w:t>
            </w:r>
          </w:p>
        </w:tc>
      </w:tr>
      <w:tr w:rsidR="008B7C17" w:rsidRPr="008B7C17" w14:paraId="3358494D" w14:textId="77777777" w:rsidTr="00DF3149">
        <w:trPr>
          <w:trHeight w:val="101"/>
        </w:trPr>
        <w:tc>
          <w:tcPr>
            <w:tcW w:w="0" w:type="auto"/>
            <w:vAlign w:val="center"/>
            <w:hideMark/>
          </w:tcPr>
          <w:p w14:paraId="6C1EF3A0" w14:textId="77777777" w:rsidR="008B7C17" w:rsidRPr="008B7C17" w:rsidRDefault="008B7C17" w:rsidP="00F35121">
            <w:pPr>
              <w:widowControl/>
              <w:autoSpaceDE/>
              <w:autoSpaceDN/>
              <w:rPr>
                <w:rFonts w:asciiTheme="minorHAnsi" w:eastAsia="Times New Roman" w:hAnsiTheme="minorHAnsi"/>
                <w:color w:val="000000"/>
                <w:szCs w:val="24"/>
              </w:rPr>
            </w:pPr>
            <w:r w:rsidRPr="008B7C17">
              <w:rPr>
                <w:rFonts w:asciiTheme="minorHAnsi" w:eastAsia="Times New Roman" w:hAnsiTheme="minorHAnsi"/>
                <w:color w:val="000000"/>
                <w:szCs w:val="24"/>
              </w:rPr>
              <w:t>Upper</w:t>
            </w:r>
          </w:p>
        </w:tc>
        <w:tc>
          <w:tcPr>
            <w:tcW w:w="0" w:type="auto"/>
            <w:vAlign w:val="center"/>
            <w:hideMark/>
          </w:tcPr>
          <w:p w14:paraId="7A752AD8" w14:textId="77777777" w:rsidR="008B7C17" w:rsidRPr="008B7C17" w:rsidRDefault="008B7C17" w:rsidP="00DF3149">
            <w:pPr>
              <w:widowControl/>
              <w:autoSpaceDE/>
              <w:autoSpaceDN/>
              <w:jc w:val="center"/>
              <w:rPr>
                <w:rFonts w:asciiTheme="minorHAnsi" w:eastAsia="Times New Roman" w:hAnsiTheme="minorHAnsi"/>
                <w:color w:val="000000"/>
                <w:szCs w:val="24"/>
              </w:rPr>
            </w:pPr>
            <w:r w:rsidRPr="008B7C17">
              <w:rPr>
                <w:rFonts w:asciiTheme="minorHAnsi" w:eastAsia="Times New Roman" w:hAnsiTheme="minorHAnsi"/>
                <w:color w:val="000000"/>
                <w:szCs w:val="24"/>
              </w:rPr>
              <w:t>1,169</w:t>
            </w:r>
          </w:p>
        </w:tc>
        <w:tc>
          <w:tcPr>
            <w:tcW w:w="0" w:type="auto"/>
            <w:vAlign w:val="center"/>
            <w:hideMark/>
          </w:tcPr>
          <w:p w14:paraId="7BF9AC0F" w14:textId="77777777" w:rsidR="008B7C17" w:rsidRPr="008B7C17" w:rsidRDefault="008B7C17" w:rsidP="00DF3149">
            <w:pPr>
              <w:widowControl/>
              <w:autoSpaceDE/>
              <w:autoSpaceDN/>
              <w:jc w:val="center"/>
              <w:rPr>
                <w:rFonts w:asciiTheme="minorHAnsi" w:eastAsia="Times New Roman" w:hAnsiTheme="minorHAnsi"/>
                <w:color w:val="000000"/>
                <w:szCs w:val="24"/>
              </w:rPr>
            </w:pPr>
            <w:r w:rsidRPr="008B7C17">
              <w:rPr>
                <w:rFonts w:asciiTheme="minorHAnsi" w:eastAsia="Times New Roman" w:hAnsiTheme="minorHAnsi"/>
                <w:color w:val="000000"/>
                <w:szCs w:val="24"/>
              </w:rPr>
              <w:t>1,378</w:t>
            </w:r>
          </w:p>
        </w:tc>
        <w:tc>
          <w:tcPr>
            <w:tcW w:w="0" w:type="auto"/>
            <w:vAlign w:val="center"/>
            <w:hideMark/>
          </w:tcPr>
          <w:p w14:paraId="344AA493" w14:textId="77777777" w:rsidR="008B7C17" w:rsidRPr="008B7C17" w:rsidRDefault="008B7C17" w:rsidP="00DF3149">
            <w:pPr>
              <w:widowControl/>
              <w:autoSpaceDE/>
              <w:autoSpaceDN/>
              <w:jc w:val="center"/>
              <w:rPr>
                <w:rFonts w:asciiTheme="minorHAnsi" w:eastAsia="Times New Roman" w:hAnsiTheme="minorHAnsi"/>
                <w:color w:val="000000"/>
                <w:szCs w:val="24"/>
              </w:rPr>
            </w:pPr>
            <w:r w:rsidRPr="008B7C17">
              <w:rPr>
                <w:rFonts w:asciiTheme="minorHAnsi" w:eastAsia="Times New Roman" w:hAnsiTheme="minorHAnsi"/>
                <w:color w:val="000000"/>
                <w:szCs w:val="24"/>
              </w:rPr>
              <w:t>1,589</w:t>
            </w:r>
          </w:p>
        </w:tc>
        <w:tc>
          <w:tcPr>
            <w:tcW w:w="0" w:type="auto"/>
            <w:vAlign w:val="center"/>
            <w:hideMark/>
          </w:tcPr>
          <w:p w14:paraId="2E986F40" w14:textId="77777777" w:rsidR="008B7C17" w:rsidRPr="008B7C17" w:rsidRDefault="008B7C17" w:rsidP="00DF3149">
            <w:pPr>
              <w:widowControl/>
              <w:autoSpaceDE/>
              <w:autoSpaceDN/>
              <w:jc w:val="center"/>
              <w:rPr>
                <w:rFonts w:asciiTheme="minorHAnsi" w:eastAsia="Times New Roman" w:hAnsiTheme="minorHAnsi"/>
                <w:color w:val="000000"/>
                <w:szCs w:val="24"/>
              </w:rPr>
            </w:pPr>
            <w:r w:rsidRPr="008B7C17">
              <w:rPr>
                <w:rFonts w:asciiTheme="minorHAnsi" w:eastAsia="Times New Roman" w:hAnsiTheme="minorHAnsi"/>
                <w:color w:val="000000"/>
                <w:szCs w:val="24"/>
              </w:rPr>
              <w:t>1,798</w:t>
            </w:r>
          </w:p>
        </w:tc>
        <w:tc>
          <w:tcPr>
            <w:tcW w:w="0" w:type="auto"/>
            <w:vAlign w:val="center"/>
            <w:hideMark/>
          </w:tcPr>
          <w:p w14:paraId="28F0A78B" w14:textId="77777777" w:rsidR="008B7C17" w:rsidRPr="008B7C17" w:rsidRDefault="008B7C17" w:rsidP="00DF3149">
            <w:pPr>
              <w:widowControl/>
              <w:autoSpaceDE/>
              <w:autoSpaceDN/>
              <w:jc w:val="center"/>
              <w:rPr>
                <w:rFonts w:asciiTheme="minorHAnsi" w:eastAsia="Times New Roman" w:hAnsiTheme="minorHAnsi"/>
                <w:color w:val="000000"/>
                <w:szCs w:val="24"/>
              </w:rPr>
            </w:pPr>
            <w:r w:rsidRPr="008B7C17">
              <w:rPr>
                <w:rFonts w:asciiTheme="minorHAnsi" w:eastAsia="Times New Roman" w:hAnsiTheme="minorHAnsi"/>
                <w:color w:val="000000"/>
                <w:szCs w:val="24"/>
              </w:rPr>
              <w:t>1,956</w:t>
            </w:r>
          </w:p>
        </w:tc>
      </w:tr>
      <w:tr w:rsidR="008B7C17" w:rsidRPr="008B7C17" w14:paraId="05A67DEC" w14:textId="77777777" w:rsidTr="00DF3149">
        <w:trPr>
          <w:trHeight w:val="56"/>
        </w:trPr>
        <w:tc>
          <w:tcPr>
            <w:tcW w:w="0" w:type="auto"/>
            <w:vAlign w:val="center"/>
            <w:hideMark/>
          </w:tcPr>
          <w:p w14:paraId="5D00E597" w14:textId="77777777" w:rsidR="008B7C17" w:rsidRPr="008B7C17" w:rsidRDefault="008B7C17" w:rsidP="00F35121">
            <w:pPr>
              <w:widowControl/>
              <w:autoSpaceDE/>
              <w:autoSpaceDN/>
              <w:rPr>
                <w:rFonts w:asciiTheme="minorHAnsi" w:eastAsia="Times New Roman" w:hAnsiTheme="minorHAnsi"/>
                <w:color w:val="000000"/>
                <w:szCs w:val="24"/>
              </w:rPr>
            </w:pPr>
            <w:r w:rsidRPr="008B7C17">
              <w:rPr>
                <w:rFonts w:asciiTheme="minorHAnsi" w:eastAsia="Times New Roman" w:hAnsiTheme="minorHAnsi"/>
                <w:color w:val="000000"/>
                <w:szCs w:val="24"/>
              </w:rPr>
              <w:t>Lower</w:t>
            </w:r>
          </w:p>
        </w:tc>
        <w:tc>
          <w:tcPr>
            <w:tcW w:w="0" w:type="auto"/>
            <w:vAlign w:val="center"/>
            <w:hideMark/>
          </w:tcPr>
          <w:p w14:paraId="0674AACD" w14:textId="77777777" w:rsidR="008B7C17" w:rsidRPr="008B7C17" w:rsidRDefault="008B7C17" w:rsidP="00DF3149">
            <w:pPr>
              <w:widowControl/>
              <w:autoSpaceDE/>
              <w:autoSpaceDN/>
              <w:jc w:val="center"/>
              <w:rPr>
                <w:rFonts w:asciiTheme="minorHAnsi" w:eastAsia="Times New Roman" w:hAnsiTheme="minorHAnsi"/>
                <w:color w:val="000000"/>
                <w:szCs w:val="24"/>
              </w:rPr>
            </w:pPr>
            <w:r w:rsidRPr="008B7C17">
              <w:rPr>
                <w:rFonts w:asciiTheme="minorHAnsi" w:eastAsia="Times New Roman" w:hAnsiTheme="minorHAnsi"/>
                <w:color w:val="000000"/>
                <w:szCs w:val="24"/>
              </w:rPr>
              <w:t>4,395</w:t>
            </w:r>
          </w:p>
        </w:tc>
        <w:tc>
          <w:tcPr>
            <w:tcW w:w="0" w:type="auto"/>
            <w:vAlign w:val="center"/>
            <w:hideMark/>
          </w:tcPr>
          <w:p w14:paraId="44C91EE3" w14:textId="77777777" w:rsidR="008B7C17" w:rsidRPr="008B7C17" w:rsidRDefault="008B7C17" w:rsidP="00DF3149">
            <w:pPr>
              <w:widowControl/>
              <w:autoSpaceDE/>
              <w:autoSpaceDN/>
              <w:jc w:val="center"/>
              <w:rPr>
                <w:rFonts w:asciiTheme="minorHAnsi" w:eastAsia="Times New Roman" w:hAnsiTheme="minorHAnsi"/>
                <w:color w:val="000000"/>
                <w:szCs w:val="24"/>
              </w:rPr>
            </w:pPr>
            <w:r w:rsidRPr="008B7C17">
              <w:rPr>
                <w:rFonts w:asciiTheme="minorHAnsi" w:eastAsia="Times New Roman" w:hAnsiTheme="minorHAnsi"/>
                <w:color w:val="000000"/>
                <w:szCs w:val="24"/>
              </w:rPr>
              <w:t>5,186</w:t>
            </w:r>
          </w:p>
        </w:tc>
        <w:tc>
          <w:tcPr>
            <w:tcW w:w="0" w:type="auto"/>
            <w:vAlign w:val="center"/>
            <w:hideMark/>
          </w:tcPr>
          <w:p w14:paraId="72B2CEF1" w14:textId="77777777" w:rsidR="008B7C17" w:rsidRPr="008B7C17" w:rsidRDefault="008B7C17" w:rsidP="00DF3149">
            <w:pPr>
              <w:widowControl/>
              <w:autoSpaceDE/>
              <w:autoSpaceDN/>
              <w:jc w:val="center"/>
              <w:rPr>
                <w:rFonts w:asciiTheme="minorHAnsi" w:eastAsia="Times New Roman" w:hAnsiTheme="minorHAnsi"/>
                <w:color w:val="000000"/>
                <w:szCs w:val="24"/>
              </w:rPr>
            </w:pPr>
            <w:r w:rsidRPr="008B7C17">
              <w:rPr>
                <w:rFonts w:asciiTheme="minorHAnsi" w:eastAsia="Times New Roman" w:hAnsiTheme="minorHAnsi"/>
                <w:color w:val="000000"/>
                <w:szCs w:val="24"/>
              </w:rPr>
              <w:t>5,975</w:t>
            </w:r>
          </w:p>
        </w:tc>
        <w:tc>
          <w:tcPr>
            <w:tcW w:w="0" w:type="auto"/>
            <w:vAlign w:val="center"/>
            <w:hideMark/>
          </w:tcPr>
          <w:p w14:paraId="50B9E3A5" w14:textId="77777777" w:rsidR="008B7C17" w:rsidRPr="008B7C17" w:rsidRDefault="008B7C17" w:rsidP="00DF3149">
            <w:pPr>
              <w:widowControl/>
              <w:autoSpaceDE/>
              <w:autoSpaceDN/>
              <w:jc w:val="center"/>
              <w:rPr>
                <w:rFonts w:asciiTheme="minorHAnsi" w:eastAsia="Times New Roman" w:hAnsiTheme="minorHAnsi"/>
                <w:color w:val="000000"/>
                <w:szCs w:val="24"/>
              </w:rPr>
            </w:pPr>
            <w:r w:rsidRPr="008B7C17">
              <w:rPr>
                <w:rFonts w:asciiTheme="minorHAnsi" w:eastAsia="Times New Roman" w:hAnsiTheme="minorHAnsi"/>
                <w:color w:val="000000"/>
                <w:szCs w:val="24"/>
              </w:rPr>
              <w:t>6,766</w:t>
            </w:r>
          </w:p>
        </w:tc>
        <w:tc>
          <w:tcPr>
            <w:tcW w:w="0" w:type="auto"/>
            <w:vAlign w:val="center"/>
            <w:hideMark/>
          </w:tcPr>
          <w:p w14:paraId="065F0098" w14:textId="77777777" w:rsidR="008B7C17" w:rsidRPr="008B7C17" w:rsidRDefault="008B7C17" w:rsidP="00DF3149">
            <w:pPr>
              <w:widowControl/>
              <w:autoSpaceDE/>
              <w:autoSpaceDN/>
              <w:jc w:val="center"/>
              <w:rPr>
                <w:rFonts w:asciiTheme="minorHAnsi" w:eastAsia="Times New Roman" w:hAnsiTheme="minorHAnsi"/>
                <w:color w:val="000000"/>
                <w:szCs w:val="24"/>
              </w:rPr>
            </w:pPr>
            <w:r w:rsidRPr="008B7C17">
              <w:rPr>
                <w:rFonts w:asciiTheme="minorHAnsi" w:eastAsia="Times New Roman" w:hAnsiTheme="minorHAnsi"/>
                <w:color w:val="000000"/>
                <w:szCs w:val="24"/>
              </w:rPr>
              <w:t>7,358</w:t>
            </w:r>
          </w:p>
        </w:tc>
      </w:tr>
      <w:tr w:rsidR="008B7C17" w:rsidRPr="008B7C17" w14:paraId="271737B4" w14:textId="77777777" w:rsidTr="00DF3149">
        <w:trPr>
          <w:trHeight w:val="290"/>
        </w:trPr>
        <w:tc>
          <w:tcPr>
            <w:tcW w:w="0" w:type="auto"/>
            <w:noWrap/>
            <w:vAlign w:val="bottom"/>
            <w:hideMark/>
          </w:tcPr>
          <w:p w14:paraId="5F396AC6" w14:textId="6562CD7B" w:rsidR="008B7C17" w:rsidRPr="008B7C17" w:rsidRDefault="00F35121" w:rsidP="00DF3149">
            <w:pPr>
              <w:widowControl/>
              <w:autoSpaceDE/>
              <w:autoSpaceDN/>
              <w:rPr>
                <w:rFonts w:asciiTheme="minorHAnsi" w:eastAsia="Times New Roman" w:hAnsiTheme="minorHAnsi"/>
                <w:color w:val="000000"/>
                <w:szCs w:val="24"/>
              </w:rPr>
            </w:pPr>
            <w:r w:rsidRPr="00DF3149">
              <w:rPr>
                <w:rFonts w:asciiTheme="minorHAnsi" w:eastAsia="Times New Roman" w:hAnsiTheme="minorHAnsi"/>
                <w:color w:val="000000"/>
                <w:szCs w:val="24"/>
              </w:rPr>
              <w:t>Total Projected Cases</w:t>
            </w:r>
          </w:p>
        </w:tc>
        <w:tc>
          <w:tcPr>
            <w:tcW w:w="0" w:type="auto"/>
            <w:noWrap/>
            <w:vAlign w:val="bottom"/>
            <w:hideMark/>
          </w:tcPr>
          <w:p w14:paraId="38C215EE" w14:textId="77777777" w:rsidR="008B7C17" w:rsidRPr="008B7C17" w:rsidRDefault="008B7C17" w:rsidP="00DF3149">
            <w:pPr>
              <w:widowControl/>
              <w:autoSpaceDE/>
              <w:autoSpaceDN/>
              <w:jc w:val="center"/>
              <w:rPr>
                <w:rFonts w:asciiTheme="minorHAnsi" w:eastAsia="Times New Roman" w:hAnsiTheme="minorHAnsi"/>
                <w:color w:val="000000"/>
                <w:szCs w:val="24"/>
              </w:rPr>
            </w:pPr>
            <w:r w:rsidRPr="008B7C17">
              <w:rPr>
                <w:rFonts w:asciiTheme="minorHAnsi" w:eastAsia="Times New Roman" w:hAnsiTheme="minorHAnsi"/>
                <w:color w:val="000000"/>
                <w:szCs w:val="24"/>
              </w:rPr>
              <w:t>5,564</w:t>
            </w:r>
          </w:p>
        </w:tc>
        <w:tc>
          <w:tcPr>
            <w:tcW w:w="0" w:type="auto"/>
            <w:noWrap/>
            <w:vAlign w:val="bottom"/>
            <w:hideMark/>
          </w:tcPr>
          <w:p w14:paraId="08D029CD" w14:textId="77777777" w:rsidR="008B7C17" w:rsidRPr="008B7C17" w:rsidRDefault="008B7C17" w:rsidP="00DF3149">
            <w:pPr>
              <w:widowControl/>
              <w:autoSpaceDE/>
              <w:autoSpaceDN/>
              <w:jc w:val="center"/>
              <w:rPr>
                <w:rFonts w:asciiTheme="minorHAnsi" w:eastAsia="Times New Roman" w:hAnsiTheme="minorHAnsi"/>
                <w:color w:val="000000"/>
                <w:szCs w:val="24"/>
              </w:rPr>
            </w:pPr>
            <w:r w:rsidRPr="008B7C17">
              <w:rPr>
                <w:rFonts w:asciiTheme="minorHAnsi" w:eastAsia="Times New Roman" w:hAnsiTheme="minorHAnsi"/>
                <w:color w:val="000000"/>
                <w:szCs w:val="24"/>
              </w:rPr>
              <w:t>6,564</w:t>
            </w:r>
          </w:p>
        </w:tc>
        <w:tc>
          <w:tcPr>
            <w:tcW w:w="0" w:type="auto"/>
            <w:noWrap/>
            <w:vAlign w:val="bottom"/>
            <w:hideMark/>
          </w:tcPr>
          <w:p w14:paraId="34E044E3" w14:textId="77777777" w:rsidR="008B7C17" w:rsidRPr="008B7C17" w:rsidRDefault="008B7C17" w:rsidP="00DF3149">
            <w:pPr>
              <w:widowControl/>
              <w:autoSpaceDE/>
              <w:autoSpaceDN/>
              <w:jc w:val="center"/>
              <w:rPr>
                <w:rFonts w:asciiTheme="minorHAnsi" w:eastAsia="Times New Roman" w:hAnsiTheme="minorHAnsi"/>
                <w:color w:val="000000"/>
                <w:szCs w:val="24"/>
              </w:rPr>
            </w:pPr>
            <w:r w:rsidRPr="008B7C17">
              <w:rPr>
                <w:rFonts w:asciiTheme="minorHAnsi" w:eastAsia="Times New Roman" w:hAnsiTheme="minorHAnsi"/>
                <w:color w:val="000000"/>
                <w:szCs w:val="24"/>
              </w:rPr>
              <w:t>7,564</w:t>
            </w:r>
          </w:p>
        </w:tc>
        <w:tc>
          <w:tcPr>
            <w:tcW w:w="0" w:type="auto"/>
            <w:noWrap/>
            <w:vAlign w:val="bottom"/>
            <w:hideMark/>
          </w:tcPr>
          <w:p w14:paraId="1ABF80C6" w14:textId="77777777" w:rsidR="008B7C17" w:rsidRPr="008B7C17" w:rsidRDefault="008B7C17" w:rsidP="00DF3149">
            <w:pPr>
              <w:widowControl/>
              <w:autoSpaceDE/>
              <w:autoSpaceDN/>
              <w:jc w:val="center"/>
              <w:rPr>
                <w:rFonts w:asciiTheme="minorHAnsi" w:eastAsia="Times New Roman" w:hAnsiTheme="minorHAnsi"/>
                <w:color w:val="000000"/>
                <w:szCs w:val="24"/>
              </w:rPr>
            </w:pPr>
            <w:r w:rsidRPr="008B7C17">
              <w:rPr>
                <w:rFonts w:asciiTheme="minorHAnsi" w:eastAsia="Times New Roman" w:hAnsiTheme="minorHAnsi"/>
                <w:color w:val="000000"/>
                <w:szCs w:val="24"/>
              </w:rPr>
              <w:t>8,564</w:t>
            </w:r>
          </w:p>
        </w:tc>
        <w:tc>
          <w:tcPr>
            <w:tcW w:w="0" w:type="auto"/>
            <w:noWrap/>
            <w:vAlign w:val="bottom"/>
            <w:hideMark/>
          </w:tcPr>
          <w:p w14:paraId="3FBBEA45" w14:textId="77777777" w:rsidR="008B7C17" w:rsidRPr="008B7C17" w:rsidRDefault="008B7C17" w:rsidP="00DF3149">
            <w:pPr>
              <w:widowControl/>
              <w:autoSpaceDE/>
              <w:autoSpaceDN/>
              <w:jc w:val="center"/>
              <w:rPr>
                <w:rFonts w:asciiTheme="minorHAnsi" w:eastAsia="Times New Roman" w:hAnsiTheme="minorHAnsi"/>
                <w:color w:val="000000"/>
                <w:szCs w:val="24"/>
              </w:rPr>
            </w:pPr>
            <w:r w:rsidRPr="008B7C17">
              <w:rPr>
                <w:rFonts w:asciiTheme="minorHAnsi" w:eastAsia="Times New Roman" w:hAnsiTheme="minorHAnsi"/>
                <w:color w:val="000000"/>
                <w:szCs w:val="24"/>
              </w:rPr>
              <w:t>9,314</w:t>
            </w:r>
          </w:p>
        </w:tc>
      </w:tr>
    </w:tbl>
    <w:p w14:paraId="413AAD33" w14:textId="77777777" w:rsidR="00071B40" w:rsidRDefault="00071B40" w:rsidP="00C316C3">
      <w:pPr>
        <w:rPr>
          <w:rFonts w:asciiTheme="minorHAnsi" w:hAnsiTheme="minorHAnsi"/>
          <w:szCs w:val="24"/>
        </w:rPr>
      </w:pPr>
    </w:p>
    <w:p w14:paraId="47C7B5E3" w14:textId="4B74FC6E" w:rsidR="00360B99" w:rsidRDefault="00360B99" w:rsidP="00C316C3">
      <w:pPr>
        <w:rPr>
          <w:rFonts w:asciiTheme="minorHAnsi" w:hAnsiTheme="minorHAnsi"/>
          <w:b/>
          <w:bCs/>
          <w:szCs w:val="24"/>
        </w:rPr>
      </w:pPr>
      <w:r w:rsidRPr="00360B99">
        <w:rPr>
          <w:rFonts w:asciiTheme="minorHAnsi" w:hAnsiTheme="minorHAnsi"/>
          <w:b/>
          <w:bCs/>
          <w:szCs w:val="24"/>
        </w:rPr>
        <w:t>Staffing</w:t>
      </w:r>
    </w:p>
    <w:p w14:paraId="76660C51" w14:textId="6A40245B" w:rsidR="00E200AC" w:rsidRDefault="002A5665" w:rsidP="1916EAF1">
      <w:pPr>
        <w:rPr>
          <w:rFonts w:asciiTheme="minorHAnsi" w:hAnsiTheme="minorHAnsi"/>
        </w:rPr>
      </w:pPr>
      <w:r w:rsidRPr="1916EAF1">
        <w:rPr>
          <w:rFonts w:asciiTheme="minorHAnsi" w:hAnsiTheme="minorHAnsi"/>
        </w:rPr>
        <w:t xml:space="preserve">The Center does not </w:t>
      </w:r>
      <w:r w:rsidRPr="46571EEA">
        <w:rPr>
          <w:rFonts w:asciiTheme="minorHAnsi" w:hAnsiTheme="minorHAnsi"/>
        </w:rPr>
        <w:t>employ</w:t>
      </w:r>
      <w:r w:rsidRPr="1916EAF1">
        <w:rPr>
          <w:rFonts w:asciiTheme="minorHAnsi" w:hAnsiTheme="minorHAnsi"/>
        </w:rPr>
        <w:t xml:space="preserve"> physicians. Rather, </w:t>
      </w:r>
      <w:r w:rsidR="00207AEA" w:rsidRPr="1916EAF1">
        <w:rPr>
          <w:rFonts w:asciiTheme="minorHAnsi" w:hAnsiTheme="minorHAnsi"/>
        </w:rPr>
        <w:t xml:space="preserve">the Center provides </w:t>
      </w:r>
      <w:r w:rsidR="002B4D55" w:rsidRPr="1916EAF1">
        <w:rPr>
          <w:rFonts w:asciiTheme="minorHAnsi" w:hAnsiTheme="minorHAnsi"/>
        </w:rPr>
        <w:t>block time to physicians with privileges at the Center</w:t>
      </w:r>
      <w:r w:rsidR="00207AEA" w:rsidRPr="1916EAF1">
        <w:rPr>
          <w:rFonts w:asciiTheme="minorHAnsi" w:hAnsiTheme="minorHAnsi"/>
        </w:rPr>
        <w:t>.</w:t>
      </w:r>
      <w:r w:rsidR="007B113D" w:rsidRPr="1916EAF1">
        <w:rPr>
          <w:rFonts w:asciiTheme="minorHAnsi" w:hAnsiTheme="minorHAnsi"/>
        </w:rPr>
        <w:t xml:space="preserve"> </w:t>
      </w:r>
      <w:r w:rsidR="00B53878" w:rsidRPr="1916EAF1">
        <w:rPr>
          <w:rFonts w:asciiTheme="minorHAnsi" w:hAnsiTheme="minorHAnsi"/>
        </w:rPr>
        <w:t>There</w:t>
      </w:r>
      <w:r w:rsidR="009476D4" w:rsidRPr="1916EAF1">
        <w:rPr>
          <w:rFonts w:asciiTheme="minorHAnsi" w:hAnsiTheme="minorHAnsi"/>
        </w:rPr>
        <w:t xml:space="preserve"> are currently </w:t>
      </w:r>
      <w:r w:rsidR="00041433">
        <w:rPr>
          <w:rFonts w:asciiTheme="minorHAnsi" w:hAnsiTheme="minorHAnsi"/>
        </w:rPr>
        <w:t>nine</w:t>
      </w:r>
      <w:r w:rsidR="009476D4" w:rsidRPr="1916EAF1">
        <w:rPr>
          <w:rFonts w:asciiTheme="minorHAnsi" w:hAnsiTheme="minorHAnsi"/>
        </w:rPr>
        <w:t xml:space="preserve"> physicians with privileges at the Center</w:t>
      </w:r>
      <w:r w:rsidR="00041433">
        <w:rPr>
          <w:rFonts w:asciiTheme="minorHAnsi" w:hAnsiTheme="minorHAnsi"/>
        </w:rPr>
        <w:t>: six Emerson</w:t>
      </w:r>
      <w:r w:rsidR="00E82245">
        <w:rPr>
          <w:rFonts w:asciiTheme="minorHAnsi" w:hAnsiTheme="minorHAnsi"/>
        </w:rPr>
        <w:t xml:space="preserve"> Health</w:t>
      </w:r>
      <w:r w:rsidR="00041433">
        <w:rPr>
          <w:rFonts w:asciiTheme="minorHAnsi" w:hAnsiTheme="minorHAnsi"/>
        </w:rPr>
        <w:t xml:space="preserve"> providers and three Atrius providers.</w:t>
      </w:r>
      <w:r w:rsidR="00131992" w:rsidRPr="1916EAF1">
        <w:rPr>
          <w:rFonts w:asciiTheme="minorHAnsi" w:hAnsiTheme="minorHAnsi"/>
        </w:rPr>
        <w:t xml:space="preserve"> </w:t>
      </w:r>
      <w:r w:rsidR="00E200AC">
        <w:rPr>
          <w:rFonts w:asciiTheme="minorHAnsi" w:hAnsiTheme="minorHAnsi"/>
        </w:rPr>
        <w:t xml:space="preserve">Table </w:t>
      </w:r>
      <w:r w:rsidR="00350EC1">
        <w:rPr>
          <w:rFonts w:asciiTheme="minorHAnsi" w:hAnsiTheme="minorHAnsi"/>
        </w:rPr>
        <w:t>1</w:t>
      </w:r>
      <w:r w:rsidR="00A9310C">
        <w:rPr>
          <w:rFonts w:asciiTheme="minorHAnsi" w:hAnsiTheme="minorHAnsi"/>
        </w:rPr>
        <w:t>8</w:t>
      </w:r>
      <w:r w:rsidR="00E200AC">
        <w:rPr>
          <w:rFonts w:asciiTheme="minorHAnsi" w:hAnsiTheme="minorHAnsi"/>
        </w:rPr>
        <w:t xml:space="preserve"> shows existing block time for Atrius providers and for Emerson </w:t>
      </w:r>
      <w:r w:rsidR="00C8750A">
        <w:rPr>
          <w:rFonts w:asciiTheme="minorHAnsi" w:hAnsiTheme="minorHAnsi"/>
        </w:rPr>
        <w:t xml:space="preserve">Health </w:t>
      </w:r>
      <w:r w:rsidR="00E200AC">
        <w:rPr>
          <w:rFonts w:asciiTheme="minorHAnsi" w:hAnsiTheme="minorHAnsi"/>
        </w:rPr>
        <w:t xml:space="preserve">providers. </w:t>
      </w:r>
    </w:p>
    <w:p w14:paraId="747B1F5A" w14:textId="77777777" w:rsidR="00E200AC" w:rsidRDefault="00E200AC" w:rsidP="1916EAF1">
      <w:pPr>
        <w:rPr>
          <w:rFonts w:asciiTheme="minorHAnsi" w:hAnsiTheme="minorHAnsi"/>
        </w:rPr>
      </w:pPr>
    </w:p>
    <w:p w14:paraId="4382DFCC" w14:textId="39BFAA86" w:rsidR="00115754" w:rsidRPr="00850E56" w:rsidRDefault="00115754" w:rsidP="1916EAF1">
      <w:pPr>
        <w:rPr>
          <w:rFonts w:asciiTheme="minorHAnsi" w:hAnsiTheme="minorHAnsi"/>
          <w:b/>
          <w:bCs/>
        </w:rPr>
      </w:pPr>
      <w:r w:rsidRPr="00850E56">
        <w:rPr>
          <w:rFonts w:asciiTheme="minorHAnsi" w:hAnsiTheme="minorHAnsi"/>
          <w:b/>
          <w:bCs/>
          <w:u w:val="single"/>
        </w:rPr>
        <w:t xml:space="preserve">Table </w:t>
      </w:r>
      <w:r w:rsidR="00350EC1">
        <w:rPr>
          <w:rFonts w:asciiTheme="minorHAnsi" w:hAnsiTheme="minorHAnsi"/>
          <w:b/>
          <w:bCs/>
          <w:u w:val="single"/>
        </w:rPr>
        <w:t>1</w:t>
      </w:r>
      <w:r w:rsidR="00A9310C">
        <w:rPr>
          <w:rFonts w:asciiTheme="minorHAnsi" w:hAnsiTheme="minorHAnsi"/>
          <w:b/>
          <w:bCs/>
          <w:u w:val="single"/>
        </w:rPr>
        <w:t>8</w:t>
      </w:r>
      <w:r w:rsidRPr="00850E56">
        <w:rPr>
          <w:rFonts w:asciiTheme="minorHAnsi" w:hAnsiTheme="minorHAnsi"/>
          <w:b/>
          <w:bCs/>
        </w:rPr>
        <w:t xml:space="preserve">: Block time at </w:t>
      </w:r>
      <w:r w:rsidR="007C5516">
        <w:rPr>
          <w:rFonts w:asciiTheme="minorHAnsi" w:hAnsiTheme="minorHAnsi"/>
          <w:b/>
          <w:bCs/>
        </w:rPr>
        <w:t>T</w:t>
      </w:r>
      <w:r w:rsidRPr="00850E56">
        <w:rPr>
          <w:rFonts w:asciiTheme="minorHAnsi" w:hAnsiTheme="minorHAnsi"/>
          <w:b/>
          <w:bCs/>
        </w:rPr>
        <w:t xml:space="preserve">he Center </w:t>
      </w:r>
    </w:p>
    <w:tbl>
      <w:tblPr>
        <w:tblStyle w:val="TableGrid"/>
        <w:tblW w:w="0" w:type="auto"/>
        <w:tblLook w:val="04A0" w:firstRow="1" w:lastRow="0" w:firstColumn="1" w:lastColumn="0" w:noHBand="0" w:noVBand="1"/>
      </w:tblPr>
      <w:tblGrid>
        <w:gridCol w:w="1655"/>
        <w:gridCol w:w="1075"/>
        <w:gridCol w:w="2652"/>
      </w:tblGrid>
      <w:tr w:rsidR="00E454F1" w14:paraId="16AAE36C" w14:textId="77777777" w:rsidTr="00850E56">
        <w:tc>
          <w:tcPr>
            <w:tcW w:w="0" w:type="auto"/>
            <w:shd w:val="clear" w:color="auto" w:fill="DBE5F1" w:themeFill="accent1" w:themeFillTint="33"/>
          </w:tcPr>
          <w:p w14:paraId="29BAE715" w14:textId="17EC0264" w:rsidR="00E454F1" w:rsidRPr="00850E56" w:rsidRDefault="00E454F1" w:rsidP="00E454F1">
            <w:pPr>
              <w:rPr>
                <w:rFonts w:asciiTheme="minorHAnsi" w:hAnsiTheme="minorHAnsi"/>
                <w:b/>
                <w:bCs/>
              </w:rPr>
            </w:pPr>
            <w:r w:rsidRPr="00850E56">
              <w:rPr>
                <w:rFonts w:asciiTheme="minorHAnsi" w:hAnsiTheme="minorHAnsi"/>
                <w:b/>
                <w:bCs/>
              </w:rPr>
              <w:t>Operating Day</w:t>
            </w:r>
          </w:p>
        </w:tc>
        <w:tc>
          <w:tcPr>
            <w:tcW w:w="0" w:type="auto"/>
            <w:shd w:val="clear" w:color="auto" w:fill="DBE5F1" w:themeFill="accent1" w:themeFillTint="33"/>
          </w:tcPr>
          <w:p w14:paraId="023FD39E" w14:textId="5841724B" w:rsidR="00E454F1" w:rsidRPr="00850E56" w:rsidRDefault="00E454F1" w:rsidP="00850E56">
            <w:pPr>
              <w:jc w:val="center"/>
              <w:rPr>
                <w:rFonts w:asciiTheme="minorHAnsi" w:hAnsiTheme="minorHAnsi"/>
                <w:b/>
                <w:bCs/>
              </w:rPr>
            </w:pPr>
            <w:r w:rsidRPr="00850E56">
              <w:rPr>
                <w:rFonts w:asciiTheme="minorHAnsi" w:hAnsiTheme="minorHAnsi"/>
                <w:b/>
                <w:bCs/>
              </w:rPr>
              <w:t>Room 1</w:t>
            </w:r>
          </w:p>
        </w:tc>
        <w:tc>
          <w:tcPr>
            <w:tcW w:w="0" w:type="auto"/>
            <w:shd w:val="clear" w:color="auto" w:fill="DBE5F1" w:themeFill="accent1" w:themeFillTint="33"/>
          </w:tcPr>
          <w:p w14:paraId="65A616B5" w14:textId="2CF03232" w:rsidR="00E454F1" w:rsidRPr="00850E56" w:rsidRDefault="00E454F1" w:rsidP="00850E56">
            <w:pPr>
              <w:jc w:val="center"/>
              <w:rPr>
                <w:rFonts w:asciiTheme="minorHAnsi" w:hAnsiTheme="minorHAnsi"/>
                <w:b/>
                <w:bCs/>
              </w:rPr>
            </w:pPr>
            <w:r w:rsidRPr="00850E56">
              <w:rPr>
                <w:rFonts w:asciiTheme="minorHAnsi" w:hAnsiTheme="minorHAnsi"/>
                <w:b/>
                <w:bCs/>
              </w:rPr>
              <w:t>Room 2</w:t>
            </w:r>
          </w:p>
        </w:tc>
      </w:tr>
      <w:tr w:rsidR="00E454F1" w14:paraId="4349B293" w14:textId="77777777" w:rsidTr="00850E56">
        <w:tc>
          <w:tcPr>
            <w:tcW w:w="0" w:type="auto"/>
          </w:tcPr>
          <w:p w14:paraId="34E36C12" w14:textId="03301009" w:rsidR="00E454F1" w:rsidRDefault="00E454F1" w:rsidP="1916EAF1">
            <w:pPr>
              <w:rPr>
                <w:rFonts w:asciiTheme="minorHAnsi" w:hAnsiTheme="minorHAnsi"/>
              </w:rPr>
            </w:pPr>
            <w:r>
              <w:rPr>
                <w:rFonts w:asciiTheme="minorHAnsi" w:hAnsiTheme="minorHAnsi"/>
              </w:rPr>
              <w:t>Monday</w:t>
            </w:r>
          </w:p>
        </w:tc>
        <w:tc>
          <w:tcPr>
            <w:tcW w:w="0" w:type="auto"/>
          </w:tcPr>
          <w:p w14:paraId="13B5AD1B" w14:textId="1499E76B" w:rsidR="00E454F1" w:rsidRDefault="00E454F1" w:rsidP="00850E56">
            <w:pPr>
              <w:jc w:val="center"/>
              <w:rPr>
                <w:rFonts w:asciiTheme="minorHAnsi" w:hAnsiTheme="minorHAnsi"/>
              </w:rPr>
            </w:pPr>
            <w:r>
              <w:rPr>
                <w:rFonts w:asciiTheme="minorHAnsi" w:hAnsiTheme="minorHAnsi"/>
              </w:rPr>
              <w:t>Emerson</w:t>
            </w:r>
          </w:p>
        </w:tc>
        <w:tc>
          <w:tcPr>
            <w:tcW w:w="0" w:type="auto"/>
          </w:tcPr>
          <w:p w14:paraId="3BBEB1FC" w14:textId="65619BD8" w:rsidR="00E454F1" w:rsidRDefault="00E454F1" w:rsidP="00850E56">
            <w:pPr>
              <w:jc w:val="center"/>
              <w:rPr>
                <w:rFonts w:asciiTheme="minorHAnsi" w:hAnsiTheme="minorHAnsi"/>
              </w:rPr>
            </w:pPr>
            <w:r>
              <w:rPr>
                <w:rFonts w:asciiTheme="minorHAnsi" w:hAnsiTheme="minorHAnsi"/>
              </w:rPr>
              <w:t>Emerson</w:t>
            </w:r>
          </w:p>
        </w:tc>
      </w:tr>
      <w:tr w:rsidR="00E454F1" w14:paraId="16484FAB" w14:textId="77777777" w:rsidTr="00850E56">
        <w:tc>
          <w:tcPr>
            <w:tcW w:w="0" w:type="auto"/>
          </w:tcPr>
          <w:p w14:paraId="7D5490DC" w14:textId="5A81BD66" w:rsidR="00E454F1" w:rsidRDefault="00E454F1" w:rsidP="1916EAF1">
            <w:pPr>
              <w:rPr>
                <w:rFonts w:asciiTheme="minorHAnsi" w:hAnsiTheme="minorHAnsi"/>
              </w:rPr>
            </w:pPr>
            <w:r>
              <w:rPr>
                <w:rFonts w:asciiTheme="minorHAnsi" w:hAnsiTheme="minorHAnsi"/>
              </w:rPr>
              <w:t>Tuesday</w:t>
            </w:r>
          </w:p>
        </w:tc>
        <w:tc>
          <w:tcPr>
            <w:tcW w:w="0" w:type="auto"/>
          </w:tcPr>
          <w:p w14:paraId="3046317F" w14:textId="7F27CA97" w:rsidR="00E454F1" w:rsidRDefault="00E454F1" w:rsidP="00850E56">
            <w:pPr>
              <w:jc w:val="center"/>
              <w:rPr>
                <w:rFonts w:asciiTheme="minorHAnsi" w:hAnsiTheme="minorHAnsi"/>
              </w:rPr>
            </w:pPr>
            <w:r>
              <w:rPr>
                <w:rFonts w:asciiTheme="minorHAnsi" w:hAnsiTheme="minorHAnsi"/>
              </w:rPr>
              <w:t>Emerson</w:t>
            </w:r>
          </w:p>
        </w:tc>
        <w:tc>
          <w:tcPr>
            <w:tcW w:w="0" w:type="auto"/>
          </w:tcPr>
          <w:p w14:paraId="212A8B15" w14:textId="77777777" w:rsidR="00720960" w:rsidRDefault="00E454F1" w:rsidP="00E454F1">
            <w:pPr>
              <w:jc w:val="center"/>
              <w:rPr>
                <w:rFonts w:asciiTheme="minorHAnsi" w:hAnsiTheme="minorHAnsi"/>
                <w:vertAlign w:val="superscript"/>
              </w:rPr>
            </w:pPr>
            <w:r>
              <w:rPr>
                <w:rFonts w:asciiTheme="minorHAnsi" w:hAnsiTheme="minorHAnsi"/>
              </w:rPr>
              <w:t>Atrius: 1</w:t>
            </w:r>
            <w:r w:rsidRPr="00850E56">
              <w:rPr>
                <w:rFonts w:asciiTheme="minorHAnsi" w:hAnsiTheme="minorHAnsi"/>
                <w:vertAlign w:val="superscript"/>
              </w:rPr>
              <w:t>st</w:t>
            </w:r>
            <w:r>
              <w:rPr>
                <w:rFonts w:asciiTheme="minorHAnsi" w:hAnsiTheme="minorHAnsi"/>
              </w:rPr>
              <w:t xml:space="preserve"> and 3</w:t>
            </w:r>
            <w:r w:rsidRPr="00850E56">
              <w:rPr>
                <w:rFonts w:asciiTheme="minorHAnsi" w:hAnsiTheme="minorHAnsi"/>
                <w:vertAlign w:val="superscript"/>
              </w:rPr>
              <w:t>rd</w:t>
            </w:r>
            <w:r>
              <w:rPr>
                <w:rFonts w:asciiTheme="minorHAnsi" w:hAnsiTheme="minorHAnsi"/>
                <w:vertAlign w:val="superscript"/>
              </w:rPr>
              <w:t xml:space="preserve">; </w:t>
            </w:r>
          </w:p>
          <w:p w14:paraId="0FE5AC6E" w14:textId="59F1828F" w:rsidR="00E454F1" w:rsidRDefault="00E454F1" w:rsidP="00850E56">
            <w:pPr>
              <w:jc w:val="center"/>
              <w:rPr>
                <w:rFonts w:asciiTheme="minorHAnsi" w:hAnsiTheme="minorHAnsi"/>
              </w:rPr>
            </w:pPr>
            <w:r>
              <w:rPr>
                <w:rFonts w:asciiTheme="minorHAnsi" w:hAnsiTheme="minorHAnsi"/>
              </w:rPr>
              <w:t>Emerson: 2</w:t>
            </w:r>
            <w:r w:rsidRPr="00850E56">
              <w:rPr>
                <w:rFonts w:asciiTheme="minorHAnsi" w:hAnsiTheme="minorHAnsi"/>
                <w:vertAlign w:val="superscript"/>
              </w:rPr>
              <w:t>nd</w:t>
            </w:r>
            <w:r>
              <w:rPr>
                <w:rFonts w:asciiTheme="minorHAnsi" w:hAnsiTheme="minorHAnsi"/>
              </w:rPr>
              <w:t>, 4</w:t>
            </w:r>
            <w:r w:rsidRPr="00850E56">
              <w:rPr>
                <w:rFonts w:asciiTheme="minorHAnsi" w:hAnsiTheme="minorHAnsi"/>
                <w:vertAlign w:val="superscript"/>
              </w:rPr>
              <w:t>th</w:t>
            </w:r>
            <w:r>
              <w:rPr>
                <w:rFonts w:asciiTheme="minorHAnsi" w:hAnsiTheme="minorHAnsi"/>
              </w:rPr>
              <w:t>, and 5</w:t>
            </w:r>
            <w:r w:rsidRPr="00850E56">
              <w:rPr>
                <w:rFonts w:asciiTheme="minorHAnsi" w:hAnsiTheme="minorHAnsi"/>
                <w:vertAlign w:val="superscript"/>
              </w:rPr>
              <w:t>th</w:t>
            </w:r>
          </w:p>
        </w:tc>
      </w:tr>
      <w:tr w:rsidR="00E454F1" w14:paraId="64DD86D4" w14:textId="77777777" w:rsidTr="00850E56">
        <w:tc>
          <w:tcPr>
            <w:tcW w:w="0" w:type="auto"/>
          </w:tcPr>
          <w:p w14:paraId="6F25041F" w14:textId="250948FD" w:rsidR="00E454F1" w:rsidRDefault="00E454F1" w:rsidP="1916EAF1">
            <w:pPr>
              <w:rPr>
                <w:rFonts w:asciiTheme="minorHAnsi" w:hAnsiTheme="minorHAnsi"/>
              </w:rPr>
            </w:pPr>
            <w:r>
              <w:rPr>
                <w:rFonts w:asciiTheme="minorHAnsi" w:hAnsiTheme="minorHAnsi"/>
              </w:rPr>
              <w:t>Wednesday</w:t>
            </w:r>
          </w:p>
        </w:tc>
        <w:tc>
          <w:tcPr>
            <w:tcW w:w="0" w:type="auto"/>
          </w:tcPr>
          <w:p w14:paraId="7A1C1185" w14:textId="74BB02FB" w:rsidR="00E454F1" w:rsidRDefault="00E454F1" w:rsidP="00850E56">
            <w:pPr>
              <w:jc w:val="center"/>
              <w:rPr>
                <w:rFonts w:asciiTheme="minorHAnsi" w:hAnsiTheme="minorHAnsi"/>
              </w:rPr>
            </w:pPr>
            <w:r>
              <w:rPr>
                <w:rFonts w:asciiTheme="minorHAnsi" w:hAnsiTheme="minorHAnsi"/>
              </w:rPr>
              <w:t>Emerson</w:t>
            </w:r>
          </w:p>
        </w:tc>
        <w:tc>
          <w:tcPr>
            <w:tcW w:w="0" w:type="auto"/>
          </w:tcPr>
          <w:p w14:paraId="21D909B0" w14:textId="1417CD45" w:rsidR="00E454F1" w:rsidRDefault="00E454F1" w:rsidP="00850E56">
            <w:pPr>
              <w:jc w:val="center"/>
              <w:rPr>
                <w:rFonts w:asciiTheme="minorHAnsi" w:hAnsiTheme="minorHAnsi"/>
              </w:rPr>
            </w:pPr>
            <w:r>
              <w:rPr>
                <w:rFonts w:asciiTheme="minorHAnsi" w:hAnsiTheme="minorHAnsi"/>
              </w:rPr>
              <w:t>Atrius</w:t>
            </w:r>
          </w:p>
        </w:tc>
      </w:tr>
      <w:tr w:rsidR="00E454F1" w14:paraId="4EF38944" w14:textId="77777777" w:rsidTr="00850E56">
        <w:tc>
          <w:tcPr>
            <w:tcW w:w="0" w:type="auto"/>
          </w:tcPr>
          <w:p w14:paraId="218A5FAA" w14:textId="26606770" w:rsidR="00E454F1" w:rsidRDefault="00E454F1" w:rsidP="1916EAF1">
            <w:pPr>
              <w:rPr>
                <w:rFonts w:asciiTheme="minorHAnsi" w:hAnsiTheme="minorHAnsi"/>
              </w:rPr>
            </w:pPr>
            <w:r>
              <w:rPr>
                <w:rFonts w:asciiTheme="minorHAnsi" w:hAnsiTheme="minorHAnsi"/>
              </w:rPr>
              <w:t>Thursday</w:t>
            </w:r>
          </w:p>
        </w:tc>
        <w:tc>
          <w:tcPr>
            <w:tcW w:w="0" w:type="auto"/>
          </w:tcPr>
          <w:p w14:paraId="5484BEC5" w14:textId="2619CD4A" w:rsidR="00E454F1" w:rsidRDefault="00E454F1" w:rsidP="00850E56">
            <w:pPr>
              <w:jc w:val="center"/>
              <w:rPr>
                <w:rFonts w:asciiTheme="minorHAnsi" w:hAnsiTheme="minorHAnsi"/>
              </w:rPr>
            </w:pPr>
            <w:r>
              <w:rPr>
                <w:rFonts w:asciiTheme="minorHAnsi" w:hAnsiTheme="minorHAnsi"/>
              </w:rPr>
              <w:t>Emerson</w:t>
            </w:r>
          </w:p>
        </w:tc>
        <w:tc>
          <w:tcPr>
            <w:tcW w:w="0" w:type="auto"/>
          </w:tcPr>
          <w:p w14:paraId="03976662" w14:textId="797082BC" w:rsidR="00E454F1" w:rsidRDefault="00E454F1" w:rsidP="00850E56">
            <w:pPr>
              <w:jc w:val="center"/>
              <w:rPr>
                <w:rFonts w:asciiTheme="minorHAnsi" w:hAnsiTheme="minorHAnsi"/>
              </w:rPr>
            </w:pPr>
            <w:r>
              <w:rPr>
                <w:rFonts w:asciiTheme="minorHAnsi" w:hAnsiTheme="minorHAnsi"/>
              </w:rPr>
              <w:t>Emerson</w:t>
            </w:r>
          </w:p>
        </w:tc>
      </w:tr>
      <w:tr w:rsidR="00E454F1" w14:paraId="3A2E4AD7" w14:textId="77777777" w:rsidTr="00850E56">
        <w:tc>
          <w:tcPr>
            <w:tcW w:w="0" w:type="auto"/>
          </w:tcPr>
          <w:p w14:paraId="6FE5E066" w14:textId="48880855" w:rsidR="00E454F1" w:rsidRDefault="00E454F1" w:rsidP="1916EAF1">
            <w:pPr>
              <w:rPr>
                <w:rFonts w:asciiTheme="minorHAnsi" w:hAnsiTheme="minorHAnsi"/>
              </w:rPr>
            </w:pPr>
            <w:r>
              <w:rPr>
                <w:rFonts w:asciiTheme="minorHAnsi" w:hAnsiTheme="minorHAnsi"/>
              </w:rPr>
              <w:t xml:space="preserve">Friday </w:t>
            </w:r>
          </w:p>
        </w:tc>
        <w:tc>
          <w:tcPr>
            <w:tcW w:w="0" w:type="auto"/>
          </w:tcPr>
          <w:p w14:paraId="60DE9C11" w14:textId="696642F9" w:rsidR="00E454F1" w:rsidRDefault="00E454F1" w:rsidP="00850E56">
            <w:pPr>
              <w:jc w:val="center"/>
              <w:rPr>
                <w:rFonts w:asciiTheme="minorHAnsi" w:hAnsiTheme="minorHAnsi"/>
              </w:rPr>
            </w:pPr>
            <w:r>
              <w:rPr>
                <w:rFonts w:asciiTheme="minorHAnsi" w:hAnsiTheme="minorHAnsi"/>
              </w:rPr>
              <w:t>Emerson</w:t>
            </w:r>
          </w:p>
        </w:tc>
        <w:tc>
          <w:tcPr>
            <w:tcW w:w="0" w:type="auto"/>
          </w:tcPr>
          <w:p w14:paraId="5716317C" w14:textId="3DDAA57D" w:rsidR="00E454F1" w:rsidRDefault="00E454F1" w:rsidP="00850E56">
            <w:pPr>
              <w:jc w:val="center"/>
              <w:rPr>
                <w:rFonts w:asciiTheme="minorHAnsi" w:hAnsiTheme="minorHAnsi"/>
              </w:rPr>
            </w:pPr>
            <w:r>
              <w:rPr>
                <w:rFonts w:asciiTheme="minorHAnsi" w:hAnsiTheme="minorHAnsi"/>
              </w:rPr>
              <w:t>Emerson</w:t>
            </w:r>
          </w:p>
        </w:tc>
      </w:tr>
    </w:tbl>
    <w:p w14:paraId="54739FD8" w14:textId="77777777" w:rsidR="00720960" w:rsidRDefault="00720960" w:rsidP="1916EAF1">
      <w:pPr>
        <w:rPr>
          <w:rFonts w:asciiTheme="minorHAnsi" w:hAnsiTheme="minorHAnsi"/>
        </w:rPr>
      </w:pPr>
    </w:p>
    <w:p w14:paraId="20809EE5" w14:textId="18105482" w:rsidR="00720960" w:rsidRDefault="00720960" w:rsidP="1916EAF1">
      <w:pPr>
        <w:rPr>
          <w:rFonts w:asciiTheme="minorHAnsi" w:hAnsiTheme="minorHAnsi"/>
        </w:rPr>
      </w:pPr>
      <w:r w:rsidRPr="00720960">
        <w:rPr>
          <w:rFonts w:asciiTheme="minorHAnsi" w:hAnsiTheme="minorHAnsi"/>
        </w:rPr>
        <w:t>The</w:t>
      </w:r>
      <w:r w:rsidR="00FC5B6C">
        <w:rPr>
          <w:rFonts w:asciiTheme="minorHAnsi" w:hAnsiTheme="minorHAnsi"/>
        </w:rPr>
        <w:t xml:space="preserve"> Applicant states that</w:t>
      </w:r>
      <w:r w:rsidRPr="00720960">
        <w:rPr>
          <w:rFonts w:asciiTheme="minorHAnsi" w:hAnsiTheme="minorHAnsi"/>
        </w:rPr>
        <w:t xml:space="preserve"> physician practices affiliated with the Center recently hired physicians who have requested operating room time for their patients: Emerson</w:t>
      </w:r>
      <w:r w:rsidR="008C6BE2">
        <w:rPr>
          <w:rFonts w:asciiTheme="minorHAnsi" w:hAnsiTheme="minorHAnsi"/>
        </w:rPr>
        <w:t xml:space="preserve"> Health</w:t>
      </w:r>
      <w:r w:rsidRPr="00720960">
        <w:rPr>
          <w:rFonts w:asciiTheme="minorHAnsi" w:hAnsiTheme="minorHAnsi"/>
        </w:rPr>
        <w:t xml:space="preserve">’s GI Group hired one physician and Atrius hired two physicians, for a total of </w:t>
      </w:r>
      <w:r w:rsidR="002D67DB">
        <w:rPr>
          <w:rFonts w:asciiTheme="minorHAnsi" w:hAnsiTheme="minorHAnsi"/>
        </w:rPr>
        <w:t xml:space="preserve">three </w:t>
      </w:r>
      <w:r w:rsidR="00686357">
        <w:rPr>
          <w:rFonts w:asciiTheme="minorHAnsi" w:hAnsiTheme="minorHAnsi"/>
        </w:rPr>
        <w:t>recently hired</w:t>
      </w:r>
      <w:r w:rsidRPr="00720960">
        <w:rPr>
          <w:rFonts w:asciiTheme="minorHAnsi" w:hAnsiTheme="minorHAnsi"/>
        </w:rPr>
        <w:t xml:space="preserve"> physicians. However, because of the Center’s current utilization, additional block time is not available, and this is contributing to a backlog of cases.</w:t>
      </w:r>
    </w:p>
    <w:p w14:paraId="1E792E3E" w14:textId="77777777" w:rsidR="00E200AC" w:rsidRDefault="00E200AC" w:rsidP="1916EAF1">
      <w:pPr>
        <w:rPr>
          <w:rFonts w:asciiTheme="minorHAnsi" w:hAnsiTheme="minorHAnsi"/>
        </w:rPr>
      </w:pPr>
    </w:p>
    <w:p w14:paraId="70F56007" w14:textId="14F1E209" w:rsidR="00360B99" w:rsidRPr="00360B99" w:rsidRDefault="00131992" w:rsidP="1916EAF1">
      <w:pPr>
        <w:rPr>
          <w:rFonts w:asciiTheme="minorHAnsi" w:hAnsiTheme="minorHAnsi"/>
        </w:rPr>
      </w:pPr>
      <w:r w:rsidRPr="1916EAF1">
        <w:rPr>
          <w:rFonts w:asciiTheme="minorHAnsi" w:hAnsiTheme="minorHAnsi"/>
        </w:rPr>
        <w:t xml:space="preserve">The Applicant states that </w:t>
      </w:r>
      <w:r w:rsidR="00FB18E1" w:rsidRPr="1916EAF1">
        <w:rPr>
          <w:rFonts w:asciiTheme="minorHAnsi" w:hAnsiTheme="minorHAnsi"/>
        </w:rPr>
        <w:t xml:space="preserve">two Registered Nurses and 1.5 Endoscopy Technicians will be needed </w:t>
      </w:r>
      <w:r w:rsidR="00DC75F7" w:rsidRPr="1916EAF1">
        <w:rPr>
          <w:rFonts w:asciiTheme="minorHAnsi" w:hAnsiTheme="minorHAnsi"/>
        </w:rPr>
        <w:t>to implement the Proposed Project</w:t>
      </w:r>
      <w:r w:rsidRPr="1916EAF1">
        <w:rPr>
          <w:rFonts w:asciiTheme="minorHAnsi" w:hAnsiTheme="minorHAnsi"/>
        </w:rPr>
        <w:t xml:space="preserve">, and </w:t>
      </w:r>
      <w:r w:rsidR="00FB18E1" w:rsidRPr="1916EAF1">
        <w:rPr>
          <w:rFonts w:asciiTheme="minorHAnsi" w:hAnsiTheme="minorHAnsi"/>
        </w:rPr>
        <w:t xml:space="preserve">that </w:t>
      </w:r>
      <w:r w:rsidR="009D3612" w:rsidRPr="1916EAF1">
        <w:rPr>
          <w:rFonts w:asciiTheme="minorHAnsi" w:hAnsiTheme="minorHAnsi"/>
        </w:rPr>
        <w:t>the Center will recruit for the new position</w:t>
      </w:r>
      <w:r w:rsidR="0063511D" w:rsidRPr="1916EAF1">
        <w:rPr>
          <w:rFonts w:asciiTheme="minorHAnsi" w:hAnsiTheme="minorHAnsi"/>
        </w:rPr>
        <w:t>s</w:t>
      </w:r>
      <w:r w:rsidR="009D3612" w:rsidRPr="1916EAF1">
        <w:rPr>
          <w:rFonts w:asciiTheme="minorHAnsi" w:hAnsiTheme="minorHAnsi"/>
        </w:rPr>
        <w:t xml:space="preserve"> through job postings on its internal websites (SCA Surgery and Emerson Health) and through external job boards such as Indeed.</w:t>
      </w:r>
    </w:p>
    <w:p w14:paraId="6AE394D5" w14:textId="77777777" w:rsidR="00360B99" w:rsidRDefault="00360B99" w:rsidP="00C316C3">
      <w:pPr>
        <w:rPr>
          <w:rFonts w:asciiTheme="minorHAnsi" w:hAnsiTheme="minorHAnsi"/>
          <w:szCs w:val="24"/>
        </w:rPr>
      </w:pPr>
    </w:p>
    <w:bookmarkEnd w:id="6"/>
    <w:p w14:paraId="70D235A0" w14:textId="19482AF2" w:rsidR="001F6F48" w:rsidRPr="000B5840" w:rsidRDefault="003D54ED" w:rsidP="00064E29">
      <w:pPr>
        <w:rPr>
          <w:b/>
          <w:bCs/>
          <w:i/>
          <w:iCs/>
        </w:rPr>
      </w:pPr>
      <w:r w:rsidRPr="003D54ED">
        <w:rPr>
          <w:b/>
          <w:bCs/>
          <w:i/>
          <w:iCs/>
        </w:rPr>
        <w:t>Analysis</w:t>
      </w:r>
    </w:p>
    <w:p w14:paraId="44DF6220" w14:textId="2372C35D" w:rsidR="001F6F48" w:rsidRDefault="000B5840" w:rsidP="00C316C3">
      <w:r w:rsidRPr="000B5840">
        <w:t>Staff finds that the Applicant has demonstrated increasing need</w:t>
      </w:r>
      <w:r>
        <w:t xml:space="preserve"> for the Center’s endoscopy services</w:t>
      </w:r>
      <w:r w:rsidRPr="000B5840">
        <w:t xml:space="preserve"> through data showing an increase in </w:t>
      </w:r>
      <w:r>
        <w:t xml:space="preserve">patient </w:t>
      </w:r>
      <w:r w:rsidRPr="000B5840">
        <w:t xml:space="preserve">volume </w:t>
      </w:r>
      <w:r>
        <w:t xml:space="preserve">and case volume, </w:t>
      </w:r>
      <w:r w:rsidRPr="000B5840">
        <w:t xml:space="preserve">and </w:t>
      </w:r>
      <w:r>
        <w:t xml:space="preserve">through </w:t>
      </w:r>
      <w:r w:rsidRPr="000B5840">
        <w:t>projected increasing need for</w:t>
      </w:r>
      <w:r w:rsidR="00571EAC">
        <w:t xml:space="preserve"> the Center’s</w:t>
      </w:r>
      <w:r w:rsidRPr="000B5840">
        <w:t xml:space="preserve"> services over the next five years. The Proposed Project will address </w:t>
      </w:r>
      <w:r w:rsidRPr="000B5840">
        <w:lastRenderedPageBreak/>
        <w:t xml:space="preserve">growing need for high-quality, cost-effective, </w:t>
      </w:r>
      <w:r w:rsidR="00571EAC">
        <w:t>ambulatory endoscopy services</w:t>
      </w:r>
      <w:r>
        <w:t>, including need for such care resulting from the closure of NVMC.</w:t>
      </w:r>
      <w:r w:rsidRPr="000B5840">
        <w:t xml:space="preserve"> As a result, Staff finds that the Proposed Project meets the requirements of Factor 1a.</w:t>
      </w:r>
    </w:p>
    <w:p w14:paraId="32D6B967" w14:textId="77777777" w:rsidR="003A685B" w:rsidRDefault="003A685B" w:rsidP="00C316C3"/>
    <w:p w14:paraId="322BFDDE" w14:textId="77777777" w:rsidR="001963DF" w:rsidRDefault="001963DF" w:rsidP="00C316C3"/>
    <w:p w14:paraId="0ADCD05D" w14:textId="5C692A7F" w:rsidR="00B447F3" w:rsidRPr="003436F0" w:rsidRDefault="305CB7EF" w:rsidP="28157CC0">
      <w:pPr>
        <w:pStyle w:val="Heading1"/>
        <w:ind w:left="0" w:right="403"/>
        <w:rPr>
          <w:rFonts w:asciiTheme="minorHAnsi" w:hAnsiTheme="minorHAnsi"/>
        </w:rPr>
      </w:pPr>
      <w:bookmarkStart w:id="7" w:name="_Toc207953795"/>
      <w:r w:rsidRPr="28157CC0">
        <w:rPr>
          <w:rFonts w:asciiTheme="minorHAnsi" w:hAnsiTheme="minorHAnsi"/>
          <w:color w:val="42558C"/>
        </w:rPr>
        <w:t>Factor 1: b) Public health value, improved health outcomes and quality of life; assurances of health equity</w:t>
      </w:r>
      <w:bookmarkEnd w:id="7"/>
    </w:p>
    <w:p w14:paraId="26553C75" w14:textId="77777777" w:rsidR="005535AB" w:rsidRPr="005535AB" w:rsidRDefault="005535AB" w:rsidP="005535AB">
      <w:pPr>
        <w:pStyle w:val="BodyText"/>
        <w:rPr>
          <w:rFonts w:asciiTheme="minorHAnsi" w:hAnsiTheme="minorHAnsi"/>
        </w:rPr>
      </w:pPr>
      <w:r w:rsidRPr="005535AB">
        <w:rPr>
          <w:rFonts w:asciiTheme="minorHAnsi" w:hAnsiTheme="minorHAnsi"/>
        </w:rPr>
        <w:t>For this element of Factor 1, the Applicant must demonstrate that the Proposed Project adds public</w:t>
      </w:r>
    </w:p>
    <w:p w14:paraId="2EFD0954" w14:textId="77777777" w:rsidR="005535AB" w:rsidRPr="005535AB" w:rsidRDefault="005535AB" w:rsidP="005535AB">
      <w:pPr>
        <w:pStyle w:val="BodyText"/>
        <w:rPr>
          <w:rFonts w:asciiTheme="minorHAnsi" w:hAnsiTheme="minorHAnsi"/>
        </w:rPr>
      </w:pPr>
      <w:r w:rsidRPr="005535AB">
        <w:rPr>
          <w:rFonts w:asciiTheme="minorHAnsi" w:hAnsiTheme="minorHAnsi"/>
        </w:rPr>
        <w:t>health value in terms of improved health outcomes and quality of life for the Applicant’s existing</w:t>
      </w:r>
    </w:p>
    <w:p w14:paraId="0821EED9" w14:textId="3C5BB787" w:rsidR="00615885" w:rsidRPr="00E04133" w:rsidRDefault="005535AB" w:rsidP="005535AB">
      <w:pPr>
        <w:pStyle w:val="BodyText"/>
        <w:rPr>
          <w:rFonts w:asciiTheme="minorHAnsi" w:hAnsiTheme="minorHAnsi"/>
        </w:rPr>
      </w:pPr>
      <w:r w:rsidRPr="005535AB">
        <w:rPr>
          <w:rFonts w:asciiTheme="minorHAnsi" w:hAnsiTheme="minorHAnsi"/>
        </w:rPr>
        <w:t>Patient Panel, while providing reasonable assurances of health equity.</w:t>
      </w:r>
    </w:p>
    <w:p w14:paraId="7927EE6B" w14:textId="77777777" w:rsidR="0092121B" w:rsidRDefault="0092121B" w:rsidP="00C316C3">
      <w:pPr>
        <w:pStyle w:val="BodyText"/>
        <w:rPr>
          <w:rFonts w:asciiTheme="minorHAnsi" w:hAnsiTheme="minorHAnsi"/>
          <w:b/>
          <w:bCs/>
        </w:rPr>
      </w:pPr>
    </w:p>
    <w:p w14:paraId="0B47360A" w14:textId="735E9B1C" w:rsidR="00E04133" w:rsidRDefault="00750186" w:rsidP="00C316C3">
      <w:pPr>
        <w:pStyle w:val="BodyText"/>
        <w:rPr>
          <w:rFonts w:asciiTheme="minorHAnsi" w:hAnsiTheme="minorHAnsi"/>
          <w:b/>
          <w:bCs/>
        </w:rPr>
      </w:pPr>
      <w:r w:rsidRPr="00750186">
        <w:rPr>
          <w:rFonts w:asciiTheme="minorHAnsi" w:hAnsiTheme="minorHAnsi"/>
          <w:b/>
          <w:bCs/>
        </w:rPr>
        <w:t>Public Health Value: Improved Outcomes and Quality of Life</w:t>
      </w:r>
    </w:p>
    <w:p w14:paraId="43B96424" w14:textId="54C044B5" w:rsidR="00750186" w:rsidRDefault="00A034A0" w:rsidP="00C316C3">
      <w:pPr>
        <w:pStyle w:val="BodyText"/>
      </w:pPr>
      <w:r>
        <w:t xml:space="preserve">To demonstrate that the Proposed Project will contribute to improved health outcomes, the Applicant cited published studies </w:t>
      </w:r>
      <w:r w:rsidR="00A17EE1">
        <w:t xml:space="preserve">and reports </w:t>
      </w:r>
      <w:r>
        <w:t xml:space="preserve">on the </w:t>
      </w:r>
      <w:r w:rsidR="00AA435D">
        <w:t xml:space="preserve">use and </w:t>
      </w:r>
      <w:r>
        <w:t>benefits of endoscopy</w:t>
      </w:r>
      <w:r w:rsidR="007F7E12">
        <w:t xml:space="preserve"> as a screening</w:t>
      </w:r>
      <w:r w:rsidR="00AA66DA">
        <w:t>, diagnostic and treatment tool</w:t>
      </w:r>
      <w:r w:rsidR="00427254">
        <w:t>.</w:t>
      </w:r>
      <w:r>
        <w:t xml:space="preserve"> </w:t>
      </w:r>
      <w:r w:rsidR="00AA435D">
        <w:t xml:space="preserve">The Applicant provided more detailed </w:t>
      </w:r>
      <w:r w:rsidR="00144BB3">
        <w:t xml:space="preserve">explanation of </w:t>
      </w:r>
      <w:r w:rsidR="00A07CF1">
        <w:t xml:space="preserve">the clinical advantages of </w:t>
      </w:r>
      <w:r w:rsidR="00144BB3">
        <w:t>common routine endoscopy procedures including</w:t>
      </w:r>
      <w:r w:rsidR="00AA435D">
        <w:t xml:space="preserve"> </w:t>
      </w:r>
      <w:r w:rsidR="00634862">
        <w:t xml:space="preserve">upper </w:t>
      </w:r>
      <w:r w:rsidR="00AA435D">
        <w:t xml:space="preserve">endoscopy for </w:t>
      </w:r>
      <w:r w:rsidR="00332A97" w:rsidRPr="00332A97">
        <w:t>Esophagogastroduodenoscopy</w:t>
      </w:r>
      <w:r w:rsidR="00332A97">
        <w:t xml:space="preserve"> (EDG)</w:t>
      </w:r>
      <w:r w:rsidR="00332A97">
        <w:rPr>
          <w:rStyle w:val="FootnoteReference"/>
        </w:rPr>
        <w:footnoteReference w:id="17"/>
      </w:r>
      <w:r w:rsidR="003601A8">
        <w:t xml:space="preserve">, lower endoscopy for </w:t>
      </w:r>
      <w:r w:rsidR="00AA435D">
        <w:t>Colonoscopy</w:t>
      </w:r>
      <w:r w:rsidR="00A9524E">
        <w:rPr>
          <w:rStyle w:val="FootnoteReference"/>
        </w:rPr>
        <w:footnoteReference w:id="18"/>
      </w:r>
      <w:r w:rsidR="00AA435D">
        <w:t>, and Sigmoidoscopy</w:t>
      </w:r>
      <w:r w:rsidR="00430D37">
        <w:rPr>
          <w:rStyle w:val="FootnoteReference"/>
        </w:rPr>
        <w:footnoteReference w:id="19"/>
      </w:r>
      <w:r w:rsidR="00AA435D">
        <w:t>.</w:t>
      </w:r>
      <w:r w:rsidR="0086741D">
        <w:t xml:space="preserve"> </w:t>
      </w:r>
      <w:r w:rsidR="00AA435D">
        <w:t xml:space="preserve"> </w:t>
      </w:r>
      <w:r w:rsidR="008F1E59">
        <w:t xml:space="preserve">The Applicant also cited </w:t>
      </w:r>
      <w:r w:rsidR="00943100">
        <w:t xml:space="preserve">a </w:t>
      </w:r>
      <w:r w:rsidR="00051A3B">
        <w:t xml:space="preserve">study that reported </w:t>
      </w:r>
      <w:r w:rsidR="00C459DC">
        <w:t>an increase in screening participation and subsequent</w:t>
      </w:r>
      <w:r w:rsidR="008F1E59">
        <w:t xml:space="preserve"> </w:t>
      </w:r>
      <w:r w:rsidR="005A61C5">
        <w:t>decreases</w:t>
      </w:r>
      <w:r w:rsidR="008F1E59">
        <w:t xml:space="preserve"> in CRC incidence and mortality resulting from organized CRC screenings within a community</w:t>
      </w:r>
      <w:r w:rsidR="005A61C5">
        <w:t>-based population.</w:t>
      </w:r>
      <w:r w:rsidR="00066B0F">
        <w:rPr>
          <w:rStyle w:val="EndnoteReference"/>
        </w:rPr>
        <w:endnoteReference w:id="24"/>
      </w:r>
      <w:r w:rsidR="008D50C1" w:rsidRPr="008D50C1">
        <w:rPr>
          <w:vertAlign w:val="superscript"/>
        </w:rPr>
        <w:t>,</w:t>
      </w:r>
      <w:r w:rsidR="008D50C1">
        <w:rPr>
          <w:rStyle w:val="FootnoteReference"/>
        </w:rPr>
        <w:footnoteReference w:id="20"/>
      </w:r>
    </w:p>
    <w:p w14:paraId="05253CA3" w14:textId="77777777" w:rsidR="00427254" w:rsidRDefault="00427254" w:rsidP="00C316C3">
      <w:pPr>
        <w:pStyle w:val="BodyText"/>
      </w:pPr>
    </w:p>
    <w:p w14:paraId="572DB080" w14:textId="1E320786" w:rsidR="00C07B8A" w:rsidRDefault="00B30153" w:rsidP="00C316C3">
      <w:pPr>
        <w:pStyle w:val="BodyText"/>
      </w:pPr>
      <w:r>
        <w:t xml:space="preserve">The Applicant </w:t>
      </w:r>
      <w:r w:rsidR="00542208">
        <w:t>asserts</w:t>
      </w:r>
      <w:r w:rsidDel="00542208">
        <w:t xml:space="preserve"> </w:t>
      </w:r>
      <w:r>
        <w:t xml:space="preserve">the Proposed Project will </w:t>
      </w:r>
      <w:r w:rsidR="00542208">
        <w:t>support</w:t>
      </w:r>
      <w:r>
        <w:t xml:space="preserve"> </w:t>
      </w:r>
      <w:r w:rsidR="00542208">
        <w:t>access to</w:t>
      </w:r>
      <w:r>
        <w:t xml:space="preserve"> high-quality care</w:t>
      </w:r>
      <w:r w:rsidR="00790A81">
        <w:t xml:space="preserve"> and improve patient experience and quality of life</w:t>
      </w:r>
      <w:r>
        <w:t xml:space="preserve"> </w:t>
      </w:r>
      <w:r w:rsidR="00343506">
        <w:t xml:space="preserve">for several reasons, including: </w:t>
      </w:r>
    </w:p>
    <w:p w14:paraId="68CAC5E9" w14:textId="05930477" w:rsidR="00443ACF" w:rsidRDefault="00343506" w:rsidP="00443ACF">
      <w:pPr>
        <w:pStyle w:val="BodyText"/>
        <w:numPr>
          <w:ilvl w:val="0"/>
          <w:numId w:val="49"/>
        </w:numPr>
      </w:pPr>
      <w:r>
        <w:t>T</w:t>
      </w:r>
      <w:r w:rsidR="00B30153">
        <w:t>he Applicant</w:t>
      </w:r>
      <w:r>
        <w:t>’s</w:t>
      </w:r>
      <w:r w:rsidR="00B30153">
        <w:t xml:space="preserve"> ongoing process improvement initiatives </w:t>
      </w:r>
      <w:r w:rsidR="007569BD">
        <w:t xml:space="preserve">such as </w:t>
      </w:r>
      <w:r w:rsidR="00B30153">
        <w:t>its participation in  national quality program</w:t>
      </w:r>
      <w:r w:rsidR="00596289">
        <w:t>s</w:t>
      </w:r>
      <w:r w:rsidR="00B30153">
        <w:t xml:space="preserve"> that include reviewing quality of care outcomes, identify</w:t>
      </w:r>
      <w:r w:rsidR="007F14EC">
        <w:t>ing</w:t>
      </w:r>
      <w:r w:rsidR="00B30153">
        <w:t xml:space="preserve"> best practices, and implementing performance improvement initiatives</w:t>
      </w:r>
      <w:r w:rsidR="00687EED">
        <w:t xml:space="preserve">. </w:t>
      </w:r>
      <w:r w:rsidR="002C2EBE">
        <w:t>The Applicant states that the Center submits Adenoma Detection Rate</w:t>
      </w:r>
      <w:r w:rsidR="004967D3">
        <w:t xml:space="preserve"> (ADR)</w:t>
      </w:r>
      <w:r w:rsidR="002C2EBE">
        <w:t xml:space="preserve"> data to </w:t>
      </w:r>
      <w:r w:rsidR="0065462E" w:rsidRPr="0065462E">
        <w:t>the GI Quality Improvement Consortium, Inc. (GIQuIC)</w:t>
      </w:r>
      <w:r w:rsidR="004967D3">
        <w:t>.</w:t>
      </w:r>
      <w:r w:rsidR="00AB441E">
        <w:rPr>
          <w:rStyle w:val="FootnoteReference"/>
        </w:rPr>
        <w:footnoteReference w:id="21"/>
      </w:r>
      <w:r w:rsidR="004967D3">
        <w:t xml:space="preserve"> </w:t>
      </w:r>
      <w:r w:rsidR="00555720">
        <w:t xml:space="preserve">The ADR, </w:t>
      </w:r>
      <w:r w:rsidR="00F06927">
        <w:t xml:space="preserve">the rate of </w:t>
      </w:r>
      <w:r w:rsidR="004E639D">
        <w:t>an</w:t>
      </w:r>
      <w:r w:rsidR="00F06927">
        <w:t xml:space="preserve"> </w:t>
      </w:r>
      <w:r w:rsidR="004233EA" w:rsidRPr="004233EA">
        <w:t>endoscopist’s ability to find adenomas</w:t>
      </w:r>
      <w:r w:rsidR="00F06927">
        <w:t xml:space="preserve"> or precancerous polyps, is a key quality indicator</w:t>
      </w:r>
      <w:r w:rsidR="008A1935">
        <w:t xml:space="preserve"> that when improved, can impro</w:t>
      </w:r>
      <w:r w:rsidR="000A1C53">
        <w:t>ve quality of care. The Applicant states that the Center’s physicians review ADR data quarterly so that they can make improvements in</w:t>
      </w:r>
      <w:r w:rsidR="001E16D3">
        <w:t xml:space="preserve"> the quality of care.</w:t>
      </w:r>
      <w:r w:rsidR="004233EA" w:rsidRPr="004233EA">
        <w:t xml:space="preserve"> </w:t>
      </w:r>
      <w:r w:rsidR="004967D3">
        <w:t>The Applicant also reports</w:t>
      </w:r>
      <w:r w:rsidR="00B558E9">
        <w:t xml:space="preserve"> metrics as part of CMS</w:t>
      </w:r>
      <w:r w:rsidR="00385EFB">
        <w:t>’</w:t>
      </w:r>
      <w:r w:rsidR="00B558E9">
        <w:t xml:space="preserve"> Ambulatory Surgical Center Quality </w:t>
      </w:r>
      <w:r w:rsidR="005B0CD1">
        <w:t xml:space="preserve">Reporting </w:t>
      </w:r>
      <w:r w:rsidR="005B0CD1">
        <w:lastRenderedPageBreak/>
        <w:t>(ASCQR) Program.</w:t>
      </w:r>
      <w:r w:rsidR="005B0CD1">
        <w:rPr>
          <w:rStyle w:val="FootnoteReference"/>
        </w:rPr>
        <w:footnoteReference w:id="22"/>
      </w:r>
      <w:r w:rsidR="005D54E0">
        <w:t xml:space="preserve"> </w:t>
      </w:r>
      <w:r w:rsidR="001E16D3">
        <w:t xml:space="preserve">The Applicant states that the data submitted </w:t>
      </w:r>
      <w:r w:rsidR="0063081B">
        <w:t xml:space="preserve">through ASCQR is reported publicly, allowing patients to use the information to make informed decisions about their care. </w:t>
      </w:r>
    </w:p>
    <w:p w14:paraId="1894F533" w14:textId="30EE1C7B" w:rsidR="00443ACF" w:rsidRDefault="00443ACF" w:rsidP="00C71B1F">
      <w:pPr>
        <w:pStyle w:val="BodyText"/>
        <w:numPr>
          <w:ilvl w:val="0"/>
          <w:numId w:val="49"/>
        </w:numPr>
      </w:pPr>
      <w:r>
        <w:t>T</w:t>
      </w:r>
      <w:r w:rsidRPr="00443ACF">
        <w:t xml:space="preserve">he Center’s targeted focus on GI-related endoscopy services supports efficient scheduling practices to minimize delays, backlogs, and rescheduling. </w:t>
      </w:r>
    </w:p>
    <w:p w14:paraId="4566B9F3" w14:textId="77777777" w:rsidR="00443ACF" w:rsidRDefault="00443ACF" w:rsidP="00443ACF">
      <w:pPr>
        <w:pStyle w:val="BodyText"/>
      </w:pPr>
    </w:p>
    <w:p w14:paraId="4470A50B" w14:textId="7F28DDED" w:rsidR="00427254" w:rsidRDefault="00584387" w:rsidP="00443ACF">
      <w:pPr>
        <w:pStyle w:val="BodyText"/>
      </w:pPr>
      <w:r>
        <w:t>Per</w:t>
      </w:r>
      <w:r w:rsidR="002A0038">
        <w:t xml:space="preserve"> section </w:t>
      </w:r>
      <w:r w:rsidR="002A0038" w:rsidRPr="002A0038">
        <w:t xml:space="preserve">140.305: Emergency Transfer </w:t>
      </w:r>
      <w:r w:rsidR="002A0038">
        <w:t>of</w:t>
      </w:r>
      <w:r>
        <w:t xml:space="preserve"> the Department’s </w:t>
      </w:r>
      <w:r w:rsidR="002A0038">
        <w:t>regulations governing Clinic Licensure (</w:t>
      </w:r>
      <w:r w:rsidR="00113825" w:rsidRPr="00113825">
        <w:t>105 CMR 140.000</w:t>
      </w:r>
      <w:r w:rsidR="00113825">
        <w:t>)</w:t>
      </w:r>
      <w:r w:rsidR="00555F74">
        <w:t>,</w:t>
      </w:r>
      <w:r w:rsidR="00113825">
        <w:t xml:space="preserve"> </w:t>
      </w:r>
      <w:r w:rsidR="00555F74">
        <w:t>t</w:t>
      </w:r>
      <w:r w:rsidR="00795707">
        <w:t>he Center maintains a transfer agreement with Emerson Hospital, located 1.2 miles from the Center, and in the case o</w:t>
      </w:r>
      <w:r w:rsidR="04F0B357">
        <w:t>f</w:t>
      </w:r>
      <w:r w:rsidR="00795707">
        <w:t xml:space="preserve"> an emergency</w:t>
      </w:r>
      <w:r w:rsidR="008A5AA5">
        <w:t>, 911 is called and emergency services are requested.</w:t>
      </w:r>
      <w:r w:rsidR="00F45FBE">
        <w:rPr>
          <w:rStyle w:val="FootnoteReference"/>
        </w:rPr>
        <w:footnoteReference w:id="23"/>
      </w:r>
      <w:r w:rsidR="008A5AA5">
        <w:t xml:space="preserve"> </w:t>
      </w:r>
    </w:p>
    <w:p w14:paraId="333A78CC" w14:textId="77777777" w:rsidR="00B30153" w:rsidRDefault="00B30153" w:rsidP="00C316C3">
      <w:pPr>
        <w:pStyle w:val="BodyText"/>
      </w:pPr>
    </w:p>
    <w:p w14:paraId="4B4A68C0" w14:textId="58B99A10" w:rsidR="00C65CBA" w:rsidRDefault="00267866" w:rsidP="00C316C3">
      <w:pPr>
        <w:pStyle w:val="BodyText"/>
      </w:pPr>
      <w:r>
        <w:t xml:space="preserve">To further demonstrate the improved health outcomes and patient experience that will result from the Proposed Project, the Applicant cited several articles and reports on the benefits of performing </w:t>
      </w:r>
      <w:r w:rsidR="000171EC">
        <w:t>the Center’s</w:t>
      </w:r>
      <w:r>
        <w:t xml:space="preserve"> endoscopy procedures in the ASC setting, as compared to the hospital setting</w:t>
      </w:r>
      <w:r w:rsidR="001D378F">
        <w:t>, many resulting from</w:t>
      </w:r>
      <w:r w:rsidR="001D378F" w:rsidRPr="001D378F">
        <w:rPr>
          <w:szCs w:val="20"/>
        </w:rPr>
        <w:t xml:space="preserve"> </w:t>
      </w:r>
      <w:r w:rsidR="001D378F" w:rsidRPr="001D378F">
        <w:t>ASCs focus on a limited set of specialties and low-risk procedures</w:t>
      </w:r>
      <w:r>
        <w:t xml:space="preserve">. The benefits of performing GI-specific procedures in the ASC setting </w:t>
      </w:r>
      <w:r w:rsidR="00B06713">
        <w:t xml:space="preserve">as compared to the hospital setting </w:t>
      </w:r>
      <w:r>
        <w:t>include:</w:t>
      </w:r>
    </w:p>
    <w:p w14:paraId="53F7F353" w14:textId="4B3A1C9B" w:rsidR="00D73B51" w:rsidRDefault="00437FAE" w:rsidP="00B06713">
      <w:pPr>
        <w:pStyle w:val="BodyText"/>
        <w:numPr>
          <w:ilvl w:val="0"/>
          <w:numId w:val="22"/>
        </w:numPr>
      </w:pPr>
      <w:r>
        <w:t>G</w:t>
      </w:r>
      <w:r w:rsidR="00D41BDD">
        <w:t>reater clinical and operational efficiencies</w:t>
      </w:r>
    </w:p>
    <w:p w14:paraId="2965D23B" w14:textId="7D8406FF" w:rsidR="00994E4E" w:rsidRDefault="00FF4B5F" w:rsidP="00B06713">
      <w:pPr>
        <w:pStyle w:val="BodyText"/>
        <w:numPr>
          <w:ilvl w:val="0"/>
          <w:numId w:val="22"/>
        </w:numPr>
      </w:pPr>
      <w:r>
        <w:t xml:space="preserve">More efficient use of time </w:t>
      </w:r>
    </w:p>
    <w:p w14:paraId="14BA4B1A" w14:textId="37005F14" w:rsidR="00FF4B5F" w:rsidRDefault="00FF4B5F" w:rsidP="00B06713">
      <w:pPr>
        <w:pStyle w:val="BodyText"/>
        <w:numPr>
          <w:ilvl w:val="0"/>
          <w:numId w:val="22"/>
        </w:numPr>
      </w:pPr>
      <w:r>
        <w:t xml:space="preserve">Cost-savings to payers and patients </w:t>
      </w:r>
    </w:p>
    <w:p w14:paraId="1C93B63B" w14:textId="1DF395B5" w:rsidR="00FF4B5F" w:rsidRDefault="00A4407F" w:rsidP="00B06713">
      <w:pPr>
        <w:pStyle w:val="BodyText"/>
        <w:numPr>
          <w:ilvl w:val="0"/>
          <w:numId w:val="22"/>
        </w:numPr>
      </w:pPr>
      <w:r>
        <w:t>Lower</w:t>
      </w:r>
      <w:r w:rsidR="00FF4B5F">
        <w:t xml:space="preserve"> overhead</w:t>
      </w:r>
      <w:r>
        <w:t xml:space="preserve"> costs</w:t>
      </w:r>
      <w:r w:rsidR="00FF4B5F">
        <w:t>, such as staffing, laboratory, medication, and imaging costs</w:t>
      </w:r>
    </w:p>
    <w:p w14:paraId="06CC7AFF" w14:textId="3857D284" w:rsidR="00FF4B5F" w:rsidRDefault="009D2D3F" w:rsidP="00B06713">
      <w:pPr>
        <w:pStyle w:val="BodyText"/>
        <w:numPr>
          <w:ilvl w:val="0"/>
          <w:numId w:val="22"/>
        </w:numPr>
      </w:pPr>
      <w:r>
        <w:t>Redu</w:t>
      </w:r>
      <w:r w:rsidR="0018781A">
        <w:t>ced</w:t>
      </w:r>
      <w:r>
        <w:t xml:space="preserve"> wait times, scheduling delays and cancellations </w:t>
      </w:r>
    </w:p>
    <w:p w14:paraId="006ADC09" w14:textId="77777777" w:rsidR="00E3673D" w:rsidRDefault="00E3673D" w:rsidP="00E3673D">
      <w:pPr>
        <w:pStyle w:val="BodyText"/>
      </w:pPr>
    </w:p>
    <w:p w14:paraId="1332C299" w14:textId="5DD6BF36" w:rsidR="00E3673D" w:rsidRDefault="00E3673D" w:rsidP="00E3673D">
      <w:pPr>
        <w:pStyle w:val="BodyText"/>
      </w:pPr>
      <w:r>
        <w:t xml:space="preserve">The Applicant maintains that improved access to </w:t>
      </w:r>
      <w:r w:rsidR="000171EC">
        <w:t>the Center’s</w:t>
      </w:r>
      <w:r>
        <w:t xml:space="preserve"> services in a non-hospital, lower-cost </w:t>
      </w:r>
      <w:r w:rsidR="00311321">
        <w:t>setting</w:t>
      </w:r>
      <w:r>
        <w:t xml:space="preserve"> will improve patient </w:t>
      </w:r>
      <w:r w:rsidR="00EB41AB">
        <w:t>adherence</w:t>
      </w:r>
      <w:r>
        <w:t xml:space="preserve"> </w:t>
      </w:r>
      <w:r w:rsidR="00912196">
        <w:t xml:space="preserve">to </w:t>
      </w:r>
      <w:r w:rsidR="00FD0625">
        <w:t xml:space="preserve">CRC </w:t>
      </w:r>
      <w:r>
        <w:t>screening recommendations,</w:t>
      </w:r>
      <w:r w:rsidR="000856DA">
        <w:t xml:space="preserve"> and </w:t>
      </w:r>
      <w:r>
        <w:t xml:space="preserve">will increase CRC screening rates, which will in turn allow for earlier detection </w:t>
      </w:r>
      <w:r w:rsidR="000856DA">
        <w:t>and</w:t>
      </w:r>
      <w:r>
        <w:t xml:space="preserve"> more successful treatment. </w:t>
      </w:r>
      <w:r w:rsidR="00595BA0">
        <w:t xml:space="preserve">The </w:t>
      </w:r>
      <w:r w:rsidR="00FB11EE">
        <w:t xml:space="preserve">American Cancer </w:t>
      </w:r>
      <w:r w:rsidR="00465B56">
        <w:t xml:space="preserve">Society </w:t>
      </w:r>
      <w:r w:rsidR="00776DC4">
        <w:t>s</w:t>
      </w:r>
      <w:r w:rsidR="00FB11EE">
        <w:t>tates</w:t>
      </w:r>
      <w:r w:rsidR="00595BA0">
        <w:t xml:space="preserve"> </w:t>
      </w:r>
      <w:r w:rsidR="00FB11EE">
        <w:t xml:space="preserve">that </w:t>
      </w:r>
      <w:r w:rsidR="00D178F2">
        <w:t>the five-year survival rate for CRC is 9</w:t>
      </w:r>
      <w:r w:rsidR="00FB11EE">
        <w:t>1</w:t>
      </w:r>
      <w:r w:rsidR="00D178F2">
        <w:t>%</w:t>
      </w:r>
      <w:r w:rsidR="001C0520">
        <w:t xml:space="preserve"> for localized cancer</w:t>
      </w:r>
      <w:r w:rsidR="00FB11EE">
        <w:t>.</w:t>
      </w:r>
      <w:r w:rsidR="00CA4897">
        <w:rPr>
          <w:rStyle w:val="FootnoteReference"/>
        </w:rPr>
        <w:footnoteReference w:id="24"/>
      </w:r>
      <w:r w:rsidR="001C0520">
        <w:t xml:space="preserve"> </w:t>
      </w:r>
      <w:r w:rsidR="00FB11EE">
        <w:t xml:space="preserve">The Massachusetts Cancer Registry 2020 </w:t>
      </w:r>
      <w:r w:rsidR="00700C56">
        <w:t xml:space="preserve">Data Report on </w:t>
      </w:r>
      <w:r w:rsidR="00FB11EE">
        <w:t xml:space="preserve">CRC </w:t>
      </w:r>
      <w:r w:rsidR="00700C56">
        <w:t>in Massachusetts</w:t>
      </w:r>
      <w:r w:rsidR="00FB11EE">
        <w:t xml:space="preserve"> noted </w:t>
      </w:r>
      <w:r w:rsidR="00700C56">
        <w:t xml:space="preserve">that </w:t>
      </w:r>
      <w:r w:rsidR="001C0520">
        <w:t>CRC diagnosed in those aged 50 and less</w:t>
      </w:r>
      <w:r w:rsidR="00714831">
        <w:t xml:space="preserve"> were more likely to be regional or distant</w:t>
      </w:r>
      <w:r w:rsidR="00381EF3">
        <w:rPr>
          <w:rStyle w:val="FootnoteReference"/>
        </w:rPr>
        <w:footnoteReference w:id="25"/>
      </w:r>
      <w:r w:rsidR="00714831">
        <w:t xml:space="preserve"> compared to those age 50 and older</w:t>
      </w:r>
      <w:r w:rsidR="0096637B">
        <w:t>, and</w:t>
      </w:r>
      <w:r w:rsidR="00044385">
        <w:t xml:space="preserve"> that this</w:t>
      </w:r>
      <w:r w:rsidR="0096637B">
        <w:t xml:space="preserve"> is an important consideration as CRC rates for this age group continue to increase.</w:t>
      </w:r>
      <w:r w:rsidR="00714831" w:rsidRPr="00714831">
        <w:rPr>
          <w:vertAlign w:val="superscript"/>
        </w:rPr>
        <w:endnoteReference w:id="25"/>
      </w:r>
      <w:r w:rsidR="00112332">
        <w:t xml:space="preserve"> </w:t>
      </w:r>
    </w:p>
    <w:p w14:paraId="1D18E750" w14:textId="77777777" w:rsidR="00E3673D" w:rsidRDefault="00E3673D" w:rsidP="00E3673D">
      <w:pPr>
        <w:pStyle w:val="BodyText"/>
      </w:pPr>
    </w:p>
    <w:p w14:paraId="6AA0E9AA" w14:textId="2662E667" w:rsidR="00ED10DC" w:rsidRDefault="00C65CBA" w:rsidP="00C316C3">
      <w:pPr>
        <w:pStyle w:val="BodyText"/>
      </w:pPr>
      <w:r w:rsidRPr="00C65CBA">
        <w:t>The Applicant proposed specific outcome measures to track the impact of the Proposed Project which staff has reviewed and will become a part of the reporting requirements. These measures are shown in Appendix I.</w:t>
      </w:r>
    </w:p>
    <w:p w14:paraId="4420B493" w14:textId="77777777" w:rsidR="00BF0259" w:rsidRDefault="00BF0259" w:rsidP="00C316C3">
      <w:pPr>
        <w:pStyle w:val="BodyText"/>
      </w:pPr>
    </w:p>
    <w:p w14:paraId="221DF517" w14:textId="70B789AF" w:rsidR="00B447F3" w:rsidRPr="00932E5D" w:rsidRDefault="00A4110F" w:rsidP="00C316C3">
      <w:pPr>
        <w:rPr>
          <w:rFonts w:asciiTheme="minorHAnsi" w:hAnsiTheme="minorHAnsi"/>
          <w:b/>
          <w:bCs/>
          <w:i/>
          <w:iCs/>
          <w:szCs w:val="24"/>
        </w:rPr>
      </w:pPr>
      <w:r w:rsidRPr="00932E5D">
        <w:rPr>
          <w:rFonts w:asciiTheme="minorHAnsi" w:hAnsiTheme="minorHAnsi"/>
          <w:b/>
          <w:bCs/>
          <w:i/>
          <w:iCs/>
          <w:szCs w:val="24"/>
        </w:rPr>
        <w:t>Analysis</w:t>
      </w:r>
      <w:r w:rsidR="00303C0E" w:rsidRPr="00932E5D">
        <w:rPr>
          <w:rFonts w:asciiTheme="minorHAnsi" w:hAnsiTheme="minorHAnsi"/>
          <w:b/>
          <w:bCs/>
          <w:i/>
          <w:iCs/>
          <w:szCs w:val="24"/>
        </w:rPr>
        <w:t>:</w:t>
      </w:r>
      <w:r w:rsidR="00E04133" w:rsidRPr="00932E5D">
        <w:rPr>
          <w:rFonts w:asciiTheme="minorHAnsi" w:hAnsiTheme="minorHAnsi"/>
          <w:b/>
          <w:bCs/>
          <w:i/>
          <w:iCs/>
          <w:szCs w:val="24"/>
        </w:rPr>
        <w:t xml:space="preserve"> </w:t>
      </w:r>
      <w:r w:rsidR="00303C0E" w:rsidRPr="00932E5D">
        <w:rPr>
          <w:rFonts w:asciiTheme="minorHAnsi" w:hAnsiTheme="minorHAnsi"/>
          <w:b/>
          <w:bCs/>
          <w:i/>
          <w:iCs/>
          <w:szCs w:val="24"/>
        </w:rPr>
        <w:t>Improved Outcomes and Quality of Life</w:t>
      </w:r>
    </w:p>
    <w:p w14:paraId="70F91D93" w14:textId="2137E521" w:rsidR="00924009" w:rsidRDefault="00333784" w:rsidP="00C316C3">
      <w:r w:rsidRPr="00333784">
        <w:t xml:space="preserve">Staff finds that increasing access to </w:t>
      </w:r>
      <w:r w:rsidR="00BF0259">
        <w:t xml:space="preserve">GI-specific </w:t>
      </w:r>
      <w:r w:rsidRPr="00333784">
        <w:t xml:space="preserve">ambulatory surgery in the ASC setting has the potential to improve health outcomes and quality of life of the Patient Panel. </w:t>
      </w:r>
      <w:r w:rsidR="00775093">
        <w:t xml:space="preserve">A 2015 </w:t>
      </w:r>
      <w:r w:rsidR="00597BE9">
        <w:t>research article</w:t>
      </w:r>
      <w:r w:rsidR="00775093">
        <w:t xml:space="preserve"> </w:t>
      </w:r>
      <w:r w:rsidR="00597BE9">
        <w:t>examined</w:t>
      </w:r>
      <w:r w:rsidR="00775093">
        <w:t xml:space="preserve"> the impact of </w:t>
      </w:r>
      <w:r w:rsidR="000739BE">
        <w:t>opening an ASC</w:t>
      </w:r>
      <w:r w:rsidR="00771352" w:rsidDel="007043C2">
        <w:t xml:space="preserve"> </w:t>
      </w:r>
      <w:r w:rsidR="00771352">
        <w:t>on</w:t>
      </w:r>
      <w:r w:rsidR="00995E23">
        <w:t xml:space="preserve"> quality</w:t>
      </w:r>
      <w:r w:rsidR="000739BE">
        <w:t>,</w:t>
      </w:r>
      <w:r w:rsidR="00E859CA">
        <w:t xml:space="preserve"> found “</w:t>
      </w:r>
      <w:r w:rsidR="00E859CA" w:rsidRPr="00E859CA">
        <w:t>the shift of outpatient surgery from the hospital to the ASC was not associated with higher rates of hospital admission or mortality</w:t>
      </w:r>
      <w:r w:rsidR="00E859CA">
        <w:t>” and stated further that their findings “</w:t>
      </w:r>
      <w:r w:rsidR="00E859CA" w:rsidRPr="00E859CA">
        <w:t>suggest that freestanding ASCs can safely achieve their intended effects of outpatient procedure redistribution to a less expensive setting without sacrificing quality, as measured by hospital admission or mortality</w:t>
      </w:r>
      <w:r w:rsidR="00E859CA">
        <w:t>.”</w:t>
      </w:r>
      <w:r w:rsidR="00E859CA">
        <w:rPr>
          <w:rStyle w:val="EndnoteReference"/>
        </w:rPr>
        <w:endnoteReference w:id="26"/>
      </w:r>
      <w:r w:rsidR="00E859CA">
        <w:t xml:space="preserve"> </w:t>
      </w:r>
      <w:r w:rsidR="00920201">
        <w:t xml:space="preserve">A 2022 article comparing </w:t>
      </w:r>
      <w:r w:rsidR="008B11F7">
        <w:t xml:space="preserve">rates of </w:t>
      </w:r>
      <w:r w:rsidR="007E5290">
        <w:t xml:space="preserve">unplanned hospital visits </w:t>
      </w:r>
      <w:r w:rsidR="00C65A94">
        <w:t xml:space="preserve">after </w:t>
      </w:r>
      <w:r w:rsidR="00172730">
        <w:t>GI</w:t>
      </w:r>
      <w:r w:rsidR="00C65A94">
        <w:t xml:space="preserve"> endoscopy</w:t>
      </w:r>
      <w:r w:rsidR="008643C3">
        <w:t xml:space="preserve"> (EDG and colonoscopy)</w:t>
      </w:r>
      <w:r w:rsidR="00023560" w:rsidRPr="00023560">
        <w:t xml:space="preserve"> </w:t>
      </w:r>
      <w:r w:rsidR="00421507">
        <w:t xml:space="preserve">performed </w:t>
      </w:r>
      <w:r w:rsidR="00023560">
        <w:t>in ASCs and HOPDs</w:t>
      </w:r>
      <w:r w:rsidR="00C65A94">
        <w:t xml:space="preserve"> (</w:t>
      </w:r>
      <w:r w:rsidR="00C65A94" w:rsidRPr="00C65A94">
        <w:t xml:space="preserve">in Massachusetts </w:t>
      </w:r>
      <w:r w:rsidR="00C65A94">
        <w:t>from</w:t>
      </w:r>
      <w:r w:rsidR="00C65A94" w:rsidRPr="00C65A94">
        <w:t xml:space="preserve"> 2014 to 2017</w:t>
      </w:r>
      <w:r w:rsidR="00C65A94">
        <w:t>)</w:t>
      </w:r>
      <w:r w:rsidR="00C65A94" w:rsidRPr="00C65A94">
        <w:t xml:space="preserve"> </w:t>
      </w:r>
      <w:r w:rsidR="008B11F7">
        <w:t xml:space="preserve">found that </w:t>
      </w:r>
      <w:r w:rsidR="00F35F41">
        <w:t>“</w:t>
      </w:r>
      <w:r w:rsidR="00F35F41" w:rsidRPr="00F35F41">
        <w:t>ASC patients consistently had less frequent hospital-based acute care encounters</w:t>
      </w:r>
      <w:r w:rsidR="00F35F41">
        <w:t xml:space="preserve">” </w:t>
      </w:r>
      <w:r w:rsidR="00FA2AB5">
        <w:t>and “</w:t>
      </w:r>
      <w:r w:rsidR="00FA2AB5" w:rsidRPr="00FA2AB5">
        <w:t>did not observe that the transition of GI endoscopy to ASC settings compromised patient safety in Massachusetts at the time of this study.</w:t>
      </w:r>
      <w:r w:rsidR="00FA2AB5">
        <w:t>”</w:t>
      </w:r>
      <w:r w:rsidR="00FA2AB5">
        <w:rPr>
          <w:rStyle w:val="EndnoteReference"/>
        </w:rPr>
        <w:endnoteReference w:id="27"/>
      </w:r>
      <w:r w:rsidR="00023560">
        <w:t xml:space="preserve"> </w:t>
      </w:r>
      <w:r w:rsidR="00D05D89">
        <w:t xml:space="preserve">The Applicant states that it provides regular reporting to </w:t>
      </w:r>
      <w:r w:rsidR="00253E1D" w:rsidRPr="00253E1D">
        <w:t>GIQuIC</w:t>
      </w:r>
      <w:r w:rsidR="00253E1D">
        <w:t xml:space="preserve"> and to</w:t>
      </w:r>
      <w:r w:rsidR="00253E1D" w:rsidRPr="00253E1D">
        <w:t xml:space="preserve"> CMS’ ASCQR Program</w:t>
      </w:r>
      <w:r w:rsidR="00F43413">
        <w:t xml:space="preserve">. </w:t>
      </w:r>
      <w:r w:rsidR="00253E1D">
        <w:t xml:space="preserve">The Applicant will also report annually to the Department on the measured listed in Appendix I. </w:t>
      </w:r>
      <w:r w:rsidRPr="00333784">
        <w:t>As a result, Staff finds that the Applicant meets the requirements of Public Health Value: Health Outcomes as part of Factor 1b.</w:t>
      </w:r>
    </w:p>
    <w:p w14:paraId="6733C5B7" w14:textId="77777777" w:rsidR="0054606A" w:rsidRDefault="0054606A" w:rsidP="00C316C3"/>
    <w:p w14:paraId="7E97B2EA" w14:textId="4BFE54E0" w:rsidR="00E04133" w:rsidRPr="00B517EA" w:rsidRDefault="00303C0E" w:rsidP="00C316C3">
      <w:pPr>
        <w:rPr>
          <w:rFonts w:asciiTheme="minorHAnsi" w:hAnsiTheme="minorHAnsi"/>
          <w:b/>
          <w:bCs/>
          <w:i/>
          <w:iCs/>
          <w:szCs w:val="24"/>
        </w:rPr>
      </w:pPr>
      <w:r w:rsidRPr="00B517EA">
        <w:rPr>
          <w:rFonts w:asciiTheme="minorHAnsi" w:hAnsiTheme="minorHAnsi"/>
          <w:b/>
          <w:bCs/>
          <w:i/>
          <w:iCs/>
          <w:szCs w:val="24"/>
        </w:rPr>
        <w:t xml:space="preserve">Public Health </w:t>
      </w:r>
      <w:r w:rsidR="00F80934" w:rsidRPr="00B517EA">
        <w:rPr>
          <w:rFonts w:asciiTheme="minorHAnsi" w:hAnsiTheme="minorHAnsi"/>
          <w:b/>
          <w:bCs/>
          <w:i/>
          <w:iCs/>
          <w:szCs w:val="24"/>
        </w:rPr>
        <w:t>Value: Health</w:t>
      </w:r>
      <w:r w:rsidR="00E04133" w:rsidRPr="00B517EA">
        <w:rPr>
          <w:rFonts w:asciiTheme="minorHAnsi" w:hAnsiTheme="minorHAnsi"/>
          <w:b/>
          <w:bCs/>
          <w:i/>
          <w:iCs/>
          <w:szCs w:val="24"/>
        </w:rPr>
        <w:t xml:space="preserve"> Equity</w:t>
      </w:r>
    </w:p>
    <w:p w14:paraId="17994EC4" w14:textId="50CC5914" w:rsidR="0054606A" w:rsidRDefault="00455E2C" w:rsidP="28157CC0">
      <w:pPr>
        <w:rPr>
          <w:rFonts w:cs="Calibri"/>
        </w:rPr>
      </w:pPr>
      <w:r w:rsidRPr="00455E2C">
        <w:rPr>
          <w:rFonts w:cs="Calibri"/>
        </w:rPr>
        <w:t xml:space="preserve">The following section outlines the Applicant’s processes in place to support equitable access to </w:t>
      </w:r>
      <w:r w:rsidR="00A45E7F">
        <w:rPr>
          <w:rFonts w:cs="Calibri"/>
        </w:rPr>
        <w:t>the Center</w:t>
      </w:r>
      <w:r w:rsidRPr="00455E2C">
        <w:rPr>
          <w:rFonts w:cs="Calibri"/>
        </w:rPr>
        <w:t xml:space="preserve">. </w:t>
      </w:r>
    </w:p>
    <w:p w14:paraId="378C08AB" w14:textId="77777777" w:rsidR="00043CAE" w:rsidRDefault="00043CAE" w:rsidP="28157CC0">
      <w:pPr>
        <w:rPr>
          <w:rFonts w:cs="Calibri"/>
        </w:rPr>
      </w:pPr>
    </w:p>
    <w:p w14:paraId="4269BF69" w14:textId="234976F7" w:rsidR="00C2110A" w:rsidRDefault="005457CE" w:rsidP="28157CC0">
      <w:pPr>
        <w:rPr>
          <w:rFonts w:cs="Calibri"/>
        </w:rPr>
      </w:pPr>
      <w:r>
        <w:rPr>
          <w:rFonts w:cs="Calibri"/>
          <w:b/>
          <w:bCs/>
        </w:rPr>
        <w:t>Language Access</w:t>
      </w:r>
      <w:r w:rsidR="617397D1" w:rsidRPr="28157CC0">
        <w:rPr>
          <w:rFonts w:cs="Calibri"/>
        </w:rPr>
        <w:t xml:space="preserve">: </w:t>
      </w:r>
    </w:p>
    <w:p w14:paraId="7C9EFAC5" w14:textId="410B2496" w:rsidR="00C2110A" w:rsidRDefault="00A45E7F" w:rsidP="00C2110A">
      <w:pPr>
        <w:pStyle w:val="ListParagraph"/>
        <w:numPr>
          <w:ilvl w:val="0"/>
          <w:numId w:val="25"/>
        </w:numPr>
        <w:rPr>
          <w:rFonts w:cs="Calibri"/>
        </w:rPr>
      </w:pPr>
      <w:r>
        <w:rPr>
          <w:rFonts w:cs="Calibri"/>
        </w:rPr>
        <w:t>The Center</w:t>
      </w:r>
      <w:r w:rsidR="005E69C9" w:rsidRPr="00C2110A">
        <w:rPr>
          <w:rFonts w:cs="Calibri"/>
        </w:rPr>
        <w:t xml:space="preserve"> provides language </w:t>
      </w:r>
      <w:r w:rsidR="00075BF7">
        <w:rPr>
          <w:rFonts w:cs="Calibri"/>
        </w:rPr>
        <w:t xml:space="preserve">access </w:t>
      </w:r>
      <w:r w:rsidR="005E69C9" w:rsidRPr="00C2110A">
        <w:rPr>
          <w:rFonts w:cs="Calibri"/>
        </w:rPr>
        <w:t>services at no cost to patient</w:t>
      </w:r>
      <w:r w:rsidR="00477433">
        <w:rPr>
          <w:rFonts w:cs="Calibri"/>
        </w:rPr>
        <w:t>s</w:t>
      </w:r>
      <w:r w:rsidR="005E69C9" w:rsidRPr="00C2110A">
        <w:rPr>
          <w:rFonts w:cs="Calibri"/>
        </w:rPr>
        <w:t xml:space="preserve">. </w:t>
      </w:r>
    </w:p>
    <w:p w14:paraId="5A7EC82A" w14:textId="2CBA8B97" w:rsidR="00C2110A" w:rsidRDefault="00477433" w:rsidP="00C2110A">
      <w:pPr>
        <w:pStyle w:val="ListParagraph"/>
        <w:numPr>
          <w:ilvl w:val="0"/>
          <w:numId w:val="25"/>
        </w:numPr>
        <w:rPr>
          <w:rFonts w:cs="Calibri"/>
        </w:rPr>
      </w:pPr>
      <w:r>
        <w:rPr>
          <w:rFonts w:cs="Calibri"/>
        </w:rPr>
        <w:t>P</w:t>
      </w:r>
      <w:r w:rsidR="00264625" w:rsidRPr="00C2110A">
        <w:rPr>
          <w:rFonts w:cs="Calibri"/>
        </w:rPr>
        <w:t>atients</w:t>
      </w:r>
      <w:r w:rsidR="005E69C9" w:rsidRPr="00C2110A">
        <w:rPr>
          <w:rFonts w:cs="Calibri"/>
        </w:rPr>
        <w:t xml:space="preserve"> are screened prior to the procedure to ide</w:t>
      </w:r>
      <w:r w:rsidR="00264625">
        <w:rPr>
          <w:rFonts w:cs="Calibri"/>
        </w:rPr>
        <w:t>n</w:t>
      </w:r>
      <w:r w:rsidR="005E69C9" w:rsidRPr="00C2110A">
        <w:rPr>
          <w:rFonts w:cs="Calibri"/>
        </w:rPr>
        <w:t>ti</w:t>
      </w:r>
      <w:r w:rsidR="00264625">
        <w:rPr>
          <w:rFonts w:cs="Calibri"/>
        </w:rPr>
        <w:t>f</w:t>
      </w:r>
      <w:r w:rsidR="005E69C9" w:rsidRPr="00C2110A">
        <w:rPr>
          <w:rFonts w:cs="Calibri"/>
        </w:rPr>
        <w:t xml:space="preserve">y those patients with need for interpreter services as well as to identify the level of </w:t>
      </w:r>
      <w:r w:rsidR="00C2110A" w:rsidRPr="00C2110A">
        <w:rPr>
          <w:rFonts w:cs="Calibri"/>
        </w:rPr>
        <w:t>assistance</w:t>
      </w:r>
      <w:r w:rsidR="005E69C9" w:rsidRPr="00C2110A">
        <w:rPr>
          <w:rFonts w:cs="Calibri"/>
        </w:rPr>
        <w:t xml:space="preserve"> needed. </w:t>
      </w:r>
      <w:r w:rsidR="00C2110A">
        <w:rPr>
          <w:rFonts w:cs="Calibri"/>
        </w:rPr>
        <w:t>Interpreter</w:t>
      </w:r>
      <w:r w:rsidR="005E69C9" w:rsidRPr="00C2110A">
        <w:rPr>
          <w:rFonts w:cs="Calibri"/>
        </w:rPr>
        <w:t xml:space="preserve"> services are always immediately available to patients even if they are not scheduled ahead of time.</w:t>
      </w:r>
    </w:p>
    <w:p w14:paraId="16E1EFF3" w14:textId="4B0CFFBD" w:rsidR="00285C94" w:rsidRDefault="005E69C9" w:rsidP="00C2110A">
      <w:pPr>
        <w:pStyle w:val="ListParagraph"/>
        <w:numPr>
          <w:ilvl w:val="0"/>
          <w:numId w:val="25"/>
        </w:numPr>
        <w:rPr>
          <w:rFonts w:cs="Calibri"/>
        </w:rPr>
      </w:pPr>
      <w:r w:rsidRPr="00C2110A">
        <w:rPr>
          <w:rFonts w:cs="Calibri"/>
        </w:rPr>
        <w:t xml:space="preserve">Translation services are provided </w:t>
      </w:r>
      <w:r w:rsidR="00FE06D6">
        <w:rPr>
          <w:rFonts w:cs="Calibri"/>
        </w:rPr>
        <w:t xml:space="preserve">for all languages </w:t>
      </w:r>
      <w:r w:rsidRPr="00C2110A">
        <w:rPr>
          <w:rFonts w:cs="Calibri"/>
        </w:rPr>
        <w:t>through LanguageLine</w:t>
      </w:r>
      <w:r w:rsidR="00285C94">
        <w:rPr>
          <w:rFonts w:cs="Calibri"/>
        </w:rPr>
        <w:t>.</w:t>
      </w:r>
      <w:r w:rsidRPr="00C2110A">
        <w:rPr>
          <w:rFonts w:cs="Calibri"/>
        </w:rPr>
        <w:t xml:space="preserve"> </w:t>
      </w:r>
    </w:p>
    <w:p w14:paraId="2981F510" w14:textId="5BBC9292" w:rsidR="00C2110A" w:rsidRDefault="00285C94" w:rsidP="00C2110A">
      <w:pPr>
        <w:pStyle w:val="ListParagraph"/>
        <w:numPr>
          <w:ilvl w:val="0"/>
          <w:numId w:val="25"/>
        </w:numPr>
        <w:rPr>
          <w:rFonts w:cs="Calibri"/>
        </w:rPr>
      </w:pPr>
      <w:r>
        <w:rPr>
          <w:rFonts w:cs="Calibri"/>
        </w:rPr>
        <w:t>I</w:t>
      </w:r>
      <w:r w:rsidR="005E69C9" w:rsidRPr="00C2110A">
        <w:rPr>
          <w:rFonts w:cs="Calibri"/>
        </w:rPr>
        <w:t xml:space="preserve">n-person interpreter services are available for patients with hearing impairment. </w:t>
      </w:r>
    </w:p>
    <w:p w14:paraId="05CEE589" w14:textId="785DE4C6" w:rsidR="00C2110A" w:rsidRDefault="005E69C9" w:rsidP="00C2110A">
      <w:pPr>
        <w:pStyle w:val="ListParagraph"/>
        <w:numPr>
          <w:ilvl w:val="0"/>
          <w:numId w:val="25"/>
        </w:numPr>
        <w:rPr>
          <w:rFonts w:cs="Calibri"/>
        </w:rPr>
      </w:pPr>
      <w:r w:rsidRPr="00C2110A">
        <w:rPr>
          <w:rFonts w:cs="Calibri"/>
        </w:rPr>
        <w:t xml:space="preserve">For patients </w:t>
      </w:r>
      <w:r w:rsidR="00352585">
        <w:rPr>
          <w:rFonts w:cs="Calibri"/>
        </w:rPr>
        <w:t>with visual impairment</w:t>
      </w:r>
      <w:r w:rsidRPr="00C2110A">
        <w:rPr>
          <w:rFonts w:cs="Calibri"/>
        </w:rPr>
        <w:t xml:space="preserve">, someone is available to read printed materials in a location that protects patient privacy. </w:t>
      </w:r>
    </w:p>
    <w:p w14:paraId="667CCAF9" w14:textId="07C55E03" w:rsidR="00C015F4" w:rsidRDefault="00C2110A" w:rsidP="00C2110A">
      <w:pPr>
        <w:pStyle w:val="ListParagraph"/>
        <w:numPr>
          <w:ilvl w:val="0"/>
          <w:numId w:val="25"/>
        </w:numPr>
        <w:rPr>
          <w:rFonts w:cs="Calibri"/>
        </w:rPr>
      </w:pPr>
      <w:r>
        <w:rPr>
          <w:rFonts w:cs="Calibri"/>
        </w:rPr>
        <w:t>P</w:t>
      </w:r>
      <w:r w:rsidR="005E69C9" w:rsidRPr="00C2110A">
        <w:rPr>
          <w:rFonts w:cs="Calibri"/>
        </w:rPr>
        <w:t>rinted or recorded material</w:t>
      </w:r>
      <w:r w:rsidR="001F73CC">
        <w:rPr>
          <w:rFonts w:cs="Calibri"/>
        </w:rPr>
        <w:t>s</w:t>
      </w:r>
      <w:r w:rsidR="005E69C9" w:rsidRPr="00C2110A">
        <w:rPr>
          <w:rFonts w:cs="Calibri"/>
        </w:rPr>
        <w:t xml:space="preserve"> are available upon request. </w:t>
      </w:r>
    </w:p>
    <w:p w14:paraId="05EF482D" w14:textId="77777777" w:rsidR="0022200E" w:rsidRDefault="0022200E" w:rsidP="0022200E">
      <w:pPr>
        <w:rPr>
          <w:rFonts w:cs="Calibri"/>
        </w:rPr>
      </w:pPr>
    </w:p>
    <w:p w14:paraId="34435B6B" w14:textId="77909C56" w:rsidR="0022200E" w:rsidRPr="0022200E" w:rsidRDefault="0022200E" w:rsidP="0022200E">
      <w:pPr>
        <w:rPr>
          <w:rFonts w:cs="Calibri"/>
        </w:rPr>
      </w:pPr>
      <w:r>
        <w:rPr>
          <w:rFonts w:cs="Calibri"/>
        </w:rPr>
        <w:t>The Applicant states that i</w:t>
      </w:r>
      <w:r w:rsidR="00290DBB">
        <w:rPr>
          <w:rFonts w:cs="Calibri"/>
        </w:rPr>
        <w:t xml:space="preserve">t received 44 requests for interpreter services in </w:t>
      </w:r>
      <w:r w:rsidR="00CA55DD">
        <w:rPr>
          <w:rFonts w:cs="Calibri"/>
        </w:rPr>
        <w:t>202</w:t>
      </w:r>
      <w:r w:rsidR="00290DBB">
        <w:rPr>
          <w:rFonts w:cs="Calibri"/>
        </w:rPr>
        <w:t>4, and the top language</w:t>
      </w:r>
      <w:r w:rsidR="004C5D6B">
        <w:rPr>
          <w:rFonts w:cs="Calibri"/>
        </w:rPr>
        <w:t>s</w:t>
      </w:r>
      <w:r w:rsidR="00290DBB">
        <w:rPr>
          <w:rFonts w:cs="Calibri"/>
        </w:rPr>
        <w:t xml:space="preserve"> requested were Mandarin, Spanish, </w:t>
      </w:r>
      <w:r w:rsidR="00720D75">
        <w:rPr>
          <w:rFonts w:cs="Calibri"/>
        </w:rPr>
        <w:t>Portuguese</w:t>
      </w:r>
      <w:r w:rsidR="00290DBB">
        <w:rPr>
          <w:rFonts w:cs="Calibri"/>
        </w:rPr>
        <w:t xml:space="preserve">, Korean, and Haitian Creole. </w:t>
      </w:r>
    </w:p>
    <w:p w14:paraId="005432E9" w14:textId="77777777" w:rsidR="00C015F4" w:rsidRDefault="00C015F4" w:rsidP="00C316C3">
      <w:pPr>
        <w:rPr>
          <w:rFonts w:cs="Calibri"/>
          <w:szCs w:val="24"/>
        </w:rPr>
      </w:pPr>
    </w:p>
    <w:p w14:paraId="2E574C95" w14:textId="77777777" w:rsidR="00C2110A" w:rsidRDefault="00C015F4" w:rsidP="00B45B7E">
      <w:pPr>
        <w:rPr>
          <w:rFonts w:cs="Calibri"/>
          <w:szCs w:val="24"/>
        </w:rPr>
      </w:pPr>
      <w:r w:rsidRPr="00C015F4">
        <w:rPr>
          <w:rFonts w:cs="Calibri"/>
          <w:b/>
          <w:bCs/>
          <w:szCs w:val="24"/>
        </w:rPr>
        <w:t>Cultural Competency Training</w:t>
      </w:r>
      <w:r>
        <w:rPr>
          <w:rFonts w:cs="Calibri"/>
          <w:szCs w:val="24"/>
        </w:rPr>
        <w:t xml:space="preserve">: </w:t>
      </w:r>
    </w:p>
    <w:p w14:paraId="3701A69D" w14:textId="409812D2" w:rsidR="00C2110A" w:rsidRPr="00C2110A" w:rsidRDefault="00352585" w:rsidP="00C2110A">
      <w:pPr>
        <w:pStyle w:val="ListParagraph"/>
        <w:numPr>
          <w:ilvl w:val="0"/>
          <w:numId w:val="26"/>
        </w:numPr>
        <w:rPr>
          <w:rFonts w:cs="Calibri"/>
          <w:b/>
          <w:bCs/>
          <w:szCs w:val="24"/>
        </w:rPr>
      </w:pPr>
      <w:r>
        <w:rPr>
          <w:rFonts w:cs="Calibri"/>
          <w:szCs w:val="24"/>
        </w:rPr>
        <w:t>The Center</w:t>
      </w:r>
      <w:r w:rsidR="005E69C9" w:rsidRPr="00C2110A">
        <w:rPr>
          <w:rFonts w:cs="Calibri"/>
          <w:szCs w:val="24"/>
        </w:rPr>
        <w:t xml:space="preserve"> require</w:t>
      </w:r>
      <w:r w:rsidR="00C2110A">
        <w:rPr>
          <w:rFonts w:cs="Calibri"/>
          <w:szCs w:val="24"/>
        </w:rPr>
        <w:t>s</w:t>
      </w:r>
      <w:r w:rsidR="005E69C9" w:rsidRPr="00C2110A">
        <w:rPr>
          <w:rFonts w:cs="Calibri"/>
          <w:szCs w:val="24"/>
        </w:rPr>
        <w:t xml:space="preserve"> that all staff complete a cultural competency training upon hire and annually thereafter.</w:t>
      </w:r>
    </w:p>
    <w:p w14:paraId="47D9948B" w14:textId="451E6C33" w:rsidR="00C2110A" w:rsidRPr="00C2110A" w:rsidRDefault="009C4429" w:rsidP="00C2110A">
      <w:pPr>
        <w:pStyle w:val="ListParagraph"/>
        <w:numPr>
          <w:ilvl w:val="0"/>
          <w:numId w:val="26"/>
        </w:numPr>
        <w:rPr>
          <w:rFonts w:cs="Calibri"/>
          <w:b/>
          <w:bCs/>
          <w:szCs w:val="24"/>
        </w:rPr>
      </w:pPr>
      <w:r>
        <w:rPr>
          <w:rFonts w:cs="Calibri"/>
          <w:szCs w:val="24"/>
        </w:rPr>
        <w:t>The cultural competency t</w:t>
      </w:r>
      <w:r w:rsidR="005E69C9" w:rsidRPr="00C2110A">
        <w:rPr>
          <w:rFonts w:cs="Calibri"/>
          <w:szCs w:val="24"/>
        </w:rPr>
        <w:t>raining is provided to staff through UKG Pro Learning. Core courses include “CLN Cultural Competence” and “Affordable Care Act Nondiscrimination and Limited English Proficiency.”</w:t>
      </w:r>
    </w:p>
    <w:p w14:paraId="4D6E530F" w14:textId="12726D09" w:rsidR="00B45B7E" w:rsidRPr="00C2110A" w:rsidRDefault="00953CFC" w:rsidP="00C2110A">
      <w:pPr>
        <w:pStyle w:val="ListParagraph"/>
        <w:numPr>
          <w:ilvl w:val="0"/>
          <w:numId w:val="26"/>
        </w:numPr>
        <w:rPr>
          <w:rFonts w:cs="Calibri"/>
          <w:b/>
          <w:bCs/>
          <w:szCs w:val="24"/>
        </w:rPr>
      </w:pPr>
      <w:r>
        <w:rPr>
          <w:rFonts w:cs="Calibri"/>
          <w:szCs w:val="24"/>
        </w:rPr>
        <w:t>The core c</w:t>
      </w:r>
      <w:r w:rsidR="00B758C1" w:rsidRPr="00C2110A">
        <w:rPr>
          <w:rFonts w:cs="Calibri"/>
          <w:szCs w:val="24"/>
        </w:rPr>
        <w:t>ourses</w:t>
      </w:r>
      <w:r>
        <w:rPr>
          <w:rFonts w:cs="Calibri"/>
          <w:szCs w:val="24"/>
        </w:rPr>
        <w:t xml:space="preserve"> in the cultural competency training</w:t>
      </w:r>
      <w:r w:rsidR="00B758C1" w:rsidRPr="00C2110A">
        <w:rPr>
          <w:rFonts w:cs="Calibri"/>
          <w:szCs w:val="24"/>
        </w:rPr>
        <w:t xml:space="preserve"> are intended to promote understanding of the association between clinical outcomes and cultural competence, recognizing key </w:t>
      </w:r>
      <w:r w:rsidR="00B758C1" w:rsidRPr="00C2110A">
        <w:rPr>
          <w:rFonts w:cs="Calibri"/>
          <w:szCs w:val="24"/>
        </w:rPr>
        <w:lastRenderedPageBreak/>
        <w:t xml:space="preserve">terms, acknowledging common assumptions across </w:t>
      </w:r>
      <w:r w:rsidR="0043408E">
        <w:rPr>
          <w:rFonts w:cs="Calibri"/>
          <w:szCs w:val="24"/>
        </w:rPr>
        <w:t>cultures</w:t>
      </w:r>
      <w:r w:rsidR="00B758C1" w:rsidRPr="00C2110A">
        <w:rPr>
          <w:rFonts w:cs="Calibri"/>
          <w:szCs w:val="24"/>
        </w:rPr>
        <w:t xml:space="preserve">, and best practice for interaction with patients and families. </w:t>
      </w:r>
    </w:p>
    <w:p w14:paraId="4EE6AD17" w14:textId="1C755280" w:rsidR="001768CD" w:rsidRPr="001768CD" w:rsidRDefault="001768CD" w:rsidP="00C316C3">
      <w:pPr>
        <w:rPr>
          <w:rFonts w:cs="Calibri"/>
          <w:szCs w:val="24"/>
        </w:rPr>
      </w:pPr>
    </w:p>
    <w:p w14:paraId="326E6606" w14:textId="20D39825" w:rsidR="00F84D22" w:rsidRDefault="00CC5440" w:rsidP="28157CC0">
      <w:pPr>
        <w:rPr>
          <w:rFonts w:cs="Calibri"/>
          <w:b/>
          <w:bCs/>
        </w:rPr>
      </w:pPr>
      <w:r>
        <w:rPr>
          <w:rFonts w:cs="Calibri"/>
          <w:b/>
          <w:bCs/>
        </w:rPr>
        <w:t>Payer Mix</w:t>
      </w:r>
    </w:p>
    <w:p w14:paraId="58C0654F" w14:textId="569A0C64" w:rsidR="000C7FBA" w:rsidRDefault="000C7FBA" w:rsidP="000C7FBA">
      <w:r>
        <w:t xml:space="preserve">The Applicant states, “The high percentage of commercial payers in the Center’s payer mix reflects the </w:t>
      </w:r>
      <w:bookmarkStart w:id="8" w:name="_Hlk202183801"/>
      <w:r>
        <w:t>age and socioeconomic demographics of the Applicant’s service area</w:t>
      </w:r>
      <w:bookmarkEnd w:id="8"/>
      <w:r>
        <w:t xml:space="preserve">. Overall, the towns within the Applicant’s service area have higher median household incomes and lower poverty rates compared to the overall Massachusetts figures.” With respect to economic stability in the Emerson Hospital service area, </w:t>
      </w:r>
      <w:r w:rsidR="008E46FE">
        <w:t>t</w:t>
      </w:r>
      <w:r>
        <w:t>he Emerson Hospital CHNA states, “</w:t>
      </w:r>
      <w:r w:rsidRPr="00480635">
        <w:t>The percent of individuals living below the poverty line is lower in the service areas than the state or Middlesex County overall, but there is a range – in Sudbury just 1.5% of individuals live below the poverty line while it is 8.3% of individuals in Maynard.</w:t>
      </w:r>
      <w:r>
        <w:t>”</w:t>
      </w:r>
      <w:r>
        <w:rPr>
          <w:rStyle w:val="EndnoteReference"/>
        </w:rPr>
        <w:endnoteReference w:id="28"/>
      </w:r>
      <w:r>
        <w:t xml:space="preserve"> </w:t>
      </w:r>
      <w:r w:rsidR="009C105B">
        <w:t>Staff examined</w:t>
      </w:r>
      <w:r>
        <w:t xml:space="preserve"> the median household income and poverty rate for the cities in towns that make up the Applicant’s PSA. Like the Emerson Hospital service area, there is a range within the service area with respect to median household income and the percentage of the population living below the poverty level, with the top towns in the Applicant’s PSA above the state and county average for median household income, and below the state and county poverty levels. </w:t>
      </w:r>
      <w:r w:rsidR="00A6645E">
        <w:t xml:space="preserve">This is shown in Table </w:t>
      </w:r>
      <w:r w:rsidR="00A9310C">
        <w:t>19</w:t>
      </w:r>
      <w:r w:rsidR="00A6645E">
        <w:t xml:space="preserve">. </w:t>
      </w:r>
    </w:p>
    <w:p w14:paraId="456DB8FB" w14:textId="77777777" w:rsidR="00E94EDE" w:rsidRDefault="00E94EDE" w:rsidP="000C7FBA"/>
    <w:p w14:paraId="32D6B16D" w14:textId="46C5CAA2" w:rsidR="000C7FBA" w:rsidRPr="004A648D" w:rsidRDefault="000C7FBA" w:rsidP="000C7FBA">
      <w:pPr>
        <w:rPr>
          <w:b/>
          <w:bCs/>
        </w:rPr>
      </w:pPr>
      <w:r w:rsidRPr="004A648D">
        <w:rPr>
          <w:b/>
          <w:bCs/>
          <w:u w:val="single"/>
        </w:rPr>
        <w:t xml:space="preserve">Table </w:t>
      </w:r>
      <w:r w:rsidR="00A9310C">
        <w:rPr>
          <w:b/>
          <w:bCs/>
          <w:u w:val="single"/>
        </w:rPr>
        <w:t>19</w:t>
      </w:r>
      <w:r w:rsidRPr="004A648D">
        <w:rPr>
          <w:b/>
          <w:bCs/>
        </w:rPr>
        <w:t xml:space="preserve">: </w:t>
      </w:r>
      <w:r>
        <w:rPr>
          <w:b/>
          <w:bCs/>
        </w:rPr>
        <w:t>Percent</w:t>
      </w:r>
      <w:r w:rsidRPr="004A648D">
        <w:rPr>
          <w:b/>
          <w:bCs/>
        </w:rPr>
        <w:t xml:space="preserve"> Poverty Level</w:t>
      </w:r>
      <w:r>
        <w:rPr>
          <w:b/>
          <w:bCs/>
        </w:rPr>
        <w:t xml:space="preserve"> and Income</w:t>
      </w:r>
      <w:r w:rsidRPr="004A648D">
        <w:rPr>
          <w:b/>
          <w:bCs/>
        </w:rPr>
        <w:t xml:space="preserve"> by City/Town in </w:t>
      </w:r>
      <w:r>
        <w:rPr>
          <w:b/>
          <w:bCs/>
        </w:rPr>
        <w:t>EDHC’s</w:t>
      </w:r>
      <w:r w:rsidRPr="004A648D">
        <w:rPr>
          <w:b/>
          <w:bCs/>
        </w:rPr>
        <w:t xml:space="preserve"> PSA</w:t>
      </w:r>
      <w:r>
        <w:rPr>
          <w:b/>
          <w:bCs/>
        </w:rPr>
        <w:t>, 2024</w:t>
      </w:r>
      <w:r w:rsidRPr="004A648D">
        <w:rPr>
          <w:b/>
          <w:bCs/>
        </w:rPr>
        <w:t xml:space="preserve">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086"/>
        <w:gridCol w:w="1150"/>
        <w:gridCol w:w="1259"/>
        <w:gridCol w:w="1109"/>
        <w:gridCol w:w="1109"/>
        <w:gridCol w:w="917"/>
        <w:gridCol w:w="937"/>
        <w:gridCol w:w="861"/>
      </w:tblGrid>
      <w:tr w:rsidR="000C7FBA" w:rsidRPr="00863AFE" w14:paraId="300A08D8" w14:textId="77777777" w:rsidTr="009B36F3">
        <w:trPr>
          <w:trHeight w:val="623"/>
        </w:trPr>
        <w:tc>
          <w:tcPr>
            <w:tcW w:w="1382" w:type="dxa"/>
            <w:shd w:val="clear" w:color="auto" w:fill="DBE5F1" w:themeFill="accent1" w:themeFillTint="33"/>
            <w:hideMark/>
          </w:tcPr>
          <w:p w14:paraId="71616A9A" w14:textId="77777777" w:rsidR="000C7FBA" w:rsidRPr="00863AFE" w:rsidRDefault="000C7FBA" w:rsidP="00EA224C">
            <w:pPr>
              <w:widowControl/>
              <w:autoSpaceDE/>
              <w:autoSpaceDN/>
              <w:rPr>
                <w:rFonts w:asciiTheme="minorHAnsi" w:eastAsia="Times New Roman" w:hAnsiTheme="minorHAnsi"/>
                <w:b/>
                <w:bCs/>
                <w:color w:val="000000"/>
                <w:sz w:val="20"/>
              </w:rPr>
            </w:pPr>
            <w:r w:rsidRPr="00863AFE">
              <w:rPr>
                <w:rFonts w:asciiTheme="minorHAnsi" w:eastAsia="Times New Roman" w:hAnsiTheme="minorHAnsi"/>
                <w:b/>
                <w:bCs/>
                <w:color w:val="000000"/>
                <w:sz w:val="20"/>
              </w:rPr>
              <w:t xml:space="preserve">Geographic Origin </w:t>
            </w:r>
          </w:p>
        </w:tc>
        <w:tc>
          <w:tcPr>
            <w:tcW w:w="1086" w:type="dxa"/>
            <w:shd w:val="clear" w:color="auto" w:fill="DBE5F1" w:themeFill="accent1" w:themeFillTint="33"/>
            <w:hideMark/>
          </w:tcPr>
          <w:p w14:paraId="41438524" w14:textId="77777777" w:rsidR="000C7FBA" w:rsidRPr="00863AFE" w:rsidRDefault="000C7FBA" w:rsidP="00EA224C">
            <w:pPr>
              <w:widowControl/>
              <w:autoSpaceDE/>
              <w:autoSpaceDN/>
              <w:jc w:val="center"/>
              <w:rPr>
                <w:rFonts w:asciiTheme="minorHAnsi" w:eastAsia="Times New Roman" w:hAnsiTheme="minorHAnsi"/>
                <w:b/>
                <w:bCs/>
                <w:color w:val="000000"/>
                <w:sz w:val="20"/>
              </w:rPr>
            </w:pPr>
            <w:r w:rsidRPr="00863AFE">
              <w:rPr>
                <w:rFonts w:asciiTheme="minorHAnsi" w:eastAsia="Times New Roman" w:hAnsiTheme="minorHAnsi"/>
                <w:b/>
                <w:bCs/>
                <w:color w:val="000000"/>
                <w:sz w:val="20"/>
              </w:rPr>
              <w:t xml:space="preserve">% of </w:t>
            </w:r>
            <w:r>
              <w:rPr>
                <w:rFonts w:asciiTheme="minorHAnsi" w:eastAsia="Times New Roman" w:hAnsiTheme="minorHAnsi"/>
                <w:b/>
                <w:bCs/>
                <w:color w:val="000000"/>
                <w:sz w:val="20"/>
              </w:rPr>
              <w:t>the Center’s</w:t>
            </w:r>
          </w:p>
          <w:p w14:paraId="736C9E0B" w14:textId="77777777" w:rsidR="000C7FBA" w:rsidRDefault="000C7FBA" w:rsidP="00EA224C">
            <w:pPr>
              <w:widowControl/>
              <w:autoSpaceDE/>
              <w:autoSpaceDN/>
              <w:jc w:val="center"/>
              <w:rPr>
                <w:rFonts w:asciiTheme="minorHAnsi" w:eastAsia="Times New Roman" w:hAnsiTheme="minorHAnsi"/>
                <w:b/>
                <w:bCs/>
                <w:color w:val="000000"/>
                <w:sz w:val="20"/>
              </w:rPr>
            </w:pPr>
            <w:r w:rsidRPr="00863AFE">
              <w:rPr>
                <w:rFonts w:asciiTheme="minorHAnsi" w:eastAsia="Times New Roman" w:hAnsiTheme="minorHAnsi"/>
                <w:b/>
                <w:bCs/>
                <w:color w:val="000000"/>
                <w:sz w:val="20"/>
              </w:rPr>
              <w:t>PSA</w:t>
            </w:r>
          </w:p>
          <w:p w14:paraId="56577ED5" w14:textId="05E4B72C" w:rsidR="009B36F3" w:rsidRPr="00863AFE" w:rsidRDefault="009B36F3" w:rsidP="00EA224C">
            <w:pPr>
              <w:widowControl/>
              <w:autoSpaceDE/>
              <w:autoSpaceDN/>
              <w:jc w:val="center"/>
              <w:rPr>
                <w:rFonts w:asciiTheme="minorHAnsi" w:eastAsia="Times New Roman" w:hAnsiTheme="minorHAnsi"/>
                <w:b/>
                <w:bCs/>
                <w:color w:val="000000"/>
                <w:sz w:val="20"/>
              </w:rPr>
            </w:pPr>
            <w:r>
              <w:rPr>
                <w:rFonts w:asciiTheme="minorHAnsi" w:eastAsia="Times New Roman" w:hAnsiTheme="minorHAnsi"/>
                <w:b/>
                <w:bCs/>
                <w:color w:val="000000"/>
                <w:sz w:val="20"/>
              </w:rPr>
              <w:t>2024</w:t>
            </w:r>
          </w:p>
        </w:tc>
        <w:tc>
          <w:tcPr>
            <w:tcW w:w="1150" w:type="dxa"/>
            <w:shd w:val="clear" w:color="auto" w:fill="DBE5F1" w:themeFill="accent1" w:themeFillTint="33"/>
          </w:tcPr>
          <w:p w14:paraId="75A99987" w14:textId="77777777" w:rsidR="000C7FBA" w:rsidRPr="00863AFE" w:rsidRDefault="000C7FBA" w:rsidP="00EA224C">
            <w:pPr>
              <w:widowControl/>
              <w:autoSpaceDE/>
              <w:autoSpaceDN/>
              <w:jc w:val="center"/>
              <w:rPr>
                <w:rFonts w:asciiTheme="minorHAnsi" w:eastAsia="Times New Roman" w:hAnsiTheme="minorHAnsi"/>
                <w:b/>
                <w:bCs/>
                <w:color w:val="000000"/>
                <w:sz w:val="20"/>
              </w:rPr>
            </w:pPr>
            <w:r w:rsidRPr="00863AFE">
              <w:rPr>
                <w:rFonts w:asciiTheme="minorHAnsi" w:eastAsia="Times New Roman" w:hAnsiTheme="minorHAnsi"/>
                <w:b/>
                <w:bCs/>
                <w:color w:val="000000"/>
                <w:sz w:val="20"/>
              </w:rPr>
              <w:t>County</w:t>
            </w:r>
          </w:p>
        </w:tc>
        <w:tc>
          <w:tcPr>
            <w:tcW w:w="1259" w:type="dxa"/>
            <w:shd w:val="clear" w:color="auto" w:fill="DBE5F1" w:themeFill="accent1" w:themeFillTint="33"/>
          </w:tcPr>
          <w:p w14:paraId="0673BC51" w14:textId="77777777" w:rsidR="000C7FBA" w:rsidRPr="00863AFE" w:rsidRDefault="000C7FBA" w:rsidP="00EA224C">
            <w:pPr>
              <w:widowControl/>
              <w:autoSpaceDE/>
              <w:autoSpaceDN/>
              <w:jc w:val="center"/>
              <w:rPr>
                <w:rFonts w:asciiTheme="minorHAnsi" w:eastAsia="Times New Roman" w:hAnsiTheme="minorHAnsi"/>
                <w:b/>
                <w:bCs/>
                <w:color w:val="000000"/>
                <w:sz w:val="20"/>
              </w:rPr>
            </w:pPr>
            <w:r w:rsidRPr="00863AFE">
              <w:rPr>
                <w:rFonts w:asciiTheme="minorHAnsi" w:eastAsia="Times New Roman" w:hAnsiTheme="minorHAnsi"/>
                <w:b/>
                <w:bCs/>
                <w:color w:val="000000"/>
                <w:sz w:val="20"/>
              </w:rPr>
              <w:t>Median</w:t>
            </w:r>
            <w:r w:rsidRPr="00863AFE">
              <w:rPr>
                <w:rStyle w:val="EndnoteReference"/>
                <w:rFonts w:asciiTheme="minorHAnsi" w:eastAsia="Times New Roman" w:hAnsiTheme="minorHAnsi"/>
                <w:b/>
                <w:bCs/>
                <w:color w:val="000000"/>
                <w:sz w:val="20"/>
              </w:rPr>
              <w:endnoteReference w:id="29"/>
            </w:r>
            <w:r w:rsidRPr="00863AFE">
              <w:rPr>
                <w:rFonts w:asciiTheme="minorHAnsi" w:eastAsia="Times New Roman" w:hAnsiTheme="minorHAnsi"/>
                <w:b/>
                <w:bCs/>
                <w:color w:val="000000"/>
                <w:sz w:val="20"/>
              </w:rPr>
              <w:t xml:space="preserve"> Household Income</w:t>
            </w:r>
          </w:p>
        </w:tc>
        <w:tc>
          <w:tcPr>
            <w:tcW w:w="1109" w:type="dxa"/>
            <w:shd w:val="clear" w:color="auto" w:fill="DBE5F1" w:themeFill="accent1" w:themeFillTint="33"/>
          </w:tcPr>
          <w:p w14:paraId="210C3509" w14:textId="77777777" w:rsidR="000C7FBA" w:rsidRPr="00863AFE" w:rsidRDefault="000C7FBA" w:rsidP="00EA224C">
            <w:pPr>
              <w:widowControl/>
              <w:autoSpaceDE/>
              <w:autoSpaceDN/>
              <w:jc w:val="center"/>
              <w:rPr>
                <w:rFonts w:asciiTheme="minorHAnsi" w:eastAsia="Times New Roman" w:hAnsiTheme="minorHAnsi"/>
                <w:b/>
                <w:bCs/>
                <w:color w:val="000000"/>
                <w:sz w:val="20"/>
              </w:rPr>
            </w:pPr>
            <w:r w:rsidRPr="00863AFE">
              <w:rPr>
                <w:rFonts w:asciiTheme="minorHAnsi" w:eastAsia="Times New Roman" w:hAnsiTheme="minorHAnsi"/>
                <w:b/>
                <w:bCs/>
                <w:color w:val="000000"/>
                <w:sz w:val="20"/>
              </w:rPr>
              <w:t>Median</w:t>
            </w:r>
          </w:p>
          <w:p w14:paraId="6C5B6A4A" w14:textId="77777777" w:rsidR="000C7FBA" w:rsidRPr="00863AFE" w:rsidRDefault="000C7FBA" w:rsidP="00EA224C">
            <w:pPr>
              <w:widowControl/>
              <w:autoSpaceDE/>
              <w:autoSpaceDN/>
              <w:jc w:val="center"/>
              <w:rPr>
                <w:rFonts w:asciiTheme="minorHAnsi" w:eastAsia="Times New Roman" w:hAnsiTheme="minorHAnsi"/>
                <w:b/>
                <w:bCs/>
                <w:color w:val="000000"/>
                <w:sz w:val="20"/>
              </w:rPr>
            </w:pPr>
            <w:r w:rsidRPr="00863AFE">
              <w:rPr>
                <w:rFonts w:asciiTheme="minorHAnsi" w:eastAsia="Times New Roman" w:hAnsiTheme="minorHAnsi"/>
                <w:b/>
                <w:bCs/>
                <w:color w:val="000000"/>
                <w:sz w:val="20"/>
              </w:rPr>
              <w:t>Household</w:t>
            </w:r>
          </w:p>
          <w:p w14:paraId="0A0998CA" w14:textId="77777777" w:rsidR="000C7FBA" w:rsidRPr="00863AFE" w:rsidRDefault="000C7FBA" w:rsidP="00EA224C">
            <w:pPr>
              <w:widowControl/>
              <w:autoSpaceDE/>
              <w:autoSpaceDN/>
              <w:jc w:val="center"/>
              <w:rPr>
                <w:rFonts w:asciiTheme="minorHAnsi" w:eastAsia="Times New Roman" w:hAnsiTheme="minorHAnsi"/>
                <w:b/>
                <w:bCs/>
                <w:color w:val="000000"/>
                <w:sz w:val="20"/>
              </w:rPr>
            </w:pPr>
            <w:r w:rsidRPr="00863AFE">
              <w:rPr>
                <w:rFonts w:asciiTheme="minorHAnsi" w:eastAsia="Times New Roman" w:hAnsiTheme="minorHAnsi"/>
                <w:b/>
                <w:bCs/>
                <w:color w:val="000000"/>
                <w:sz w:val="20"/>
              </w:rPr>
              <w:t>Income</w:t>
            </w:r>
          </w:p>
          <w:p w14:paraId="2D373342" w14:textId="77777777" w:rsidR="000C7FBA" w:rsidRPr="00863AFE" w:rsidRDefault="000C7FBA" w:rsidP="00EA224C">
            <w:pPr>
              <w:widowControl/>
              <w:autoSpaceDE/>
              <w:autoSpaceDN/>
              <w:jc w:val="center"/>
              <w:rPr>
                <w:rFonts w:asciiTheme="minorHAnsi" w:eastAsia="Times New Roman" w:hAnsiTheme="minorHAnsi"/>
                <w:b/>
                <w:bCs/>
                <w:color w:val="000000"/>
                <w:sz w:val="20"/>
              </w:rPr>
            </w:pPr>
            <w:r w:rsidRPr="00863AFE">
              <w:rPr>
                <w:rFonts w:asciiTheme="minorHAnsi" w:eastAsia="Times New Roman" w:hAnsiTheme="minorHAnsi"/>
                <w:b/>
                <w:bCs/>
                <w:color w:val="000000"/>
                <w:sz w:val="20"/>
              </w:rPr>
              <w:t>County</w:t>
            </w:r>
          </w:p>
        </w:tc>
        <w:tc>
          <w:tcPr>
            <w:tcW w:w="1109" w:type="dxa"/>
            <w:shd w:val="clear" w:color="auto" w:fill="DBE5F1" w:themeFill="accent1" w:themeFillTint="33"/>
          </w:tcPr>
          <w:p w14:paraId="39B63575" w14:textId="77777777" w:rsidR="000C7FBA" w:rsidRPr="00863AFE" w:rsidRDefault="000C7FBA" w:rsidP="00EA224C">
            <w:pPr>
              <w:widowControl/>
              <w:autoSpaceDE/>
              <w:autoSpaceDN/>
              <w:jc w:val="center"/>
              <w:rPr>
                <w:rFonts w:asciiTheme="minorHAnsi" w:eastAsia="Times New Roman" w:hAnsiTheme="minorHAnsi"/>
                <w:b/>
                <w:bCs/>
                <w:color w:val="000000"/>
                <w:sz w:val="20"/>
              </w:rPr>
            </w:pPr>
            <w:r w:rsidRPr="00863AFE">
              <w:rPr>
                <w:rFonts w:asciiTheme="minorHAnsi" w:eastAsia="Times New Roman" w:hAnsiTheme="minorHAnsi"/>
                <w:b/>
                <w:bCs/>
                <w:color w:val="000000"/>
                <w:sz w:val="20"/>
              </w:rPr>
              <w:t>Median Household</w:t>
            </w:r>
          </w:p>
          <w:p w14:paraId="1E2D921D" w14:textId="77777777" w:rsidR="000C7FBA" w:rsidRPr="00863AFE" w:rsidRDefault="000C7FBA" w:rsidP="00EA224C">
            <w:pPr>
              <w:widowControl/>
              <w:autoSpaceDE/>
              <w:autoSpaceDN/>
              <w:jc w:val="center"/>
              <w:rPr>
                <w:rFonts w:asciiTheme="minorHAnsi" w:eastAsia="Times New Roman" w:hAnsiTheme="minorHAnsi"/>
                <w:b/>
                <w:bCs/>
                <w:color w:val="000000"/>
                <w:sz w:val="20"/>
              </w:rPr>
            </w:pPr>
            <w:r w:rsidRPr="00863AFE">
              <w:rPr>
                <w:rFonts w:asciiTheme="minorHAnsi" w:eastAsia="Times New Roman" w:hAnsiTheme="minorHAnsi"/>
                <w:b/>
                <w:bCs/>
                <w:color w:val="000000"/>
                <w:sz w:val="20"/>
              </w:rPr>
              <w:t>Income</w:t>
            </w:r>
          </w:p>
          <w:p w14:paraId="554B1662" w14:textId="77777777" w:rsidR="000C7FBA" w:rsidRPr="00863AFE" w:rsidRDefault="000C7FBA" w:rsidP="00EA224C">
            <w:pPr>
              <w:widowControl/>
              <w:autoSpaceDE/>
              <w:autoSpaceDN/>
              <w:jc w:val="center"/>
              <w:rPr>
                <w:rFonts w:asciiTheme="minorHAnsi" w:eastAsia="Times New Roman" w:hAnsiTheme="minorHAnsi"/>
                <w:b/>
                <w:bCs/>
                <w:color w:val="000000"/>
                <w:sz w:val="20"/>
              </w:rPr>
            </w:pPr>
            <w:r w:rsidRPr="00863AFE">
              <w:rPr>
                <w:rFonts w:asciiTheme="minorHAnsi" w:eastAsia="Times New Roman" w:hAnsiTheme="minorHAnsi"/>
                <w:b/>
                <w:bCs/>
                <w:color w:val="000000"/>
                <w:sz w:val="20"/>
              </w:rPr>
              <w:t>State</w:t>
            </w:r>
            <w:r w:rsidRPr="00863AFE">
              <w:rPr>
                <w:rFonts w:asciiTheme="minorHAnsi" w:eastAsia="Times New Roman" w:hAnsiTheme="minorHAnsi"/>
                <w:b/>
                <w:bCs/>
                <w:color w:val="000000"/>
                <w:sz w:val="20"/>
                <w:vertAlign w:val="superscript"/>
              </w:rPr>
              <w:endnoteReference w:id="30"/>
            </w:r>
          </w:p>
        </w:tc>
        <w:tc>
          <w:tcPr>
            <w:tcW w:w="917" w:type="dxa"/>
            <w:shd w:val="clear" w:color="auto" w:fill="DBE5F1" w:themeFill="accent1" w:themeFillTint="33"/>
          </w:tcPr>
          <w:p w14:paraId="3CA6A21E" w14:textId="77777777" w:rsidR="000C7FBA" w:rsidRPr="00863AFE" w:rsidRDefault="000C7FBA" w:rsidP="00EA224C">
            <w:pPr>
              <w:widowControl/>
              <w:autoSpaceDE/>
              <w:autoSpaceDN/>
              <w:jc w:val="center"/>
              <w:rPr>
                <w:rFonts w:asciiTheme="minorHAnsi" w:eastAsia="Times New Roman" w:hAnsiTheme="minorHAnsi"/>
                <w:b/>
                <w:bCs/>
                <w:color w:val="000000"/>
                <w:sz w:val="20"/>
              </w:rPr>
            </w:pPr>
            <w:r w:rsidRPr="00863AFE">
              <w:rPr>
                <w:rFonts w:asciiTheme="minorHAnsi" w:eastAsia="Times New Roman" w:hAnsiTheme="minorHAnsi"/>
                <w:b/>
                <w:bCs/>
                <w:color w:val="000000"/>
                <w:sz w:val="20"/>
              </w:rPr>
              <w:t>% Below Poverty Level</w:t>
            </w:r>
            <w:r w:rsidRPr="00863AFE">
              <w:rPr>
                <w:rFonts w:asciiTheme="minorHAnsi" w:eastAsia="Times New Roman" w:hAnsiTheme="minorHAnsi"/>
                <w:b/>
                <w:bCs/>
                <w:color w:val="000000"/>
                <w:sz w:val="20"/>
                <w:vertAlign w:val="superscript"/>
              </w:rPr>
              <w:endnoteReference w:id="31"/>
            </w:r>
          </w:p>
        </w:tc>
        <w:tc>
          <w:tcPr>
            <w:tcW w:w="937" w:type="dxa"/>
            <w:shd w:val="clear" w:color="auto" w:fill="DBE5F1" w:themeFill="accent1" w:themeFillTint="33"/>
          </w:tcPr>
          <w:p w14:paraId="5FA61DAE" w14:textId="77777777" w:rsidR="000C7FBA" w:rsidRPr="00863AFE" w:rsidRDefault="000C7FBA" w:rsidP="00EA224C">
            <w:pPr>
              <w:widowControl/>
              <w:autoSpaceDE/>
              <w:autoSpaceDN/>
              <w:jc w:val="center"/>
              <w:rPr>
                <w:rFonts w:asciiTheme="minorHAnsi" w:eastAsia="Times New Roman" w:hAnsiTheme="minorHAnsi"/>
                <w:b/>
                <w:bCs/>
                <w:color w:val="000000"/>
                <w:sz w:val="20"/>
              </w:rPr>
            </w:pPr>
            <w:r w:rsidRPr="00863AFE">
              <w:rPr>
                <w:rFonts w:asciiTheme="minorHAnsi" w:eastAsia="Times New Roman" w:hAnsiTheme="minorHAnsi"/>
                <w:b/>
                <w:bCs/>
                <w:color w:val="000000"/>
                <w:sz w:val="20"/>
              </w:rPr>
              <w:t>% Below</w:t>
            </w:r>
          </w:p>
          <w:p w14:paraId="02CD92AD" w14:textId="77777777" w:rsidR="000C7FBA" w:rsidRPr="00863AFE" w:rsidRDefault="000C7FBA" w:rsidP="00EA224C">
            <w:pPr>
              <w:widowControl/>
              <w:autoSpaceDE/>
              <w:autoSpaceDN/>
              <w:jc w:val="center"/>
              <w:rPr>
                <w:rFonts w:asciiTheme="minorHAnsi" w:eastAsia="Times New Roman" w:hAnsiTheme="minorHAnsi"/>
                <w:b/>
                <w:bCs/>
                <w:color w:val="000000"/>
                <w:sz w:val="20"/>
              </w:rPr>
            </w:pPr>
            <w:r w:rsidRPr="00863AFE">
              <w:rPr>
                <w:rFonts w:asciiTheme="minorHAnsi" w:eastAsia="Times New Roman" w:hAnsiTheme="minorHAnsi"/>
                <w:b/>
                <w:bCs/>
                <w:color w:val="000000"/>
                <w:sz w:val="20"/>
              </w:rPr>
              <w:t>Poverty</w:t>
            </w:r>
          </w:p>
          <w:p w14:paraId="2380B0FE" w14:textId="77777777" w:rsidR="000C7FBA" w:rsidRPr="00863AFE" w:rsidRDefault="000C7FBA" w:rsidP="00EA224C">
            <w:pPr>
              <w:widowControl/>
              <w:autoSpaceDE/>
              <w:autoSpaceDN/>
              <w:jc w:val="center"/>
              <w:rPr>
                <w:rFonts w:asciiTheme="minorHAnsi" w:eastAsia="Times New Roman" w:hAnsiTheme="minorHAnsi"/>
                <w:b/>
                <w:bCs/>
                <w:color w:val="000000"/>
                <w:sz w:val="20"/>
              </w:rPr>
            </w:pPr>
            <w:r w:rsidRPr="00863AFE">
              <w:rPr>
                <w:rFonts w:asciiTheme="minorHAnsi" w:eastAsia="Times New Roman" w:hAnsiTheme="minorHAnsi"/>
                <w:b/>
                <w:bCs/>
                <w:color w:val="000000"/>
                <w:sz w:val="20"/>
              </w:rPr>
              <w:t>Level</w:t>
            </w:r>
          </w:p>
          <w:p w14:paraId="1B12D852" w14:textId="77777777" w:rsidR="000C7FBA" w:rsidRPr="00863AFE" w:rsidRDefault="000C7FBA" w:rsidP="00EA224C">
            <w:pPr>
              <w:widowControl/>
              <w:autoSpaceDE/>
              <w:autoSpaceDN/>
              <w:jc w:val="center"/>
              <w:rPr>
                <w:rFonts w:asciiTheme="minorHAnsi" w:eastAsia="Times New Roman" w:hAnsiTheme="minorHAnsi"/>
                <w:b/>
                <w:bCs/>
                <w:color w:val="000000"/>
                <w:sz w:val="20"/>
              </w:rPr>
            </w:pPr>
            <w:r w:rsidRPr="00863AFE">
              <w:rPr>
                <w:rFonts w:asciiTheme="minorHAnsi" w:eastAsia="Times New Roman" w:hAnsiTheme="minorHAnsi"/>
                <w:b/>
                <w:bCs/>
                <w:color w:val="000000"/>
                <w:sz w:val="20"/>
              </w:rPr>
              <w:t>County</w:t>
            </w:r>
          </w:p>
        </w:tc>
        <w:tc>
          <w:tcPr>
            <w:tcW w:w="861" w:type="dxa"/>
            <w:shd w:val="clear" w:color="auto" w:fill="DBE5F1" w:themeFill="accent1" w:themeFillTint="33"/>
          </w:tcPr>
          <w:p w14:paraId="3D017650" w14:textId="77777777" w:rsidR="000C7FBA" w:rsidRPr="00863AFE" w:rsidRDefault="000C7FBA" w:rsidP="00EA224C">
            <w:pPr>
              <w:widowControl/>
              <w:autoSpaceDE/>
              <w:autoSpaceDN/>
              <w:jc w:val="center"/>
              <w:rPr>
                <w:rFonts w:asciiTheme="minorHAnsi" w:eastAsia="Times New Roman" w:hAnsiTheme="minorHAnsi"/>
                <w:b/>
                <w:bCs/>
                <w:color w:val="000000"/>
                <w:sz w:val="20"/>
              </w:rPr>
            </w:pPr>
            <w:r w:rsidRPr="00863AFE">
              <w:rPr>
                <w:rFonts w:asciiTheme="minorHAnsi" w:eastAsia="Times New Roman" w:hAnsiTheme="minorHAnsi"/>
                <w:b/>
                <w:bCs/>
                <w:color w:val="000000"/>
                <w:sz w:val="20"/>
              </w:rPr>
              <w:t>%</w:t>
            </w:r>
          </w:p>
          <w:p w14:paraId="7C24C190" w14:textId="77777777" w:rsidR="000C7FBA" w:rsidRPr="00863AFE" w:rsidRDefault="000C7FBA" w:rsidP="00EA224C">
            <w:pPr>
              <w:widowControl/>
              <w:autoSpaceDE/>
              <w:autoSpaceDN/>
              <w:jc w:val="center"/>
              <w:rPr>
                <w:rFonts w:asciiTheme="minorHAnsi" w:eastAsia="Times New Roman" w:hAnsiTheme="minorHAnsi"/>
                <w:b/>
                <w:bCs/>
                <w:color w:val="000000"/>
                <w:sz w:val="20"/>
              </w:rPr>
            </w:pPr>
            <w:r w:rsidRPr="00863AFE">
              <w:rPr>
                <w:rFonts w:asciiTheme="minorHAnsi" w:eastAsia="Times New Roman" w:hAnsiTheme="minorHAnsi"/>
                <w:b/>
                <w:bCs/>
                <w:color w:val="000000"/>
                <w:sz w:val="20"/>
              </w:rPr>
              <w:t xml:space="preserve">Below </w:t>
            </w:r>
            <w:r w:rsidRPr="00863AFE">
              <w:rPr>
                <w:rFonts w:asciiTheme="minorHAnsi" w:eastAsia="Times New Roman" w:hAnsiTheme="minorHAnsi"/>
                <w:b/>
                <w:bCs/>
                <w:color w:val="000000"/>
                <w:sz w:val="20"/>
              </w:rPr>
              <w:br/>
              <w:t>Poverty Level</w:t>
            </w:r>
          </w:p>
          <w:p w14:paraId="29229DBC" w14:textId="77777777" w:rsidR="000C7FBA" w:rsidRPr="00863AFE" w:rsidRDefault="000C7FBA" w:rsidP="00EA224C">
            <w:pPr>
              <w:widowControl/>
              <w:autoSpaceDE/>
              <w:autoSpaceDN/>
              <w:jc w:val="center"/>
              <w:rPr>
                <w:rFonts w:asciiTheme="minorHAnsi" w:eastAsia="Times New Roman" w:hAnsiTheme="minorHAnsi"/>
                <w:b/>
                <w:bCs/>
                <w:color w:val="000000"/>
                <w:sz w:val="20"/>
              </w:rPr>
            </w:pPr>
            <w:r w:rsidRPr="00863AFE">
              <w:rPr>
                <w:rFonts w:asciiTheme="minorHAnsi" w:eastAsia="Times New Roman" w:hAnsiTheme="minorHAnsi"/>
                <w:b/>
                <w:bCs/>
                <w:color w:val="000000"/>
                <w:sz w:val="20"/>
              </w:rPr>
              <w:t>State</w:t>
            </w:r>
            <w:r w:rsidRPr="00863AFE">
              <w:rPr>
                <w:rFonts w:asciiTheme="minorHAnsi" w:eastAsia="Times New Roman" w:hAnsiTheme="minorHAnsi"/>
                <w:b/>
                <w:bCs/>
                <w:color w:val="000000"/>
                <w:sz w:val="20"/>
                <w:vertAlign w:val="superscript"/>
              </w:rPr>
              <w:endnoteReference w:id="32"/>
            </w:r>
          </w:p>
        </w:tc>
      </w:tr>
      <w:tr w:rsidR="009B36F3" w:rsidRPr="00863AFE" w14:paraId="4F55135C" w14:textId="77777777" w:rsidTr="009B36F3">
        <w:trPr>
          <w:trHeight w:val="290"/>
        </w:trPr>
        <w:tc>
          <w:tcPr>
            <w:tcW w:w="1382" w:type="dxa"/>
            <w:vAlign w:val="center"/>
            <w:hideMark/>
          </w:tcPr>
          <w:p w14:paraId="0C020E41" w14:textId="77777777" w:rsidR="009B36F3" w:rsidRPr="00863AFE" w:rsidRDefault="009B36F3" w:rsidP="009B36F3">
            <w:pPr>
              <w:widowControl/>
              <w:autoSpaceDE/>
              <w:autoSpaceDN/>
              <w:rPr>
                <w:rFonts w:asciiTheme="minorHAnsi" w:eastAsia="Times New Roman" w:hAnsiTheme="minorHAnsi"/>
                <w:color w:val="000000"/>
                <w:sz w:val="20"/>
              </w:rPr>
            </w:pPr>
            <w:r w:rsidRPr="00863AFE">
              <w:rPr>
                <w:rFonts w:asciiTheme="minorHAnsi" w:eastAsia="Times New Roman" w:hAnsiTheme="minorHAnsi"/>
                <w:color w:val="000000"/>
                <w:sz w:val="20"/>
              </w:rPr>
              <w:t>Concord</w:t>
            </w:r>
          </w:p>
        </w:tc>
        <w:tc>
          <w:tcPr>
            <w:tcW w:w="1086" w:type="dxa"/>
          </w:tcPr>
          <w:p w14:paraId="45E9878A" w14:textId="3BF4E4C5" w:rsidR="009B36F3" w:rsidRPr="009B36F3" w:rsidRDefault="009B36F3" w:rsidP="009B36F3">
            <w:pPr>
              <w:widowControl/>
              <w:autoSpaceDE/>
              <w:autoSpaceDN/>
              <w:jc w:val="center"/>
              <w:rPr>
                <w:rFonts w:asciiTheme="minorHAnsi" w:eastAsia="Times New Roman" w:hAnsiTheme="minorHAnsi"/>
                <w:color w:val="000000"/>
                <w:sz w:val="20"/>
              </w:rPr>
            </w:pPr>
            <w:r w:rsidRPr="009B36F3">
              <w:rPr>
                <w:sz w:val="20"/>
              </w:rPr>
              <w:t>7.9%</w:t>
            </w:r>
          </w:p>
        </w:tc>
        <w:tc>
          <w:tcPr>
            <w:tcW w:w="1150" w:type="dxa"/>
          </w:tcPr>
          <w:p w14:paraId="2B018E41"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Middlesex</w:t>
            </w:r>
          </w:p>
        </w:tc>
        <w:tc>
          <w:tcPr>
            <w:tcW w:w="1259" w:type="dxa"/>
          </w:tcPr>
          <w:p w14:paraId="75BB1446"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$212,315</w:t>
            </w:r>
          </w:p>
        </w:tc>
        <w:tc>
          <w:tcPr>
            <w:tcW w:w="1109" w:type="dxa"/>
          </w:tcPr>
          <w:p w14:paraId="2505B845"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$123,705</w:t>
            </w:r>
          </w:p>
        </w:tc>
        <w:tc>
          <w:tcPr>
            <w:tcW w:w="1109" w:type="dxa"/>
          </w:tcPr>
          <w:p w14:paraId="677AE5D6"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$99,858</w:t>
            </w:r>
          </w:p>
        </w:tc>
        <w:tc>
          <w:tcPr>
            <w:tcW w:w="917" w:type="dxa"/>
          </w:tcPr>
          <w:p w14:paraId="70D03A7A"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2.5%</w:t>
            </w:r>
          </w:p>
        </w:tc>
        <w:tc>
          <w:tcPr>
            <w:tcW w:w="937" w:type="dxa"/>
          </w:tcPr>
          <w:p w14:paraId="7F603E32"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7.7%</w:t>
            </w:r>
          </w:p>
        </w:tc>
        <w:tc>
          <w:tcPr>
            <w:tcW w:w="861" w:type="dxa"/>
          </w:tcPr>
          <w:p w14:paraId="2A3F0950"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10.4%</w:t>
            </w:r>
          </w:p>
        </w:tc>
      </w:tr>
      <w:tr w:rsidR="009B36F3" w:rsidRPr="00863AFE" w14:paraId="6D525EE1" w14:textId="77777777" w:rsidTr="009B36F3">
        <w:trPr>
          <w:trHeight w:val="290"/>
        </w:trPr>
        <w:tc>
          <w:tcPr>
            <w:tcW w:w="1382" w:type="dxa"/>
            <w:vAlign w:val="center"/>
            <w:hideMark/>
          </w:tcPr>
          <w:p w14:paraId="0DD48D56" w14:textId="77777777" w:rsidR="009B36F3" w:rsidRPr="00863AFE" w:rsidRDefault="009B36F3" w:rsidP="009B36F3">
            <w:pPr>
              <w:widowControl/>
              <w:autoSpaceDE/>
              <w:autoSpaceDN/>
              <w:rPr>
                <w:rFonts w:asciiTheme="minorHAnsi" w:eastAsia="Times New Roman" w:hAnsiTheme="minorHAnsi"/>
                <w:color w:val="000000"/>
                <w:sz w:val="20"/>
              </w:rPr>
            </w:pPr>
            <w:r w:rsidRPr="00863AFE">
              <w:rPr>
                <w:rFonts w:asciiTheme="minorHAnsi" w:eastAsia="Times New Roman" w:hAnsiTheme="minorHAnsi"/>
                <w:color w:val="000000"/>
                <w:sz w:val="20"/>
              </w:rPr>
              <w:t>Acton</w:t>
            </w:r>
          </w:p>
        </w:tc>
        <w:tc>
          <w:tcPr>
            <w:tcW w:w="1086" w:type="dxa"/>
          </w:tcPr>
          <w:p w14:paraId="2E3ED8B6" w14:textId="3CF92DC9" w:rsidR="009B36F3" w:rsidRPr="009B36F3" w:rsidRDefault="009B36F3" w:rsidP="009B36F3">
            <w:pPr>
              <w:widowControl/>
              <w:autoSpaceDE/>
              <w:autoSpaceDN/>
              <w:jc w:val="center"/>
              <w:rPr>
                <w:rFonts w:asciiTheme="minorHAnsi" w:eastAsia="Times New Roman" w:hAnsiTheme="minorHAnsi"/>
                <w:color w:val="000000"/>
                <w:sz w:val="20"/>
              </w:rPr>
            </w:pPr>
            <w:r w:rsidRPr="009B36F3">
              <w:rPr>
                <w:sz w:val="20"/>
              </w:rPr>
              <w:t>8.0%</w:t>
            </w:r>
          </w:p>
        </w:tc>
        <w:tc>
          <w:tcPr>
            <w:tcW w:w="1150" w:type="dxa"/>
          </w:tcPr>
          <w:p w14:paraId="3C0C87FF"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Middlesex</w:t>
            </w:r>
          </w:p>
        </w:tc>
        <w:tc>
          <w:tcPr>
            <w:tcW w:w="1259" w:type="dxa"/>
          </w:tcPr>
          <w:p w14:paraId="47CA1F39"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$153,338</w:t>
            </w:r>
          </w:p>
        </w:tc>
        <w:tc>
          <w:tcPr>
            <w:tcW w:w="1109" w:type="dxa"/>
          </w:tcPr>
          <w:p w14:paraId="301CA287" w14:textId="77777777" w:rsidR="009B36F3" w:rsidRPr="00863AFE" w:rsidRDefault="009B36F3" w:rsidP="009B36F3">
            <w:pPr>
              <w:widowControl/>
              <w:autoSpaceDE/>
              <w:autoSpaceDN/>
              <w:jc w:val="center"/>
              <w:rPr>
                <w:rFonts w:asciiTheme="minorHAnsi" w:hAnsiTheme="minorHAnsi"/>
                <w:sz w:val="20"/>
              </w:rPr>
            </w:pPr>
            <w:r w:rsidRPr="00863AFE">
              <w:rPr>
                <w:rFonts w:asciiTheme="minorHAnsi" w:hAnsiTheme="minorHAnsi"/>
                <w:sz w:val="20"/>
              </w:rPr>
              <w:t>$123,705</w:t>
            </w:r>
          </w:p>
        </w:tc>
        <w:tc>
          <w:tcPr>
            <w:tcW w:w="1109" w:type="dxa"/>
          </w:tcPr>
          <w:p w14:paraId="5593E032"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$99,858</w:t>
            </w:r>
          </w:p>
        </w:tc>
        <w:tc>
          <w:tcPr>
            <w:tcW w:w="917" w:type="dxa"/>
          </w:tcPr>
          <w:p w14:paraId="250CBF20"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3.4%</w:t>
            </w:r>
          </w:p>
        </w:tc>
        <w:tc>
          <w:tcPr>
            <w:tcW w:w="937" w:type="dxa"/>
          </w:tcPr>
          <w:p w14:paraId="750CE3BF" w14:textId="77777777" w:rsidR="009B36F3" w:rsidRPr="00863AFE" w:rsidRDefault="009B36F3" w:rsidP="009B36F3">
            <w:pPr>
              <w:widowControl/>
              <w:autoSpaceDE/>
              <w:autoSpaceDN/>
              <w:jc w:val="center"/>
              <w:rPr>
                <w:rFonts w:asciiTheme="minorHAnsi" w:hAnsiTheme="minorHAnsi"/>
                <w:sz w:val="20"/>
              </w:rPr>
            </w:pPr>
            <w:r w:rsidRPr="00863AFE">
              <w:rPr>
                <w:rFonts w:asciiTheme="minorHAnsi" w:hAnsiTheme="minorHAnsi"/>
                <w:sz w:val="20"/>
              </w:rPr>
              <w:t>7.7%</w:t>
            </w:r>
          </w:p>
        </w:tc>
        <w:tc>
          <w:tcPr>
            <w:tcW w:w="861" w:type="dxa"/>
          </w:tcPr>
          <w:p w14:paraId="0A8A0E47"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10.4%</w:t>
            </w:r>
          </w:p>
        </w:tc>
      </w:tr>
      <w:tr w:rsidR="009B36F3" w:rsidRPr="00863AFE" w14:paraId="6F59A58D" w14:textId="77777777" w:rsidTr="009B36F3">
        <w:trPr>
          <w:trHeight w:val="290"/>
        </w:trPr>
        <w:tc>
          <w:tcPr>
            <w:tcW w:w="1382" w:type="dxa"/>
            <w:vAlign w:val="center"/>
            <w:hideMark/>
          </w:tcPr>
          <w:p w14:paraId="0C0EDA93" w14:textId="77777777" w:rsidR="009B36F3" w:rsidRPr="00863AFE" w:rsidRDefault="009B36F3" w:rsidP="009B36F3">
            <w:pPr>
              <w:widowControl/>
              <w:autoSpaceDE/>
              <w:autoSpaceDN/>
              <w:rPr>
                <w:rFonts w:asciiTheme="minorHAnsi" w:eastAsia="Times New Roman" w:hAnsiTheme="minorHAnsi"/>
                <w:color w:val="000000"/>
                <w:sz w:val="20"/>
              </w:rPr>
            </w:pPr>
            <w:r w:rsidRPr="00863AFE">
              <w:rPr>
                <w:rFonts w:asciiTheme="minorHAnsi" w:eastAsia="Times New Roman" w:hAnsiTheme="minorHAnsi"/>
                <w:color w:val="000000"/>
                <w:sz w:val="20"/>
              </w:rPr>
              <w:t>Sudbury</w:t>
            </w:r>
          </w:p>
        </w:tc>
        <w:tc>
          <w:tcPr>
            <w:tcW w:w="1086" w:type="dxa"/>
          </w:tcPr>
          <w:p w14:paraId="30E3DE32" w14:textId="3E5E5827" w:rsidR="009B36F3" w:rsidRPr="009B36F3" w:rsidRDefault="009B36F3" w:rsidP="009B36F3">
            <w:pPr>
              <w:widowControl/>
              <w:autoSpaceDE/>
              <w:autoSpaceDN/>
              <w:jc w:val="center"/>
              <w:rPr>
                <w:rFonts w:asciiTheme="minorHAnsi" w:eastAsia="Times New Roman" w:hAnsiTheme="minorHAnsi"/>
                <w:color w:val="000000"/>
                <w:sz w:val="20"/>
              </w:rPr>
            </w:pPr>
            <w:r w:rsidRPr="009B36F3">
              <w:rPr>
                <w:sz w:val="20"/>
              </w:rPr>
              <w:t>5.6%</w:t>
            </w:r>
          </w:p>
        </w:tc>
        <w:tc>
          <w:tcPr>
            <w:tcW w:w="1150" w:type="dxa"/>
          </w:tcPr>
          <w:p w14:paraId="30CFDEC2"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Middlesex</w:t>
            </w:r>
          </w:p>
        </w:tc>
        <w:tc>
          <w:tcPr>
            <w:tcW w:w="1259" w:type="dxa"/>
          </w:tcPr>
          <w:p w14:paraId="31A193F7"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$234,634</w:t>
            </w:r>
          </w:p>
        </w:tc>
        <w:tc>
          <w:tcPr>
            <w:tcW w:w="1109" w:type="dxa"/>
          </w:tcPr>
          <w:p w14:paraId="1EB63C41" w14:textId="77777777" w:rsidR="009B36F3" w:rsidRPr="00863AFE" w:rsidRDefault="009B36F3" w:rsidP="009B36F3">
            <w:pPr>
              <w:widowControl/>
              <w:autoSpaceDE/>
              <w:autoSpaceDN/>
              <w:jc w:val="center"/>
              <w:rPr>
                <w:rFonts w:asciiTheme="minorHAnsi" w:hAnsiTheme="minorHAnsi"/>
                <w:sz w:val="20"/>
              </w:rPr>
            </w:pPr>
            <w:r w:rsidRPr="00863AFE">
              <w:rPr>
                <w:rFonts w:asciiTheme="minorHAnsi" w:hAnsiTheme="minorHAnsi"/>
                <w:sz w:val="20"/>
              </w:rPr>
              <w:t>$123,705</w:t>
            </w:r>
          </w:p>
        </w:tc>
        <w:tc>
          <w:tcPr>
            <w:tcW w:w="1109" w:type="dxa"/>
          </w:tcPr>
          <w:p w14:paraId="50325511"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$99,858</w:t>
            </w:r>
          </w:p>
        </w:tc>
        <w:tc>
          <w:tcPr>
            <w:tcW w:w="917" w:type="dxa"/>
          </w:tcPr>
          <w:p w14:paraId="35F643A5"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2.6%</w:t>
            </w:r>
          </w:p>
        </w:tc>
        <w:tc>
          <w:tcPr>
            <w:tcW w:w="937" w:type="dxa"/>
          </w:tcPr>
          <w:p w14:paraId="438DDBF2" w14:textId="77777777" w:rsidR="009B36F3" w:rsidRPr="00863AFE" w:rsidRDefault="009B36F3" w:rsidP="009B36F3">
            <w:pPr>
              <w:widowControl/>
              <w:autoSpaceDE/>
              <w:autoSpaceDN/>
              <w:jc w:val="center"/>
              <w:rPr>
                <w:rFonts w:asciiTheme="minorHAnsi" w:hAnsiTheme="minorHAnsi"/>
                <w:sz w:val="20"/>
              </w:rPr>
            </w:pPr>
            <w:r w:rsidRPr="00863AFE">
              <w:rPr>
                <w:rFonts w:asciiTheme="minorHAnsi" w:hAnsiTheme="minorHAnsi"/>
                <w:sz w:val="20"/>
              </w:rPr>
              <w:t>7.7%</w:t>
            </w:r>
          </w:p>
        </w:tc>
        <w:tc>
          <w:tcPr>
            <w:tcW w:w="861" w:type="dxa"/>
          </w:tcPr>
          <w:p w14:paraId="343BA5F0"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10.4%</w:t>
            </w:r>
          </w:p>
        </w:tc>
      </w:tr>
      <w:tr w:rsidR="009B36F3" w:rsidRPr="00863AFE" w14:paraId="39B074E0" w14:textId="77777777" w:rsidTr="009B36F3">
        <w:trPr>
          <w:trHeight w:val="290"/>
        </w:trPr>
        <w:tc>
          <w:tcPr>
            <w:tcW w:w="1382" w:type="dxa"/>
            <w:vAlign w:val="center"/>
            <w:hideMark/>
          </w:tcPr>
          <w:p w14:paraId="5D31095B" w14:textId="77777777" w:rsidR="009B36F3" w:rsidRPr="00863AFE" w:rsidRDefault="009B36F3" w:rsidP="009B36F3">
            <w:pPr>
              <w:widowControl/>
              <w:autoSpaceDE/>
              <w:autoSpaceDN/>
              <w:rPr>
                <w:rFonts w:asciiTheme="minorHAnsi" w:eastAsia="Times New Roman" w:hAnsiTheme="minorHAnsi"/>
                <w:color w:val="000000"/>
                <w:sz w:val="20"/>
              </w:rPr>
            </w:pPr>
            <w:r w:rsidRPr="00863AFE">
              <w:rPr>
                <w:rFonts w:asciiTheme="minorHAnsi" w:eastAsia="Times New Roman" w:hAnsiTheme="minorHAnsi"/>
                <w:color w:val="000000"/>
                <w:sz w:val="20"/>
              </w:rPr>
              <w:t>Westford</w:t>
            </w:r>
          </w:p>
        </w:tc>
        <w:tc>
          <w:tcPr>
            <w:tcW w:w="1086" w:type="dxa"/>
          </w:tcPr>
          <w:p w14:paraId="3D40E111" w14:textId="4468ABBB" w:rsidR="009B36F3" w:rsidRPr="009B36F3" w:rsidRDefault="009B36F3" w:rsidP="009B36F3">
            <w:pPr>
              <w:widowControl/>
              <w:autoSpaceDE/>
              <w:autoSpaceDN/>
              <w:jc w:val="center"/>
              <w:rPr>
                <w:rFonts w:asciiTheme="minorHAnsi" w:eastAsia="Times New Roman" w:hAnsiTheme="minorHAnsi"/>
                <w:color w:val="000000"/>
                <w:sz w:val="20"/>
              </w:rPr>
            </w:pPr>
            <w:r w:rsidRPr="009B36F3">
              <w:rPr>
                <w:sz w:val="20"/>
              </w:rPr>
              <w:t>4.9%</w:t>
            </w:r>
          </w:p>
        </w:tc>
        <w:tc>
          <w:tcPr>
            <w:tcW w:w="1150" w:type="dxa"/>
          </w:tcPr>
          <w:p w14:paraId="7D07306C"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Middlesex</w:t>
            </w:r>
          </w:p>
        </w:tc>
        <w:tc>
          <w:tcPr>
            <w:tcW w:w="1259" w:type="dxa"/>
          </w:tcPr>
          <w:p w14:paraId="17D9AAFA"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$181,523</w:t>
            </w:r>
          </w:p>
        </w:tc>
        <w:tc>
          <w:tcPr>
            <w:tcW w:w="1109" w:type="dxa"/>
          </w:tcPr>
          <w:p w14:paraId="14810985" w14:textId="77777777" w:rsidR="009B36F3" w:rsidRPr="00863AFE" w:rsidRDefault="009B36F3" w:rsidP="009B36F3">
            <w:pPr>
              <w:widowControl/>
              <w:autoSpaceDE/>
              <w:autoSpaceDN/>
              <w:jc w:val="center"/>
              <w:rPr>
                <w:rFonts w:asciiTheme="minorHAnsi" w:hAnsiTheme="minorHAnsi"/>
                <w:sz w:val="20"/>
              </w:rPr>
            </w:pPr>
            <w:r w:rsidRPr="00863AFE">
              <w:rPr>
                <w:rFonts w:asciiTheme="minorHAnsi" w:hAnsiTheme="minorHAnsi"/>
                <w:sz w:val="20"/>
              </w:rPr>
              <w:t>$123,705</w:t>
            </w:r>
          </w:p>
        </w:tc>
        <w:tc>
          <w:tcPr>
            <w:tcW w:w="1109" w:type="dxa"/>
          </w:tcPr>
          <w:p w14:paraId="3556FED8"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$99,858</w:t>
            </w:r>
          </w:p>
        </w:tc>
        <w:tc>
          <w:tcPr>
            <w:tcW w:w="917" w:type="dxa"/>
          </w:tcPr>
          <w:p w14:paraId="657B81E7"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2.4%</w:t>
            </w:r>
          </w:p>
        </w:tc>
        <w:tc>
          <w:tcPr>
            <w:tcW w:w="937" w:type="dxa"/>
          </w:tcPr>
          <w:p w14:paraId="4E33682A" w14:textId="77777777" w:rsidR="009B36F3" w:rsidRPr="00863AFE" w:rsidRDefault="009B36F3" w:rsidP="009B36F3">
            <w:pPr>
              <w:widowControl/>
              <w:autoSpaceDE/>
              <w:autoSpaceDN/>
              <w:jc w:val="center"/>
              <w:rPr>
                <w:rFonts w:asciiTheme="minorHAnsi" w:hAnsiTheme="minorHAnsi"/>
                <w:sz w:val="20"/>
              </w:rPr>
            </w:pPr>
            <w:r w:rsidRPr="00863AFE">
              <w:rPr>
                <w:rFonts w:asciiTheme="minorHAnsi" w:hAnsiTheme="minorHAnsi"/>
                <w:sz w:val="20"/>
              </w:rPr>
              <w:t>7.7%</w:t>
            </w:r>
          </w:p>
        </w:tc>
        <w:tc>
          <w:tcPr>
            <w:tcW w:w="861" w:type="dxa"/>
          </w:tcPr>
          <w:p w14:paraId="252FE6A8"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10.4%</w:t>
            </w:r>
          </w:p>
        </w:tc>
      </w:tr>
      <w:tr w:rsidR="009B36F3" w:rsidRPr="00863AFE" w14:paraId="7ACA0BEC" w14:textId="77777777" w:rsidTr="009B36F3">
        <w:trPr>
          <w:trHeight w:val="290"/>
        </w:trPr>
        <w:tc>
          <w:tcPr>
            <w:tcW w:w="1382" w:type="dxa"/>
            <w:vAlign w:val="center"/>
            <w:hideMark/>
          </w:tcPr>
          <w:p w14:paraId="418097E8" w14:textId="77777777" w:rsidR="009B36F3" w:rsidRPr="00863AFE" w:rsidRDefault="009B36F3" w:rsidP="009B36F3">
            <w:pPr>
              <w:widowControl/>
              <w:autoSpaceDE/>
              <w:autoSpaceDN/>
              <w:rPr>
                <w:rFonts w:asciiTheme="minorHAnsi" w:eastAsia="Times New Roman" w:hAnsiTheme="minorHAnsi"/>
                <w:color w:val="000000"/>
                <w:sz w:val="20"/>
              </w:rPr>
            </w:pPr>
            <w:r w:rsidRPr="00863AFE">
              <w:rPr>
                <w:rFonts w:asciiTheme="minorHAnsi" w:eastAsia="Times New Roman" w:hAnsiTheme="minorHAnsi"/>
                <w:color w:val="000000"/>
                <w:sz w:val="20"/>
              </w:rPr>
              <w:t>Bedford</w:t>
            </w:r>
          </w:p>
        </w:tc>
        <w:tc>
          <w:tcPr>
            <w:tcW w:w="1086" w:type="dxa"/>
          </w:tcPr>
          <w:p w14:paraId="7D5073A6" w14:textId="7E90FD6C" w:rsidR="009B36F3" w:rsidRPr="009B36F3" w:rsidRDefault="009B36F3" w:rsidP="009B36F3">
            <w:pPr>
              <w:widowControl/>
              <w:autoSpaceDE/>
              <w:autoSpaceDN/>
              <w:jc w:val="center"/>
              <w:rPr>
                <w:rFonts w:asciiTheme="minorHAnsi" w:eastAsia="Times New Roman" w:hAnsiTheme="minorHAnsi"/>
                <w:color w:val="000000"/>
                <w:sz w:val="20"/>
              </w:rPr>
            </w:pPr>
            <w:r w:rsidRPr="009B36F3">
              <w:rPr>
                <w:sz w:val="20"/>
              </w:rPr>
              <w:t>3.4%</w:t>
            </w:r>
          </w:p>
        </w:tc>
        <w:tc>
          <w:tcPr>
            <w:tcW w:w="1150" w:type="dxa"/>
          </w:tcPr>
          <w:p w14:paraId="12719561"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Middlesex</w:t>
            </w:r>
          </w:p>
        </w:tc>
        <w:tc>
          <w:tcPr>
            <w:tcW w:w="1259" w:type="dxa"/>
          </w:tcPr>
          <w:p w14:paraId="2A7C5746"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$158,964</w:t>
            </w:r>
          </w:p>
        </w:tc>
        <w:tc>
          <w:tcPr>
            <w:tcW w:w="1109" w:type="dxa"/>
          </w:tcPr>
          <w:p w14:paraId="7F2CD245" w14:textId="77777777" w:rsidR="009B36F3" w:rsidRPr="00863AFE" w:rsidRDefault="009B36F3" w:rsidP="009B36F3">
            <w:pPr>
              <w:widowControl/>
              <w:autoSpaceDE/>
              <w:autoSpaceDN/>
              <w:jc w:val="center"/>
              <w:rPr>
                <w:rFonts w:asciiTheme="minorHAnsi" w:hAnsiTheme="minorHAnsi"/>
                <w:sz w:val="20"/>
              </w:rPr>
            </w:pPr>
            <w:r w:rsidRPr="00863AFE">
              <w:rPr>
                <w:rFonts w:asciiTheme="minorHAnsi" w:hAnsiTheme="minorHAnsi"/>
                <w:sz w:val="20"/>
              </w:rPr>
              <w:t>$123,705</w:t>
            </w:r>
          </w:p>
        </w:tc>
        <w:tc>
          <w:tcPr>
            <w:tcW w:w="1109" w:type="dxa"/>
          </w:tcPr>
          <w:p w14:paraId="758BA9F5"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$99,858</w:t>
            </w:r>
          </w:p>
        </w:tc>
        <w:tc>
          <w:tcPr>
            <w:tcW w:w="917" w:type="dxa"/>
          </w:tcPr>
          <w:p w14:paraId="0A0416D1"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4.1%</w:t>
            </w:r>
          </w:p>
        </w:tc>
        <w:tc>
          <w:tcPr>
            <w:tcW w:w="937" w:type="dxa"/>
          </w:tcPr>
          <w:p w14:paraId="59EBF850" w14:textId="77777777" w:rsidR="009B36F3" w:rsidRPr="00863AFE" w:rsidRDefault="009B36F3" w:rsidP="009B36F3">
            <w:pPr>
              <w:widowControl/>
              <w:autoSpaceDE/>
              <w:autoSpaceDN/>
              <w:jc w:val="center"/>
              <w:rPr>
                <w:rFonts w:asciiTheme="minorHAnsi" w:hAnsiTheme="minorHAnsi"/>
                <w:sz w:val="20"/>
              </w:rPr>
            </w:pPr>
            <w:r w:rsidRPr="00863AFE">
              <w:rPr>
                <w:rFonts w:asciiTheme="minorHAnsi" w:hAnsiTheme="minorHAnsi"/>
                <w:sz w:val="20"/>
              </w:rPr>
              <w:t>7.7%</w:t>
            </w:r>
          </w:p>
        </w:tc>
        <w:tc>
          <w:tcPr>
            <w:tcW w:w="861" w:type="dxa"/>
          </w:tcPr>
          <w:p w14:paraId="4CA1EB3B"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10.4%</w:t>
            </w:r>
          </w:p>
        </w:tc>
      </w:tr>
      <w:tr w:rsidR="009B36F3" w:rsidRPr="00863AFE" w14:paraId="4F0DBF80" w14:textId="77777777" w:rsidTr="009B36F3">
        <w:trPr>
          <w:trHeight w:val="290"/>
        </w:trPr>
        <w:tc>
          <w:tcPr>
            <w:tcW w:w="1382" w:type="dxa"/>
            <w:vAlign w:val="center"/>
            <w:hideMark/>
          </w:tcPr>
          <w:p w14:paraId="3438669A" w14:textId="77777777" w:rsidR="009B36F3" w:rsidRPr="00863AFE" w:rsidRDefault="009B36F3" w:rsidP="009B36F3">
            <w:pPr>
              <w:widowControl/>
              <w:autoSpaceDE/>
              <w:autoSpaceDN/>
              <w:rPr>
                <w:rFonts w:asciiTheme="minorHAnsi" w:eastAsia="Times New Roman" w:hAnsiTheme="minorHAnsi"/>
                <w:color w:val="000000"/>
                <w:sz w:val="20"/>
              </w:rPr>
            </w:pPr>
            <w:r w:rsidRPr="00863AFE">
              <w:rPr>
                <w:rFonts w:asciiTheme="minorHAnsi" w:eastAsia="Times New Roman" w:hAnsiTheme="minorHAnsi"/>
                <w:color w:val="000000"/>
                <w:sz w:val="20"/>
              </w:rPr>
              <w:t>Maynard</w:t>
            </w:r>
          </w:p>
        </w:tc>
        <w:tc>
          <w:tcPr>
            <w:tcW w:w="1086" w:type="dxa"/>
          </w:tcPr>
          <w:p w14:paraId="72C5042C" w14:textId="1B5705EF" w:rsidR="009B36F3" w:rsidRPr="009B36F3" w:rsidRDefault="009B36F3" w:rsidP="009B36F3">
            <w:pPr>
              <w:widowControl/>
              <w:autoSpaceDE/>
              <w:autoSpaceDN/>
              <w:jc w:val="center"/>
              <w:rPr>
                <w:rFonts w:asciiTheme="minorHAnsi" w:eastAsia="Times New Roman" w:hAnsiTheme="minorHAnsi"/>
                <w:color w:val="000000"/>
                <w:sz w:val="20"/>
              </w:rPr>
            </w:pPr>
            <w:r w:rsidRPr="009B36F3">
              <w:rPr>
                <w:sz w:val="20"/>
              </w:rPr>
              <w:t>4.4%</w:t>
            </w:r>
          </w:p>
        </w:tc>
        <w:tc>
          <w:tcPr>
            <w:tcW w:w="1150" w:type="dxa"/>
          </w:tcPr>
          <w:p w14:paraId="0B3E1136"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Middlesex</w:t>
            </w:r>
          </w:p>
        </w:tc>
        <w:tc>
          <w:tcPr>
            <w:tcW w:w="1259" w:type="dxa"/>
          </w:tcPr>
          <w:p w14:paraId="6726F698"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$119,549</w:t>
            </w:r>
          </w:p>
        </w:tc>
        <w:tc>
          <w:tcPr>
            <w:tcW w:w="1109" w:type="dxa"/>
          </w:tcPr>
          <w:p w14:paraId="5CCF04FA" w14:textId="77777777" w:rsidR="009B36F3" w:rsidRPr="00863AFE" w:rsidRDefault="009B36F3" w:rsidP="009B36F3">
            <w:pPr>
              <w:widowControl/>
              <w:autoSpaceDE/>
              <w:autoSpaceDN/>
              <w:jc w:val="center"/>
              <w:rPr>
                <w:rFonts w:asciiTheme="minorHAnsi" w:hAnsiTheme="minorHAnsi"/>
                <w:sz w:val="20"/>
              </w:rPr>
            </w:pPr>
            <w:r w:rsidRPr="00863AFE">
              <w:rPr>
                <w:rFonts w:asciiTheme="minorHAnsi" w:hAnsiTheme="minorHAnsi"/>
                <w:sz w:val="20"/>
              </w:rPr>
              <w:t>$123,705</w:t>
            </w:r>
          </w:p>
        </w:tc>
        <w:tc>
          <w:tcPr>
            <w:tcW w:w="1109" w:type="dxa"/>
          </w:tcPr>
          <w:p w14:paraId="0CFEC9E8"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$99,858</w:t>
            </w:r>
          </w:p>
        </w:tc>
        <w:tc>
          <w:tcPr>
            <w:tcW w:w="917" w:type="dxa"/>
          </w:tcPr>
          <w:p w14:paraId="25949004"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7.4%</w:t>
            </w:r>
          </w:p>
        </w:tc>
        <w:tc>
          <w:tcPr>
            <w:tcW w:w="937" w:type="dxa"/>
          </w:tcPr>
          <w:p w14:paraId="4F65AEE9" w14:textId="77777777" w:rsidR="009B36F3" w:rsidRPr="00863AFE" w:rsidRDefault="009B36F3" w:rsidP="009B36F3">
            <w:pPr>
              <w:widowControl/>
              <w:autoSpaceDE/>
              <w:autoSpaceDN/>
              <w:jc w:val="center"/>
              <w:rPr>
                <w:rFonts w:asciiTheme="minorHAnsi" w:hAnsiTheme="minorHAnsi"/>
                <w:sz w:val="20"/>
              </w:rPr>
            </w:pPr>
            <w:r w:rsidRPr="00863AFE">
              <w:rPr>
                <w:rFonts w:asciiTheme="minorHAnsi" w:hAnsiTheme="minorHAnsi"/>
                <w:sz w:val="20"/>
              </w:rPr>
              <w:t>7.7%</w:t>
            </w:r>
          </w:p>
        </w:tc>
        <w:tc>
          <w:tcPr>
            <w:tcW w:w="861" w:type="dxa"/>
          </w:tcPr>
          <w:p w14:paraId="0AF40919"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10.4%</w:t>
            </w:r>
          </w:p>
        </w:tc>
      </w:tr>
      <w:tr w:rsidR="009B36F3" w:rsidRPr="00863AFE" w14:paraId="7E3AEF5A" w14:textId="77777777" w:rsidTr="009B36F3">
        <w:trPr>
          <w:trHeight w:val="290"/>
        </w:trPr>
        <w:tc>
          <w:tcPr>
            <w:tcW w:w="1382" w:type="dxa"/>
            <w:vAlign w:val="center"/>
            <w:hideMark/>
          </w:tcPr>
          <w:p w14:paraId="5D786CE9" w14:textId="77777777" w:rsidR="009B36F3" w:rsidRPr="00863AFE" w:rsidRDefault="009B36F3" w:rsidP="009B36F3">
            <w:pPr>
              <w:widowControl/>
              <w:autoSpaceDE/>
              <w:autoSpaceDN/>
              <w:rPr>
                <w:rFonts w:asciiTheme="minorHAnsi" w:eastAsia="Times New Roman" w:hAnsiTheme="minorHAnsi"/>
                <w:color w:val="000000"/>
                <w:sz w:val="20"/>
              </w:rPr>
            </w:pPr>
            <w:r w:rsidRPr="00863AFE">
              <w:rPr>
                <w:rFonts w:asciiTheme="minorHAnsi" w:eastAsia="Times New Roman" w:hAnsiTheme="minorHAnsi"/>
                <w:color w:val="000000"/>
                <w:sz w:val="20"/>
              </w:rPr>
              <w:t>Littleton</w:t>
            </w:r>
          </w:p>
        </w:tc>
        <w:tc>
          <w:tcPr>
            <w:tcW w:w="1086" w:type="dxa"/>
          </w:tcPr>
          <w:p w14:paraId="6FF7178F" w14:textId="748B524D" w:rsidR="009B36F3" w:rsidRPr="009B36F3" w:rsidRDefault="009B36F3" w:rsidP="009B36F3">
            <w:pPr>
              <w:widowControl/>
              <w:autoSpaceDE/>
              <w:autoSpaceDN/>
              <w:jc w:val="center"/>
              <w:rPr>
                <w:rFonts w:asciiTheme="minorHAnsi" w:eastAsia="Times New Roman" w:hAnsiTheme="minorHAnsi"/>
                <w:color w:val="000000"/>
                <w:sz w:val="20"/>
              </w:rPr>
            </w:pPr>
            <w:r w:rsidRPr="009B36F3">
              <w:rPr>
                <w:sz w:val="20"/>
              </w:rPr>
              <w:t>3.7%</w:t>
            </w:r>
          </w:p>
        </w:tc>
        <w:tc>
          <w:tcPr>
            <w:tcW w:w="1150" w:type="dxa"/>
          </w:tcPr>
          <w:p w14:paraId="754FBEE2"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Middlesex</w:t>
            </w:r>
          </w:p>
        </w:tc>
        <w:tc>
          <w:tcPr>
            <w:tcW w:w="1259" w:type="dxa"/>
          </w:tcPr>
          <w:p w14:paraId="0F5AE0B6"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$146,250</w:t>
            </w:r>
          </w:p>
        </w:tc>
        <w:tc>
          <w:tcPr>
            <w:tcW w:w="1109" w:type="dxa"/>
          </w:tcPr>
          <w:p w14:paraId="2C6B5C4B" w14:textId="77777777" w:rsidR="009B36F3" w:rsidRPr="00863AFE" w:rsidRDefault="009B36F3" w:rsidP="009B36F3">
            <w:pPr>
              <w:widowControl/>
              <w:autoSpaceDE/>
              <w:autoSpaceDN/>
              <w:jc w:val="center"/>
              <w:rPr>
                <w:rFonts w:asciiTheme="minorHAnsi" w:hAnsiTheme="minorHAnsi"/>
                <w:sz w:val="20"/>
              </w:rPr>
            </w:pPr>
            <w:r w:rsidRPr="00863AFE">
              <w:rPr>
                <w:rFonts w:asciiTheme="minorHAnsi" w:hAnsiTheme="minorHAnsi"/>
                <w:sz w:val="20"/>
              </w:rPr>
              <w:t>$123,705</w:t>
            </w:r>
          </w:p>
        </w:tc>
        <w:tc>
          <w:tcPr>
            <w:tcW w:w="1109" w:type="dxa"/>
          </w:tcPr>
          <w:p w14:paraId="2DC0693C"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$99,858</w:t>
            </w:r>
          </w:p>
        </w:tc>
        <w:tc>
          <w:tcPr>
            <w:tcW w:w="917" w:type="dxa"/>
          </w:tcPr>
          <w:p w14:paraId="49920148"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6.0%</w:t>
            </w:r>
          </w:p>
        </w:tc>
        <w:tc>
          <w:tcPr>
            <w:tcW w:w="937" w:type="dxa"/>
          </w:tcPr>
          <w:p w14:paraId="014802DF" w14:textId="77777777" w:rsidR="009B36F3" w:rsidRPr="00863AFE" w:rsidRDefault="009B36F3" w:rsidP="009B36F3">
            <w:pPr>
              <w:widowControl/>
              <w:autoSpaceDE/>
              <w:autoSpaceDN/>
              <w:jc w:val="center"/>
              <w:rPr>
                <w:rFonts w:asciiTheme="minorHAnsi" w:hAnsiTheme="minorHAnsi"/>
                <w:sz w:val="20"/>
              </w:rPr>
            </w:pPr>
            <w:r w:rsidRPr="00863AFE">
              <w:rPr>
                <w:rFonts w:asciiTheme="minorHAnsi" w:hAnsiTheme="minorHAnsi"/>
                <w:sz w:val="20"/>
              </w:rPr>
              <w:t>7.7%</w:t>
            </w:r>
          </w:p>
        </w:tc>
        <w:tc>
          <w:tcPr>
            <w:tcW w:w="861" w:type="dxa"/>
          </w:tcPr>
          <w:p w14:paraId="42A2E513"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10.4%</w:t>
            </w:r>
          </w:p>
        </w:tc>
      </w:tr>
      <w:tr w:rsidR="009B36F3" w:rsidRPr="00863AFE" w14:paraId="6EF5F20D" w14:textId="77777777" w:rsidTr="009B36F3">
        <w:trPr>
          <w:trHeight w:val="290"/>
        </w:trPr>
        <w:tc>
          <w:tcPr>
            <w:tcW w:w="1382" w:type="dxa"/>
            <w:vAlign w:val="center"/>
            <w:hideMark/>
          </w:tcPr>
          <w:p w14:paraId="35FD591D" w14:textId="77777777" w:rsidR="009B36F3" w:rsidRPr="00863AFE" w:rsidRDefault="009B36F3" w:rsidP="009B36F3">
            <w:pPr>
              <w:widowControl/>
              <w:autoSpaceDE/>
              <w:autoSpaceDN/>
              <w:rPr>
                <w:rFonts w:asciiTheme="minorHAnsi" w:eastAsia="Times New Roman" w:hAnsiTheme="minorHAnsi"/>
                <w:color w:val="000000"/>
                <w:sz w:val="20"/>
              </w:rPr>
            </w:pPr>
            <w:r w:rsidRPr="00863AFE">
              <w:rPr>
                <w:rFonts w:asciiTheme="minorHAnsi" w:eastAsia="Times New Roman" w:hAnsiTheme="minorHAnsi"/>
                <w:color w:val="000000"/>
                <w:sz w:val="20"/>
              </w:rPr>
              <w:t>Groton</w:t>
            </w:r>
          </w:p>
        </w:tc>
        <w:tc>
          <w:tcPr>
            <w:tcW w:w="1086" w:type="dxa"/>
          </w:tcPr>
          <w:p w14:paraId="53508C78" w14:textId="1FE141D2" w:rsidR="009B36F3" w:rsidRPr="009B36F3" w:rsidRDefault="009B36F3" w:rsidP="009B36F3">
            <w:pPr>
              <w:widowControl/>
              <w:autoSpaceDE/>
              <w:autoSpaceDN/>
              <w:jc w:val="center"/>
              <w:rPr>
                <w:rFonts w:asciiTheme="minorHAnsi" w:eastAsia="Times New Roman" w:hAnsiTheme="minorHAnsi"/>
                <w:color w:val="000000"/>
                <w:sz w:val="20"/>
              </w:rPr>
            </w:pPr>
            <w:r w:rsidRPr="009B36F3">
              <w:rPr>
                <w:sz w:val="20"/>
              </w:rPr>
              <w:t>4.7%</w:t>
            </w:r>
          </w:p>
        </w:tc>
        <w:tc>
          <w:tcPr>
            <w:tcW w:w="1150" w:type="dxa"/>
          </w:tcPr>
          <w:p w14:paraId="5429B6C0"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Middlesex</w:t>
            </w:r>
          </w:p>
        </w:tc>
        <w:tc>
          <w:tcPr>
            <w:tcW w:w="1259" w:type="dxa"/>
          </w:tcPr>
          <w:p w14:paraId="5F54D7D0"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w:t>
            </w:r>
            <w:r w:rsidRPr="00863AFE">
              <w:rPr>
                <w:rStyle w:val="FootnoteReference"/>
                <w:rFonts w:asciiTheme="minorHAnsi" w:eastAsia="Times New Roman" w:hAnsiTheme="minorHAnsi"/>
                <w:color w:val="000000"/>
                <w:sz w:val="20"/>
              </w:rPr>
              <w:footnoteReference w:id="26"/>
            </w:r>
          </w:p>
        </w:tc>
        <w:tc>
          <w:tcPr>
            <w:tcW w:w="1109" w:type="dxa"/>
          </w:tcPr>
          <w:p w14:paraId="54E82E43" w14:textId="77777777" w:rsidR="009B36F3" w:rsidRPr="00863AFE" w:rsidRDefault="009B36F3" w:rsidP="009B36F3">
            <w:pPr>
              <w:widowControl/>
              <w:autoSpaceDE/>
              <w:autoSpaceDN/>
              <w:jc w:val="center"/>
              <w:rPr>
                <w:rFonts w:asciiTheme="minorHAnsi" w:hAnsiTheme="minorHAnsi"/>
                <w:sz w:val="20"/>
              </w:rPr>
            </w:pPr>
            <w:r w:rsidRPr="00863AFE">
              <w:rPr>
                <w:rFonts w:asciiTheme="minorHAnsi" w:hAnsiTheme="minorHAnsi"/>
                <w:sz w:val="20"/>
              </w:rPr>
              <w:t>$123,705</w:t>
            </w:r>
          </w:p>
        </w:tc>
        <w:tc>
          <w:tcPr>
            <w:tcW w:w="1109" w:type="dxa"/>
          </w:tcPr>
          <w:p w14:paraId="6A43A92A"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$99,858</w:t>
            </w:r>
          </w:p>
        </w:tc>
        <w:tc>
          <w:tcPr>
            <w:tcW w:w="917" w:type="dxa"/>
            <w:shd w:val="clear" w:color="auto" w:fill="FFFFFF" w:themeFill="background1"/>
          </w:tcPr>
          <w:p w14:paraId="40BD8E85"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7.8%</w:t>
            </w:r>
          </w:p>
        </w:tc>
        <w:tc>
          <w:tcPr>
            <w:tcW w:w="937" w:type="dxa"/>
          </w:tcPr>
          <w:p w14:paraId="43114B20" w14:textId="77777777" w:rsidR="009B36F3" w:rsidRPr="00863AFE" w:rsidRDefault="009B36F3" w:rsidP="009B36F3">
            <w:pPr>
              <w:widowControl/>
              <w:autoSpaceDE/>
              <w:autoSpaceDN/>
              <w:jc w:val="center"/>
              <w:rPr>
                <w:rFonts w:asciiTheme="minorHAnsi" w:hAnsiTheme="minorHAnsi"/>
                <w:sz w:val="20"/>
              </w:rPr>
            </w:pPr>
            <w:r w:rsidRPr="00863AFE">
              <w:rPr>
                <w:rFonts w:asciiTheme="minorHAnsi" w:hAnsiTheme="minorHAnsi"/>
                <w:sz w:val="20"/>
              </w:rPr>
              <w:t>7.7%</w:t>
            </w:r>
          </w:p>
        </w:tc>
        <w:tc>
          <w:tcPr>
            <w:tcW w:w="861" w:type="dxa"/>
          </w:tcPr>
          <w:p w14:paraId="097BD70E"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10.4%</w:t>
            </w:r>
          </w:p>
        </w:tc>
      </w:tr>
      <w:tr w:rsidR="009B36F3" w:rsidRPr="00863AFE" w14:paraId="23AB1A48" w14:textId="77777777" w:rsidTr="009B36F3">
        <w:trPr>
          <w:trHeight w:val="290"/>
        </w:trPr>
        <w:tc>
          <w:tcPr>
            <w:tcW w:w="1382" w:type="dxa"/>
            <w:vAlign w:val="center"/>
            <w:hideMark/>
          </w:tcPr>
          <w:p w14:paraId="6C53BEE0" w14:textId="77777777" w:rsidR="009B36F3" w:rsidRPr="00863AFE" w:rsidRDefault="009B36F3" w:rsidP="009B36F3">
            <w:pPr>
              <w:widowControl/>
              <w:autoSpaceDE/>
              <w:autoSpaceDN/>
              <w:rPr>
                <w:rFonts w:asciiTheme="minorHAnsi" w:eastAsia="Times New Roman" w:hAnsiTheme="minorHAnsi"/>
                <w:color w:val="000000"/>
                <w:sz w:val="20"/>
              </w:rPr>
            </w:pPr>
            <w:r w:rsidRPr="00863AFE">
              <w:rPr>
                <w:rFonts w:asciiTheme="minorHAnsi" w:eastAsia="Times New Roman" w:hAnsiTheme="minorHAnsi"/>
                <w:color w:val="000000"/>
                <w:sz w:val="20"/>
              </w:rPr>
              <w:t>Stow</w:t>
            </w:r>
          </w:p>
        </w:tc>
        <w:tc>
          <w:tcPr>
            <w:tcW w:w="1086" w:type="dxa"/>
          </w:tcPr>
          <w:p w14:paraId="63CE95C7" w14:textId="1FA6D3DB" w:rsidR="009B36F3" w:rsidRPr="009B36F3" w:rsidRDefault="009B36F3" w:rsidP="009B36F3">
            <w:pPr>
              <w:widowControl/>
              <w:autoSpaceDE/>
              <w:autoSpaceDN/>
              <w:jc w:val="center"/>
              <w:rPr>
                <w:rFonts w:asciiTheme="minorHAnsi" w:eastAsia="Times New Roman" w:hAnsiTheme="minorHAnsi"/>
                <w:color w:val="000000"/>
                <w:sz w:val="20"/>
              </w:rPr>
            </w:pPr>
            <w:r w:rsidRPr="009B36F3">
              <w:rPr>
                <w:sz w:val="20"/>
              </w:rPr>
              <w:t>2.5%</w:t>
            </w:r>
          </w:p>
        </w:tc>
        <w:tc>
          <w:tcPr>
            <w:tcW w:w="1150" w:type="dxa"/>
          </w:tcPr>
          <w:p w14:paraId="0754DD9F"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Middlesex</w:t>
            </w:r>
          </w:p>
        </w:tc>
        <w:tc>
          <w:tcPr>
            <w:tcW w:w="1259" w:type="dxa"/>
          </w:tcPr>
          <w:p w14:paraId="5DC6C692"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$177,862</w:t>
            </w:r>
          </w:p>
        </w:tc>
        <w:tc>
          <w:tcPr>
            <w:tcW w:w="1109" w:type="dxa"/>
          </w:tcPr>
          <w:p w14:paraId="2DBCB684" w14:textId="77777777" w:rsidR="009B36F3" w:rsidRPr="00863AFE" w:rsidRDefault="009B36F3" w:rsidP="009B36F3">
            <w:pPr>
              <w:widowControl/>
              <w:autoSpaceDE/>
              <w:autoSpaceDN/>
              <w:jc w:val="center"/>
              <w:rPr>
                <w:rFonts w:asciiTheme="minorHAnsi" w:hAnsiTheme="minorHAnsi"/>
                <w:sz w:val="20"/>
              </w:rPr>
            </w:pPr>
            <w:r w:rsidRPr="00863AFE">
              <w:rPr>
                <w:rFonts w:asciiTheme="minorHAnsi" w:hAnsiTheme="minorHAnsi"/>
                <w:sz w:val="20"/>
              </w:rPr>
              <w:t>$123,705</w:t>
            </w:r>
          </w:p>
        </w:tc>
        <w:tc>
          <w:tcPr>
            <w:tcW w:w="1109" w:type="dxa"/>
          </w:tcPr>
          <w:p w14:paraId="3BB2B9E0"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$99,858</w:t>
            </w:r>
          </w:p>
        </w:tc>
        <w:tc>
          <w:tcPr>
            <w:tcW w:w="917" w:type="dxa"/>
          </w:tcPr>
          <w:p w14:paraId="52918AA2"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5.0%</w:t>
            </w:r>
          </w:p>
        </w:tc>
        <w:tc>
          <w:tcPr>
            <w:tcW w:w="937" w:type="dxa"/>
          </w:tcPr>
          <w:p w14:paraId="348054E6" w14:textId="77777777" w:rsidR="009B36F3" w:rsidRPr="00863AFE" w:rsidRDefault="009B36F3" w:rsidP="009B36F3">
            <w:pPr>
              <w:widowControl/>
              <w:autoSpaceDE/>
              <w:autoSpaceDN/>
              <w:jc w:val="center"/>
              <w:rPr>
                <w:rFonts w:asciiTheme="minorHAnsi" w:hAnsiTheme="minorHAnsi"/>
                <w:sz w:val="20"/>
              </w:rPr>
            </w:pPr>
            <w:r w:rsidRPr="00863AFE">
              <w:rPr>
                <w:rFonts w:asciiTheme="minorHAnsi" w:hAnsiTheme="minorHAnsi"/>
                <w:sz w:val="20"/>
              </w:rPr>
              <w:t>7.7%</w:t>
            </w:r>
          </w:p>
        </w:tc>
        <w:tc>
          <w:tcPr>
            <w:tcW w:w="861" w:type="dxa"/>
          </w:tcPr>
          <w:p w14:paraId="3A45D28C"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10.4%</w:t>
            </w:r>
          </w:p>
        </w:tc>
      </w:tr>
      <w:tr w:rsidR="009B36F3" w:rsidRPr="00863AFE" w14:paraId="16CF0BA2" w14:textId="77777777" w:rsidTr="009B36F3">
        <w:trPr>
          <w:trHeight w:val="290"/>
        </w:trPr>
        <w:tc>
          <w:tcPr>
            <w:tcW w:w="1382" w:type="dxa"/>
            <w:vAlign w:val="center"/>
            <w:hideMark/>
          </w:tcPr>
          <w:p w14:paraId="761BF254" w14:textId="77777777" w:rsidR="009B36F3" w:rsidRPr="00863AFE" w:rsidRDefault="009B36F3" w:rsidP="009B36F3">
            <w:pPr>
              <w:widowControl/>
              <w:autoSpaceDE/>
              <w:autoSpaceDN/>
              <w:rPr>
                <w:rFonts w:asciiTheme="minorHAnsi" w:eastAsia="Times New Roman" w:hAnsiTheme="minorHAnsi"/>
                <w:color w:val="000000"/>
                <w:sz w:val="20"/>
              </w:rPr>
            </w:pPr>
            <w:r w:rsidRPr="00863AFE">
              <w:rPr>
                <w:rFonts w:asciiTheme="minorHAnsi" w:eastAsia="Times New Roman" w:hAnsiTheme="minorHAnsi"/>
                <w:color w:val="000000"/>
                <w:sz w:val="20"/>
              </w:rPr>
              <w:t>Hudson</w:t>
            </w:r>
          </w:p>
        </w:tc>
        <w:tc>
          <w:tcPr>
            <w:tcW w:w="1086" w:type="dxa"/>
          </w:tcPr>
          <w:p w14:paraId="292C66DF" w14:textId="5E1A45BC" w:rsidR="009B36F3" w:rsidRPr="009B36F3" w:rsidRDefault="009B36F3" w:rsidP="009B36F3">
            <w:pPr>
              <w:widowControl/>
              <w:autoSpaceDE/>
              <w:autoSpaceDN/>
              <w:jc w:val="center"/>
              <w:rPr>
                <w:rFonts w:asciiTheme="minorHAnsi" w:eastAsia="Times New Roman" w:hAnsiTheme="minorHAnsi"/>
                <w:color w:val="000000"/>
                <w:sz w:val="20"/>
              </w:rPr>
            </w:pPr>
            <w:r w:rsidRPr="009B36F3">
              <w:rPr>
                <w:sz w:val="20"/>
              </w:rPr>
              <w:t>1.9%</w:t>
            </w:r>
          </w:p>
        </w:tc>
        <w:tc>
          <w:tcPr>
            <w:tcW w:w="1150" w:type="dxa"/>
          </w:tcPr>
          <w:p w14:paraId="27733149"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Middlesex</w:t>
            </w:r>
          </w:p>
        </w:tc>
        <w:tc>
          <w:tcPr>
            <w:tcW w:w="1259" w:type="dxa"/>
          </w:tcPr>
          <w:p w14:paraId="093680CF"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$96,149</w:t>
            </w:r>
          </w:p>
        </w:tc>
        <w:tc>
          <w:tcPr>
            <w:tcW w:w="1109" w:type="dxa"/>
          </w:tcPr>
          <w:p w14:paraId="0AF83D06" w14:textId="77777777" w:rsidR="009B36F3" w:rsidRPr="00863AFE" w:rsidRDefault="009B36F3" w:rsidP="009B36F3">
            <w:pPr>
              <w:widowControl/>
              <w:autoSpaceDE/>
              <w:autoSpaceDN/>
              <w:jc w:val="center"/>
              <w:rPr>
                <w:rFonts w:asciiTheme="minorHAnsi" w:hAnsiTheme="minorHAnsi"/>
                <w:sz w:val="20"/>
              </w:rPr>
            </w:pPr>
            <w:r w:rsidRPr="00863AFE">
              <w:rPr>
                <w:rFonts w:asciiTheme="minorHAnsi" w:hAnsiTheme="minorHAnsi"/>
                <w:sz w:val="20"/>
              </w:rPr>
              <w:t>$123,705</w:t>
            </w:r>
          </w:p>
        </w:tc>
        <w:tc>
          <w:tcPr>
            <w:tcW w:w="1109" w:type="dxa"/>
          </w:tcPr>
          <w:p w14:paraId="7049CF04"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$99,858</w:t>
            </w:r>
          </w:p>
        </w:tc>
        <w:tc>
          <w:tcPr>
            <w:tcW w:w="917" w:type="dxa"/>
          </w:tcPr>
          <w:p w14:paraId="5A97C35D"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5.7%</w:t>
            </w:r>
          </w:p>
        </w:tc>
        <w:tc>
          <w:tcPr>
            <w:tcW w:w="937" w:type="dxa"/>
            <w:shd w:val="clear" w:color="auto" w:fill="FFFFFF" w:themeFill="background1"/>
          </w:tcPr>
          <w:p w14:paraId="0B2EAAD1" w14:textId="77777777" w:rsidR="009B36F3" w:rsidRPr="00863AFE" w:rsidRDefault="009B36F3" w:rsidP="009B36F3">
            <w:pPr>
              <w:widowControl/>
              <w:autoSpaceDE/>
              <w:autoSpaceDN/>
              <w:jc w:val="center"/>
              <w:rPr>
                <w:rFonts w:asciiTheme="minorHAnsi" w:hAnsiTheme="minorHAnsi"/>
                <w:sz w:val="20"/>
              </w:rPr>
            </w:pPr>
            <w:r w:rsidRPr="00863AFE">
              <w:rPr>
                <w:rFonts w:asciiTheme="minorHAnsi" w:hAnsiTheme="minorHAnsi"/>
                <w:sz w:val="20"/>
              </w:rPr>
              <w:t>7.7%</w:t>
            </w:r>
          </w:p>
        </w:tc>
        <w:tc>
          <w:tcPr>
            <w:tcW w:w="861" w:type="dxa"/>
          </w:tcPr>
          <w:p w14:paraId="185BDA36"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10.4%</w:t>
            </w:r>
          </w:p>
        </w:tc>
      </w:tr>
      <w:tr w:rsidR="009B36F3" w:rsidRPr="00863AFE" w14:paraId="5BA7D41F" w14:textId="77777777" w:rsidTr="009B36F3">
        <w:trPr>
          <w:trHeight w:val="290"/>
        </w:trPr>
        <w:tc>
          <w:tcPr>
            <w:tcW w:w="1382" w:type="dxa"/>
            <w:vAlign w:val="center"/>
            <w:hideMark/>
          </w:tcPr>
          <w:p w14:paraId="1FFDFA4E" w14:textId="77777777" w:rsidR="009B36F3" w:rsidRPr="00863AFE" w:rsidRDefault="009B36F3" w:rsidP="009B36F3">
            <w:pPr>
              <w:widowControl/>
              <w:autoSpaceDE/>
              <w:autoSpaceDN/>
              <w:rPr>
                <w:rFonts w:asciiTheme="minorHAnsi" w:eastAsia="Times New Roman" w:hAnsiTheme="minorHAnsi"/>
                <w:color w:val="000000"/>
                <w:sz w:val="20"/>
              </w:rPr>
            </w:pPr>
            <w:r w:rsidRPr="00863AFE">
              <w:rPr>
                <w:rFonts w:asciiTheme="minorHAnsi" w:eastAsia="Times New Roman" w:hAnsiTheme="minorHAnsi"/>
                <w:color w:val="000000"/>
                <w:sz w:val="20"/>
              </w:rPr>
              <w:t>Carlisle</w:t>
            </w:r>
          </w:p>
        </w:tc>
        <w:tc>
          <w:tcPr>
            <w:tcW w:w="1086" w:type="dxa"/>
          </w:tcPr>
          <w:p w14:paraId="6D783B81" w14:textId="30F21A95" w:rsidR="009B36F3" w:rsidRPr="009B36F3" w:rsidRDefault="009B36F3" w:rsidP="009B36F3">
            <w:pPr>
              <w:widowControl/>
              <w:autoSpaceDE/>
              <w:autoSpaceDN/>
              <w:jc w:val="center"/>
              <w:rPr>
                <w:rFonts w:asciiTheme="minorHAnsi" w:eastAsia="Times New Roman" w:hAnsiTheme="minorHAnsi"/>
                <w:color w:val="000000"/>
                <w:sz w:val="20"/>
              </w:rPr>
            </w:pPr>
            <w:r w:rsidRPr="009B36F3">
              <w:rPr>
                <w:sz w:val="20"/>
              </w:rPr>
              <w:t>2.0%</w:t>
            </w:r>
          </w:p>
        </w:tc>
        <w:tc>
          <w:tcPr>
            <w:tcW w:w="1150" w:type="dxa"/>
          </w:tcPr>
          <w:p w14:paraId="388FB468"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Middlesex</w:t>
            </w:r>
          </w:p>
        </w:tc>
        <w:tc>
          <w:tcPr>
            <w:tcW w:w="1259" w:type="dxa"/>
          </w:tcPr>
          <w:p w14:paraId="7C08CD06"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$250,000+</w:t>
            </w:r>
            <w:r w:rsidRPr="00863AFE">
              <w:rPr>
                <w:rStyle w:val="FootnoteReference"/>
                <w:rFonts w:asciiTheme="minorHAnsi" w:eastAsia="Times New Roman" w:hAnsiTheme="minorHAnsi"/>
                <w:color w:val="000000"/>
                <w:sz w:val="20"/>
              </w:rPr>
              <w:footnoteReference w:id="27"/>
            </w:r>
          </w:p>
        </w:tc>
        <w:tc>
          <w:tcPr>
            <w:tcW w:w="1109" w:type="dxa"/>
          </w:tcPr>
          <w:p w14:paraId="78AE57D0" w14:textId="77777777" w:rsidR="009B36F3" w:rsidRPr="00863AFE" w:rsidRDefault="009B36F3" w:rsidP="009B36F3">
            <w:pPr>
              <w:widowControl/>
              <w:autoSpaceDE/>
              <w:autoSpaceDN/>
              <w:jc w:val="center"/>
              <w:rPr>
                <w:rFonts w:asciiTheme="minorHAnsi" w:hAnsiTheme="minorHAnsi"/>
                <w:sz w:val="20"/>
              </w:rPr>
            </w:pPr>
            <w:r w:rsidRPr="00863AFE">
              <w:rPr>
                <w:rFonts w:asciiTheme="minorHAnsi" w:hAnsiTheme="minorHAnsi"/>
                <w:sz w:val="20"/>
              </w:rPr>
              <w:t>$123,705</w:t>
            </w:r>
          </w:p>
        </w:tc>
        <w:tc>
          <w:tcPr>
            <w:tcW w:w="1109" w:type="dxa"/>
          </w:tcPr>
          <w:p w14:paraId="536BB17C"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$99,858</w:t>
            </w:r>
          </w:p>
        </w:tc>
        <w:tc>
          <w:tcPr>
            <w:tcW w:w="917" w:type="dxa"/>
          </w:tcPr>
          <w:p w14:paraId="6584C3AD"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2.1%</w:t>
            </w:r>
          </w:p>
        </w:tc>
        <w:tc>
          <w:tcPr>
            <w:tcW w:w="937" w:type="dxa"/>
          </w:tcPr>
          <w:p w14:paraId="3153B7B0" w14:textId="77777777" w:rsidR="009B36F3" w:rsidRPr="00863AFE" w:rsidRDefault="009B36F3" w:rsidP="009B36F3">
            <w:pPr>
              <w:widowControl/>
              <w:autoSpaceDE/>
              <w:autoSpaceDN/>
              <w:jc w:val="center"/>
              <w:rPr>
                <w:rFonts w:asciiTheme="minorHAnsi" w:hAnsiTheme="minorHAnsi"/>
                <w:sz w:val="20"/>
              </w:rPr>
            </w:pPr>
            <w:r w:rsidRPr="00863AFE">
              <w:rPr>
                <w:rFonts w:asciiTheme="minorHAnsi" w:hAnsiTheme="minorHAnsi"/>
                <w:sz w:val="20"/>
              </w:rPr>
              <w:t>7.7%</w:t>
            </w:r>
          </w:p>
        </w:tc>
        <w:tc>
          <w:tcPr>
            <w:tcW w:w="861" w:type="dxa"/>
          </w:tcPr>
          <w:p w14:paraId="73BAADBB"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10.4%</w:t>
            </w:r>
          </w:p>
        </w:tc>
      </w:tr>
      <w:tr w:rsidR="009B36F3" w:rsidRPr="00863AFE" w14:paraId="568514EF" w14:textId="77777777" w:rsidTr="009B36F3">
        <w:trPr>
          <w:trHeight w:val="290"/>
        </w:trPr>
        <w:tc>
          <w:tcPr>
            <w:tcW w:w="1382" w:type="dxa"/>
            <w:vAlign w:val="center"/>
            <w:hideMark/>
          </w:tcPr>
          <w:p w14:paraId="50818666" w14:textId="77777777" w:rsidR="009B36F3" w:rsidRPr="00863AFE" w:rsidRDefault="009B36F3" w:rsidP="009B36F3">
            <w:pPr>
              <w:widowControl/>
              <w:autoSpaceDE/>
              <w:autoSpaceDN/>
              <w:rPr>
                <w:rFonts w:asciiTheme="minorHAnsi" w:eastAsia="Times New Roman" w:hAnsiTheme="minorHAnsi"/>
                <w:color w:val="000000"/>
                <w:sz w:val="20"/>
              </w:rPr>
            </w:pPr>
            <w:r w:rsidRPr="00863AFE">
              <w:rPr>
                <w:rFonts w:asciiTheme="minorHAnsi" w:eastAsia="Times New Roman" w:hAnsiTheme="minorHAnsi"/>
                <w:color w:val="000000"/>
                <w:sz w:val="20"/>
              </w:rPr>
              <w:t>Chelmsford</w:t>
            </w:r>
          </w:p>
        </w:tc>
        <w:tc>
          <w:tcPr>
            <w:tcW w:w="1086" w:type="dxa"/>
          </w:tcPr>
          <w:p w14:paraId="140DC86E" w14:textId="52F2A570" w:rsidR="009B36F3" w:rsidRPr="009B36F3" w:rsidRDefault="009B36F3" w:rsidP="009B36F3">
            <w:pPr>
              <w:widowControl/>
              <w:autoSpaceDE/>
              <w:autoSpaceDN/>
              <w:jc w:val="center"/>
              <w:rPr>
                <w:rFonts w:asciiTheme="minorHAnsi" w:eastAsia="Times New Roman" w:hAnsiTheme="minorHAnsi"/>
                <w:color w:val="000000"/>
                <w:sz w:val="20"/>
              </w:rPr>
            </w:pPr>
            <w:r w:rsidRPr="009B36F3">
              <w:rPr>
                <w:sz w:val="20"/>
              </w:rPr>
              <w:t>2.7%</w:t>
            </w:r>
          </w:p>
        </w:tc>
        <w:tc>
          <w:tcPr>
            <w:tcW w:w="1150" w:type="dxa"/>
          </w:tcPr>
          <w:p w14:paraId="6FCEE179" w14:textId="77777777" w:rsidR="009B36F3" w:rsidRPr="00863AFE" w:rsidRDefault="009B36F3" w:rsidP="009B36F3">
            <w:pPr>
              <w:widowControl/>
              <w:autoSpaceDE/>
              <w:autoSpaceDN/>
              <w:jc w:val="center"/>
              <w:rPr>
                <w:rFonts w:asciiTheme="minorHAnsi" w:eastAsia="Times New Roman" w:hAnsiTheme="minorHAnsi"/>
                <w:color w:val="000000"/>
                <w:sz w:val="20"/>
              </w:rPr>
            </w:pPr>
            <w:r>
              <w:rPr>
                <w:rFonts w:asciiTheme="minorHAnsi" w:eastAsia="Times New Roman" w:hAnsiTheme="minorHAnsi"/>
                <w:color w:val="000000"/>
                <w:sz w:val="20"/>
              </w:rPr>
              <w:t>Middlesex</w:t>
            </w:r>
          </w:p>
        </w:tc>
        <w:tc>
          <w:tcPr>
            <w:tcW w:w="1259" w:type="dxa"/>
          </w:tcPr>
          <w:p w14:paraId="6EACE407"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$140,519</w:t>
            </w:r>
          </w:p>
        </w:tc>
        <w:tc>
          <w:tcPr>
            <w:tcW w:w="1109" w:type="dxa"/>
          </w:tcPr>
          <w:p w14:paraId="79B4D128" w14:textId="77777777" w:rsidR="009B36F3" w:rsidRPr="00863AFE" w:rsidRDefault="009B36F3" w:rsidP="009B36F3">
            <w:pPr>
              <w:widowControl/>
              <w:autoSpaceDE/>
              <w:autoSpaceDN/>
              <w:jc w:val="center"/>
              <w:rPr>
                <w:rFonts w:asciiTheme="minorHAnsi" w:hAnsiTheme="minorHAnsi"/>
                <w:sz w:val="20"/>
              </w:rPr>
            </w:pPr>
            <w:r w:rsidRPr="00D56E09">
              <w:rPr>
                <w:rFonts w:asciiTheme="minorHAnsi" w:hAnsiTheme="minorHAnsi"/>
                <w:sz w:val="20"/>
              </w:rPr>
              <w:t>$123,705</w:t>
            </w:r>
          </w:p>
        </w:tc>
        <w:tc>
          <w:tcPr>
            <w:tcW w:w="1109" w:type="dxa"/>
          </w:tcPr>
          <w:p w14:paraId="28C8EC09"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$99,858</w:t>
            </w:r>
          </w:p>
        </w:tc>
        <w:tc>
          <w:tcPr>
            <w:tcW w:w="917" w:type="dxa"/>
          </w:tcPr>
          <w:p w14:paraId="3F13DC87"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4.3%</w:t>
            </w:r>
          </w:p>
        </w:tc>
        <w:tc>
          <w:tcPr>
            <w:tcW w:w="937" w:type="dxa"/>
          </w:tcPr>
          <w:p w14:paraId="77FFF6EA" w14:textId="77777777" w:rsidR="009B36F3" w:rsidRPr="00863AFE" w:rsidRDefault="009B36F3" w:rsidP="009B36F3">
            <w:pPr>
              <w:widowControl/>
              <w:autoSpaceDE/>
              <w:autoSpaceDN/>
              <w:jc w:val="center"/>
              <w:rPr>
                <w:rFonts w:asciiTheme="minorHAnsi" w:hAnsiTheme="minorHAnsi"/>
                <w:sz w:val="20"/>
              </w:rPr>
            </w:pPr>
            <w:r w:rsidRPr="00863AFE">
              <w:rPr>
                <w:rFonts w:asciiTheme="minorHAnsi" w:hAnsiTheme="minorHAnsi"/>
                <w:sz w:val="20"/>
              </w:rPr>
              <w:t>7.7%</w:t>
            </w:r>
          </w:p>
        </w:tc>
        <w:tc>
          <w:tcPr>
            <w:tcW w:w="861" w:type="dxa"/>
          </w:tcPr>
          <w:p w14:paraId="31B060FA"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10.4%</w:t>
            </w:r>
          </w:p>
        </w:tc>
      </w:tr>
      <w:tr w:rsidR="009B36F3" w:rsidRPr="00863AFE" w14:paraId="5198E6C0" w14:textId="77777777" w:rsidTr="009B36F3">
        <w:trPr>
          <w:trHeight w:val="290"/>
        </w:trPr>
        <w:tc>
          <w:tcPr>
            <w:tcW w:w="1382" w:type="dxa"/>
            <w:vAlign w:val="center"/>
            <w:hideMark/>
          </w:tcPr>
          <w:p w14:paraId="4A8104EB" w14:textId="77777777" w:rsidR="009B36F3" w:rsidRPr="00863AFE" w:rsidRDefault="009B36F3" w:rsidP="009B36F3">
            <w:pPr>
              <w:widowControl/>
              <w:autoSpaceDE/>
              <w:autoSpaceDN/>
              <w:rPr>
                <w:rFonts w:asciiTheme="minorHAnsi" w:eastAsia="Times New Roman" w:hAnsiTheme="minorHAnsi"/>
                <w:color w:val="000000"/>
                <w:sz w:val="20"/>
              </w:rPr>
            </w:pPr>
            <w:r w:rsidRPr="00863AFE">
              <w:rPr>
                <w:rFonts w:asciiTheme="minorHAnsi" w:eastAsia="Times New Roman" w:hAnsiTheme="minorHAnsi"/>
                <w:color w:val="000000"/>
                <w:sz w:val="20"/>
              </w:rPr>
              <w:t>Boxborough</w:t>
            </w:r>
          </w:p>
        </w:tc>
        <w:tc>
          <w:tcPr>
            <w:tcW w:w="1086" w:type="dxa"/>
          </w:tcPr>
          <w:p w14:paraId="52A67B05" w14:textId="41C19553" w:rsidR="009B36F3" w:rsidRPr="009B36F3" w:rsidRDefault="009B36F3" w:rsidP="009B36F3">
            <w:pPr>
              <w:widowControl/>
              <w:autoSpaceDE/>
              <w:autoSpaceDN/>
              <w:jc w:val="center"/>
              <w:rPr>
                <w:rFonts w:asciiTheme="minorHAnsi" w:eastAsia="Times New Roman" w:hAnsiTheme="minorHAnsi"/>
                <w:color w:val="000000"/>
                <w:sz w:val="20"/>
              </w:rPr>
            </w:pPr>
            <w:r w:rsidRPr="009B36F3">
              <w:rPr>
                <w:sz w:val="20"/>
              </w:rPr>
              <w:t>2.3%</w:t>
            </w:r>
          </w:p>
        </w:tc>
        <w:tc>
          <w:tcPr>
            <w:tcW w:w="1150" w:type="dxa"/>
          </w:tcPr>
          <w:p w14:paraId="57CA4BE0" w14:textId="77777777" w:rsidR="009B36F3" w:rsidRPr="00863AFE" w:rsidRDefault="009B36F3" w:rsidP="009B36F3">
            <w:pPr>
              <w:widowControl/>
              <w:autoSpaceDE/>
              <w:autoSpaceDN/>
              <w:jc w:val="center"/>
              <w:rPr>
                <w:rFonts w:asciiTheme="minorHAnsi" w:eastAsia="Times New Roman" w:hAnsiTheme="minorHAnsi"/>
                <w:color w:val="000000"/>
                <w:sz w:val="20"/>
              </w:rPr>
            </w:pPr>
            <w:r>
              <w:rPr>
                <w:rFonts w:asciiTheme="minorHAnsi" w:eastAsia="Times New Roman" w:hAnsiTheme="minorHAnsi"/>
                <w:color w:val="000000"/>
                <w:sz w:val="20"/>
              </w:rPr>
              <w:t>Middlesex</w:t>
            </w:r>
          </w:p>
        </w:tc>
        <w:tc>
          <w:tcPr>
            <w:tcW w:w="1259" w:type="dxa"/>
          </w:tcPr>
          <w:p w14:paraId="06CDC125"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$151,000</w:t>
            </w:r>
          </w:p>
        </w:tc>
        <w:tc>
          <w:tcPr>
            <w:tcW w:w="1109" w:type="dxa"/>
          </w:tcPr>
          <w:p w14:paraId="1E776A15" w14:textId="77777777" w:rsidR="009B36F3" w:rsidRPr="00863AFE" w:rsidRDefault="009B36F3" w:rsidP="009B36F3">
            <w:pPr>
              <w:widowControl/>
              <w:autoSpaceDE/>
              <w:autoSpaceDN/>
              <w:jc w:val="center"/>
              <w:rPr>
                <w:rFonts w:asciiTheme="minorHAnsi" w:hAnsiTheme="minorHAnsi"/>
                <w:sz w:val="20"/>
              </w:rPr>
            </w:pPr>
            <w:r w:rsidRPr="00273EB0">
              <w:rPr>
                <w:rFonts w:asciiTheme="minorHAnsi" w:hAnsiTheme="minorHAnsi"/>
                <w:sz w:val="20"/>
              </w:rPr>
              <w:t>$123,705</w:t>
            </w:r>
          </w:p>
        </w:tc>
        <w:tc>
          <w:tcPr>
            <w:tcW w:w="1109" w:type="dxa"/>
          </w:tcPr>
          <w:p w14:paraId="662D5F99"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$99,858</w:t>
            </w:r>
          </w:p>
        </w:tc>
        <w:tc>
          <w:tcPr>
            <w:tcW w:w="917" w:type="dxa"/>
          </w:tcPr>
          <w:p w14:paraId="75B964B8"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3.6%</w:t>
            </w:r>
          </w:p>
        </w:tc>
        <w:tc>
          <w:tcPr>
            <w:tcW w:w="937" w:type="dxa"/>
          </w:tcPr>
          <w:p w14:paraId="6459D583" w14:textId="77777777" w:rsidR="009B36F3" w:rsidRPr="00863AFE" w:rsidRDefault="009B36F3" w:rsidP="009B36F3">
            <w:pPr>
              <w:widowControl/>
              <w:autoSpaceDE/>
              <w:autoSpaceDN/>
              <w:jc w:val="center"/>
              <w:rPr>
                <w:rFonts w:asciiTheme="minorHAnsi" w:hAnsiTheme="minorHAnsi"/>
                <w:sz w:val="20"/>
              </w:rPr>
            </w:pPr>
            <w:r w:rsidRPr="00863AFE">
              <w:rPr>
                <w:rFonts w:asciiTheme="minorHAnsi" w:hAnsiTheme="minorHAnsi"/>
                <w:sz w:val="20"/>
              </w:rPr>
              <w:t>7.7%</w:t>
            </w:r>
          </w:p>
        </w:tc>
        <w:tc>
          <w:tcPr>
            <w:tcW w:w="861" w:type="dxa"/>
          </w:tcPr>
          <w:p w14:paraId="6560E75E"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10.4%</w:t>
            </w:r>
          </w:p>
        </w:tc>
      </w:tr>
      <w:tr w:rsidR="009B36F3" w:rsidRPr="00863AFE" w14:paraId="561D7CD6" w14:textId="77777777" w:rsidTr="009B36F3">
        <w:trPr>
          <w:trHeight w:val="290"/>
        </w:trPr>
        <w:tc>
          <w:tcPr>
            <w:tcW w:w="1382" w:type="dxa"/>
            <w:vAlign w:val="center"/>
            <w:hideMark/>
          </w:tcPr>
          <w:p w14:paraId="71D93946" w14:textId="77777777" w:rsidR="009B36F3" w:rsidRPr="00863AFE" w:rsidRDefault="009B36F3" w:rsidP="009B36F3">
            <w:pPr>
              <w:widowControl/>
              <w:autoSpaceDE/>
              <w:autoSpaceDN/>
              <w:rPr>
                <w:rFonts w:asciiTheme="minorHAnsi" w:eastAsia="Times New Roman" w:hAnsiTheme="minorHAnsi"/>
                <w:color w:val="000000"/>
                <w:sz w:val="20"/>
              </w:rPr>
            </w:pPr>
            <w:r w:rsidRPr="00863AFE">
              <w:rPr>
                <w:rFonts w:asciiTheme="minorHAnsi" w:eastAsia="Times New Roman" w:hAnsiTheme="minorHAnsi"/>
                <w:color w:val="000000"/>
                <w:sz w:val="20"/>
              </w:rPr>
              <w:t>Harvard</w:t>
            </w:r>
          </w:p>
        </w:tc>
        <w:tc>
          <w:tcPr>
            <w:tcW w:w="1086" w:type="dxa"/>
          </w:tcPr>
          <w:p w14:paraId="3577375A" w14:textId="3A8A709D" w:rsidR="009B36F3" w:rsidRPr="009B36F3" w:rsidRDefault="009B36F3" w:rsidP="009B36F3">
            <w:pPr>
              <w:widowControl/>
              <w:autoSpaceDE/>
              <w:autoSpaceDN/>
              <w:jc w:val="center"/>
              <w:rPr>
                <w:rFonts w:asciiTheme="minorHAnsi" w:eastAsia="Times New Roman" w:hAnsiTheme="minorHAnsi"/>
                <w:color w:val="000000"/>
                <w:sz w:val="20"/>
              </w:rPr>
            </w:pPr>
            <w:r w:rsidRPr="009B36F3">
              <w:rPr>
                <w:sz w:val="20"/>
              </w:rPr>
              <w:t>2.0%</w:t>
            </w:r>
          </w:p>
        </w:tc>
        <w:tc>
          <w:tcPr>
            <w:tcW w:w="1150" w:type="dxa"/>
          </w:tcPr>
          <w:p w14:paraId="39935A87" w14:textId="77777777" w:rsidR="009B36F3" w:rsidRPr="00863AFE" w:rsidRDefault="009B36F3" w:rsidP="009B36F3">
            <w:pPr>
              <w:widowControl/>
              <w:autoSpaceDE/>
              <w:autoSpaceDN/>
              <w:jc w:val="center"/>
              <w:rPr>
                <w:rFonts w:asciiTheme="minorHAnsi" w:eastAsia="Times New Roman" w:hAnsiTheme="minorHAnsi"/>
                <w:color w:val="000000"/>
                <w:sz w:val="20"/>
              </w:rPr>
            </w:pPr>
            <w:r>
              <w:rPr>
                <w:rFonts w:asciiTheme="minorHAnsi" w:eastAsia="Times New Roman" w:hAnsiTheme="minorHAnsi"/>
                <w:color w:val="000000"/>
                <w:sz w:val="20"/>
              </w:rPr>
              <w:t>Worcester</w:t>
            </w:r>
          </w:p>
        </w:tc>
        <w:tc>
          <w:tcPr>
            <w:tcW w:w="1259" w:type="dxa"/>
          </w:tcPr>
          <w:p w14:paraId="6504B6EC"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200,688</w:t>
            </w:r>
          </w:p>
        </w:tc>
        <w:tc>
          <w:tcPr>
            <w:tcW w:w="1109" w:type="dxa"/>
          </w:tcPr>
          <w:p w14:paraId="00EA5953" w14:textId="77777777" w:rsidR="009B36F3" w:rsidRPr="00863AFE" w:rsidRDefault="009B36F3" w:rsidP="009B36F3">
            <w:pPr>
              <w:widowControl/>
              <w:autoSpaceDE/>
              <w:autoSpaceDN/>
              <w:jc w:val="center"/>
              <w:rPr>
                <w:rFonts w:asciiTheme="minorHAnsi" w:hAnsiTheme="minorHAnsi"/>
                <w:sz w:val="20"/>
              </w:rPr>
            </w:pPr>
            <w:r>
              <w:rPr>
                <w:rFonts w:asciiTheme="minorHAnsi" w:hAnsiTheme="minorHAnsi"/>
                <w:sz w:val="20"/>
              </w:rPr>
              <w:t>$94,099</w:t>
            </w:r>
          </w:p>
        </w:tc>
        <w:tc>
          <w:tcPr>
            <w:tcW w:w="1109" w:type="dxa"/>
          </w:tcPr>
          <w:p w14:paraId="3971739C"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9C1969">
              <w:rPr>
                <w:rFonts w:asciiTheme="minorHAnsi" w:hAnsiTheme="minorHAnsi"/>
                <w:sz w:val="20"/>
              </w:rPr>
              <w:t>$99,858</w:t>
            </w:r>
          </w:p>
        </w:tc>
        <w:tc>
          <w:tcPr>
            <w:tcW w:w="917" w:type="dxa"/>
          </w:tcPr>
          <w:p w14:paraId="506CF2D3"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4.4%</w:t>
            </w:r>
          </w:p>
        </w:tc>
        <w:tc>
          <w:tcPr>
            <w:tcW w:w="937" w:type="dxa"/>
          </w:tcPr>
          <w:p w14:paraId="7EAC7512" w14:textId="77777777" w:rsidR="009B36F3" w:rsidRPr="00863AFE" w:rsidRDefault="009B36F3" w:rsidP="009B36F3">
            <w:pPr>
              <w:widowControl/>
              <w:autoSpaceDE/>
              <w:autoSpaceDN/>
              <w:jc w:val="center"/>
              <w:rPr>
                <w:rFonts w:asciiTheme="minorHAnsi" w:hAnsiTheme="minorHAnsi"/>
                <w:sz w:val="20"/>
              </w:rPr>
            </w:pPr>
            <w:r w:rsidRPr="00863AFE">
              <w:rPr>
                <w:rFonts w:asciiTheme="minorHAnsi" w:hAnsiTheme="minorHAnsi"/>
                <w:sz w:val="20"/>
              </w:rPr>
              <w:t>11.0%</w:t>
            </w:r>
          </w:p>
        </w:tc>
        <w:tc>
          <w:tcPr>
            <w:tcW w:w="861" w:type="dxa"/>
          </w:tcPr>
          <w:p w14:paraId="39142D60"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10.4%</w:t>
            </w:r>
          </w:p>
        </w:tc>
      </w:tr>
      <w:tr w:rsidR="009B36F3" w:rsidRPr="00863AFE" w14:paraId="3034A898" w14:textId="77777777" w:rsidTr="009B36F3">
        <w:trPr>
          <w:trHeight w:val="290"/>
        </w:trPr>
        <w:tc>
          <w:tcPr>
            <w:tcW w:w="1382" w:type="dxa"/>
            <w:vAlign w:val="center"/>
            <w:hideMark/>
          </w:tcPr>
          <w:p w14:paraId="444B0A17" w14:textId="77777777" w:rsidR="009B36F3" w:rsidRPr="00863AFE" w:rsidRDefault="009B36F3" w:rsidP="009B36F3">
            <w:pPr>
              <w:widowControl/>
              <w:autoSpaceDE/>
              <w:autoSpaceDN/>
              <w:rPr>
                <w:rFonts w:asciiTheme="minorHAnsi" w:eastAsia="Times New Roman" w:hAnsiTheme="minorHAnsi"/>
                <w:color w:val="000000"/>
                <w:sz w:val="20"/>
              </w:rPr>
            </w:pPr>
            <w:r w:rsidRPr="00863AFE">
              <w:rPr>
                <w:rFonts w:asciiTheme="minorHAnsi" w:eastAsia="Times New Roman" w:hAnsiTheme="minorHAnsi"/>
                <w:color w:val="000000"/>
                <w:sz w:val="20"/>
              </w:rPr>
              <w:t>Leominster</w:t>
            </w:r>
          </w:p>
        </w:tc>
        <w:tc>
          <w:tcPr>
            <w:tcW w:w="1086" w:type="dxa"/>
          </w:tcPr>
          <w:p w14:paraId="0DCEE0DC" w14:textId="6C0EFA3E" w:rsidR="009B36F3" w:rsidRPr="009B36F3" w:rsidRDefault="009B36F3" w:rsidP="009B36F3">
            <w:pPr>
              <w:widowControl/>
              <w:autoSpaceDE/>
              <w:autoSpaceDN/>
              <w:jc w:val="center"/>
              <w:rPr>
                <w:rFonts w:asciiTheme="minorHAnsi" w:eastAsia="Times New Roman" w:hAnsiTheme="minorHAnsi"/>
                <w:color w:val="000000"/>
                <w:sz w:val="20"/>
              </w:rPr>
            </w:pPr>
            <w:r w:rsidRPr="009B36F3">
              <w:rPr>
                <w:sz w:val="20"/>
              </w:rPr>
              <w:t>1.9%</w:t>
            </w:r>
          </w:p>
        </w:tc>
        <w:tc>
          <w:tcPr>
            <w:tcW w:w="1150" w:type="dxa"/>
          </w:tcPr>
          <w:p w14:paraId="54951CDB" w14:textId="77777777" w:rsidR="009B36F3" w:rsidRPr="00863AFE" w:rsidRDefault="009B36F3" w:rsidP="009B36F3">
            <w:pPr>
              <w:widowControl/>
              <w:autoSpaceDE/>
              <w:autoSpaceDN/>
              <w:jc w:val="center"/>
              <w:rPr>
                <w:rFonts w:asciiTheme="minorHAnsi" w:eastAsia="Times New Roman" w:hAnsiTheme="minorHAnsi"/>
                <w:color w:val="000000"/>
                <w:sz w:val="20"/>
              </w:rPr>
            </w:pPr>
            <w:r>
              <w:rPr>
                <w:rFonts w:asciiTheme="minorHAnsi" w:eastAsia="Times New Roman" w:hAnsiTheme="minorHAnsi"/>
                <w:color w:val="000000"/>
                <w:sz w:val="20"/>
              </w:rPr>
              <w:t>Worcester</w:t>
            </w:r>
          </w:p>
        </w:tc>
        <w:tc>
          <w:tcPr>
            <w:tcW w:w="1259" w:type="dxa"/>
          </w:tcPr>
          <w:p w14:paraId="7780DB97"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$81,566</w:t>
            </w:r>
          </w:p>
        </w:tc>
        <w:tc>
          <w:tcPr>
            <w:tcW w:w="1109" w:type="dxa"/>
          </w:tcPr>
          <w:p w14:paraId="25752E7C" w14:textId="77777777" w:rsidR="009B36F3" w:rsidRPr="00863AFE" w:rsidRDefault="009B36F3" w:rsidP="009B36F3">
            <w:pPr>
              <w:widowControl/>
              <w:autoSpaceDE/>
              <w:autoSpaceDN/>
              <w:jc w:val="center"/>
              <w:rPr>
                <w:rFonts w:asciiTheme="minorHAnsi" w:hAnsiTheme="minorHAnsi"/>
                <w:sz w:val="20"/>
              </w:rPr>
            </w:pPr>
            <w:r w:rsidRPr="00B35F78">
              <w:rPr>
                <w:rFonts w:asciiTheme="minorHAnsi" w:hAnsiTheme="minorHAnsi"/>
                <w:sz w:val="20"/>
              </w:rPr>
              <w:t>$94,099</w:t>
            </w:r>
          </w:p>
        </w:tc>
        <w:tc>
          <w:tcPr>
            <w:tcW w:w="1109" w:type="dxa"/>
          </w:tcPr>
          <w:p w14:paraId="1B8523FD"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9C1969">
              <w:rPr>
                <w:rFonts w:asciiTheme="minorHAnsi" w:hAnsiTheme="minorHAnsi"/>
                <w:sz w:val="20"/>
              </w:rPr>
              <w:t>$99,858</w:t>
            </w:r>
          </w:p>
        </w:tc>
        <w:tc>
          <w:tcPr>
            <w:tcW w:w="917" w:type="dxa"/>
          </w:tcPr>
          <w:p w14:paraId="5DC26BB0"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10.1%</w:t>
            </w:r>
          </w:p>
        </w:tc>
        <w:tc>
          <w:tcPr>
            <w:tcW w:w="937" w:type="dxa"/>
            <w:shd w:val="clear" w:color="auto" w:fill="FFFFFF" w:themeFill="background1"/>
          </w:tcPr>
          <w:p w14:paraId="06AA236C" w14:textId="77777777" w:rsidR="009B36F3" w:rsidRPr="00863AFE" w:rsidRDefault="009B36F3" w:rsidP="009B36F3">
            <w:pPr>
              <w:widowControl/>
              <w:autoSpaceDE/>
              <w:autoSpaceDN/>
              <w:jc w:val="center"/>
              <w:rPr>
                <w:rFonts w:asciiTheme="minorHAnsi" w:hAnsiTheme="minorHAnsi"/>
                <w:sz w:val="20"/>
              </w:rPr>
            </w:pPr>
            <w:r w:rsidRPr="00B35F78">
              <w:rPr>
                <w:rFonts w:asciiTheme="minorHAnsi" w:hAnsiTheme="minorHAnsi"/>
                <w:sz w:val="20"/>
              </w:rPr>
              <w:t>11.0%</w:t>
            </w:r>
          </w:p>
        </w:tc>
        <w:tc>
          <w:tcPr>
            <w:tcW w:w="861" w:type="dxa"/>
          </w:tcPr>
          <w:p w14:paraId="481D899A"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10.4%</w:t>
            </w:r>
          </w:p>
        </w:tc>
      </w:tr>
      <w:tr w:rsidR="009B36F3" w:rsidRPr="00863AFE" w14:paraId="7615CE5D" w14:textId="77777777" w:rsidTr="009B36F3">
        <w:trPr>
          <w:trHeight w:val="290"/>
        </w:trPr>
        <w:tc>
          <w:tcPr>
            <w:tcW w:w="1382" w:type="dxa"/>
            <w:vAlign w:val="center"/>
            <w:hideMark/>
          </w:tcPr>
          <w:p w14:paraId="6F34AC47" w14:textId="77777777" w:rsidR="009B36F3" w:rsidRPr="00863AFE" w:rsidRDefault="009B36F3" w:rsidP="009B36F3">
            <w:pPr>
              <w:widowControl/>
              <w:autoSpaceDE/>
              <w:autoSpaceDN/>
              <w:rPr>
                <w:rFonts w:asciiTheme="minorHAnsi" w:eastAsia="Times New Roman" w:hAnsiTheme="minorHAnsi"/>
                <w:color w:val="000000"/>
                <w:sz w:val="20"/>
              </w:rPr>
            </w:pPr>
            <w:r w:rsidRPr="00863AFE">
              <w:rPr>
                <w:rFonts w:asciiTheme="minorHAnsi" w:eastAsia="Times New Roman" w:hAnsiTheme="minorHAnsi"/>
                <w:color w:val="000000"/>
                <w:sz w:val="20"/>
              </w:rPr>
              <w:t>Ayer</w:t>
            </w:r>
          </w:p>
        </w:tc>
        <w:tc>
          <w:tcPr>
            <w:tcW w:w="1086" w:type="dxa"/>
          </w:tcPr>
          <w:p w14:paraId="52C2108F" w14:textId="15A31A1B" w:rsidR="009B36F3" w:rsidRPr="009B36F3" w:rsidRDefault="009B36F3" w:rsidP="009B36F3">
            <w:pPr>
              <w:widowControl/>
              <w:autoSpaceDE/>
              <w:autoSpaceDN/>
              <w:jc w:val="center"/>
              <w:rPr>
                <w:rFonts w:asciiTheme="minorHAnsi" w:eastAsia="Times New Roman" w:hAnsiTheme="minorHAnsi"/>
                <w:color w:val="000000"/>
                <w:sz w:val="20"/>
              </w:rPr>
            </w:pPr>
            <w:r w:rsidRPr="009B36F3">
              <w:rPr>
                <w:sz w:val="20"/>
              </w:rPr>
              <w:t>1.9%</w:t>
            </w:r>
          </w:p>
        </w:tc>
        <w:tc>
          <w:tcPr>
            <w:tcW w:w="1150" w:type="dxa"/>
          </w:tcPr>
          <w:p w14:paraId="7A022605" w14:textId="77777777" w:rsidR="009B36F3" w:rsidRPr="00863AFE" w:rsidRDefault="009B36F3" w:rsidP="009B36F3">
            <w:pPr>
              <w:widowControl/>
              <w:autoSpaceDE/>
              <w:autoSpaceDN/>
              <w:jc w:val="center"/>
              <w:rPr>
                <w:rFonts w:asciiTheme="minorHAnsi" w:eastAsia="Times New Roman" w:hAnsiTheme="minorHAnsi"/>
                <w:color w:val="000000"/>
                <w:sz w:val="20"/>
              </w:rPr>
            </w:pPr>
            <w:r>
              <w:rPr>
                <w:rFonts w:asciiTheme="minorHAnsi" w:eastAsia="Times New Roman" w:hAnsiTheme="minorHAnsi"/>
                <w:color w:val="000000"/>
                <w:sz w:val="20"/>
              </w:rPr>
              <w:t>Middlesex</w:t>
            </w:r>
          </w:p>
        </w:tc>
        <w:tc>
          <w:tcPr>
            <w:tcW w:w="1259" w:type="dxa"/>
          </w:tcPr>
          <w:p w14:paraId="3F79997C"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$81,286</w:t>
            </w:r>
          </w:p>
        </w:tc>
        <w:tc>
          <w:tcPr>
            <w:tcW w:w="1109" w:type="dxa"/>
          </w:tcPr>
          <w:p w14:paraId="3701F3B4" w14:textId="77777777" w:rsidR="009B36F3" w:rsidRPr="00863AFE" w:rsidRDefault="009B36F3" w:rsidP="009B36F3">
            <w:pPr>
              <w:widowControl/>
              <w:autoSpaceDE/>
              <w:autoSpaceDN/>
              <w:jc w:val="center"/>
              <w:rPr>
                <w:rFonts w:asciiTheme="minorHAnsi" w:hAnsiTheme="minorHAnsi"/>
                <w:sz w:val="20"/>
              </w:rPr>
            </w:pPr>
            <w:r w:rsidRPr="00BB1E56">
              <w:rPr>
                <w:rFonts w:asciiTheme="minorHAnsi" w:hAnsiTheme="minorHAnsi"/>
                <w:sz w:val="20"/>
              </w:rPr>
              <w:t>$123,705</w:t>
            </w:r>
          </w:p>
        </w:tc>
        <w:tc>
          <w:tcPr>
            <w:tcW w:w="1109" w:type="dxa"/>
          </w:tcPr>
          <w:p w14:paraId="60EF0912"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$99,858</w:t>
            </w:r>
          </w:p>
        </w:tc>
        <w:tc>
          <w:tcPr>
            <w:tcW w:w="917" w:type="dxa"/>
          </w:tcPr>
          <w:p w14:paraId="4D3BD8B8"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9.0%</w:t>
            </w:r>
          </w:p>
        </w:tc>
        <w:tc>
          <w:tcPr>
            <w:tcW w:w="937" w:type="dxa"/>
            <w:shd w:val="clear" w:color="auto" w:fill="FFFFFF" w:themeFill="background1"/>
          </w:tcPr>
          <w:p w14:paraId="0BF5FB3D" w14:textId="77777777" w:rsidR="009B36F3" w:rsidRPr="00863AFE" w:rsidRDefault="009B36F3" w:rsidP="009B36F3">
            <w:pPr>
              <w:widowControl/>
              <w:autoSpaceDE/>
              <w:autoSpaceDN/>
              <w:jc w:val="center"/>
              <w:rPr>
                <w:rFonts w:asciiTheme="minorHAnsi" w:hAnsiTheme="minorHAnsi"/>
                <w:sz w:val="20"/>
              </w:rPr>
            </w:pPr>
            <w:r>
              <w:rPr>
                <w:rFonts w:asciiTheme="minorHAnsi" w:hAnsiTheme="minorHAnsi"/>
                <w:sz w:val="20"/>
              </w:rPr>
              <w:t>7.7%</w:t>
            </w:r>
          </w:p>
        </w:tc>
        <w:tc>
          <w:tcPr>
            <w:tcW w:w="861" w:type="dxa"/>
          </w:tcPr>
          <w:p w14:paraId="76B41851"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10.4%</w:t>
            </w:r>
          </w:p>
        </w:tc>
      </w:tr>
      <w:tr w:rsidR="009B36F3" w:rsidRPr="00863AFE" w14:paraId="4569A7D8" w14:textId="77777777" w:rsidTr="009B36F3">
        <w:trPr>
          <w:trHeight w:val="290"/>
        </w:trPr>
        <w:tc>
          <w:tcPr>
            <w:tcW w:w="1382" w:type="dxa"/>
            <w:vAlign w:val="center"/>
            <w:hideMark/>
          </w:tcPr>
          <w:p w14:paraId="3D9AB833" w14:textId="77777777" w:rsidR="009B36F3" w:rsidRPr="00863AFE" w:rsidRDefault="009B36F3" w:rsidP="009B36F3">
            <w:pPr>
              <w:widowControl/>
              <w:autoSpaceDE/>
              <w:autoSpaceDN/>
              <w:rPr>
                <w:rFonts w:asciiTheme="minorHAnsi" w:eastAsia="Times New Roman" w:hAnsiTheme="minorHAnsi"/>
                <w:color w:val="000000"/>
                <w:sz w:val="20"/>
              </w:rPr>
            </w:pPr>
            <w:r w:rsidRPr="00863AFE">
              <w:rPr>
                <w:rFonts w:asciiTheme="minorHAnsi" w:eastAsia="Times New Roman" w:hAnsiTheme="minorHAnsi"/>
                <w:color w:val="000000"/>
                <w:sz w:val="20"/>
              </w:rPr>
              <w:t>Marlborough</w:t>
            </w:r>
          </w:p>
        </w:tc>
        <w:tc>
          <w:tcPr>
            <w:tcW w:w="1086" w:type="dxa"/>
          </w:tcPr>
          <w:p w14:paraId="73996473" w14:textId="2D2D41C5" w:rsidR="009B36F3" w:rsidRPr="009B36F3" w:rsidRDefault="009B36F3" w:rsidP="009B36F3">
            <w:pPr>
              <w:widowControl/>
              <w:autoSpaceDE/>
              <w:autoSpaceDN/>
              <w:jc w:val="center"/>
              <w:rPr>
                <w:rFonts w:asciiTheme="minorHAnsi" w:eastAsia="Times New Roman" w:hAnsiTheme="minorHAnsi"/>
                <w:color w:val="000000"/>
                <w:sz w:val="20"/>
              </w:rPr>
            </w:pPr>
            <w:r w:rsidRPr="009B36F3">
              <w:rPr>
                <w:sz w:val="20"/>
              </w:rPr>
              <w:t>1.5%</w:t>
            </w:r>
          </w:p>
        </w:tc>
        <w:tc>
          <w:tcPr>
            <w:tcW w:w="1150" w:type="dxa"/>
          </w:tcPr>
          <w:p w14:paraId="5EAF8D81" w14:textId="77777777" w:rsidR="009B36F3" w:rsidRPr="00863AFE" w:rsidRDefault="009B36F3" w:rsidP="009B36F3">
            <w:pPr>
              <w:widowControl/>
              <w:autoSpaceDE/>
              <w:autoSpaceDN/>
              <w:jc w:val="center"/>
              <w:rPr>
                <w:rFonts w:asciiTheme="minorHAnsi" w:eastAsia="Times New Roman" w:hAnsiTheme="minorHAnsi"/>
                <w:color w:val="000000"/>
                <w:sz w:val="20"/>
              </w:rPr>
            </w:pPr>
            <w:r>
              <w:rPr>
                <w:rFonts w:asciiTheme="minorHAnsi" w:eastAsia="Times New Roman" w:hAnsiTheme="minorHAnsi"/>
                <w:color w:val="000000"/>
                <w:sz w:val="20"/>
              </w:rPr>
              <w:t>Middlesex</w:t>
            </w:r>
          </w:p>
        </w:tc>
        <w:tc>
          <w:tcPr>
            <w:tcW w:w="1259" w:type="dxa"/>
          </w:tcPr>
          <w:p w14:paraId="0FD48647"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$95,047</w:t>
            </w:r>
          </w:p>
        </w:tc>
        <w:tc>
          <w:tcPr>
            <w:tcW w:w="1109" w:type="dxa"/>
          </w:tcPr>
          <w:p w14:paraId="6730014C" w14:textId="77777777" w:rsidR="009B36F3" w:rsidRPr="00863AFE" w:rsidRDefault="009B36F3" w:rsidP="009B36F3">
            <w:pPr>
              <w:widowControl/>
              <w:autoSpaceDE/>
              <w:autoSpaceDN/>
              <w:jc w:val="center"/>
              <w:rPr>
                <w:rFonts w:asciiTheme="minorHAnsi" w:hAnsiTheme="minorHAnsi"/>
                <w:sz w:val="20"/>
              </w:rPr>
            </w:pPr>
            <w:r w:rsidRPr="00573D78">
              <w:rPr>
                <w:rFonts w:asciiTheme="minorHAnsi" w:hAnsiTheme="minorHAnsi"/>
                <w:sz w:val="20"/>
              </w:rPr>
              <w:t>$123,705</w:t>
            </w:r>
          </w:p>
        </w:tc>
        <w:tc>
          <w:tcPr>
            <w:tcW w:w="1109" w:type="dxa"/>
          </w:tcPr>
          <w:p w14:paraId="37AEA098"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$99,858</w:t>
            </w:r>
          </w:p>
        </w:tc>
        <w:tc>
          <w:tcPr>
            <w:tcW w:w="917" w:type="dxa"/>
          </w:tcPr>
          <w:p w14:paraId="4153B4D8"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9.2%</w:t>
            </w:r>
          </w:p>
        </w:tc>
        <w:tc>
          <w:tcPr>
            <w:tcW w:w="937" w:type="dxa"/>
            <w:shd w:val="clear" w:color="auto" w:fill="FFFFFF" w:themeFill="background1"/>
          </w:tcPr>
          <w:p w14:paraId="434DA334" w14:textId="77777777" w:rsidR="009B36F3" w:rsidRPr="00863AFE" w:rsidRDefault="009B36F3" w:rsidP="009B36F3">
            <w:pPr>
              <w:widowControl/>
              <w:autoSpaceDE/>
              <w:autoSpaceDN/>
              <w:jc w:val="center"/>
              <w:rPr>
                <w:rFonts w:asciiTheme="minorHAnsi" w:hAnsiTheme="minorHAnsi"/>
                <w:sz w:val="20"/>
              </w:rPr>
            </w:pPr>
            <w:r w:rsidRPr="00573D78">
              <w:rPr>
                <w:rFonts w:asciiTheme="minorHAnsi" w:hAnsiTheme="minorHAnsi"/>
                <w:sz w:val="20"/>
              </w:rPr>
              <w:t>7.7%</w:t>
            </w:r>
          </w:p>
        </w:tc>
        <w:tc>
          <w:tcPr>
            <w:tcW w:w="861" w:type="dxa"/>
          </w:tcPr>
          <w:p w14:paraId="147AC87A"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10.4%</w:t>
            </w:r>
          </w:p>
        </w:tc>
      </w:tr>
      <w:tr w:rsidR="009B36F3" w:rsidRPr="00863AFE" w14:paraId="159A415D" w14:textId="77777777" w:rsidTr="009B36F3">
        <w:trPr>
          <w:trHeight w:val="290"/>
        </w:trPr>
        <w:tc>
          <w:tcPr>
            <w:tcW w:w="1382" w:type="dxa"/>
            <w:vAlign w:val="center"/>
            <w:hideMark/>
          </w:tcPr>
          <w:p w14:paraId="0158D3CD" w14:textId="77777777" w:rsidR="009B36F3" w:rsidRPr="00863AFE" w:rsidRDefault="009B36F3" w:rsidP="009B36F3">
            <w:pPr>
              <w:widowControl/>
              <w:autoSpaceDE/>
              <w:autoSpaceDN/>
              <w:rPr>
                <w:rFonts w:asciiTheme="minorHAnsi" w:eastAsia="Times New Roman" w:hAnsiTheme="minorHAnsi"/>
                <w:color w:val="000000"/>
                <w:sz w:val="20"/>
              </w:rPr>
            </w:pPr>
            <w:r w:rsidRPr="00863AFE">
              <w:rPr>
                <w:rFonts w:asciiTheme="minorHAnsi" w:eastAsia="Times New Roman" w:hAnsiTheme="minorHAnsi"/>
                <w:color w:val="000000"/>
                <w:sz w:val="20"/>
              </w:rPr>
              <w:t>Lexington</w:t>
            </w:r>
          </w:p>
        </w:tc>
        <w:tc>
          <w:tcPr>
            <w:tcW w:w="1086" w:type="dxa"/>
          </w:tcPr>
          <w:p w14:paraId="47C21A24" w14:textId="3C40F2BD" w:rsidR="009B36F3" w:rsidRPr="009B36F3" w:rsidRDefault="009B36F3" w:rsidP="009B36F3">
            <w:pPr>
              <w:widowControl/>
              <w:autoSpaceDE/>
              <w:autoSpaceDN/>
              <w:jc w:val="center"/>
              <w:rPr>
                <w:rFonts w:asciiTheme="minorHAnsi" w:eastAsia="Times New Roman" w:hAnsiTheme="minorHAnsi"/>
                <w:color w:val="000000"/>
                <w:sz w:val="20"/>
              </w:rPr>
            </w:pPr>
            <w:r w:rsidRPr="009B36F3">
              <w:rPr>
                <w:sz w:val="20"/>
              </w:rPr>
              <w:t>1.8%</w:t>
            </w:r>
          </w:p>
        </w:tc>
        <w:tc>
          <w:tcPr>
            <w:tcW w:w="1150" w:type="dxa"/>
          </w:tcPr>
          <w:p w14:paraId="7C71B988"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167881">
              <w:rPr>
                <w:rFonts w:asciiTheme="minorHAnsi" w:eastAsia="Times New Roman" w:hAnsiTheme="minorHAnsi"/>
                <w:color w:val="000000"/>
                <w:sz w:val="20"/>
              </w:rPr>
              <w:t>Middlesex</w:t>
            </w:r>
          </w:p>
        </w:tc>
        <w:tc>
          <w:tcPr>
            <w:tcW w:w="1259" w:type="dxa"/>
          </w:tcPr>
          <w:p w14:paraId="31E795A3"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$219,402</w:t>
            </w:r>
          </w:p>
        </w:tc>
        <w:tc>
          <w:tcPr>
            <w:tcW w:w="1109" w:type="dxa"/>
          </w:tcPr>
          <w:p w14:paraId="1C64522D" w14:textId="77777777" w:rsidR="009B36F3" w:rsidRPr="00863AFE" w:rsidRDefault="009B36F3" w:rsidP="009B36F3">
            <w:pPr>
              <w:widowControl/>
              <w:autoSpaceDE/>
              <w:autoSpaceDN/>
              <w:jc w:val="center"/>
              <w:rPr>
                <w:rFonts w:asciiTheme="minorHAnsi" w:hAnsiTheme="minorHAnsi"/>
                <w:sz w:val="20"/>
              </w:rPr>
            </w:pPr>
            <w:r w:rsidRPr="00167881">
              <w:rPr>
                <w:rFonts w:asciiTheme="minorHAnsi" w:hAnsiTheme="minorHAnsi"/>
                <w:sz w:val="20"/>
              </w:rPr>
              <w:t>$123,705</w:t>
            </w:r>
          </w:p>
        </w:tc>
        <w:tc>
          <w:tcPr>
            <w:tcW w:w="1109" w:type="dxa"/>
          </w:tcPr>
          <w:p w14:paraId="4FB15885"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$99,858</w:t>
            </w:r>
          </w:p>
        </w:tc>
        <w:tc>
          <w:tcPr>
            <w:tcW w:w="917" w:type="dxa"/>
          </w:tcPr>
          <w:p w14:paraId="619DCDCA"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4.3%</w:t>
            </w:r>
          </w:p>
        </w:tc>
        <w:tc>
          <w:tcPr>
            <w:tcW w:w="937" w:type="dxa"/>
            <w:shd w:val="clear" w:color="auto" w:fill="FFFFFF" w:themeFill="background1"/>
          </w:tcPr>
          <w:p w14:paraId="7DECB8AA" w14:textId="77777777" w:rsidR="009B36F3" w:rsidRPr="00863AFE" w:rsidRDefault="009B36F3" w:rsidP="009B36F3">
            <w:pPr>
              <w:widowControl/>
              <w:autoSpaceDE/>
              <w:autoSpaceDN/>
              <w:jc w:val="center"/>
              <w:rPr>
                <w:rFonts w:asciiTheme="minorHAnsi" w:hAnsiTheme="minorHAnsi"/>
                <w:sz w:val="20"/>
              </w:rPr>
            </w:pPr>
            <w:r>
              <w:rPr>
                <w:rFonts w:asciiTheme="minorHAnsi" w:hAnsiTheme="minorHAnsi"/>
                <w:sz w:val="20"/>
              </w:rPr>
              <w:t>7.7%</w:t>
            </w:r>
          </w:p>
        </w:tc>
        <w:tc>
          <w:tcPr>
            <w:tcW w:w="861" w:type="dxa"/>
          </w:tcPr>
          <w:p w14:paraId="7D753C61"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10.4%</w:t>
            </w:r>
          </w:p>
        </w:tc>
      </w:tr>
      <w:tr w:rsidR="009B36F3" w:rsidRPr="00863AFE" w14:paraId="5AE0EF41" w14:textId="77777777" w:rsidTr="009B36F3">
        <w:trPr>
          <w:trHeight w:val="290"/>
        </w:trPr>
        <w:tc>
          <w:tcPr>
            <w:tcW w:w="1382" w:type="dxa"/>
            <w:vAlign w:val="center"/>
            <w:hideMark/>
          </w:tcPr>
          <w:p w14:paraId="59CA4475" w14:textId="77777777" w:rsidR="009B36F3" w:rsidRPr="00863AFE" w:rsidRDefault="009B36F3" w:rsidP="009B36F3">
            <w:pPr>
              <w:widowControl/>
              <w:autoSpaceDE/>
              <w:autoSpaceDN/>
              <w:rPr>
                <w:rFonts w:asciiTheme="minorHAnsi" w:eastAsia="Times New Roman" w:hAnsiTheme="minorHAnsi"/>
                <w:color w:val="000000"/>
                <w:sz w:val="20"/>
              </w:rPr>
            </w:pPr>
            <w:r w:rsidRPr="00863AFE">
              <w:rPr>
                <w:rFonts w:asciiTheme="minorHAnsi" w:eastAsia="Times New Roman" w:hAnsiTheme="minorHAnsi"/>
                <w:color w:val="000000"/>
                <w:sz w:val="20"/>
              </w:rPr>
              <w:lastRenderedPageBreak/>
              <w:t>Lunenburg</w:t>
            </w:r>
          </w:p>
        </w:tc>
        <w:tc>
          <w:tcPr>
            <w:tcW w:w="1086" w:type="dxa"/>
          </w:tcPr>
          <w:p w14:paraId="3FB114C5" w14:textId="22AD2423" w:rsidR="009B36F3" w:rsidRPr="009B36F3" w:rsidRDefault="009B36F3" w:rsidP="009B36F3">
            <w:pPr>
              <w:widowControl/>
              <w:autoSpaceDE/>
              <w:autoSpaceDN/>
              <w:jc w:val="center"/>
              <w:rPr>
                <w:rFonts w:asciiTheme="minorHAnsi" w:eastAsia="Times New Roman" w:hAnsiTheme="minorHAnsi"/>
                <w:color w:val="000000"/>
                <w:sz w:val="20"/>
              </w:rPr>
            </w:pPr>
            <w:r w:rsidRPr="009B36F3">
              <w:rPr>
                <w:sz w:val="20"/>
              </w:rPr>
              <w:t>1.4%</w:t>
            </w:r>
          </w:p>
        </w:tc>
        <w:tc>
          <w:tcPr>
            <w:tcW w:w="1150" w:type="dxa"/>
          </w:tcPr>
          <w:p w14:paraId="0776A25C" w14:textId="77777777" w:rsidR="009B36F3" w:rsidRPr="00863AFE" w:rsidRDefault="009B36F3" w:rsidP="009B36F3">
            <w:pPr>
              <w:widowControl/>
              <w:autoSpaceDE/>
              <w:autoSpaceDN/>
              <w:jc w:val="center"/>
              <w:rPr>
                <w:rFonts w:asciiTheme="minorHAnsi" w:eastAsia="Times New Roman" w:hAnsiTheme="minorHAnsi"/>
                <w:color w:val="000000"/>
                <w:sz w:val="20"/>
              </w:rPr>
            </w:pPr>
            <w:r>
              <w:rPr>
                <w:rFonts w:asciiTheme="minorHAnsi" w:eastAsia="Times New Roman" w:hAnsiTheme="minorHAnsi"/>
                <w:color w:val="000000"/>
                <w:sz w:val="20"/>
              </w:rPr>
              <w:t>Worcester</w:t>
            </w:r>
          </w:p>
        </w:tc>
        <w:tc>
          <w:tcPr>
            <w:tcW w:w="1259" w:type="dxa"/>
          </w:tcPr>
          <w:p w14:paraId="6D3F6043"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$112,422</w:t>
            </w:r>
          </w:p>
        </w:tc>
        <w:tc>
          <w:tcPr>
            <w:tcW w:w="1109" w:type="dxa"/>
          </w:tcPr>
          <w:p w14:paraId="335CD710" w14:textId="77777777" w:rsidR="009B36F3" w:rsidRPr="00863AFE" w:rsidRDefault="009B36F3" w:rsidP="009B36F3">
            <w:pPr>
              <w:widowControl/>
              <w:autoSpaceDE/>
              <w:autoSpaceDN/>
              <w:jc w:val="center"/>
              <w:rPr>
                <w:rFonts w:asciiTheme="minorHAnsi" w:hAnsiTheme="minorHAnsi"/>
                <w:sz w:val="20"/>
              </w:rPr>
            </w:pPr>
            <w:r w:rsidRPr="00285D07">
              <w:rPr>
                <w:rFonts w:asciiTheme="minorHAnsi" w:hAnsiTheme="minorHAnsi"/>
                <w:sz w:val="20"/>
              </w:rPr>
              <w:t>$94,099</w:t>
            </w:r>
          </w:p>
        </w:tc>
        <w:tc>
          <w:tcPr>
            <w:tcW w:w="1109" w:type="dxa"/>
          </w:tcPr>
          <w:p w14:paraId="0BB349DF"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9C1969">
              <w:rPr>
                <w:rFonts w:asciiTheme="minorHAnsi" w:hAnsiTheme="minorHAnsi"/>
                <w:sz w:val="20"/>
              </w:rPr>
              <w:t>$99,858</w:t>
            </w:r>
          </w:p>
        </w:tc>
        <w:tc>
          <w:tcPr>
            <w:tcW w:w="917" w:type="dxa"/>
          </w:tcPr>
          <w:p w14:paraId="7825A74E"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3.1%</w:t>
            </w:r>
          </w:p>
        </w:tc>
        <w:tc>
          <w:tcPr>
            <w:tcW w:w="937" w:type="dxa"/>
            <w:shd w:val="clear" w:color="auto" w:fill="FFFFFF" w:themeFill="background1"/>
          </w:tcPr>
          <w:p w14:paraId="57905D7C" w14:textId="77777777" w:rsidR="009B36F3" w:rsidRPr="00863AFE" w:rsidRDefault="009B36F3" w:rsidP="009B36F3">
            <w:pPr>
              <w:widowControl/>
              <w:autoSpaceDE/>
              <w:autoSpaceDN/>
              <w:jc w:val="center"/>
              <w:rPr>
                <w:rFonts w:asciiTheme="minorHAnsi" w:hAnsiTheme="minorHAnsi"/>
                <w:sz w:val="20"/>
              </w:rPr>
            </w:pPr>
            <w:r w:rsidRPr="00285D07">
              <w:rPr>
                <w:rFonts w:asciiTheme="minorHAnsi" w:hAnsiTheme="minorHAnsi"/>
                <w:sz w:val="20"/>
              </w:rPr>
              <w:t>11.0%</w:t>
            </w:r>
          </w:p>
        </w:tc>
        <w:tc>
          <w:tcPr>
            <w:tcW w:w="861" w:type="dxa"/>
          </w:tcPr>
          <w:p w14:paraId="585F4B84"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10.4%</w:t>
            </w:r>
          </w:p>
        </w:tc>
      </w:tr>
      <w:tr w:rsidR="009B36F3" w:rsidRPr="00863AFE" w14:paraId="325B54BB" w14:textId="77777777" w:rsidTr="009B36F3">
        <w:trPr>
          <w:trHeight w:val="290"/>
        </w:trPr>
        <w:tc>
          <w:tcPr>
            <w:tcW w:w="1382" w:type="dxa"/>
            <w:vAlign w:val="center"/>
            <w:hideMark/>
          </w:tcPr>
          <w:p w14:paraId="02476476" w14:textId="77777777" w:rsidR="009B36F3" w:rsidRPr="00863AFE" w:rsidRDefault="009B36F3" w:rsidP="009B36F3">
            <w:pPr>
              <w:widowControl/>
              <w:autoSpaceDE/>
              <w:autoSpaceDN/>
              <w:rPr>
                <w:rFonts w:asciiTheme="minorHAnsi" w:eastAsia="Times New Roman" w:hAnsiTheme="minorHAnsi"/>
                <w:color w:val="000000"/>
                <w:sz w:val="20"/>
              </w:rPr>
            </w:pPr>
            <w:r w:rsidRPr="00863AFE">
              <w:rPr>
                <w:rFonts w:asciiTheme="minorHAnsi" w:eastAsia="Times New Roman" w:hAnsiTheme="minorHAnsi"/>
                <w:color w:val="000000"/>
                <w:sz w:val="20"/>
              </w:rPr>
              <w:t>Pepperell</w:t>
            </w:r>
          </w:p>
        </w:tc>
        <w:tc>
          <w:tcPr>
            <w:tcW w:w="1086" w:type="dxa"/>
          </w:tcPr>
          <w:p w14:paraId="07E5C02A" w14:textId="675026A2" w:rsidR="009B36F3" w:rsidRPr="009B36F3" w:rsidRDefault="009B36F3" w:rsidP="009B36F3">
            <w:pPr>
              <w:widowControl/>
              <w:autoSpaceDE/>
              <w:autoSpaceDN/>
              <w:jc w:val="center"/>
              <w:rPr>
                <w:rFonts w:asciiTheme="minorHAnsi" w:eastAsia="Times New Roman" w:hAnsiTheme="minorHAnsi"/>
                <w:color w:val="000000"/>
                <w:sz w:val="20"/>
              </w:rPr>
            </w:pPr>
            <w:r w:rsidRPr="009B36F3">
              <w:rPr>
                <w:sz w:val="20"/>
              </w:rPr>
              <w:t>1.5%</w:t>
            </w:r>
          </w:p>
        </w:tc>
        <w:tc>
          <w:tcPr>
            <w:tcW w:w="1150" w:type="dxa"/>
          </w:tcPr>
          <w:p w14:paraId="1409AEB4" w14:textId="77777777" w:rsidR="009B36F3" w:rsidRPr="00863AFE" w:rsidRDefault="009B36F3" w:rsidP="009B36F3">
            <w:pPr>
              <w:widowControl/>
              <w:autoSpaceDE/>
              <w:autoSpaceDN/>
              <w:jc w:val="center"/>
              <w:rPr>
                <w:rFonts w:asciiTheme="minorHAnsi" w:eastAsia="Times New Roman" w:hAnsiTheme="minorHAnsi"/>
                <w:color w:val="000000"/>
                <w:sz w:val="20"/>
              </w:rPr>
            </w:pPr>
            <w:r>
              <w:rPr>
                <w:rFonts w:asciiTheme="minorHAnsi" w:eastAsia="Times New Roman" w:hAnsiTheme="minorHAnsi"/>
                <w:color w:val="000000"/>
                <w:sz w:val="20"/>
              </w:rPr>
              <w:t>Middlesex</w:t>
            </w:r>
          </w:p>
        </w:tc>
        <w:tc>
          <w:tcPr>
            <w:tcW w:w="1259" w:type="dxa"/>
          </w:tcPr>
          <w:p w14:paraId="527FF6A3"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$76,196</w:t>
            </w:r>
          </w:p>
        </w:tc>
        <w:tc>
          <w:tcPr>
            <w:tcW w:w="1109" w:type="dxa"/>
          </w:tcPr>
          <w:p w14:paraId="1225B235" w14:textId="77777777" w:rsidR="009B36F3" w:rsidRPr="00863AFE" w:rsidRDefault="009B36F3" w:rsidP="009B36F3">
            <w:pPr>
              <w:widowControl/>
              <w:autoSpaceDE/>
              <w:autoSpaceDN/>
              <w:jc w:val="center"/>
              <w:rPr>
                <w:rFonts w:asciiTheme="minorHAnsi" w:hAnsiTheme="minorHAnsi"/>
                <w:sz w:val="20"/>
              </w:rPr>
            </w:pPr>
            <w:r w:rsidRPr="009B3DDF">
              <w:rPr>
                <w:rFonts w:asciiTheme="minorHAnsi" w:hAnsiTheme="minorHAnsi"/>
                <w:sz w:val="20"/>
              </w:rPr>
              <w:t>$123,705</w:t>
            </w:r>
          </w:p>
        </w:tc>
        <w:tc>
          <w:tcPr>
            <w:tcW w:w="1109" w:type="dxa"/>
          </w:tcPr>
          <w:p w14:paraId="4B325519"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$99,858</w:t>
            </w:r>
          </w:p>
        </w:tc>
        <w:tc>
          <w:tcPr>
            <w:tcW w:w="917" w:type="dxa"/>
          </w:tcPr>
          <w:p w14:paraId="64F7829C"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eastAsia="Times New Roman" w:hAnsiTheme="minorHAnsi"/>
                <w:color w:val="000000"/>
                <w:sz w:val="20"/>
              </w:rPr>
              <w:t>10.6%</w:t>
            </w:r>
          </w:p>
        </w:tc>
        <w:tc>
          <w:tcPr>
            <w:tcW w:w="937" w:type="dxa"/>
            <w:shd w:val="clear" w:color="auto" w:fill="FFFFFF" w:themeFill="background1"/>
          </w:tcPr>
          <w:p w14:paraId="065A9569" w14:textId="77777777" w:rsidR="009B36F3" w:rsidRPr="00863AFE" w:rsidRDefault="009B36F3" w:rsidP="009B36F3">
            <w:pPr>
              <w:widowControl/>
              <w:autoSpaceDE/>
              <w:autoSpaceDN/>
              <w:jc w:val="center"/>
              <w:rPr>
                <w:rFonts w:asciiTheme="minorHAnsi" w:hAnsiTheme="minorHAnsi"/>
                <w:sz w:val="20"/>
              </w:rPr>
            </w:pPr>
            <w:r w:rsidRPr="009B3DDF">
              <w:rPr>
                <w:rFonts w:asciiTheme="minorHAnsi" w:hAnsiTheme="minorHAnsi"/>
                <w:sz w:val="20"/>
              </w:rPr>
              <w:t>7.7%</w:t>
            </w:r>
          </w:p>
        </w:tc>
        <w:tc>
          <w:tcPr>
            <w:tcW w:w="861" w:type="dxa"/>
          </w:tcPr>
          <w:p w14:paraId="5C227E7C" w14:textId="77777777" w:rsidR="009B36F3" w:rsidRPr="00863AFE" w:rsidRDefault="009B36F3" w:rsidP="009B36F3">
            <w:pPr>
              <w:widowControl/>
              <w:autoSpaceDE/>
              <w:autoSpaceDN/>
              <w:jc w:val="center"/>
              <w:rPr>
                <w:rFonts w:asciiTheme="minorHAnsi" w:eastAsia="Times New Roman" w:hAnsiTheme="minorHAnsi"/>
                <w:color w:val="000000"/>
                <w:sz w:val="20"/>
              </w:rPr>
            </w:pPr>
            <w:r w:rsidRPr="00863AFE">
              <w:rPr>
                <w:rFonts w:asciiTheme="minorHAnsi" w:hAnsiTheme="minorHAnsi"/>
                <w:sz w:val="20"/>
              </w:rPr>
              <w:t>10.4%</w:t>
            </w:r>
          </w:p>
        </w:tc>
      </w:tr>
    </w:tbl>
    <w:p w14:paraId="74CE632C" w14:textId="77777777" w:rsidR="000C7FBA" w:rsidRDefault="000C7FBA" w:rsidP="000C7FBA"/>
    <w:p w14:paraId="7E610605" w14:textId="77777777" w:rsidR="004D4D44" w:rsidRDefault="000C7FBA" w:rsidP="000C7FBA">
      <w:r w:rsidRPr="00F8142B">
        <w:t xml:space="preserve">The Applicant </w:t>
      </w:r>
      <w:r>
        <w:t xml:space="preserve">also </w:t>
      </w:r>
      <w:r w:rsidRPr="00F8142B">
        <w:t xml:space="preserve">states that the change in recommended age to begin screening for CRC from age 50 to age 45 in the </w:t>
      </w:r>
      <w:r w:rsidR="00B92DF4">
        <w:t>US</w:t>
      </w:r>
      <w:r w:rsidR="0062478E">
        <w:t xml:space="preserve">PSTF </w:t>
      </w:r>
      <w:r w:rsidRPr="00F8142B">
        <w:t xml:space="preserve">updated </w:t>
      </w:r>
      <w:r w:rsidR="0062478E">
        <w:t xml:space="preserve">screening </w:t>
      </w:r>
      <w:r w:rsidRPr="00F8142B">
        <w:t xml:space="preserve">guidelines, </w:t>
      </w:r>
      <w:r w:rsidR="00D950DA">
        <w:t>and increased awareness of colorectal cancer among young</w:t>
      </w:r>
      <w:r w:rsidR="0006323D">
        <w:t>er</w:t>
      </w:r>
      <w:r w:rsidR="00D950DA">
        <w:t xml:space="preserve"> </w:t>
      </w:r>
      <w:r w:rsidR="0006323D">
        <w:t xml:space="preserve">adults </w:t>
      </w:r>
      <w:r w:rsidRPr="00F8142B">
        <w:t xml:space="preserve">resulted in an increase in the </w:t>
      </w:r>
      <w:r w:rsidR="00ED348F">
        <w:t>percent</w:t>
      </w:r>
      <w:r w:rsidRPr="00F8142B">
        <w:t xml:space="preserve"> of adults aged 18</w:t>
      </w:r>
      <w:r w:rsidR="009673C7">
        <w:t xml:space="preserve"> to </w:t>
      </w:r>
      <w:r w:rsidRPr="00F8142B">
        <w:t>49 in the Center’s Patient Panel from 27% in 2022 to 38% in 2024</w:t>
      </w:r>
      <w:r w:rsidR="00E7652D">
        <w:t xml:space="preserve"> and a shift in the Center’s payer mix between governmental payors and commercial payers</w:t>
      </w:r>
      <w:r w:rsidRPr="00F8142B">
        <w:t xml:space="preserve">. The Applicant </w:t>
      </w:r>
      <w:r w:rsidR="00144CFF">
        <w:t>maintains</w:t>
      </w:r>
      <w:r w:rsidRPr="00F8142B">
        <w:t xml:space="preserve"> that the update to the CRC screening guidelines is “the largest driver” of the decrease in Medicaid in the Center’s payer mix because the majority of patients aged 18</w:t>
      </w:r>
      <w:r w:rsidR="009673C7">
        <w:t xml:space="preserve"> to </w:t>
      </w:r>
      <w:r w:rsidRPr="00F8142B">
        <w:t>49 are commercially insured, so when this age group increased</w:t>
      </w:r>
      <w:r w:rsidR="003007A6">
        <w:t xml:space="preserve"> in the Center’s patients</w:t>
      </w:r>
      <w:r w:rsidRPr="00F8142B">
        <w:t xml:space="preserve">, it led to an increase in the commercial insurance in the Center’s payer mix, and a decrease in patients insured through other payers. As a result, the Medicaid </w:t>
      </w:r>
      <w:r w:rsidR="001D3CCF">
        <w:t>percent</w:t>
      </w:r>
      <w:r w:rsidRPr="00F8142B">
        <w:t xml:space="preserve"> in the Center’s payer mix decreased from 2022 to 2024. </w:t>
      </w:r>
    </w:p>
    <w:p w14:paraId="5083D7D7" w14:textId="77777777" w:rsidR="004D4D44" w:rsidRDefault="004D4D44" w:rsidP="000C7FBA"/>
    <w:p w14:paraId="0B8EEDD7" w14:textId="3CB47790" w:rsidR="00E7652D" w:rsidRDefault="00E7652D" w:rsidP="000C7FBA">
      <w:r w:rsidRPr="00E7652D">
        <w:t xml:space="preserve">The Applicant </w:t>
      </w:r>
      <w:r>
        <w:t xml:space="preserve">also </w:t>
      </w:r>
      <w:r w:rsidRPr="00E7652D">
        <w:t>states that the Medicare payer mix decrease</w:t>
      </w:r>
      <w:r w:rsidR="0076278D">
        <w:t>d</w:t>
      </w:r>
      <w:r w:rsidRPr="00E7652D">
        <w:t xml:space="preserve"> as well from 2022 to 2024 because of the increased volume of patients</w:t>
      </w:r>
      <w:r w:rsidR="00F87238">
        <w:t xml:space="preserve"> on their </w:t>
      </w:r>
      <w:r w:rsidR="00D5134D">
        <w:t>P</w:t>
      </w:r>
      <w:r w:rsidR="00F87238">
        <w:t xml:space="preserve">atient </w:t>
      </w:r>
      <w:r w:rsidR="00D5134D">
        <w:t>P</w:t>
      </w:r>
      <w:r w:rsidR="00F87238">
        <w:t>anel</w:t>
      </w:r>
      <w:r w:rsidRPr="00E7652D">
        <w:t xml:space="preserve"> under the age of 65, who are not eligible for Medicare.</w:t>
      </w:r>
      <w:r w:rsidR="00D950DA">
        <w:t xml:space="preserve"> </w:t>
      </w:r>
      <w:r w:rsidR="00C1367D">
        <w:t>The Applicant cites increased awareness of colon cancer among younger adults, and increased calls for screening for CRC among younger adults, as leading to a “significant shift in the age of the ASC’s patient population.” Specifically, between 2022 and 2024, the 18</w:t>
      </w:r>
      <w:r w:rsidR="004B5FD0">
        <w:t xml:space="preserve"> to </w:t>
      </w:r>
      <w:r w:rsidR="00C1367D">
        <w:t>44 age group increased from 13.5% of the Center’s population to 18.3%, the 45 to 4</w:t>
      </w:r>
      <w:r w:rsidR="00714965">
        <w:t>9</w:t>
      </w:r>
      <w:r w:rsidR="00C1367D">
        <w:t xml:space="preserve"> age group increased from 10.2% to 17.9% of the Center’s patient population, and the traditional Medicare population of patients </w:t>
      </w:r>
      <w:r w:rsidR="00F0338C">
        <w:t>65</w:t>
      </w:r>
      <w:r w:rsidR="009A5B60">
        <w:t xml:space="preserve"> </w:t>
      </w:r>
      <w:r w:rsidR="00C1367D">
        <w:t xml:space="preserve">and older decreased from 30.9% to 20.8% of the Center’s patient population. </w:t>
      </w:r>
      <w:r w:rsidR="0075702B">
        <w:t xml:space="preserve">The Applicant notes that since 2022 the Center has become a participating provider with additional commercial insurers in an effort to increase access to care, and this has resulted in an increase in the commercial portion of the Center’s patient population. </w:t>
      </w:r>
    </w:p>
    <w:p w14:paraId="4420D45C" w14:textId="77777777" w:rsidR="00E7652D" w:rsidRDefault="00E7652D" w:rsidP="000C7FBA"/>
    <w:p w14:paraId="321B1483" w14:textId="1014A626" w:rsidR="003B72DA" w:rsidRPr="003B72DA" w:rsidRDefault="00E61A3B" w:rsidP="003B72DA">
      <w:pPr>
        <w:rPr>
          <w:b/>
          <w:bCs/>
        </w:rPr>
      </w:pPr>
      <w:r w:rsidRPr="00E61A3B">
        <w:t>The Ap</w:t>
      </w:r>
      <w:r w:rsidR="007758D5">
        <w:t>p</w:t>
      </w:r>
      <w:r w:rsidRPr="00E61A3B">
        <w:t>licant states that all providers at the Center accept MassHealth</w:t>
      </w:r>
      <w:r w:rsidR="002A1CB9">
        <w:t xml:space="preserve">, in compliance with </w:t>
      </w:r>
      <w:r w:rsidR="005457CE">
        <w:t xml:space="preserve">provider </w:t>
      </w:r>
      <w:r w:rsidR="002A1CB9">
        <w:t>regulatory requirements</w:t>
      </w:r>
      <w:r w:rsidRPr="00E61A3B">
        <w:t xml:space="preserve">. </w:t>
      </w:r>
      <w:r w:rsidR="009434BB">
        <w:t>The Applicant states</w:t>
      </w:r>
      <w:r w:rsidR="00AC30F5">
        <w:t xml:space="preserve"> that the Center pilo</w:t>
      </w:r>
      <w:r w:rsidR="009656A5">
        <w:t xml:space="preserve">ted a partnership with a community primary care practice to </w:t>
      </w:r>
      <w:r w:rsidR="001D50A8">
        <w:t>allow for quicker</w:t>
      </w:r>
      <w:r w:rsidR="009656A5">
        <w:t xml:space="preserve"> access to </w:t>
      </w:r>
      <w:r w:rsidR="001D50A8">
        <w:t>scheduling</w:t>
      </w:r>
      <w:r w:rsidR="009656A5">
        <w:t xml:space="preserve"> CRC screenings</w:t>
      </w:r>
      <w:r w:rsidR="008A6F7B">
        <w:t xml:space="preserve"> at the Center</w:t>
      </w:r>
      <w:r w:rsidR="001D50A8">
        <w:t xml:space="preserve"> </w:t>
      </w:r>
      <w:r w:rsidR="003B72DA">
        <w:t>for</w:t>
      </w:r>
      <w:r w:rsidR="00382D3D">
        <w:t xml:space="preserve"> </w:t>
      </w:r>
      <w:r w:rsidR="00A1392D">
        <w:t xml:space="preserve">patients </w:t>
      </w:r>
      <w:r w:rsidR="007103CD">
        <w:t xml:space="preserve">that were </w:t>
      </w:r>
      <w:r w:rsidR="00A1392D">
        <w:t>due for a colonoscopy screening</w:t>
      </w:r>
      <w:r w:rsidR="00804AD0">
        <w:t xml:space="preserve">. </w:t>
      </w:r>
      <w:r w:rsidR="00E52D4D">
        <w:t xml:space="preserve">The GI practice at Emerson Hospital </w:t>
      </w:r>
      <w:r w:rsidR="002E623C">
        <w:t>contacted patients</w:t>
      </w:r>
      <w:r w:rsidR="00743B8B">
        <w:t xml:space="preserve"> to allow</w:t>
      </w:r>
      <w:r w:rsidR="002E623C">
        <w:t xml:space="preserve"> for quick</w:t>
      </w:r>
      <w:r w:rsidR="00970AA3">
        <w:t>er</w:t>
      </w:r>
      <w:r w:rsidR="002E623C">
        <w:t xml:space="preserve"> access</w:t>
      </w:r>
      <w:r w:rsidR="00970AA3">
        <w:t xml:space="preserve"> to</w:t>
      </w:r>
      <w:r w:rsidR="002E623C">
        <w:t xml:space="preserve"> scheduling at the Center.</w:t>
      </w:r>
      <w:r w:rsidR="00804AD0">
        <w:t xml:space="preserve"> During the pilot</w:t>
      </w:r>
      <w:r w:rsidR="00102401">
        <w:t xml:space="preserve"> period</w:t>
      </w:r>
      <w:r w:rsidR="00804AD0">
        <w:t xml:space="preserve">, 188 </w:t>
      </w:r>
      <w:r w:rsidR="00AA4962">
        <w:t>patients</w:t>
      </w:r>
      <w:r w:rsidR="002E623C">
        <w:t xml:space="preserve"> were contacted.</w:t>
      </w:r>
      <w:r w:rsidR="00AA4962">
        <w:t xml:space="preserve"> </w:t>
      </w:r>
      <w:r w:rsidR="002E623C">
        <w:t xml:space="preserve">The pilot was successful and extended for the next two calendar years. In </w:t>
      </w:r>
      <w:r w:rsidR="00AA4962">
        <w:t>CY2023</w:t>
      </w:r>
      <w:r w:rsidR="002E623C">
        <w:t>,</w:t>
      </w:r>
      <w:r w:rsidR="00AA4962">
        <w:t xml:space="preserve"> 635 patients were contacted, and in CY2024</w:t>
      </w:r>
      <w:r w:rsidR="002E623C">
        <w:t>,</w:t>
      </w:r>
      <w:r w:rsidR="00AA4962">
        <w:t xml:space="preserve"> 577 patients were contacted.</w:t>
      </w:r>
      <w:r w:rsidR="009656A5">
        <w:t xml:space="preserve"> </w:t>
      </w:r>
      <w:r w:rsidR="000C7FBA" w:rsidRPr="00F8142B">
        <w:t>The Applicant states</w:t>
      </w:r>
      <w:r w:rsidDel="008731CC">
        <w:t xml:space="preserve"> </w:t>
      </w:r>
      <w:r w:rsidR="000C7FBA" w:rsidRPr="00F8142B">
        <w:t xml:space="preserve">that it is planning to implement an open access referral system to increase the number of MassHealth patients served by the Center. The open access referral system will allow patients to call the Center and request an appointment without a GI referral. </w:t>
      </w:r>
      <w:r w:rsidR="008731CC">
        <w:t xml:space="preserve">The Applicant states that patients will be offered the first available GI provider or will be paired with a provider that matches their preferences. </w:t>
      </w:r>
      <w:r w:rsidR="008A3DC4">
        <w:t>P</w:t>
      </w:r>
      <w:r w:rsidR="000C7FBA" w:rsidRPr="00F8142B">
        <w:t xml:space="preserve">atients will be screened to determine which ones are eligible for a colonoscopy without a physician’s referral. </w:t>
      </w:r>
      <w:r w:rsidR="00806885">
        <w:t>There will be no difference in wait</w:t>
      </w:r>
      <w:r w:rsidR="0018198E">
        <w:t>-</w:t>
      </w:r>
      <w:r w:rsidR="00806885">
        <w:t>times for patients that enter through the open access re</w:t>
      </w:r>
      <w:r w:rsidR="008B2C35">
        <w:t xml:space="preserve">ferral system. </w:t>
      </w:r>
      <w:r w:rsidR="003E6C4A">
        <w:t>The Applicant affirms that the open access referral system will “remove barriers to care, in turn improving access to cancer screening.”</w:t>
      </w:r>
      <w:r w:rsidR="003B72DA" w:rsidRPr="003B72DA">
        <w:rPr>
          <w:rFonts w:asciiTheme="minorHAnsi" w:hAnsiTheme="minorHAnsi"/>
          <w:b/>
          <w:bCs/>
          <w:sz w:val="22"/>
          <w:szCs w:val="22"/>
        </w:rPr>
        <w:t xml:space="preserve"> </w:t>
      </w:r>
      <w:r w:rsidR="003B72DA" w:rsidRPr="00BC2AC4">
        <w:rPr>
          <w:rFonts w:asciiTheme="minorHAnsi" w:hAnsiTheme="minorHAnsi"/>
          <w:szCs w:val="24"/>
        </w:rPr>
        <w:t>The Applicant states tha</w:t>
      </w:r>
      <w:r w:rsidR="008756D9" w:rsidRPr="00BC2AC4">
        <w:rPr>
          <w:rFonts w:asciiTheme="minorHAnsi" w:hAnsiTheme="minorHAnsi"/>
          <w:szCs w:val="24"/>
        </w:rPr>
        <w:t xml:space="preserve">t in an effort to expand access to the Center to MassHealth patients, it is </w:t>
      </w:r>
      <w:r w:rsidR="00D47105">
        <w:t xml:space="preserve">in the process of </w:t>
      </w:r>
      <w:r w:rsidR="003B72DA" w:rsidRPr="00BC2AC4">
        <w:t xml:space="preserve">determining which communities and practices to expand </w:t>
      </w:r>
      <w:r w:rsidR="00D47105">
        <w:t>the</w:t>
      </w:r>
      <w:r w:rsidR="003B72DA" w:rsidRPr="00BC2AC4">
        <w:t xml:space="preserve"> partnership program to, </w:t>
      </w:r>
      <w:r w:rsidR="00D47105">
        <w:t>and</w:t>
      </w:r>
      <w:r w:rsidR="003B72DA" w:rsidRPr="00BC2AC4">
        <w:t xml:space="preserve"> where to message its open access </w:t>
      </w:r>
      <w:r w:rsidR="00D47105">
        <w:t xml:space="preserve">scheduling system. </w:t>
      </w:r>
    </w:p>
    <w:p w14:paraId="4FAE34C0" w14:textId="48BB7AB2" w:rsidR="00DC1DA7" w:rsidRDefault="00E04133" w:rsidP="00C316C3">
      <w:pPr>
        <w:rPr>
          <w:rFonts w:asciiTheme="minorHAnsi" w:hAnsiTheme="minorHAnsi"/>
          <w:b/>
          <w:bCs/>
          <w:i/>
          <w:iCs/>
          <w:szCs w:val="24"/>
        </w:rPr>
      </w:pPr>
      <w:r w:rsidRPr="00B517EA">
        <w:rPr>
          <w:rFonts w:asciiTheme="minorHAnsi" w:hAnsiTheme="minorHAnsi"/>
          <w:b/>
          <w:bCs/>
          <w:i/>
          <w:iCs/>
          <w:szCs w:val="24"/>
        </w:rPr>
        <w:lastRenderedPageBreak/>
        <w:t>Analysis</w:t>
      </w:r>
      <w:r w:rsidR="00303C0E" w:rsidRPr="00B517EA">
        <w:rPr>
          <w:rFonts w:asciiTheme="minorHAnsi" w:hAnsiTheme="minorHAnsi"/>
          <w:b/>
          <w:bCs/>
          <w:i/>
          <w:iCs/>
          <w:szCs w:val="24"/>
        </w:rPr>
        <w:t>:</w:t>
      </w:r>
      <w:r w:rsidRPr="00B517EA">
        <w:rPr>
          <w:rFonts w:asciiTheme="minorHAnsi" w:hAnsiTheme="minorHAnsi"/>
          <w:b/>
          <w:bCs/>
          <w:i/>
          <w:iCs/>
          <w:szCs w:val="24"/>
        </w:rPr>
        <w:t xml:space="preserve"> Health Equity </w:t>
      </w:r>
    </w:p>
    <w:p w14:paraId="35DDF77E" w14:textId="4BA3943A" w:rsidR="00010CF5" w:rsidRDefault="00010CF5" w:rsidP="001D70FC">
      <w:pPr>
        <w:rPr>
          <w:rFonts w:cs="Calibri"/>
          <w:szCs w:val="24"/>
        </w:rPr>
      </w:pPr>
      <w:bookmarkStart w:id="9" w:name="Factor_1:_c)_Efficiency,_Continuity_of_C"/>
      <w:bookmarkEnd w:id="9"/>
      <w:r w:rsidRPr="00CB354E">
        <w:rPr>
          <w:rFonts w:cs="Calibri"/>
        </w:rPr>
        <w:t xml:space="preserve">The </w:t>
      </w:r>
      <w:r w:rsidR="00B56BC8">
        <w:rPr>
          <w:rFonts w:cs="Calibri"/>
        </w:rPr>
        <w:t xml:space="preserve">Massachusetts </w:t>
      </w:r>
      <w:r w:rsidRPr="00CB354E">
        <w:rPr>
          <w:rFonts w:cs="Calibri"/>
        </w:rPr>
        <w:t>Health Policy Commission</w:t>
      </w:r>
      <w:r w:rsidR="00B56BC8">
        <w:rPr>
          <w:rFonts w:cs="Calibri"/>
        </w:rPr>
        <w:t xml:space="preserve"> (HPC)</w:t>
      </w:r>
      <w:r w:rsidRPr="00CB354E">
        <w:rPr>
          <w:rFonts w:cs="Calibri"/>
        </w:rPr>
        <w:t xml:space="preserve"> DataPoint</w:t>
      </w:r>
      <w:r>
        <w:rPr>
          <w:rFonts w:cs="Calibri"/>
        </w:rPr>
        <w:t>s</w:t>
      </w:r>
      <w:r w:rsidRPr="00CB354E">
        <w:rPr>
          <w:rFonts w:cs="Calibri"/>
        </w:rPr>
        <w:t xml:space="preserve"> Issue 26 </w:t>
      </w:r>
      <w:r w:rsidR="00E27B7C">
        <w:rPr>
          <w:rFonts w:cs="Calibri"/>
        </w:rPr>
        <w:t>titled</w:t>
      </w:r>
      <w:r w:rsidRPr="00CB354E">
        <w:rPr>
          <w:rFonts w:cs="Calibri"/>
        </w:rPr>
        <w:t xml:space="preserve"> </w:t>
      </w:r>
      <w:r w:rsidR="00E27B7C" w:rsidRPr="00E27B7C">
        <w:rPr>
          <w:rFonts w:cs="Calibri"/>
          <w:i/>
          <w:iCs/>
        </w:rPr>
        <w:t>Trends in Ambulatory Surgical Centers in Massachusetts</w:t>
      </w:r>
      <w:r w:rsidRPr="00CB354E">
        <w:rPr>
          <w:rFonts w:cs="Calibri"/>
        </w:rPr>
        <w:t xml:space="preserve"> states </w:t>
      </w:r>
      <w:r>
        <w:rPr>
          <w:rFonts w:cs="Calibri"/>
        </w:rPr>
        <w:t>“</w:t>
      </w:r>
      <w:r w:rsidRPr="007D5E71">
        <w:rPr>
          <w:rFonts w:cs="Calibri"/>
        </w:rPr>
        <w:t>For most procedures, MassHealth patients had a substantially smaller share performed in ASCs than commercial patients</w:t>
      </w:r>
      <w:r>
        <w:rPr>
          <w:rFonts w:cs="Calibri"/>
        </w:rPr>
        <w:t>.”</w:t>
      </w:r>
      <w:r w:rsidRPr="0023704F">
        <w:rPr>
          <w:rFonts w:cs="Calibri"/>
          <w:vertAlign w:val="superscript"/>
        </w:rPr>
        <w:endnoteReference w:id="33"/>
      </w:r>
      <w:r>
        <w:rPr>
          <w:rFonts w:cs="Calibri"/>
        </w:rPr>
        <w:t xml:space="preserve"> </w:t>
      </w:r>
      <w:r w:rsidR="00CE3921" w:rsidRPr="00C71B1F">
        <w:rPr>
          <w:rFonts w:cs="Calibri"/>
        </w:rPr>
        <w:t>The</w:t>
      </w:r>
      <w:r w:rsidR="00E515A7" w:rsidRPr="00C71B1F">
        <w:rPr>
          <w:rFonts w:cs="Calibri"/>
        </w:rPr>
        <w:t xml:space="preserve"> m</w:t>
      </w:r>
      <w:r w:rsidR="00E515A7">
        <w:rPr>
          <w:rFonts w:cs="Calibri"/>
          <w:szCs w:val="24"/>
        </w:rPr>
        <w:t>ajority of GI/Endoscopy cases are performed in an HOPD versus an ASC for both commercially insured patients, and patients insured through MassHealth. However,</w:t>
      </w:r>
      <w:r>
        <w:rPr>
          <w:rFonts w:cs="Calibri"/>
          <w:szCs w:val="24"/>
        </w:rPr>
        <w:t xml:space="preserve"> 27% of GI/endoscopy procedures performed in the ASC setting</w:t>
      </w:r>
      <w:r w:rsidR="004F567F">
        <w:rPr>
          <w:rFonts w:cs="Calibri"/>
          <w:szCs w:val="24"/>
        </w:rPr>
        <w:t xml:space="preserve"> in Massachusetts</w:t>
      </w:r>
      <w:r>
        <w:rPr>
          <w:rFonts w:cs="Calibri"/>
          <w:szCs w:val="24"/>
        </w:rPr>
        <w:t xml:space="preserve"> were for commercially insured patients, while 10% were for patients insured through MassHealth.</w:t>
      </w:r>
      <w:r w:rsidRPr="004E4C2B">
        <w:rPr>
          <w:rFonts w:cs="Calibri"/>
          <w:szCs w:val="24"/>
          <w:vertAlign w:val="superscript"/>
        </w:rPr>
        <w:endnoteReference w:id="34"/>
      </w:r>
      <w:r w:rsidRPr="004E4C2B">
        <w:rPr>
          <w:rFonts w:cs="Calibri"/>
          <w:szCs w:val="24"/>
        </w:rPr>
        <w:t xml:space="preserve"> </w:t>
      </w:r>
      <w:r>
        <w:rPr>
          <w:rFonts w:cs="Calibri"/>
          <w:szCs w:val="24"/>
        </w:rPr>
        <w:t xml:space="preserve"> </w:t>
      </w:r>
      <w:r w:rsidR="0060091D">
        <w:rPr>
          <w:rFonts w:cs="Calibri"/>
          <w:szCs w:val="24"/>
        </w:rPr>
        <w:t xml:space="preserve">As noted above, </w:t>
      </w:r>
      <w:r w:rsidR="004106D9">
        <w:rPr>
          <w:rFonts w:cs="Calibri"/>
          <w:szCs w:val="24"/>
        </w:rPr>
        <w:t xml:space="preserve">the Center’s payer mix </w:t>
      </w:r>
      <w:r w:rsidR="006B57FB">
        <w:rPr>
          <w:rFonts w:cs="Calibri"/>
          <w:szCs w:val="24"/>
        </w:rPr>
        <w:t xml:space="preserve">in 2024 </w:t>
      </w:r>
      <w:r w:rsidR="00545814">
        <w:rPr>
          <w:rFonts w:cs="Calibri"/>
          <w:szCs w:val="24"/>
        </w:rPr>
        <w:t>was</w:t>
      </w:r>
      <w:r w:rsidR="004106D9">
        <w:rPr>
          <w:rFonts w:cs="Calibri"/>
          <w:szCs w:val="24"/>
        </w:rPr>
        <w:t xml:space="preserve"> 80</w:t>
      </w:r>
      <w:r w:rsidR="00DC2884">
        <w:rPr>
          <w:rFonts w:cs="Calibri"/>
          <w:szCs w:val="24"/>
        </w:rPr>
        <w:t xml:space="preserve">.87% commercial, </w:t>
      </w:r>
      <w:r w:rsidR="0062459B">
        <w:rPr>
          <w:rFonts w:cs="Calibri"/>
          <w:szCs w:val="24"/>
        </w:rPr>
        <w:t xml:space="preserve">1.56% MassHealth, </w:t>
      </w:r>
      <w:r w:rsidR="00DC2884">
        <w:rPr>
          <w:rFonts w:cs="Calibri"/>
          <w:szCs w:val="24"/>
        </w:rPr>
        <w:t xml:space="preserve">and </w:t>
      </w:r>
      <w:r w:rsidR="00160D9E">
        <w:rPr>
          <w:rFonts w:cs="Calibri"/>
          <w:szCs w:val="24"/>
        </w:rPr>
        <w:t xml:space="preserve">0.34% Managed Medicaid. </w:t>
      </w:r>
      <w:r w:rsidR="00E66FF8">
        <w:rPr>
          <w:rFonts w:cs="Calibri"/>
          <w:szCs w:val="24"/>
        </w:rPr>
        <w:t xml:space="preserve">The DataPoints </w:t>
      </w:r>
      <w:r w:rsidR="00D22EB0">
        <w:rPr>
          <w:rFonts w:cs="Calibri"/>
          <w:szCs w:val="24"/>
        </w:rPr>
        <w:t>Issue</w:t>
      </w:r>
      <w:r w:rsidR="00E66FF8">
        <w:rPr>
          <w:rFonts w:cs="Calibri"/>
          <w:szCs w:val="24"/>
        </w:rPr>
        <w:t xml:space="preserve"> notes that “</w:t>
      </w:r>
      <w:r w:rsidR="00E66FF8" w:rsidRPr="00E66FF8">
        <w:rPr>
          <w:rFonts w:cs="Calibri"/>
          <w:szCs w:val="24"/>
        </w:rPr>
        <w:t>More research is needed to understand and address drivers of this difference.</w:t>
      </w:r>
      <w:r w:rsidR="00E66FF8">
        <w:rPr>
          <w:rFonts w:cs="Calibri"/>
          <w:szCs w:val="24"/>
        </w:rPr>
        <w:t xml:space="preserve">” </w:t>
      </w:r>
    </w:p>
    <w:p w14:paraId="0736A304" w14:textId="77777777" w:rsidR="009C7AF7" w:rsidRPr="00862784" w:rsidRDefault="009C7AF7" w:rsidP="001D70FC">
      <w:pPr>
        <w:rPr>
          <w:rFonts w:cs="Calibri"/>
          <w:szCs w:val="24"/>
        </w:rPr>
      </w:pPr>
    </w:p>
    <w:p w14:paraId="6923BEF4" w14:textId="0336B695" w:rsidR="00F90CBB" w:rsidRDefault="008F7007" w:rsidP="00C316C3">
      <w:r>
        <w:t>In order to ensure that the Proposed Project increases access to care for patients insure</w:t>
      </w:r>
      <w:r w:rsidR="002F3133">
        <w:t>d</w:t>
      </w:r>
      <w:r>
        <w:t xml:space="preserve"> by </w:t>
      </w:r>
      <w:r w:rsidR="00214091">
        <w:t>MassHealth</w:t>
      </w:r>
      <w:r>
        <w:t xml:space="preserve">, </w:t>
      </w:r>
      <w:r w:rsidR="007E6BC5">
        <w:t xml:space="preserve">as a Condition of Approval, the Applicant will provide a plan detailing how it will increase </w:t>
      </w:r>
      <w:r w:rsidR="00214091">
        <w:t>MassHealth</w:t>
      </w:r>
      <w:r w:rsidR="007E6BC5">
        <w:t xml:space="preserve"> in the Center’s payer mix</w:t>
      </w:r>
      <w:r w:rsidR="00D84964">
        <w:t>.</w:t>
      </w:r>
      <w:r w:rsidR="007E6BC5">
        <w:t xml:space="preserve"> </w:t>
      </w:r>
      <w:r w:rsidR="00D84964">
        <w:t>The</w:t>
      </w:r>
      <w:r w:rsidR="004A5132">
        <w:t xml:space="preserve"> Applica</w:t>
      </w:r>
      <w:r w:rsidR="00030E3F">
        <w:t xml:space="preserve">nt </w:t>
      </w:r>
      <w:r w:rsidR="00E26DD2">
        <w:t>will report annually to demonstrate measurable progress</w:t>
      </w:r>
      <w:r w:rsidR="000954C3">
        <w:t>.</w:t>
      </w:r>
      <w:r w:rsidR="007E6BC5">
        <w:t xml:space="preserve"> </w:t>
      </w:r>
      <w:r w:rsidR="0077266C">
        <w:t xml:space="preserve">The Applicant will also report annually on patient race and ethnicity. </w:t>
      </w:r>
      <w:r w:rsidR="00651928" w:rsidRPr="00651928">
        <w:t xml:space="preserve">The full text of the </w:t>
      </w:r>
      <w:r w:rsidR="0077266C">
        <w:t>C</w:t>
      </w:r>
      <w:r w:rsidR="00651928" w:rsidRPr="00651928">
        <w:t>ondition</w:t>
      </w:r>
      <w:r w:rsidR="0077266C">
        <w:t>s</w:t>
      </w:r>
      <w:r w:rsidR="00651928" w:rsidRPr="00651928">
        <w:t xml:space="preserve"> </w:t>
      </w:r>
      <w:r w:rsidR="0077266C">
        <w:t>is</w:t>
      </w:r>
      <w:r w:rsidR="00651928" w:rsidRPr="00651928">
        <w:t xml:space="preserve"> listed in the </w:t>
      </w:r>
      <w:r w:rsidR="00651928">
        <w:t xml:space="preserve">“Other </w:t>
      </w:r>
      <w:r w:rsidR="00651928" w:rsidRPr="00651928">
        <w:t>Conditions</w:t>
      </w:r>
      <w:r w:rsidR="00651928">
        <w:t>”</w:t>
      </w:r>
      <w:r w:rsidR="00651928" w:rsidRPr="00651928">
        <w:t xml:space="preserve"> section of this report.</w:t>
      </w:r>
      <w:r w:rsidR="00651928">
        <w:t xml:space="preserve"> </w:t>
      </w:r>
      <w:r w:rsidR="1C48E955">
        <w:t>Staff finds that</w:t>
      </w:r>
      <w:r w:rsidR="67DFE0D9">
        <w:t xml:space="preserve"> with the “Other Condition</w:t>
      </w:r>
      <w:r w:rsidR="00437675">
        <w:t>s</w:t>
      </w:r>
      <w:r w:rsidR="67DFE0D9">
        <w:t xml:space="preserve">” listed </w:t>
      </w:r>
      <w:r w:rsidR="008E455F">
        <w:t>below</w:t>
      </w:r>
      <w:r w:rsidR="00B23070">
        <w:t>,</w:t>
      </w:r>
      <w:r w:rsidR="1C48E955">
        <w:t xml:space="preserve"> the Applicant sufficiently demonstrated </w:t>
      </w:r>
      <w:r w:rsidR="5A06DAFF">
        <w:t xml:space="preserve">reasonable </w:t>
      </w:r>
      <w:r w:rsidR="1C48E955">
        <w:t xml:space="preserve">efforts to </w:t>
      </w:r>
      <w:r w:rsidR="44715C06">
        <w:t>provide</w:t>
      </w:r>
      <w:r w:rsidR="4AAD2A96">
        <w:t xml:space="preserve"> equitable access to</w:t>
      </w:r>
      <w:r w:rsidR="00352585">
        <w:t xml:space="preserve"> the Center’s</w:t>
      </w:r>
      <w:r w:rsidR="4AAD2A96">
        <w:t xml:space="preserve"> services</w:t>
      </w:r>
      <w:r w:rsidR="1C48E955">
        <w:t>. As a result, Staff finds that the Applicant meets the requirements of the Public Health Value: Health Equity part of Factor 1b.</w:t>
      </w:r>
    </w:p>
    <w:p w14:paraId="364FCEC6" w14:textId="77777777" w:rsidR="00EF0836" w:rsidRPr="00F90CBB" w:rsidRDefault="00EF0836" w:rsidP="00C316C3"/>
    <w:p w14:paraId="4D6A5DD0" w14:textId="18456510" w:rsidR="006B4691" w:rsidRDefault="00A4110F" w:rsidP="00C316C3">
      <w:pPr>
        <w:pStyle w:val="Heading1"/>
        <w:ind w:left="0"/>
        <w:rPr>
          <w:rFonts w:asciiTheme="minorHAnsi" w:hAnsiTheme="minorHAnsi"/>
          <w:color w:val="42558C"/>
        </w:rPr>
      </w:pPr>
      <w:bookmarkStart w:id="10" w:name="_Toc207953796"/>
      <w:r w:rsidRPr="003436F0">
        <w:rPr>
          <w:rFonts w:asciiTheme="minorHAnsi" w:hAnsiTheme="minorHAnsi"/>
          <w:color w:val="42558C"/>
        </w:rPr>
        <w:t>Factor 1: c) Efficiency, Continuity of Care, Coordination of Care</w:t>
      </w:r>
      <w:bookmarkEnd w:id="10"/>
    </w:p>
    <w:p w14:paraId="217D5144" w14:textId="28BBB933" w:rsidR="00B36F42" w:rsidRPr="00B36F42" w:rsidRDefault="49701A81" w:rsidP="00C316C3">
      <w:r>
        <w:t>The Applicant states that the Proposed Project will operate efficiently and effectively by furthering the continuity and coordination of care for the Applicant’s Patient Panel.</w:t>
      </w:r>
      <w:r w:rsidR="62BC9E5D">
        <w:t xml:space="preserve"> The Applicant states that its care coordination </w:t>
      </w:r>
      <w:r w:rsidR="00791F15">
        <w:t xml:space="preserve">systems </w:t>
      </w:r>
      <w:r w:rsidR="00A9100C">
        <w:t>support</w:t>
      </w:r>
      <w:r w:rsidR="62BC9E5D">
        <w:t xml:space="preserve"> </w:t>
      </w:r>
      <w:r w:rsidR="00791F15">
        <w:t>e</w:t>
      </w:r>
      <w:r w:rsidR="62BC9E5D">
        <w:t>ffective communicat</w:t>
      </w:r>
      <w:r w:rsidR="00791F15">
        <w:t xml:space="preserve">ion between </w:t>
      </w:r>
      <w:r w:rsidR="62BC9E5D">
        <w:t>providers and</w:t>
      </w:r>
      <w:r w:rsidR="62BC9E5D" w:rsidDel="00791F15">
        <w:t xml:space="preserve"> </w:t>
      </w:r>
      <w:r w:rsidR="62BC9E5D">
        <w:t>connect</w:t>
      </w:r>
      <w:r w:rsidR="00791F15">
        <w:t xml:space="preserve">ion </w:t>
      </w:r>
      <w:r w:rsidR="62BC9E5D">
        <w:t xml:space="preserve"> to other </w:t>
      </w:r>
      <w:r w:rsidR="00791F15">
        <w:t xml:space="preserve">appropriate </w:t>
      </w:r>
      <w:r w:rsidR="62BC9E5D">
        <w:t>services outside of the ASC.</w:t>
      </w:r>
    </w:p>
    <w:p w14:paraId="560BD714" w14:textId="77777777" w:rsidR="00910780" w:rsidRDefault="00910780" w:rsidP="00C316C3"/>
    <w:p w14:paraId="67494FB4" w14:textId="0F7C01FE" w:rsidR="00E55F87" w:rsidRDefault="76A4CDE3" w:rsidP="00C316C3">
      <w:r w:rsidRPr="28157CC0">
        <w:rPr>
          <w:b/>
          <w:bCs/>
        </w:rPr>
        <w:t>Care Coordination</w:t>
      </w:r>
      <w:r>
        <w:t xml:space="preserve">: </w:t>
      </w:r>
    </w:p>
    <w:p w14:paraId="578AF742" w14:textId="4A05299D" w:rsidR="007C34A0" w:rsidRDefault="007C34A0" w:rsidP="007C34A0">
      <w:pPr>
        <w:pStyle w:val="ListParagraph"/>
        <w:numPr>
          <w:ilvl w:val="0"/>
          <w:numId w:val="27"/>
        </w:numPr>
      </w:pPr>
      <w:r>
        <w:t xml:space="preserve">Discharge Planning: All patients or the accompanying adult, receive </w:t>
      </w:r>
      <w:r w:rsidR="00252BB9">
        <w:t>prescriptions, written</w:t>
      </w:r>
      <w:r>
        <w:t xml:space="preserve"> instructions for recovery from the procedure and warning signs of complications to be </w:t>
      </w:r>
      <w:r w:rsidR="00252BB9">
        <w:t>alert</w:t>
      </w:r>
      <w:r>
        <w:t xml:space="preserve"> for, and contact information for the </w:t>
      </w:r>
      <w:r w:rsidR="00CE58E4">
        <w:t>operating</w:t>
      </w:r>
      <w:r w:rsidR="00E74D24">
        <w:t xml:space="preserve"> </w:t>
      </w:r>
      <w:r w:rsidR="00861E2C">
        <w:t>physician</w:t>
      </w:r>
      <w:r>
        <w:t xml:space="preserve">, prior to discharge. </w:t>
      </w:r>
    </w:p>
    <w:p w14:paraId="71636618" w14:textId="77777777" w:rsidR="00704468" w:rsidRDefault="00704468" w:rsidP="00C316C3"/>
    <w:p w14:paraId="3F01E7A1" w14:textId="2365331C" w:rsidR="003530C2" w:rsidRDefault="76A4CDE3" w:rsidP="00C316C3">
      <w:r w:rsidRPr="0922BF24">
        <w:rPr>
          <w:b/>
          <w:bCs/>
        </w:rPr>
        <w:t>Electronic Medical Record (EMR)</w:t>
      </w:r>
      <w:r>
        <w:t xml:space="preserve">: </w:t>
      </w:r>
    </w:p>
    <w:p w14:paraId="2EB867E5" w14:textId="72D0DC79" w:rsidR="00252BB9" w:rsidRDefault="00252BB9" w:rsidP="00252BB9">
      <w:pPr>
        <w:pStyle w:val="ListParagraph"/>
        <w:numPr>
          <w:ilvl w:val="0"/>
          <w:numId w:val="27"/>
        </w:numPr>
      </w:pPr>
      <w:r>
        <w:t xml:space="preserve">Copies of each procedure and pathology report are shared with the referring physician </w:t>
      </w:r>
      <w:r w:rsidR="0067639A">
        <w:t>via Epic</w:t>
      </w:r>
      <w:r>
        <w:t xml:space="preserve"> as part of follow-up procedures. </w:t>
      </w:r>
      <w:r w:rsidR="006854B1">
        <w:t xml:space="preserve">The operating physician shares procedure notes with the </w:t>
      </w:r>
      <w:r w:rsidR="00D66594">
        <w:t>PCP</w:t>
      </w:r>
      <w:r w:rsidR="006854B1">
        <w:t xml:space="preserve"> via Epic. </w:t>
      </w:r>
      <w:r w:rsidR="0052288C">
        <w:t xml:space="preserve">The Applicant states that the physicians and their care teams manage and coordinate all follow-up care. </w:t>
      </w:r>
      <w:r w:rsidR="003A57C2">
        <w:t>For patients that are self-referred, follow-up communication</w:t>
      </w:r>
      <w:r w:rsidR="000C5004">
        <w:t xml:space="preserve"> with the patient</w:t>
      </w:r>
      <w:r w:rsidR="003A57C2">
        <w:t xml:space="preserve"> </w:t>
      </w:r>
      <w:r w:rsidR="000C5004">
        <w:t>occur</w:t>
      </w:r>
      <w:r w:rsidR="006654B8">
        <w:t>s</w:t>
      </w:r>
      <w:r w:rsidR="000C5004">
        <w:t xml:space="preserve"> </w:t>
      </w:r>
      <w:r w:rsidR="003A57C2">
        <w:t>through the</w:t>
      </w:r>
      <w:r w:rsidR="000C5004">
        <w:t xml:space="preserve"> GI provider performing the procedure, o</w:t>
      </w:r>
      <w:r w:rsidR="006654B8">
        <w:t>r</w:t>
      </w:r>
      <w:r w:rsidR="000C5004">
        <w:t xml:space="preserve"> through the patient’s PCP, if one is identified. </w:t>
      </w:r>
    </w:p>
    <w:p w14:paraId="7739D095" w14:textId="77777777" w:rsidR="0075631E" w:rsidRDefault="0075631E" w:rsidP="00BC2AC4">
      <w:pPr>
        <w:pStyle w:val="ListParagraph"/>
        <w:ind w:left="720" w:firstLine="0"/>
      </w:pPr>
    </w:p>
    <w:p w14:paraId="258D19C5" w14:textId="77777777" w:rsidR="00235226" w:rsidRDefault="0075631E" w:rsidP="00C316C3">
      <w:pPr>
        <w:rPr>
          <w:b/>
          <w:bCs/>
        </w:rPr>
      </w:pPr>
      <w:r w:rsidRPr="0075631E">
        <w:rPr>
          <w:b/>
          <w:bCs/>
        </w:rPr>
        <w:t xml:space="preserve">Efficiency: </w:t>
      </w:r>
    </w:p>
    <w:p w14:paraId="3B72B9A4" w14:textId="4E395CBA" w:rsidR="002B5F4B" w:rsidRPr="007A2862" w:rsidRDefault="007A2862" w:rsidP="00BC2AC4">
      <w:pPr>
        <w:pStyle w:val="ListParagraph"/>
        <w:ind w:left="720" w:firstLine="0"/>
      </w:pPr>
      <w:r>
        <w:t>The Applicant states that the</w:t>
      </w:r>
      <w:r w:rsidR="00401736">
        <w:t xml:space="preserve"> ASC’s singular focus on GI-</w:t>
      </w:r>
      <w:r w:rsidR="00A32119">
        <w:t>related endoscopy services</w:t>
      </w:r>
      <w:r w:rsidR="00401736">
        <w:t>, will</w:t>
      </w:r>
      <w:r>
        <w:t xml:space="preserve"> “maximize operational </w:t>
      </w:r>
      <w:r w:rsidR="00401736">
        <w:t xml:space="preserve">efficiencies” due to the ability to limit the range of supplies, equipment, and staff needed </w:t>
      </w:r>
      <w:r w:rsidR="00982C9B">
        <w:t xml:space="preserve">to support the </w:t>
      </w:r>
      <w:r w:rsidR="00CE58E4">
        <w:t xml:space="preserve">procedures at the </w:t>
      </w:r>
      <w:r w:rsidR="00982C9B">
        <w:t>ASC</w:t>
      </w:r>
      <w:r w:rsidR="00401736">
        <w:t xml:space="preserve">. </w:t>
      </w:r>
    </w:p>
    <w:p w14:paraId="6D281ABD" w14:textId="09A718E6" w:rsidR="00C468F9" w:rsidRPr="00E55F87" w:rsidRDefault="00C468F9" w:rsidP="00BC2AC4">
      <w:pPr>
        <w:pStyle w:val="ListParagraph"/>
        <w:ind w:left="720" w:firstLine="0"/>
      </w:pPr>
    </w:p>
    <w:p w14:paraId="01C2B115" w14:textId="366DACCA" w:rsidR="00ED5647" w:rsidRDefault="00ED5647" w:rsidP="00C316C3">
      <w:pPr>
        <w:tabs>
          <w:tab w:val="left" w:pos="1390"/>
        </w:tabs>
      </w:pPr>
      <w:r w:rsidRPr="00BC2AC4">
        <w:rPr>
          <w:b/>
          <w:bCs/>
        </w:rPr>
        <w:lastRenderedPageBreak/>
        <w:t>Follow-up Care</w:t>
      </w:r>
      <w:r w:rsidR="002B5F4B">
        <w:rPr>
          <w:b/>
          <w:bCs/>
        </w:rPr>
        <w:t>:</w:t>
      </w:r>
    </w:p>
    <w:p w14:paraId="4B46EC6E" w14:textId="4DFD9901" w:rsidR="00ED5647" w:rsidRDefault="00ED5647" w:rsidP="00ED5647">
      <w:pPr>
        <w:pStyle w:val="ListParagraph"/>
        <w:numPr>
          <w:ilvl w:val="0"/>
          <w:numId w:val="50"/>
        </w:numPr>
      </w:pPr>
      <w:r>
        <w:t>The Applicant states</w:t>
      </w:r>
      <w:r w:rsidR="008F28C1">
        <w:t xml:space="preserve"> that a</w:t>
      </w:r>
      <w:r w:rsidR="002B5F4B">
        <w:t xml:space="preserve">ll </w:t>
      </w:r>
      <w:r w:rsidR="008F28C1">
        <w:t xml:space="preserve">follow-up care is conducted at the physician’s practice location. </w:t>
      </w:r>
    </w:p>
    <w:p w14:paraId="15546072" w14:textId="77777777" w:rsidR="008F28C1" w:rsidRPr="00E55F87" w:rsidRDefault="008F28C1" w:rsidP="00BC2AC4">
      <w:pPr>
        <w:pStyle w:val="ListParagraph"/>
        <w:ind w:left="720" w:firstLine="0"/>
      </w:pPr>
    </w:p>
    <w:p w14:paraId="550AD8B9" w14:textId="08F93E52" w:rsidR="00B447F3" w:rsidRDefault="00A4110F" w:rsidP="00C316C3">
      <w:pPr>
        <w:tabs>
          <w:tab w:val="left" w:pos="1390"/>
        </w:tabs>
        <w:rPr>
          <w:rFonts w:asciiTheme="minorHAnsi" w:hAnsiTheme="minorHAnsi"/>
          <w:b/>
          <w:bCs/>
          <w:i/>
          <w:iCs/>
          <w:szCs w:val="24"/>
        </w:rPr>
      </w:pPr>
      <w:r w:rsidRPr="00F06B37">
        <w:rPr>
          <w:rFonts w:asciiTheme="minorHAnsi" w:hAnsiTheme="minorHAnsi"/>
          <w:b/>
          <w:bCs/>
          <w:i/>
          <w:iCs/>
          <w:szCs w:val="24"/>
        </w:rPr>
        <w:t>Analysis</w:t>
      </w:r>
      <w:r w:rsidR="0064204E">
        <w:rPr>
          <w:rFonts w:asciiTheme="minorHAnsi" w:hAnsiTheme="minorHAnsi"/>
          <w:b/>
          <w:bCs/>
          <w:i/>
          <w:iCs/>
          <w:szCs w:val="24"/>
        </w:rPr>
        <w:tab/>
      </w:r>
    </w:p>
    <w:p w14:paraId="77887A9C" w14:textId="64A23C47" w:rsidR="00006497" w:rsidRDefault="00921F22" w:rsidP="00C316C3">
      <w:pPr>
        <w:rPr>
          <w:rFonts w:asciiTheme="minorHAnsi" w:hAnsiTheme="minorHAnsi"/>
          <w:szCs w:val="24"/>
        </w:rPr>
      </w:pPr>
      <w:r w:rsidRPr="00921F22">
        <w:rPr>
          <w:rFonts w:asciiTheme="minorHAnsi" w:hAnsiTheme="minorHAnsi"/>
          <w:szCs w:val="24"/>
        </w:rPr>
        <w:t xml:space="preserve">Staff finds that the Applicant’s care coordination will </w:t>
      </w:r>
      <w:r w:rsidR="00CE58E4">
        <w:rPr>
          <w:rFonts w:asciiTheme="minorHAnsi" w:hAnsiTheme="minorHAnsi"/>
          <w:szCs w:val="24"/>
        </w:rPr>
        <w:t xml:space="preserve">continue to </w:t>
      </w:r>
      <w:r w:rsidRPr="00921F22">
        <w:rPr>
          <w:rFonts w:asciiTheme="minorHAnsi" w:hAnsiTheme="minorHAnsi"/>
          <w:szCs w:val="24"/>
        </w:rPr>
        <w:t>contribute to efficiency, continuity, and coordination of care.</w:t>
      </w:r>
      <w:r>
        <w:rPr>
          <w:rFonts w:asciiTheme="minorHAnsi" w:hAnsiTheme="minorHAnsi"/>
          <w:szCs w:val="24"/>
        </w:rPr>
        <w:t xml:space="preserve"> The Applicant </w:t>
      </w:r>
      <w:r w:rsidR="001871E5">
        <w:rPr>
          <w:rFonts w:asciiTheme="minorHAnsi" w:hAnsiTheme="minorHAnsi"/>
          <w:szCs w:val="24"/>
        </w:rPr>
        <w:t>demonstrated</w:t>
      </w:r>
      <w:r>
        <w:rPr>
          <w:rFonts w:asciiTheme="minorHAnsi" w:hAnsiTheme="minorHAnsi"/>
          <w:szCs w:val="24"/>
        </w:rPr>
        <w:t xml:space="preserve"> </w:t>
      </w:r>
      <w:r w:rsidR="001070C5">
        <w:rPr>
          <w:rFonts w:asciiTheme="minorHAnsi" w:hAnsiTheme="minorHAnsi"/>
          <w:szCs w:val="24"/>
        </w:rPr>
        <w:t>appropriate</w:t>
      </w:r>
      <w:r>
        <w:rPr>
          <w:rFonts w:asciiTheme="minorHAnsi" w:hAnsiTheme="minorHAnsi"/>
          <w:szCs w:val="24"/>
        </w:rPr>
        <w:t xml:space="preserve"> </w:t>
      </w:r>
      <w:r w:rsidR="001070C5">
        <w:rPr>
          <w:rFonts w:asciiTheme="minorHAnsi" w:hAnsiTheme="minorHAnsi"/>
          <w:szCs w:val="24"/>
        </w:rPr>
        <w:t>maintenance and sharing of</w:t>
      </w:r>
      <w:r w:rsidR="00006497">
        <w:rPr>
          <w:rFonts w:asciiTheme="minorHAnsi" w:hAnsiTheme="minorHAnsi"/>
          <w:szCs w:val="24"/>
        </w:rPr>
        <w:t xml:space="preserve"> patient records</w:t>
      </w:r>
      <w:r w:rsidR="001070C5">
        <w:rPr>
          <w:rFonts w:asciiTheme="minorHAnsi" w:hAnsiTheme="minorHAnsi"/>
          <w:szCs w:val="24"/>
        </w:rPr>
        <w:t xml:space="preserve"> as well as</w:t>
      </w:r>
      <w:r w:rsidR="00006497">
        <w:rPr>
          <w:rFonts w:asciiTheme="minorHAnsi" w:hAnsiTheme="minorHAnsi"/>
          <w:szCs w:val="24"/>
        </w:rPr>
        <w:t xml:space="preserve"> </w:t>
      </w:r>
      <w:r>
        <w:rPr>
          <w:rFonts w:asciiTheme="minorHAnsi" w:hAnsiTheme="minorHAnsi"/>
          <w:szCs w:val="24"/>
        </w:rPr>
        <w:t>communication with patients</w:t>
      </w:r>
      <w:r w:rsidR="001070C5">
        <w:rPr>
          <w:rFonts w:asciiTheme="minorHAnsi" w:hAnsiTheme="minorHAnsi"/>
          <w:szCs w:val="24"/>
        </w:rPr>
        <w:t xml:space="preserve"> and providers</w:t>
      </w:r>
      <w:r>
        <w:rPr>
          <w:rFonts w:asciiTheme="minorHAnsi" w:hAnsiTheme="minorHAnsi"/>
          <w:szCs w:val="24"/>
        </w:rPr>
        <w:t>, pre</w:t>
      </w:r>
      <w:r w:rsidR="0049690C">
        <w:rPr>
          <w:rFonts w:asciiTheme="minorHAnsi" w:hAnsiTheme="minorHAnsi"/>
          <w:szCs w:val="24"/>
        </w:rPr>
        <w:t>-</w:t>
      </w:r>
      <w:r>
        <w:rPr>
          <w:rFonts w:asciiTheme="minorHAnsi" w:hAnsiTheme="minorHAnsi"/>
          <w:szCs w:val="24"/>
        </w:rPr>
        <w:t xml:space="preserve"> and post</w:t>
      </w:r>
      <w:r w:rsidR="0049690C">
        <w:rPr>
          <w:rFonts w:asciiTheme="minorHAnsi" w:hAnsiTheme="minorHAnsi"/>
          <w:szCs w:val="24"/>
        </w:rPr>
        <w:t>-</w:t>
      </w:r>
      <w:r>
        <w:rPr>
          <w:rFonts w:asciiTheme="minorHAnsi" w:hAnsiTheme="minorHAnsi"/>
          <w:szCs w:val="24"/>
        </w:rPr>
        <w:t xml:space="preserve">operatively, </w:t>
      </w:r>
      <w:r w:rsidR="000F4096">
        <w:rPr>
          <w:rFonts w:asciiTheme="minorHAnsi" w:hAnsiTheme="minorHAnsi"/>
          <w:szCs w:val="24"/>
        </w:rPr>
        <w:t>to</w:t>
      </w:r>
      <w:r>
        <w:rPr>
          <w:rFonts w:asciiTheme="minorHAnsi" w:hAnsiTheme="minorHAnsi"/>
          <w:szCs w:val="24"/>
        </w:rPr>
        <w:t xml:space="preserve"> </w:t>
      </w:r>
      <w:r w:rsidR="000F4096">
        <w:rPr>
          <w:rFonts w:asciiTheme="minorHAnsi" w:hAnsiTheme="minorHAnsi"/>
          <w:szCs w:val="24"/>
        </w:rPr>
        <w:t>track</w:t>
      </w:r>
      <w:r>
        <w:rPr>
          <w:rFonts w:asciiTheme="minorHAnsi" w:hAnsiTheme="minorHAnsi"/>
          <w:szCs w:val="24"/>
        </w:rPr>
        <w:t xml:space="preserve"> patient progress and to </w:t>
      </w:r>
      <w:r w:rsidR="00006497">
        <w:rPr>
          <w:rFonts w:asciiTheme="minorHAnsi" w:hAnsiTheme="minorHAnsi"/>
          <w:szCs w:val="24"/>
        </w:rPr>
        <w:t>promote better health outcomes</w:t>
      </w:r>
      <w:r>
        <w:rPr>
          <w:rFonts w:asciiTheme="minorHAnsi" w:hAnsiTheme="minorHAnsi"/>
          <w:szCs w:val="24"/>
        </w:rPr>
        <w:t xml:space="preserve">. </w:t>
      </w:r>
      <w:r w:rsidR="00006497" w:rsidRPr="00006497">
        <w:rPr>
          <w:rFonts w:asciiTheme="minorHAnsi" w:hAnsiTheme="minorHAnsi"/>
          <w:szCs w:val="24"/>
        </w:rPr>
        <w:t>As a result, Staff finds that the Proposed Project meets the requirements of Factor 1c.</w:t>
      </w:r>
    </w:p>
    <w:p w14:paraId="47753AFA" w14:textId="77777777" w:rsidR="009758DC" w:rsidRDefault="009758DC" w:rsidP="00C316C3">
      <w:pPr>
        <w:rPr>
          <w:rFonts w:asciiTheme="minorHAnsi" w:hAnsiTheme="minorHAnsi"/>
          <w:szCs w:val="24"/>
        </w:rPr>
      </w:pPr>
    </w:p>
    <w:p w14:paraId="51996762" w14:textId="77777777" w:rsidR="00C30A67" w:rsidRPr="00006497" w:rsidRDefault="00C30A67" w:rsidP="00C316C3">
      <w:pPr>
        <w:rPr>
          <w:rFonts w:asciiTheme="minorHAnsi" w:hAnsiTheme="minorHAnsi"/>
          <w:szCs w:val="24"/>
        </w:rPr>
      </w:pPr>
    </w:p>
    <w:p w14:paraId="1C366B98" w14:textId="4A874E8F" w:rsidR="00B447F3" w:rsidRPr="003436F0" w:rsidRDefault="00A4110F" w:rsidP="00C316C3">
      <w:pPr>
        <w:pStyle w:val="Heading1"/>
        <w:ind w:left="0"/>
        <w:jc w:val="both"/>
        <w:rPr>
          <w:rFonts w:asciiTheme="minorHAnsi" w:hAnsiTheme="minorHAnsi"/>
        </w:rPr>
      </w:pPr>
      <w:bookmarkStart w:id="11" w:name="Factor_1:_d)_Consultation"/>
      <w:bookmarkStart w:id="12" w:name="_Toc207953797"/>
      <w:bookmarkEnd w:id="11"/>
      <w:r w:rsidRPr="003436F0">
        <w:rPr>
          <w:rFonts w:asciiTheme="minorHAnsi" w:hAnsiTheme="minorHAnsi"/>
          <w:color w:val="42558C"/>
        </w:rPr>
        <w:t>Factor 1: d) Consultation</w:t>
      </w:r>
      <w:bookmarkEnd w:id="12"/>
    </w:p>
    <w:p w14:paraId="6ECA67A1" w14:textId="77777777" w:rsidR="00B447F3" w:rsidRDefault="00A4110F" w:rsidP="00C316C3">
      <w:pPr>
        <w:pStyle w:val="BodyText"/>
        <w:ind w:right="484"/>
        <w:jc w:val="both"/>
        <w:rPr>
          <w:rFonts w:asciiTheme="minorHAnsi" w:hAnsiTheme="minorHAnsi"/>
        </w:rPr>
      </w:pPr>
      <w:r w:rsidRPr="003436F0">
        <w:rPr>
          <w:rFonts w:asciiTheme="minorHAnsi" w:hAnsiTheme="minorHAnsi"/>
        </w:rPr>
        <w:t>The Applicant has provided evidence of consultation, both prior to and after the Filing Date, with all government agencies that have licensure, certification, or other regulatory oversight, which has been done and will not be addressed further in this report.</w:t>
      </w:r>
    </w:p>
    <w:p w14:paraId="382D4CD2" w14:textId="77777777" w:rsidR="00350EC1" w:rsidRDefault="00350EC1" w:rsidP="00C316C3">
      <w:pPr>
        <w:pStyle w:val="Heading1"/>
        <w:ind w:left="0" w:right="496"/>
        <w:rPr>
          <w:rFonts w:asciiTheme="minorHAnsi" w:hAnsiTheme="minorHAnsi"/>
          <w:color w:val="42558C"/>
        </w:rPr>
      </w:pPr>
    </w:p>
    <w:p w14:paraId="2310ECB2" w14:textId="77777777" w:rsidR="00350EC1" w:rsidRDefault="00350EC1" w:rsidP="00C316C3">
      <w:pPr>
        <w:pStyle w:val="Heading1"/>
        <w:ind w:left="0" w:right="496"/>
        <w:rPr>
          <w:rFonts w:asciiTheme="minorHAnsi" w:hAnsiTheme="minorHAnsi"/>
          <w:color w:val="42558C"/>
        </w:rPr>
      </w:pPr>
    </w:p>
    <w:p w14:paraId="3BE4534C" w14:textId="6B11C073" w:rsidR="00B447F3" w:rsidRPr="003436F0" w:rsidRDefault="00A4110F" w:rsidP="00C316C3">
      <w:pPr>
        <w:pStyle w:val="Heading1"/>
        <w:ind w:left="0" w:right="496"/>
        <w:rPr>
          <w:rFonts w:asciiTheme="minorHAnsi" w:hAnsiTheme="minorHAnsi"/>
        </w:rPr>
      </w:pPr>
      <w:bookmarkStart w:id="13" w:name="Factor_1:_e)_Evidence_of_Sound_Community"/>
      <w:bookmarkStart w:id="14" w:name="_Toc207953798"/>
      <w:bookmarkEnd w:id="13"/>
      <w:r w:rsidRPr="003436F0">
        <w:rPr>
          <w:rFonts w:asciiTheme="minorHAnsi" w:hAnsiTheme="minorHAnsi"/>
          <w:color w:val="42558C"/>
        </w:rPr>
        <w:t>Factor 1: e) Evidence of Sound Community Engagement through the Patient Panel</w:t>
      </w:r>
      <w:bookmarkEnd w:id="14"/>
    </w:p>
    <w:p w14:paraId="141CD647" w14:textId="77777777" w:rsidR="00232313" w:rsidRDefault="00232313" w:rsidP="00C316C3">
      <w:pPr>
        <w:pStyle w:val="BodyText"/>
        <w:ind w:right="259"/>
        <w:rPr>
          <w:rFonts w:asciiTheme="minorHAnsi" w:hAnsiTheme="minorHAnsi"/>
        </w:rPr>
      </w:pPr>
    </w:p>
    <w:p w14:paraId="415C51CB" w14:textId="3C913D60" w:rsidR="00B447F3" w:rsidRDefault="00A4110F" w:rsidP="00C316C3">
      <w:pPr>
        <w:pStyle w:val="BodyText"/>
        <w:ind w:right="259"/>
        <w:rPr>
          <w:rFonts w:asciiTheme="minorHAnsi" w:hAnsiTheme="minorHAnsi"/>
          <w:position w:val="10"/>
          <w:sz w:val="14"/>
          <w:szCs w:val="14"/>
        </w:rPr>
      </w:pPr>
      <w:r w:rsidRPr="0162C5FD">
        <w:rPr>
          <w:rFonts w:asciiTheme="minorHAnsi" w:hAnsiTheme="minorHAnsi"/>
        </w:rPr>
        <w:t>The Department’s Guideline</w:t>
      </w:r>
      <w:r w:rsidRPr="00365592">
        <w:rPr>
          <w:rFonts w:asciiTheme="minorHAnsi" w:hAnsiTheme="minorHAnsi"/>
          <w:position w:val="10"/>
          <w:sz w:val="14"/>
          <w:szCs w:val="14"/>
          <w:vertAlign w:val="superscript"/>
        </w:rPr>
        <w:t>dd</w:t>
      </w:r>
      <w:r w:rsidRPr="0162C5FD">
        <w:rPr>
          <w:rFonts w:asciiTheme="minorHAnsi" w:hAnsiTheme="minorHAnsi"/>
          <w:position w:val="10"/>
          <w:sz w:val="14"/>
          <w:szCs w:val="14"/>
        </w:rPr>
        <w:t xml:space="preserve"> </w:t>
      </w:r>
      <w:r w:rsidRPr="0162C5FD">
        <w:rPr>
          <w:rFonts w:asciiTheme="minorHAnsi" w:hAnsiTheme="minorHAnsi"/>
        </w:rPr>
        <w:t>for community engagement defines “community” as the Patient Panel,</w:t>
      </w:r>
      <w:r w:rsidRPr="0162C5FD">
        <w:rPr>
          <w:rFonts w:asciiTheme="minorHAnsi" w:hAnsiTheme="minorHAnsi"/>
          <w:spacing w:val="-3"/>
        </w:rPr>
        <w:t xml:space="preserve"> </w:t>
      </w:r>
      <w:r w:rsidRPr="0162C5FD">
        <w:rPr>
          <w:rFonts w:asciiTheme="minorHAnsi" w:hAnsiTheme="minorHAnsi"/>
        </w:rPr>
        <w:t>and</w:t>
      </w:r>
      <w:r w:rsidRPr="0162C5FD">
        <w:rPr>
          <w:rFonts w:asciiTheme="minorHAnsi" w:hAnsiTheme="minorHAnsi"/>
          <w:spacing w:val="-4"/>
        </w:rPr>
        <w:t xml:space="preserve"> </w:t>
      </w:r>
      <w:r w:rsidRPr="0162C5FD">
        <w:rPr>
          <w:rFonts w:asciiTheme="minorHAnsi" w:hAnsiTheme="minorHAnsi"/>
        </w:rPr>
        <w:t>requires</w:t>
      </w:r>
      <w:r w:rsidRPr="0162C5FD">
        <w:rPr>
          <w:rFonts w:asciiTheme="minorHAnsi" w:hAnsiTheme="minorHAnsi"/>
          <w:spacing w:val="-4"/>
        </w:rPr>
        <w:t xml:space="preserve"> </w:t>
      </w:r>
      <w:r w:rsidRPr="0162C5FD">
        <w:rPr>
          <w:rFonts w:asciiTheme="minorHAnsi" w:hAnsiTheme="minorHAnsi"/>
        </w:rPr>
        <w:t>that</w:t>
      </w:r>
      <w:r w:rsidRPr="0162C5FD">
        <w:rPr>
          <w:rFonts w:asciiTheme="minorHAnsi" w:hAnsiTheme="minorHAnsi"/>
          <w:spacing w:val="-4"/>
        </w:rPr>
        <w:t xml:space="preserve"> </w:t>
      </w:r>
      <w:r w:rsidRPr="0162C5FD">
        <w:rPr>
          <w:rFonts w:asciiTheme="minorHAnsi" w:hAnsiTheme="minorHAnsi"/>
        </w:rPr>
        <w:t>at</w:t>
      </w:r>
      <w:r w:rsidRPr="0162C5FD">
        <w:rPr>
          <w:rFonts w:asciiTheme="minorHAnsi" w:hAnsiTheme="minorHAnsi"/>
          <w:spacing w:val="-5"/>
        </w:rPr>
        <w:t xml:space="preserve"> </w:t>
      </w:r>
      <w:r w:rsidRPr="0162C5FD">
        <w:rPr>
          <w:rFonts w:asciiTheme="minorHAnsi" w:hAnsiTheme="minorHAnsi"/>
        </w:rPr>
        <w:t>minimum,</w:t>
      </w:r>
      <w:r w:rsidRPr="0162C5FD">
        <w:rPr>
          <w:rFonts w:asciiTheme="minorHAnsi" w:hAnsiTheme="minorHAnsi"/>
          <w:spacing w:val="-3"/>
        </w:rPr>
        <w:t xml:space="preserve"> </w:t>
      </w:r>
      <w:r w:rsidRPr="0162C5FD">
        <w:rPr>
          <w:rFonts w:asciiTheme="minorHAnsi" w:hAnsiTheme="minorHAnsi"/>
        </w:rPr>
        <w:t>the</w:t>
      </w:r>
      <w:r w:rsidRPr="0162C5FD">
        <w:rPr>
          <w:rFonts w:asciiTheme="minorHAnsi" w:hAnsiTheme="minorHAnsi"/>
          <w:spacing w:val="-3"/>
        </w:rPr>
        <w:t xml:space="preserve"> </w:t>
      </w:r>
      <w:r w:rsidRPr="0162C5FD">
        <w:rPr>
          <w:rFonts w:asciiTheme="minorHAnsi" w:hAnsiTheme="minorHAnsi"/>
        </w:rPr>
        <w:t>Applicant</w:t>
      </w:r>
      <w:r w:rsidRPr="0162C5FD">
        <w:rPr>
          <w:rFonts w:asciiTheme="minorHAnsi" w:hAnsiTheme="minorHAnsi"/>
          <w:spacing w:val="-5"/>
        </w:rPr>
        <w:t xml:space="preserve"> </w:t>
      </w:r>
      <w:r w:rsidRPr="0162C5FD">
        <w:rPr>
          <w:rFonts w:asciiTheme="minorHAnsi" w:hAnsiTheme="minorHAnsi"/>
        </w:rPr>
        <w:t>must</w:t>
      </w:r>
      <w:r w:rsidRPr="0162C5FD">
        <w:rPr>
          <w:rFonts w:asciiTheme="minorHAnsi" w:hAnsiTheme="minorHAnsi"/>
          <w:spacing w:val="-4"/>
        </w:rPr>
        <w:t xml:space="preserve"> </w:t>
      </w:r>
      <w:r w:rsidRPr="0162C5FD">
        <w:rPr>
          <w:rFonts w:asciiTheme="minorHAnsi" w:hAnsiTheme="minorHAnsi"/>
        </w:rPr>
        <w:t>“consult”</w:t>
      </w:r>
      <w:r w:rsidRPr="0162C5FD">
        <w:rPr>
          <w:rFonts w:asciiTheme="minorHAnsi" w:hAnsiTheme="minorHAnsi"/>
          <w:spacing w:val="-3"/>
        </w:rPr>
        <w:t xml:space="preserve"> </w:t>
      </w:r>
      <w:r w:rsidRPr="0162C5FD">
        <w:rPr>
          <w:rFonts w:asciiTheme="minorHAnsi" w:hAnsiTheme="minorHAnsi"/>
        </w:rPr>
        <w:t>with</w:t>
      </w:r>
      <w:r w:rsidRPr="0162C5FD">
        <w:rPr>
          <w:rFonts w:asciiTheme="minorHAnsi" w:hAnsiTheme="minorHAnsi"/>
          <w:spacing w:val="-3"/>
        </w:rPr>
        <w:t xml:space="preserve"> </w:t>
      </w:r>
      <w:r w:rsidRPr="0162C5FD">
        <w:rPr>
          <w:rFonts w:asciiTheme="minorHAnsi" w:hAnsiTheme="minorHAnsi"/>
        </w:rPr>
        <w:t>groups</w:t>
      </w:r>
      <w:r w:rsidRPr="0162C5FD">
        <w:rPr>
          <w:rFonts w:asciiTheme="minorHAnsi" w:hAnsiTheme="minorHAnsi"/>
          <w:spacing w:val="-5"/>
        </w:rPr>
        <w:t xml:space="preserve"> </w:t>
      </w:r>
      <w:r w:rsidRPr="0162C5FD">
        <w:rPr>
          <w:rFonts w:asciiTheme="minorHAnsi" w:hAnsiTheme="minorHAnsi"/>
        </w:rPr>
        <w:t>representative</w:t>
      </w:r>
      <w:r w:rsidRPr="0162C5FD">
        <w:rPr>
          <w:rFonts w:asciiTheme="minorHAnsi" w:hAnsiTheme="minorHAnsi"/>
          <w:spacing w:val="-2"/>
        </w:rPr>
        <w:t xml:space="preserve"> </w:t>
      </w:r>
      <w:r w:rsidRPr="0162C5FD">
        <w:rPr>
          <w:rFonts w:asciiTheme="minorHAnsi" w:hAnsiTheme="minorHAnsi"/>
        </w:rPr>
        <w:t>of</w:t>
      </w:r>
      <w:r w:rsidRPr="0162C5FD">
        <w:rPr>
          <w:rFonts w:asciiTheme="minorHAnsi" w:hAnsiTheme="minorHAnsi"/>
          <w:spacing w:val="-4"/>
        </w:rPr>
        <w:t xml:space="preserve"> </w:t>
      </w:r>
      <w:r w:rsidRPr="0162C5FD">
        <w:rPr>
          <w:rFonts w:asciiTheme="minorHAnsi" w:hAnsiTheme="minorHAnsi"/>
        </w:rPr>
        <w:t>the Applicant's Patient Panel. Regulations state that efforts in such consultation should consist of engaging “community coalitions statistically representative of the Patient</w:t>
      </w:r>
      <w:r w:rsidRPr="0162C5FD">
        <w:rPr>
          <w:rFonts w:asciiTheme="minorHAnsi" w:hAnsiTheme="minorHAnsi"/>
          <w:spacing w:val="-14"/>
        </w:rPr>
        <w:t xml:space="preserve"> </w:t>
      </w:r>
      <w:r w:rsidRPr="0162C5FD">
        <w:rPr>
          <w:rFonts w:asciiTheme="minorHAnsi" w:hAnsiTheme="minorHAnsi"/>
        </w:rPr>
        <w:t>Panel.”</w:t>
      </w:r>
    </w:p>
    <w:p w14:paraId="68FBA6FA" w14:textId="77777777" w:rsidR="001833D2" w:rsidRDefault="001833D2" w:rsidP="00C316C3">
      <w:pPr>
        <w:pStyle w:val="BodyText"/>
        <w:ind w:right="259"/>
        <w:rPr>
          <w:rFonts w:asciiTheme="minorHAnsi" w:hAnsiTheme="minorHAnsi"/>
          <w:position w:val="10"/>
          <w:sz w:val="14"/>
          <w:szCs w:val="14"/>
        </w:rPr>
      </w:pPr>
    </w:p>
    <w:p w14:paraId="567CBF8C" w14:textId="77777777" w:rsidR="00252BB9" w:rsidRDefault="006E4ADF" w:rsidP="00C316C3">
      <w:r>
        <w:t>To fulfill the community engagement requirement, the Applicant took the actions described below.</w:t>
      </w:r>
    </w:p>
    <w:p w14:paraId="00EC7C87" w14:textId="77777777" w:rsidR="00252BB9" w:rsidRDefault="00252BB9" w:rsidP="00C316C3"/>
    <w:p w14:paraId="570A21D3" w14:textId="56251A9F" w:rsidR="006E4ADF" w:rsidRDefault="00252BB9" w:rsidP="00C316C3">
      <w:r w:rsidRPr="00252BB9">
        <w:rPr>
          <w:b/>
          <w:bCs/>
        </w:rPr>
        <w:t>Emerson Hospital Patient and Family Advisory Council</w:t>
      </w:r>
      <w:r w:rsidR="007A0122">
        <w:rPr>
          <w:b/>
          <w:bCs/>
        </w:rPr>
        <w:t xml:space="preserve"> (PFAC)</w:t>
      </w:r>
      <w:r>
        <w:t xml:space="preserve">: </w:t>
      </w:r>
      <w:r w:rsidR="00AC1E3C">
        <w:t>The Center’s</w:t>
      </w:r>
      <w:r w:rsidR="007A0122">
        <w:t xml:space="preserve"> Administrator and Director of Nursing discussed need for the Proposed Project at Emerson Hospital’s PFAC meeting on November 21, 2024. </w:t>
      </w:r>
      <w:r w:rsidR="0086101C">
        <w:t xml:space="preserve">The Applicant states that PFAC members inquired about the relationship between Emerson Hospital and </w:t>
      </w:r>
      <w:r w:rsidR="00FB3067">
        <w:t>the Center</w:t>
      </w:r>
      <w:r w:rsidR="0086101C">
        <w:t xml:space="preserve">, projected volume at </w:t>
      </w:r>
      <w:r w:rsidR="00FB3067">
        <w:t>the Center</w:t>
      </w:r>
      <w:r w:rsidR="0086101C">
        <w:t xml:space="preserve"> and </w:t>
      </w:r>
      <w:r w:rsidR="00FB3067">
        <w:t>the Center’s</w:t>
      </w:r>
      <w:r w:rsidR="0086101C">
        <w:t xml:space="preserve"> staffing plans. The Applicant states further that the PFAC provided positive feedback and was supportive of the Proposed Project</w:t>
      </w:r>
      <w:r w:rsidR="00AD5DA1">
        <w:t xml:space="preserve"> because of the </w:t>
      </w:r>
      <w:r w:rsidR="00364D5F">
        <w:t xml:space="preserve">associated </w:t>
      </w:r>
      <w:r w:rsidR="00AD5DA1">
        <w:t xml:space="preserve">quality, convenience, and cost. </w:t>
      </w:r>
      <w:r w:rsidR="009758DC">
        <w:t>There were 15 attendees including 13 PFAC members and two</w:t>
      </w:r>
      <w:r w:rsidR="00EA2A93">
        <w:t xml:space="preserve"> of the Center’s</w:t>
      </w:r>
      <w:r w:rsidR="009758DC">
        <w:t xml:space="preserve"> staff members. </w:t>
      </w:r>
    </w:p>
    <w:p w14:paraId="281A942E" w14:textId="77777777" w:rsidR="008D7DAD" w:rsidRDefault="008D7DAD" w:rsidP="00C316C3"/>
    <w:p w14:paraId="631AE124" w14:textId="192A2722" w:rsidR="008D7DAD" w:rsidRPr="00FF3BCD" w:rsidRDefault="00245288" w:rsidP="00C316C3">
      <w:r w:rsidRPr="00245288">
        <w:rPr>
          <w:b/>
          <w:bCs/>
        </w:rPr>
        <w:t xml:space="preserve">Educational Flyers: </w:t>
      </w:r>
      <w:r w:rsidR="00FF3BCD">
        <w:t xml:space="preserve">The Applicant states that it posted educational flyers at </w:t>
      </w:r>
      <w:r w:rsidR="00FB3067">
        <w:t>the Center</w:t>
      </w:r>
      <w:r w:rsidR="00FF3BCD">
        <w:t xml:space="preserve"> with information about the Proposed Project, information about the importance of cancer screening, and information on how to ask questions about the Proposed Project and provide feedback on the Proposed Project. The Applicant states that the flyers were intended to inform and engage current patients</w:t>
      </w:r>
      <w:r w:rsidR="00A744CA">
        <w:t xml:space="preserve"> of the Center</w:t>
      </w:r>
      <w:r w:rsidR="00FF3BCD">
        <w:t xml:space="preserve">. </w:t>
      </w:r>
      <w:r w:rsidR="002A7827">
        <w:t xml:space="preserve">The Applicant did not receive any feedback on the Center’s patient education materials. The Applicant notes that the flyers remain posted around the Center. </w:t>
      </w:r>
    </w:p>
    <w:p w14:paraId="6A7095C6" w14:textId="77777777" w:rsidR="00AD5DA1" w:rsidRDefault="00AD5DA1" w:rsidP="00C316C3"/>
    <w:p w14:paraId="273EC888" w14:textId="46620DEF" w:rsidR="00AD5DA1" w:rsidRPr="006E4ADF" w:rsidRDefault="00AD5DA1" w:rsidP="00C316C3">
      <w:r w:rsidRPr="008D7DAD">
        <w:rPr>
          <w:b/>
          <w:bCs/>
        </w:rPr>
        <w:t>Legal Notices:</w:t>
      </w:r>
      <w:r>
        <w:t xml:space="preserve"> The Applicant states that it published two legal notices announcing the </w:t>
      </w:r>
      <w:r w:rsidR="008D7DAD">
        <w:t>Proposed</w:t>
      </w:r>
      <w:r>
        <w:t xml:space="preserve"> </w:t>
      </w:r>
      <w:r>
        <w:lastRenderedPageBreak/>
        <w:t>Project</w:t>
      </w:r>
      <w:r w:rsidR="00D22A6A">
        <w:t xml:space="preserve"> </w:t>
      </w:r>
      <w:r>
        <w:t xml:space="preserve">in the Boston Herald on February 28, 2025 and </w:t>
      </w:r>
      <w:r w:rsidR="00D22A6A">
        <w:t xml:space="preserve">also posted a copy of the legal notice on </w:t>
      </w:r>
      <w:r w:rsidR="00A744CA">
        <w:t>the Center’s</w:t>
      </w:r>
      <w:r w:rsidR="00D22A6A">
        <w:t xml:space="preserve"> website. </w:t>
      </w:r>
    </w:p>
    <w:p w14:paraId="6572644E" w14:textId="77777777" w:rsidR="00DE0F50" w:rsidRPr="00556DCC" w:rsidRDefault="00DE0F50" w:rsidP="00C316C3"/>
    <w:p w14:paraId="1B7CB00F" w14:textId="0E446AC9" w:rsidR="003A7B86" w:rsidRDefault="00A4110F" w:rsidP="00C316C3">
      <w:pPr>
        <w:rPr>
          <w:rFonts w:asciiTheme="minorHAnsi" w:hAnsiTheme="minorHAnsi"/>
          <w:b/>
          <w:bCs/>
          <w:i/>
          <w:iCs/>
          <w:szCs w:val="24"/>
        </w:rPr>
      </w:pPr>
      <w:r w:rsidRPr="004D5540">
        <w:rPr>
          <w:rFonts w:asciiTheme="minorHAnsi" w:hAnsiTheme="minorHAnsi"/>
          <w:b/>
          <w:bCs/>
          <w:i/>
          <w:iCs/>
          <w:szCs w:val="24"/>
        </w:rPr>
        <w:t>Analysis</w:t>
      </w:r>
    </w:p>
    <w:p w14:paraId="0999036E" w14:textId="3C0EB684" w:rsidR="003346BB" w:rsidRPr="003A7B86" w:rsidRDefault="003346BB" w:rsidP="00C316C3">
      <w:pPr>
        <w:rPr>
          <w:rFonts w:asciiTheme="minorHAnsi" w:hAnsiTheme="minorHAnsi"/>
          <w:b/>
          <w:bCs/>
          <w:i/>
          <w:iCs/>
          <w:szCs w:val="24"/>
        </w:rPr>
      </w:pPr>
      <w:r w:rsidRPr="004D5540">
        <w:rPr>
          <w:rFonts w:asciiTheme="minorHAnsi" w:hAnsiTheme="minorHAnsi"/>
          <w:szCs w:val="24"/>
        </w:rPr>
        <w:t xml:space="preserve">Staff reviewed the information on the Applicant’s community engagement and finds that </w:t>
      </w:r>
    </w:p>
    <w:p w14:paraId="694BB32B" w14:textId="522F1850" w:rsidR="00D9518F" w:rsidRDefault="003346BB" w:rsidP="00C316C3">
      <w:pPr>
        <w:rPr>
          <w:rFonts w:asciiTheme="minorHAnsi" w:hAnsiTheme="minorHAnsi"/>
        </w:rPr>
      </w:pPr>
      <w:r w:rsidRPr="6A75FF2F">
        <w:rPr>
          <w:rFonts w:asciiTheme="minorHAnsi" w:hAnsiTheme="minorHAnsi"/>
        </w:rPr>
        <w:t>the Applicant has met the required community engagement standard of Consult</w:t>
      </w:r>
      <w:r w:rsidR="003A7B86" w:rsidRPr="6A75FF2F">
        <w:rPr>
          <w:rFonts w:asciiTheme="minorHAnsi" w:hAnsiTheme="minorHAnsi"/>
        </w:rPr>
        <w:t xml:space="preserve"> </w:t>
      </w:r>
      <w:r w:rsidRPr="6A75FF2F">
        <w:rPr>
          <w:rFonts w:asciiTheme="minorHAnsi" w:hAnsiTheme="minorHAnsi"/>
        </w:rPr>
        <w:t>in the planning phase of the Proposed Project.</w:t>
      </w:r>
      <w:r w:rsidR="00D9518F" w:rsidRPr="6A75FF2F">
        <w:rPr>
          <w:rFonts w:asciiTheme="minorHAnsi" w:eastAsia="Times New Roman" w:hAnsiTheme="minorHAnsi"/>
        </w:rPr>
        <w:t xml:space="preserve"> </w:t>
      </w:r>
      <w:r w:rsidR="00D9518F" w:rsidRPr="6A75FF2F">
        <w:rPr>
          <w:rFonts w:asciiTheme="minorHAnsi" w:hAnsiTheme="minorHAnsi"/>
        </w:rPr>
        <w:t>As a result, Staff finds that the Proposed Project meets the requirements of Factor 1e.</w:t>
      </w:r>
    </w:p>
    <w:p w14:paraId="16F0C00D" w14:textId="77777777" w:rsidR="0040211A" w:rsidRDefault="0040211A" w:rsidP="00C316C3">
      <w:pPr>
        <w:rPr>
          <w:rFonts w:asciiTheme="minorHAnsi" w:hAnsiTheme="minorHAnsi"/>
          <w:szCs w:val="24"/>
        </w:rPr>
      </w:pPr>
    </w:p>
    <w:p w14:paraId="1284B21B" w14:textId="77777777" w:rsidR="004A2BD8" w:rsidRDefault="00A4110F" w:rsidP="00C316C3">
      <w:pPr>
        <w:pStyle w:val="Heading1"/>
        <w:ind w:left="0"/>
        <w:rPr>
          <w:color w:val="1F497D" w:themeColor="text2"/>
        </w:rPr>
      </w:pPr>
      <w:bookmarkStart w:id="15" w:name="Factor_1:_f)_Competition_on_price,_total"/>
      <w:bookmarkStart w:id="16" w:name="_Toc207953799"/>
      <w:bookmarkEnd w:id="15"/>
      <w:r w:rsidRPr="00771386">
        <w:rPr>
          <w:color w:val="1F497D" w:themeColor="text2"/>
        </w:rPr>
        <w:t>Factor 1: f) Competition on price, total medical expenses (TME), costs and other measures of health care spending</w:t>
      </w:r>
      <w:bookmarkEnd w:id="16"/>
    </w:p>
    <w:p w14:paraId="35799C38" w14:textId="6BE18585" w:rsidR="00F93613" w:rsidRDefault="004434B0" w:rsidP="00FA1197">
      <w:r>
        <w:t xml:space="preserve">The Applicant states, “The Proposed Project will compete on the basis of price, TME, provider costs, and health care spending because of </w:t>
      </w:r>
      <w:r w:rsidR="00202700">
        <w:t>the</w:t>
      </w:r>
      <w:r>
        <w:t xml:space="preserve"> cost savings driven by the provision of outpatient endoscopy at the Center.” The Applicant </w:t>
      </w:r>
      <w:r w:rsidR="00804E2F">
        <w:t>points to</w:t>
      </w:r>
      <w:r w:rsidR="007800DA">
        <w:t xml:space="preserve"> t</w:t>
      </w:r>
      <w:r w:rsidR="00B06306">
        <w:t>he</w:t>
      </w:r>
      <w:r w:rsidR="00322172">
        <w:t xml:space="preserve"> </w:t>
      </w:r>
      <w:r w:rsidR="00551FA5">
        <w:t>HPC</w:t>
      </w:r>
      <w:r w:rsidR="001B3D0D">
        <w:t>’s</w:t>
      </w:r>
      <w:r w:rsidR="00B26069">
        <w:t xml:space="preserve"> </w:t>
      </w:r>
      <w:r w:rsidR="00E85105">
        <w:t xml:space="preserve">DataPoints Issue </w:t>
      </w:r>
      <w:r w:rsidR="00237C4E">
        <w:t>26</w:t>
      </w:r>
      <w:r w:rsidR="00AB09B7">
        <w:t xml:space="preserve"> which discusses the supply of ASCs in Massachusetts, </w:t>
      </w:r>
      <w:r w:rsidR="001B3D0D">
        <w:t>to further demonstrate need for additional ASC capacity in Massachusetts, and endoscopy</w:t>
      </w:r>
      <w:r w:rsidR="00B81A3F">
        <w:t>-specific ASC</w:t>
      </w:r>
      <w:r w:rsidR="001B3D0D">
        <w:t xml:space="preserve"> capacity</w:t>
      </w:r>
      <w:r w:rsidR="005A4429">
        <w:t>,</w:t>
      </w:r>
      <w:r w:rsidR="001B3D0D">
        <w:t xml:space="preserve"> </w:t>
      </w:r>
      <w:r w:rsidR="00B81A3F">
        <w:t>in particular</w:t>
      </w:r>
      <w:r w:rsidR="001B3D0D">
        <w:t>. DataPoints Issue 26</w:t>
      </w:r>
      <w:r w:rsidR="009B660D">
        <w:t xml:space="preserve"> </w:t>
      </w:r>
      <w:r w:rsidR="00804E2F">
        <w:t>states that</w:t>
      </w:r>
      <w:r w:rsidR="00237C4E">
        <w:t>,</w:t>
      </w:r>
      <w:r w:rsidR="00E85105">
        <w:t xml:space="preserve"> </w:t>
      </w:r>
      <w:r w:rsidR="001A1ACE">
        <w:t>“Massachusetts</w:t>
      </w:r>
      <w:r w:rsidR="00322172">
        <w:t xml:space="preserve"> has the fourth fewest ASCs per capita in </w:t>
      </w:r>
      <w:r w:rsidR="00271E4A">
        <w:t>among all states</w:t>
      </w:r>
      <w:r w:rsidR="009D26F7">
        <w:t>”</w:t>
      </w:r>
      <w:r w:rsidR="008E3928">
        <w:t>.</w:t>
      </w:r>
      <w:r w:rsidR="00322172">
        <w:rPr>
          <w:rStyle w:val="EndnoteReference"/>
        </w:rPr>
        <w:endnoteReference w:id="35"/>
      </w:r>
      <w:r w:rsidR="00322172">
        <w:t xml:space="preserve"> </w:t>
      </w:r>
      <w:r w:rsidR="00F93613" w:rsidRPr="00F93613">
        <w:t xml:space="preserve">The HPC attributes the low number of ASCs in Massachusetts to the “state’s regulatory history”  which included a change to DoN law in 2008 resulting in a moratorium </w:t>
      </w:r>
      <w:r w:rsidR="002416AE">
        <w:t xml:space="preserve">on </w:t>
      </w:r>
      <w:r w:rsidR="00F93613" w:rsidRPr="00F93613">
        <w:t>the establishment of new ASCs, until 2017 when the DPH amended the DoN regulations and lifted the moratorium, with certain requirements.</w:t>
      </w:r>
      <w:r w:rsidR="00F93613" w:rsidRPr="00F93613">
        <w:rPr>
          <w:vertAlign w:val="superscript"/>
        </w:rPr>
        <w:endnoteReference w:id="36"/>
      </w:r>
      <w:r w:rsidR="000369FE">
        <w:t xml:space="preserve"> </w:t>
      </w:r>
      <w:r w:rsidR="00155BC2">
        <w:t xml:space="preserve">Staff concur that increasing the availability of ASCs in Massachusetts </w:t>
      </w:r>
      <w:r w:rsidR="00AC5754">
        <w:t>c</w:t>
      </w:r>
      <w:r w:rsidR="00E5436E">
        <w:t>ould</w:t>
      </w:r>
      <w:r w:rsidR="00AC5754">
        <w:t xml:space="preserve"> </w:t>
      </w:r>
      <w:r w:rsidR="00380A22">
        <w:t xml:space="preserve">serve to </w:t>
      </w:r>
      <w:r w:rsidR="00365FF9">
        <w:t>provide alternative, lower-cost s</w:t>
      </w:r>
      <w:r w:rsidR="00380A22">
        <w:t>ites of care for clinically appropriate patients.</w:t>
      </w:r>
      <w:r w:rsidR="00AC5754">
        <w:t xml:space="preserve"> S</w:t>
      </w:r>
      <w:r w:rsidR="00AC5754" w:rsidRPr="00AC5754">
        <w:t>taff note that the HPC’s 2023 Cost Trends Report and Recommendations Chartpack states, “In 2021, 66% of endoscopies among commercially-insured patients took place in HOPDs, 29% took place in ASCs, and 5% took place in [physician] offices.”</w:t>
      </w:r>
      <w:r w:rsidR="00AC5754" w:rsidRPr="00AC5754">
        <w:rPr>
          <w:vertAlign w:val="superscript"/>
        </w:rPr>
        <w:endnoteReference w:id="37"/>
      </w:r>
      <w:r w:rsidR="00AC5754" w:rsidRPr="00AC5754">
        <w:t xml:space="preserve"> Additionally, the HPC’s 2024 Cost Trends Report and Recommendations Chartpack states that in 2022, the price for a colonoscopy with removal of lesions was higher when performed in an HOPD ($2,390) than in an ASC ($1,521), and that 62% of procedures were performed in an </w:t>
      </w:r>
      <w:r w:rsidR="00FC703A">
        <w:t>HOPD</w:t>
      </w:r>
      <w:r w:rsidR="00AC5754" w:rsidRPr="00AC5754">
        <w:t xml:space="preserve"> as compared to 33% in an ASC and 5% in a physician’s office.</w:t>
      </w:r>
      <w:r w:rsidR="00AC5754" w:rsidRPr="00AC5754">
        <w:rPr>
          <w:vertAlign w:val="superscript"/>
        </w:rPr>
        <w:endnoteReference w:id="38"/>
      </w:r>
    </w:p>
    <w:p w14:paraId="3E346673" w14:textId="77777777" w:rsidR="00F93613" w:rsidRDefault="00F93613" w:rsidP="00FA1197"/>
    <w:p w14:paraId="1FFD2B5F" w14:textId="687B2C1D" w:rsidR="006125C6" w:rsidRDefault="00C26FE9" w:rsidP="00FA1197">
      <w:r>
        <w:t xml:space="preserve">The </w:t>
      </w:r>
      <w:r w:rsidR="00377B70">
        <w:t xml:space="preserve">DataPoints Issue </w:t>
      </w:r>
      <w:r>
        <w:t>states that th</w:t>
      </w:r>
      <w:r w:rsidR="00377B70">
        <w:t>e low supply of ASCs in Massachusetts</w:t>
      </w:r>
      <w:r>
        <w:t xml:space="preserve"> translates to</w:t>
      </w:r>
      <w:r w:rsidR="007C134C" w:rsidRPr="007C134C">
        <w:t xml:space="preserve"> </w:t>
      </w:r>
      <w:r w:rsidR="007C134C" w:rsidRPr="007C134C">
        <w:rPr>
          <w:b/>
          <w:bCs/>
        </w:rPr>
        <w:t xml:space="preserve">23 </w:t>
      </w:r>
      <w:r w:rsidR="007C134C" w:rsidRPr="007C134C">
        <w:t xml:space="preserve">ASC operating rooms per one million residents in the Commonwealth compared to the national average of </w:t>
      </w:r>
      <w:r w:rsidR="007C134C" w:rsidRPr="007C134C">
        <w:rPr>
          <w:b/>
          <w:bCs/>
        </w:rPr>
        <w:t>56</w:t>
      </w:r>
      <w:r w:rsidR="007C134C" w:rsidRPr="007C134C">
        <w:t>.</w:t>
      </w:r>
      <w:r w:rsidR="00E77F27" w:rsidRPr="00E77F27">
        <w:rPr>
          <w:vertAlign w:val="superscript"/>
        </w:rPr>
        <w:t xml:space="preserve"> </w:t>
      </w:r>
      <w:r w:rsidR="00E77F27" w:rsidRPr="00E77F27">
        <w:rPr>
          <w:vertAlign w:val="superscript"/>
        </w:rPr>
        <w:endnoteReference w:id="39"/>
      </w:r>
      <w:r w:rsidR="00E77F27" w:rsidRPr="00E77F27">
        <w:t xml:space="preserve"> </w:t>
      </w:r>
      <w:r w:rsidR="00E77F27">
        <w:t xml:space="preserve">Additionally, </w:t>
      </w:r>
      <w:r w:rsidR="00E825FA">
        <w:t>Massachusetts</w:t>
      </w:r>
      <w:r w:rsidR="00E77F27">
        <w:t>’</w:t>
      </w:r>
      <w:r w:rsidR="00E825FA">
        <w:t xml:space="preserve"> ASC supply is </w:t>
      </w:r>
      <w:r w:rsidR="0082031F">
        <w:t xml:space="preserve">less than the national average across all specialties. </w:t>
      </w:r>
      <w:r w:rsidR="00FA1197" w:rsidRPr="00FA1197">
        <w:t xml:space="preserve">Massachusetts has </w:t>
      </w:r>
      <w:r w:rsidR="00FA1197" w:rsidRPr="00FA1197">
        <w:rPr>
          <w:b/>
          <w:bCs/>
        </w:rPr>
        <w:t xml:space="preserve">12 </w:t>
      </w:r>
      <w:r w:rsidR="00FA1197" w:rsidRPr="00FA1197">
        <w:t xml:space="preserve">single-specialty endoscopy ASCs, and </w:t>
      </w:r>
      <w:r w:rsidR="00FA1197" w:rsidRPr="00FA1197">
        <w:rPr>
          <w:b/>
          <w:bCs/>
        </w:rPr>
        <w:t>6</w:t>
      </w:r>
      <w:r w:rsidR="00FA1197" w:rsidRPr="00FA1197">
        <w:t xml:space="preserve"> multi-specialty ASCs that offer endoscopy services, for a total of </w:t>
      </w:r>
      <w:r w:rsidR="00FA1197" w:rsidRPr="00FA1197">
        <w:rPr>
          <w:b/>
          <w:bCs/>
        </w:rPr>
        <w:t>18</w:t>
      </w:r>
      <w:r w:rsidR="00FA1197" w:rsidRPr="00FA1197">
        <w:t xml:space="preserve"> ASCs </w:t>
      </w:r>
      <w:r w:rsidR="00742E48">
        <w:t>providing</w:t>
      </w:r>
      <w:r w:rsidR="00742E48" w:rsidRPr="00FA1197">
        <w:t xml:space="preserve"> </w:t>
      </w:r>
      <w:r w:rsidR="00FA1197" w:rsidRPr="00FA1197">
        <w:t>GI/Endoscopy services.</w:t>
      </w:r>
      <w:r w:rsidR="00FA1197" w:rsidRPr="00FA1197">
        <w:rPr>
          <w:vertAlign w:val="superscript"/>
        </w:rPr>
        <w:endnoteReference w:id="40"/>
      </w:r>
      <w:r w:rsidR="00FA1197" w:rsidRPr="00FA1197">
        <w:t xml:space="preserve"> </w:t>
      </w:r>
      <w:r w:rsidR="007D31A7">
        <w:t xml:space="preserve">While </w:t>
      </w:r>
      <w:r w:rsidR="000B01ED">
        <w:t xml:space="preserve">GI/Endoscopy is </w:t>
      </w:r>
      <w:r w:rsidR="007D31A7">
        <w:t>a common single specialty ASC in Massachusetts, Massachusetts has</w:t>
      </w:r>
      <w:r w:rsidR="00FA1197" w:rsidRPr="00FA1197">
        <w:t xml:space="preserve"> </w:t>
      </w:r>
      <w:r w:rsidR="001C414D">
        <w:t xml:space="preserve">only </w:t>
      </w:r>
      <w:r w:rsidR="00FA1197" w:rsidRPr="00FA1197">
        <w:rPr>
          <w:b/>
          <w:bCs/>
        </w:rPr>
        <w:t>2.6</w:t>
      </w:r>
      <w:r w:rsidR="00FA1197" w:rsidRPr="00FA1197">
        <w:t xml:space="preserve"> ASCs providing GI/endoscopy services per one million residents, as compared </w:t>
      </w:r>
      <w:r w:rsidR="001C414D">
        <w:t>to</w:t>
      </w:r>
      <w:r w:rsidR="00FA1197" w:rsidRPr="00FA1197">
        <w:t xml:space="preserve"> the national average of </w:t>
      </w:r>
      <w:r w:rsidR="00FA1197" w:rsidRPr="00FA1197">
        <w:rPr>
          <w:b/>
          <w:bCs/>
        </w:rPr>
        <w:t>5.9</w:t>
      </w:r>
      <w:r w:rsidR="00FA1197" w:rsidRPr="00FA1197">
        <w:t xml:space="preserve"> (2023).</w:t>
      </w:r>
      <w:r w:rsidR="00FA1197" w:rsidRPr="00FA1197">
        <w:rPr>
          <w:vertAlign w:val="superscript"/>
        </w:rPr>
        <w:t xml:space="preserve"> </w:t>
      </w:r>
      <w:r w:rsidR="00FA1197" w:rsidRPr="00FA1197">
        <w:rPr>
          <w:vertAlign w:val="superscript"/>
        </w:rPr>
        <w:endnoteReference w:id="41"/>
      </w:r>
      <w:r w:rsidR="00016354">
        <w:t xml:space="preserve"> </w:t>
      </w:r>
      <w:r w:rsidR="00711B85">
        <w:t xml:space="preserve">The Applicant also cited slides from the HPC’s board meeting which show that </w:t>
      </w:r>
      <w:r w:rsidR="00F63B2E">
        <w:t xml:space="preserve">of </w:t>
      </w:r>
      <w:r w:rsidR="00711B85" w:rsidRPr="00711B85">
        <w:t xml:space="preserve">the share of surgical procedures performed in ASCs in Massachusetts, only </w:t>
      </w:r>
      <w:r w:rsidR="00711B85" w:rsidRPr="00711B85">
        <w:rPr>
          <w:b/>
          <w:bCs/>
        </w:rPr>
        <w:t>25%</w:t>
      </w:r>
      <w:r w:rsidR="00711B85" w:rsidRPr="00711B85">
        <w:t xml:space="preserve"> of colonoscopies and biopsies and </w:t>
      </w:r>
      <w:r w:rsidR="00711B85" w:rsidRPr="00711B85">
        <w:rPr>
          <w:b/>
          <w:bCs/>
        </w:rPr>
        <w:t>24%</w:t>
      </w:r>
      <w:r w:rsidR="00711B85" w:rsidRPr="00711B85">
        <w:t xml:space="preserve"> of upper gastrointestinal endoscopy and biopsies are performed in an ASC (2021).</w:t>
      </w:r>
      <w:r w:rsidR="00711B85" w:rsidRPr="00711B85">
        <w:rPr>
          <w:vertAlign w:val="superscript"/>
        </w:rPr>
        <w:endnoteReference w:id="42"/>
      </w:r>
      <w:r w:rsidR="00F63B2E">
        <w:t xml:space="preserve"> </w:t>
      </w:r>
    </w:p>
    <w:p w14:paraId="10A1DE93" w14:textId="77777777" w:rsidR="006125C6" w:rsidRDefault="006125C6" w:rsidP="00FA1197"/>
    <w:p w14:paraId="390CFD50" w14:textId="683B0DD5" w:rsidR="00B73A33" w:rsidRDefault="00B73A33" w:rsidP="00FA1197">
      <w:r>
        <w:t xml:space="preserve">In their 2023 Annual </w:t>
      </w:r>
      <w:r w:rsidR="00B70E84">
        <w:t>C</w:t>
      </w:r>
      <w:r>
        <w:t xml:space="preserve">ost </w:t>
      </w:r>
      <w:r w:rsidR="00B70E84">
        <w:t>T</w:t>
      </w:r>
      <w:r>
        <w:t xml:space="preserve">rends </w:t>
      </w:r>
      <w:r w:rsidR="00B70E84">
        <w:t>R</w:t>
      </w:r>
      <w:r>
        <w:t>eport, the HPC</w:t>
      </w:r>
      <w:r w:rsidR="00152438">
        <w:t xml:space="preserve"> notes that endoscopy procedures are performed in HOPDs, ASCs, and physician offices. </w:t>
      </w:r>
      <w:r w:rsidR="009F4729">
        <w:t>The HPC states, “</w:t>
      </w:r>
      <w:r w:rsidR="009F4729" w:rsidRPr="009F4729">
        <w:t xml:space="preserve">In 2021, 66 percent of endoscopies among commercially insured patients were performed in HOPDs, 29 percent occurred in ASCs, and 5 </w:t>
      </w:r>
      <w:r w:rsidR="009F4729" w:rsidRPr="009F4729">
        <w:lastRenderedPageBreak/>
        <w:t>percent occurred in offices</w:t>
      </w:r>
      <w:r w:rsidR="00D22242">
        <w:t>,</w:t>
      </w:r>
      <w:r w:rsidR="00675630">
        <w:t>”</w:t>
      </w:r>
      <w:r w:rsidR="00D22242">
        <w:t xml:space="preserve"> and that “</w:t>
      </w:r>
      <w:r w:rsidR="00D22242" w:rsidRPr="00D22242">
        <w:t>Provision of an endoscopy in a HOPD is likely not necessary for the majority of cases</w:t>
      </w:r>
      <w:r w:rsidR="00A12604">
        <w:t>.</w:t>
      </w:r>
      <w:r w:rsidR="00A93CDA">
        <w:t>”</w:t>
      </w:r>
      <w:r w:rsidR="00675630">
        <w:rPr>
          <w:rStyle w:val="EndnoteReference"/>
        </w:rPr>
        <w:endnoteReference w:id="43"/>
      </w:r>
      <w:r w:rsidR="00675630">
        <w:t xml:space="preserve"> </w:t>
      </w:r>
    </w:p>
    <w:p w14:paraId="000DD043" w14:textId="77777777" w:rsidR="007441C0" w:rsidRDefault="007441C0" w:rsidP="007441C0"/>
    <w:p w14:paraId="79C51C17" w14:textId="58583305" w:rsidR="00AE0DE9" w:rsidRDefault="003515AC" w:rsidP="00AC7014">
      <w:r>
        <w:t>The Applicant states that reports show that Medicare reimbursement rates for ASCs are, on average, 50% of the amount paid to HOPDs</w:t>
      </w:r>
      <w:r w:rsidR="000074CF">
        <w:t>.</w:t>
      </w:r>
      <w:r w:rsidR="007D6189">
        <w:t xml:space="preserve"> ASCs are</w:t>
      </w:r>
      <w:r w:rsidR="00FC75AF">
        <w:t xml:space="preserve"> projected to save</w:t>
      </w:r>
      <w:r w:rsidR="007D6189">
        <w:t xml:space="preserve"> the Medicare Program</w:t>
      </w:r>
      <w:r w:rsidR="00FC75AF">
        <w:t xml:space="preserve"> </w:t>
      </w:r>
      <w:r w:rsidR="00BF697D">
        <w:t xml:space="preserve">a total of </w:t>
      </w:r>
      <w:r w:rsidR="00FC75AF">
        <w:t>$73.4 billion from 2019 to 2028</w:t>
      </w:r>
      <w:r w:rsidR="006B22D2">
        <w:t xml:space="preserve">, an increase </w:t>
      </w:r>
      <w:r w:rsidR="00EE221A">
        <w:t xml:space="preserve">from </w:t>
      </w:r>
      <w:r w:rsidR="00F46136">
        <w:t>$4.</w:t>
      </w:r>
      <w:r w:rsidR="00EA0E5D">
        <w:t>3</w:t>
      </w:r>
      <w:r w:rsidR="00F46136">
        <w:t xml:space="preserve"> billion in </w:t>
      </w:r>
      <w:r w:rsidR="00EA0E5D">
        <w:t xml:space="preserve">savings in </w:t>
      </w:r>
      <w:r w:rsidR="00F46136">
        <w:t>201</w:t>
      </w:r>
      <w:r w:rsidR="00EA0E5D">
        <w:t>9</w:t>
      </w:r>
      <w:r w:rsidR="00F46136">
        <w:t xml:space="preserve"> </w:t>
      </w:r>
      <w:r w:rsidR="006746FB">
        <w:t>to $12.2 billion in savings in 2028</w:t>
      </w:r>
      <w:r w:rsidR="00645573">
        <w:t>.</w:t>
      </w:r>
      <w:r w:rsidR="00645573">
        <w:rPr>
          <w:vertAlign w:val="superscript"/>
        </w:rPr>
        <w:t xml:space="preserve"> </w:t>
      </w:r>
      <w:r w:rsidR="00645573" w:rsidRPr="00645573">
        <w:rPr>
          <w:vertAlign w:val="superscript"/>
        </w:rPr>
        <w:endnoteReference w:id="44"/>
      </w:r>
      <w:r w:rsidR="00FC75AF">
        <w:t xml:space="preserve"> </w:t>
      </w:r>
      <w:r w:rsidR="003627AF">
        <w:t xml:space="preserve">Table </w:t>
      </w:r>
      <w:r w:rsidR="00FD3D6F">
        <w:t>2</w:t>
      </w:r>
      <w:r w:rsidR="00A9310C">
        <w:t>0</w:t>
      </w:r>
      <w:r w:rsidR="003627AF">
        <w:t xml:space="preserve"> shows</w:t>
      </w:r>
      <w:r w:rsidR="00AE0DE9">
        <w:t xml:space="preserve"> the cost savings </w:t>
      </w:r>
      <w:r w:rsidR="00205FC9">
        <w:t xml:space="preserve">to Medicare patients </w:t>
      </w:r>
      <w:r w:rsidR="00AE0DE9">
        <w:t xml:space="preserve">for endoscopy procedures performed in the ASC setting as compared to an HOPD. </w:t>
      </w:r>
    </w:p>
    <w:p w14:paraId="3CC6EC25" w14:textId="77777777" w:rsidR="004F2FE6" w:rsidRDefault="004F2FE6" w:rsidP="00AC7014">
      <w:pPr>
        <w:rPr>
          <w:b/>
          <w:bCs/>
          <w:u w:val="single"/>
        </w:rPr>
      </w:pPr>
    </w:p>
    <w:p w14:paraId="343DA543" w14:textId="4AAA2287" w:rsidR="00AE0DE9" w:rsidRPr="00C451AC" w:rsidRDefault="00C451AC" w:rsidP="00AC7014">
      <w:pPr>
        <w:rPr>
          <w:b/>
          <w:bCs/>
        </w:rPr>
      </w:pPr>
      <w:r w:rsidRPr="00C451AC">
        <w:rPr>
          <w:b/>
          <w:bCs/>
          <w:u w:val="single"/>
        </w:rPr>
        <w:t xml:space="preserve">Table </w:t>
      </w:r>
      <w:r w:rsidR="00FD3D6F">
        <w:rPr>
          <w:b/>
          <w:bCs/>
          <w:u w:val="single"/>
        </w:rPr>
        <w:t>2</w:t>
      </w:r>
      <w:r w:rsidR="00A9310C">
        <w:rPr>
          <w:b/>
          <w:bCs/>
          <w:u w:val="single"/>
        </w:rPr>
        <w:t>0</w:t>
      </w:r>
      <w:r w:rsidRPr="00C451AC">
        <w:rPr>
          <w:b/>
          <w:bCs/>
        </w:rPr>
        <w:t xml:space="preserve">: </w:t>
      </w:r>
      <w:r w:rsidR="002C1535">
        <w:rPr>
          <w:b/>
          <w:bCs/>
        </w:rPr>
        <w:t>Procedure Costs</w:t>
      </w:r>
      <w:r w:rsidRPr="00C451AC">
        <w:rPr>
          <w:b/>
          <w:bCs/>
        </w:rPr>
        <w:t xml:space="preserve"> in ASC vs. HOPD</w:t>
      </w:r>
      <w:r w:rsidR="004F2FE6">
        <w:rPr>
          <w:b/>
          <w:bCs/>
        </w:rPr>
        <w:t xml:space="preserve">, </w:t>
      </w:r>
      <w:r w:rsidR="00CD69D7">
        <w:rPr>
          <w:b/>
          <w:bCs/>
        </w:rPr>
        <w:t>2025</w:t>
      </w:r>
      <w:r w:rsidR="004F2FE6" w:rsidRPr="004F2FE6">
        <w:rPr>
          <w:b/>
          <w:bCs/>
          <w:vertAlign w:val="superscript"/>
        </w:rPr>
        <w:footnoteReference w:id="28"/>
      </w:r>
    </w:p>
    <w:tbl>
      <w:tblPr>
        <w:tblW w:w="0" w:type="auto"/>
        <w:tblLook w:val="04A0" w:firstRow="1" w:lastRow="0" w:firstColumn="1" w:lastColumn="0" w:noHBand="0" w:noVBand="1"/>
      </w:tblPr>
      <w:tblGrid>
        <w:gridCol w:w="2855"/>
        <w:gridCol w:w="1092"/>
        <w:gridCol w:w="1298"/>
        <w:gridCol w:w="1399"/>
        <w:gridCol w:w="1399"/>
      </w:tblGrid>
      <w:tr w:rsidR="005C6AD6" w:rsidRPr="005C6AD6" w14:paraId="15160E2E" w14:textId="77777777" w:rsidTr="00552BBF">
        <w:trPr>
          <w:trHeight w:val="170"/>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8CD28EC" w14:textId="77777777" w:rsidR="005C6AD6" w:rsidRPr="005C6AD6" w:rsidRDefault="005C6AD6" w:rsidP="005C6AD6">
            <w:pPr>
              <w:widowControl/>
              <w:autoSpaceDE/>
              <w:autoSpaceDN/>
              <w:rPr>
                <w:rFonts w:asciiTheme="minorHAnsi" w:eastAsia="Times New Roman" w:hAnsiTheme="minorHAnsi"/>
                <w:b/>
                <w:bCs/>
                <w:color w:val="000000"/>
                <w:szCs w:val="24"/>
              </w:rPr>
            </w:pPr>
            <w:r w:rsidRPr="005C6AD6">
              <w:rPr>
                <w:rFonts w:asciiTheme="minorHAnsi" w:eastAsia="Times New Roman" w:hAnsiTheme="minorHAnsi"/>
                <w:b/>
                <w:bCs/>
                <w:color w:val="000000"/>
                <w:szCs w:val="24"/>
              </w:rPr>
              <w:t>Procedure</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14:paraId="01A7B443" w14:textId="77777777" w:rsidR="005C6AD6" w:rsidRPr="005C6AD6" w:rsidRDefault="005C6AD6" w:rsidP="005C6AD6">
            <w:pPr>
              <w:widowControl/>
              <w:autoSpaceDE/>
              <w:autoSpaceDN/>
              <w:jc w:val="center"/>
              <w:rPr>
                <w:rFonts w:asciiTheme="minorHAnsi" w:eastAsia="Times New Roman" w:hAnsiTheme="minorHAnsi"/>
                <w:b/>
                <w:bCs/>
                <w:color w:val="000000"/>
                <w:szCs w:val="24"/>
              </w:rPr>
            </w:pPr>
            <w:r w:rsidRPr="005C6AD6">
              <w:rPr>
                <w:rFonts w:asciiTheme="minorHAnsi" w:eastAsia="Times New Roman" w:hAnsiTheme="minorHAnsi"/>
                <w:b/>
                <w:bCs/>
                <w:color w:val="000000"/>
                <w:szCs w:val="24"/>
              </w:rPr>
              <w:t>ASC Cost</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14:paraId="19BB2F9B" w14:textId="77777777" w:rsidR="005C6AD6" w:rsidRPr="005C6AD6" w:rsidRDefault="005C6AD6" w:rsidP="005C6AD6">
            <w:pPr>
              <w:widowControl/>
              <w:autoSpaceDE/>
              <w:autoSpaceDN/>
              <w:jc w:val="center"/>
              <w:rPr>
                <w:rFonts w:asciiTheme="minorHAnsi" w:eastAsia="Times New Roman" w:hAnsiTheme="minorHAnsi"/>
                <w:b/>
                <w:bCs/>
                <w:color w:val="000000"/>
                <w:szCs w:val="24"/>
              </w:rPr>
            </w:pPr>
            <w:r w:rsidRPr="005C6AD6">
              <w:rPr>
                <w:rFonts w:asciiTheme="minorHAnsi" w:eastAsia="Times New Roman" w:hAnsiTheme="minorHAnsi"/>
                <w:b/>
                <w:bCs/>
                <w:color w:val="000000"/>
                <w:szCs w:val="24"/>
              </w:rPr>
              <w:t>HOPD Cost</w:t>
            </w:r>
          </w:p>
        </w:tc>
        <w:tc>
          <w:tcPr>
            <w:tcW w:w="0" w:type="auto"/>
            <w:tcBorders>
              <w:top w:val="single" w:sz="4" w:space="0" w:color="auto"/>
              <w:left w:val="nil"/>
              <w:bottom w:val="single" w:sz="4" w:space="0" w:color="auto"/>
              <w:right w:val="single" w:sz="4" w:space="0" w:color="auto"/>
            </w:tcBorders>
            <w:shd w:val="clear" w:color="auto" w:fill="DBE5F1" w:themeFill="accent1" w:themeFillTint="33"/>
            <w:hideMark/>
          </w:tcPr>
          <w:p w14:paraId="3D1E08CE" w14:textId="77777777" w:rsidR="005C6AD6" w:rsidRPr="005C6AD6" w:rsidRDefault="005C6AD6" w:rsidP="005C6AD6">
            <w:pPr>
              <w:widowControl/>
              <w:autoSpaceDE/>
              <w:autoSpaceDN/>
              <w:jc w:val="center"/>
              <w:rPr>
                <w:rFonts w:asciiTheme="minorHAnsi" w:eastAsia="Times New Roman" w:hAnsiTheme="minorHAnsi"/>
                <w:b/>
                <w:bCs/>
                <w:color w:val="000000"/>
                <w:szCs w:val="24"/>
              </w:rPr>
            </w:pPr>
            <w:r w:rsidRPr="005C6AD6">
              <w:rPr>
                <w:rFonts w:asciiTheme="minorHAnsi" w:eastAsia="Times New Roman" w:hAnsiTheme="minorHAnsi"/>
                <w:b/>
                <w:bCs/>
                <w:color w:val="000000"/>
                <w:szCs w:val="24"/>
              </w:rPr>
              <w:t xml:space="preserve">ASC Savings </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6ED2858" w14:textId="77777777" w:rsidR="00552BBF" w:rsidRDefault="005C6AD6" w:rsidP="005C6AD6">
            <w:pPr>
              <w:widowControl/>
              <w:autoSpaceDE/>
              <w:autoSpaceDN/>
              <w:jc w:val="center"/>
              <w:rPr>
                <w:rFonts w:asciiTheme="minorHAnsi" w:eastAsia="Times New Roman" w:hAnsiTheme="minorHAnsi"/>
                <w:b/>
                <w:bCs/>
                <w:color w:val="000000"/>
                <w:szCs w:val="24"/>
              </w:rPr>
            </w:pPr>
            <w:r w:rsidRPr="005C6AD6">
              <w:rPr>
                <w:rFonts w:asciiTheme="minorHAnsi" w:eastAsia="Times New Roman" w:hAnsiTheme="minorHAnsi"/>
                <w:b/>
                <w:bCs/>
                <w:color w:val="000000"/>
                <w:szCs w:val="24"/>
              </w:rPr>
              <w:t xml:space="preserve">ASC Savings </w:t>
            </w:r>
          </w:p>
          <w:p w14:paraId="2D1CF951" w14:textId="70333109" w:rsidR="005C6AD6" w:rsidRDefault="005C6AD6" w:rsidP="005C6AD6">
            <w:pPr>
              <w:widowControl/>
              <w:autoSpaceDE/>
              <w:autoSpaceDN/>
              <w:jc w:val="center"/>
              <w:rPr>
                <w:rFonts w:asciiTheme="minorHAnsi" w:eastAsia="Times New Roman" w:hAnsiTheme="minorHAnsi"/>
                <w:b/>
                <w:bCs/>
                <w:color w:val="000000"/>
                <w:szCs w:val="24"/>
              </w:rPr>
            </w:pPr>
            <w:r w:rsidRPr="005C6AD6">
              <w:rPr>
                <w:rFonts w:asciiTheme="minorHAnsi" w:eastAsia="Times New Roman" w:hAnsiTheme="minorHAnsi"/>
                <w:b/>
                <w:bCs/>
                <w:color w:val="000000"/>
                <w:szCs w:val="24"/>
              </w:rPr>
              <w:t xml:space="preserve">Change </w:t>
            </w:r>
          </w:p>
          <w:p w14:paraId="44448E5B" w14:textId="591F9ED3" w:rsidR="005C6AD6" w:rsidRPr="005C6AD6" w:rsidRDefault="005C6AD6" w:rsidP="005C6AD6">
            <w:pPr>
              <w:widowControl/>
              <w:autoSpaceDE/>
              <w:autoSpaceDN/>
              <w:jc w:val="center"/>
              <w:rPr>
                <w:rFonts w:asciiTheme="minorHAnsi" w:eastAsia="Times New Roman" w:hAnsiTheme="minorHAnsi"/>
                <w:b/>
                <w:bCs/>
                <w:color w:val="000000"/>
                <w:szCs w:val="24"/>
              </w:rPr>
            </w:pPr>
            <w:r w:rsidRPr="005C6AD6">
              <w:rPr>
                <w:rFonts w:asciiTheme="minorHAnsi" w:eastAsia="Times New Roman" w:hAnsiTheme="minorHAnsi"/>
                <w:b/>
                <w:bCs/>
                <w:color w:val="000000"/>
                <w:szCs w:val="24"/>
              </w:rPr>
              <w:t xml:space="preserve">from 2024 </w:t>
            </w:r>
          </w:p>
        </w:tc>
      </w:tr>
      <w:tr w:rsidR="005C6AD6" w:rsidRPr="005C6AD6" w14:paraId="79B8770C" w14:textId="77777777" w:rsidTr="005C6AD6">
        <w:trPr>
          <w:trHeight w:val="290"/>
        </w:trPr>
        <w:tc>
          <w:tcPr>
            <w:tcW w:w="0" w:type="auto"/>
            <w:tcBorders>
              <w:top w:val="nil"/>
              <w:left w:val="single" w:sz="4" w:space="0" w:color="auto"/>
              <w:bottom w:val="single" w:sz="4" w:space="0" w:color="auto"/>
              <w:right w:val="single" w:sz="4" w:space="0" w:color="auto"/>
            </w:tcBorders>
            <w:vAlign w:val="center"/>
            <w:hideMark/>
          </w:tcPr>
          <w:p w14:paraId="0A2ABB61" w14:textId="77777777" w:rsidR="005C6AD6" w:rsidRPr="005C6AD6" w:rsidRDefault="005C6AD6" w:rsidP="005C6AD6">
            <w:pPr>
              <w:widowControl/>
              <w:autoSpaceDE/>
              <w:autoSpaceDN/>
              <w:rPr>
                <w:rFonts w:asciiTheme="minorHAnsi" w:eastAsia="Times New Roman" w:hAnsiTheme="minorHAnsi"/>
                <w:color w:val="000000"/>
                <w:szCs w:val="24"/>
              </w:rPr>
            </w:pPr>
            <w:r w:rsidRPr="005C6AD6">
              <w:rPr>
                <w:rFonts w:asciiTheme="minorHAnsi" w:eastAsia="Times New Roman" w:hAnsiTheme="minorHAnsi"/>
                <w:color w:val="000000"/>
                <w:szCs w:val="24"/>
              </w:rPr>
              <w:t>Sigmoidoscopy</w:t>
            </w:r>
          </w:p>
        </w:tc>
        <w:tc>
          <w:tcPr>
            <w:tcW w:w="0" w:type="auto"/>
            <w:tcBorders>
              <w:top w:val="nil"/>
              <w:left w:val="nil"/>
              <w:bottom w:val="single" w:sz="4" w:space="0" w:color="auto"/>
              <w:right w:val="single" w:sz="4" w:space="0" w:color="auto"/>
            </w:tcBorders>
            <w:vAlign w:val="center"/>
            <w:hideMark/>
          </w:tcPr>
          <w:p w14:paraId="2463225A" w14:textId="77777777"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 xml:space="preserve">$203 </w:t>
            </w:r>
          </w:p>
        </w:tc>
        <w:tc>
          <w:tcPr>
            <w:tcW w:w="0" w:type="auto"/>
            <w:tcBorders>
              <w:top w:val="nil"/>
              <w:left w:val="nil"/>
              <w:bottom w:val="single" w:sz="4" w:space="0" w:color="auto"/>
              <w:right w:val="single" w:sz="4" w:space="0" w:color="auto"/>
            </w:tcBorders>
            <w:vAlign w:val="center"/>
            <w:hideMark/>
          </w:tcPr>
          <w:p w14:paraId="0A298D52" w14:textId="77777777"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 xml:space="preserve">$966 </w:t>
            </w:r>
          </w:p>
        </w:tc>
        <w:tc>
          <w:tcPr>
            <w:tcW w:w="0" w:type="auto"/>
            <w:tcBorders>
              <w:top w:val="nil"/>
              <w:left w:val="nil"/>
              <w:bottom w:val="single" w:sz="4" w:space="0" w:color="auto"/>
              <w:right w:val="single" w:sz="4" w:space="0" w:color="auto"/>
            </w:tcBorders>
            <w:vAlign w:val="center"/>
            <w:hideMark/>
          </w:tcPr>
          <w:p w14:paraId="771F4639" w14:textId="77777777"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79%</w:t>
            </w:r>
          </w:p>
        </w:tc>
        <w:tc>
          <w:tcPr>
            <w:tcW w:w="0" w:type="auto"/>
            <w:tcBorders>
              <w:top w:val="nil"/>
              <w:left w:val="nil"/>
              <w:bottom w:val="single" w:sz="4" w:space="0" w:color="auto"/>
              <w:right w:val="single" w:sz="4" w:space="0" w:color="auto"/>
            </w:tcBorders>
            <w:noWrap/>
            <w:vAlign w:val="bottom"/>
            <w:hideMark/>
          </w:tcPr>
          <w:p w14:paraId="05D5E4D5" w14:textId="415776BE"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+1</w:t>
            </w:r>
            <w:r w:rsidR="006360AB">
              <w:rPr>
                <w:rFonts w:asciiTheme="minorHAnsi" w:eastAsia="Times New Roman" w:hAnsiTheme="minorHAnsi"/>
                <w:color w:val="000000"/>
                <w:szCs w:val="24"/>
              </w:rPr>
              <w:t>%</w:t>
            </w:r>
          </w:p>
        </w:tc>
      </w:tr>
      <w:tr w:rsidR="005C6AD6" w:rsidRPr="005C6AD6" w14:paraId="15BDC6E5" w14:textId="77777777" w:rsidTr="005C6AD6">
        <w:trPr>
          <w:trHeight w:val="290"/>
        </w:trPr>
        <w:tc>
          <w:tcPr>
            <w:tcW w:w="0" w:type="auto"/>
            <w:tcBorders>
              <w:top w:val="nil"/>
              <w:left w:val="single" w:sz="4" w:space="0" w:color="auto"/>
              <w:bottom w:val="single" w:sz="4" w:space="0" w:color="auto"/>
              <w:right w:val="single" w:sz="4" w:space="0" w:color="auto"/>
            </w:tcBorders>
            <w:vAlign w:val="center"/>
            <w:hideMark/>
          </w:tcPr>
          <w:p w14:paraId="34BC05FD" w14:textId="77777777" w:rsidR="005C6AD6" w:rsidRPr="005C6AD6" w:rsidRDefault="005C6AD6" w:rsidP="005C6AD6">
            <w:pPr>
              <w:widowControl/>
              <w:autoSpaceDE/>
              <w:autoSpaceDN/>
              <w:rPr>
                <w:rFonts w:asciiTheme="minorHAnsi" w:eastAsia="Times New Roman" w:hAnsiTheme="minorHAnsi"/>
                <w:color w:val="000000"/>
                <w:szCs w:val="24"/>
              </w:rPr>
            </w:pPr>
            <w:r w:rsidRPr="005C6AD6">
              <w:rPr>
                <w:rFonts w:asciiTheme="minorHAnsi" w:eastAsia="Times New Roman" w:hAnsiTheme="minorHAnsi"/>
                <w:color w:val="000000"/>
                <w:szCs w:val="24"/>
              </w:rPr>
              <w:t>Endoscopy</w:t>
            </w:r>
          </w:p>
        </w:tc>
        <w:tc>
          <w:tcPr>
            <w:tcW w:w="0" w:type="auto"/>
            <w:tcBorders>
              <w:top w:val="nil"/>
              <w:left w:val="nil"/>
              <w:bottom w:val="single" w:sz="4" w:space="0" w:color="auto"/>
              <w:right w:val="single" w:sz="4" w:space="0" w:color="auto"/>
            </w:tcBorders>
            <w:vAlign w:val="center"/>
            <w:hideMark/>
          </w:tcPr>
          <w:p w14:paraId="2C3E93DA" w14:textId="77777777"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 xml:space="preserve">$1,001 </w:t>
            </w:r>
          </w:p>
        </w:tc>
        <w:tc>
          <w:tcPr>
            <w:tcW w:w="0" w:type="auto"/>
            <w:tcBorders>
              <w:top w:val="nil"/>
              <w:left w:val="nil"/>
              <w:bottom w:val="single" w:sz="4" w:space="0" w:color="auto"/>
              <w:right w:val="single" w:sz="4" w:space="0" w:color="auto"/>
            </w:tcBorders>
            <w:vAlign w:val="center"/>
            <w:hideMark/>
          </w:tcPr>
          <w:p w14:paraId="77BADCF8" w14:textId="77777777"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 xml:space="preserve">$2,033 </w:t>
            </w:r>
          </w:p>
        </w:tc>
        <w:tc>
          <w:tcPr>
            <w:tcW w:w="0" w:type="auto"/>
            <w:tcBorders>
              <w:top w:val="nil"/>
              <w:left w:val="nil"/>
              <w:bottom w:val="single" w:sz="4" w:space="0" w:color="auto"/>
              <w:right w:val="single" w:sz="4" w:space="0" w:color="auto"/>
            </w:tcBorders>
            <w:vAlign w:val="center"/>
            <w:hideMark/>
          </w:tcPr>
          <w:p w14:paraId="56BC20EF" w14:textId="77777777"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51%</w:t>
            </w:r>
          </w:p>
        </w:tc>
        <w:tc>
          <w:tcPr>
            <w:tcW w:w="0" w:type="auto"/>
            <w:tcBorders>
              <w:top w:val="nil"/>
              <w:left w:val="nil"/>
              <w:bottom w:val="single" w:sz="4" w:space="0" w:color="auto"/>
              <w:right w:val="single" w:sz="4" w:space="0" w:color="auto"/>
            </w:tcBorders>
            <w:noWrap/>
            <w:vAlign w:val="bottom"/>
            <w:hideMark/>
          </w:tcPr>
          <w:p w14:paraId="0A4860FF" w14:textId="57293FA1"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+1</w:t>
            </w:r>
            <w:r w:rsidR="006360AB">
              <w:rPr>
                <w:rFonts w:asciiTheme="minorHAnsi" w:eastAsia="Times New Roman" w:hAnsiTheme="minorHAnsi"/>
                <w:color w:val="000000"/>
                <w:szCs w:val="24"/>
              </w:rPr>
              <w:t>%</w:t>
            </w:r>
          </w:p>
        </w:tc>
      </w:tr>
      <w:tr w:rsidR="005C6AD6" w:rsidRPr="005C6AD6" w14:paraId="70280E6F" w14:textId="77777777" w:rsidTr="005C6AD6">
        <w:trPr>
          <w:trHeight w:val="290"/>
        </w:trPr>
        <w:tc>
          <w:tcPr>
            <w:tcW w:w="0" w:type="auto"/>
            <w:tcBorders>
              <w:top w:val="nil"/>
              <w:left w:val="single" w:sz="4" w:space="0" w:color="auto"/>
              <w:bottom w:val="single" w:sz="4" w:space="0" w:color="auto"/>
              <w:right w:val="single" w:sz="4" w:space="0" w:color="auto"/>
            </w:tcBorders>
            <w:vAlign w:val="center"/>
            <w:hideMark/>
          </w:tcPr>
          <w:p w14:paraId="2C83F1C5" w14:textId="77777777" w:rsidR="005C6AD6" w:rsidRPr="005C6AD6" w:rsidRDefault="005C6AD6" w:rsidP="005C6AD6">
            <w:pPr>
              <w:widowControl/>
              <w:autoSpaceDE/>
              <w:autoSpaceDN/>
              <w:rPr>
                <w:rFonts w:asciiTheme="minorHAnsi" w:eastAsia="Times New Roman" w:hAnsiTheme="minorHAnsi"/>
                <w:color w:val="000000"/>
                <w:szCs w:val="24"/>
              </w:rPr>
            </w:pPr>
            <w:r w:rsidRPr="005C6AD6">
              <w:rPr>
                <w:rFonts w:asciiTheme="minorHAnsi" w:eastAsia="Times New Roman" w:hAnsiTheme="minorHAnsi"/>
                <w:color w:val="000000"/>
                <w:szCs w:val="24"/>
              </w:rPr>
              <w:t>Endoscopy with biopsy</w:t>
            </w:r>
          </w:p>
        </w:tc>
        <w:tc>
          <w:tcPr>
            <w:tcW w:w="0" w:type="auto"/>
            <w:tcBorders>
              <w:top w:val="nil"/>
              <w:left w:val="nil"/>
              <w:bottom w:val="single" w:sz="4" w:space="0" w:color="auto"/>
              <w:right w:val="single" w:sz="4" w:space="0" w:color="auto"/>
            </w:tcBorders>
            <w:vAlign w:val="center"/>
            <w:hideMark/>
          </w:tcPr>
          <w:p w14:paraId="5CDEDD58" w14:textId="77777777"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 xml:space="preserve">$1,016 </w:t>
            </w:r>
          </w:p>
        </w:tc>
        <w:tc>
          <w:tcPr>
            <w:tcW w:w="0" w:type="auto"/>
            <w:tcBorders>
              <w:top w:val="nil"/>
              <w:left w:val="nil"/>
              <w:bottom w:val="single" w:sz="4" w:space="0" w:color="auto"/>
              <w:right w:val="single" w:sz="4" w:space="0" w:color="auto"/>
            </w:tcBorders>
            <w:vAlign w:val="center"/>
            <w:hideMark/>
          </w:tcPr>
          <w:p w14:paraId="6CDE5D72" w14:textId="77777777"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 xml:space="preserve">$2,048 </w:t>
            </w:r>
          </w:p>
        </w:tc>
        <w:tc>
          <w:tcPr>
            <w:tcW w:w="0" w:type="auto"/>
            <w:tcBorders>
              <w:top w:val="nil"/>
              <w:left w:val="nil"/>
              <w:bottom w:val="single" w:sz="4" w:space="0" w:color="auto"/>
              <w:right w:val="single" w:sz="4" w:space="0" w:color="auto"/>
            </w:tcBorders>
            <w:vAlign w:val="center"/>
            <w:hideMark/>
          </w:tcPr>
          <w:p w14:paraId="29B3CE82" w14:textId="77777777"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50%</w:t>
            </w:r>
          </w:p>
        </w:tc>
        <w:tc>
          <w:tcPr>
            <w:tcW w:w="0" w:type="auto"/>
            <w:tcBorders>
              <w:top w:val="nil"/>
              <w:left w:val="nil"/>
              <w:bottom w:val="single" w:sz="4" w:space="0" w:color="auto"/>
              <w:right w:val="single" w:sz="4" w:space="0" w:color="auto"/>
            </w:tcBorders>
            <w:noWrap/>
            <w:vAlign w:val="bottom"/>
            <w:hideMark/>
          </w:tcPr>
          <w:p w14:paraId="720620DF" w14:textId="77777777"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 xml:space="preserve">No Change </w:t>
            </w:r>
          </w:p>
        </w:tc>
      </w:tr>
      <w:tr w:rsidR="005C6AD6" w:rsidRPr="005C6AD6" w14:paraId="70E24838" w14:textId="77777777" w:rsidTr="005C6AD6">
        <w:trPr>
          <w:trHeight w:val="290"/>
        </w:trPr>
        <w:tc>
          <w:tcPr>
            <w:tcW w:w="0" w:type="auto"/>
            <w:tcBorders>
              <w:top w:val="nil"/>
              <w:left w:val="single" w:sz="4" w:space="0" w:color="auto"/>
              <w:bottom w:val="single" w:sz="4" w:space="0" w:color="auto"/>
              <w:right w:val="single" w:sz="4" w:space="0" w:color="auto"/>
            </w:tcBorders>
            <w:vAlign w:val="center"/>
            <w:hideMark/>
          </w:tcPr>
          <w:p w14:paraId="4BBEA93E" w14:textId="77777777" w:rsidR="005C6AD6" w:rsidRPr="005C6AD6" w:rsidRDefault="005C6AD6" w:rsidP="005C6AD6">
            <w:pPr>
              <w:widowControl/>
              <w:autoSpaceDE/>
              <w:autoSpaceDN/>
              <w:rPr>
                <w:rFonts w:asciiTheme="minorHAnsi" w:eastAsia="Times New Roman" w:hAnsiTheme="minorHAnsi"/>
                <w:color w:val="000000"/>
                <w:szCs w:val="24"/>
              </w:rPr>
            </w:pPr>
            <w:r w:rsidRPr="005C6AD6">
              <w:rPr>
                <w:rFonts w:asciiTheme="minorHAnsi" w:eastAsia="Times New Roman" w:hAnsiTheme="minorHAnsi"/>
                <w:color w:val="000000"/>
                <w:szCs w:val="24"/>
              </w:rPr>
              <w:t>Sigmoidoscopy with biopsy</w:t>
            </w:r>
          </w:p>
        </w:tc>
        <w:tc>
          <w:tcPr>
            <w:tcW w:w="0" w:type="auto"/>
            <w:tcBorders>
              <w:top w:val="nil"/>
              <w:left w:val="nil"/>
              <w:bottom w:val="single" w:sz="4" w:space="0" w:color="auto"/>
              <w:right w:val="single" w:sz="4" w:space="0" w:color="auto"/>
            </w:tcBorders>
            <w:vAlign w:val="center"/>
            <w:hideMark/>
          </w:tcPr>
          <w:p w14:paraId="6C6F7F2B" w14:textId="77777777"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 xml:space="preserve">$559 </w:t>
            </w:r>
          </w:p>
        </w:tc>
        <w:tc>
          <w:tcPr>
            <w:tcW w:w="0" w:type="auto"/>
            <w:tcBorders>
              <w:top w:val="nil"/>
              <w:left w:val="nil"/>
              <w:bottom w:val="single" w:sz="4" w:space="0" w:color="auto"/>
              <w:right w:val="single" w:sz="4" w:space="0" w:color="auto"/>
            </w:tcBorders>
            <w:vAlign w:val="center"/>
            <w:hideMark/>
          </w:tcPr>
          <w:p w14:paraId="0C6E980C" w14:textId="77777777"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 xml:space="preserve">$981 </w:t>
            </w:r>
          </w:p>
        </w:tc>
        <w:tc>
          <w:tcPr>
            <w:tcW w:w="0" w:type="auto"/>
            <w:tcBorders>
              <w:top w:val="nil"/>
              <w:left w:val="nil"/>
              <w:bottom w:val="single" w:sz="4" w:space="0" w:color="auto"/>
              <w:right w:val="single" w:sz="4" w:space="0" w:color="auto"/>
            </w:tcBorders>
            <w:vAlign w:val="center"/>
            <w:hideMark/>
          </w:tcPr>
          <w:p w14:paraId="09CBCEEB" w14:textId="77777777"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43%</w:t>
            </w:r>
          </w:p>
        </w:tc>
        <w:tc>
          <w:tcPr>
            <w:tcW w:w="0" w:type="auto"/>
            <w:tcBorders>
              <w:top w:val="nil"/>
              <w:left w:val="nil"/>
              <w:bottom w:val="single" w:sz="4" w:space="0" w:color="auto"/>
              <w:right w:val="single" w:sz="4" w:space="0" w:color="auto"/>
            </w:tcBorders>
            <w:noWrap/>
            <w:vAlign w:val="bottom"/>
            <w:hideMark/>
          </w:tcPr>
          <w:p w14:paraId="6ACDB694" w14:textId="567FE0EA"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+1</w:t>
            </w:r>
            <w:r w:rsidR="006360AB">
              <w:rPr>
                <w:rFonts w:asciiTheme="minorHAnsi" w:eastAsia="Times New Roman" w:hAnsiTheme="minorHAnsi"/>
                <w:color w:val="000000"/>
                <w:szCs w:val="24"/>
              </w:rPr>
              <w:t>%</w:t>
            </w:r>
          </w:p>
        </w:tc>
      </w:tr>
      <w:tr w:rsidR="005C6AD6" w:rsidRPr="005C6AD6" w14:paraId="6C778604" w14:textId="77777777" w:rsidTr="005C6AD6">
        <w:trPr>
          <w:trHeight w:val="290"/>
        </w:trPr>
        <w:tc>
          <w:tcPr>
            <w:tcW w:w="0" w:type="auto"/>
            <w:tcBorders>
              <w:top w:val="nil"/>
              <w:left w:val="single" w:sz="4" w:space="0" w:color="auto"/>
              <w:bottom w:val="single" w:sz="4" w:space="0" w:color="auto"/>
              <w:right w:val="single" w:sz="4" w:space="0" w:color="auto"/>
            </w:tcBorders>
            <w:vAlign w:val="center"/>
            <w:hideMark/>
          </w:tcPr>
          <w:p w14:paraId="33F9814F" w14:textId="77777777" w:rsidR="005C6AD6" w:rsidRPr="005C6AD6" w:rsidRDefault="005C6AD6" w:rsidP="005C6AD6">
            <w:pPr>
              <w:widowControl/>
              <w:autoSpaceDE/>
              <w:autoSpaceDN/>
              <w:rPr>
                <w:rFonts w:asciiTheme="minorHAnsi" w:eastAsia="Times New Roman" w:hAnsiTheme="minorHAnsi"/>
                <w:color w:val="000000"/>
                <w:szCs w:val="24"/>
              </w:rPr>
            </w:pPr>
            <w:r w:rsidRPr="005C6AD6">
              <w:rPr>
                <w:rFonts w:asciiTheme="minorHAnsi" w:eastAsia="Times New Roman" w:hAnsiTheme="minorHAnsi"/>
                <w:color w:val="000000"/>
                <w:szCs w:val="24"/>
              </w:rPr>
              <w:t>EGD</w:t>
            </w:r>
          </w:p>
        </w:tc>
        <w:tc>
          <w:tcPr>
            <w:tcW w:w="0" w:type="auto"/>
            <w:tcBorders>
              <w:top w:val="nil"/>
              <w:left w:val="nil"/>
              <w:bottom w:val="single" w:sz="4" w:space="0" w:color="auto"/>
              <w:right w:val="single" w:sz="4" w:space="0" w:color="auto"/>
            </w:tcBorders>
            <w:vAlign w:val="center"/>
            <w:hideMark/>
          </w:tcPr>
          <w:p w14:paraId="05E27C02" w14:textId="77777777"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 xml:space="preserve">$621 </w:t>
            </w:r>
          </w:p>
        </w:tc>
        <w:tc>
          <w:tcPr>
            <w:tcW w:w="0" w:type="auto"/>
            <w:tcBorders>
              <w:top w:val="nil"/>
              <w:left w:val="nil"/>
              <w:bottom w:val="single" w:sz="4" w:space="0" w:color="auto"/>
              <w:right w:val="single" w:sz="4" w:space="0" w:color="auto"/>
            </w:tcBorders>
            <w:vAlign w:val="center"/>
            <w:hideMark/>
          </w:tcPr>
          <w:p w14:paraId="5CBC1711" w14:textId="77777777"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 xml:space="preserve">$1,055 </w:t>
            </w:r>
          </w:p>
        </w:tc>
        <w:tc>
          <w:tcPr>
            <w:tcW w:w="0" w:type="auto"/>
            <w:tcBorders>
              <w:top w:val="nil"/>
              <w:left w:val="nil"/>
              <w:bottom w:val="single" w:sz="4" w:space="0" w:color="auto"/>
              <w:right w:val="single" w:sz="4" w:space="0" w:color="auto"/>
            </w:tcBorders>
            <w:vAlign w:val="center"/>
            <w:hideMark/>
          </w:tcPr>
          <w:p w14:paraId="36CDC5D0" w14:textId="77777777"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41%</w:t>
            </w:r>
          </w:p>
        </w:tc>
        <w:tc>
          <w:tcPr>
            <w:tcW w:w="0" w:type="auto"/>
            <w:tcBorders>
              <w:top w:val="nil"/>
              <w:left w:val="nil"/>
              <w:bottom w:val="single" w:sz="4" w:space="0" w:color="auto"/>
              <w:right w:val="single" w:sz="4" w:space="0" w:color="auto"/>
            </w:tcBorders>
            <w:noWrap/>
            <w:vAlign w:val="bottom"/>
            <w:hideMark/>
          </w:tcPr>
          <w:p w14:paraId="0F2A7FDA" w14:textId="3ABE7013"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+1</w:t>
            </w:r>
            <w:r w:rsidR="006360AB">
              <w:rPr>
                <w:rFonts w:asciiTheme="minorHAnsi" w:eastAsia="Times New Roman" w:hAnsiTheme="minorHAnsi"/>
                <w:color w:val="000000"/>
                <w:szCs w:val="24"/>
              </w:rPr>
              <w:t>%</w:t>
            </w:r>
          </w:p>
        </w:tc>
      </w:tr>
      <w:tr w:rsidR="005C6AD6" w:rsidRPr="005C6AD6" w14:paraId="2DEA1215" w14:textId="77777777" w:rsidTr="005C6AD6">
        <w:trPr>
          <w:trHeight w:val="290"/>
        </w:trPr>
        <w:tc>
          <w:tcPr>
            <w:tcW w:w="0" w:type="auto"/>
            <w:tcBorders>
              <w:top w:val="nil"/>
              <w:left w:val="single" w:sz="4" w:space="0" w:color="auto"/>
              <w:bottom w:val="single" w:sz="4" w:space="0" w:color="auto"/>
              <w:right w:val="single" w:sz="4" w:space="0" w:color="auto"/>
            </w:tcBorders>
            <w:vAlign w:val="center"/>
            <w:hideMark/>
          </w:tcPr>
          <w:p w14:paraId="405D2DA8" w14:textId="77777777" w:rsidR="005C6AD6" w:rsidRPr="005C6AD6" w:rsidRDefault="005C6AD6" w:rsidP="005C6AD6">
            <w:pPr>
              <w:widowControl/>
              <w:autoSpaceDE/>
              <w:autoSpaceDN/>
              <w:rPr>
                <w:rFonts w:asciiTheme="minorHAnsi" w:eastAsia="Times New Roman" w:hAnsiTheme="minorHAnsi"/>
                <w:color w:val="000000"/>
                <w:szCs w:val="24"/>
              </w:rPr>
            </w:pPr>
            <w:r w:rsidRPr="005C6AD6">
              <w:rPr>
                <w:rFonts w:asciiTheme="minorHAnsi" w:eastAsia="Times New Roman" w:hAnsiTheme="minorHAnsi"/>
                <w:color w:val="000000"/>
                <w:szCs w:val="24"/>
              </w:rPr>
              <w:t>EGD with biopsy</w:t>
            </w:r>
          </w:p>
        </w:tc>
        <w:tc>
          <w:tcPr>
            <w:tcW w:w="0" w:type="auto"/>
            <w:tcBorders>
              <w:top w:val="nil"/>
              <w:left w:val="nil"/>
              <w:bottom w:val="single" w:sz="4" w:space="0" w:color="auto"/>
              <w:right w:val="single" w:sz="4" w:space="0" w:color="auto"/>
            </w:tcBorders>
            <w:vAlign w:val="center"/>
            <w:hideMark/>
          </w:tcPr>
          <w:p w14:paraId="51AD5694" w14:textId="77777777"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 xml:space="preserve">$635 </w:t>
            </w:r>
          </w:p>
        </w:tc>
        <w:tc>
          <w:tcPr>
            <w:tcW w:w="0" w:type="auto"/>
            <w:tcBorders>
              <w:top w:val="nil"/>
              <w:left w:val="nil"/>
              <w:bottom w:val="single" w:sz="4" w:space="0" w:color="auto"/>
              <w:right w:val="single" w:sz="4" w:space="0" w:color="auto"/>
            </w:tcBorders>
            <w:vAlign w:val="center"/>
            <w:hideMark/>
          </w:tcPr>
          <w:p w14:paraId="01DF4FB9" w14:textId="77777777"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 xml:space="preserve">$1,069 </w:t>
            </w:r>
          </w:p>
        </w:tc>
        <w:tc>
          <w:tcPr>
            <w:tcW w:w="0" w:type="auto"/>
            <w:tcBorders>
              <w:top w:val="nil"/>
              <w:left w:val="nil"/>
              <w:bottom w:val="single" w:sz="4" w:space="0" w:color="auto"/>
              <w:right w:val="single" w:sz="4" w:space="0" w:color="auto"/>
            </w:tcBorders>
            <w:vAlign w:val="center"/>
            <w:hideMark/>
          </w:tcPr>
          <w:p w14:paraId="6F022B85" w14:textId="77777777"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41%</w:t>
            </w:r>
          </w:p>
        </w:tc>
        <w:tc>
          <w:tcPr>
            <w:tcW w:w="0" w:type="auto"/>
            <w:tcBorders>
              <w:top w:val="nil"/>
              <w:left w:val="nil"/>
              <w:bottom w:val="single" w:sz="4" w:space="0" w:color="auto"/>
              <w:right w:val="single" w:sz="4" w:space="0" w:color="auto"/>
            </w:tcBorders>
            <w:noWrap/>
            <w:vAlign w:val="bottom"/>
            <w:hideMark/>
          </w:tcPr>
          <w:p w14:paraId="414C79D1" w14:textId="40515235"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+2</w:t>
            </w:r>
            <w:r w:rsidR="006360AB">
              <w:rPr>
                <w:rFonts w:asciiTheme="minorHAnsi" w:eastAsia="Times New Roman" w:hAnsiTheme="minorHAnsi"/>
                <w:color w:val="000000"/>
                <w:szCs w:val="24"/>
              </w:rPr>
              <w:t>%</w:t>
            </w:r>
          </w:p>
        </w:tc>
      </w:tr>
      <w:tr w:rsidR="005C6AD6" w:rsidRPr="005C6AD6" w14:paraId="5C405D1C" w14:textId="77777777" w:rsidTr="005C6AD6">
        <w:trPr>
          <w:trHeight w:val="290"/>
        </w:trPr>
        <w:tc>
          <w:tcPr>
            <w:tcW w:w="0" w:type="auto"/>
            <w:tcBorders>
              <w:top w:val="nil"/>
              <w:left w:val="single" w:sz="4" w:space="0" w:color="auto"/>
              <w:bottom w:val="single" w:sz="4" w:space="0" w:color="auto"/>
              <w:right w:val="single" w:sz="4" w:space="0" w:color="auto"/>
            </w:tcBorders>
            <w:vAlign w:val="center"/>
            <w:hideMark/>
          </w:tcPr>
          <w:p w14:paraId="07C46A3A" w14:textId="77777777" w:rsidR="005C6AD6" w:rsidRPr="005C6AD6" w:rsidRDefault="005C6AD6" w:rsidP="005C6AD6">
            <w:pPr>
              <w:widowControl/>
              <w:autoSpaceDE/>
              <w:autoSpaceDN/>
              <w:rPr>
                <w:rFonts w:asciiTheme="minorHAnsi" w:eastAsia="Times New Roman" w:hAnsiTheme="minorHAnsi"/>
                <w:color w:val="000000"/>
                <w:szCs w:val="24"/>
              </w:rPr>
            </w:pPr>
            <w:r w:rsidRPr="005C6AD6">
              <w:rPr>
                <w:rFonts w:asciiTheme="minorHAnsi" w:eastAsia="Times New Roman" w:hAnsiTheme="minorHAnsi"/>
                <w:color w:val="000000"/>
                <w:szCs w:val="24"/>
              </w:rPr>
              <w:t>Colonoscopy with biopsy</w:t>
            </w:r>
          </w:p>
        </w:tc>
        <w:tc>
          <w:tcPr>
            <w:tcW w:w="0" w:type="auto"/>
            <w:tcBorders>
              <w:top w:val="nil"/>
              <w:left w:val="nil"/>
              <w:bottom w:val="single" w:sz="4" w:space="0" w:color="auto"/>
              <w:right w:val="single" w:sz="4" w:space="0" w:color="auto"/>
            </w:tcBorders>
            <w:vAlign w:val="center"/>
            <w:hideMark/>
          </w:tcPr>
          <w:p w14:paraId="152BE833" w14:textId="77777777"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 xml:space="preserve">$824 </w:t>
            </w:r>
          </w:p>
        </w:tc>
        <w:tc>
          <w:tcPr>
            <w:tcW w:w="0" w:type="auto"/>
            <w:tcBorders>
              <w:top w:val="nil"/>
              <w:left w:val="nil"/>
              <w:bottom w:val="single" w:sz="4" w:space="0" w:color="auto"/>
              <w:right w:val="single" w:sz="4" w:space="0" w:color="auto"/>
            </w:tcBorders>
            <w:vAlign w:val="center"/>
            <w:hideMark/>
          </w:tcPr>
          <w:p w14:paraId="507797AF" w14:textId="77777777"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 xml:space="preserve">$1,371 </w:t>
            </w:r>
          </w:p>
        </w:tc>
        <w:tc>
          <w:tcPr>
            <w:tcW w:w="0" w:type="auto"/>
            <w:tcBorders>
              <w:top w:val="nil"/>
              <w:left w:val="nil"/>
              <w:bottom w:val="single" w:sz="4" w:space="0" w:color="auto"/>
              <w:right w:val="single" w:sz="4" w:space="0" w:color="auto"/>
            </w:tcBorders>
            <w:vAlign w:val="center"/>
            <w:hideMark/>
          </w:tcPr>
          <w:p w14:paraId="17030665" w14:textId="77777777"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40%</w:t>
            </w:r>
          </w:p>
        </w:tc>
        <w:tc>
          <w:tcPr>
            <w:tcW w:w="0" w:type="auto"/>
            <w:tcBorders>
              <w:top w:val="nil"/>
              <w:left w:val="nil"/>
              <w:bottom w:val="single" w:sz="4" w:space="0" w:color="auto"/>
              <w:right w:val="single" w:sz="4" w:space="0" w:color="auto"/>
            </w:tcBorders>
            <w:noWrap/>
            <w:vAlign w:val="bottom"/>
            <w:hideMark/>
          </w:tcPr>
          <w:p w14:paraId="6A1900CB" w14:textId="37E20787"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+1</w:t>
            </w:r>
            <w:r w:rsidR="006360AB">
              <w:rPr>
                <w:rFonts w:asciiTheme="minorHAnsi" w:eastAsia="Times New Roman" w:hAnsiTheme="minorHAnsi"/>
                <w:color w:val="000000"/>
                <w:szCs w:val="24"/>
              </w:rPr>
              <w:t>%</w:t>
            </w:r>
          </w:p>
        </w:tc>
      </w:tr>
      <w:tr w:rsidR="005C6AD6" w:rsidRPr="005C6AD6" w14:paraId="0D056466" w14:textId="77777777" w:rsidTr="005C6AD6">
        <w:trPr>
          <w:trHeight w:val="290"/>
        </w:trPr>
        <w:tc>
          <w:tcPr>
            <w:tcW w:w="0" w:type="auto"/>
            <w:tcBorders>
              <w:top w:val="nil"/>
              <w:left w:val="single" w:sz="4" w:space="0" w:color="auto"/>
              <w:bottom w:val="single" w:sz="4" w:space="0" w:color="auto"/>
              <w:right w:val="single" w:sz="4" w:space="0" w:color="auto"/>
            </w:tcBorders>
            <w:vAlign w:val="center"/>
            <w:hideMark/>
          </w:tcPr>
          <w:p w14:paraId="2C40F48F" w14:textId="77777777" w:rsidR="005C6AD6" w:rsidRPr="005C6AD6" w:rsidRDefault="005C6AD6" w:rsidP="005C6AD6">
            <w:pPr>
              <w:widowControl/>
              <w:autoSpaceDE/>
              <w:autoSpaceDN/>
              <w:rPr>
                <w:rFonts w:asciiTheme="minorHAnsi" w:eastAsia="Times New Roman" w:hAnsiTheme="minorHAnsi"/>
                <w:color w:val="000000"/>
                <w:szCs w:val="24"/>
              </w:rPr>
            </w:pPr>
            <w:r w:rsidRPr="005C6AD6">
              <w:rPr>
                <w:rFonts w:asciiTheme="minorHAnsi" w:eastAsia="Times New Roman" w:hAnsiTheme="minorHAnsi"/>
                <w:color w:val="000000"/>
                <w:szCs w:val="24"/>
              </w:rPr>
              <w:t>Colonoscopy</w:t>
            </w:r>
          </w:p>
        </w:tc>
        <w:tc>
          <w:tcPr>
            <w:tcW w:w="0" w:type="auto"/>
            <w:tcBorders>
              <w:top w:val="nil"/>
              <w:left w:val="nil"/>
              <w:bottom w:val="single" w:sz="4" w:space="0" w:color="auto"/>
              <w:right w:val="single" w:sz="4" w:space="0" w:color="auto"/>
            </w:tcBorders>
            <w:vAlign w:val="center"/>
            <w:hideMark/>
          </w:tcPr>
          <w:p w14:paraId="52F2CF51" w14:textId="77777777"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 xml:space="preserve">$666 </w:t>
            </w:r>
          </w:p>
        </w:tc>
        <w:tc>
          <w:tcPr>
            <w:tcW w:w="0" w:type="auto"/>
            <w:tcBorders>
              <w:top w:val="nil"/>
              <w:left w:val="nil"/>
              <w:bottom w:val="single" w:sz="4" w:space="0" w:color="auto"/>
              <w:right w:val="single" w:sz="4" w:space="0" w:color="auto"/>
            </w:tcBorders>
            <w:vAlign w:val="center"/>
            <w:hideMark/>
          </w:tcPr>
          <w:p w14:paraId="48082733" w14:textId="77777777"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 xml:space="preserve">$1,088 </w:t>
            </w:r>
          </w:p>
        </w:tc>
        <w:tc>
          <w:tcPr>
            <w:tcW w:w="0" w:type="auto"/>
            <w:tcBorders>
              <w:top w:val="nil"/>
              <w:left w:val="nil"/>
              <w:bottom w:val="single" w:sz="4" w:space="0" w:color="auto"/>
              <w:right w:val="single" w:sz="4" w:space="0" w:color="auto"/>
            </w:tcBorders>
            <w:vAlign w:val="center"/>
            <w:hideMark/>
          </w:tcPr>
          <w:p w14:paraId="7BD4A205" w14:textId="77777777"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39%</w:t>
            </w:r>
          </w:p>
        </w:tc>
        <w:tc>
          <w:tcPr>
            <w:tcW w:w="0" w:type="auto"/>
            <w:tcBorders>
              <w:top w:val="nil"/>
              <w:left w:val="nil"/>
              <w:bottom w:val="single" w:sz="4" w:space="0" w:color="auto"/>
              <w:right w:val="single" w:sz="4" w:space="0" w:color="auto"/>
            </w:tcBorders>
            <w:noWrap/>
            <w:vAlign w:val="bottom"/>
            <w:hideMark/>
          </w:tcPr>
          <w:p w14:paraId="2758997F" w14:textId="7AFCBCB5" w:rsidR="005C6AD6" w:rsidRPr="005C6AD6" w:rsidRDefault="005C6AD6" w:rsidP="005C6AD6">
            <w:pPr>
              <w:widowControl/>
              <w:autoSpaceDE/>
              <w:autoSpaceDN/>
              <w:jc w:val="center"/>
              <w:rPr>
                <w:rFonts w:asciiTheme="minorHAnsi" w:eastAsia="Times New Roman" w:hAnsiTheme="minorHAnsi"/>
                <w:color w:val="000000"/>
                <w:szCs w:val="24"/>
              </w:rPr>
            </w:pPr>
            <w:r w:rsidRPr="005C6AD6">
              <w:rPr>
                <w:rFonts w:asciiTheme="minorHAnsi" w:eastAsia="Times New Roman" w:hAnsiTheme="minorHAnsi"/>
                <w:color w:val="000000"/>
                <w:szCs w:val="24"/>
              </w:rPr>
              <w:t>+1</w:t>
            </w:r>
            <w:r w:rsidR="006360AB">
              <w:rPr>
                <w:rFonts w:asciiTheme="minorHAnsi" w:eastAsia="Times New Roman" w:hAnsiTheme="minorHAnsi"/>
                <w:color w:val="000000"/>
                <w:szCs w:val="24"/>
              </w:rPr>
              <w:t>%</w:t>
            </w:r>
          </w:p>
        </w:tc>
      </w:tr>
    </w:tbl>
    <w:p w14:paraId="77F03459" w14:textId="77777777" w:rsidR="00AE0DE9" w:rsidRDefault="00AE0DE9" w:rsidP="00AC7014"/>
    <w:p w14:paraId="79C2A924" w14:textId="59B1C18C" w:rsidR="002D297B" w:rsidRDefault="002D297B" w:rsidP="00AC7014">
      <w:r w:rsidRPr="002D297B">
        <w:t>Additionally, the Applicant cites the HPC’s DataPoints Issue 26 findings that Medicaid and commercial payers also recognize savings from shifting clinically appropriate patients from HOPDs to ASCs.</w:t>
      </w:r>
      <w:r w:rsidRPr="002D297B">
        <w:rPr>
          <w:vertAlign w:val="superscript"/>
        </w:rPr>
        <w:endnoteReference w:id="45"/>
      </w:r>
      <w:r w:rsidRPr="002D297B">
        <w:t xml:space="preserve">  </w:t>
      </w:r>
    </w:p>
    <w:p w14:paraId="7D8C676A" w14:textId="77777777" w:rsidR="002D297B" w:rsidRDefault="002D297B" w:rsidP="00AC7014"/>
    <w:p w14:paraId="112F5989" w14:textId="3D989404" w:rsidR="00647A04" w:rsidRDefault="00612D5E" w:rsidP="00C316C3">
      <w:r>
        <w:t xml:space="preserve">The Applicant states that </w:t>
      </w:r>
      <w:r w:rsidR="00B279C7">
        <w:t>as ASC availability has increase</w:t>
      </w:r>
      <w:r w:rsidR="00813CA3">
        <w:t>d</w:t>
      </w:r>
      <w:r w:rsidR="00B279C7">
        <w:t xml:space="preserve">, </w:t>
      </w:r>
      <w:r w:rsidR="00DF121A">
        <w:t xml:space="preserve">utilization of ASCs has increased as well, </w:t>
      </w:r>
      <w:r w:rsidR="00813CA3">
        <w:t>because ASCs</w:t>
      </w:r>
      <w:r w:rsidR="00DF121A">
        <w:t xml:space="preserve"> offer </w:t>
      </w:r>
      <w:r w:rsidR="00B279C7">
        <w:t>high-quality</w:t>
      </w:r>
      <w:r w:rsidR="00DF121A">
        <w:t xml:space="preserve"> care in a</w:t>
      </w:r>
      <w:r w:rsidR="00B279C7">
        <w:t xml:space="preserve"> lower-cost </w:t>
      </w:r>
      <w:r w:rsidR="00DF121A">
        <w:t xml:space="preserve">setting. </w:t>
      </w:r>
      <w:r w:rsidR="00E56A20">
        <w:t>The Applicant points to the shift in endoscopy cases from Emerson Hospital to the Center</w:t>
      </w:r>
      <w:r w:rsidR="006654B8">
        <w:t xml:space="preserve"> that has occurred</w:t>
      </w:r>
      <w:r w:rsidR="00E56A20">
        <w:t xml:space="preserve"> since </w:t>
      </w:r>
      <w:r w:rsidR="006654B8">
        <w:t>the Center’s</w:t>
      </w:r>
      <w:r w:rsidR="00E56A20">
        <w:t xml:space="preserve"> opening, as evidence of the increase in utilization of ASCs, and reduced reliance on HOPDs. </w:t>
      </w:r>
      <w:r w:rsidR="001241EA">
        <w:t xml:space="preserve">In 2022, </w:t>
      </w:r>
      <w:r w:rsidR="003D600D">
        <w:t>the share of</w:t>
      </w:r>
      <w:r w:rsidR="001241EA">
        <w:t xml:space="preserve"> endoscopy procedure volume at Emerson Hospital and the Center was </w:t>
      </w:r>
      <w:r w:rsidR="00FA426B">
        <w:t xml:space="preserve">69% </w:t>
      </w:r>
      <w:r w:rsidR="003D600D">
        <w:t xml:space="preserve">at </w:t>
      </w:r>
      <w:r w:rsidR="00FA426B">
        <w:t xml:space="preserve">Emerson Hospital and 31% </w:t>
      </w:r>
      <w:r w:rsidR="003D600D">
        <w:t xml:space="preserve">at </w:t>
      </w:r>
      <w:r w:rsidR="00FA426B">
        <w:t xml:space="preserve">the Center, in 2024 </w:t>
      </w:r>
      <w:r w:rsidR="00D2585D">
        <w:t xml:space="preserve">it was </w:t>
      </w:r>
      <w:r w:rsidR="00FA426B">
        <w:t xml:space="preserve">43% </w:t>
      </w:r>
      <w:r w:rsidR="003D600D">
        <w:t xml:space="preserve">at </w:t>
      </w:r>
      <w:r w:rsidR="00FA426B">
        <w:t>Emerson Hospital and 57%</w:t>
      </w:r>
      <w:r w:rsidR="00F45BE0">
        <w:t xml:space="preserve"> </w:t>
      </w:r>
      <w:r w:rsidR="003D600D">
        <w:t xml:space="preserve">at </w:t>
      </w:r>
      <w:r w:rsidR="00F45BE0">
        <w:t xml:space="preserve">the Center. </w:t>
      </w:r>
    </w:p>
    <w:p w14:paraId="3FF7DAB4" w14:textId="7A040F4A" w:rsidR="00A76D7B" w:rsidRDefault="00A76D7B" w:rsidP="00C316C3"/>
    <w:p w14:paraId="6AF82A6F" w14:textId="62F1C886" w:rsidR="00B447F3" w:rsidRDefault="00A4110F" w:rsidP="00C316C3">
      <w:pPr>
        <w:rPr>
          <w:rFonts w:asciiTheme="minorHAnsi" w:hAnsiTheme="minorHAnsi"/>
          <w:b/>
          <w:bCs/>
          <w:i/>
          <w:iCs/>
          <w:szCs w:val="24"/>
        </w:rPr>
      </w:pPr>
      <w:r w:rsidRPr="009A0C61">
        <w:rPr>
          <w:rFonts w:asciiTheme="minorHAnsi" w:hAnsiTheme="minorHAnsi"/>
          <w:b/>
          <w:bCs/>
          <w:i/>
          <w:iCs/>
          <w:szCs w:val="24"/>
        </w:rPr>
        <w:t>Analysis</w:t>
      </w:r>
    </w:p>
    <w:p w14:paraId="0A7F0A56" w14:textId="650EE882" w:rsidR="002102E6" w:rsidRDefault="47EA00A6" w:rsidP="28157CC0">
      <w:pPr>
        <w:rPr>
          <w:rFonts w:asciiTheme="minorHAnsi" w:hAnsiTheme="minorHAnsi"/>
        </w:rPr>
      </w:pPr>
      <w:r w:rsidRPr="28157CC0">
        <w:rPr>
          <w:rFonts w:asciiTheme="minorHAnsi" w:hAnsiTheme="minorHAnsi"/>
        </w:rPr>
        <w:t xml:space="preserve">Staff finds that, on balance, the requirement that the Proposed Project will likely compete on the basis of price, TME provider costs, and other measures of health care spending and therefore, </w:t>
      </w:r>
      <w:r w:rsidR="0E5A8D97" w:rsidRPr="28157CC0">
        <w:rPr>
          <w:rFonts w:asciiTheme="minorHAnsi" w:hAnsiTheme="minorHAnsi"/>
        </w:rPr>
        <w:t>the requirements of Factor 1</w:t>
      </w:r>
      <w:r w:rsidR="00024A9E">
        <w:rPr>
          <w:rFonts w:asciiTheme="minorHAnsi" w:hAnsiTheme="minorHAnsi"/>
        </w:rPr>
        <w:t>(</w:t>
      </w:r>
      <w:r w:rsidR="0E5A8D97" w:rsidRPr="28157CC0">
        <w:rPr>
          <w:rFonts w:asciiTheme="minorHAnsi" w:hAnsiTheme="minorHAnsi"/>
        </w:rPr>
        <w:t>f</w:t>
      </w:r>
      <w:r w:rsidR="00024A9E">
        <w:rPr>
          <w:rFonts w:asciiTheme="minorHAnsi" w:hAnsiTheme="minorHAnsi"/>
        </w:rPr>
        <w:t>)</w:t>
      </w:r>
      <w:r w:rsidR="0E5A8D97" w:rsidRPr="28157CC0">
        <w:rPr>
          <w:rFonts w:asciiTheme="minorHAnsi" w:hAnsiTheme="minorHAnsi"/>
        </w:rPr>
        <w:t xml:space="preserve"> </w:t>
      </w:r>
      <w:r w:rsidRPr="28157CC0">
        <w:rPr>
          <w:rFonts w:asciiTheme="minorHAnsi" w:hAnsiTheme="minorHAnsi"/>
        </w:rPr>
        <w:t>have been met.</w:t>
      </w:r>
    </w:p>
    <w:p w14:paraId="7AF6CC77" w14:textId="77777777" w:rsidR="00F9056B" w:rsidRPr="002102E6" w:rsidRDefault="00F9056B" w:rsidP="00C316C3">
      <w:pPr>
        <w:rPr>
          <w:rFonts w:asciiTheme="minorHAnsi" w:hAnsiTheme="minorHAnsi"/>
          <w:szCs w:val="24"/>
        </w:rPr>
      </w:pPr>
    </w:p>
    <w:p w14:paraId="7A94A1AC" w14:textId="5F05B601" w:rsidR="00B447F3" w:rsidRPr="00771386" w:rsidRDefault="0060024E" w:rsidP="00C316C3">
      <w:pPr>
        <w:pStyle w:val="Heading1"/>
        <w:ind w:left="0"/>
        <w:rPr>
          <w:color w:val="1F497D" w:themeColor="text2"/>
        </w:rPr>
      </w:pPr>
      <w:bookmarkStart w:id="17" w:name="_Toc207953800"/>
      <w:r w:rsidRPr="00771386">
        <w:rPr>
          <w:color w:val="1F497D" w:themeColor="text2"/>
        </w:rPr>
        <w:t>Summary</w:t>
      </w:r>
      <w:r w:rsidR="00A63487">
        <w:rPr>
          <w:color w:val="1F497D" w:themeColor="text2"/>
        </w:rPr>
        <w:t>, Factor 1</w:t>
      </w:r>
      <w:bookmarkEnd w:id="17"/>
      <w:r w:rsidR="00A63487">
        <w:rPr>
          <w:color w:val="1F497D" w:themeColor="text2"/>
        </w:rPr>
        <w:t xml:space="preserve"> </w:t>
      </w:r>
      <w:r w:rsidRPr="00771386">
        <w:rPr>
          <w:color w:val="1F497D" w:themeColor="text2"/>
        </w:rPr>
        <w:t xml:space="preserve"> </w:t>
      </w:r>
    </w:p>
    <w:p w14:paraId="15015229" w14:textId="59F50AAA" w:rsidR="00D47105" w:rsidRDefault="0060024E" w:rsidP="00C316C3">
      <w:pPr>
        <w:rPr>
          <w:rFonts w:asciiTheme="minorHAnsi" w:hAnsiTheme="minorHAnsi"/>
          <w:szCs w:val="24"/>
        </w:rPr>
      </w:pPr>
      <w:r w:rsidRPr="0060024E">
        <w:rPr>
          <w:rFonts w:asciiTheme="minorHAnsi" w:hAnsiTheme="minorHAnsi"/>
          <w:szCs w:val="24"/>
        </w:rPr>
        <w:t xml:space="preserve">As a result of information provided by the Applicant and additional analysis, staff finds that with the </w:t>
      </w:r>
      <w:r w:rsidR="00E61330">
        <w:rPr>
          <w:rFonts w:asciiTheme="minorHAnsi" w:hAnsiTheme="minorHAnsi"/>
          <w:szCs w:val="24"/>
        </w:rPr>
        <w:t xml:space="preserve">“Other </w:t>
      </w:r>
      <w:r w:rsidR="00974F1C">
        <w:rPr>
          <w:rFonts w:asciiTheme="minorHAnsi" w:hAnsiTheme="minorHAnsi"/>
          <w:szCs w:val="24"/>
        </w:rPr>
        <w:t>Conditions</w:t>
      </w:r>
      <w:r w:rsidR="00E61330">
        <w:rPr>
          <w:rFonts w:asciiTheme="minorHAnsi" w:hAnsiTheme="minorHAnsi"/>
          <w:szCs w:val="24"/>
        </w:rPr>
        <w:t>”</w:t>
      </w:r>
      <w:r w:rsidR="00974F1C">
        <w:rPr>
          <w:rFonts w:asciiTheme="minorHAnsi" w:hAnsiTheme="minorHAnsi"/>
          <w:szCs w:val="24"/>
        </w:rPr>
        <w:t xml:space="preserve"> outlined below and </w:t>
      </w:r>
      <w:r w:rsidR="00D961C8">
        <w:rPr>
          <w:rFonts w:asciiTheme="minorHAnsi" w:hAnsiTheme="minorHAnsi"/>
          <w:szCs w:val="24"/>
        </w:rPr>
        <w:t xml:space="preserve">the </w:t>
      </w:r>
      <w:r w:rsidRPr="0060024E">
        <w:rPr>
          <w:rFonts w:asciiTheme="minorHAnsi" w:hAnsiTheme="minorHAnsi"/>
          <w:szCs w:val="24"/>
        </w:rPr>
        <w:t xml:space="preserve">standard reporting requirements, the Applicant has </w:t>
      </w:r>
      <w:r w:rsidRPr="0060024E">
        <w:rPr>
          <w:rFonts w:asciiTheme="minorHAnsi" w:hAnsiTheme="minorHAnsi"/>
          <w:szCs w:val="24"/>
        </w:rPr>
        <w:lastRenderedPageBreak/>
        <w:t>demonstrated that the Proposed Project has met Factor 1(a-f).</w:t>
      </w:r>
    </w:p>
    <w:p w14:paraId="158E0F39" w14:textId="77777777" w:rsidR="00970AA3" w:rsidRDefault="00970AA3" w:rsidP="00C316C3">
      <w:pPr>
        <w:rPr>
          <w:rFonts w:asciiTheme="minorHAnsi" w:hAnsiTheme="minorHAnsi"/>
          <w:szCs w:val="24"/>
        </w:rPr>
      </w:pPr>
    </w:p>
    <w:p w14:paraId="48C2065F" w14:textId="77777777" w:rsidR="00B447F3" w:rsidRPr="003436F0" w:rsidRDefault="00A4110F" w:rsidP="00C316C3">
      <w:pPr>
        <w:pStyle w:val="Heading1"/>
        <w:ind w:left="0" w:right="467"/>
        <w:rPr>
          <w:rFonts w:asciiTheme="minorHAnsi" w:hAnsiTheme="minorHAnsi"/>
        </w:rPr>
      </w:pPr>
      <w:bookmarkStart w:id="18" w:name="Factor_2:_Cost_containment,_Improved_Pub"/>
      <w:bookmarkStart w:id="19" w:name="_Toc207953801"/>
      <w:bookmarkEnd w:id="18"/>
      <w:r w:rsidRPr="003436F0">
        <w:rPr>
          <w:rFonts w:asciiTheme="minorHAnsi" w:hAnsiTheme="minorHAnsi"/>
          <w:color w:val="42558C"/>
        </w:rPr>
        <w:t>Factor 2: Cost containment, Improved Public Health Outcomes and Delivery System Transformation</w:t>
      </w:r>
      <w:bookmarkEnd w:id="19"/>
    </w:p>
    <w:p w14:paraId="1CE0B37B" w14:textId="77777777" w:rsidR="009A0C61" w:rsidRDefault="009A0C61" w:rsidP="00C316C3"/>
    <w:p w14:paraId="567B3969" w14:textId="4051CADF" w:rsidR="00B447F3" w:rsidRDefault="00A4110F" w:rsidP="00C316C3">
      <w:pPr>
        <w:rPr>
          <w:rFonts w:asciiTheme="minorHAnsi" w:hAnsiTheme="minorHAnsi"/>
          <w:b/>
          <w:bCs/>
          <w:szCs w:val="24"/>
        </w:rPr>
      </w:pPr>
      <w:r w:rsidRPr="009A0C61">
        <w:rPr>
          <w:rFonts w:asciiTheme="minorHAnsi" w:hAnsiTheme="minorHAnsi"/>
          <w:b/>
          <w:bCs/>
          <w:szCs w:val="24"/>
        </w:rPr>
        <w:t>Cost Containment</w:t>
      </w:r>
    </w:p>
    <w:p w14:paraId="7862CBD1" w14:textId="4850614C" w:rsidR="00E67F0F" w:rsidRDefault="004070AC" w:rsidP="00C316C3">
      <w:pPr>
        <w:pStyle w:val="BodyText"/>
        <w:rPr>
          <w:rFonts w:asciiTheme="minorHAnsi" w:hAnsiTheme="minorHAnsi"/>
        </w:rPr>
      </w:pPr>
      <w:r>
        <w:rPr>
          <w:rFonts w:asciiTheme="minorHAnsi" w:hAnsiTheme="minorHAnsi"/>
        </w:rPr>
        <w:t xml:space="preserve">The Applicant states, “the Proposed Project will contribute to the Commonwealth’s goal of containing the rate of growth of total medical expenses” and total health care expenditures (THCE). </w:t>
      </w:r>
      <w:r w:rsidR="002E5742">
        <w:rPr>
          <w:rFonts w:asciiTheme="minorHAnsi" w:hAnsiTheme="minorHAnsi"/>
        </w:rPr>
        <w:t>To demonstrate that the Proposed Project will contribute to the Commonwealth’s cost containment goals, which include providing high-quality care at a lower cost, the Applicant points to the Proposed Project</w:t>
      </w:r>
      <w:r w:rsidR="00A02968">
        <w:rPr>
          <w:rFonts w:asciiTheme="minorHAnsi" w:hAnsiTheme="minorHAnsi"/>
        </w:rPr>
        <w:t>’s potential to</w:t>
      </w:r>
      <w:r w:rsidR="002E5742">
        <w:rPr>
          <w:rFonts w:asciiTheme="minorHAnsi" w:hAnsiTheme="minorHAnsi"/>
        </w:rPr>
        <w:t xml:space="preserve"> improve access to high-quality endoscopy services, in a lower cost setting. </w:t>
      </w:r>
      <w:r w:rsidR="00124049">
        <w:rPr>
          <w:rFonts w:asciiTheme="minorHAnsi" w:hAnsiTheme="minorHAnsi"/>
        </w:rPr>
        <w:t xml:space="preserve">The </w:t>
      </w:r>
      <w:r w:rsidR="003066B0">
        <w:rPr>
          <w:rFonts w:asciiTheme="minorHAnsi" w:hAnsiTheme="minorHAnsi"/>
        </w:rPr>
        <w:t xml:space="preserve">Applicant </w:t>
      </w:r>
      <w:r w:rsidR="002364B4">
        <w:rPr>
          <w:rFonts w:asciiTheme="minorHAnsi" w:hAnsiTheme="minorHAnsi"/>
        </w:rPr>
        <w:t>cited the</w:t>
      </w:r>
      <w:r w:rsidR="003066B0">
        <w:rPr>
          <w:rFonts w:asciiTheme="minorHAnsi" w:hAnsiTheme="minorHAnsi"/>
        </w:rPr>
        <w:t xml:space="preserve"> </w:t>
      </w:r>
      <w:r w:rsidR="00124049">
        <w:rPr>
          <w:rFonts w:asciiTheme="minorHAnsi" w:hAnsiTheme="minorHAnsi"/>
        </w:rPr>
        <w:t>HPC</w:t>
      </w:r>
      <w:r w:rsidR="002364B4">
        <w:rPr>
          <w:rFonts w:asciiTheme="minorHAnsi" w:hAnsiTheme="minorHAnsi"/>
        </w:rPr>
        <w:t>’s</w:t>
      </w:r>
      <w:r w:rsidR="00124049">
        <w:rPr>
          <w:rFonts w:asciiTheme="minorHAnsi" w:hAnsiTheme="minorHAnsi"/>
        </w:rPr>
        <w:t xml:space="preserve"> report</w:t>
      </w:r>
      <w:r w:rsidR="002364B4">
        <w:rPr>
          <w:rFonts w:asciiTheme="minorHAnsi" w:hAnsiTheme="minorHAnsi"/>
        </w:rPr>
        <w:t xml:space="preserve">ing </w:t>
      </w:r>
      <w:r w:rsidR="00124049">
        <w:rPr>
          <w:rFonts w:asciiTheme="minorHAnsi" w:hAnsiTheme="minorHAnsi"/>
        </w:rPr>
        <w:t xml:space="preserve">that </w:t>
      </w:r>
      <w:r w:rsidR="00F946B1">
        <w:rPr>
          <w:rFonts w:asciiTheme="minorHAnsi" w:hAnsiTheme="minorHAnsi"/>
        </w:rPr>
        <w:t>“p</w:t>
      </w:r>
      <w:r w:rsidR="00F946B1" w:rsidRPr="00F946B1">
        <w:rPr>
          <w:rFonts w:asciiTheme="minorHAnsi" w:hAnsiTheme="minorHAnsi"/>
        </w:rPr>
        <w:t>rices are 75% higher, on average, in hospital outpatient departments (HOPDs) for surgeries commonly performed in both ambulatory surgery centers (ASCs) and</w:t>
      </w:r>
      <w:r w:rsidR="00F946B1">
        <w:rPr>
          <w:rFonts w:asciiTheme="minorHAnsi" w:hAnsiTheme="minorHAnsi"/>
        </w:rPr>
        <w:t xml:space="preserve"> </w:t>
      </w:r>
      <w:r w:rsidR="00F946B1" w:rsidRPr="00F946B1">
        <w:rPr>
          <w:rFonts w:asciiTheme="minorHAnsi" w:hAnsiTheme="minorHAnsi"/>
        </w:rPr>
        <w:t>HOPDs.</w:t>
      </w:r>
      <w:r w:rsidR="00F946B1">
        <w:rPr>
          <w:rFonts w:asciiTheme="minorHAnsi" w:hAnsiTheme="minorHAnsi"/>
        </w:rPr>
        <w:t>”</w:t>
      </w:r>
      <w:r w:rsidR="00F946B1">
        <w:rPr>
          <w:rStyle w:val="EndnoteReference"/>
          <w:rFonts w:asciiTheme="minorHAnsi" w:hAnsiTheme="minorHAnsi"/>
        </w:rPr>
        <w:endnoteReference w:id="46"/>
      </w:r>
      <w:r w:rsidR="00F946B1">
        <w:rPr>
          <w:rFonts w:asciiTheme="minorHAnsi" w:hAnsiTheme="minorHAnsi"/>
        </w:rPr>
        <w:t xml:space="preserve"> </w:t>
      </w:r>
      <w:r w:rsidR="002E5742">
        <w:rPr>
          <w:rFonts w:asciiTheme="minorHAnsi" w:hAnsiTheme="minorHAnsi"/>
        </w:rPr>
        <w:t xml:space="preserve">Additionally, the screening services provided at </w:t>
      </w:r>
      <w:r w:rsidR="00551FA5">
        <w:rPr>
          <w:rFonts w:asciiTheme="minorHAnsi" w:hAnsiTheme="minorHAnsi"/>
        </w:rPr>
        <w:t>the Center</w:t>
      </w:r>
      <w:r w:rsidR="002E5742">
        <w:rPr>
          <w:rFonts w:asciiTheme="minorHAnsi" w:hAnsiTheme="minorHAnsi"/>
        </w:rPr>
        <w:t xml:space="preserve"> will allow for earlier detection and treatment, which will also contribute to lower healthcare costs. As noted in Factor 1f, Medicare reimbursement for procedures performed in the ASC setting is</w:t>
      </w:r>
      <w:r w:rsidR="00C3687E">
        <w:rPr>
          <w:rFonts w:asciiTheme="minorHAnsi" w:hAnsiTheme="minorHAnsi"/>
        </w:rPr>
        <w:t>, on average,</w:t>
      </w:r>
      <w:r w:rsidR="002E5742">
        <w:rPr>
          <w:rFonts w:asciiTheme="minorHAnsi" w:hAnsiTheme="minorHAnsi"/>
        </w:rPr>
        <w:t xml:space="preserve"> 50% the amount paid to HOPDs, and Medicaid and commercial payers also benefit from lower prices paid for procedures performed in the ASC setting.</w:t>
      </w:r>
      <w:r w:rsidR="00692B9D" w:rsidRPr="00692B9D">
        <w:t xml:space="preserve"> </w:t>
      </w:r>
      <w:r w:rsidR="00692B9D" w:rsidRPr="00692B9D">
        <w:rPr>
          <w:rFonts w:asciiTheme="minorHAnsi" w:hAnsiTheme="minorHAnsi"/>
        </w:rPr>
        <w:t>The Applicant</w:t>
      </w:r>
      <w:r w:rsidR="00692B9D">
        <w:rPr>
          <w:rFonts w:asciiTheme="minorHAnsi" w:hAnsiTheme="minorHAnsi"/>
        </w:rPr>
        <w:t xml:space="preserve"> also</w:t>
      </w:r>
      <w:r w:rsidR="00692B9D" w:rsidRPr="00692B9D">
        <w:rPr>
          <w:rFonts w:asciiTheme="minorHAnsi" w:hAnsiTheme="minorHAnsi"/>
        </w:rPr>
        <w:t xml:space="preserve"> points to the lower overhead costs of single-specialty ASCs as compared to HOPDs</w:t>
      </w:r>
      <w:r w:rsidR="00D72C56">
        <w:rPr>
          <w:rFonts w:asciiTheme="minorHAnsi" w:hAnsiTheme="minorHAnsi"/>
        </w:rPr>
        <w:t xml:space="preserve"> as another measure of their cost effectiveness. </w:t>
      </w:r>
      <w:r w:rsidR="002E5742">
        <w:rPr>
          <w:rFonts w:asciiTheme="minorHAnsi" w:hAnsiTheme="minorHAnsi"/>
        </w:rPr>
        <w:t xml:space="preserve"> </w:t>
      </w:r>
    </w:p>
    <w:p w14:paraId="6B47E84E" w14:textId="77777777" w:rsidR="004162D6" w:rsidRDefault="004162D6" w:rsidP="00C316C3">
      <w:pPr>
        <w:pStyle w:val="BodyText"/>
        <w:rPr>
          <w:rFonts w:asciiTheme="minorHAnsi" w:hAnsiTheme="minorHAnsi"/>
        </w:rPr>
      </w:pPr>
    </w:p>
    <w:p w14:paraId="33FC7E4D" w14:textId="26C09E20" w:rsidR="00B447F3" w:rsidRDefault="00A4110F" w:rsidP="00C316C3">
      <w:pPr>
        <w:rPr>
          <w:rFonts w:asciiTheme="minorHAnsi" w:hAnsiTheme="minorHAnsi"/>
          <w:b/>
          <w:bCs/>
          <w:i/>
          <w:iCs/>
          <w:szCs w:val="24"/>
        </w:rPr>
      </w:pPr>
      <w:r w:rsidRPr="009A0C61">
        <w:rPr>
          <w:rFonts w:asciiTheme="minorHAnsi" w:hAnsiTheme="minorHAnsi"/>
          <w:b/>
          <w:bCs/>
          <w:i/>
          <w:iCs/>
          <w:szCs w:val="24"/>
        </w:rPr>
        <w:t>Analysis: Cost Containment</w:t>
      </w:r>
    </w:p>
    <w:p w14:paraId="4E5249FC" w14:textId="350BB042" w:rsidR="00B447F3" w:rsidRPr="00517020" w:rsidRDefault="4A59A93C" w:rsidP="28157CC0">
      <w:pPr>
        <w:pStyle w:val="BodyText"/>
        <w:rPr>
          <w:rFonts w:asciiTheme="minorHAnsi" w:hAnsiTheme="minorHAnsi"/>
        </w:rPr>
      </w:pPr>
      <w:r w:rsidRPr="28157CC0">
        <w:rPr>
          <w:rFonts w:asciiTheme="minorHAnsi" w:hAnsiTheme="minorHAnsi"/>
        </w:rPr>
        <w:t xml:space="preserve">Staff finds that the Applicant </w:t>
      </w:r>
      <w:r w:rsidR="7AE78C2B" w:rsidRPr="28157CC0">
        <w:rPr>
          <w:rFonts w:asciiTheme="minorHAnsi" w:hAnsiTheme="minorHAnsi"/>
        </w:rPr>
        <w:t>demonstrated</w:t>
      </w:r>
      <w:r w:rsidRPr="28157CC0">
        <w:rPr>
          <w:rFonts w:asciiTheme="minorHAnsi" w:hAnsiTheme="minorHAnsi"/>
        </w:rPr>
        <w:t xml:space="preserve"> how the Proposed Project aligns with the Commonwealth’s cost containment goals through the expansion of access to</w:t>
      </w:r>
      <w:r w:rsidR="7AE78C2B" w:rsidRPr="28157CC0">
        <w:rPr>
          <w:rFonts w:asciiTheme="minorHAnsi" w:hAnsiTheme="minorHAnsi"/>
        </w:rPr>
        <w:t xml:space="preserve"> high-quality</w:t>
      </w:r>
      <w:r w:rsidRPr="28157CC0">
        <w:rPr>
          <w:rFonts w:asciiTheme="minorHAnsi" w:hAnsiTheme="minorHAnsi"/>
        </w:rPr>
        <w:t xml:space="preserve"> ambulatory surgery in a lower</w:t>
      </w:r>
      <w:r w:rsidR="00EB72CD">
        <w:rPr>
          <w:rFonts w:asciiTheme="minorHAnsi" w:hAnsiTheme="minorHAnsi"/>
        </w:rPr>
        <w:t xml:space="preserve"> </w:t>
      </w:r>
      <w:r w:rsidRPr="28157CC0">
        <w:rPr>
          <w:rFonts w:asciiTheme="minorHAnsi" w:hAnsiTheme="minorHAnsi"/>
        </w:rPr>
        <w:t>cost setting</w:t>
      </w:r>
      <w:r w:rsidR="5111E12A" w:rsidRPr="28157CC0">
        <w:rPr>
          <w:rFonts w:asciiTheme="minorHAnsi" w:hAnsiTheme="minorHAnsi"/>
        </w:rPr>
        <w:t xml:space="preserve">, and </w:t>
      </w:r>
      <w:r w:rsidR="7AE78C2B" w:rsidRPr="28157CC0">
        <w:rPr>
          <w:rFonts w:asciiTheme="minorHAnsi" w:hAnsiTheme="minorHAnsi"/>
        </w:rPr>
        <w:t xml:space="preserve">through </w:t>
      </w:r>
      <w:r w:rsidR="5111E12A" w:rsidRPr="28157CC0">
        <w:rPr>
          <w:rFonts w:asciiTheme="minorHAnsi" w:hAnsiTheme="minorHAnsi"/>
        </w:rPr>
        <w:t>reducing delays in access</w:t>
      </w:r>
      <w:r w:rsidR="7AE78C2B" w:rsidRPr="28157CC0">
        <w:rPr>
          <w:rFonts w:asciiTheme="minorHAnsi" w:hAnsiTheme="minorHAnsi"/>
        </w:rPr>
        <w:t xml:space="preserve"> to</w:t>
      </w:r>
      <w:r w:rsidR="5111E12A" w:rsidRPr="28157CC0">
        <w:rPr>
          <w:rFonts w:asciiTheme="minorHAnsi" w:hAnsiTheme="minorHAnsi"/>
        </w:rPr>
        <w:t xml:space="preserve"> endoscopy services. </w:t>
      </w:r>
      <w:r w:rsidR="00AD415C" w:rsidRPr="00AD415C">
        <w:rPr>
          <w:rFonts w:asciiTheme="minorHAnsi" w:hAnsiTheme="minorHAnsi"/>
        </w:rPr>
        <w:t xml:space="preserve">As a Condition of approval, the Applicant will report annually on </w:t>
      </w:r>
      <w:r w:rsidR="00AD415C">
        <w:rPr>
          <w:rFonts w:asciiTheme="minorHAnsi" w:hAnsiTheme="minorHAnsi"/>
        </w:rPr>
        <w:t xml:space="preserve">the </w:t>
      </w:r>
      <w:r w:rsidR="006A3F74">
        <w:rPr>
          <w:rFonts w:asciiTheme="minorHAnsi" w:hAnsiTheme="minorHAnsi"/>
        </w:rPr>
        <w:t xml:space="preserve">continued </w:t>
      </w:r>
      <w:r w:rsidR="00AD415C">
        <w:rPr>
          <w:rFonts w:asciiTheme="minorHAnsi" w:hAnsiTheme="minorHAnsi"/>
        </w:rPr>
        <w:t>shift of clinically appropriate cases from Emerson Hospital to the Center</w:t>
      </w:r>
      <w:r w:rsidR="00AD415C" w:rsidRPr="00AD415C">
        <w:rPr>
          <w:rFonts w:asciiTheme="minorHAnsi" w:hAnsiTheme="minorHAnsi"/>
        </w:rPr>
        <w:t xml:space="preserve">. The full text of the Condition is listed in the “Other Conditions” section of this report. </w:t>
      </w:r>
      <w:r w:rsidR="7AE78C2B" w:rsidRPr="28157CC0">
        <w:rPr>
          <w:rFonts w:asciiTheme="minorHAnsi" w:hAnsiTheme="minorHAnsi"/>
        </w:rPr>
        <w:t xml:space="preserve">Therefore, DoN Staff conclude that </w:t>
      </w:r>
      <w:r w:rsidR="00AD415C">
        <w:rPr>
          <w:rFonts w:asciiTheme="minorHAnsi" w:hAnsiTheme="minorHAnsi"/>
        </w:rPr>
        <w:t xml:space="preserve">with the “Other Condition” </w:t>
      </w:r>
      <w:r w:rsidR="7AE78C2B" w:rsidRPr="28157CC0">
        <w:rPr>
          <w:rFonts w:asciiTheme="minorHAnsi" w:hAnsiTheme="minorHAnsi"/>
        </w:rPr>
        <w:t>the Proposed Project will likely meet the cost containment component of Factor 2.</w:t>
      </w:r>
    </w:p>
    <w:p w14:paraId="04479D09" w14:textId="77777777" w:rsidR="00517020" w:rsidRDefault="00517020" w:rsidP="00C316C3">
      <w:pPr>
        <w:pStyle w:val="BodyText"/>
        <w:rPr>
          <w:rFonts w:asciiTheme="minorHAnsi" w:hAnsiTheme="minorHAnsi"/>
          <w:sz w:val="25"/>
        </w:rPr>
      </w:pPr>
    </w:p>
    <w:p w14:paraId="539AD4E0" w14:textId="0E47D07D" w:rsidR="0048470A" w:rsidRDefault="00A4110F" w:rsidP="00C316C3">
      <w:pPr>
        <w:pStyle w:val="Heading4"/>
        <w:spacing w:line="240" w:lineRule="auto"/>
        <w:ind w:left="0"/>
        <w:rPr>
          <w:rFonts w:asciiTheme="minorHAnsi" w:hAnsiTheme="minorHAnsi"/>
        </w:rPr>
      </w:pPr>
      <w:r w:rsidRPr="003436F0">
        <w:rPr>
          <w:rFonts w:asciiTheme="minorHAnsi" w:hAnsiTheme="minorHAnsi"/>
        </w:rPr>
        <w:t>Improved Public Health Outcomes</w:t>
      </w:r>
    </w:p>
    <w:p w14:paraId="159CBBD8" w14:textId="47972D67" w:rsidR="005C1E53" w:rsidRDefault="00363607" w:rsidP="00C316C3">
      <w:pPr>
        <w:pStyle w:val="Heading4"/>
        <w:spacing w:line="240" w:lineRule="auto"/>
        <w:ind w:left="0"/>
        <w:rPr>
          <w:rFonts w:asciiTheme="minorHAnsi" w:hAnsiTheme="minorHAnsi"/>
          <w:b w:val="0"/>
          <w:bCs w:val="0"/>
        </w:rPr>
      </w:pPr>
      <w:r>
        <w:rPr>
          <w:rFonts w:asciiTheme="minorHAnsi" w:hAnsiTheme="minorHAnsi"/>
          <w:b w:val="0"/>
          <w:bCs w:val="0"/>
        </w:rPr>
        <w:t xml:space="preserve">As noted in Factor 1b, the Proposed Project will improve access to endoscopy services in the community setting, and this in </w:t>
      </w:r>
      <w:r w:rsidR="00C84214">
        <w:rPr>
          <w:rFonts w:asciiTheme="minorHAnsi" w:hAnsiTheme="minorHAnsi"/>
          <w:b w:val="0"/>
          <w:bCs w:val="0"/>
        </w:rPr>
        <w:t xml:space="preserve">turn </w:t>
      </w:r>
      <w:r>
        <w:rPr>
          <w:rFonts w:asciiTheme="minorHAnsi" w:hAnsiTheme="minorHAnsi"/>
          <w:b w:val="0"/>
          <w:bCs w:val="0"/>
        </w:rPr>
        <w:t xml:space="preserve">will improve health outcomes and patient experience. The Applicant states that improved access to endoscopy services will improve patient </w:t>
      </w:r>
      <w:r w:rsidR="009C63A6">
        <w:rPr>
          <w:rFonts w:asciiTheme="minorHAnsi" w:hAnsiTheme="minorHAnsi"/>
          <w:b w:val="0"/>
          <w:bCs w:val="0"/>
        </w:rPr>
        <w:t>adherence to</w:t>
      </w:r>
      <w:r>
        <w:rPr>
          <w:rFonts w:asciiTheme="minorHAnsi" w:hAnsiTheme="minorHAnsi"/>
          <w:b w:val="0"/>
          <w:bCs w:val="0"/>
        </w:rPr>
        <w:t xml:space="preserve"> screening recommendations, and higher screening rates </w:t>
      </w:r>
      <w:r w:rsidR="009C63A6">
        <w:rPr>
          <w:rFonts w:asciiTheme="minorHAnsi" w:hAnsiTheme="minorHAnsi"/>
          <w:b w:val="0"/>
          <w:bCs w:val="0"/>
        </w:rPr>
        <w:t xml:space="preserve">will </w:t>
      </w:r>
      <w:r>
        <w:rPr>
          <w:rFonts w:asciiTheme="minorHAnsi" w:hAnsiTheme="minorHAnsi"/>
          <w:b w:val="0"/>
          <w:bCs w:val="0"/>
        </w:rPr>
        <w:t>improve de</w:t>
      </w:r>
      <w:r w:rsidR="00B739F5">
        <w:rPr>
          <w:rFonts w:asciiTheme="minorHAnsi" w:hAnsiTheme="minorHAnsi"/>
          <w:b w:val="0"/>
          <w:bCs w:val="0"/>
        </w:rPr>
        <w:t>t</w:t>
      </w:r>
      <w:r>
        <w:rPr>
          <w:rFonts w:asciiTheme="minorHAnsi" w:hAnsiTheme="minorHAnsi"/>
          <w:b w:val="0"/>
          <w:bCs w:val="0"/>
        </w:rPr>
        <w:t>ection of cancer earlier, when treatment is more effective, and less costl</w:t>
      </w:r>
      <w:r w:rsidR="00B739F5">
        <w:rPr>
          <w:rFonts w:asciiTheme="minorHAnsi" w:hAnsiTheme="minorHAnsi"/>
          <w:b w:val="0"/>
          <w:bCs w:val="0"/>
        </w:rPr>
        <w:t xml:space="preserve">y, </w:t>
      </w:r>
      <w:r w:rsidR="00605AC9">
        <w:rPr>
          <w:rFonts w:asciiTheme="minorHAnsi" w:hAnsiTheme="minorHAnsi"/>
          <w:b w:val="0"/>
          <w:bCs w:val="0"/>
        </w:rPr>
        <w:t xml:space="preserve">and </w:t>
      </w:r>
      <w:r w:rsidR="00B739F5">
        <w:rPr>
          <w:rFonts w:asciiTheme="minorHAnsi" w:hAnsiTheme="minorHAnsi"/>
          <w:b w:val="0"/>
          <w:bCs w:val="0"/>
        </w:rPr>
        <w:t xml:space="preserve">with greater improvements to patient quality of life. The Applicant states further that patient experience will be improved through an accessible facility that is easier to navigate than the hospital setting, and with scheduling that will reduce wait times for appointments and scheduling delays. </w:t>
      </w:r>
    </w:p>
    <w:p w14:paraId="7AAEC4DD" w14:textId="77777777" w:rsidR="007F6446" w:rsidRPr="005C1E53" w:rsidRDefault="007F6446" w:rsidP="00C316C3">
      <w:pPr>
        <w:pStyle w:val="Heading4"/>
        <w:spacing w:line="240" w:lineRule="auto"/>
        <w:ind w:left="0"/>
        <w:rPr>
          <w:rFonts w:asciiTheme="minorHAnsi" w:hAnsiTheme="minorHAnsi"/>
          <w:b w:val="0"/>
          <w:bCs w:val="0"/>
        </w:rPr>
      </w:pPr>
    </w:p>
    <w:p w14:paraId="259E9A4D" w14:textId="1B37272B" w:rsidR="00B447F3" w:rsidRPr="009A0C61" w:rsidRDefault="00A4110F" w:rsidP="00C316C3">
      <w:pPr>
        <w:rPr>
          <w:rFonts w:asciiTheme="minorHAnsi" w:hAnsiTheme="minorHAnsi"/>
          <w:b/>
          <w:bCs/>
          <w:i/>
          <w:iCs/>
          <w:szCs w:val="24"/>
        </w:rPr>
      </w:pPr>
      <w:r w:rsidRPr="009A0C61">
        <w:rPr>
          <w:rFonts w:asciiTheme="minorHAnsi" w:hAnsiTheme="minorHAnsi"/>
          <w:b/>
          <w:bCs/>
          <w:i/>
          <w:iCs/>
          <w:szCs w:val="24"/>
        </w:rPr>
        <w:t>Analysis: Public Health Outcomes</w:t>
      </w:r>
    </w:p>
    <w:p w14:paraId="0F0EDC1B" w14:textId="0DB59F90" w:rsidR="00A903C8" w:rsidRDefault="5C2AE65A" w:rsidP="28157CC0">
      <w:pPr>
        <w:pStyle w:val="BodyText"/>
        <w:rPr>
          <w:rFonts w:asciiTheme="minorHAnsi" w:hAnsiTheme="minorHAnsi"/>
        </w:rPr>
      </w:pPr>
      <w:r w:rsidRPr="28157CC0">
        <w:rPr>
          <w:rFonts w:asciiTheme="minorHAnsi" w:hAnsiTheme="minorHAnsi"/>
        </w:rPr>
        <w:t>Staff finds that the Applicant</w:t>
      </w:r>
      <w:r w:rsidR="00470B8C">
        <w:rPr>
          <w:rFonts w:asciiTheme="minorHAnsi" w:hAnsiTheme="minorHAnsi"/>
        </w:rPr>
        <w:t xml:space="preserve"> </w:t>
      </w:r>
      <w:r w:rsidRPr="28157CC0">
        <w:rPr>
          <w:rFonts w:asciiTheme="minorHAnsi" w:hAnsiTheme="minorHAnsi"/>
        </w:rPr>
        <w:t xml:space="preserve">demonstrated how the Proposed Project will improve health outcomes through increasing access to </w:t>
      </w:r>
      <w:r w:rsidR="007F6446">
        <w:rPr>
          <w:rFonts w:asciiTheme="minorHAnsi" w:hAnsiTheme="minorHAnsi"/>
        </w:rPr>
        <w:t>the Center’s</w:t>
      </w:r>
      <w:r w:rsidRPr="28157CC0">
        <w:rPr>
          <w:rFonts w:asciiTheme="minorHAnsi" w:hAnsiTheme="minorHAnsi"/>
        </w:rPr>
        <w:t xml:space="preserve"> services, which the Applicant has shown to be high-quality</w:t>
      </w:r>
      <w:r w:rsidR="2117EFDD" w:rsidRPr="28157CC0">
        <w:rPr>
          <w:rFonts w:asciiTheme="minorHAnsi" w:hAnsiTheme="minorHAnsi"/>
        </w:rPr>
        <w:t>, and through reducing</w:t>
      </w:r>
      <w:r w:rsidR="00C12671">
        <w:rPr>
          <w:rFonts w:asciiTheme="minorHAnsi" w:hAnsiTheme="minorHAnsi"/>
        </w:rPr>
        <w:t xml:space="preserve"> scheduling delays, and</w:t>
      </w:r>
      <w:r w:rsidR="2117EFDD" w:rsidRPr="28157CC0">
        <w:rPr>
          <w:rFonts w:asciiTheme="minorHAnsi" w:hAnsiTheme="minorHAnsi"/>
        </w:rPr>
        <w:t xml:space="preserve"> delays in diagnosis and treatment</w:t>
      </w:r>
      <w:r w:rsidR="4FDC3106" w:rsidRPr="28157CC0">
        <w:rPr>
          <w:rFonts w:asciiTheme="minorHAnsi" w:hAnsiTheme="minorHAnsi"/>
        </w:rPr>
        <w:t xml:space="preserve">. </w:t>
      </w:r>
      <w:r w:rsidRPr="28157CC0">
        <w:rPr>
          <w:rFonts w:asciiTheme="minorHAnsi" w:hAnsiTheme="minorHAnsi"/>
        </w:rPr>
        <w:t xml:space="preserve">Therefore, DoN </w:t>
      </w:r>
      <w:r w:rsidRPr="28157CC0">
        <w:rPr>
          <w:rFonts w:asciiTheme="minorHAnsi" w:hAnsiTheme="minorHAnsi"/>
        </w:rPr>
        <w:lastRenderedPageBreak/>
        <w:t>Staff</w:t>
      </w:r>
      <w:r w:rsidRPr="28157CC0" w:rsidDel="00A123C8">
        <w:rPr>
          <w:rFonts w:asciiTheme="minorHAnsi" w:hAnsiTheme="minorHAnsi"/>
        </w:rPr>
        <w:t xml:space="preserve"> </w:t>
      </w:r>
      <w:r w:rsidRPr="28157CC0">
        <w:rPr>
          <w:rFonts w:asciiTheme="minorHAnsi" w:hAnsiTheme="minorHAnsi"/>
        </w:rPr>
        <w:t>conclude that the Proposed Project will likely meet the Public Health Outcomes component of Factor 2.</w:t>
      </w:r>
    </w:p>
    <w:p w14:paraId="451016C6" w14:textId="77777777" w:rsidR="00EE2998" w:rsidRDefault="00EE2998" w:rsidP="00C316C3">
      <w:pPr>
        <w:pStyle w:val="BodyText"/>
        <w:rPr>
          <w:rFonts w:asciiTheme="minorHAnsi" w:hAnsiTheme="minorHAnsi"/>
        </w:rPr>
      </w:pPr>
    </w:p>
    <w:p w14:paraId="5A5B5207" w14:textId="15BDBFAC" w:rsidR="00B447F3" w:rsidRPr="00E71F7C" w:rsidRDefault="00A4110F" w:rsidP="00C316C3">
      <w:pPr>
        <w:rPr>
          <w:rFonts w:asciiTheme="minorHAnsi" w:hAnsiTheme="minorHAnsi"/>
          <w:b/>
          <w:bCs/>
          <w:szCs w:val="24"/>
        </w:rPr>
      </w:pPr>
      <w:r w:rsidRPr="00E71F7C">
        <w:rPr>
          <w:rFonts w:asciiTheme="minorHAnsi" w:hAnsiTheme="minorHAnsi"/>
          <w:b/>
          <w:bCs/>
          <w:szCs w:val="24"/>
        </w:rPr>
        <w:t>Delivery System Transformation</w:t>
      </w:r>
    </w:p>
    <w:p w14:paraId="2A77643A" w14:textId="48EE0A60" w:rsidR="003320C4" w:rsidRDefault="006C4B04" w:rsidP="00C316C3">
      <w:pPr>
        <w:pStyle w:val="BodyText"/>
        <w:rPr>
          <w:rFonts w:asciiTheme="minorHAnsi" w:hAnsiTheme="minorHAnsi"/>
        </w:rPr>
      </w:pPr>
      <w:r>
        <w:rPr>
          <w:rFonts w:asciiTheme="minorHAnsi" w:hAnsiTheme="minorHAnsi"/>
        </w:rPr>
        <w:t>The Applicant states that the Center does not currently have a process in place to screen patients for social determinant</w:t>
      </w:r>
      <w:r w:rsidR="008D3D20">
        <w:rPr>
          <w:rFonts w:asciiTheme="minorHAnsi" w:hAnsiTheme="minorHAnsi"/>
        </w:rPr>
        <w:t>s</w:t>
      </w:r>
      <w:r>
        <w:rPr>
          <w:rFonts w:asciiTheme="minorHAnsi" w:hAnsiTheme="minorHAnsi"/>
        </w:rPr>
        <w:t xml:space="preserve"> of health (SDoH) need</w:t>
      </w:r>
      <w:r w:rsidR="00746150">
        <w:rPr>
          <w:rFonts w:asciiTheme="minorHAnsi" w:hAnsiTheme="minorHAnsi"/>
        </w:rPr>
        <w:t>s</w:t>
      </w:r>
      <w:r>
        <w:rPr>
          <w:rFonts w:asciiTheme="minorHAnsi" w:hAnsiTheme="minorHAnsi"/>
        </w:rPr>
        <w:t xml:space="preserve">. </w:t>
      </w:r>
      <w:r w:rsidR="00746150">
        <w:rPr>
          <w:rFonts w:asciiTheme="minorHAnsi" w:hAnsiTheme="minorHAnsi"/>
        </w:rPr>
        <w:t>P</w:t>
      </w:r>
      <w:r w:rsidR="008D3D20">
        <w:rPr>
          <w:rFonts w:asciiTheme="minorHAnsi" w:hAnsiTheme="minorHAnsi"/>
        </w:rPr>
        <w:t xml:space="preserve">atients are screened </w:t>
      </w:r>
      <w:r w:rsidR="00C305A7">
        <w:rPr>
          <w:rFonts w:asciiTheme="minorHAnsi" w:hAnsiTheme="minorHAnsi"/>
        </w:rPr>
        <w:t xml:space="preserve">for transportation prior to their procedure to ensure that each patient has a safe ride home from their procedure. </w:t>
      </w:r>
      <w:r w:rsidR="00965BFB">
        <w:rPr>
          <w:rFonts w:asciiTheme="minorHAnsi" w:hAnsiTheme="minorHAnsi"/>
        </w:rPr>
        <w:t xml:space="preserve">The Applicant states that staff </w:t>
      </w:r>
      <w:r w:rsidR="00684290">
        <w:rPr>
          <w:rFonts w:asciiTheme="minorHAnsi" w:hAnsiTheme="minorHAnsi"/>
        </w:rPr>
        <w:t>provide referral resources to</w:t>
      </w:r>
      <w:r w:rsidR="00965BFB">
        <w:rPr>
          <w:rFonts w:asciiTheme="minorHAnsi" w:hAnsiTheme="minorHAnsi"/>
        </w:rPr>
        <w:t xml:space="preserve"> patients with </w:t>
      </w:r>
      <w:r w:rsidR="00684290">
        <w:rPr>
          <w:rFonts w:asciiTheme="minorHAnsi" w:hAnsiTheme="minorHAnsi"/>
        </w:rPr>
        <w:t>SDoH</w:t>
      </w:r>
      <w:r w:rsidR="00965BFB">
        <w:rPr>
          <w:rFonts w:asciiTheme="minorHAnsi" w:hAnsiTheme="minorHAnsi"/>
        </w:rPr>
        <w:t xml:space="preserve"> needs that are identified </w:t>
      </w:r>
      <w:r w:rsidR="000D4DE8">
        <w:rPr>
          <w:rFonts w:asciiTheme="minorHAnsi" w:hAnsiTheme="minorHAnsi"/>
        </w:rPr>
        <w:t xml:space="preserve">or suspected </w:t>
      </w:r>
      <w:r w:rsidR="00965BFB">
        <w:rPr>
          <w:rFonts w:asciiTheme="minorHAnsi" w:hAnsiTheme="minorHAnsi"/>
        </w:rPr>
        <w:t xml:space="preserve">during pre-procedure screenings and appointments </w:t>
      </w:r>
      <w:r w:rsidR="00684290">
        <w:rPr>
          <w:rFonts w:asciiTheme="minorHAnsi" w:hAnsiTheme="minorHAnsi"/>
        </w:rPr>
        <w:t>and staff update the medical record to allow for the patient’s PCP</w:t>
      </w:r>
      <w:r w:rsidR="006E2B62">
        <w:rPr>
          <w:rFonts w:asciiTheme="minorHAnsi" w:hAnsiTheme="minorHAnsi"/>
        </w:rPr>
        <w:t xml:space="preserve"> to be aware of and</w:t>
      </w:r>
      <w:r w:rsidR="00684290">
        <w:rPr>
          <w:rFonts w:asciiTheme="minorHAnsi" w:hAnsiTheme="minorHAnsi"/>
        </w:rPr>
        <w:t xml:space="preserve"> to follow-up on any SDoH needs. </w:t>
      </w:r>
    </w:p>
    <w:p w14:paraId="4F53B8A6" w14:textId="77777777" w:rsidR="00C12671" w:rsidRDefault="00C12671" w:rsidP="00C316C3">
      <w:pPr>
        <w:pStyle w:val="BodyText"/>
        <w:rPr>
          <w:rFonts w:asciiTheme="minorHAnsi" w:hAnsiTheme="minorHAnsi"/>
        </w:rPr>
      </w:pPr>
    </w:p>
    <w:p w14:paraId="070B40EB" w14:textId="77777777" w:rsidR="00B447F3" w:rsidRPr="009A0C61" w:rsidRDefault="00A4110F" w:rsidP="00C316C3">
      <w:pPr>
        <w:rPr>
          <w:rFonts w:asciiTheme="minorHAnsi" w:hAnsiTheme="minorHAnsi"/>
          <w:b/>
          <w:bCs/>
          <w:i/>
          <w:iCs/>
          <w:szCs w:val="24"/>
        </w:rPr>
      </w:pPr>
      <w:r w:rsidRPr="009A0C61">
        <w:rPr>
          <w:rFonts w:asciiTheme="minorHAnsi" w:hAnsiTheme="minorHAnsi"/>
          <w:b/>
          <w:bCs/>
          <w:i/>
          <w:iCs/>
          <w:szCs w:val="24"/>
        </w:rPr>
        <w:t>Analysis: Delivery System Transformation</w:t>
      </w:r>
    </w:p>
    <w:p w14:paraId="20D413FB" w14:textId="1A66B318" w:rsidR="006E5ABF" w:rsidRDefault="3F5760F4" w:rsidP="28157CC0">
      <w:pPr>
        <w:rPr>
          <w:rFonts w:asciiTheme="minorHAnsi" w:hAnsiTheme="minorHAnsi"/>
        </w:rPr>
      </w:pPr>
      <w:r w:rsidRPr="28157CC0">
        <w:rPr>
          <w:rFonts w:asciiTheme="minorHAnsi" w:hAnsiTheme="minorHAnsi"/>
        </w:rPr>
        <w:t xml:space="preserve">The Applicant demonstrated how the proposed ASC will </w:t>
      </w:r>
      <w:r w:rsidR="1AC97DA3" w:rsidRPr="28157CC0">
        <w:rPr>
          <w:rFonts w:asciiTheme="minorHAnsi" w:hAnsiTheme="minorHAnsi"/>
        </w:rPr>
        <w:t xml:space="preserve">evaluate patients for </w:t>
      </w:r>
      <w:r w:rsidR="00CB58E4">
        <w:rPr>
          <w:rFonts w:asciiTheme="minorHAnsi" w:hAnsiTheme="minorHAnsi"/>
        </w:rPr>
        <w:t>transportation prior to the procedure, and</w:t>
      </w:r>
      <w:r w:rsidR="1AC97DA3" w:rsidRPr="28157CC0">
        <w:rPr>
          <w:rFonts w:asciiTheme="minorHAnsi" w:hAnsiTheme="minorHAnsi"/>
        </w:rPr>
        <w:t xml:space="preserve"> </w:t>
      </w:r>
      <w:r w:rsidR="00CB58E4">
        <w:rPr>
          <w:rFonts w:asciiTheme="minorHAnsi" w:hAnsiTheme="minorHAnsi"/>
        </w:rPr>
        <w:t>address SDoH needs that are detected</w:t>
      </w:r>
      <w:r w:rsidR="00627584">
        <w:rPr>
          <w:rFonts w:asciiTheme="minorHAnsi" w:hAnsiTheme="minorHAnsi"/>
        </w:rPr>
        <w:t xml:space="preserve">. </w:t>
      </w:r>
      <w:r w:rsidR="00614347" w:rsidRPr="00614347">
        <w:rPr>
          <w:rFonts w:asciiTheme="minorHAnsi" w:hAnsiTheme="minorHAnsi"/>
        </w:rPr>
        <w:t>Therefore, DoN Staff can conclude that the Proposed Project will likely meet the Delivery System Transformation component of Factor 2.</w:t>
      </w:r>
    </w:p>
    <w:p w14:paraId="60BFBCEB" w14:textId="77777777" w:rsidR="001A7803" w:rsidRDefault="001A7803" w:rsidP="00C316C3">
      <w:pPr>
        <w:rPr>
          <w:rFonts w:asciiTheme="minorHAnsi" w:hAnsiTheme="minorHAnsi"/>
          <w:szCs w:val="24"/>
        </w:rPr>
      </w:pPr>
    </w:p>
    <w:p w14:paraId="62929AAA" w14:textId="419763CD" w:rsidR="00B447F3" w:rsidRDefault="0037406F" w:rsidP="00C316C3">
      <w:pPr>
        <w:pStyle w:val="Heading1"/>
        <w:ind w:left="0"/>
        <w:rPr>
          <w:rFonts w:asciiTheme="minorHAnsi" w:hAnsiTheme="minorHAnsi"/>
          <w:color w:val="42558C"/>
        </w:rPr>
      </w:pPr>
      <w:bookmarkStart w:id="20" w:name="_Toc207953802"/>
      <w:r>
        <w:rPr>
          <w:rFonts w:asciiTheme="minorHAnsi" w:hAnsiTheme="minorHAnsi"/>
          <w:color w:val="42558C"/>
        </w:rPr>
        <w:t>Summary</w:t>
      </w:r>
      <w:r w:rsidR="00A63487">
        <w:rPr>
          <w:rFonts w:asciiTheme="minorHAnsi" w:hAnsiTheme="minorHAnsi"/>
          <w:color w:val="42558C"/>
        </w:rPr>
        <w:t>, Factor 2</w:t>
      </w:r>
      <w:bookmarkEnd w:id="20"/>
      <w:r>
        <w:rPr>
          <w:rFonts w:asciiTheme="minorHAnsi" w:hAnsiTheme="minorHAnsi"/>
          <w:color w:val="42558C"/>
        </w:rPr>
        <w:t xml:space="preserve"> </w:t>
      </w:r>
    </w:p>
    <w:p w14:paraId="49BF185E" w14:textId="77777777" w:rsidR="0037406F" w:rsidRPr="0037406F" w:rsidRDefault="0037406F" w:rsidP="00C316C3">
      <w:pPr>
        <w:rPr>
          <w:rFonts w:asciiTheme="minorHAnsi" w:hAnsiTheme="minorHAnsi"/>
          <w:szCs w:val="24"/>
        </w:rPr>
      </w:pPr>
      <w:r w:rsidRPr="0037406F">
        <w:rPr>
          <w:rFonts w:asciiTheme="minorHAnsi" w:hAnsiTheme="minorHAnsi"/>
          <w:szCs w:val="24"/>
        </w:rPr>
        <w:t>As a result of information provided by the Applicant and additional analysis, staff finds that with</w:t>
      </w:r>
    </w:p>
    <w:p w14:paraId="285765B0" w14:textId="2CC70DDC" w:rsidR="0037406F" w:rsidRDefault="25D2D344" w:rsidP="28157CC0">
      <w:pPr>
        <w:rPr>
          <w:rFonts w:asciiTheme="minorHAnsi" w:hAnsiTheme="minorHAnsi"/>
        </w:rPr>
      </w:pPr>
      <w:r w:rsidRPr="28157CC0">
        <w:rPr>
          <w:rFonts w:asciiTheme="minorHAnsi" w:hAnsiTheme="minorHAnsi"/>
        </w:rPr>
        <w:t xml:space="preserve">the </w:t>
      </w:r>
      <w:r w:rsidR="50DCD95B" w:rsidRPr="28157CC0">
        <w:rPr>
          <w:rFonts w:asciiTheme="minorHAnsi" w:hAnsiTheme="minorHAnsi"/>
        </w:rPr>
        <w:t xml:space="preserve">“Other Conditions” outlined below and the </w:t>
      </w:r>
      <w:r w:rsidRPr="28157CC0">
        <w:rPr>
          <w:rFonts w:asciiTheme="minorHAnsi" w:hAnsiTheme="minorHAnsi"/>
        </w:rPr>
        <w:t>standard reporting conditions, the Applicant demonstrated that the Proposed Project</w:t>
      </w:r>
      <w:r w:rsidR="74B4F20B" w:rsidRPr="28157CC0">
        <w:rPr>
          <w:rFonts w:asciiTheme="minorHAnsi" w:hAnsiTheme="minorHAnsi"/>
        </w:rPr>
        <w:t xml:space="preserve"> </w:t>
      </w:r>
      <w:r w:rsidRPr="28157CC0">
        <w:rPr>
          <w:rFonts w:asciiTheme="minorHAnsi" w:hAnsiTheme="minorHAnsi"/>
        </w:rPr>
        <w:t>has met Factor 2.</w:t>
      </w:r>
    </w:p>
    <w:p w14:paraId="26EE917E" w14:textId="77777777" w:rsidR="00361238" w:rsidRDefault="00361238" w:rsidP="00C316C3">
      <w:pPr>
        <w:rPr>
          <w:rFonts w:asciiTheme="minorHAnsi" w:hAnsiTheme="minorHAnsi"/>
          <w:szCs w:val="24"/>
        </w:rPr>
      </w:pPr>
    </w:p>
    <w:p w14:paraId="0BE36815" w14:textId="77777777" w:rsidR="00B447F3" w:rsidRPr="003436F0" w:rsidRDefault="00A4110F" w:rsidP="00C316C3">
      <w:pPr>
        <w:pStyle w:val="Heading1"/>
        <w:ind w:left="0"/>
        <w:rPr>
          <w:rFonts w:asciiTheme="minorHAnsi" w:hAnsiTheme="minorHAnsi"/>
        </w:rPr>
      </w:pPr>
      <w:bookmarkStart w:id="21" w:name="Factor_3:_Relevant_Licensure/Oversight_C"/>
      <w:bookmarkStart w:id="22" w:name="_Toc207953803"/>
      <w:bookmarkEnd w:id="21"/>
      <w:r w:rsidRPr="003436F0">
        <w:rPr>
          <w:rFonts w:asciiTheme="minorHAnsi" w:hAnsiTheme="minorHAnsi"/>
          <w:color w:val="42558C"/>
        </w:rPr>
        <w:t>Factor 3: Relevant Licensure/Oversight Compliance</w:t>
      </w:r>
      <w:bookmarkEnd w:id="22"/>
    </w:p>
    <w:p w14:paraId="01533F5A" w14:textId="16FF34CB" w:rsidR="00B447F3" w:rsidRDefault="305CB7EF" w:rsidP="28157CC0">
      <w:pPr>
        <w:pStyle w:val="BodyText"/>
        <w:ind w:right="321"/>
        <w:rPr>
          <w:rFonts w:asciiTheme="minorHAnsi" w:hAnsiTheme="minorHAnsi"/>
        </w:rPr>
      </w:pPr>
      <w:r w:rsidRPr="28157CC0">
        <w:rPr>
          <w:rFonts w:asciiTheme="minorHAnsi" w:hAnsiTheme="minorHAnsi"/>
        </w:rPr>
        <w:t>The Applicant provided evidence of compliance and good standing with federal, state, and local laws and regulation</w:t>
      </w:r>
      <w:r w:rsidR="5F57E9ED" w:rsidRPr="28157CC0">
        <w:rPr>
          <w:rFonts w:asciiTheme="minorHAnsi" w:hAnsiTheme="minorHAnsi"/>
        </w:rPr>
        <w:t xml:space="preserve">s. This </w:t>
      </w:r>
      <w:r w:rsidRPr="28157CC0">
        <w:rPr>
          <w:rFonts w:asciiTheme="minorHAnsi" w:hAnsiTheme="minorHAnsi"/>
        </w:rPr>
        <w:t>will not be addressed further in this report. As a result of information provided by the Applicant, staff finds the Applicant has reasonably met the standards of Factor 3.</w:t>
      </w:r>
    </w:p>
    <w:p w14:paraId="0F6A597B" w14:textId="77777777" w:rsidR="001750B6" w:rsidRDefault="001750B6" w:rsidP="00C316C3">
      <w:pPr>
        <w:pStyle w:val="BodyText"/>
        <w:ind w:right="321"/>
        <w:rPr>
          <w:rFonts w:asciiTheme="minorHAnsi" w:hAnsiTheme="minorHAnsi"/>
        </w:rPr>
      </w:pPr>
    </w:p>
    <w:p w14:paraId="3DDFCA58" w14:textId="4840B850" w:rsidR="00B447F3" w:rsidRPr="003436F0" w:rsidRDefault="00A4110F" w:rsidP="00C316C3">
      <w:pPr>
        <w:pStyle w:val="Heading1"/>
        <w:ind w:left="0" w:right="441"/>
        <w:rPr>
          <w:rFonts w:asciiTheme="minorHAnsi" w:hAnsiTheme="minorHAnsi"/>
        </w:rPr>
      </w:pPr>
      <w:bookmarkStart w:id="23" w:name="Factor_4:_Demonstration_of_Sufficient_Fu"/>
      <w:bookmarkStart w:id="24" w:name="_Toc207953804"/>
      <w:bookmarkEnd w:id="23"/>
      <w:r w:rsidRPr="003436F0">
        <w:rPr>
          <w:rFonts w:asciiTheme="minorHAnsi" w:hAnsiTheme="minorHAnsi"/>
          <w:color w:val="42558C"/>
        </w:rPr>
        <w:t xml:space="preserve">Factor 4: </w:t>
      </w:r>
      <w:r w:rsidR="0076798C">
        <w:rPr>
          <w:rFonts w:asciiTheme="minorHAnsi" w:hAnsiTheme="minorHAnsi"/>
          <w:color w:val="42558C"/>
        </w:rPr>
        <w:t xml:space="preserve">Financial </w:t>
      </w:r>
      <w:r w:rsidR="00AE7940">
        <w:rPr>
          <w:rFonts w:asciiTheme="minorHAnsi" w:hAnsiTheme="minorHAnsi"/>
          <w:color w:val="42558C"/>
        </w:rPr>
        <w:t>Feasibility</w:t>
      </w:r>
      <w:bookmarkEnd w:id="24"/>
    </w:p>
    <w:p w14:paraId="4D625B2C" w14:textId="11838BD6" w:rsidR="00B447F3" w:rsidRPr="003436F0" w:rsidRDefault="00A4110F" w:rsidP="00C316C3">
      <w:pPr>
        <w:pStyle w:val="BodyText"/>
        <w:ind w:right="306"/>
        <w:rPr>
          <w:rFonts w:asciiTheme="minorHAnsi" w:hAnsiTheme="minorHAnsi"/>
        </w:rPr>
      </w:pPr>
      <w:r w:rsidRPr="003436F0">
        <w:rPr>
          <w:rFonts w:asciiTheme="minorHAnsi" w:hAnsiTheme="minorHAnsi"/>
        </w:rPr>
        <w:t xml:space="preserve">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conducted by an independent </w:t>
      </w:r>
      <w:r w:rsidR="00A90BE7">
        <w:rPr>
          <w:rFonts w:asciiTheme="minorHAnsi" w:hAnsiTheme="minorHAnsi"/>
        </w:rPr>
        <w:t>certified public accountant (</w:t>
      </w:r>
      <w:r w:rsidRPr="003436F0">
        <w:rPr>
          <w:rFonts w:asciiTheme="minorHAnsi" w:hAnsiTheme="minorHAnsi"/>
        </w:rPr>
        <w:t>CPA</w:t>
      </w:r>
      <w:r w:rsidR="00A90BE7">
        <w:rPr>
          <w:rFonts w:asciiTheme="minorHAnsi" w:hAnsiTheme="minorHAnsi"/>
        </w:rPr>
        <w:t>)</w:t>
      </w:r>
      <w:r w:rsidRPr="003436F0">
        <w:rPr>
          <w:rFonts w:asciiTheme="minorHAnsi" w:hAnsiTheme="minorHAnsi"/>
        </w:rPr>
        <w:t xml:space="preserve">. The Applicant submitted a report performed </w:t>
      </w:r>
      <w:r w:rsidR="00B2636C">
        <w:rPr>
          <w:rFonts w:asciiTheme="minorHAnsi" w:hAnsiTheme="minorHAnsi"/>
        </w:rPr>
        <w:t xml:space="preserve">by </w:t>
      </w:r>
      <w:r w:rsidR="00F13CF2">
        <w:rPr>
          <w:rFonts w:asciiTheme="minorHAnsi" w:hAnsiTheme="minorHAnsi"/>
        </w:rPr>
        <w:t>Bernard L. Donohue, III, CPA</w:t>
      </w:r>
      <w:r w:rsidR="00DA7D8E">
        <w:rPr>
          <w:rFonts w:asciiTheme="minorHAnsi" w:hAnsiTheme="minorHAnsi"/>
        </w:rPr>
        <w:t xml:space="preserve"> </w:t>
      </w:r>
      <w:r w:rsidRPr="003436F0">
        <w:rPr>
          <w:rFonts w:asciiTheme="minorHAnsi" w:hAnsiTheme="minorHAnsi"/>
        </w:rPr>
        <w:t>(CPA Report).</w:t>
      </w:r>
      <w:r w:rsidR="004466F3">
        <w:rPr>
          <w:rFonts w:asciiTheme="minorHAnsi" w:hAnsiTheme="minorHAnsi"/>
        </w:rPr>
        <w:t xml:space="preserve"> </w:t>
      </w:r>
    </w:p>
    <w:p w14:paraId="51509295" w14:textId="119CD433" w:rsidR="00B447F3" w:rsidRDefault="00B447F3" w:rsidP="00C316C3">
      <w:pPr>
        <w:pStyle w:val="BodyText"/>
        <w:rPr>
          <w:rFonts w:asciiTheme="minorHAnsi" w:hAnsiTheme="minorHAnsi"/>
        </w:rPr>
      </w:pPr>
    </w:p>
    <w:p w14:paraId="777F0109" w14:textId="57875570" w:rsidR="007E6079" w:rsidRDefault="29DC4F6C" w:rsidP="28157CC0">
      <w:pPr>
        <w:pStyle w:val="BodyText"/>
        <w:rPr>
          <w:rFonts w:asciiTheme="minorHAnsi" w:hAnsiTheme="minorHAnsi"/>
        </w:rPr>
      </w:pPr>
      <w:r w:rsidRPr="28157CC0">
        <w:rPr>
          <w:rFonts w:asciiTheme="minorHAnsi" w:hAnsiTheme="minorHAnsi"/>
        </w:rPr>
        <w:t>The CPA analysis included a review of numerous documents in order to form an opinion as to the reasonableness and feasibility of the projections regarding the Proposed Project.</w:t>
      </w:r>
      <w:r w:rsidR="09D689D9" w:rsidRPr="28157CC0">
        <w:rPr>
          <w:rFonts w:asciiTheme="minorHAnsi" w:hAnsiTheme="minorHAnsi"/>
        </w:rPr>
        <w:t xml:space="preserve"> </w:t>
      </w:r>
      <w:r w:rsidR="095FE5B2" w:rsidRPr="28157CC0">
        <w:rPr>
          <w:rFonts w:asciiTheme="minorHAnsi" w:hAnsiTheme="minorHAnsi"/>
        </w:rPr>
        <w:t xml:space="preserve">The projections are deemed </w:t>
      </w:r>
      <w:r w:rsidR="0C984ED9" w:rsidRPr="28157CC0">
        <w:rPr>
          <w:rFonts w:asciiTheme="minorHAnsi" w:hAnsiTheme="minorHAnsi"/>
        </w:rPr>
        <w:t>r</w:t>
      </w:r>
      <w:r w:rsidR="09D689D9" w:rsidRPr="28157CC0">
        <w:rPr>
          <w:rFonts w:asciiTheme="minorHAnsi" w:hAnsiTheme="minorHAnsi"/>
        </w:rPr>
        <w:t>easonable</w:t>
      </w:r>
      <w:r w:rsidR="0A9A72EC" w:rsidRPr="28157CC0">
        <w:rPr>
          <w:rFonts w:asciiTheme="minorHAnsi" w:hAnsiTheme="minorHAnsi"/>
        </w:rPr>
        <w:t>,</w:t>
      </w:r>
      <w:r w:rsidR="00FF745B">
        <w:rPr>
          <w:rFonts w:asciiTheme="minorHAnsi" w:hAnsiTheme="minorHAnsi"/>
        </w:rPr>
        <w:t xml:space="preserve"> </w:t>
      </w:r>
      <w:r w:rsidR="09D689D9" w:rsidRPr="28157CC0">
        <w:rPr>
          <w:rFonts w:asciiTheme="minorHAnsi" w:hAnsiTheme="minorHAnsi"/>
        </w:rPr>
        <w:t>within the context of this report</w:t>
      </w:r>
      <w:r w:rsidR="12A7FE06" w:rsidRPr="28157CC0">
        <w:rPr>
          <w:rFonts w:asciiTheme="minorHAnsi" w:hAnsiTheme="minorHAnsi"/>
        </w:rPr>
        <w:t>, if they are</w:t>
      </w:r>
      <w:r w:rsidR="004E50A3">
        <w:rPr>
          <w:rFonts w:asciiTheme="minorHAnsi" w:hAnsiTheme="minorHAnsi"/>
        </w:rPr>
        <w:t xml:space="preserve"> </w:t>
      </w:r>
      <w:r w:rsidR="012D5763" w:rsidRPr="28157CC0">
        <w:rPr>
          <w:rFonts w:asciiTheme="minorHAnsi" w:hAnsiTheme="minorHAnsi"/>
        </w:rPr>
        <w:t>supportable and proper</w:t>
      </w:r>
      <w:r w:rsidR="00FF745B">
        <w:rPr>
          <w:rFonts w:asciiTheme="minorHAnsi" w:hAnsiTheme="minorHAnsi"/>
        </w:rPr>
        <w:t xml:space="preserve"> </w:t>
      </w:r>
      <w:r w:rsidR="012D5763" w:rsidRPr="28157CC0">
        <w:rPr>
          <w:rFonts w:asciiTheme="minorHAnsi" w:hAnsiTheme="minorHAnsi"/>
        </w:rPr>
        <w:t xml:space="preserve">given the underlying information. </w:t>
      </w:r>
      <w:r w:rsidR="3EFB719C" w:rsidRPr="28157CC0">
        <w:rPr>
          <w:rFonts w:asciiTheme="minorHAnsi" w:hAnsiTheme="minorHAnsi"/>
        </w:rPr>
        <w:t xml:space="preserve">The Proposed Project is </w:t>
      </w:r>
      <w:r w:rsidR="00FE6B46" w:rsidRPr="28157CC0">
        <w:rPr>
          <w:rFonts w:asciiTheme="minorHAnsi" w:hAnsiTheme="minorHAnsi"/>
        </w:rPr>
        <w:t>feasible</w:t>
      </w:r>
      <w:r w:rsidR="012D5763" w:rsidRPr="28157CC0">
        <w:rPr>
          <w:rFonts w:asciiTheme="minorHAnsi" w:hAnsiTheme="minorHAnsi"/>
        </w:rPr>
        <w:t xml:space="preserve"> </w:t>
      </w:r>
      <w:r w:rsidR="3E999E48" w:rsidRPr="28157CC0">
        <w:rPr>
          <w:rFonts w:asciiTheme="minorHAnsi" w:hAnsiTheme="minorHAnsi"/>
        </w:rPr>
        <w:t>if,</w:t>
      </w:r>
      <w:r w:rsidR="012D5763" w:rsidRPr="28157CC0">
        <w:rPr>
          <w:rFonts w:asciiTheme="minorHAnsi" w:hAnsiTheme="minorHAnsi"/>
        </w:rPr>
        <w:t xml:space="preserve"> based on the assumptions used, the plan is not likely to result in insufficient funds available for capital and ongoing operating costs necessary to support the Proposed Project without negative impacts o</w:t>
      </w:r>
      <w:r w:rsidR="3C5C26BD" w:rsidRPr="28157CC0">
        <w:rPr>
          <w:rFonts w:asciiTheme="minorHAnsi" w:hAnsiTheme="minorHAnsi"/>
        </w:rPr>
        <w:t>r</w:t>
      </w:r>
      <w:r w:rsidR="012D5763" w:rsidRPr="28157CC0">
        <w:rPr>
          <w:rFonts w:asciiTheme="minorHAnsi" w:hAnsiTheme="minorHAnsi"/>
        </w:rPr>
        <w:t xml:space="preserve"> consequences to </w:t>
      </w:r>
      <w:r w:rsidR="00811FDC">
        <w:rPr>
          <w:rFonts w:asciiTheme="minorHAnsi" w:hAnsiTheme="minorHAnsi"/>
        </w:rPr>
        <w:t>the Applicant’s existing Patient Panel</w:t>
      </w:r>
      <w:r w:rsidR="012D5763" w:rsidRPr="28157CC0">
        <w:rPr>
          <w:rFonts w:asciiTheme="minorHAnsi" w:hAnsiTheme="minorHAnsi"/>
        </w:rPr>
        <w:t>.</w:t>
      </w:r>
    </w:p>
    <w:p w14:paraId="22027425" w14:textId="77777777" w:rsidR="007B3A5E" w:rsidRDefault="007B3A5E" w:rsidP="28157CC0">
      <w:pPr>
        <w:pStyle w:val="BodyText"/>
        <w:rPr>
          <w:rFonts w:asciiTheme="minorHAnsi" w:hAnsiTheme="minorHAnsi"/>
        </w:rPr>
      </w:pPr>
    </w:p>
    <w:p w14:paraId="3DCA145D" w14:textId="5E6AF644" w:rsidR="00916F14" w:rsidRDefault="6290250B" w:rsidP="28157CC0">
      <w:pPr>
        <w:pStyle w:val="BodyText"/>
        <w:rPr>
          <w:rFonts w:asciiTheme="minorHAnsi" w:hAnsiTheme="minorHAnsi"/>
        </w:rPr>
      </w:pPr>
      <w:r w:rsidRPr="28157CC0">
        <w:rPr>
          <w:rFonts w:asciiTheme="minorHAnsi" w:hAnsiTheme="minorHAnsi"/>
        </w:rPr>
        <w:t xml:space="preserve">To arrive at its conclusions, the scope of the CPA report is limited to an analysis of the five-year Projections for the fiscal years ending </w:t>
      </w:r>
      <w:r w:rsidR="2EB87948" w:rsidRPr="28157CC0">
        <w:rPr>
          <w:rFonts w:asciiTheme="minorHAnsi" w:hAnsiTheme="minorHAnsi"/>
        </w:rPr>
        <w:t xml:space="preserve">December </w:t>
      </w:r>
      <w:r w:rsidR="006A707D">
        <w:rPr>
          <w:rFonts w:asciiTheme="minorHAnsi" w:hAnsiTheme="minorHAnsi"/>
        </w:rPr>
        <w:t xml:space="preserve">31, </w:t>
      </w:r>
      <w:r w:rsidR="44F2EA15" w:rsidRPr="28157CC0">
        <w:rPr>
          <w:rFonts w:asciiTheme="minorHAnsi" w:hAnsiTheme="minorHAnsi"/>
        </w:rPr>
        <w:t>202</w:t>
      </w:r>
      <w:r w:rsidR="00794B2B">
        <w:rPr>
          <w:rFonts w:asciiTheme="minorHAnsi" w:hAnsiTheme="minorHAnsi"/>
        </w:rPr>
        <w:t>6</w:t>
      </w:r>
      <w:r w:rsidRPr="28157CC0">
        <w:rPr>
          <w:rFonts w:asciiTheme="minorHAnsi" w:hAnsiTheme="minorHAnsi"/>
        </w:rPr>
        <w:t xml:space="preserve"> through </w:t>
      </w:r>
      <w:r w:rsidR="2EB87948" w:rsidRPr="28157CC0">
        <w:rPr>
          <w:rFonts w:asciiTheme="minorHAnsi" w:hAnsiTheme="minorHAnsi"/>
        </w:rPr>
        <w:t xml:space="preserve">December </w:t>
      </w:r>
      <w:r w:rsidR="006A707D">
        <w:rPr>
          <w:rFonts w:asciiTheme="minorHAnsi" w:hAnsiTheme="minorHAnsi"/>
        </w:rPr>
        <w:t xml:space="preserve">31, </w:t>
      </w:r>
      <w:r w:rsidRPr="28157CC0">
        <w:rPr>
          <w:rFonts w:asciiTheme="minorHAnsi" w:hAnsiTheme="minorHAnsi"/>
        </w:rPr>
        <w:t>20</w:t>
      </w:r>
      <w:r w:rsidR="00794B2B">
        <w:rPr>
          <w:rFonts w:asciiTheme="minorHAnsi" w:hAnsiTheme="minorHAnsi"/>
        </w:rPr>
        <w:t>30</w:t>
      </w:r>
      <w:r w:rsidRPr="28157CC0">
        <w:rPr>
          <w:rFonts w:asciiTheme="minorHAnsi" w:hAnsiTheme="minorHAnsi"/>
        </w:rPr>
        <w:t xml:space="preserve">, prepared </w:t>
      </w:r>
      <w:r w:rsidR="00F56E28">
        <w:rPr>
          <w:rFonts w:asciiTheme="minorHAnsi" w:hAnsiTheme="minorHAnsi"/>
        </w:rPr>
        <w:t>fo</w:t>
      </w:r>
      <w:r w:rsidR="00381088">
        <w:rPr>
          <w:rFonts w:asciiTheme="minorHAnsi" w:hAnsiTheme="minorHAnsi"/>
        </w:rPr>
        <w:t>r</w:t>
      </w:r>
      <w:r w:rsidRPr="28157CC0">
        <w:rPr>
          <w:rFonts w:asciiTheme="minorHAnsi" w:hAnsiTheme="minorHAnsi"/>
        </w:rPr>
        <w:t xml:space="preserve"> </w:t>
      </w:r>
      <w:r w:rsidR="006C6A66">
        <w:rPr>
          <w:rFonts w:asciiTheme="minorHAnsi" w:hAnsiTheme="minorHAnsi"/>
        </w:rPr>
        <w:t>EDHC</w:t>
      </w:r>
      <w:r w:rsidRPr="28157CC0">
        <w:rPr>
          <w:rFonts w:asciiTheme="minorHAnsi" w:hAnsiTheme="minorHAnsi"/>
        </w:rPr>
        <w:t>,</w:t>
      </w:r>
      <w:r w:rsidR="00635EF4">
        <w:rPr>
          <w:rFonts w:asciiTheme="minorHAnsi" w:hAnsiTheme="minorHAnsi"/>
        </w:rPr>
        <w:t xml:space="preserve"> actual operating results for the trailing twelve months ended November 30, </w:t>
      </w:r>
      <w:r w:rsidR="002B2AF8">
        <w:rPr>
          <w:rFonts w:asciiTheme="minorHAnsi" w:hAnsiTheme="minorHAnsi"/>
        </w:rPr>
        <w:t>2</w:t>
      </w:r>
      <w:r w:rsidR="00635EF4">
        <w:rPr>
          <w:rFonts w:asciiTheme="minorHAnsi" w:hAnsiTheme="minorHAnsi"/>
        </w:rPr>
        <w:t>0</w:t>
      </w:r>
      <w:r w:rsidR="002B2AF8">
        <w:rPr>
          <w:rFonts w:asciiTheme="minorHAnsi" w:hAnsiTheme="minorHAnsi"/>
        </w:rPr>
        <w:t>2</w:t>
      </w:r>
      <w:r w:rsidR="00635EF4">
        <w:rPr>
          <w:rFonts w:asciiTheme="minorHAnsi" w:hAnsiTheme="minorHAnsi"/>
        </w:rPr>
        <w:t>4,</w:t>
      </w:r>
      <w:r w:rsidRPr="28157CC0">
        <w:rPr>
          <w:rFonts w:asciiTheme="minorHAnsi" w:hAnsiTheme="minorHAnsi"/>
        </w:rPr>
        <w:t xml:space="preserve"> and the </w:t>
      </w:r>
      <w:r w:rsidRPr="28157CC0">
        <w:rPr>
          <w:rFonts w:asciiTheme="minorHAnsi" w:hAnsiTheme="minorHAnsi"/>
        </w:rPr>
        <w:lastRenderedPageBreak/>
        <w:t>supporting documentation</w:t>
      </w:r>
      <w:r w:rsidR="44F2EA15" w:rsidRPr="28157CC0">
        <w:rPr>
          <w:rFonts w:asciiTheme="minorHAnsi" w:hAnsiTheme="minorHAnsi"/>
        </w:rPr>
        <w:t>.</w:t>
      </w:r>
      <w:r w:rsidR="2F176113">
        <w:t xml:space="preserve"> </w:t>
      </w:r>
      <w:r w:rsidR="006D51AD">
        <w:t xml:space="preserve">The CPA states “the Projections exhibit a net pre-tax profit margin ranging from 26.5% to 46.6% for </w:t>
      </w:r>
      <w:r w:rsidR="00DA4F3B">
        <w:t>fiscal</w:t>
      </w:r>
      <w:r w:rsidR="006D51AD">
        <w:t xml:space="preserve"> years ending December 31, 2026 through December 31, 2030.”</w:t>
      </w:r>
      <w:r w:rsidR="00ED501A">
        <w:t xml:space="preserve"> The CPA states further, “Based on my review of the relevant documents and analysis of the projected financial statements, </w:t>
      </w:r>
      <w:r w:rsidR="00DA4F3B">
        <w:t>I determined the project and continued operating surplus are reasonable expectations and are based on feasible financial assumptions.”</w:t>
      </w:r>
    </w:p>
    <w:p w14:paraId="01E7229D" w14:textId="77777777" w:rsidR="009F1476" w:rsidRDefault="009F1476" w:rsidP="00C316C3">
      <w:pPr>
        <w:pStyle w:val="BodyText"/>
        <w:rPr>
          <w:rFonts w:asciiTheme="minorHAnsi" w:hAnsiTheme="minorHAnsi"/>
        </w:rPr>
      </w:pPr>
    </w:p>
    <w:p w14:paraId="72021D92" w14:textId="3FD9C473" w:rsidR="00AB690C" w:rsidRDefault="009F1476" w:rsidP="00C316C3">
      <w:pPr>
        <w:pStyle w:val="BodyText"/>
        <w:rPr>
          <w:rFonts w:asciiTheme="minorHAnsi" w:hAnsiTheme="minorHAnsi"/>
        </w:rPr>
      </w:pPr>
      <w:r>
        <w:rPr>
          <w:rFonts w:asciiTheme="minorHAnsi" w:hAnsiTheme="minorHAnsi"/>
        </w:rPr>
        <w:t>Sources of information used and relied upon in the report:</w:t>
      </w:r>
    </w:p>
    <w:p w14:paraId="0DA4CA46" w14:textId="77777777" w:rsidR="00E67AA9" w:rsidRPr="00E67AA9" w:rsidRDefault="00E67AA9" w:rsidP="00E67AA9">
      <w:pPr>
        <w:pStyle w:val="BodyText"/>
        <w:numPr>
          <w:ilvl w:val="0"/>
          <w:numId w:val="30"/>
        </w:numPr>
        <w:rPr>
          <w:rFonts w:asciiTheme="minorHAnsi" w:hAnsiTheme="minorHAnsi"/>
        </w:rPr>
      </w:pPr>
      <w:r w:rsidRPr="00E67AA9">
        <w:rPr>
          <w:rFonts w:asciiTheme="minorHAnsi" w:hAnsiTheme="minorHAnsi"/>
        </w:rPr>
        <w:t>Emerson Endoscopy and Digestive Health Center, LLC’s 5-Year Projected Financial Statements, and Assumptions initially received from Management on December 12, 2024 and updated on March 28, 2025;</w:t>
      </w:r>
    </w:p>
    <w:p w14:paraId="05F09FB9" w14:textId="77777777" w:rsidR="00E67AA9" w:rsidRPr="00E67AA9" w:rsidRDefault="00E67AA9" w:rsidP="00E67AA9">
      <w:pPr>
        <w:pStyle w:val="BodyText"/>
        <w:numPr>
          <w:ilvl w:val="0"/>
          <w:numId w:val="30"/>
        </w:numPr>
        <w:rPr>
          <w:rFonts w:asciiTheme="minorHAnsi" w:hAnsiTheme="minorHAnsi"/>
        </w:rPr>
      </w:pPr>
      <w:r w:rsidRPr="00E67AA9">
        <w:rPr>
          <w:rFonts w:asciiTheme="minorHAnsi" w:hAnsiTheme="minorHAnsi"/>
        </w:rPr>
        <w:t>Various documentation supporting calculations included in the projected financial statements initially received from Management on December 12, 2024 and updated on March 28, 2025;</w:t>
      </w:r>
    </w:p>
    <w:p w14:paraId="7B2C29D6" w14:textId="77777777" w:rsidR="00E67AA9" w:rsidRPr="00E67AA9" w:rsidRDefault="00E67AA9" w:rsidP="00E67AA9">
      <w:pPr>
        <w:pStyle w:val="BodyText"/>
        <w:numPr>
          <w:ilvl w:val="0"/>
          <w:numId w:val="30"/>
        </w:numPr>
        <w:rPr>
          <w:rFonts w:asciiTheme="minorHAnsi" w:hAnsiTheme="minorHAnsi"/>
        </w:rPr>
      </w:pPr>
      <w:r w:rsidRPr="00E67AA9">
        <w:rPr>
          <w:rFonts w:asciiTheme="minorHAnsi" w:hAnsiTheme="minorHAnsi"/>
        </w:rPr>
        <w:t>Emerson Endoscopy and Digestive Health Center, LLC’s balance sheets and income statements as of and for the trailing twelve months through November 30, 2024, initially received from Management on December 12, 2024;</w:t>
      </w:r>
    </w:p>
    <w:p w14:paraId="684DE855" w14:textId="77777777" w:rsidR="00E67AA9" w:rsidRPr="00E67AA9" w:rsidRDefault="00E67AA9" w:rsidP="00E67AA9">
      <w:pPr>
        <w:pStyle w:val="BodyText"/>
        <w:numPr>
          <w:ilvl w:val="0"/>
          <w:numId w:val="30"/>
        </w:numPr>
        <w:rPr>
          <w:rFonts w:asciiTheme="minorHAnsi" w:hAnsiTheme="minorHAnsi"/>
        </w:rPr>
      </w:pPr>
      <w:r w:rsidRPr="00E67AA9">
        <w:rPr>
          <w:rFonts w:asciiTheme="minorHAnsi" w:hAnsiTheme="minorHAnsi"/>
        </w:rPr>
        <w:t>Construction estimate provided on December 13, 2024;</w:t>
      </w:r>
    </w:p>
    <w:p w14:paraId="0FD6ECCF" w14:textId="77777777" w:rsidR="00E67AA9" w:rsidRPr="00E67AA9" w:rsidRDefault="00E67AA9" w:rsidP="00E67AA9">
      <w:pPr>
        <w:pStyle w:val="BodyText"/>
        <w:numPr>
          <w:ilvl w:val="0"/>
          <w:numId w:val="30"/>
        </w:numPr>
        <w:rPr>
          <w:rFonts w:asciiTheme="minorHAnsi" w:hAnsiTheme="minorHAnsi"/>
        </w:rPr>
      </w:pPr>
      <w:r w:rsidRPr="00E67AA9">
        <w:rPr>
          <w:rFonts w:asciiTheme="minorHAnsi" w:hAnsiTheme="minorHAnsi"/>
        </w:rPr>
        <w:t>Emerson Endoscopy and Digestive Health Center, LLC’s federal and Massachusetts partnership tax returns for the fiscal years ended December 31, 2022 and December 31, 2023 received from Management on December 12, 2024;</w:t>
      </w:r>
    </w:p>
    <w:p w14:paraId="43477234" w14:textId="2898F4A1" w:rsidR="00E67AA9" w:rsidRPr="00E67AA9" w:rsidRDefault="00E67AA9" w:rsidP="00E67AA9">
      <w:pPr>
        <w:pStyle w:val="BodyText"/>
        <w:numPr>
          <w:ilvl w:val="0"/>
          <w:numId w:val="30"/>
        </w:numPr>
        <w:rPr>
          <w:rFonts w:asciiTheme="minorHAnsi" w:hAnsiTheme="minorHAnsi"/>
        </w:rPr>
      </w:pPr>
      <w:r w:rsidRPr="00E67AA9">
        <w:rPr>
          <w:rFonts w:asciiTheme="minorHAnsi" w:hAnsiTheme="minorHAnsi"/>
        </w:rPr>
        <w:t xml:space="preserve">Emerson Endoscopy and Digestive Health Center, LLC DoN Appendix </w:t>
      </w:r>
      <w:r w:rsidR="004813DC">
        <w:rPr>
          <w:rFonts w:asciiTheme="minorHAnsi" w:hAnsiTheme="minorHAnsi"/>
        </w:rPr>
        <w:t xml:space="preserve">2 </w:t>
      </w:r>
      <w:r w:rsidRPr="00E67AA9">
        <w:rPr>
          <w:rFonts w:asciiTheme="minorHAnsi" w:hAnsiTheme="minorHAnsi"/>
        </w:rPr>
        <w:t>Narrative, draft provided March 5, 2025;</w:t>
      </w:r>
    </w:p>
    <w:p w14:paraId="26F506CA" w14:textId="77777777" w:rsidR="00E67AA9" w:rsidRPr="00E67AA9" w:rsidRDefault="00E67AA9" w:rsidP="00E67AA9">
      <w:pPr>
        <w:pStyle w:val="BodyText"/>
        <w:numPr>
          <w:ilvl w:val="0"/>
          <w:numId w:val="30"/>
        </w:numPr>
        <w:rPr>
          <w:rFonts w:asciiTheme="minorHAnsi" w:hAnsiTheme="minorHAnsi"/>
        </w:rPr>
      </w:pPr>
      <w:r w:rsidRPr="00E67AA9">
        <w:rPr>
          <w:rFonts w:asciiTheme="minorHAnsi" w:hAnsiTheme="minorHAnsi"/>
        </w:rPr>
        <w:t xml:space="preserve">Emerson Endoscopy and Digestive Health Center, LLC Massachusetts Department of Public Health Determination of Need Application Form provided on March 10, 2025; </w:t>
      </w:r>
    </w:p>
    <w:p w14:paraId="21123B51" w14:textId="5A853F76" w:rsidR="00E67AA9" w:rsidRPr="00E67AA9" w:rsidRDefault="00E67AA9" w:rsidP="00E67AA9">
      <w:pPr>
        <w:pStyle w:val="BodyText"/>
        <w:numPr>
          <w:ilvl w:val="0"/>
          <w:numId w:val="30"/>
        </w:numPr>
        <w:rPr>
          <w:rFonts w:asciiTheme="minorHAnsi" w:hAnsiTheme="minorHAnsi"/>
        </w:rPr>
      </w:pPr>
      <w:r w:rsidRPr="00E67AA9">
        <w:rPr>
          <w:rFonts w:asciiTheme="minorHAnsi" w:hAnsiTheme="minorHAnsi"/>
        </w:rPr>
        <w:t>Determination of Need Application Instructions dated March 2017;</w:t>
      </w:r>
    </w:p>
    <w:p w14:paraId="537A5449" w14:textId="77777777" w:rsidR="00E67AA9" w:rsidRPr="00E67AA9" w:rsidRDefault="00E67AA9" w:rsidP="00E67AA9">
      <w:pPr>
        <w:pStyle w:val="BodyText"/>
        <w:numPr>
          <w:ilvl w:val="0"/>
          <w:numId w:val="30"/>
        </w:numPr>
        <w:rPr>
          <w:rFonts w:asciiTheme="minorHAnsi" w:hAnsiTheme="minorHAnsi"/>
        </w:rPr>
      </w:pPr>
      <w:r w:rsidRPr="00E67AA9">
        <w:rPr>
          <w:rFonts w:asciiTheme="minorHAnsi" w:hAnsiTheme="minorHAnsi"/>
        </w:rPr>
        <w:t>CMS.gov (Medicare) Ambulatory Surgical Center Payment System website;</w:t>
      </w:r>
      <w:r w:rsidRPr="00E67AA9">
        <w:rPr>
          <w:rFonts w:asciiTheme="minorHAnsi" w:hAnsiTheme="minorHAnsi"/>
        </w:rPr>
        <w:tab/>
      </w:r>
      <w:r w:rsidRPr="00E67AA9">
        <w:rPr>
          <w:rFonts w:asciiTheme="minorHAnsi" w:hAnsiTheme="minorHAnsi"/>
        </w:rPr>
        <w:tab/>
      </w:r>
    </w:p>
    <w:p w14:paraId="170067C3" w14:textId="77777777" w:rsidR="00E67AA9" w:rsidRPr="00E67AA9" w:rsidRDefault="00E67AA9" w:rsidP="00E67AA9">
      <w:pPr>
        <w:pStyle w:val="BodyText"/>
        <w:numPr>
          <w:ilvl w:val="0"/>
          <w:numId w:val="30"/>
        </w:numPr>
        <w:rPr>
          <w:rFonts w:asciiTheme="minorHAnsi" w:hAnsiTheme="minorHAnsi"/>
        </w:rPr>
      </w:pPr>
      <w:r w:rsidRPr="00E67AA9">
        <w:rPr>
          <w:rFonts w:asciiTheme="minorHAnsi" w:hAnsiTheme="minorHAnsi"/>
        </w:rPr>
        <w:t>Mass.gov Executive Office of Health and Human Services;</w:t>
      </w:r>
    </w:p>
    <w:p w14:paraId="05996542" w14:textId="77777777" w:rsidR="00E67AA9" w:rsidRPr="00E67AA9" w:rsidRDefault="00E67AA9" w:rsidP="00E67AA9">
      <w:pPr>
        <w:pStyle w:val="BodyText"/>
        <w:numPr>
          <w:ilvl w:val="0"/>
          <w:numId w:val="30"/>
        </w:numPr>
        <w:rPr>
          <w:rFonts w:asciiTheme="minorHAnsi" w:hAnsiTheme="minorHAnsi"/>
        </w:rPr>
      </w:pPr>
      <w:r w:rsidRPr="00E67AA9">
        <w:rPr>
          <w:rFonts w:asciiTheme="minorHAnsi" w:hAnsiTheme="minorHAnsi"/>
        </w:rPr>
        <w:t>VMG Health’s Intellimarker 2023 ASC Benchmarking Study, based on 2021-2022 data;</w:t>
      </w:r>
    </w:p>
    <w:p w14:paraId="73A76CA9" w14:textId="5349E433" w:rsidR="0002693B" w:rsidRPr="009F1476" w:rsidRDefault="00E67AA9" w:rsidP="00E67AA9">
      <w:pPr>
        <w:pStyle w:val="BodyText"/>
        <w:numPr>
          <w:ilvl w:val="0"/>
          <w:numId w:val="30"/>
        </w:numPr>
        <w:rPr>
          <w:rFonts w:asciiTheme="minorHAnsi" w:hAnsiTheme="minorHAnsi"/>
        </w:rPr>
      </w:pPr>
      <w:r w:rsidRPr="00E67AA9">
        <w:rPr>
          <w:rFonts w:asciiTheme="minorHAnsi" w:hAnsiTheme="minorHAnsi"/>
        </w:rPr>
        <w:t xml:space="preserve">Emerson Endoscopy &amp; Digestive Health Center website </w:t>
      </w:r>
      <w:hyperlink r:id="rId20" w:history="1">
        <w:r w:rsidRPr="00B91FBD">
          <w:rPr>
            <w:rStyle w:val="Hyperlink"/>
            <w:rFonts w:asciiTheme="minorHAnsi" w:hAnsiTheme="minorHAnsi"/>
          </w:rPr>
          <w:t>https://emersondigestivecenter.com/</w:t>
        </w:r>
      </w:hyperlink>
      <w:r>
        <w:rPr>
          <w:rFonts w:asciiTheme="minorHAnsi" w:hAnsiTheme="minorHAnsi"/>
        </w:rPr>
        <w:t xml:space="preserve"> </w:t>
      </w:r>
    </w:p>
    <w:p w14:paraId="0230872D" w14:textId="77777777" w:rsidR="001E2C3A" w:rsidRDefault="001E2C3A" w:rsidP="001E2C3A">
      <w:pPr>
        <w:pStyle w:val="BodyText"/>
        <w:rPr>
          <w:rFonts w:asciiTheme="minorHAnsi" w:hAnsiTheme="minorHAnsi"/>
        </w:rPr>
      </w:pPr>
    </w:p>
    <w:p w14:paraId="223877A0" w14:textId="47070349" w:rsidR="001E2C3A" w:rsidRDefault="001E2C3A" w:rsidP="001E2C3A">
      <w:pPr>
        <w:pStyle w:val="BodyText"/>
        <w:rPr>
          <w:rFonts w:asciiTheme="minorHAnsi" w:hAnsiTheme="minorHAnsi"/>
        </w:rPr>
      </w:pPr>
      <w:r>
        <w:rPr>
          <w:rFonts w:asciiTheme="minorHAnsi" w:hAnsiTheme="minorHAnsi"/>
        </w:rPr>
        <w:t xml:space="preserve">The CPA reviewed key metrics falling into three categories: liquidity, operating and solvency. Liquidity metrics measure the quality and adequacy of assets to meet current obligations as they come due. Operating metrics </w:t>
      </w:r>
      <w:r w:rsidR="00962ACF">
        <w:rPr>
          <w:rFonts w:asciiTheme="minorHAnsi" w:hAnsiTheme="minorHAnsi"/>
        </w:rPr>
        <w:t xml:space="preserve">are used to assist in the evaluation of management performance in how efficiently resources are utilized. Solvency metrics measure the company’s ability to serve debt obligations. The CPA report provides an overview of how each of the Key Metrics are calculated. </w:t>
      </w:r>
    </w:p>
    <w:p w14:paraId="29E3730D" w14:textId="77777777" w:rsidR="00962ACF" w:rsidRPr="005B7711" w:rsidRDefault="00962ACF" w:rsidP="001E2C3A">
      <w:pPr>
        <w:pStyle w:val="BodyText"/>
        <w:rPr>
          <w:rFonts w:asciiTheme="minorHAnsi" w:hAnsiTheme="minorHAnsi"/>
        </w:rPr>
      </w:pPr>
    </w:p>
    <w:p w14:paraId="25BF7423" w14:textId="3A2AABA2" w:rsidR="00F54666" w:rsidRDefault="7F5687B1" w:rsidP="00C316C3">
      <w:pPr>
        <w:pStyle w:val="BodyText"/>
        <w:rPr>
          <w:rFonts w:asciiTheme="minorHAnsi" w:hAnsiTheme="minorHAnsi"/>
        </w:rPr>
      </w:pPr>
      <w:r w:rsidRPr="3980F530">
        <w:rPr>
          <w:rFonts w:asciiTheme="minorHAnsi" w:hAnsiTheme="minorHAnsi"/>
          <w:b/>
          <w:bCs/>
        </w:rPr>
        <w:t>Revenues:</w:t>
      </w:r>
      <w:r w:rsidRPr="3980F530">
        <w:rPr>
          <w:rFonts w:asciiTheme="minorHAnsi" w:hAnsiTheme="minorHAnsi"/>
        </w:rPr>
        <w:t xml:space="preserve"> </w:t>
      </w:r>
      <w:r w:rsidR="00BD0932">
        <w:rPr>
          <w:rFonts w:asciiTheme="minorHAnsi" w:hAnsiTheme="minorHAnsi"/>
        </w:rPr>
        <w:t xml:space="preserve">Projected volume at </w:t>
      </w:r>
      <w:r w:rsidR="002E1AE0">
        <w:rPr>
          <w:rFonts w:asciiTheme="minorHAnsi" w:hAnsiTheme="minorHAnsi"/>
        </w:rPr>
        <w:t>the Center</w:t>
      </w:r>
      <w:r w:rsidR="00BD0932">
        <w:rPr>
          <w:rFonts w:asciiTheme="minorHAnsi" w:hAnsiTheme="minorHAnsi"/>
        </w:rPr>
        <w:t xml:space="preserve"> is based on a ramp-up schedule based on </w:t>
      </w:r>
      <w:r w:rsidR="002E1AE0">
        <w:rPr>
          <w:rFonts w:asciiTheme="minorHAnsi" w:hAnsiTheme="minorHAnsi"/>
        </w:rPr>
        <w:t>the Center’</w:t>
      </w:r>
      <w:r w:rsidR="00BD0932">
        <w:rPr>
          <w:rFonts w:asciiTheme="minorHAnsi" w:hAnsiTheme="minorHAnsi"/>
        </w:rPr>
        <w:t xml:space="preserve">s current case volume, the hiring of additional physicians to service </w:t>
      </w:r>
      <w:r w:rsidR="00CE7359">
        <w:rPr>
          <w:rFonts w:asciiTheme="minorHAnsi" w:hAnsiTheme="minorHAnsi"/>
        </w:rPr>
        <w:t>the Center</w:t>
      </w:r>
      <w:r w:rsidR="00BD0932">
        <w:rPr>
          <w:rFonts w:asciiTheme="minorHAnsi" w:hAnsiTheme="minorHAnsi"/>
        </w:rPr>
        <w:t xml:space="preserve">, and the impact of the closure of NVMC on </w:t>
      </w:r>
      <w:r w:rsidR="002E1AE0">
        <w:rPr>
          <w:rFonts w:asciiTheme="minorHAnsi" w:hAnsiTheme="minorHAnsi"/>
        </w:rPr>
        <w:t>the Center’s</w:t>
      </w:r>
      <w:r w:rsidR="00BD0932">
        <w:rPr>
          <w:rFonts w:asciiTheme="minorHAnsi" w:hAnsiTheme="minorHAnsi"/>
        </w:rPr>
        <w:t xml:space="preserve"> operations.</w:t>
      </w:r>
      <w:r w:rsidR="00425E48">
        <w:rPr>
          <w:rStyle w:val="FootnoteReference"/>
          <w:rFonts w:asciiTheme="minorHAnsi" w:hAnsiTheme="minorHAnsi"/>
        </w:rPr>
        <w:footnoteReference w:id="29"/>
      </w:r>
      <w:r w:rsidR="00BD0932">
        <w:rPr>
          <w:rFonts w:asciiTheme="minorHAnsi" w:hAnsiTheme="minorHAnsi"/>
        </w:rPr>
        <w:t xml:space="preserve"> </w:t>
      </w:r>
    </w:p>
    <w:p w14:paraId="21AB012D" w14:textId="18B11363" w:rsidR="00BD0932" w:rsidRDefault="00BD0932" w:rsidP="00BD0932">
      <w:pPr>
        <w:pStyle w:val="BodyText"/>
        <w:numPr>
          <w:ilvl w:val="0"/>
          <w:numId w:val="32"/>
        </w:numPr>
        <w:rPr>
          <w:rFonts w:asciiTheme="minorHAnsi" w:hAnsiTheme="minorHAnsi"/>
        </w:rPr>
      </w:pPr>
      <w:r>
        <w:rPr>
          <w:rFonts w:asciiTheme="minorHAnsi" w:hAnsiTheme="minorHAnsi"/>
        </w:rPr>
        <w:lastRenderedPageBreak/>
        <w:t xml:space="preserve">Ramp-up schedule for years 2 through 5 (2027 to 2030) included an 18% increase from 2026 to 2027, followed by a </w:t>
      </w:r>
      <w:r w:rsidR="00211B85">
        <w:rPr>
          <w:rFonts w:asciiTheme="minorHAnsi" w:hAnsiTheme="minorHAnsi"/>
        </w:rPr>
        <w:t>8.8% increase</w:t>
      </w:r>
      <w:r>
        <w:rPr>
          <w:rFonts w:asciiTheme="minorHAnsi" w:hAnsiTheme="minorHAnsi"/>
        </w:rPr>
        <w:t xml:space="preserve"> through year 5 (2030). </w:t>
      </w:r>
    </w:p>
    <w:p w14:paraId="48FC95FF" w14:textId="54F9E925" w:rsidR="00BD0932" w:rsidRDefault="00BD0932" w:rsidP="00BD0932">
      <w:pPr>
        <w:pStyle w:val="BodyText"/>
        <w:numPr>
          <w:ilvl w:val="0"/>
          <w:numId w:val="32"/>
        </w:numPr>
        <w:rPr>
          <w:rFonts w:asciiTheme="minorHAnsi" w:hAnsiTheme="minorHAnsi"/>
        </w:rPr>
      </w:pPr>
      <w:r>
        <w:rPr>
          <w:rFonts w:asciiTheme="minorHAnsi" w:hAnsiTheme="minorHAnsi"/>
        </w:rPr>
        <w:t xml:space="preserve">Payer-mix was based on </w:t>
      </w:r>
      <w:r w:rsidR="002E1AE0">
        <w:rPr>
          <w:rFonts w:asciiTheme="minorHAnsi" w:hAnsiTheme="minorHAnsi"/>
        </w:rPr>
        <w:t>the Center</w:t>
      </w:r>
      <w:r>
        <w:rPr>
          <w:rFonts w:asciiTheme="minorHAnsi" w:hAnsiTheme="minorHAnsi"/>
        </w:rPr>
        <w:t xml:space="preserve">’s current payer mix. </w:t>
      </w:r>
    </w:p>
    <w:p w14:paraId="1641575C" w14:textId="77777777" w:rsidR="00FF2392" w:rsidRDefault="00BD0932" w:rsidP="00BD0932">
      <w:pPr>
        <w:pStyle w:val="BodyText"/>
        <w:numPr>
          <w:ilvl w:val="0"/>
          <w:numId w:val="32"/>
        </w:numPr>
        <w:rPr>
          <w:rFonts w:asciiTheme="minorHAnsi" w:hAnsiTheme="minorHAnsi"/>
        </w:rPr>
      </w:pPr>
      <w:r>
        <w:rPr>
          <w:rFonts w:asciiTheme="minorHAnsi" w:hAnsiTheme="minorHAnsi"/>
        </w:rPr>
        <w:t>Reimbursement was based on historical overall payment per care.</w:t>
      </w:r>
    </w:p>
    <w:p w14:paraId="68B13141" w14:textId="4CA94ED0" w:rsidR="00BD0932" w:rsidRDefault="00BD0932" w:rsidP="00FF2392">
      <w:pPr>
        <w:pStyle w:val="BodyText"/>
        <w:ind w:left="720"/>
        <w:rPr>
          <w:rFonts w:asciiTheme="minorHAnsi" w:hAnsiTheme="minorHAnsi"/>
        </w:rPr>
      </w:pPr>
      <w:r>
        <w:rPr>
          <w:rFonts w:asciiTheme="minorHAnsi" w:hAnsiTheme="minorHAnsi"/>
        </w:rPr>
        <w:t xml:space="preserve"> </w:t>
      </w:r>
    </w:p>
    <w:p w14:paraId="798C04A8" w14:textId="3B1FEB3A" w:rsidR="006E2281" w:rsidRDefault="00BD0932" w:rsidP="00BD0932">
      <w:pPr>
        <w:pStyle w:val="BodyText"/>
        <w:rPr>
          <w:rFonts w:asciiTheme="minorHAnsi" w:hAnsiTheme="minorHAnsi"/>
        </w:rPr>
      </w:pPr>
      <w:r>
        <w:rPr>
          <w:rFonts w:asciiTheme="minorHAnsi" w:hAnsiTheme="minorHAnsi"/>
        </w:rPr>
        <w:t xml:space="preserve">The CPA compared </w:t>
      </w:r>
      <w:r w:rsidR="00BE4171">
        <w:rPr>
          <w:rFonts w:asciiTheme="minorHAnsi" w:hAnsiTheme="minorHAnsi"/>
        </w:rPr>
        <w:t>the Center’s</w:t>
      </w:r>
      <w:r>
        <w:rPr>
          <w:rFonts w:asciiTheme="minorHAnsi" w:hAnsiTheme="minorHAnsi"/>
        </w:rPr>
        <w:t xml:space="preserve"> benchmark data to an outside independent </w:t>
      </w:r>
      <w:r w:rsidR="002E5847">
        <w:rPr>
          <w:rFonts w:asciiTheme="minorHAnsi" w:hAnsiTheme="minorHAnsi"/>
        </w:rPr>
        <w:t>survey</w:t>
      </w:r>
      <w:r>
        <w:rPr>
          <w:rFonts w:asciiTheme="minorHAnsi" w:hAnsiTheme="minorHAnsi"/>
        </w:rPr>
        <w:t xml:space="preserve"> of ambulatory surgery centers that was completed using 2021 to 2022 data, which the CPA states is the latest study</w:t>
      </w:r>
      <w:r w:rsidR="008E7D40">
        <w:rPr>
          <w:rFonts w:asciiTheme="minorHAnsi" w:hAnsiTheme="minorHAnsi"/>
        </w:rPr>
        <w:t>.</w:t>
      </w:r>
      <w:r>
        <w:rPr>
          <w:rFonts w:asciiTheme="minorHAnsi" w:hAnsiTheme="minorHAnsi"/>
        </w:rPr>
        <w:t xml:space="preserve"> </w:t>
      </w:r>
      <w:r w:rsidR="008E7D40">
        <w:rPr>
          <w:rFonts w:asciiTheme="minorHAnsi" w:hAnsiTheme="minorHAnsi"/>
        </w:rPr>
        <w:t>The</w:t>
      </w:r>
      <w:r>
        <w:rPr>
          <w:rFonts w:asciiTheme="minorHAnsi" w:hAnsiTheme="minorHAnsi"/>
        </w:rPr>
        <w:t xml:space="preserve"> CPA found </w:t>
      </w:r>
      <w:r w:rsidR="00BE4171">
        <w:rPr>
          <w:rFonts w:asciiTheme="minorHAnsi" w:hAnsiTheme="minorHAnsi"/>
        </w:rPr>
        <w:t>the Center’</w:t>
      </w:r>
      <w:r>
        <w:rPr>
          <w:rFonts w:asciiTheme="minorHAnsi" w:hAnsiTheme="minorHAnsi"/>
        </w:rPr>
        <w:t>s benchmark data to be reasonable</w:t>
      </w:r>
      <w:r w:rsidR="006E2281">
        <w:rPr>
          <w:rFonts w:asciiTheme="minorHAnsi" w:hAnsiTheme="minorHAnsi"/>
        </w:rPr>
        <w:t xml:space="preserve">, and the number of procedures per procedure room in year 5 (2030) to be within the ranges of currently operating ambulatory surgery centers. </w:t>
      </w:r>
    </w:p>
    <w:p w14:paraId="141870DD" w14:textId="77777777" w:rsidR="006E2281" w:rsidRDefault="006E2281" w:rsidP="00BD0932">
      <w:pPr>
        <w:pStyle w:val="BodyText"/>
        <w:rPr>
          <w:rFonts w:asciiTheme="minorHAnsi" w:hAnsiTheme="minorHAnsi"/>
        </w:rPr>
      </w:pPr>
    </w:p>
    <w:p w14:paraId="7A41DB4E" w14:textId="0FC368E0" w:rsidR="006E2281" w:rsidRDefault="006E2281" w:rsidP="00BD0932">
      <w:pPr>
        <w:pStyle w:val="BodyText"/>
        <w:rPr>
          <w:rFonts w:asciiTheme="minorHAnsi" w:hAnsiTheme="minorHAnsi"/>
        </w:rPr>
      </w:pPr>
      <w:r>
        <w:rPr>
          <w:rFonts w:asciiTheme="minorHAnsi" w:hAnsiTheme="minorHAnsi"/>
        </w:rPr>
        <w:t xml:space="preserve">The CPA compared the independent </w:t>
      </w:r>
      <w:r w:rsidR="006D51AD">
        <w:rPr>
          <w:rFonts w:asciiTheme="minorHAnsi" w:hAnsiTheme="minorHAnsi"/>
        </w:rPr>
        <w:t>survey’s</w:t>
      </w:r>
      <w:r>
        <w:rPr>
          <w:rFonts w:asciiTheme="minorHAnsi" w:hAnsiTheme="minorHAnsi"/>
        </w:rPr>
        <w:t xml:space="preserve"> payer mix for the Northeast United States to </w:t>
      </w:r>
      <w:r w:rsidR="00BE4171">
        <w:rPr>
          <w:rFonts w:asciiTheme="minorHAnsi" w:hAnsiTheme="minorHAnsi"/>
        </w:rPr>
        <w:t xml:space="preserve">the Center’s </w:t>
      </w:r>
      <w:r>
        <w:rPr>
          <w:rFonts w:asciiTheme="minorHAnsi" w:hAnsiTheme="minorHAnsi"/>
        </w:rPr>
        <w:t xml:space="preserve">and found them to be </w:t>
      </w:r>
      <w:r w:rsidR="006D51AD">
        <w:rPr>
          <w:rFonts w:asciiTheme="minorHAnsi" w:hAnsiTheme="minorHAnsi"/>
        </w:rPr>
        <w:t>within</w:t>
      </w:r>
      <w:r>
        <w:rPr>
          <w:rFonts w:asciiTheme="minorHAnsi" w:hAnsiTheme="minorHAnsi"/>
        </w:rPr>
        <w:t xml:space="preserve"> the ranges published in the survey. The CPA tested the reasonableness of</w:t>
      </w:r>
      <w:r w:rsidR="00271B3A">
        <w:rPr>
          <w:rFonts w:asciiTheme="minorHAnsi" w:hAnsiTheme="minorHAnsi"/>
        </w:rPr>
        <w:t xml:space="preserve"> the Center</w:t>
      </w:r>
      <w:r>
        <w:rPr>
          <w:rFonts w:asciiTheme="minorHAnsi" w:hAnsiTheme="minorHAnsi"/>
        </w:rPr>
        <w:t>’s starting average reimbursement rate ($864 per case and $483 for anesthesia</w:t>
      </w:r>
      <w:r w:rsidR="00BF53BE">
        <w:rPr>
          <w:rFonts w:asciiTheme="minorHAnsi" w:hAnsiTheme="minorHAnsi"/>
        </w:rPr>
        <w:t xml:space="preserve"> in the projections</w:t>
      </w:r>
      <w:r>
        <w:rPr>
          <w:rFonts w:asciiTheme="minorHAnsi" w:hAnsiTheme="minorHAnsi"/>
        </w:rPr>
        <w:t xml:space="preserve">), which inflated by 3% each year of the projections, </w:t>
      </w:r>
      <w:r w:rsidR="00AE085B">
        <w:rPr>
          <w:rFonts w:asciiTheme="minorHAnsi" w:hAnsiTheme="minorHAnsi"/>
        </w:rPr>
        <w:t xml:space="preserve">and found that the rates compared favorable to the rates used in the projections.  </w:t>
      </w:r>
    </w:p>
    <w:p w14:paraId="1B84C105" w14:textId="77777777" w:rsidR="00AE085B" w:rsidRDefault="00AE085B" w:rsidP="00BD0932">
      <w:pPr>
        <w:pStyle w:val="BodyText"/>
        <w:rPr>
          <w:rFonts w:asciiTheme="minorHAnsi" w:hAnsiTheme="minorHAnsi"/>
        </w:rPr>
      </w:pPr>
    </w:p>
    <w:p w14:paraId="0AFBFC77" w14:textId="577CB6C1" w:rsidR="00AE085B" w:rsidRPr="00BD0932" w:rsidRDefault="00AE085B" w:rsidP="00BD0932">
      <w:pPr>
        <w:pStyle w:val="BodyText"/>
        <w:rPr>
          <w:rFonts w:asciiTheme="minorHAnsi" w:hAnsiTheme="minorHAnsi"/>
        </w:rPr>
      </w:pPr>
      <w:r>
        <w:rPr>
          <w:rFonts w:asciiTheme="minorHAnsi" w:hAnsiTheme="minorHAnsi"/>
        </w:rPr>
        <w:t xml:space="preserve">The CPA </w:t>
      </w:r>
      <w:r w:rsidR="00FB3B96">
        <w:rPr>
          <w:rFonts w:asciiTheme="minorHAnsi" w:hAnsiTheme="minorHAnsi"/>
        </w:rPr>
        <w:t>found the projected revenue reflects a reasonable estimation of future revenue</w:t>
      </w:r>
      <w:r w:rsidR="00271B3A">
        <w:rPr>
          <w:rFonts w:asciiTheme="minorHAnsi" w:hAnsiTheme="minorHAnsi"/>
        </w:rPr>
        <w:t>s of the Center</w:t>
      </w:r>
      <w:r w:rsidR="00FB3B96">
        <w:rPr>
          <w:rFonts w:asciiTheme="minorHAnsi" w:hAnsiTheme="minorHAnsi"/>
        </w:rPr>
        <w:t xml:space="preserve">. </w:t>
      </w:r>
    </w:p>
    <w:p w14:paraId="5D4E7950" w14:textId="3CD731D7" w:rsidR="0021544F" w:rsidRDefault="0021544F" w:rsidP="00C316C3">
      <w:pPr>
        <w:pStyle w:val="BodyText"/>
        <w:rPr>
          <w:rFonts w:asciiTheme="minorHAnsi" w:hAnsiTheme="minorHAnsi"/>
        </w:rPr>
      </w:pPr>
    </w:p>
    <w:p w14:paraId="0BB542D7" w14:textId="584B3197" w:rsidR="00840281" w:rsidRDefault="0021544F" w:rsidP="00C316C3">
      <w:pPr>
        <w:pStyle w:val="BodyText"/>
        <w:rPr>
          <w:rFonts w:asciiTheme="minorHAnsi" w:hAnsiTheme="minorHAnsi"/>
        </w:rPr>
      </w:pPr>
      <w:r w:rsidRPr="003A7B86">
        <w:rPr>
          <w:rFonts w:asciiTheme="minorHAnsi" w:hAnsiTheme="minorHAnsi"/>
          <w:b/>
          <w:bCs/>
        </w:rPr>
        <w:t>Expenses:</w:t>
      </w:r>
      <w:r w:rsidR="00FD641B">
        <w:rPr>
          <w:rFonts w:asciiTheme="minorHAnsi" w:hAnsiTheme="minorHAnsi"/>
        </w:rPr>
        <w:t xml:space="preserve"> </w:t>
      </w:r>
      <w:r w:rsidR="00840281">
        <w:rPr>
          <w:rFonts w:asciiTheme="minorHAnsi" w:hAnsiTheme="minorHAnsi"/>
        </w:rPr>
        <w:t xml:space="preserve">The CPA analyzed Salary and Benefits, Other Operating Expenses, for reasonableness and feasibility as they related to the Projections. Staffing hours were compared to the independent </w:t>
      </w:r>
      <w:r w:rsidR="006D51AD">
        <w:rPr>
          <w:rFonts w:asciiTheme="minorHAnsi" w:hAnsiTheme="minorHAnsi"/>
        </w:rPr>
        <w:t>survey</w:t>
      </w:r>
      <w:r w:rsidR="00840281">
        <w:rPr>
          <w:rFonts w:asciiTheme="minorHAnsi" w:hAnsiTheme="minorHAnsi"/>
        </w:rPr>
        <w:t xml:space="preserve"> and were found to be consistent with </w:t>
      </w:r>
      <w:r w:rsidR="006D51AD">
        <w:rPr>
          <w:rFonts w:asciiTheme="minorHAnsi" w:hAnsiTheme="minorHAnsi"/>
        </w:rPr>
        <w:t>survey</w:t>
      </w:r>
      <w:r w:rsidR="00840281">
        <w:rPr>
          <w:rFonts w:asciiTheme="minorHAnsi" w:hAnsiTheme="minorHAnsi"/>
        </w:rPr>
        <w:t xml:space="preserve"> results. Wage rates for all clinical and administrative categories were also found to be consistent </w:t>
      </w:r>
      <w:r w:rsidR="006D51AD">
        <w:rPr>
          <w:rFonts w:asciiTheme="minorHAnsi" w:hAnsiTheme="minorHAnsi"/>
        </w:rPr>
        <w:t>with</w:t>
      </w:r>
      <w:r w:rsidR="00840281">
        <w:rPr>
          <w:rFonts w:asciiTheme="minorHAnsi" w:hAnsiTheme="minorHAnsi"/>
        </w:rPr>
        <w:t xml:space="preserve"> the </w:t>
      </w:r>
      <w:r w:rsidR="006D51AD">
        <w:rPr>
          <w:rFonts w:asciiTheme="minorHAnsi" w:hAnsiTheme="minorHAnsi"/>
        </w:rPr>
        <w:t>survey</w:t>
      </w:r>
      <w:r w:rsidR="00840281">
        <w:rPr>
          <w:rFonts w:asciiTheme="minorHAnsi" w:hAnsiTheme="minorHAnsi"/>
        </w:rPr>
        <w:t xml:space="preserve"> results for the Northeast United States. Medical Surgical Supplies in the projection were compared to the independent </w:t>
      </w:r>
      <w:r w:rsidR="006D51AD">
        <w:rPr>
          <w:rFonts w:asciiTheme="minorHAnsi" w:hAnsiTheme="minorHAnsi"/>
        </w:rPr>
        <w:t>survey</w:t>
      </w:r>
      <w:r w:rsidR="00840281">
        <w:rPr>
          <w:rFonts w:asciiTheme="minorHAnsi" w:hAnsiTheme="minorHAnsi"/>
        </w:rPr>
        <w:t xml:space="preserve"> and found to be consistent with the ranges in the </w:t>
      </w:r>
      <w:r w:rsidR="006D51AD">
        <w:rPr>
          <w:rFonts w:asciiTheme="minorHAnsi" w:hAnsiTheme="minorHAnsi"/>
        </w:rPr>
        <w:t>survey</w:t>
      </w:r>
      <w:r w:rsidR="00840281">
        <w:rPr>
          <w:rFonts w:asciiTheme="minorHAnsi" w:hAnsiTheme="minorHAnsi"/>
        </w:rPr>
        <w:t xml:space="preserve">, and Other expenses were compared to the </w:t>
      </w:r>
      <w:r w:rsidR="006D51AD">
        <w:rPr>
          <w:rFonts w:asciiTheme="minorHAnsi" w:hAnsiTheme="minorHAnsi"/>
        </w:rPr>
        <w:t>independent</w:t>
      </w:r>
      <w:r w:rsidR="00840281">
        <w:rPr>
          <w:rFonts w:asciiTheme="minorHAnsi" w:hAnsiTheme="minorHAnsi"/>
        </w:rPr>
        <w:t xml:space="preserve"> </w:t>
      </w:r>
      <w:r w:rsidR="006D51AD">
        <w:rPr>
          <w:rFonts w:asciiTheme="minorHAnsi" w:hAnsiTheme="minorHAnsi"/>
        </w:rPr>
        <w:t>survey</w:t>
      </w:r>
      <w:r w:rsidR="00840281">
        <w:rPr>
          <w:rFonts w:asciiTheme="minorHAnsi" w:hAnsiTheme="minorHAnsi"/>
        </w:rPr>
        <w:t xml:space="preserve"> and were found to be </w:t>
      </w:r>
      <w:r w:rsidR="006D51AD">
        <w:rPr>
          <w:rFonts w:asciiTheme="minorHAnsi" w:hAnsiTheme="minorHAnsi"/>
        </w:rPr>
        <w:t>reasonable</w:t>
      </w:r>
      <w:r w:rsidR="00840281">
        <w:rPr>
          <w:rFonts w:asciiTheme="minorHAnsi" w:hAnsiTheme="minorHAnsi"/>
        </w:rPr>
        <w:t xml:space="preserve">. </w:t>
      </w:r>
    </w:p>
    <w:p w14:paraId="3C3CAD50" w14:textId="77777777" w:rsidR="00840281" w:rsidRDefault="00840281" w:rsidP="00C316C3">
      <w:pPr>
        <w:pStyle w:val="BodyText"/>
        <w:rPr>
          <w:rFonts w:asciiTheme="minorHAnsi" w:hAnsiTheme="minorHAnsi"/>
        </w:rPr>
      </w:pPr>
    </w:p>
    <w:p w14:paraId="4C5BEDD7" w14:textId="7E6BF6C8" w:rsidR="00840281" w:rsidRDefault="00840281" w:rsidP="00C316C3">
      <w:pPr>
        <w:pStyle w:val="BodyText"/>
        <w:rPr>
          <w:rFonts w:asciiTheme="minorHAnsi" w:hAnsiTheme="minorHAnsi"/>
        </w:rPr>
      </w:pPr>
      <w:r>
        <w:rPr>
          <w:rFonts w:asciiTheme="minorHAnsi" w:hAnsiTheme="minorHAnsi"/>
        </w:rPr>
        <w:t xml:space="preserve">The CPA </w:t>
      </w:r>
      <w:r w:rsidR="002E5847">
        <w:rPr>
          <w:rFonts w:asciiTheme="minorHAnsi" w:hAnsiTheme="minorHAnsi"/>
        </w:rPr>
        <w:t>found</w:t>
      </w:r>
      <w:r>
        <w:rPr>
          <w:rFonts w:asciiTheme="minorHAnsi" w:hAnsiTheme="minorHAnsi"/>
        </w:rPr>
        <w:t xml:space="preserve"> the operating expenses projected by </w:t>
      </w:r>
      <w:r w:rsidR="00D545DE">
        <w:rPr>
          <w:rFonts w:asciiTheme="minorHAnsi" w:hAnsiTheme="minorHAnsi"/>
        </w:rPr>
        <w:t xml:space="preserve">Management of the Center </w:t>
      </w:r>
      <w:r>
        <w:rPr>
          <w:rFonts w:asciiTheme="minorHAnsi" w:hAnsiTheme="minorHAnsi"/>
        </w:rPr>
        <w:t xml:space="preserve">to be reasonable. </w:t>
      </w:r>
    </w:p>
    <w:p w14:paraId="57B7E22F" w14:textId="77777777" w:rsidR="007D2071" w:rsidRDefault="007D2071" w:rsidP="00C316C3">
      <w:pPr>
        <w:pStyle w:val="BodyText"/>
        <w:rPr>
          <w:rFonts w:asciiTheme="minorHAnsi" w:hAnsiTheme="minorHAnsi"/>
        </w:rPr>
      </w:pPr>
    </w:p>
    <w:p w14:paraId="113B3CF8" w14:textId="285243E0" w:rsidR="00F26AF8" w:rsidRDefault="008D46EA" w:rsidP="00C316C3">
      <w:pPr>
        <w:pStyle w:val="BodyText"/>
        <w:rPr>
          <w:rFonts w:asciiTheme="minorHAnsi" w:hAnsiTheme="minorHAnsi"/>
        </w:rPr>
      </w:pPr>
      <w:r>
        <w:rPr>
          <w:rFonts w:asciiTheme="minorHAnsi" w:hAnsiTheme="minorHAnsi"/>
          <w:b/>
          <w:bCs/>
        </w:rPr>
        <w:t>Capital Contribution</w:t>
      </w:r>
      <w:r w:rsidR="00F420D2">
        <w:rPr>
          <w:rFonts w:asciiTheme="minorHAnsi" w:hAnsiTheme="minorHAnsi"/>
          <w:b/>
          <w:bCs/>
        </w:rPr>
        <w:t>:</w:t>
      </w:r>
      <w:r w:rsidR="008A4644">
        <w:rPr>
          <w:rFonts w:asciiTheme="minorHAnsi" w:hAnsiTheme="minorHAnsi"/>
          <w:b/>
          <w:bCs/>
        </w:rPr>
        <w:t xml:space="preserve"> </w:t>
      </w:r>
      <w:r w:rsidR="007700F3">
        <w:rPr>
          <w:rFonts w:asciiTheme="minorHAnsi" w:hAnsiTheme="minorHAnsi"/>
        </w:rPr>
        <w:t xml:space="preserve">The CPA reviewed the lease terms, projected capital </w:t>
      </w:r>
      <w:r w:rsidR="006D51AD">
        <w:rPr>
          <w:rFonts w:asciiTheme="minorHAnsi" w:hAnsiTheme="minorHAnsi"/>
        </w:rPr>
        <w:t>expenditures</w:t>
      </w:r>
      <w:r w:rsidR="007700F3">
        <w:rPr>
          <w:rFonts w:asciiTheme="minorHAnsi" w:hAnsiTheme="minorHAnsi"/>
        </w:rPr>
        <w:t xml:space="preserve">, and future cash flows of </w:t>
      </w:r>
      <w:r w:rsidR="00D545DE">
        <w:rPr>
          <w:rFonts w:asciiTheme="minorHAnsi" w:hAnsiTheme="minorHAnsi"/>
        </w:rPr>
        <w:t>the Center</w:t>
      </w:r>
      <w:r w:rsidR="007122A4">
        <w:rPr>
          <w:rFonts w:asciiTheme="minorHAnsi" w:hAnsiTheme="minorHAnsi"/>
        </w:rPr>
        <w:t xml:space="preserve">. EDHC leases its space for $269,585. Insurance and property taxes bring annual fixed expenses to $315,317. The lease will include a 1% increase every year. The additional treatment room is included in the </w:t>
      </w:r>
      <w:r w:rsidR="007D1FC8">
        <w:rPr>
          <w:rFonts w:asciiTheme="minorHAnsi" w:hAnsiTheme="minorHAnsi"/>
        </w:rPr>
        <w:t>original</w:t>
      </w:r>
      <w:r w:rsidR="007122A4">
        <w:rPr>
          <w:rFonts w:asciiTheme="minorHAnsi" w:hAnsiTheme="minorHAnsi"/>
        </w:rPr>
        <w:t xml:space="preserve"> lease. </w:t>
      </w:r>
    </w:p>
    <w:p w14:paraId="1ECA7AA6" w14:textId="77777777" w:rsidR="007122A4" w:rsidRDefault="007122A4" w:rsidP="00C316C3">
      <w:pPr>
        <w:pStyle w:val="BodyText"/>
        <w:rPr>
          <w:rFonts w:asciiTheme="minorHAnsi" w:hAnsiTheme="minorHAnsi"/>
        </w:rPr>
      </w:pPr>
    </w:p>
    <w:p w14:paraId="3E411234" w14:textId="73291B13" w:rsidR="007122A4" w:rsidRDefault="007122A4" w:rsidP="00C316C3">
      <w:pPr>
        <w:pStyle w:val="BodyText"/>
        <w:rPr>
          <w:rFonts w:asciiTheme="minorHAnsi" w:hAnsiTheme="minorHAnsi"/>
        </w:rPr>
      </w:pPr>
      <w:r>
        <w:rPr>
          <w:rFonts w:asciiTheme="minorHAnsi" w:hAnsiTheme="minorHAnsi"/>
        </w:rPr>
        <w:t xml:space="preserve">The CPA found the total occupancy costs included in the projections to be within the range of the </w:t>
      </w:r>
      <w:r w:rsidR="00BF1262">
        <w:rPr>
          <w:rFonts w:asciiTheme="minorHAnsi" w:hAnsiTheme="minorHAnsi"/>
        </w:rPr>
        <w:t xml:space="preserve">independent </w:t>
      </w:r>
      <w:r>
        <w:rPr>
          <w:rFonts w:asciiTheme="minorHAnsi" w:hAnsiTheme="minorHAnsi"/>
        </w:rPr>
        <w:t xml:space="preserve">survey. </w:t>
      </w:r>
    </w:p>
    <w:p w14:paraId="4E99A02E" w14:textId="77777777" w:rsidR="00BF4EEB" w:rsidRDefault="00BF4EEB" w:rsidP="00C316C3">
      <w:pPr>
        <w:pStyle w:val="BodyText"/>
        <w:rPr>
          <w:rFonts w:asciiTheme="minorHAnsi" w:hAnsiTheme="minorHAnsi"/>
        </w:rPr>
      </w:pPr>
    </w:p>
    <w:p w14:paraId="0A0215EF" w14:textId="7EA47C71" w:rsidR="007122A4" w:rsidRDefault="007122A4" w:rsidP="00C316C3">
      <w:pPr>
        <w:pStyle w:val="BodyText"/>
        <w:rPr>
          <w:rFonts w:asciiTheme="minorHAnsi" w:hAnsiTheme="minorHAnsi"/>
        </w:rPr>
      </w:pPr>
      <w:r>
        <w:rPr>
          <w:rFonts w:asciiTheme="minorHAnsi" w:hAnsiTheme="minorHAnsi"/>
        </w:rPr>
        <w:t xml:space="preserve">As a result of the aforementioned, the CPA determined the pro-forma capital expenditures, facility lease, terms of equipment and working capital financing, and the resulting impact on the cash flows of EDHC to be reasonable. </w:t>
      </w:r>
    </w:p>
    <w:p w14:paraId="23BE9EE6" w14:textId="77777777" w:rsidR="004020BF" w:rsidRPr="007700F3" w:rsidRDefault="004020BF" w:rsidP="00C316C3">
      <w:pPr>
        <w:pStyle w:val="BodyText"/>
        <w:rPr>
          <w:rFonts w:asciiTheme="minorHAnsi" w:hAnsiTheme="minorHAnsi"/>
        </w:rPr>
      </w:pPr>
    </w:p>
    <w:p w14:paraId="453A4170" w14:textId="485651E6" w:rsidR="001923DD" w:rsidRPr="003A7B86" w:rsidRDefault="007C430B" w:rsidP="00C316C3">
      <w:pPr>
        <w:pStyle w:val="BodyText"/>
        <w:rPr>
          <w:rFonts w:asciiTheme="minorHAnsi" w:hAnsiTheme="minorHAnsi"/>
          <w:b/>
          <w:bCs/>
        </w:rPr>
      </w:pPr>
      <w:r w:rsidRPr="003A7B86">
        <w:rPr>
          <w:rFonts w:asciiTheme="minorHAnsi" w:hAnsiTheme="minorHAnsi"/>
          <w:b/>
          <w:bCs/>
        </w:rPr>
        <w:t>CPA’s Conclusion of Feasibility</w:t>
      </w:r>
    </w:p>
    <w:p w14:paraId="4D2944E2" w14:textId="2D44121A" w:rsidR="004F67F1" w:rsidRDefault="007122A4" w:rsidP="004F67F1">
      <w:pPr>
        <w:pStyle w:val="BodyText"/>
        <w:rPr>
          <w:rFonts w:asciiTheme="minorHAnsi" w:hAnsiTheme="minorHAnsi"/>
        </w:rPr>
      </w:pPr>
      <w:r>
        <w:rPr>
          <w:rFonts w:asciiTheme="minorHAnsi" w:hAnsiTheme="minorHAnsi"/>
        </w:rPr>
        <w:t>The CPA concluded “</w:t>
      </w:r>
      <w:r w:rsidR="004F67F1" w:rsidRPr="004F67F1">
        <w:rPr>
          <w:rFonts w:asciiTheme="minorHAnsi" w:hAnsiTheme="minorHAnsi"/>
        </w:rPr>
        <w:t xml:space="preserve">Based upon my review of the relevant documents and analysis of the projected </w:t>
      </w:r>
      <w:r w:rsidR="004F67F1" w:rsidRPr="004F67F1">
        <w:rPr>
          <w:rFonts w:asciiTheme="minorHAnsi" w:hAnsiTheme="minorHAnsi"/>
        </w:rPr>
        <w:lastRenderedPageBreak/>
        <w:t>financial statements, I determined the project and continued operating surplus are reasonable and are based upon feasible financial assumptions. Accordingly, I determined that the Projections are feasible and sustainable and not likely to have a negative impact on the patient panel or result in a liquidation of assets of Emerson Endoscopy and Digestive Health Center, LLC.</w:t>
      </w:r>
      <w:r w:rsidR="004F67F1">
        <w:rPr>
          <w:rFonts w:asciiTheme="minorHAnsi" w:hAnsiTheme="minorHAnsi"/>
        </w:rPr>
        <w:t>”</w:t>
      </w:r>
    </w:p>
    <w:p w14:paraId="6BC3FA97" w14:textId="77777777" w:rsidR="00B90EAA" w:rsidRPr="004F67F1" w:rsidRDefault="00B90EAA" w:rsidP="004F67F1">
      <w:pPr>
        <w:pStyle w:val="BodyText"/>
        <w:rPr>
          <w:rFonts w:asciiTheme="minorHAnsi" w:hAnsiTheme="minorHAnsi"/>
        </w:rPr>
      </w:pPr>
    </w:p>
    <w:p w14:paraId="6E40EA66" w14:textId="2E3B0600" w:rsidR="00B447F3" w:rsidRPr="009A0C61" w:rsidRDefault="00A4110F" w:rsidP="005656E3">
      <w:pPr>
        <w:pStyle w:val="BodyText"/>
        <w:ind w:left="-144" w:firstLine="144"/>
        <w:rPr>
          <w:rFonts w:asciiTheme="minorHAnsi" w:hAnsiTheme="minorHAnsi"/>
          <w:b/>
          <w:bCs/>
          <w:i/>
          <w:iCs/>
        </w:rPr>
      </w:pPr>
      <w:r w:rsidRPr="009A0C61">
        <w:rPr>
          <w:rFonts w:asciiTheme="minorHAnsi" w:hAnsiTheme="minorHAnsi"/>
          <w:b/>
          <w:bCs/>
          <w:i/>
          <w:iCs/>
        </w:rPr>
        <w:t>Analysis</w:t>
      </w:r>
    </w:p>
    <w:p w14:paraId="008F5C5E" w14:textId="2D8D3DE1" w:rsidR="009409FB" w:rsidRDefault="00FE3BD6" w:rsidP="005656E3">
      <w:pPr>
        <w:pStyle w:val="BodyText"/>
        <w:rPr>
          <w:rFonts w:asciiTheme="minorHAnsi" w:hAnsiTheme="minorHAnsi"/>
        </w:rPr>
      </w:pPr>
      <w:r w:rsidRPr="00FE3BD6">
        <w:rPr>
          <w:rFonts w:asciiTheme="minorHAnsi" w:hAnsiTheme="minorHAnsi"/>
        </w:rPr>
        <w:t>Staff is satisfied with the CPA’s analysis of the Applicant’s decision to proceed with the Proposed</w:t>
      </w:r>
      <w:r w:rsidR="009409FB">
        <w:rPr>
          <w:rFonts w:asciiTheme="minorHAnsi" w:hAnsiTheme="minorHAnsi"/>
        </w:rPr>
        <w:t xml:space="preserve"> </w:t>
      </w:r>
    </w:p>
    <w:p w14:paraId="4B2A6DDB" w14:textId="1E8BAA8C" w:rsidR="009409FB" w:rsidRDefault="00FE3BD6" w:rsidP="005656E3">
      <w:pPr>
        <w:pStyle w:val="BodyText"/>
        <w:rPr>
          <w:rFonts w:asciiTheme="minorHAnsi" w:hAnsiTheme="minorHAnsi"/>
        </w:rPr>
      </w:pPr>
      <w:r w:rsidRPr="00FE3BD6">
        <w:rPr>
          <w:rFonts w:asciiTheme="minorHAnsi" w:hAnsiTheme="minorHAnsi"/>
        </w:rPr>
        <w:t>Project. As a result, staff finds the CPA analysis to be acceptable and that the Applicant has met the</w:t>
      </w:r>
    </w:p>
    <w:p w14:paraId="30653C8F" w14:textId="6F1A6D1C" w:rsidR="00FE3BD6" w:rsidRDefault="00FE3BD6" w:rsidP="005656E3">
      <w:pPr>
        <w:pStyle w:val="BodyText"/>
        <w:rPr>
          <w:rFonts w:asciiTheme="minorHAnsi" w:hAnsiTheme="minorHAnsi"/>
        </w:rPr>
      </w:pPr>
      <w:r w:rsidRPr="00FE3BD6">
        <w:rPr>
          <w:rFonts w:asciiTheme="minorHAnsi" w:hAnsiTheme="minorHAnsi"/>
        </w:rPr>
        <w:t>requirements of Factor 4.</w:t>
      </w:r>
    </w:p>
    <w:p w14:paraId="24C754E8" w14:textId="77777777" w:rsidR="00350EC1" w:rsidRDefault="00350EC1" w:rsidP="00C316C3">
      <w:pPr>
        <w:pStyle w:val="BodyText"/>
        <w:ind w:hanging="144"/>
        <w:rPr>
          <w:rFonts w:asciiTheme="minorHAnsi" w:hAnsiTheme="minorHAnsi"/>
        </w:rPr>
      </w:pPr>
    </w:p>
    <w:p w14:paraId="54707BC6" w14:textId="5E01AE3B" w:rsidR="003A7B86" w:rsidRDefault="00A4110F" w:rsidP="00C316C3">
      <w:pPr>
        <w:pStyle w:val="BodyText"/>
        <w:rPr>
          <w:rFonts w:asciiTheme="minorHAnsi" w:hAnsiTheme="minorHAnsi"/>
          <w:sz w:val="21"/>
        </w:rPr>
      </w:pPr>
      <w:r w:rsidRPr="003436F0">
        <w:rPr>
          <w:rFonts w:asciiTheme="minorHAnsi" w:hAnsiTheme="minorHAnsi"/>
          <w:sz w:val="21"/>
        </w:rPr>
        <w:tab/>
      </w:r>
      <w:bookmarkStart w:id="25" w:name="Factor_5:_Assessment_of_the_Proposed_Pro"/>
      <w:bookmarkEnd w:id="25"/>
    </w:p>
    <w:p w14:paraId="39D90124" w14:textId="51480EE6" w:rsidR="00B447F3" w:rsidRPr="003436F0" w:rsidRDefault="00A4110F" w:rsidP="005656E3">
      <w:pPr>
        <w:pStyle w:val="Heading1"/>
        <w:ind w:left="-144" w:firstLine="144"/>
        <w:rPr>
          <w:rFonts w:asciiTheme="minorHAnsi" w:hAnsiTheme="minorHAnsi"/>
        </w:rPr>
      </w:pPr>
      <w:bookmarkStart w:id="26" w:name="_Toc207953805"/>
      <w:r w:rsidRPr="003436F0">
        <w:rPr>
          <w:rFonts w:asciiTheme="minorHAnsi" w:hAnsiTheme="minorHAnsi"/>
          <w:color w:val="42558C"/>
        </w:rPr>
        <w:t>Factor 5: Assessment of the Proposed Project’s Relative Merit</w:t>
      </w:r>
      <w:bookmarkEnd w:id="26"/>
    </w:p>
    <w:p w14:paraId="4FC717A7" w14:textId="24946567" w:rsidR="00B447F3" w:rsidRDefault="006D7D58" w:rsidP="005656E3">
      <w:pPr>
        <w:pStyle w:val="BodyText"/>
        <w:rPr>
          <w:rFonts w:asciiTheme="minorHAnsi" w:hAnsiTheme="minorHAnsi"/>
        </w:rPr>
      </w:pPr>
      <w:r w:rsidRPr="6ACB936F">
        <w:rPr>
          <w:rFonts w:asciiTheme="minorHAnsi" w:hAnsiTheme="minorHAnsi"/>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w:t>
      </w:r>
      <w:bookmarkStart w:id="27" w:name="_Int_BedYxzXG"/>
      <w:r w:rsidRPr="6ACB936F">
        <w:rPr>
          <w:rFonts w:asciiTheme="minorHAnsi" w:hAnsiTheme="minorHAnsi"/>
        </w:rPr>
        <w:t>take into account</w:t>
      </w:r>
      <w:bookmarkEnd w:id="27"/>
      <w:r w:rsidRPr="6ACB936F">
        <w:rPr>
          <w:rFonts w:asciiTheme="minorHAnsi" w:hAnsiTheme="minorHAnsi"/>
        </w:rPr>
        <w:t>, at a minimum, the quality, efficiency, and capital and operating costs of the Proposed Project relative to potential alternatives or substitutes, including alternative evidence-based strategies and public health interventions.</w:t>
      </w:r>
    </w:p>
    <w:p w14:paraId="6C02E44D" w14:textId="45FD4D8A" w:rsidR="006D7D58" w:rsidRDefault="006D7D58" w:rsidP="00C316C3">
      <w:pPr>
        <w:pStyle w:val="BodyText"/>
        <w:rPr>
          <w:rFonts w:asciiTheme="minorHAnsi" w:hAnsiTheme="minorHAnsi"/>
        </w:rPr>
      </w:pPr>
    </w:p>
    <w:p w14:paraId="219492CF" w14:textId="7C410D73" w:rsidR="006D7D58" w:rsidRDefault="00697135" w:rsidP="00C316C3">
      <w:pPr>
        <w:pStyle w:val="BodyText"/>
        <w:rPr>
          <w:rFonts w:asciiTheme="minorHAnsi" w:hAnsiTheme="minorHAnsi"/>
        </w:rPr>
      </w:pPr>
      <w:r w:rsidRPr="00697135">
        <w:rPr>
          <w:rFonts w:asciiTheme="minorHAnsi" w:hAnsiTheme="minorHAnsi"/>
        </w:rPr>
        <w:t xml:space="preserve">The Applicant considered and rejected </w:t>
      </w:r>
      <w:r w:rsidR="0061268B">
        <w:rPr>
          <w:rFonts w:asciiTheme="minorHAnsi" w:hAnsiTheme="minorHAnsi"/>
        </w:rPr>
        <w:t>two</w:t>
      </w:r>
      <w:r w:rsidRPr="00697135">
        <w:rPr>
          <w:rFonts w:asciiTheme="minorHAnsi" w:hAnsiTheme="minorHAnsi"/>
        </w:rPr>
        <w:t xml:space="preserve"> alternative</w:t>
      </w:r>
      <w:r w:rsidR="0061268B">
        <w:rPr>
          <w:rFonts w:asciiTheme="minorHAnsi" w:hAnsiTheme="minorHAnsi"/>
        </w:rPr>
        <w:t>s</w:t>
      </w:r>
      <w:r w:rsidRPr="00697135">
        <w:rPr>
          <w:rFonts w:asciiTheme="minorHAnsi" w:hAnsiTheme="minorHAnsi"/>
        </w:rPr>
        <w:t xml:space="preserve"> to the Proposed Project.</w:t>
      </w:r>
    </w:p>
    <w:p w14:paraId="2A777278" w14:textId="50C98506" w:rsidR="006B3BB3" w:rsidRDefault="0FB04589" w:rsidP="28157CC0">
      <w:pPr>
        <w:pStyle w:val="BodyText"/>
        <w:rPr>
          <w:rFonts w:asciiTheme="minorHAnsi" w:hAnsiTheme="minorHAnsi"/>
        </w:rPr>
      </w:pPr>
      <w:r w:rsidRPr="28157CC0">
        <w:rPr>
          <w:rFonts w:asciiTheme="minorHAnsi" w:hAnsiTheme="minorHAnsi"/>
          <w:b/>
          <w:bCs/>
          <w:u w:val="single"/>
        </w:rPr>
        <w:t>Alternative #1</w:t>
      </w:r>
      <w:r w:rsidRPr="28157CC0">
        <w:rPr>
          <w:rFonts w:asciiTheme="minorHAnsi" w:hAnsiTheme="minorHAnsi"/>
        </w:rPr>
        <w:t xml:space="preserve">: </w:t>
      </w:r>
      <w:r w:rsidR="007F3E59">
        <w:rPr>
          <w:rFonts w:asciiTheme="minorHAnsi" w:hAnsiTheme="minorHAnsi"/>
        </w:rPr>
        <w:t xml:space="preserve">Renovate and re-license an endoscopy procedure room at Emerson Hospital. </w:t>
      </w:r>
    </w:p>
    <w:p w14:paraId="0365CE13" w14:textId="6F2C6CFE" w:rsidR="00E16E9C" w:rsidRDefault="00E16E9C" w:rsidP="00E16E9C">
      <w:pPr>
        <w:pStyle w:val="BodyText"/>
        <w:numPr>
          <w:ilvl w:val="0"/>
          <w:numId w:val="28"/>
        </w:numPr>
        <w:rPr>
          <w:rFonts w:asciiTheme="minorHAnsi" w:hAnsiTheme="minorHAnsi"/>
        </w:rPr>
      </w:pPr>
      <w:r w:rsidRPr="00E16E9C">
        <w:rPr>
          <w:rFonts w:asciiTheme="minorHAnsi" w:hAnsiTheme="minorHAnsi"/>
          <w:u w:val="single"/>
        </w:rPr>
        <w:t>Quality</w:t>
      </w:r>
      <w:r>
        <w:rPr>
          <w:rFonts w:asciiTheme="minorHAnsi" w:hAnsiTheme="minorHAnsi"/>
        </w:rPr>
        <w:t xml:space="preserve">: </w:t>
      </w:r>
      <w:r w:rsidR="00E40969">
        <w:rPr>
          <w:rFonts w:asciiTheme="minorHAnsi" w:hAnsiTheme="minorHAnsi"/>
        </w:rPr>
        <w:t xml:space="preserve">This </w:t>
      </w:r>
      <w:r>
        <w:rPr>
          <w:rFonts w:asciiTheme="minorHAnsi" w:hAnsiTheme="minorHAnsi"/>
        </w:rPr>
        <w:t>alternative does not address patient preference to receive care in the ASC setting</w:t>
      </w:r>
      <w:r w:rsidR="00510ECA">
        <w:rPr>
          <w:rFonts w:asciiTheme="minorHAnsi" w:hAnsiTheme="minorHAnsi"/>
        </w:rPr>
        <w:t xml:space="preserve">, with its associated benefits. </w:t>
      </w:r>
      <w:r>
        <w:rPr>
          <w:rFonts w:asciiTheme="minorHAnsi" w:hAnsiTheme="minorHAnsi"/>
        </w:rPr>
        <w:t xml:space="preserve"> </w:t>
      </w:r>
    </w:p>
    <w:p w14:paraId="5062B8C3" w14:textId="53E97DA2" w:rsidR="00E16E9C" w:rsidRDefault="00E16E9C" w:rsidP="00E16E9C">
      <w:pPr>
        <w:pStyle w:val="BodyText"/>
        <w:numPr>
          <w:ilvl w:val="0"/>
          <w:numId w:val="28"/>
        </w:numPr>
        <w:rPr>
          <w:rFonts w:asciiTheme="minorHAnsi" w:hAnsiTheme="minorHAnsi"/>
        </w:rPr>
      </w:pPr>
      <w:r w:rsidRPr="00E16E9C">
        <w:rPr>
          <w:rFonts w:asciiTheme="minorHAnsi" w:hAnsiTheme="minorHAnsi"/>
          <w:u w:val="single"/>
        </w:rPr>
        <w:t>Efficiency</w:t>
      </w:r>
      <w:r>
        <w:rPr>
          <w:rFonts w:asciiTheme="minorHAnsi" w:hAnsiTheme="minorHAnsi"/>
        </w:rPr>
        <w:t xml:space="preserve">: The ASC setting has certain operational efficiencies that a procedure room in an HOPD would </w:t>
      </w:r>
      <w:r w:rsidR="00C16752">
        <w:rPr>
          <w:rFonts w:asciiTheme="minorHAnsi" w:hAnsiTheme="minorHAnsi"/>
        </w:rPr>
        <w:t xml:space="preserve">not </w:t>
      </w:r>
      <w:r>
        <w:rPr>
          <w:rFonts w:asciiTheme="minorHAnsi" w:hAnsiTheme="minorHAnsi"/>
        </w:rPr>
        <w:t>have.</w:t>
      </w:r>
    </w:p>
    <w:p w14:paraId="4599406B" w14:textId="51275B7B" w:rsidR="00E16E9C" w:rsidRDefault="00E16E9C" w:rsidP="00E16E9C">
      <w:pPr>
        <w:pStyle w:val="BodyText"/>
        <w:numPr>
          <w:ilvl w:val="0"/>
          <w:numId w:val="28"/>
        </w:numPr>
        <w:rPr>
          <w:rFonts w:asciiTheme="minorHAnsi" w:hAnsiTheme="minorHAnsi"/>
        </w:rPr>
      </w:pPr>
      <w:r w:rsidRPr="00E16E9C">
        <w:rPr>
          <w:rFonts w:asciiTheme="minorHAnsi" w:hAnsiTheme="minorHAnsi"/>
          <w:u w:val="single"/>
        </w:rPr>
        <w:t>Capital Expense</w:t>
      </w:r>
      <w:r>
        <w:rPr>
          <w:rFonts w:asciiTheme="minorHAnsi" w:hAnsiTheme="minorHAnsi"/>
        </w:rPr>
        <w:t xml:space="preserve">: Because the current procedure rooms at Emerson Hospital do not meet current Facilities Guidelines Institute (FGI) guidelines, </w:t>
      </w:r>
      <w:r w:rsidR="003E7092">
        <w:rPr>
          <w:rFonts w:asciiTheme="minorHAnsi" w:hAnsiTheme="minorHAnsi"/>
        </w:rPr>
        <w:t>Emerson Hospital</w:t>
      </w:r>
      <w:r>
        <w:rPr>
          <w:rFonts w:asciiTheme="minorHAnsi" w:hAnsiTheme="minorHAnsi"/>
        </w:rPr>
        <w:t xml:space="preserve"> would have to undertake significant, more costly renovations to create a new procedure room that is compliant with square footage requirements. </w:t>
      </w:r>
    </w:p>
    <w:p w14:paraId="520B6FC0" w14:textId="7565D27E" w:rsidR="00E16E9C" w:rsidRPr="00E16E9C" w:rsidRDefault="00E16E9C" w:rsidP="00E16E9C">
      <w:pPr>
        <w:pStyle w:val="BodyText"/>
        <w:numPr>
          <w:ilvl w:val="0"/>
          <w:numId w:val="28"/>
        </w:numPr>
        <w:rPr>
          <w:rFonts w:asciiTheme="minorHAnsi" w:hAnsiTheme="minorHAnsi"/>
        </w:rPr>
      </w:pPr>
      <w:r w:rsidRPr="00E16E9C">
        <w:rPr>
          <w:rFonts w:asciiTheme="minorHAnsi" w:hAnsiTheme="minorHAnsi"/>
          <w:u w:val="single"/>
        </w:rPr>
        <w:t>Operating Costs</w:t>
      </w:r>
      <w:r>
        <w:rPr>
          <w:rFonts w:asciiTheme="minorHAnsi" w:hAnsiTheme="minorHAnsi"/>
        </w:rPr>
        <w:t xml:space="preserve">: </w:t>
      </w:r>
      <w:r w:rsidR="00AE7940">
        <w:rPr>
          <w:rFonts w:asciiTheme="minorHAnsi" w:hAnsiTheme="minorHAnsi"/>
        </w:rPr>
        <w:t xml:space="preserve">Operating costs would increase, due in part to the additional staff needed to accommodate an increase in patients. </w:t>
      </w:r>
      <w:r w:rsidR="00A34333">
        <w:rPr>
          <w:rFonts w:asciiTheme="minorHAnsi" w:hAnsiTheme="minorHAnsi"/>
        </w:rPr>
        <w:t>Th</w:t>
      </w:r>
      <w:r w:rsidR="003D600D">
        <w:rPr>
          <w:rFonts w:asciiTheme="minorHAnsi" w:hAnsiTheme="minorHAnsi"/>
        </w:rPr>
        <w:t>e Applicant states that this</w:t>
      </w:r>
      <w:r w:rsidR="00A34333">
        <w:rPr>
          <w:rFonts w:asciiTheme="minorHAnsi" w:hAnsiTheme="minorHAnsi"/>
        </w:rPr>
        <w:t xml:space="preserve"> alternative would not have any cost implications for the Center.</w:t>
      </w:r>
    </w:p>
    <w:p w14:paraId="4A21495B" w14:textId="77777777" w:rsidR="007036F8" w:rsidRDefault="007036F8" w:rsidP="00C316C3">
      <w:pPr>
        <w:pStyle w:val="BodyText"/>
        <w:rPr>
          <w:rFonts w:asciiTheme="minorHAnsi" w:hAnsiTheme="minorHAnsi"/>
        </w:rPr>
      </w:pPr>
    </w:p>
    <w:p w14:paraId="44FBC6F2" w14:textId="3F52CB66" w:rsidR="003567E6" w:rsidRDefault="59B67AA5" w:rsidP="28157CC0">
      <w:pPr>
        <w:pStyle w:val="BodyText"/>
        <w:rPr>
          <w:rFonts w:asciiTheme="minorHAnsi" w:hAnsiTheme="minorHAnsi"/>
        </w:rPr>
      </w:pPr>
      <w:r w:rsidRPr="28157CC0">
        <w:rPr>
          <w:rFonts w:asciiTheme="minorHAnsi" w:hAnsiTheme="minorHAnsi"/>
          <w:b/>
          <w:bCs/>
          <w:u w:val="single"/>
        </w:rPr>
        <w:t>Alternative #2</w:t>
      </w:r>
      <w:r w:rsidRPr="28157CC0">
        <w:rPr>
          <w:rFonts w:asciiTheme="minorHAnsi" w:hAnsiTheme="minorHAnsi"/>
        </w:rPr>
        <w:t xml:space="preserve">: </w:t>
      </w:r>
      <w:r w:rsidR="00AE7940">
        <w:rPr>
          <w:rFonts w:asciiTheme="minorHAnsi" w:hAnsiTheme="minorHAnsi"/>
        </w:rPr>
        <w:t xml:space="preserve">Expand </w:t>
      </w:r>
      <w:r w:rsidR="00306249">
        <w:rPr>
          <w:rFonts w:asciiTheme="minorHAnsi" w:hAnsiTheme="minorHAnsi"/>
        </w:rPr>
        <w:t>the Center’s</w:t>
      </w:r>
      <w:r w:rsidR="00AE7940">
        <w:rPr>
          <w:rFonts w:asciiTheme="minorHAnsi" w:hAnsiTheme="minorHAnsi"/>
        </w:rPr>
        <w:t xml:space="preserve"> hours of operation beyond Monday through Friday, 7:00a.m. to 5:00p.m.</w:t>
      </w:r>
    </w:p>
    <w:p w14:paraId="1CAD0C9B" w14:textId="174496C4" w:rsidR="00AE7940" w:rsidRDefault="00AE7940" w:rsidP="00AE7940">
      <w:pPr>
        <w:pStyle w:val="BodyText"/>
        <w:numPr>
          <w:ilvl w:val="0"/>
          <w:numId w:val="29"/>
        </w:numPr>
        <w:rPr>
          <w:rFonts w:asciiTheme="minorHAnsi" w:hAnsiTheme="minorHAnsi"/>
        </w:rPr>
      </w:pPr>
      <w:r w:rsidRPr="00C16752">
        <w:rPr>
          <w:rFonts w:asciiTheme="minorHAnsi" w:hAnsiTheme="minorHAnsi"/>
          <w:u w:val="single"/>
        </w:rPr>
        <w:t>Quality</w:t>
      </w:r>
      <w:r>
        <w:rPr>
          <w:rFonts w:asciiTheme="minorHAnsi" w:hAnsiTheme="minorHAnsi"/>
        </w:rPr>
        <w:t xml:space="preserve">: Patients may be more likely to delay or defer care if they are not able to obtain appointments during the day, as opposed to the evening. </w:t>
      </w:r>
    </w:p>
    <w:p w14:paraId="0E144273" w14:textId="275604F1" w:rsidR="00AE7940" w:rsidRDefault="00AE7940" w:rsidP="00AE7940">
      <w:pPr>
        <w:pStyle w:val="BodyText"/>
        <w:numPr>
          <w:ilvl w:val="0"/>
          <w:numId w:val="29"/>
        </w:numPr>
        <w:rPr>
          <w:rFonts w:asciiTheme="minorHAnsi" w:hAnsiTheme="minorHAnsi"/>
        </w:rPr>
      </w:pPr>
      <w:r w:rsidRPr="00C16752">
        <w:rPr>
          <w:rFonts w:asciiTheme="minorHAnsi" w:hAnsiTheme="minorHAnsi"/>
          <w:u w:val="single"/>
        </w:rPr>
        <w:t>Efficiency</w:t>
      </w:r>
      <w:r>
        <w:rPr>
          <w:rFonts w:asciiTheme="minorHAnsi" w:hAnsiTheme="minorHAnsi"/>
        </w:rPr>
        <w:t xml:space="preserve">: This alternative would require recruiting staff to cover the extended operating hours, and this alternative would not provide sufficient capacity to meet </w:t>
      </w:r>
      <w:r w:rsidR="00A92EB5">
        <w:rPr>
          <w:rFonts w:asciiTheme="minorHAnsi" w:hAnsiTheme="minorHAnsi"/>
        </w:rPr>
        <w:t>the Center’s</w:t>
      </w:r>
      <w:r>
        <w:rPr>
          <w:rFonts w:asciiTheme="minorHAnsi" w:hAnsiTheme="minorHAnsi"/>
        </w:rPr>
        <w:t xml:space="preserve"> projected need</w:t>
      </w:r>
      <w:r w:rsidR="009D465C">
        <w:rPr>
          <w:rFonts w:asciiTheme="minorHAnsi" w:hAnsiTheme="minorHAnsi"/>
        </w:rPr>
        <w:t>, stating that</w:t>
      </w:r>
      <w:r w:rsidR="00BB0973">
        <w:rPr>
          <w:rFonts w:asciiTheme="minorHAnsi" w:hAnsiTheme="minorHAnsi"/>
        </w:rPr>
        <w:t xml:space="preserve"> </w:t>
      </w:r>
      <w:r w:rsidR="009D465C" w:rsidRPr="009D465C">
        <w:rPr>
          <w:rFonts w:asciiTheme="minorHAnsi" w:hAnsiTheme="minorHAnsi"/>
        </w:rPr>
        <w:t xml:space="preserve">opening the Center for a full weekend day would only increase case volume by 14 </w:t>
      </w:r>
      <w:r w:rsidR="008332FC">
        <w:rPr>
          <w:rFonts w:asciiTheme="minorHAnsi" w:hAnsiTheme="minorHAnsi"/>
        </w:rPr>
        <w:t xml:space="preserve">cases </w:t>
      </w:r>
      <w:r w:rsidR="009D465C" w:rsidRPr="009D465C">
        <w:rPr>
          <w:rFonts w:asciiTheme="minorHAnsi" w:hAnsiTheme="minorHAnsi"/>
        </w:rPr>
        <w:t xml:space="preserve">per week or 728 cases per year. </w:t>
      </w:r>
      <w:r w:rsidR="000D244C">
        <w:rPr>
          <w:rFonts w:asciiTheme="minorHAnsi" w:hAnsiTheme="minorHAnsi"/>
        </w:rPr>
        <w:t xml:space="preserve">This is compared to the additional 3,500 cases a year that would come from the additional operating room, or only </w:t>
      </w:r>
      <w:r w:rsidR="00161B5D">
        <w:rPr>
          <w:rFonts w:asciiTheme="minorHAnsi" w:hAnsiTheme="minorHAnsi"/>
        </w:rPr>
        <w:t>20% of cases that could be achieved with the proposed procedure room</w:t>
      </w:r>
      <w:r w:rsidR="008D1B8B">
        <w:rPr>
          <w:rFonts w:asciiTheme="minorHAnsi" w:hAnsiTheme="minorHAnsi"/>
        </w:rPr>
        <w:t xml:space="preserve"> (assuming a case room capacity of 3,500)</w:t>
      </w:r>
      <w:r w:rsidR="00161B5D">
        <w:rPr>
          <w:rFonts w:asciiTheme="minorHAnsi" w:hAnsiTheme="minorHAnsi"/>
        </w:rPr>
        <w:t xml:space="preserve">. </w:t>
      </w:r>
      <w:r w:rsidR="009D465C" w:rsidRPr="009D465C">
        <w:rPr>
          <w:rFonts w:asciiTheme="minorHAnsi" w:hAnsiTheme="minorHAnsi"/>
        </w:rPr>
        <w:t xml:space="preserve"> </w:t>
      </w:r>
      <w:r>
        <w:rPr>
          <w:rFonts w:asciiTheme="minorHAnsi" w:hAnsiTheme="minorHAnsi"/>
        </w:rPr>
        <w:t xml:space="preserve"> </w:t>
      </w:r>
    </w:p>
    <w:p w14:paraId="5010AC4E" w14:textId="0E5131FF" w:rsidR="00AE7940" w:rsidRDefault="00AE7940" w:rsidP="00AE7940">
      <w:pPr>
        <w:pStyle w:val="BodyText"/>
        <w:numPr>
          <w:ilvl w:val="0"/>
          <w:numId w:val="29"/>
        </w:numPr>
        <w:rPr>
          <w:rFonts w:asciiTheme="minorHAnsi" w:hAnsiTheme="minorHAnsi"/>
        </w:rPr>
      </w:pPr>
      <w:r w:rsidRPr="00C16752">
        <w:rPr>
          <w:rFonts w:asciiTheme="minorHAnsi" w:hAnsiTheme="minorHAnsi"/>
          <w:u w:val="single"/>
        </w:rPr>
        <w:lastRenderedPageBreak/>
        <w:t>Capital Expense</w:t>
      </w:r>
      <w:r>
        <w:rPr>
          <w:rFonts w:asciiTheme="minorHAnsi" w:hAnsiTheme="minorHAnsi"/>
        </w:rPr>
        <w:t xml:space="preserve">: This alternative would not require a capital expense. </w:t>
      </w:r>
    </w:p>
    <w:p w14:paraId="491346E3" w14:textId="0D609A35" w:rsidR="00AE7940" w:rsidRPr="003567E6" w:rsidRDefault="00AE7940" w:rsidP="00AE7940">
      <w:pPr>
        <w:pStyle w:val="BodyText"/>
        <w:numPr>
          <w:ilvl w:val="0"/>
          <w:numId w:val="29"/>
        </w:numPr>
        <w:rPr>
          <w:rFonts w:asciiTheme="minorHAnsi" w:hAnsiTheme="minorHAnsi"/>
        </w:rPr>
      </w:pPr>
      <w:r w:rsidRPr="00C16752">
        <w:rPr>
          <w:rFonts w:asciiTheme="minorHAnsi" w:hAnsiTheme="minorHAnsi"/>
          <w:u w:val="single"/>
        </w:rPr>
        <w:t>Operating costs</w:t>
      </w:r>
      <w:r>
        <w:rPr>
          <w:rFonts w:asciiTheme="minorHAnsi" w:hAnsiTheme="minorHAnsi"/>
        </w:rPr>
        <w:t xml:space="preserve">: This alternative would likely result in higher operating costs, such as overtime pay, due to the additional personnel needed to cover the extended hours of operation. Additionally, physician staffing for the extended hours of operation poses particular issues with respect to call coverage and other hospital commitments. </w:t>
      </w:r>
    </w:p>
    <w:p w14:paraId="6DF349B2" w14:textId="0A0BFBDF" w:rsidR="00CC6E88" w:rsidRDefault="00CC6E88" w:rsidP="00C316C3">
      <w:pPr>
        <w:pStyle w:val="BodyText"/>
        <w:rPr>
          <w:rFonts w:asciiTheme="minorHAnsi" w:hAnsiTheme="minorHAnsi"/>
        </w:rPr>
      </w:pPr>
    </w:p>
    <w:p w14:paraId="4BA50462" w14:textId="094998E4" w:rsidR="00DF2F11" w:rsidRDefault="004E7444" w:rsidP="00C316C3">
      <w:pPr>
        <w:pStyle w:val="BodyText"/>
        <w:rPr>
          <w:rFonts w:asciiTheme="minorHAnsi" w:hAnsiTheme="minorHAnsi"/>
        </w:rPr>
      </w:pPr>
      <w:r>
        <w:rPr>
          <w:rFonts w:asciiTheme="minorHAnsi" w:hAnsiTheme="minorHAnsi"/>
        </w:rPr>
        <w:t xml:space="preserve">The Applicant compared </w:t>
      </w:r>
      <w:r w:rsidR="003D600D">
        <w:rPr>
          <w:rFonts w:asciiTheme="minorHAnsi" w:hAnsiTheme="minorHAnsi"/>
        </w:rPr>
        <w:t xml:space="preserve">the </w:t>
      </w:r>
      <w:r w:rsidR="003D0EA6">
        <w:rPr>
          <w:rFonts w:asciiTheme="minorHAnsi" w:hAnsiTheme="minorHAnsi"/>
        </w:rPr>
        <w:t xml:space="preserve">projected </w:t>
      </w:r>
      <w:r w:rsidR="008F21B2">
        <w:rPr>
          <w:rFonts w:asciiTheme="minorHAnsi" w:hAnsiTheme="minorHAnsi"/>
        </w:rPr>
        <w:t xml:space="preserve">operating capacity of the Center </w:t>
      </w:r>
      <w:r w:rsidR="003D600D">
        <w:rPr>
          <w:rFonts w:asciiTheme="minorHAnsi" w:hAnsiTheme="minorHAnsi"/>
        </w:rPr>
        <w:t>that would result from</w:t>
      </w:r>
      <w:r w:rsidR="008F21B2">
        <w:rPr>
          <w:rFonts w:asciiTheme="minorHAnsi" w:hAnsiTheme="minorHAnsi"/>
        </w:rPr>
        <w:t xml:space="preserve"> </w:t>
      </w:r>
      <w:r w:rsidR="002B046D">
        <w:rPr>
          <w:rFonts w:asciiTheme="minorHAnsi" w:hAnsiTheme="minorHAnsi"/>
        </w:rPr>
        <w:t>A</w:t>
      </w:r>
      <w:r w:rsidR="008F21B2">
        <w:rPr>
          <w:rFonts w:asciiTheme="minorHAnsi" w:hAnsiTheme="minorHAnsi"/>
        </w:rPr>
        <w:t xml:space="preserve">lternative </w:t>
      </w:r>
      <w:r w:rsidR="00DC2099">
        <w:rPr>
          <w:rFonts w:asciiTheme="minorHAnsi" w:hAnsiTheme="minorHAnsi"/>
        </w:rPr>
        <w:t>2</w:t>
      </w:r>
      <w:r w:rsidR="008F21B2">
        <w:rPr>
          <w:rFonts w:asciiTheme="minorHAnsi" w:hAnsiTheme="minorHAnsi"/>
        </w:rPr>
        <w:t xml:space="preserve"> </w:t>
      </w:r>
      <w:r w:rsidR="003D600D">
        <w:rPr>
          <w:rFonts w:asciiTheme="minorHAnsi" w:hAnsiTheme="minorHAnsi"/>
        </w:rPr>
        <w:t>to</w:t>
      </w:r>
      <w:r w:rsidR="008F21B2">
        <w:rPr>
          <w:rFonts w:asciiTheme="minorHAnsi" w:hAnsiTheme="minorHAnsi"/>
        </w:rPr>
        <w:t xml:space="preserve"> </w:t>
      </w:r>
      <w:r w:rsidR="00EB734B">
        <w:rPr>
          <w:rFonts w:asciiTheme="minorHAnsi" w:hAnsiTheme="minorHAnsi"/>
        </w:rPr>
        <w:t xml:space="preserve">the projected operating capacity </w:t>
      </w:r>
      <w:r w:rsidR="003D600D">
        <w:rPr>
          <w:rFonts w:asciiTheme="minorHAnsi" w:hAnsiTheme="minorHAnsi"/>
        </w:rPr>
        <w:t>that would result from</w:t>
      </w:r>
      <w:r w:rsidR="00EB734B">
        <w:rPr>
          <w:rFonts w:asciiTheme="minorHAnsi" w:hAnsiTheme="minorHAnsi"/>
        </w:rPr>
        <w:t xml:space="preserve"> the</w:t>
      </w:r>
      <w:r w:rsidR="008F21B2">
        <w:rPr>
          <w:rFonts w:asciiTheme="minorHAnsi" w:hAnsiTheme="minorHAnsi"/>
        </w:rPr>
        <w:t xml:space="preserve"> Proposed Project, to show that </w:t>
      </w:r>
      <w:r w:rsidR="00DF2F11">
        <w:rPr>
          <w:rFonts w:asciiTheme="minorHAnsi" w:hAnsiTheme="minorHAnsi"/>
        </w:rPr>
        <w:t xml:space="preserve">in </w:t>
      </w:r>
      <w:r w:rsidR="002B046D">
        <w:rPr>
          <w:rFonts w:asciiTheme="minorHAnsi" w:hAnsiTheme="minorHAnsi"/>
        </w:rPr>
        <w:t>A</w:t>
      </w:r>
      <w:r w:rsidR="00DF2F11">
        <w:rPr>
          <w:rFonts w:asciiTheme="minorHAnsi" w:hAnsiTheme="minorHAnsi"/>
        </w:rPr>
        <w:t xml:space="preserve">lternative 2, the Center would be operating above </w:t>
      </w:r>
      <w:r w:rsidR="00393D3D">
        <w:rPr>
          <w:rFonts w:asciiTheme="minorHAnsi" w:hAnsiTheme="minorHAnsi"/>
        </w:rPr>
        <w:t xml:space="preserve">optimal operating </w:t>
      </w:r>
      <w:r w:rsidR="00DF2F11">
        <w:rPr>
          <w:rFonts w:asciiTheme="minorHAnsi" w:hAnsiTheme="minorHAnsi"/>
        </w:rPr>
        <w:t>capacity, which w</w:t>
      </w:r>
      <w:r w:rsidR="00087B6B">
        <w:rPr>
          <w:rFonts w:asciiTheme="minorHAnsi" w:hAnsiTheme="minorHAnsi"/>
        </w:rPr>
        <w:t>ould</w:t>
      </w:r>
      <w:r w:rsidR="00DF2F11">
        <w:rPr>
          <w:rFonts w:asciiTheme="minorHAnsi" w:hAnsiTheme="minorHAnsi"/>
        </w:rPr>
        <w:t xml:space="preserve"> negatively impact wait times and access to care. </w:t>
      </w:r>
      <w:r w:rsidR="00617DFC">
        <w:rPr>
          <w:rFonts w:asciiTheme="minorHAnsi" w:hAnsiTheme="minorHAnsi"/>
        </w:rPr>
        <w:t>This is shown in Table 2</w:t>
      </w:r>
      <w:r w:rsidR="00A9310C">
        <w:rPr>
          <w:rFonts w:asciiTheme="minorHAnsi" w:hAnsiTheme="minorHAnsi"/>
        </w:rPr>
        <w:t>1</w:t>
      </w:r>
      <w:r w:rsidR="00617DFC">
        <w:rPr>
          <w:rFonts w:asciiTheme="minorHAnsi" w:hAnsiTheme="minorHAnsi"/>
        </w:rPr>
        <w:t>.</w:t>
      </w:r>
      <w:r w:rsidR="00393D3D">
        <w:rPr>
          <w:rFonts w:asciiTheme="minorHAnsi" w:hAnsiTheme="minorHAnsi"/>
        </w:rPr>
        <w:t xml:space="preserve"> As noted above in Factor 1a, the Applicant anticipate</w:t>
      </w:r>
      <w:r w:rsidR="00D562A7">
        <w:rPr>
          <w:rFonts w:asciiTheme="minorHAnsi" w:hAnsiTheme="minorHAnsi"/>
        </w:rPr>
        <w:t xml:space="preserve">s being able to maintain utilization </w:t>
      </w:r>
      <w:r w:rsidR="003D0EA6">
        <w:rPr>
          <w:rFonts w:asciiTheme="minorHAnsi" w:hAnsiTheme="minorHAnsi"/>
        </w:rPr>
        <w:t>below</w:t>
      </w:r>
      <w:r w:rsidR="00D562A7">
        <w:rPr>
          <w:rFonts w:asciiTheme="minorHAnsi" w:hAnsiTheme="minorHAnsi"/>
        </w:rPr>
        <w:t xml:space="preserve"> 90% with the addition of a third procedure room.</w:t>
      </w:r>
    </w:p>
    <w:p w14:paraId="683BA16F" w14:textId="77777777" w:rsidR="00393D3D" w:rsidRDefault="00393D3D" w:rsidP="00C316C3">
      <w:pPr>
        <w:pStyle w:val="BodyText"/>
        <w:rPr>
          <w:rFonts w:asciiTheme="minorHAnsi" w:hAnsiTheme="minorHAnsi"/>
        </w:rPr>
      </w:pPr>
    </w:p>
    <w:p w14:paraId="3206BC07" w14:textId="677B115B" w:rsidR="00DF2F11" w:rsidRPr="00BC2AC4" w:rsidRDefault="00393D3D" w:rsidP="00C316C3">
      <w:pPr>
        <w:pStyle w:val="BodyText"/>
        <w:rPr>
          <w:rFonts w:asciiTheme="minorHAnsi" w:hAnsiTheme="minorHAnsi"/>
          <w:b/>
          <w:bCs/>
        </w:rPr>
      </w:pPr>
      <w:r w:rsidRPr="00BC2AC4">
        <w:rPr>
          <w:rFonts w:asciiTheme="minorHAnsi" w:hAnsiTheme="minorHAnsi"/>
          <w:b/>
          <w:bCs/>
          <w:u w:val="single"/>
        </w:rPr>
        <w:t>Table 2</w:t>
      </w:r>
      <w:r w:rsidR="00A9310C">
        <w:rPr>
          <w:rFonts w:asciiTheme="minorHAnsi" w:hAnsiTheme="minorHAnsi"/>
          <w:b/>
          <w:bCs/>
          <w:u w:val="single"/>
        </w:rPr>
        <w:t>1</w:t>
      </w:r>
      <w:r w:rsidRPr="00BC2AC4">
        <w:rPr>
          <w:rFonts w:asciiTheme="minorHAnsi" w:hAnsiTheme="minorHAnsi"/>
          <w:b/>
          <w:bCs/>
        </w:rPr>
        <w:t xml:space="preserve">: Alternative 2 Projected Cases and Operating Capacity </w:t>
      </w:r>
    </w:p>
    <w:tbl>
      <w:tblPr>
        <w:tblStyle w:val="TableGrid"/>
        <w:tblW w:w="0" w:type="auto"/>
        <w:tblLook w:val="04A0" w:firstRow="1" w:lastRow="0" w:firstColumn="1" w:lastColumn="0" w:noHBand="0" w:noVBand="1"/>
      </w:tblPr>
      <w:tblGrid>
        <w:gridCol w:w="703"/>
        <w:gridCol w:w="1786"/>
        <w:gridCol w:w="2120"/>
        <w:gridCol w:w="1786"/>
        <w:gridCol w:w="2120"/>
      </w:tblGrid>
      <w:tr w:rsidR="003B1C3E" w14:paraId="7E0C6157" w14:textId="470E899A">
        <w:tc>
          <w:tcPr>
            <w:tcW w:w="0" w:type="auto"/>
          </w:tcPr>
          <w:p w14:paraId="0B100F66" w14:textId="77777777" w:rsidR="003B1C3E" w:rsidRDefault="003B1C3E" w:rsidP="00C316C3">
            <w:pPr>
              <w:pStyle w:val="BodyText"/>
              <w:rPr>
                <w:rFonts w:asciiTheme="minorHAnsi" w:hAnsiTheme="minorHAnsi"/>
              </w:rPr>
            </w:pPr>
          </w:p>
        </w:tc>
        <w:tc>
          <w:tcPr>
            <w:tcW w:w="0" w:type="auto"/>
            <w:gridSpan w:val="2"/>
            <w:shd w:val="clear" w:color="auto" w:fill="DBE5F1" w:themeFill="accent1" w:themeFillTint="33"/>
          </w:tcPr>
          <w:p w14:paraId="5576FC31" w14:textId="33BAA892" w:rsidR="003B1C3E" w:rsidRPr="00BC2AC4" w:rsidRDefault="003B1C3E" w:rsidP="00BC2AC4">
            <w:pPr>
              <w:pStyle w:val="BodyText"/>
              <w:jc w:val="center"/>
              <w:rPr>
                <w:rFonts w:asciiTheme="minorHAnsi" w:hAnsiTheme="minorHAnsi"/>
                <w:b/>
                <w:bCs/>
              </w:rPr>
            </w:pPr>
            <w:r w:rsidRPr="00BC2AC4">
              <w:rPr>
                <w:rFonts w:asciiTheme="minorHAnsi" w:hAnsiTheme="minorHAnsi"/>
                <w:b/>
                <w:bCs/>
              </w:rPr>
              <w:t>Alternative 2</w:t>
            </w:r>
          </w:p>
        </w:tc>
        <w:tc>
          <w:tcPr>
            <w:tcW w:w="0" w:type="auto"/>
            <w:gridSpan w:val="2"/>
            <w:shd w:val="clear" w:color="auto" w:fill="DBE5F1" w:themeFill="accent1" w:themeFillTint="33"/>
          </w:tcPr>
          <w:p w14:paraId="13C1B5DC" w14:textId="3C88B43C" w:rsidR="003B1C3E" w:rsidRPr="00140D74" w:rsidRDefault="003B1C3E" w:rsidP="00393D3D">
            <w:pPr>
              <w:pStyle w:val="BodyText"/>
              <w:jc w:val="center"/>
              <w:rPr>
                <w:rFonts w:asciiTheme="minorHAnsi" w:hAnsiTheme="minorHAnsi"/>
                <w:b/>
                <w:bCs/>
              </w:rPr>
            </w:pPr>
            <w:r>
              <w:rPr>
                <w:rFonts w:asciiTheme="minorHAnsi" w:hAnsiTheme="minorHAnsi"/>
                <w:b/>
                <w:bCs/>
              </w:rPr>
              <w:t xml:space="preserve">Proposed Project </w:t>
            </w:r>
          </w:p>
        </w:tc>
      </w:tr>
      <w:tr w:rsidR="00140D74" w14:paraId="485B7B60" w14:textId="5B8699D7">
        <w:tc>
          <w:tcPr>
            <w:tcW w:w="0" w:type="auto"/>
          </w:tcPr>
          <w:p w14:paraId="2236C09F" w14:textId="77777777" w:rsidR="00140D74" w:rsidRDefault="00140D74" w:rsidP="00C316C3">
            <w:pPr>
              <w:pStyle w:val="BodyText"/>
              <w:rPr>
                <w:rFonts w:asciiTheme="minorHAnsi" w:hAnsiTheme="minorHAnsi"/>
              </w:rPr>
            </w:pPr>
          </w:p>
        </w:tc>
        <w:tc>
          <w:tcPr>
            <w:tcW w:w="0" w:type="auto"/>
          </w:tcPr>
          <w:p w14:paraId="298849A3" w14:textId="44A02446" w:rsidR="00140D74" w:rsidRPr="00BC2AC4" w:rsidRDefault="00140D74" w:rsidP="00BC2AC4">
            <w:pPr>
              <w:pStyle w:val="BodyText"/>
              <w:jc w:val="center"/>
              <w:rPr>
                <w:rFonts w:asciiTheme="minorHAnsi" w:hAnsiTheme="minorHAnsi"/>
                <w:b/>
                <w:bCs/>
              </w:rPr>
            </w:pPr>
            <w:r w:rsidRPr="00BC2AC4">
              <w:rPr>
                <w:rFonts w:asciiTheme="minorHAnsi" w:hAnsiTheme="minorHAnsi"/>
                <w:b/>
                <w:bCs/>
              </w:rPr>
              <w:t>Projected Cases</w:t>
            </w:r>
          </w:p>
        </w:tc>
        <w:tc>
          <w:tcPr>
            <w:tcW w:w="0" w:type="auto"/>
          </w:tcPr>
          <w:p w14:paraId="7541878F" w14:textId="77777777" w:rsidR="003B1C3E" w:rsidRDefault="003B1C3E" w:rsidP="00393D3D">
            <w:pPr>
              <w:pStyle w:val="BodyText"/>
              <w:jc w:val="center"/>
              <w:rPr>
                <w:rFonts w:asciiTheme="minorHAnsi" w:hAnsiTheme="minorHAnsi"/>
                <w:b/>
                <w:bCs/>
              </w:rPr>
            </w:pPr>
            <w:r>
              <w:rPr>
                <w:rFonts w:asciiTheme="minorHAnsi" w:hAnsiTheme="minorHAnsi"/>
                <w:b/>
                <w:bCs/>
              </w:rPr>
              <w:t xml:space="preserve">Projected </w:t>
            </w:r>
          </w:p>
          <w:p w14:paraId="6C7DBCB1" w14:textId="51925130" w:rsidR="00140D74" w:rsidRPr="00BC2AC4" w:rsidRDefault="00140D74" w:rsidP="00BC2AC4">
            <w:pPr>
              <w:pStyle w:val="BodyText"/>
              <w:jc w:val="center"/>
              <w:rPr>
                <w:rFonts w:asciiTheme="minorHAnsi" w:hAnsiTheme="minorHAnsi"/>
                <w:b/>
                <w:bCs/>
              </w:rPr>
            </w:pPr>
            <w:r w:rsidRPr="00BC2AC4">
              <w:rPr>
                <w:rFonts w:asciiTheme="minorHAnsi" w:hAnsiTheme="minorHAnsi"/>
                <w:b/>
                <w:bCs/>
              </w:rPr>
              <w:t>Operati</w:t>
            </w:r>
            <w:r>
              <w:rPr>
                <w:rFonts w:asciiTheme="minorHAnsi" w:hAnsiTheme="minorHAnsi"/>
                <w:b/>
                <w:bCs/>
              </w:rPr>
              <w:t>ng</w:t>
            </w:r>
            <w:r w:rsidRPr="00BC2AC4">
              <w:rPr>
                <w:rFonts w:asciiTheme="minorHAnsi" w:hAnsiTheme="minorHAnsi"/>
                <w:b/>
                <w:bCs/>
              </w:rPr>
              <w:t xml:space="preserve"> Capacity</w:t>
            </w:r>
          </w:p>
        </w:tc>
        <w:tc>
          <w:tcPr>
            <w:tcW w:w="0" w:type="auto"/>
          </w:tcPr>
          <w:p w14:paraId="7407063B" w14:textId="6E383934" w:rsidR="00140D74" w:rsidRPr="00140D74" w:rsidRDefault="00140D74" w:rsidP="00393D3D">
            <w:pPr>
              <w:pStyle w:val="BodyText"/>
              <w:jc w:val="center"/>
              <w:rPr>
                <w:rFonts w:asciiTheme="minorHAnsi" w:hAnsiTheme="minorHAnsi"/>
                <w:b/>
                <w:bCs/>
              </w:rPr>
            </w:pPr>
            <w:r w:rsidRPr="00140D74">
              <w:rPr>
                <w:rFonts w:asciiTheme="minorHAnsi" w:hAnsiTheme="minorHAnsi"/>
                <w:b/>
                <w:bCs/>
              </w:rPr>
              <w:t>Projected Cases</w:t>
            </w:r>
          </w:p>
        </w:tc>
        <w:tc>
          <w:tcPr>
            <w:tcW w:w="0" w:type="auto"/>
          </w:tcPr>
          <w:p w14:paraId="125D069B" w14:textId="77777777" w:rsidR="003B1C3E" w:rsidRDefault="003B1C3E" w:rsidP="00393D3D">
            <w:pPr>
              <w:pStyle w:val="BodyText"/>
              <w:jc w:val="center"/>
              <w:rPr>
                <w:rFonts w:asciiTheme="minorHAnsi" w:hAnsiTheme="minorHAnsi"/>
                <w:b/>
                <w:bCs/>
              </w:rPr>
            </w:pPr>
            <w:r>
              <w:rPr>
                <w:rFonts w:asciiTheme="minorHAnsi" w:hAnsiTheme="minorHAnsi"/>
                <w:b/>
                <w:bCs/>
              </w:rPr>
              <w:t xml:space="preserve">Projected </w:t>
            </w:r>
          </w:p>
          <w:p w14:paraId="55C8A1EC" w14:textId="7F12E15F" w:rsidR="00140D74" w:rsidRPr="00140D74" w:rsidRDefault="003B1C3E" w:rsidP="00393D3D">
            <w:pPr>
              <w:pStyle w:val="BodyText"/>
              <w:jc w:val="center"/>
              <w:rPr>
                <w:rFonts w:asciiTheme="minorHAnsi" w:hAnsiTheme="minorHAnsi"/>
                <w:b/>
                <w:bCs/>
              </w:rPr>
            </w:pPr>
            <w:r>
              <w:rPr>
                <w:rFonts w:asciiTheme="minorHAnsi" w:hAnsiTheme="minorHAnsi"/>
                <w:b/>
                <w:bCs/>
              </w:rPr>
              <w:t>Operating Capacity</w:t>
            </w:r>
          </w:p>
        </w:tc>
      </w:tr>
      <w:tr w:rsidR="003B1C3E" w14:paraId="481E0C5B" w14:textId="5A0290BD">
        <w:tc>
          <w:tcPr>
            <w:tcW w:w="0" w:type="auto"/>
          </w:tcPr>
          <w:p w14:paraId="7898E26B" w14:textId="431D1387" w:rsidR="003B1C3E" w:rsidRDefault="003B1C3E" w:rsidP="003B1C3E">
            <w:pPr>
              <w:pStyle w:val="BodyText"/>
              <w:rPr>
                <w:rFonts w:asciiTheme="minorHAnsi" w:hAnsiTheme="minorHAnsi"/>
              </w:rPr>
            </w:pPr>
            <w:r>
              <w:rPr>
                <w:rFonts w:asciiTheme="minorHAnsi" w:hAnsiTheme="minorHAnsi"/>
              </w:rPr>
              <w:t>2026</w:t>
            </w:r>
          </w:p>
        </w:tc>
        <w:tc>
          <w:tcPr>
            <w:tcW w:w="0" w:type="auto"/>
          </w:tcPr>
          <w:p w14:paraId="1C332D31" w14:textId="359C993C" w:rsidR="003B1C3E" w:rsidRDefault="003B1C3E" w:rsidP="00BC2AC4">
            <w:pPr>
              <w:pStyle w:val="BodyText"/>
              <w:jc w:val="center"/>
              <w:rPr>
                <w:rFonts w:asciiTheme="minorHAnsi" w:hAnsiTheme="minorHAnsi"/>
              </w:rPr>
            </w:pPr>
            <w:r>
              <w:rPr>
                <w:rFonts w:asciiTheme="minorHAnsi" w:hAnsiTheme="minorHAnsi"/>
              </w:rPr>
              <w:t>5,564</w:t>
            </w:r>
          </w:p>
        </w:tc>
        <w:tc>
          <w:tcPr>
            <w:tcW w:w="0" w:type="auto"/>
          </w:tcPr>
          <w:p w14:paraId="72597043" w14:textId="54D50979" w:rsidR="003B1C3E" w:rsidRDefault="003B1C3E" w:rsidP="00BC2AC4">
            <w:pPr>
              <w:pStyle w:val="BodyText"/>
              <w:jc w:val="center"/>
              <w:rPr>
                <w:rFonts w:asciiTheme="minorHAnsi" w:hAnsiTheme="minorHAnsi"/>
              </w:rPr>
            </w:pPr>
            <w:r>
              <w:rPr>
                <w:rFonts w:asciiTheme="minorHAnsi" w:hAnsiTheme="minorHAnsi"/>
              </w:rPr>
              <w:t>72%</w:t>
            </w:r>
          </w:p>
        </w:tc>
        <w:tc>
          <w:tcPr>
            <w:tcW w:w="0" w:type="auto"/>
          </w:tcPr>
          <w:p w14:paraId="2610EC68" w14:textId="6257146E" w:rsidR="003B1C3E" w:rsidRDefault="003B1C3E" w:rsidP="003B1C3E">
            <w:pPr>
              <w:pStyle w:val="BodyText"/>
              <w:jc w:val="center"/>
              <w:rPr>
                <w:rFonts w:asciiTheme="minorHAnsi" w:hAnsiTheme="minorHAnsi"/>
              </w:rPr>
            </w:pPr>
            <w:r w:rsidRPr="00F54AFF">
              <w:t>5,564</w:t>
            </w:r>
          </w:p>
        </w:tc>
        <w:tc>
          <w:tcPr>
            <w:tcW w:w="0" w:type="auto"/>
          </w:tcPr>
          <w:p w14:paraId="2F779A8C" w14:textId="752D594D" w:rsidR="003B1C3E" w:rsidRDefault="00D64920" w:rsidP="003B1C3E">
            <w:pPr>
              <w:pStyle w:val="BodyText"/>
              <w:jc w:val="center"/>
              <w:rPr>
                <w:rFonts w:asciiTheme="minorHAnsi" w:hAnsiTheme="minorHAnsi"/>
              </w:rPr>
            </w:pPr>
            <w:r>
              <w:rPr>
                <w:rFonts w:asciiTheme="minorHAnsi" w:hAnsiTheme="minorHAnsi"/>
              </w:rPr>
              <w:t>53%</w:t>
            </w:r>
          </w:p>
        </w:tc>
      </w:tr>
      <w:tr w:rsidR="003B1C3E" w14:paraId="76A9F894" w14:textId="64D04B68">
        <w:tc>
          <w:tcPr>
            <w:tcW w:w="0" w:type="auto"/>
          </w:tcPr>
          <w:p w14:paraId="43CCCA36" w14:textId="3AFF3344" w:rsidR="003B1C3E" w:rsidRDefault="003B1C3E" w:rsidP="003B1C3E">
            <w:pPr>
              <w:pStyle w:val="BodyText"/>
              <w:rPr>
                <w:rFonts w:asciiTheme="minorHAnsi" w:hAnsiTheme="minorHAnsi"/>
              </w:rPr>
            </w:pPr>
            <w:r>
              <w:rPr>
                <w:rFonts w:asciiTheme="minorHAnsi" w:hAnsiTheme="minorHAnsi"/>
              </w:rPr>
              <w:t>2027</w:t>
            </w:r>
          </w:p>
        </w:tc>
        <w:tc>
          <w:tcPr>
            <w:tcW w:w="0" w:type="auto"/>
          </w:tcPr>
          <w:p w14:paraId="22765A94" w14:textId="0919A7AC" w:rsidR="003B1C3E" w:rsidRDefault="003B1C3E" w:rsidP="00BC2AC4">
            <w:pPr>
              <w:pStyle w:val="BodyText"/>
              <w:jc w:val="center"/>
              <w:rPr>
                <w:rFonts w:asciiTheme="minorHAnsi" w:hAnsiTheme="minorHAnsi"/>
              </w:rPr>
            </w:pPr>
            <w:r>
              <w:rPr>
                <w:rFonts w:asciiTheme="minorHAnsi" w:hAnsiTheme="minorHAnsi"/>
              </w:rPr>
              <w:t>6,564</w:t>
            </w:r>
          </w:p>
        </w:tc>
        <w:tc>
          <w:tcPr>
            <w:tcW w:w="0" w:type="auto"/>
          </w:tcPr>
          <w:p w14:paraId="317D94E4" w14:textId="2E2E6EE3" w:rsidR="003B1C3E" w:rsidRDefault="003B1C3E" w:rsidP="00BC2AC4">
            <w:pPr>
              <w:pStyle w:val="BodyText"/>
              <w:jc w:val="center"/>
              <w:rPr>
                <w:rFonts w:asciiTheme="minorHAnsi" w:hAnsiTheme="minorHAnsi"/>
              </w:rPr>
            </w:pPr>
            <w:r>
              <w:rPr>
                <w:rFonts w:asciiTheme="minorHAnsi" w:hAnsiTheme="minorHAnsi"/>
              </w:rPr>
              <w:t>85%</w:t>
            </w:r>
          </w:p>
        </w:tc>
        <w:tc>
          <w:tcPr>
            <w:tcW w:w="0" w:type="auto"/>
          </w:tcPr>
          <w:p w14:paraId="321CDEEB" w14:textId="41B79FCB" w:rsidR="003B1C3E" w:rsidRDefault="003B1C3E" w:rsidP="003B1C3E">
            <w:pPr>
              <w:pStyle w:val="BodyText"/>
              <w:jc w:val="center"/>
              <w:rPr>
                <w:rFonts w:asciiTheme="minorHAnsi" w:hAnsiTheme="minorHAnsi"/>
              </w:rPr>
            </w:pPr>
            <w:r w:rsidRPr="00F54AFF">
              <w:t>6,564</w:t>
            </w:r>
          </w:p>
        </w:tc>
        <w:tc>
          <w:tcPr>
            <w:tcW w:w="0" w:type="auto"/>
          </w:tcPr>
          <w:p w14:paraId="25E9CE3E" w14:textId="649E5A49" w:rsidR="003B1C3E" w:rsidRDefault="00D64920" w:rsidP="003B1C3E">
            <w:pPr>
              <w:pStyle w:val="BodyText"/>
              <w:jc w:val="center"/>
              <w:rPr>
                <w:rFonts w:asciiTheme="minorHAnsi" w:hAnsiTheme="minorHAnsi"/>
              </w:rPr>
            </w:pPr>
            <w:r>
              <w:rPr>
                <w:rFonts w:asciiTheme="minorHAnsi" w:hAnsiTheme="minorHAnsi"/>
              </w:rPr>
              <w:t>63%</w:t>
            </w:r>
          </w:p>
        </w:tc>
      </w:tr>
      <w:tr w:rsidR="003B1C3E" w14:paraId="0FBC8692" w14:textId="75031245">
        <w:tc>
          <w:tcPr>
            <w:tcW w:w="0" w:type="auto"/>
          </w:tcPr>
          <w:p w14:paraId="71B24D29" w14:textId="3310C7CC" w:rsidR="003B1C3E" w:rsidRDefault="003B1C3E" w:rsidP="003B1C3E">
            <w:pPr>
              <w:pStyle w:val="BodyText"/>
              <w:rPr>
                <w:rFonts w:asciiTheme="minorHAnsi" w:hAnsiTheme="minorHAnsi"/>
              </w:rPr>
            </w:pPr>
            <w:r>
              <w:rPr>
                <w:rFonts w:asciiTheme="minorHAnsi" w:hAnsiTheme="minorHAnsi"/>
              </w:rPr>
              <w:t>2028</w:t>
            </w:r>
          </w:p>
        </w:tc>
        <w:tc>
          <w:tcPr>
            <w:tcW w:w="0" w:type="auto"/>
          </w:tcPr>
          <w:p w14:paraId="6047006C" w14:textId="6E7C96C4" w:rsidR="003B1C3E" w:rsidRDefault="003B1C3E" w:rsidP="00BC2AC4">
            <w:pPr>
              <w:pStyle w:val="BodyText"/>
              <w:jc w:val="center"/>
              <w:rPr>
                <w:rFonts w:asciiTheme="minorHAnsi" w:hAnsiTheme="minorHAnsi"/>
              </w:rPr>
            </w:pPr>
            <w:r>
              <w:rPr>
                <w:rFonts w:asciiTheme="minorHAnsi" w:hAnsiTheme="minorHAnsi"/>
              </w:rPr>
              <w:t>7,564</w:t>
            </w:r>
          </w:p>
        </w:tc>
        <w:tc>
          <w:tcPr>
            <w:tcW w:w="0" w:type="auto"/>
          </w:tcPr>
          <w:p w14:paraId="1EE82A0B" w14:textId="25F949AA" w:rsidR="003B1C3E" w:rsidRDefault="003B1C3E" w:rsidP="00BC2AC4">
            <w:pPr>
              <w:pStyle w:val="BodyText"/>
              <w:jc w:val="center"/>
              <w:rPr>
                <w:rFonts w:asciiTheme="minorHAnsi" w:hAnsiTheme="minorHAnsi"/>
              </w:rPr>
            </w:pPr>
            <w:r>
              <w:rPr>
                <w:rFonts w:asciiTheme="minorHAnsi" w:hAnsiTheme="minorHAnsi"/>
              </w:rPr>
              <w:t>98%</w:t>
            </w:r>
          </w:p>
        </w:tc>
        <w:tc>
          <w:tcPr>
            <w:tcW w:w="0" w:type="auto"/>
          </w:tcPr>
          <w:p w14:paraId="50FE2683" w14:textId="3C7A14CD" w:rsidR="003B1C3E" w:rsidRDefault="003B1C3E" w:rsidP="003B1C3E">
            <w:pPr>
              <w:pStyle w:val="BodyText"/>
              <w:jc w:val="center"/>
              <w:rPr>
                <w:rFonts w:asciiTheme="minorHAnsi" w:hAnsiTheme="minorHAnsi"/>
              </w:rPr>
            </w:pPr>
            <w:r w:rsidRPr="00F54AFF">
              <w:t>7,564</w:t>
            </w:r>
          </w:p>
        </w:tc>
        <w:tc>
          <w:tcPr>
            <w:tcW w:w="0" w:type="auto"/>
          </w:tcPr>
          <w:p w14:paraId="11E0DD3A" w14:textId="0E9B1D7C" w:rsidR="003B1C3E" w:rsidRDefault="00D64920" w:rsidP="003B1C3E">
            <w:pPr>
              <w:pStyle w:val="BodyText"/>
              <w:jc w:val="center"/>
              <w:rPr>
                <w:rFonts w:asciiTheme="minorHAnsi" w:hAnsiTheme="minorHAnsi"/>
              </w:rPr>
            </w:pPr>
            <w:r>
              <w:rPr>
                <w:rFonts w:asciiTheme="minorHAnsi" w:hAnsiTheme="minorHAnsi"/>
              </w:rPr>
              <w:t>72%</w:t>
            </w:r>
          </w:p>
        </w:tc>
      </w:tr>
      <w:tr w:rsidR="003B1C3E" w14:paraId="2D2CDF70" w14:textId="039C08E5">
        <w:tc>
          <w:tcPr>
            <w:tcW w:w="0" w:type="auto"/>
          </w:tcPr>
          <w:p w14:paraId="4E834E6E" w14:textId="523036B9" w:rsidR="003B1C3E" w:rsidRDefault="003B1C3E" w:rsidP="003B1C3E">
            <w:pPr>
              <w:pStyle w:val="BodyText"/>
              <w:rPr>
                <w:rFonts w:asciiTheme="minorHAnsi" w:hAnsiTheme="minorHAnsi"/>
              </w:rPr>
            </w:pPr>
            <w:r>
              <w:rPr>
                <w:rFonts w:asciiTheme="minorHAnsi" w:hAnsiTheme="minorHAnsi"/>
              </w:rPr>
              <w:t>2029</w:t>
            </w:r>
          </w:p>
        </w:tc>
        <w:tc>
          <w:tcPr>
            <w:tcW w:w="0" w:type="auto"/>
          </w:tcPr>
          <w:p w14:paraId="1E649F11" w14:textId="30003ECD" w:rsidR="003B1C3E" w:rsidRDefault="003B1C3E" w:rsidP="00BC2AC4">
            <w:pPr>
              <w:pStyle w:val="BodyText"/>
              <w:jc w:val="center"/>
              <w:rPr>
                <w:rFonts w:asciiTheme="minorHAnsi" w:hAnsiTheme="minorHAnsi"/>
              </w:rPr>
            </w:pPr>
            <w:r>
              <w:rPr>
                <w:rFonts w:asciiTheme="minorHAnsi" w:hAnsiTheme="minorHAnsi"/>
              </w:rPr>
              <w:t>8,564</w:t>
            </w:r>
          </w:p>
        </w:tc>
        <w:tc>
          <w:tcPr>
            <w:tcW w:w="0" w:type="auto"/>
          </w:tcPr>
          <w:p w14:paraId="1536FF22" w14:textId="0D429A11" w:rsidR="003B1C3E" w:rsidRDefault="003B1C3E" w:rsidP="00BC2AC4">
            <w:pPr>
              <w:pStyle w:val="BodyText"/>
              <w:jc w:val="center"/>
              <w:rPr>
                <w:rFonts w:asciiTheme="minorHAnsi" w:hAnsiTheme="minorHAnsi"/>
              </w:rPr>
            </w:pPr>
            <w:r>
              <w:rPr>
                <w:rFonts w:asciiTheme="minorHAnsi" w:hAnsiTheme="minorHAnsi"/>
              </w:rPr>
              <w:t>111%</w:t>
            </w:r>
          </w:p>
        </w:tc>
        <w:tc>
          <w:tcPr>
            <w:tcW w:w="0" w:type="auto"/>
          </w:tcPr>
          <w:p w14:paraId="5D111C5F" w14:textId="327CBF16" w:rsidR="003B1C3E" w:rsidRDefault="003B1C3E" w:rsidP="003B1C3E">
            <w:pPr>
              <w:pStyle w:val="BodyText"/>
              <w:jc w:val="center"/>
              <w:rPr>
                <w:rFonts w:asciiTheme="minorHAnsi" w:hAnsiTheme="minorHAnsi"/>
              </w:rPr>
            </w:pPr>
            <w:r w:rsidRPr="00F54AFF">
              <w:t>8,564</w:t>
            </w:r>
          </w:p>
        </w:tc>
        <w:tc>
          <w:tcPr>
            <w:tcW w:w="0" w:type="auto"/>
          </w:tcPr>
          <w:p w14:paraId="140DDD4F" w14:textId="4DB57ECD" w:rsidR="003B1C3E" w:rsidRDefault="00D64920" w:rsidP="003B1C3E">
            <w:pPr>
              <w:pStyle w:val="BodyText"/>
              <w:jc w:val="center"/>
              <w:rPr>
                <w:rFonts w:asciiTheme="minorHAnsi" w:hAnsiTheme="minorHAnsi"/>
              </w:rPr>
            </w:pPr>
            <w:r>
              <w:rPr>
                <w:rFonts w:asciiTheme="minorHAnsi" w:hAnsiTheme="minorHAnsi"/>
              </w:rPr>
              <w:t>82%</w:t>
            </w:r>
          </w:p>
        </w:tc>
      </w:tr>
      <w:tr w:rsidR="003B1C3E" w14:paraId="3BA3280B" w14:textId="0C2D3960">
        <w:tc>
          <w:tcPr>
            <w:tcW w:w="0" w:type="auto"/>
          </w:tcPr>
          <w:p w14:paraId="2D8498CA" w14:textId="4A8CA49A" w:rsidR="003B1C3E" w:rsidRDefault="003B1C3E" w:rsidP="003B1C3E">
            <w:pPr>
              <w:pStyle w:val="BodyText"/>
              <w:rPr>
                <w:rFonts w:asciiTheme="minorHAnsi" w:hAnsiTheme="minorHAnsi"/>
              </w:rPr>
            </w:pPr>
            <w:r>
              <w:rPr>
                <w:rFonts w:asciiTheme="minorHAnsi" w:hAnsiTheme="minorHAnsi"/>
              </w:rPr>
              <w:t>2030</w:t>
            </w:r>
          </w:p>
        </w:tc>
        <w:tc>
          <w:tcPr>
            <w:tcW w:w="0" w:type="auto"/>
          </w:tcPr>
          <w:p w14:paraId="52E653B3" w14:textId="2177824D" w:rsidR="003B1C3E" w:rsidRDefault="003B1C3E" w:rsidP="00BC2AC4">
            <w:pPr>
              <w:pStyle w:val="BodyText"/>
              <w:jc w:val="center"/>
              <w:rPr>
                <w:rFonts w:asciiTheme="minorHAnsi" w:hAnsiTheme="minorHAnsi"/>
              </w:rPr>
            </w:pPr>
            <w:r>
              <w:rPr>
                <w:rFonts w:asciiTheme="minorHAnsi" w:hAnsiTheme="minorHAnsi"/>
              </w:rPr>
              <w:t>9,314</w:t>
            </w:r>
          </w:p>
        </w:tc>
        <w:tc>
          <w:tcPr>
            <w:tcW w:w="0" w:type="auto"/>
          </w:tcPr>
          <w:p w14:paraId="6925DD74" w14:textId="5CD6FBC2" w:rsidR="003B1C3E" w:rsidRDefault="003B1C3E" w:rsidP="00BC2AC4">
            <w:pPr>
              <w:pStyle w:val="BodyText"/>
              <w:jc w:val="center"/>
              <w:rPr>
                <w:rFonts w:asciiTheme="minorHAnsi" w:hAnsiTheme="minorHAnsi"/>
              </w:rPr>
            </w:pPr>
            <w:r>
              <w:rPr>
                <w:rFonts w:asciiTheme="minorHAnsi" w:hAnsiTheme="minorHAnsi"/>
              </w:rPr>
              <w:t>121%</w:t>
            </w:r>
          </w:p>
        </w:tc>
        <w:tc>
          <w:tcPr>
            <w:tcW w:w="0" w:type="auto"/>
          </w:tcPr>
          <w:p w14:paraId="5D1A4C8E" w14:textId="76BB74D3" w:rsidR="003B1C3E" w:rsidRDefault="003B1C3E" w:rsidP="003B1C3E">
            <w:pPr>
              <w:pStyle w:val="BodyText"/>
              <w:jc w:val="center"/>
              <w:rPr>
                <w:rFonts w:asciiTheme="minorHAnsi" w:hAnsiTheme="minorHAnsi"/>
              </w:rPr>
            </w:pPr>
            <w:r w:rsidRPr="00F54AFF">
              <w:t>9,314</w:t>
            </w:r>
          </w:p>
        </w:tc>
        <w:tc>
          <w:tcPr>
            <w:tcW w:w="0" w:type="auto"/>
          </w:tcPr>
          <w:p w14:paraId="3DFEDCBC" w14:textId="6896FAE5" w:rsidR="003B1C3E" w:rsidRDefault="00D64920" w:rsidP="003B1C3E">
            <w:pPr>
              <w:pStyle w:val="BodyText"/>
              <w:jc w:val="center"/>
              <w:rPr>
                <w:rFonts w:asciiTheme="minorHAnsi" w:hAnsiTheme="minorHAnsi"/>
              </w:rPr>
            </w:pPr>
            <w:r>
              <w:rPr>
                <w:rFonts w:asciiTheme="minorHAnsi" w:hAnsiTheme="minorHAnsi"/>
              </w:rPr>
              <w:t>89%</w:t>
            </w:r>
          </w:p>
        </w:tc>
      </w:tr>
    </w:tbl>
    <w:p w14:paraId="21C287C5" w14:textId="3B1550F5" w:rsidR="0033478B" w:rsidRDefault="0033478B" w:rsidP="00C316C3">
      <w:pPr>
        <w:pStyle w:val="BodyText"/>
        <w:rPr>
          <w:rFonts w:asciiTheme="minorHAnsi" w:hAnsiTheme="minorHAnsi"/>
        </w:rPr>
      </w:pPr>
    </w:p>
    <w:p w14:paraId="4517F930" w14:textId="2606992B" w:rsidR="00A4110F" w:rsidRPr="003436F0" w:rsidRDefault="00A4110F" w:rsidP="00C316C3">
      <w:pPr>
        <w:pStyle w:val="BodyText"/>
        <w:rPr>
          <w:rFonts w:asciiTheme="minorHAnsi" w:hAnsiTheme="minorHAnsi"/>
          <w:b/>
          <w:bCs/>
          <w:i/>
          <w:iCs/>
        </w:rPr>
      </w:pPr>
      <w:r w:rsidRPr="003436F0">
        <w:rPr>
          <w:rFonts w:asciiTheme="minorHAnsi" w:hAnsiTheme="minorHAnsi"/>
          <w:b/>
          <w:bCs/>
          <w:i/>
          <w:iCs/>
        </w:rPr>
        <w:t xml:space="preserve">Analysis </w:t>
      </w:r>
    </w:p>
    <w:p w14:paraId="4610C39B" w14:textId="2B1BC208" w:rsidR="00A4110F" w:rsidRDefault="00374DEC" w:rsidP="00C316C3">
      <w:pPr>
        <w:pStyle w:val="BodyText"/>
        <w:rPr>
          <w:rFonts w:asciiTheme="minorHAnsi" w:hAnsiTheme="minorHAnsi"/>
        </w:rPr>
      </w:pPr>
      <w:r w:rsidRPr="00374DEC">
        <w:rPr>
          <w:rFonts w:asciiTheme="minorHAnsi" w:hAnsiTheme="minorHAnsi"/>
        </w:rPr>
        <w:t>Staff finds that the Applicant has appropriately considered the quality, efficiency, and capital</w:t>
      </w:r>
      <w:r w:rsidR="0047754F">
        <w:rPr>
          <w:rFonts w:asciiTheme="minorHAnsi" w:hAnsiTheme="minorHAnsi"/>
        </w:rPr>
        <w:t xml:space="preserve"> </w:t>
      </w:r>
      <w:r w:rsidRPr="00374DEC">
        <w:rPr>
          <w:rFonts w:asciiTheme="minorHAnsi" w:hAnsiTheme="minorHAnsi"/>
        </w:rPr>
        <w:t>and operating costs of the Proposed Project relative to potential alternatives. As a result of</w:t>
      </w:r>
      <w:r w:rsidR="0047754F">
        <w:rPr>
          <w:rFonts w:asciiTheme="minorHAnsi" w:hAnsiTheme="minorHAnsi"/>
        </w:rPr>
        <w:t xml:space="preserve"> </w:t>
      </w:r>
      <w:r w:rsidRPr="00374DEC">
        <w:rPr>
          <w:rFonts w:asciiTheme="minorHAnsi" w:hAnsiTheme="minorHAnsi"/>
        </w:rPr>
        <w:t>information provided by the Applicant and additional analysis, staff finds the Applicant has</w:t>
      </w:r>
      <w:r w:rsidR="0047754F">
        <w:rPr>
          <w:rFonts w:asciiTheme="minorHAnsi" w:hAnsiTheme="minorHAnsi"/>
        </w:rPr>
        <w:t xml:space="preserve"> </w:t>
      </w:r>
      <w:r w:rsidRPr="00374DEC">
        <w:rPr>
          <w:rFonts w:asciiTheme="minorHAnsi" w:hAnsiTheme="minorHAnsi"/>
        </w:rPr>
        <w:t>reasonably met the standards of Factor 5.</w:t>
      </w:r>
    </w:p>
    <w:p w14:paraId="6D49ACE4" w14:textId="77777777" w:rsidR="00C9338C" w:rsidRDefault="00C9338C" w:rsidP="00C316C3">
      <w:pPr>
        <w:pStyle w:val="BodyText"/>
        <w:rPr>
          <w:rFonts w:asciiTheme="minorHAnsi" w:hAnsiTheme="minorHAnsi"/>
        </w:rPr>
      </w:pPr>
    </w:p>
    <w:p w14:paraId="23E345B3" w14:textId="0C5929E5" w:rsidR="00B447F3" w:rsidRDefault="00A4110F" w:rsidP="00C316C3">
      <w:pPr>
        <w:pStyle w:val="Heading1"/>
        <w:ind w:left="0" w:right="424"/>
        <w:rPr>
          <w:rFonts w:asciiTheme="minorHAnsi" w:hAnsiTheme="minorHAnsi"/>
          <w:color w:val="42558C"/>
        </w:rPr>
      </w:pPr>
      <w:bookmarkStart w:id="28" w:name="Factor_6:_Fulfillment_of_DPH_Community-b"/>
      <w:bookmarkStart w:id="29" w:name="_Toc207953806"/>
      <w:bookmarkEnd w:id="28"/>
      <w:r w:rsidRPr="003436F0">
        <w:rPr>
          <w:rFonts w:asciiTheme="minorHAnsi" w:hAnsiTheme="minorHAnsi"/>
          <w:color w:val="42558C"/>
        </w:rPr>
        <w:t>Factor 6: Fulfillment of DPH Community-based Health Initiatives Guideline</w:t>
      </w:r>
      <w:bookmarkEnd w:id="29"/>
    </w:p>
    <w:p w14:paraId="3FDFF0CC" w14:textId="2207DC86" w:rsidR="00AD1D72" w:rsidRDefault="00AD1D72" w:rsidP="00C316C3"/>
    <w:p w14:paraId="01BC9466" w14:textId="2219743B" w:rsidR="00516963" w:rsidRDefault="00516963" w:rsidP="00516963">
      <w:r w:rsidRPr="00516963">
        <w:t xml:space="preserve">As a co-owner of the Applicant and a hospital with a Community Health Needs Assessment (CHNA) covering the Applicant’s service area, Emerson Hospital will carry out the local CHI project associated with this DoN application. Emerson </w:t>
      </w:r>
      <w:r w:rsidR="00D863FD" w:rsidRPr="00516963">
        <w:t>Hospital</w:t>
      </w:r>
      <w:r w:rsidRPr="00516963">
        <w:t xml:space="preserve"> will pool the local CHI funding with an existing CHI project from the original DoN project approved (</w:t>
      </w:r>
      <w:hyperlink r:id="rId21" w:tgtFrame="_blank" w:history="1">
        <w:r w:rsidRPr="00516963">
          <w:rPr>
            <w:rStyle w:val="Hyperlink"/>
          </w:rPr>
          <w:t># 20090210-AS</w:t>
        </w:r>
      </w:hyperlink>
      <w:r w:rsidRPr="00516963">
        <w:t>). The Applicant will also contribute to the Statewide Community Health and Healthy Aging Fund.  </w:t>
      </w:r>
    </w:p>
    <w:p w14:paraId="74F2D3A9" w14:textId="77777777" w:rsidR="00D62C86" w:rsidRPr="00516963" w:rsidRDefault="00D62C86" w:rsidP="00516963"/>
    <w:p w14:paraId="3A95BDE9" w14:textId="58B943DC" w:rsidR="00516963" w:rsidRPr="00516963" w:rsidRDefault="00516963" w:rsidP="00516963">
      <w:r w:rsidRPr="00516963">
        <w:t xml:space="preserve">To fulfill Factor 6 requirements, Emerson Hospital utilized the CHI forms submitted for the original DoN project, as well as provided an updated CHI Narrative. Due to the timing of the current project, the CHI team received a supplemental narrative from Emerson </w:t>
      </w:r>
      <w:r w:rsidR="00D863FD" w:rsidRPr="00516963">
        <w:t>Hospital</w:t>
      </w:r>
      <w:r w:rsidRPr="00516963">
        <w:t xml:space="preserve"> that provided additional context on their ongoing community engagement processes and how it’s informing their upcoming 2025 CHNA.  </w:t>
      </w:r>
    </w:p>
    <w:p w14:paraId="1DA3579C" w14:textId="77777777" w:rsidR="00516963" w:rsidRPr="00516963" w:rsidRDefault="00516963" w:rsidP="00516963">
      <w:r w:rsidRPr="00516963">
        <w:t> </w:t>
      </w:r>
    </w:p>
    <w:p w14:paraId="1E64BC7D" w14:textId="77777777" w:rsidR="00516963" w:rsidRPr="00516963" w:rsidRDefault="00516963" w:rsidP="00516963">
      <w:r w:rsidRPr="00516963">
        <w:t xml:space="preserve">Emerson Hospital will work with its Community Benefits Advisory Committee (CBAC) to determine </w:t>
      </w:r>
      <w:r w:rsidRPr="00516963">
        <w:lastRenderedPageBreak/>
        <w:t>the most appropriate distribution of the CHI funding associated with the Proposed Project. The timeline, processes, and use of evaluation and administrative funds are appropriate and in line with CHI planning guidelines.    </w:t>
      </w:r>
    </w:p>
    <w:p w14:paraId="199FBF76" w14:textId="77777777" w:rsidR="00516963" w:rsidRPr="00516963" w:rsidRDefault="00516963" w:rsidP="00516963">
      <w:r w:rsidRPr="00516963">
        <w:t> </w:t>
      </w:r>
    </w:p>
    <w:p w14:paraId="2080C040" w14:textId="77777777" w:rsidR="00516963" w:rsidRPr="00516963" w:rsidRDefault="00516963" w:rsidP="00516963">
      <w:r w:rsidRPr="00516963">
        <w:rPr>
          <w:i/>
          <w:iCs/>
        </w:rPr>
        <w:t>Summary Analysis</w:t>
      </w:r>
      <w:r w:rsidRPr="00516963">
        <w:t>: As a result of information provided by the Applicant and additional analysis, staff finds that with the conditions outlined below, and the ongoing communication outlined above, the Applicant will have demonstrated that the Proposed Project has met Factor 6.  </w:t>
      </w:r>
    </w:p>
    <w:p w14:paraId="620B996B" w14:textId="77777777" w:rsidR="00E91FCD" w:rsidRDefault="00E91FCD" w:rsidP="00C316C3"/>
    <w:p w14:paraId="5DD29CEB" w14:textId="7E1D779B" w:rsidR="00B447F3" w:rsidRPr="008917DC" w:rsidRDefault="00A4110F" w:rsidP="00C316C3">
      <w:pPr>
        <w:pStyle w:val="Heading1"/>
        <w:ind w:left="0"/>
        <w:rPr>
          <w:rFonts w:asciiTheme="minorHAnsi" w:hAnsiTheme="minorHAnsi"/>
          <w:color w:val="1F497D" w:themeColor="text2"/>
        </w:rPr>
      </w:pPr>
      <w:bookmarkStart w:id="30" w:name="_Toc207953807"/>
      <w:r w:rsidRPr="008917DC">
        <w:rPr>
          <w:rFonts w:asciiTheme="minorHAnsi" w:hAnsiTheme="minorHAnsi"/>
          <w:color w:val="1F497D" w:themeColor="text2"/>
        </w:rPr>
        <w:t>Findings and Recommendations</w:t>
      </w:r>
      <w:bookmarkEnd w:id="30"/>
    </w:p>
    <w:p w14:paraId="427942CC" w14:textId="4C72666E" w:rsidR="00A57CB7" w:rsidRDefault="00A4110F" w:rsidP="6ACB936F">
      <w:pPr>
        <w:pStyle w:val="BodyText"/>
        <w:ind w:right="226"/>
        <w:rPr>
          <w:rFonts w:asciiTheme="minorHAnsi" w:hAnsiTheme="minorHAnsi"/>
        </w:rPr>
      </w:pPr>
      <w:r w:rsidRPr="6ACB936F">
        <w:rPr>
          <w:rFonts w:asciiTheme="minorHAnsi" w:hAnsiTheme="minorHAnsi"/>
        </w:rPr>
        <w:t xml:space="preserve">Based upon a review of the materials submitted, Staff finds that, with the addition of the recommended Conditions detailed below, the Applicant has met each DoN Factor for the Proposed </w:t>
      </w:r>
      <w:r w:rsidR="3A1D917F" w:rsidRPr="6ACB936F">
        <w:rPr>
          <w:rFonts w:asciiTheme="minorHAnsi" w:hAnsiTheme="minorHAnsi"/>
        </w:rPr>
        <w:t>Project and</w:t>
      </w:r>
      <w:r w:rsidRPr="6ACB936F">
        <w:rPr>
          <w:rFonts w:asciiTheme="minorHAnsi" w:hAnsiTheme="minorHAnsi"/>
        </w:rPr>
        <w:t xml:space="preserve"> recommends that the Department approve this Determination of Need, subject to all applicable Standard and Other Conditions.</w:t>
      </w:r>
    </w:p>
    <w:p w14:paraId="0CD23462" w14:textId="23A9888E" w:rsidR="00B447F3" w:rsidRPr="00BF381D" w:rsidRDefault="00A4110F" w:rsidP="2A027EB2">
      <w:pPr>
        <w:pStyle w:val="Heading1"/>
        <w:spacing w:before="184"/>
        <w:ind w:left="0"/>
        <w:rPr>
          <w:rFonts w:asciiTheme="minorHAnsi" w:hAnsiTheme="minorHAnsi"/>
          <w:color w:val="42558C"/>
        </w:rPr>
      </w:pPr>
      <w:bookmarkStart w:id="31" w:name="Other_Conditions"/>
      <w:bookmarkStart w:id="32" w:name="_Toc207953808"/>
      <w:bookmarkEnd w:id="31"/>
      <w:r w:rsidRPr="2A027EB2">
        <w:rPr>
          <w:rFonts w:asciiTheme="minorHAnsi" w:hAnsiTheme="minorHAnsi"/>
          <w:color w:val="42558C"/>
        </w:rPr>
        <w:t>Other Conditions</w:t>
      </w:r>
      <w:bookmarkEnd w:id="32"/>
    </w:p>
    <w:p w14:paraId="1267DFAD" w14:textId="134F08F4" w:rsidR="002D4546" w:rsidRDefault="002D4546">
      <w:pPr>
        <w:rPr>
          <w:rFonts w:asciiTheme="minorHAnsi" w:hAnsiTheme="minorHAnsi"/>
        </w:rPr>
      </w:pPr>
    </w:p>
    <w:p w14:paraId="68EC6CA0" w14:textId="77777777" w:rsidR="00D62C86" w:rsidRPr="00D62C86" w:rsidRDefault="00D62C86" w:rsidP="00D62C86">
      <w:pPr>
        <w:pStyle w:val="ListParagraph"/>
        <w:numPr>
          <w:ilvl w:val="0"/>
          <w:numId w:val="38"/>
        </w:numPr>
        <w:rPr>
          <w:color w:val="000000" w:themeColor="text1"/>
          <w:bdr w:val="none" w:sz="0" w:space="0" w:color="auto" w:frame="1"/>
        </w:rPr>
      </w:pPr>
      <w:r w:rsidRPr="00D62C86">
        <w:rPr>
          <w:color w:val="000000" w:themeColor="text1"/>
          <w:bdr w:val="none" w:sz="0" w:space="0" w:color="auto" w:frame="1"/>
        </w:rPr>
        <w:t>Of the total required CHI contribution of $24,242.80 </w:t>
      </w:r>
    </w:p>
    <w:p w14:paraId="5110253E" w14:textId="77777777" w:rsidR="00D62C86" w:rsidRPr="00D62C86" w:rsidRDefault="00D62C86" w:rsidP="00850E56">
      <w:pPr>
        <w:pStyle w:val="ListParagraph"/>
        <w:numPr>
          <w:ilvl w:val="1"/>
          <w:numId w:val="38"/>
        </w:numPr>
        <w:rPr>
          <w:color w:val="000000" w:themeColor="text1"/>
          <w:bdr w:val="none" w:sz="0" w:space="0" w:color="auto" w:frame="1"/>
        </w:rPr>
      </w:pPr>
      <w:r w:rsidRPr="00D62C86">
        <w:rPr>
          <w:color w:val="000000" w:themeColor="text1"/>
          <w:bdr w:val="none" w:sz="0" w:space="0" w:color="auto" w:frame="1"/>
        </w:rPr>
        <w:t>$2,375.79 will be directed to the CHI Statewide Initiative. </w:t>
      </w:r>
    </w:p>
    <w:p w14:paraId="7371A3AC" w14:textId="77777777" w:rsidR="00D62C86" w:rsidRPr="00D62C86" w:rsidRDefault="00D62C86" w:rsidP="00850E56">
      <w:pPr>
        <w:pStyle w:val="ListParagraph"/>
        <w:numPr>
          <w:ilvl w:val="1"/>
          <w:numId w:val="38"/>
        </w:numPr>
        <w:rPr>
          <w:color w:val="000000" w:themeColor="text1"/>
          <w:bdr w:val="none" w:sz="0" w:space="0" w:color="auto" w:frame="1"/>
        </w:rPr>
      </w:pPr>
      <w:r w:rsidRPr="00D62C86">
        <w:rPr>
          <w:color w:val="000000" w:themeColor="text1"/>
          <w:bdr w:val="none" w:sz="0" w:space="0" w:color="auto" w:frame="1"/>
        </w:rPr>
        <w:t>$21,382.15 will be dedicated to local approaches to the DoN Health Priorities.   </w:t>
      </w:r>
    </w:p>
    <w:p w14:paraId="5D347D15" w14:textId="69CBF6E2" w:rsidR="00D62C86" w:rsidRDefault="00D62C86" w:rsidP="00850E56">
      <w:pPr>
        <w:pStyle w:val="ListParagraph"/>
        <w:numPr>
          <w:ilvl w:val="1"/>
          <w:numId w:val="38"/>
        </w:numPr>
        <w:rPr>
          <w:color w:val="000000" w:themeColor="text1"/>
          <w:bdr w:val="none" w:sz="0" w:space="0" w:color="auto" w:frame="1"/>
        </w:rPr>
      </w:pPr>
      <w:r w:rsidRPr="00D62C86">
        <w:rPr>
          <w:color w:val="000000" w:themeColor="text1"/>
          <w:bdr w:val="none" w:sz="0" w:space="0" w:color="auto" w:frame="1"/>
        </w:rPr>
        <w:t>$484.86 will be designated as the administrative fee.  </w:t>
      </w:r>
      <w:r w:rsidRPr="00850E56">
        <w:rPr>
          <w:color w:val="000000" w:themeColor="text1"/>
          <w:bdr w:val="none" w:sz="0" w:space="0" w:color="auto" w:frame="1"/>
        </w:rPr>
        <w:t> </w:t>
      </w:r>
    </w:p>
    <w:p w14:paraId="7444849E" w14:textId="77777777" w:rsidR="00E91FCD" w:rsidRPr="00850E56" w:rsidRDefault="00E91FCD" w:rsidP="00E91FCD">
      <w:pPr>
        <w:pStyle w:val="ListParagraph"/>
        <w:ind w:left="1440" w:firstLine="0"/>
        <w:rPr>
          <w:color w:val="000000" w:themeColor="text1"/>
          <w:bdr w:val="none" w:sz="0" w:space="0" w:color="auto" w:frame="1"/>
        </w:rPr>
      </w:pPr>
    </w:p>
    <w:p w14:paraId="41AF8504" w14:textId="77777777" w:rsidR="00D62C86" w:rsidRPr="00D62C86" w:rsidRDefault="00D62C86" w:rsidP="00D62C86">
      <w:pPr>
        <w:pStyle w:val="ListParagraph"/>
        <w:numPr>
          <w:ilvl w:val="0"/>
          <w:numId w:val="38"/>
        </w:numPr>
        <w:rPr>
          <w:color w:val="000000" w:themeColor="text1"/>
          <w:bdr w:val="none" w:sz="0" w:space="0" w:color="auto" w:frame="1"/>
        </w:rPr>
      </w:pPr>
      <w:r w:rsidRPr="00D62C86">
        <w:rPr>
          <w:color w:val="000000" w:themeColor="text1"/>
          <w:bdr w:val="none" w:sz="0" w:space="0" w:color="auto" w:frame="1"/>
        </w:rPr>
        <w:t xml:space="preserve">To comply with the Holder’s obligation to contribute to the CHI Statewide Initiative, the Holder must submit a check for $2,375.79 to Health Resources in Action (the fiscal agent for the CHI Statewide Initiative) </w:t>
      </w:r>
      <w:r w:rsidRPr="00D62C86">
        <w:rPr>
          <w:b/>
          <w:bCs/>
          <w:color w:val="000000" w:themeColor="text1"/>
          <w:bdr w:val="none" w:sz="0" w:space="0" w:color="auto" w:frame="1"/>
        </w:rPr>
        <w:t>within 30 days</w:t>
      </w:r>
      <w:r w:rsidRPr="00D62C86">
        <w:rPr>
          <w:color w:val="000000" w:themeColor="text1"/>
          <w:bdr w:val="none" w:sz="0" w:space="0" w:color="auto" w:frame="1"/>
        </w:rPr>
        <w:t xml:space="preserve"> from the date of the Notice of Approval.   </w:t>
      </w:r>
    </w:p>
    <w:p w14:paraId="058EC3FF" w14:textId="77777777" w:rsidR="00D62C86" w:rsidRPr="00D62C86" w:rsidRDefault="00D62C86" w:rsidP="00850E56">
      <w:pPr>
        <w:pStyle w:val="ListParagraph"/>
        <w:numPr>
          <w:ilvl w:val="1"/>
          <w:numId w:val="38"/>
        </w:numPr>
        <w:rPr>
          <w:color w:val="000000" w:themeColor="text1"/>
          <w:bdr w:val="none" w:sz="0" w:space="0" w:color="auto" w:frame="1"/>
        </w:rPr>
      </w:pPr>
      <w:r w:rsidRPr="00D62C86">
        <w:rPr>
          <w:color w:val="000000" w:themeColor="text1"/>
          <w:bdr w:val="none" w:sz="0" w:space="0" w:color="auto" w:frame="1"/>
        </w:rPr>
        <w:t>Payments should be made out to: </w:t>
      </w:r>
    </w:p>
    <w:p w14:paraId="5101C36F" w14:textId="77777777" w:rsidR="00D62C86" w:rsidRPr="00D62C86" w:rsidRDefault="00D62C86" w:rsidP="00850E56">
      <w:pPr>
        <w:pStyle w:val="ListParagraph"/>
        <w:ind w:left="1440" w:firstLine="0"/>
        <w:rPr>
          <w:color w:val="000000" w:themeColor="text1"/>
          <w:bdr w:val="none" w:sz="0" w:space="0" w:color="auto" w:frame="1"/>
        </w:rPr>
      </w:pPr>
      <w:r w:rsidRPr="00D62C86">
        <w:rPr>
          <w:color w:val="000000" w:themeColor="text1"/>
          <w:bdr w:val="none" w:sz="0" w:space="0" w:color="auto" w:frame="1"/>
        </w:rPr>
        <w:t>Health Resources in Action, Inc. (HRiA)  </w:t>
      </w:r>
    </w:p>
    <w:p w14:paraId="4BB36333" w14:textId="77777777" w:rsidR="00D62C86" w:rsidRPr="00D62C86" w:rsidRDefault="00D62C86" w:rsidP="00850E56">
      <w:pPr>
        <w:pStyle w:val="ListParagraph"/>
        <w:ind w:left="1440" w:firstLine="0"/>
        <w:rPr>
          <w:color w:val="000000" w:themeColor="text1"/>
          <w:bdr w:val="none" w:sz="0" w:space="0" w:color="auto" w:frame="1"/>
        </w:rPr>
      </w:pPr>
      <w:r w:rsidRPr="00D62C86">
        <w:rPr>
          <w:color w:val="000000" w:themeColor="text1"/>
          <w:bdr w:val="none" w:sz="0" w:space="0" w:color="auto" w:frame="1"/>
        </w:rPr>
        <w:t>2 Boylston Street, 4th Floor  </w:t>
      </w:r>
    </w:p>
    <w:p w14:paraId="3BF16841" w14:textId="77777777" w:rsidR="00D62C86" w:rsidRPr="00D62C86" w:rsidRDefault="00D62C86" w:rsidP="00850E56">
      <w:pPr>
        <w:pStyle w:val="ListParagraph"/>
        <w:ind w:left="1440" w:firstLine="0"/>
        <w:rPr>
          <w:color w:val="000000" w:themeColor="text1"/>
          <w:bdr w:val="none" w:sz="0" w:space="0" w:color="auto" w:frame="1"/>
        </w:rPr>
      </w:pPr>
      <w:r w:rsidRPr="00D62C86">
        <w:rPr>
          <w:color w:val="000000" w:themeColor="text1"/>
          <w:bdr w:val="none" w:sz="0" w:space="0" w:color="auto" w:frame="1"/>
        </w:rPr>
        <w:t>Boston, MA 02116 Attn: MACHHAF c/o Bora Toro  </w:t>
      </w:r>
    </w:p>
    <w:p w14:paraId="37395F74" w14:textId="77777777" w:rsidR="00D62C86" w:rsidRPr="00D62C86" w:rsidRDefault="00D62C86" w:rsidP="00850E56">
      <w:pPr>
        <w:pStyle w:val="ListParagraph"/>
        <w:ind w:left="1440" w:firstLine="0"/>
        <w:rPr>
          <w:color w:val="000000" w:themeColor="text1"/>
          <w:bdr w:val="none" w:sz="0" w:space="0" w:color="auto" w:frame="1"/>
        </w:rPr>
      </w:pPr>
      <w:r w:rsidRPr="00D62C86">
        <w:rPr>
          <w:color w:val="000000" w:themeColor="text1"/>
          <w:bdr w:val="none" w:sz="0" w:space="0" w:color="auto" w:frame="1"/>
        </w:rPr>
        <w:t>DoN project: # EDHC-25021711-AS </w:t>
      </w:r>
    </w:p>
    <w:p w14:paraId="2F0FB6D0" w14:textId="52D38B33" w:rsidR="00D62C86" w:rsidRPr="00D62C86" w:rsidRDefault="00D62C86" w:rsidP="00850E56">
      <w:pPr>
        <w:pStyle w:val="ListParagraph"/>
        <w:ind w:left="720" w:firstLine="0"/>
        <w:rPr>
          <w:color w:val="000000" w:themeColor="text1"/>
          <w:bdr w:val="none" w:sz="0" w:space="0" w:color="auto" w:frame="1"/>
        </w:rPr>
      </w:pPr>
    </w:p>
    <w:p w14:paraId="08E522F5" w14:textId="77777777" w:rsidR="00D62C86" w:rsidRPr="00D62C86" w:rsidRDefault="00D62C86" w:rsidP="00850E56">
      <w:pPr>
        <w:pStyle w:val="ListParagraph"/>
        <w:numPr>
          <w:ilvl w:val="1"/>
          <w:numId w:val="38"/>
        </w:numPr>
        <w:rPr>
          <w:color w:val="000000" w:themeColor="text1"/>
          <w:bdr w:val="none" w:sz="0" w:space="0" w:color="auto" w:frame="1"/>
        </w:rPr>
      </w:pPr>
      <w:r w:rsidRPr="00D62C86">
        <w:rPr>
          <w:color w:val="000000" w:themeColor="text1"/>
          <w:bdr w:val="none" w:sz="0" w:space="0" w:color="auto" w:frame="1"/>
        </w:rPr>
        <w:t>Please send a PDF image of the check or</w:t>
      </w:r>
      <w:r w:rsidRPr="00D62C86">
        <w:rPr>
          <w:b/>
          <w:bCs/>
          <w:color w:val="000000" w:themeColor="text1"/>
          <w:bdr w:val="none" w:sz="0" w:space="0" w:color="auto" w:frame="1"/>
        </w:rPr>
        <w:t xml:space="preserve"> confirmation of payment</w:t>
      </w:r>
      <w:r w:rsidRPr="00D62C86">
        <w:rPr>
          <w:color w:val="000000" w:themeColor="text1"/>
          <w:bdr w:val="none" w:sz="0" w:space="0" w:color="auto" w:frame="1"/>
        </w:rPr>
        <w:t xml:space="preserve"> to </w:t>
      </w:r>
      <w:hyperlink r:id="rId22" w:tgtFrame="_blank" w:history="1">
        <w:r w:rsidRPr="00D62C86">
          <w:rPr>
            <w:rStyle w:val="Hyperlink"/>
            <w:bdr w:val="none" w:sz="0" w:space="0" w:color="auto" w:frame="1"/>
          </w:rPr>
          <w:t>DONCHI@Mass.gov</w:t>
        </w:r>
      </w:hyperlink>
      <w:r w:rsidRPr="00D62C86">
        <w:rPr>
          <w:color w:val="000000" w:themeColor="text1"/>
          <w:bdr w:val="none" w:sz="0" w:space="0" w:color="auto" w:frame="1"/>
        </w:rPr>
        <w:t xml:space="preserve"> and </w:t>
      </w:r>
      <w:hyperlink r:id="rId23" w:tgtFrame="_blank" w:history="1">
        <w:r w:rsidRPr="00D62C86">
          <w:rPr>
            <w:rStyle w:val="Hyperlink"/>
            <w:bdr w:val="none" w:sz="0" w:space="0" w:color="auto" w:frame="1"/>
            <w:lang w:val="fr-FR"/>
          </w:rPr>
          <w:t>dongrants@hria.org.</w:t>
        </w:r>
      </w:hyperlink>
      <w:r w:rsidRPr="00D62C86">
        <w:rPr>
          <w:color w:val="000000" w:themeColor="text1"/>
          <w:bdr w:val="none" w:sz="0" w:space="0" w:color="auto" w:frame="1"/>
        </w:rPr>
        <w:t xml:space="preserve"> If you should have any questions or concerns regarding the payment, please contact the CHI team at </w:t>
      </w:r>
      <w:hyperlink r:id="rId24" w:tgtFrame="_blank" w:history="1">
        <w:r w:rsidRPr="00D62C86">
          <w:rPr>
            <w:rStyle w:val="Hyperlink"/>
            <w:bdr w:val="none" w:sz="0" w:space="0" w:color="auto" w:frame="1"/>
          </w:rPr>
          <w:t>DONCHI@Mass.gov</w:t>
        </w:r>
      </w:hyperlink>
      <w:r w:rsidRPr="00D62C86">
        <w:rPr>
          <w:color w:val="000000" w:themeColor="text1"/>
          <w:bdr w:val="none" w:sz="0" w:space="0" w:color="auto" w:frame="1"/>
        </w:rPr>
        <w:t>. </w:t>
      </w:r>
    </w:p>
    <w:p w14:paraId="08002B11" w14:textId="77777777" w:rsidR="005B0AB3" w:rsidRDefault="005B0AB3" w:rsidP="00850E56">
      <w:pPr>
        <w:pStyle w:val="ListParagraph"/>
        <w:ind w:left="720" w:firstLine="0"/>
        <w:rPr>
          <w:color w:val="000000" w:themeColor="text1"/>
          <w:bdr w:val="none" w:sz="0" w:space="0" w:color="auto" w:frame="1"/>
        </w:rPr>
      </w:pPr>
    </w:p>
    <w:p w14:paraId="45F6159B" w14:textId="48FE0D1E" w:rsidR="005D5C80" w:rsidRDefault="005C7908" w:rsidP="00654D50">
      <w:pPr>
        <w:pStyle w:val="ListParagraph"/>
        <w:numPr>
          <w:ilvl w:val="0"/>
          <w:numId w:val="38"/>
        </w:numPr>
        <w:rPr>
          <w:color w:val="000000" w:themeColor="text1"/>
          <w:bdr w:val="none" w:sz="0" w:space="0" w:color="auto" w:frame="1"/>
        </w:rPr>
      </w:pPr>
      <w:r>
        <w:rPr>
          <w:color w:val="000000" w:themeColor="text1"/>
          <w:bdr w:val="none" w:sz="0" w:space="0" w:color="auto" w:frame="1"/>
        </w:rPr>
        <w:t>With its annual report, t</w:t>
      </w:r>
      <w:r w:rsidR="005D5C80" w:rsidRPr="005D5C80">
        <w:rPr>
          <w:color w:val="000000" w:themeColor="text1"/>
          <w:bdr w:val="none" w:sz="0" w:space="0" w:color="auto" w:frame="1"/>
        </w:rPr>
        <w:t xml:space="preserve">he Holder </w:t>
      </w:r>
      <w:r>
        <w:rPr>
          <w:color w:val="000000" w:themeColor="text1"/>
          <w:bdr w:val="none" w:sz="0" w:space="0" w:color="auto" w:frame="1"/>
        </w:rPr>
        <w:t xml:space="preserve">will submit a plan </w:t>
      </w:r>
      <w:r w:rsidR="00594802">
        <w:rPr>
          <w:color w:val="000000" w:themeColor="text1"/>
          <w:bdr w:val="none" w:sz="0" w:space="0" w:color="auto" w:frame="1"/>
        </w:rPr>
        <w:t xml:space="preserve">to the Department </w:t>
      </w:r>
      <w:r w:rsidR="00897927">
        <w:rPr>
          <w:color w:val="000000" w:themeColor="text1"/>
          <w:bdr w:val="none" w:sz="0" w:space="0" w:color="auto" w:frame="1"/>
        </w:rPr>
        <w:t xml:space="preserve">detailing how it will increase </w:t>
      </w:r>
      <w:r w:rsidR="00E274CB">
        <w:rPr>
          <w:color w:val="000000" w:themeColor="text1"/>
          <w:bdr w:val="none" w:sz="0" w:space="0" w:color="auto" w:frame="1"/>
        </w:rPr>
        <w:t xml:space="preserve">MassHealth </w:t>
      </w:r>
      <w:r w:rsidR="00897927">
        <w:rPr>
          <w:color w:val="000000" w:themeColor="text1"/>
          <w:bdr w:val="none" w:sz="0" w:space="0" w:color="auto" w:frame="1"/>
        </w:rPr>
        <w:t xml:space="preserve">in its payer mix. The Holder shall update this plan and report annually </w:t>
      </w:r>
      <w:r w:rsidR="00477917">
        <w:rPr>
          <w:color w:val="000000" w:themeColor="text1"/>
          <w:bdr w:val="none" w:sz="0" w:space="0" w:color="auto" w:frame="1"/>
        </w:rPr>
        <w:t xml:space="preserve">to the Department </w:t>
      </w:r>
      <w:r w:rsidR="00A454E1" w:rsidRPr="00A454E1">
        <w:rPr>
          <w:color w:val="000000" w:themeColor="text1"/>
          <w:bdr w:val="none" w:sz="0" w:space="0" w:color="auto" w:frame="1"/>
        </w:rPr>
        <w:t xml:space="preserve">to demonstrate measurable progress resulting from its efforts to increase its </w:t>
      </w:r>
      <w:r w:rsidR="00E274CB">
        <w:rPr>
          <w:color w:val="000000" w:themeColor="text1"/>
          <w:bdr w:val="none" w:sz="0" w:space="0" w:color="auto" w:frame="1"/>
        </w:rPr>
        <w:t>MassHealth</w:t>
      </w:r>
      <w:r w:rsidR="00A454E1" w:rsidRPr="00A454E1">
        <w:rPr>
          <w:color w:val="000000" w:themeColor="text1"/>
          <w:bdr w:val="none" w:sz="0" w:space="0" w:color="auto" w:frame="1"/>
        </w:rPr>
        <w:t xml:space="preserve"> payer mix</w:t>
      </w:r>
      <w:r w:rsidR="005D5C80" w:rsidRPr="005D5C80">
        <w:rPr>
          <w:color w:val="000000" w:themeColor="text1"/>
          <w:bdr w:val="none" w:sz="0" w:space="0" w:color="auto" w:frame="1"/>
        </w:rPr>
        <w:t>, detailing the strategies being implemented to achieve this goal</w:t>
      </w:r>
      <w:r w:rsidR="00E56BC4">
        <w:rPr>
          <w:color w:val="000000" w:themeColor="text1"/>
          <w:bdr w:val="none" w:sz="0" w:space="0" w:color="auto" w:frame="1"/>
        </w:rPr>
        <w:t xml:space="preserve"> and the outcomes of the </w:t>
      </w:r>
      <w:r w:rsidR="0090676E">
        <w:rPr>
          <w:color w:val="000000" w:themeColor="text1"/>
          <w:bdr w:val="none" w:sz="0" w:space="0" w:color="auto" w:frame="1"/>
        </w:rPr>
        <w:t xml:space="preserve">Holder’s </w:t>
      </w:r>
      <w:r w:rsidR="00E56BC4">
        <w:rPr>
          <w:color w:val="000000" w:themeColor="text1"/>
          <w:bdr w:val="none" w:sz="0" w:space="0" w:color="auto" w:frame="1"/>
        </w:rPr>
        <w:t>efforts.</w:t>
      </w:r>
    </w:p>
    <w:p w14:paraId="585A2FA1" w14:textId="77777777" w:rsidR="009E7165" w:rsidRDefault="009E7165" w:rsidP="009E7165">
      <w:pPr>
        <w:pStyle w:val="ListParagraph"/>
        <w:ind w:left="720" w:firstLine="0"/>
        <w:rPr>
          <w:color w:val="000000" w:themeColor="text1"/>
          <w:bdr w:val="none" w:sz="0" w:space="0" w:color="auto" w:frame="1"/>
        </w:rPr>
      </w:pPr>
    </w:p>
    <w:p w14:paraId="168826C5" w14:textId="546E3558" w:rsidR="009E7165" w:rsidRPr="00850E56" w:rsidRDefault="006E46CC" w:rsidP="00850E56">
      <w:pPr>
        <w:pStyle w:val="ListParagraph"/>
        <w:ind w:left="720" w:firstLine="0"/>
        <w:rPr>
          <w:color w:val="000000" w:themeColor="text1"/>
          <w:bdr w:val="none" w:sz="0" w:space="0" w:color="auto" w:frame="1"/>
        </w:rPr>
      </w:pPr>
      <w:r w:rsidRPr="006E46CC">
        <w:rPr>
          <w:color w:val="000000" w:themeColor="text1"/>
          <w:bdr w:val="none" w:sz="0" w:space="0" w:color="auto" w:frame="1"/>
        </w:rPr>
        <w:t xml:space="preserve">The DoN Program shall review the data received in accordance with Condition </w:t>
      </w:r>
      <w:r w:rsidR="00FC07E1">
        <w:rPr>
          <w:color w:val="000000" w:themeColor="text1"/>
          <w:bdr w:val="none" w:sz="0" w:space="0" w:color="auto" w:frame="1"/>
        </w:rPr>
        <w:t>3</w:t>
      </w:r>
      <w:r w:rsidRPr="006E46CC">
        <w:rPr>
          <w:color w:val="000000" w:themeColor="text1"/>
          <w:bdr w:val="none" w:sz="0" w:space="0" w:color="auto" w:frame="1"/>
        </w:rPr>
        <w:t xml:space="preserve">. </w:t>
      </w:r>
      <w:r w:rsidR="004C0EF8" w:rsidRPr="004C0EF8">
        <w:rPr>
          <w:color w:val="000000" w:themeColor="text1"/>
          <w:bdr w:val="none" w:sz="0" w:space="0" w:color="auto" w:frame="1"/>
        </w:rPr>
        <w:t xml:space="preserve">If the </w:t>
      </w:r>
      <w:r w:rsidR="007C27F9">
        <w:rPr>
          <w:color w:val="000000" w:themeColor="text1"/>
          <w:bdr w:val="none" w:sz="0" w:space="0" w:color="auto" w:frame="1"/>
        </w:rPr>
        <w:t>DoN Program</w:t>
      </w:r>
      <w:r w:rsidR="004C0EF8" w:rsidRPr="004C0EF8">
        <w:rPr>
          <w:color w:val="000000" w:themeColor="text1"/>
          <w:bdr w:val="none" w:sz="0" w:space="0" w:color="auto" w:frame="1"/>
        </w:rPr>
        <w:t xml:space="preserve"> determines </w:t>
      </w:r>
      <w:r w:rsidR="00FB6E5E">
        <w:rPr>
          <w:color w:val="000000" w:themeColor="text1"/>
          <w:bdr w:val="none" w:sz="0" w:space="0" w:color="auto" w:frame="1"/>
        </w:rPr>
        <w:t xml:space="preserve">that </w:t>
      </w:r>
      <w:r w:rsidR="004C0EF8" w:rsidRPr="004C0EF8">
        <w:rPr>
          <w:color w:val="000000" w:themeColor="text1"/>
          <w:bdr w:val="none" w:sz="0" w:space="0" w:color="auto" w:frame="1"/>
        </w:rPr>
        <w:t xml:space="preserve">the Holder’s </w:t>
      </w:r>
      <w:r w:rsidR="009F5C0D">
        <w:rPr>
          <w:color w:val="000000" w:themeColor="text1"/>
          <w:bdr w:val="none" w:sz="0" w:space="0" w:color="auto" w:frame="1"/>
        </w:rPr>
        <w:t>MassHealth</w:t>
      </w:r>
      <w:r w:rsidR="004C0EF8" w:rsidRPr="004C0EF8">
        <w:rPr>
          <w:color w:val="000000" w:themeColor="text1"/>
          <w:bdr w:val="none" w:sz="0" w:space="0" w:color="auto" w:frame="1"/>
        </w:rPr>
        <w:t xml:space="preserve"> </w:t>
      </w:r>
      <w:r w:rsidR="005617B1">
        <w:rPr>
          <w:color w:val="000000" w:themeColor="text1"/>
          <w:bdr w:val="none" w:sz="0" w:space="0" w:color="auto" w:frame="1"/>
        </w:rPr>
        <w:t>payer mix</w:t>
      </w:r>
      <w:r w:rsidR="004C0EF8" w:rsidRPr="004C0EF8">
        <w:rPr>
          <w:color w:val="000000" w:themeColor="text1"/>
          <w:bdr w:val="none" w:sz="0" w:space="0" w:color="auto" w:frame="1"/>
        </w:rPr>
        <w:t xml:space="preserve"> materially </w:t>
      </w:r>
      <w:r w:rsidR="00AD3970">
        <w:rPr>
          <w:color w:val="000000" w:themeColor="text1"/>
          <w:bdr w:val="none" w:sz="0" w:space="0" w:color="auto" w:frame="1"/>
        </w:rPr>
        <w:t>decreased</w:t>
      </w:r>
      <w:r w:rsidR="00AD3970" w:rsidRPr="004C0EF8">
        <w:rPr>
          <w:color w:val="000000" w:themeColor="text1"/>
          <w:bdr w:val="none" w:sz="0" w:space="0" w:color="auto" w:frame="1"/>
        </w:rPr>
        <w:t xml:space="preserve"> </w:t>
      </w:r>
      <w:r w:rsidR="004C0EF8" w:rsidRPr="004C0EF8">
        <w:rPr>
          <w:color w:val="000000" w:themeColor="text1"/>
          <w:bdr w:val="none" w:sz="0" w:space="0" w:color="auto" w:frame="1"/>
        </w:rPr>
        <w:t xml:space="preserve">year-over-year, the Holder </w:t>
      </w:r>
      <w:r w:rsidR="00FA1090">
        <w:rPr>
          <w:color w:val="000000" w:themeColor="text1"/>
          <w:bdr w:val="none" w:sz="0" w:space="0" w:color="auto" w:frame="1"/>
        </w:rPr>
        <w:t xml:space="preserve">shall provide to the Department </w:t>
      </w:r>
      <w:r w:rsidR="001F11F1">
        <w:rPr>
          <w:color w:val="000000" w:themeColor="text1"/>
          <w:bdr w:val="none" w:sz="0" w:space="0" w:color="auto" w:frame="1"/>
        </w:rPr>
        <w:t xml:space="preserve">an explanation for </w:t>
      </w:r>
      <w:r w:rsidR="009F5C0D">
        <w:rPr>
          <w:color w:val="000000" w:themeColor="text1"/>
          <w:bdr w:val="none" w:sz="0" w:space="0" w:color="auto" w:frame="1"/>
        </w:rPr>
        <w:t>MassHealth</w:t>
      </w:r>
      <w:r w:rsidR="001F11F1">
        <w:rPr>
          <w:color w:val="000000" w:themeColor="text1"/>
          <w:bdr w:val="none" w:sz="0" w:space="0" w:color="auto" w:frame="1"/>
        </w:rPr>
        <w:t xml:space="preserve"> </w:t>
      </w:r>
      <w:r w:rsidR="005051DE">
        <w:rPr>
          <w:color w:val="000000" w:themeColor="text1"/>
          <w:bdr w:val="none" w:sz="0" w:space="0" w:color="auto" w:frame="1"/>
        </w:rPr>
        <w:t xml:space="preserve">decrease in </w:t>
      </w:r>
      <w:r w:rsidR="005051DE">
        <w:rPr>
          <w:color w:val="000000" w:themeColor="text1"/>
          <w:bdr w:val="none" w:sz="0" w:space="0" w:color="auto" w:frame="1"/>
        </w:rPr>
        <w:lastRenderedPageBreak/>
        <w:t xml:space="preserve">its </w:t>
      </w:r>
      <w:r w:rsidR="00980D98">
        <w:rPr>
          <w:color w:val="000000" w:themeColor="text1"/>
          <w:bdr w:val="none" w:sz="0" w:space="0" w:color="auto" w:frame="1"/>
        </w:rPr>
        <w:t>payer mix</w:t>
      </w:r>
      <w:r w:rsidR="004C0EF8" w:rsidRPr="004C0EF8">
        <w:rPr>
          <w:color w:val="000000" w:themeColor="text1"/>
          <w:bdr w:val="none" w:sz="0" w:space="0" w:color="auto" w:frame="1"/>
        </w:rPr>
        <w:t xml:space="preserve">. After </w:t>
      </w:r>
      <w:r w:rsidR="002F2DEB" w:rsidRPr="004C0EF8">
        <w:rPr>
          <w:color w:val="000000" w:themeColor="text1"/>
          <w:bdr w:val="none" w:sz="0" w:space="0" w:color="auto" w:frame="1"/>
        </w:rPr>
        <w:t>review</w:t>
      </w:r>
      <w:r w:rsidR="002F2DEB">
        <w:rPr>
          <w:color w:val="000000" w:themeColor="text1"/>
          <w:bdr w:val="none" w:sz="0" w:space="0" w:color="auto" w:frame="1"/>
        </w:rPr>
        <w:t xml:space="preserve"> of </w:t>
      </w:r>
      <w:r w:rsidR="004C0EF8" w:rsidRPr="004C0EF8">
        <w:rPr>
          <w:color w:val="000000" w:themeColor="text1"/>
          <w:bdr w:val="none" w:sz="0" w:space="0" w:color="auto" w:frame="1"/>
        </w:rPr>
        <w:t xml:space="preserve">the Holder’s </w:t>
      </w:r>
      <w:r w:rsidR="00FF0A39">
        <w:rPr>
          <w:color w:val="000000" w:themeColor="text1"/>
          <w:bdr w:val="none" w:sz="0" w:space="0" w:color="auto" w:frame="1"/>
        </w:rPr>
        <w:t>explanation</w:t>
      </w:r>
      <w:r w:rsidR="004C0EF8" w:rsidRPr="004C0EF8">
        <w:rPr>
          <w:color w:val="000000" w:themeColor="text1"/>
          <w:bdr w:val="none" w:sz="0" w:space="0" w:color="auto" w:frame="1"/>
        </w:rPr>
        <w:t xml:space="preserve">, the Department may </w:t>
      </w:r>
      <w:r w:rsidR="002C1786">
        <w:rPr>
          <w:color w:val="000000" w:themeColor="text1"/>
          <w:bdr w:val="none" w:sz="0" w:space="0" w:color="auto" w:frame="1"/>
        </w:rPr>
        <w:t xml:space="preserve">refer the matter to the Public Health Council </w:t>
      </w:r>
      <w:r w:rsidR="00FD3539" w:rsidRPr="00FD3539">
        <w:rPr>
          <w:color w:val="000000" w:themeColor="text1"/>
          <w:bdr w:val="none" w:sz="0" w:space="0" w:color="auto" w:frame="1"/>
        </w:rPr>
        <w:t xml:space="preserve">for review and </w:t>
      </w:r>
      <w:r w:rsidR="00766CD8">
        <w:rPr>
          <w:color w:val="000000" w:themeColor="text1"/>
          <w:bdr w:val="none" w:sz="0" w:space="0" w:color="auto" w:frame="1"/>
        </w:rPr>
        <w:t xml:space="preserve">consideration of the Holder’s </w:t>
      </w:r>
      <w:r w:rsidR="00FD3539" w:rsidRPr="00FD3539">
        <w:rPr>
          <w:color w:val="000000" w:themeColor="text1"/>
          <w:bdr w:val="none" w:sz="0" w:space="0" w:color="auto" w:frame="1"/>
        </w:rPr>
        <w:t>compliance with the DoN approval</w:t>
      </w:r>
      <w:r>
        <w:rPr>
          <w:color w:val="000000" w:themeColor="text1"/>
          <w:bdr w:val="none" w:sz="0" w:space="0" w:color="auto" w:frame="1"/>
        </w:rPr>
        <w:t>.</w:t>
      </w:r>
      <w:r w:rsidR="007C27F9">
        <w:rPr>
          <w:color w:val="000000" w:themeColor="text1"/>
          <w:bdr w:val="none" w:sz="0" w:space="0" w:color="auto" w:frame="1"/>
        </w:rPr>
        <w:t xml:space="preserve"> </w:t>
      </w:r>
    </w:p>
    <w:p w14:paraId="7F989F9A" w14:textId="018C7008" w:rsidR="00A454E1" w:rsidRDefault="00A454E1" w:rsidP="00A454E1">
      <w:pPr>
        <w:rPr>
          <w:color w:val="000000" w:themeColor="text1"/>
          <w:bdr w:val="none" w:sz="0" w:space="0" w:color="auto" w:frame="1"/>
        </w:rPr>
      </w:pPr>
      <w:r>
        <w:rPr>
          <w:color w:val="000000" w:themeColor="text1"/>
          <w:bdr w:val="none" w:sz="0" w:space="0" w:color="auto" w:frame="1"/>
        </w:rPr>
        <w:tab/>
      </w:r>
    </w:p>
    <w:p w14:paraId="75DBADDC" w14:textId="35B395D9" w:rsidR="00C96A8B" w:rsidRPr="000C0C27" w:rsidRDefault="00307C3E" w:rsidP="000C0C27">
      <w:pPr>
        <w:pStyle w:val="ListParagraph"/>
        <w:numPr>
          <w:ilvl w:val="0"/>
          <w:numId w:val="38"/>
        </w:numPr>
        <w:rPr>
          <w:bdr w:val="none" w:sz="0" w:space="0" w:color="auto" w:frame="1"/>
        </w:rPr>
      </w:pPr>
      <w:r w:rsidRPr="000C0C27">
        <w:rPr>
          <w:bdr w:val="none" w:sz="0" w:space="0" w:color="auto" w:frame="1"/>
        </w:rPr>
        <w:t xml:space="preserve">The Holder shall report on </w:t>
      </w:r>
      <w:r w:rsidR="007E54B4" w:rsidRPr="000C0C27">
        <w:rPr>
          <w:bdr w:val="none" w:sz="0" w:space="0" w:color="auto" w:frame="1"/>
        </w:rPr>
        <w:t>the Center’s</w:t>
      </w:r>
      <w:r w:rsidRPr="000C0C27">
        <w:rPr>
          <w:bdr w:val="none" w:sz="0" w:space="0" w:color="auto" w:frame="1"/>
        </w:rPr>
        <w:t xml:space="preserve"> patients stratified by race</w:t>
      </w:r>
      <w:r w:rsidR="00A80FFC" w:rsidRPr="000C0C27">
        <w:rPr>
          <w:bdr w:val="none" w:sz="0" w:space="0" w:color="auto" w:frame="1"/>
        </w:rPr>
        <w:t>,</w:t>
      </w:r>
      <w:r w:rsidRPr="000C0C27">
        <w:rPr>
          <w:bdr w:val="none" w:sz="0" w:space="0" w:color="auto" w:frame="1"/>
        </w:rPr>
        <w:t xml:space="preserve"> ethnicity, </w:t>
      </w:r>
      <w:r w:rsidR="00A80FFC" w:rsidRPr="000C0C27">
        <w:rPr>
          <w:bdr w:val="none" w:sz="0" w:space="0" w:color="auto" w:frame="1"/>
        </w:rPr>
        <w:t xml:space="preserve">language, zip code of residence, </w:t>
      </w:r>
      <w:r w:rsidRPr="000C0C27">
        <w:rPr>
          <w:bdr w:val="none" w:sz="0" w:space="0" w:color="auto" w:frame="1"/>
        </w:rPr>
        <w:t>and payer mix.</w:t>
      </w:r>
      <w:r w:rsidR="00C2752E" w:rsidRPr="000C0C27">
        <w:rPr>
          <w:bdr w:val="none" w:sz="0" w:space="0" w:color="auto" w:frame="1"/>
        </w:rPr>
        <w:t xml:space="preserve"> </w:t>
      </w:r>
    </w:p>
    <w:p w14:paraId="5440BE7F" w14:textId="77777777" w:rsidR="001E5DA1" w:rsidRDefault="001E5DA1" w:rsidP="001E5DA1">
      <w:pPr>
        <w:rPr>
          <w:bdr w:val="none" w:sz="0" w:space="0" w:color="auto" w:frame="1"/>
        </w:rPr>
      </w:pPr>
    </w:p>
    <w:p w14:paraId="2BED7EF5" w14:textId="1C11C1B8" w:rsidR="000E7BEE" w:rsidRDefault="000E7BEE" w:rsidP="000E7BEE">
      <w:pPr>
        <w:pStyle w:val="ListParagraph"/>
        <w:numPr>
          <w:ilvl w:val="0"/>
          <w:numId w:val="38"/>
        </w:numPr>
      </w:pPr>
      <w:r>
        <w:t xml:space="preserve">To demonstrate that clinically appropriate/routine cases continue to shift from Emerson Hospital to the Center proportional to the increase in procedure room capacity, the Holder shall report annually on total routine endoscopy procedure volume at Emerson Hospital Endoscopy Department and at the Center (count and percent). </w:t>
      </w:r>
    </w:p>
    <w:p w14:paraId="4F367E17" w14:textId="77777777" w:rsidR="000E7BEE" w:rsidRDefault="000E7BEE" w:rsidP="005656E3">
      <w:pPr>
        <w:pStyle w:val="ListParagraph"/>
        <w:ind w:left="720" w:firstLine="0"/>
      </w:pPr>
    </w:p>
    <w:p w14:paraId="2DE49FF3" w14:textId="5AA2D551" w:rsidR="00C36316" w:rsidRPr="001E5DA1" w:rsidRDefault="000E7BEE" w:rsidP="005656E3">
      <w:pPr>
        <w:pStyle w:val="ListParagraph"/>
        <w:ind w:left="720" w:firstLine="0"/>
      </w:pPr>
      <w:r>
        <w:t xml:space="preserve">The DoN Program shall review the data received in accordance with Condition </w:t>
      </w:r>
      <w:r w:rsidR="00022FAB">
        <w:t>5</w:t>
      </w:r>
      <w:r>
        <w:t>. If the DoN Program determines that the ratio of routine endoscopy procedures performed at the Center to total routine endoscopy procedures</w:t>
      </w:r>
      <w:r w:rsidR="00976617">
        <w:t xml:space="preserve"> </w:t>
      </w:r>
      <w:r w:rsidR="009A220F">
        <w:t xml:space="preserve">performed </w:t>
      </w:r>
      <w:r>
        <w:t>at the Center and Emerson Hospital has materially decreased year-over-year, the Holder shall provide to the Department an explanation for the decrease. After review of the Holder’s explanation, the Department may refer the matter to the Public Health Council for review and consideration of the Holder’s compliance with the DoN approval.</w:t>
      </w:r>
    </w:p>
    <w:p w14:paraId="18B922D6" w14:textId="77777777" w:rsidR="001E5DA1" w:rsidRPr="001E5DA1" w:rsidRDefault="001E5DA1" w:rsidP="005656E3">
      <w:pPr>
        <w:rPr>
          <w:bdr w:val="none" w:sz="0" w:space="0" w:color="auto" w:frame="1"/>
        </w:rPr>
      </w:pPr>
    </w:p>
    <w:p w14:paraId="266BD1CD" w14:textId="77777777" w:rsidR="00631BC9" w:rsidRDefault="00631BC9">
      <w:pPr>
        <w:rPr>
          <w:b/>
          <w:bCs/>
          <w:color w:val="1F497D" w:themeColor="text2"/>
          <w:sz w:val="28"/>
          <w:szCs w:val="28"/>
          <w:bdr w:val="none" w:sz="0" w:space="0" w:color="auto" w:frame="1"/>
        </w:rPr>
      </w:pPr>
      <w:r>
        <w:rPr>
          <w:color w:val="1F497D" w:themeColor="text2"/>
          <w:bdr w:val="none" w:sz="0" w:space="0" w:color="auto" w:frame="1"/>
        </w:rPr>
        <w:br w:type="page"/>
      </w:r>
    </w:p>
    <w:p w14:paraId="1681E1B5" w14:textId="230C3577" w:rsidR="00507877" w:rsidRPr="00507877" w:rsidRDefault="00507877" w:rsidP="00507877">
      <w:pPr>
        <w:pStyle w:val="Heading1"/>
        <w:ind w:left="0"/>
        <w:rPr>
          <w:color w:val="1F497D" w:themeColor="text2"/>
        </w:rPr>
      </w:pPr>
      <w:bookmarkStart w:id="33" w:name="_Toc207953809"/>
      <w:r w:rsidRPr="00507877">
        <w:rPr>
          <w:color w:val="1F497D" w:themeColor="text2"/>
          <w:bdr w:val="none" w:sz="0" w:space="0" w:color="auto" w:frame="1"/>
        </w:rPr>
        <w:lastRenderedPageBreak/>
        <w:t>Appendix I: Required Measures for Annual Reporting</w:t>
      </w:r>
      <w:bookmarkEnd w:id="33"/>
      <w:r w:rsidRPr="00507877">
        <w:rPr>
          <w:color w:val="1F497D" w:themeColor="text2"/>
          <w:bdr w:val="none" w:sz="0" w:space="0" w:color="auto" w:frame="1"/>
        </w:rPr>
        <w:t> </w:t>
      </w:r>
    </w:p>
    <w:p w14:paraId="0FBC9447" w14:textId="4A82CE4C" w:rsidR="00507877" w:rsidRDefault="00507877" w:rsidP="00507877">
      <w:pPr>
        <w:rPr>
          <w:rFonts w:eastAsia="Times New Roman" w:cs="Calibri"/>
          <w:color w:val="000000"/>
          <w:szCs w:val="24"/>
        </w:rPr>
      </w:pPr>
      <w:r>
        <w:rPr>
          <w:rFonts w:eastAsia="Times New Roman" w:cs="Calibri"/>
          <w:color w:val="000000"/>
          <w:szCs w:val="24"/>
          <w:bdr w:val="none" w:sz="0" w:space="0" w:color="auto" w:frame="1"/>
        </w:rPr>
        <w:t>The Holder shall, on an annual basis, commencing with approval of this DoN, and continuing annually for a period of five years after the Project is complete, report on the following data elements, pursuant to 105 CMR 100.310(A)(12). Reporting will include a description of numerators and denominators. </w:t>
      </w:r>
      <w:r w:rsidR="003F19E2" w:rsidRPr="003F19E2">
        <w:rPr>
          <w:rFonts w:eastAsia="Times New Roman" w:cs="Calibri"/>
          <w:color w:val="000000"/>
          <w:szCs w:val="24"/>
          <w:bdr w:val="none" w:sz="0" w:space="0" w:color="auto" w:frame="1"/>
        </w:rPr>
        <w:t>If applicable, include baseline data for measures (a year prior to implementation of DoN-approved project).</w:t>
      </w:r>
    </w:p>
    <w:p w14:paraId="375EE198" w14:textId="7C21CB76" w:rsidR="00FC4602" w:rsidRPr="003F19E2" w:rsidRDefault="00507877" w:rsidP="003F19E2">
      <w:pPr>
        <w:outlineLvl w:val="3"/>
        <w:rPr>
          <w:rFonts w:eastAsia="Times New Roman" w:cs="Calibri"/>
          <w:b/>
          <w:bCs/>
          <w:color w:val="000000"/>
          <w:szCs w:val="24"/>
        </w:rPr>
      </w:pPr>
      <w:r>
        <w:rPr>
          <w:rFonts w:eastAsia="Times New Roman" w:cs="Calibri"/>
          <w:b/>
          <w:bCs/>
          <w:color w:val="000000"/>
          <w:szCs w:val="24"/>
          <w:bdr w:val="none" w:sz="0" w:space="0" w:color="auto" w:frame="1"/>
        </w:rPr>
        <w:t> </w:t>
      </w:r>
    </w:p>
    <w:p w14:paraId="75F1D53E" w14:textId="77777777" w:rsidR="0005114C" w:rsidRPr="0005114C" w:rsidRDefault="0005114C" w:rsidP="005656E3">
      <w:pPr>
        <w:pStyle w:val="BodyText"/>
        <w:widowControl/>
        <w:numPr>
          <w:ilvl w:val="0"/>
          <w:numId w:val="55"/>
        </w:numPr>
        <w:autoSpaceDE/>
        <w:autoSpaceDN/>
        <w:spacing w:after="120"/>
        <w:jc w:val="both"/>
        <w:rPr>
          <w:rFonts w:asciiTheme="minorHAnsi" w:hAnsiTheme="minorHAnsi"/>
          <w:b/>
          <w:bCs/>
          <w:kern w:val="2"/>
        </w:rPr>
      </w:pPr>
      <w:r w:rsidRPr="0005114C">
        <w:rPr>
          <w:rFonts w:asciiTheme="minorHAnsi" w:hAnsiTheme="minorHAnsi"/>
          <w:b/>
          <w:bCs/>
          <w:kern w:val="2"/>
        </w:rPr>
        <w:t xml:space="preserve">Withdrawal Time: </w:t>
      </w:r>
      <w:r w:rsidRPr="0005114C">
        <w:rPr>
          <w:rFonts w:asciiTheme="minorHAnsi" w:hAnsiTheme="minorHAnsi"/>
          <w:kern w:val="2"/>
        </w:rPr>
        <w:t xml:space="preserve">Withdrawal time is based on the average number of minutes a physician took to withdraw the scope from the cecum during a screening colonoscopy when no maneuvers were performed. Longer withdrawal times during screening colonoscopies are associated with increased adenoma (polyp) detection rates, which is essential to making safe recommendations for intervals between screening and surveillance examinations. </w:t>
      </w:r>
    </w:p>
    <w:p w14:paraId="598EACD9" w14:textId="77777777" w:rsidR="0005114C" w:rsidRPr="0005114C" w:rsidRDefault="0005114C" w:rsidP="0005114C">
      <w:pPr>
        <w:pStyle w:val="BodyText"/>
        <w:widowControl/>
        <w:spacing w:after="120"/>
        <w:ind w:left="720"/>
        <w:jc w:val="both"/>
        <w:rPr>
          <w:rFonts w:asciiTheme="minorHAnsi" w:hAnsiTheme="minorHAnsi"/>
          <w:kern w:val="2"/>
        </w:rPr>
      </w:pPr>
      <w:bookmarkStart w:id="34" w:name="_Hlk48813784"/>
      <w:r w:rsidRPr="0005114C">
        <w:rPr>
          <w:rFonts w:asciiTheme="minorHAnsi" w:hAnsiTheme="minorHAnsi"/>
          <w:b/>
          <w:bCs/>
          <w:kern w:val="2"/>
        </w:rPr>
        <w:t xml:space="preserve">Measure: </w:t>
      </w:r>
      <w:r w:rsidRPr="0005114C">
        <w:rPr>
          <w:rFonts w:asciiTheme="minorHAnsi" w:hAnsiTheme="minorHAnsi"/>
          <w:kern w:val="2"/>
        </w:rPr>
        <w:t>Average withdrawal time in normal-result colonoscopies performed for colorectal cancer screening in average-risk patients with intact colons.</w:t>
      </w:r>
    </w:p>
    <w:p w14:paraId="5189EE74" w14:textId="77777777" w:rsidR="0005114C" w:rsidRPr="0005114C" w:rsidRDefault="0005114C" w:rsidP="0005114C">
      <w:pPr>
        <w:pStyle w:val="BodyText"/>
        <w:widowControl/>
        <w:ind w:left="720" w:firstLine="720"/>
        <w:jc w:val="both"/>
        <w:rPr>
          <w:rFonts w:asciiTheme="minorHAnsi" w:hAnsiTheme="minorHAnsi"/>
          <w:kern w:val="2"/>
        </w:rPr>
      </w:pPr>
      <w:r w:rsidRPr="0005114C">
        <w:rPr>
          <w:rFonts w:asciiTheme="minorHAnsi" w:hAnsiTheme="minorHAnsi"/>
          <w:b/>
          <w:bCs/>
          <w:kern w:val="2"/>
        </w:rPr>
        <w:t xml:space="preserve">Numerator: </w:t>
      </w:r>
      <w:r w:rsidRPr="0005114C">
        <w:rPr>
          <w:rFonts w:asciiTheme="minorHAnsi" w:hAnsiTheme="minorHAnsi"/>
          <w:kern w:val="2"/>
        </w:rPr>
        <w:t xml:space="preserve">Total number of withdrawal minutes for all patients. </w:t>
      </w:r>
      <w:r w:rsidRPr="0005114C">
        <w:rPr>
          <w:rFonts w:asciiTheme="minorHAnsi" w:hAnsiTheme="minorHAnsi"/>
          <w:b/>
          <w:bCs/>
          <w:kern w:val="2"/>
        </w:rPr>
        <w:tab/>
      </w:r>
    </w:p>
    <w:p w14:paraId="338DA804" w14:textId="77777777" w:rsidR="0005114C" w:rsidRPr="0005114C" w:rsidRDefault="0005114C" w:rsidP="0005114C">
      <w:pPr>
        <w:pStyle w:val="BodyText"/>
        <w:widowControl/>
        <w:spacing w:after="120"/>
        <w:ind w:left="720" w:firstLine="720"/>
        <w:jc w:val="both"/>
        <w:rPr>
          <w:rFonts w:asciiTheme="minorHAnsi" w:hAnsiTheme="minorHAnsi"/>
          <w:kern w:val="2"/>
        </w:rPr>
      </w:pPr>
      <w:r w:rsidRPr="0005114C">
        <w:rPr>
          <w:rFonts w:asciiTheme="minorHAnsi" w:hAnsiTheme="minorHAnsi"/>
          <w:b/>
          <w:bCs/>
          <w:kern w:val="2"/>
        </w:rPr>
        <w:t xml:space="preserve">Denominator: </w:t>
      </w:r>
      <w:r w:rsidRPr="0005114C">
        <w:rPr>
          <w:rFonts w:asciiTheme="minorHAnsi" w:hAnsiTheme="minorHAnsi"/>
          <w:kern w:val="2"/>
        </w:rPr>
        <w:t xml:space="preserve">Total number of patients. </w:t>
      </w:r>
    </w:p>
    <w:tbl>
      <w:tblPr>
        <w:tblStyle w:val="TableGrid"/>
        <w:tblW w:w="0" w:type="auto"/>
        <w:tblInd w:w="720" w:type="dxa"/>
        <w:tblLook w:val="04A0" w:firstRow="1" w:lastRow="0" w:firstColumn="1" w:lastColumn="0" w:noHBand="0" w:noVBand="1"/>
      </w:tblPr>
      <w:tblGrid>
        <w:gridCol w:w="2240"/>
        <w:gridCol w:w="1896"/>
      </w:tblGrid>
      <w:tr w:rsidR="0005114C" w:rsidRPr="0005114C" w14:paraId="4A392289" w14:textId="77777777" w:rsidTr="0005114C">
        <w:tc>
          <w:tcPr>
            <w:tcW w:w="0" w:type="auto"/>
            <w:shd w:val="clear" w:color="auto" w:fill="DBE5F1" w:themeFill="accent1" w:themeFillTint="33"/>
          </w:tcPr>
          <w:p w14:paraId="5C736D0E" w14:textId="77777777" w:rsidR="0005114C" w:rsidRPr="0005114C" w:rsidRDefault="0005114C" w:rsidP="00EA224C">
            <w:pPr>
              <w:pStyle w:val="BodyText"/>
              <w:widowControl/>
              <w:jc w:val="both"/>
              <w:rPr>
                <w:rFonts w:asciiTheme="minorHAnsi" w:hAnsiTheme="minorHAnsi"/>
                <w:b/>
                <w:bCs/>
                <w:kern w:val="2"/>
              </w:rPr>
            </w:pPr>
            <w:r w:rsidRPr="0005114C">
              <w:rPr>
                <w:rFonts w:asciiTheme="minorHAnsi" w:hAnsiTheme="minorHAnsi"/>
                <w:b/>
                <w:bCs/>
                <w:kern w:val="2"/>
              </w:rPr>
              <w:t>Quality Measure #1</w:t>
            </w:r>
          </w:p>
        </w:tc>
        <w:tc>
          <w:tcPr>
            <w:tcW w:w="0" w:type="auto"/>
            <w:shd w:val="clear" w:color="auto" w:fill="DBE5F1" w:themeFill="accent1" w:themeFillTint="33"/>
          </w:tcPr>
          <w:p w14:paraId="532B967D" w14:textId="77777777" w:rsidR="0005114C" w:rsidRPr="0005114C" w:rsidRDefault="0005114C" w:rsidP="0005114C">
            <w:pPr>
              <w:pStyle w:val="BodyText"/>
              <w:widowControl/>
              <w:jc w:val="center"/>
              <w:rPr>
                <w:rFonts w:asciiTheme="minorHAnsi" w:hAnsiTheme="minorHAnsi"/>
                <w:b/>
                <w:bCs/>
                <w:kern w:val="2"/>
              </w:rPr>
            </w:pPr>
            <w:r w:rsidRPr="0005114C">
              <w:rPr>
                <w:rFonts w:asciiTheme="minorHAnsi" w:hAnsiTheme="minorHAnsi"/>
                <w:b/>
                <w:bCs/>
                <w:kern w:val="2"/>
              </w:rPr>
              <w:t>Withdrawal time</w:t>
            </w:r>
          </w:p>
        </w:tc>
      </w:tr>
      <w:tr w:rsidR="0005114C" w:rsidRPr="0005114C" w14:paraId="5EE48537" w14:textId="77777777" w:rsidTr="0005114C">
        <w:tc>
          <w:tcPr>
            <w:tcW w:w="0" w:type="auto"/>
          </w:tcPr>
          <w:p w14:paraId="0CEEB58B" w14:textId="77777777" w:rsidR="0005114C" w:rsidRPr="0005114C" w:rsidRDefault="0005114C" w:rsidP="00EA224C">
            <w:pPr>
              <w:pStyle w:val="BodyText"/>
              <w:widowControl/>
              <w:jc w:val="both"/>
              <w:rPr>
                <w:rFonts w:asciiTheme="minorHAnsi" w:hAnsiTheme="minorHAnsi"/>
                <w:kern w:val="2"/>
              </w:rPr>
            </w:pPr>
            <w:r w:rsidRPr="0005114C">
              <w:rPr>
                <w:rFonts w:asciiTheme="minorHAnsi" w:hAnsiTheme="minorHAnsi"/>
                <w:kern w:val="2"/>
              </w:rPr>
              <w:t>2024 Baseline</w:t>
            </w:r>
          </w:p>
        </w:tc>
        <w:tc>
          <w:tcPr>
            <w:tcW w:w="0" w:type="auto"/>
          </w:tcPr>
          <w:p w14:paraId="3CB74BD2" w14:textId="17F6BE7D" w:rsidR="0005114C" w:rsidRPr="0005114C" w:rsidRDefault="0005114C" w:rsidP="0005114C">
            <w:pPr>
              <w:pStyle w:val="BodyText"/>
              <w:widowControl/>
              <w:jc w:val="center"/>
              <w:rPr>
                <w:rFonts w:asciiTheme="minorHAnsi" w:hAnsiTheme="minorHAnsi"/>
                <w:kern w:val="2"/>
              </w:rPr>
            </w:pPr>
            <w:r w:rsidRPr="0005114C">
              <w:rPr>
                <w:rFonts w:asciiTheme="minorHAnsi" w:hAnsiTheme="minorHAnsi"/>
                <w:kern w:val="2"/>
              </w:rPr>
              <w:t>11.71 minutes</w:t>
            </w:r>
          </w:p>
        </w:tc>
      </w:tr>
      <w:tr w:rsidR="0005114C" w:rsidRPr="0005114C" w14:paraId="5FD30927" w14:textId="77777777" w:rsidTr="0005114C">
        <w:tc>
          <w:tcPr>
            <w:tcW w:w="0" w:type="auto"/>
          </w:tcPr>
          <w:p w14:paraId="7FD76538" w14:textId="77777777" w:rsidR="0005114C" w:rsidRPr="0005114C" w:rsidRDefault="0005114C" w:rsidP="00EA224C">
            <w:pPr>
              <w:pStyle w:val="BodyText"/>
              <w:widowControl/>
              <w:jc w:val="both"/>
              <w:rPr>
                <w:rFonts w:asciiTheme="minorHAnsi" w:hAnsiTheme="minorHAnsi"/>
                <w:kern w:val="2"/>
              </w:rPr>
            </w:pPr>
            <w:r w:rsidRPr="0005114C">
              <w:rPr>
                <w:rFonts w:asciiTheme="minorHAnsi" w:hAnsiTheme="minorHAnsi"/>
                <w:kern w:val="2"/>
              </w:rPr>
              <w:t xml:space="preserve">Years 1-5 Projections </w:t>
            </w:r>
          </w:p>
        </w:tc>
        <w:tc>
          <w:tcPr>
            <w:tcW w:w="0" w:type="auto"/>
            <w:shd w:val="clear" w:color="auto" w:fill="FFFFFF" w:themeFill="background1"/>
          </w:tcPr>
          <w:p w14:paraId="0553182C" w14:textId="70242B83" w:rsidR="0005114C" w:rsidRPr="0005114C" w:rsidRDefault="005779E3" w:rsidP="005656E3">
            <w:pPr>
              <w:pStyle w:val="BodyText"/>
              <w:widowControl/>
              <w:numPr>
                <w:ilvl w:val="0"/>
                <w:numId w:val="54"/>
              </w:numPr>
              <w:jc w:val="center"/>
              <w:rPr>
                <w:rFonts w:asciiTheme="minorHAnsi" w:hAnsiTheme="minorHAnsi"/>
                <w:kern w:val="2"/>
              </w:rPr>
            </w:pPr>
            <w:r w:rsidRPr="0005114C">
              <w:rPr>
                <w:rFonts w:asciiTheme="minorHAnsi" w:hAnsiTheme="minorHAnsi"/>
                <w:kern w:val="2"/>
              </w:rPr>
              <w:t>minutes</w:t>
            </w:r>
          </w:p>
        </w:tc>
      </w:tr>
      <w:bookmarkEnd w:id="34"/>
    </w:tbl>
    <w:p w14:paraId="3E130DB6" w14:textId="77777777" w:rsidR="0005114C" w:rsidRPr="0005114C" w:rsidRDefault="0005114C" w:rsidP="0005114C">
      <w:pPr>
        <w:pStyle w:val="BodyText"/>
        <w:widowControl/>
        <w:spacing w:after="120"/>
        <w:jc w:val="both"/>
        <w:rPr>
          <w:rFonts w:asciiTheme="minorHAnsi" w:hAnsiTheme="minorHAnsi"/>
          <w:b/>
          <w:bCs/>
          <w:kern w:val="2"/>
        </w:rPr>
      </w:pPr>
    </w:p>
    <w:p w14:paraId="7C01D236" w14:textId="77777777" w:rsidR="0005114C" w:rsidRPr="0005114C" w:rsidRDefault="0005114C" w:rsidP="005656E3">
      <w:pPr>
        <w:pStyle w:val="BodyText"/>
        <w:widowControl/>
        <w:numPr>
          <w:ilvl w:val="0"/>
          <w:numId w:val="55"/>
        </w:numPr>
        <w:autoSpaceDE/>
        <w:autoSpaceDN/>
        <w:jc w:val="both"/>
        <w:rPr>
          <w:rFonts w:asciiTheme="minorHAnsi" w:hAnsiTheme="minorHAnsi"/>
          <w:b/>
          <w:bCs/>
          <w:kern w:val="2"/>
        </w:rPr>
      </w:pPr>
      <w:r w:rsidRPr="0005114C">
        <w:rPr>
          <w:rFonts w:asciiTheme="minorHAnsi" w:hAnsiTheme="minorHAnsi"/>
          <w:b/>
          <w:bCs/>
          <w:kern w:val="2"/>
        </w:rPr>
        <w:t xml:space="preserve">Adenoma Detection Rate: </w:t>
      </w:r>
      <w:r w:rsidRPr="0005114C">
        <w:rPr>
          <w:rFonts w:asciiTheme="minorHAnsi" w:hAnsiTheme="minorHAnsi"/>
          <w:kern w:val="2"/>
        </w:rPr>
        <w:t>The Adenoma Detection Rate (ADR) is the minimum target for adenomas detected among an individual provider’s patient panel.  An increased ADR is associated with a reduction in CRC incidence and a reduction of cancer mortality.</w:t>
      </w:r>
      <w:r w:rsidRPr="0005114C">
        <w:rPr>
          <w:rStyle w:val="FootnoteReference"/>
          <w:rFonts w:asciiTheme="minorHAnsi" w:hAnsiTheme="minorHAnsi"/>
          <w:kern w:val="2"/>
        </w:rPr>
        <w:footnoteReference w:id="30"/>
      </w:r>
      <w:r w:rsidRPr="0005114C">
        <w:rPr>
          <w:rFonts w:asciiTheme="minorHAnsi" w:hAnsiTheme="minorHAnsi"/>
          <w:kern w:val="2"/>
        </w:rPr>
        <w:t xml:space="preserve"> </w:t>
      </w:r>
    </w:p>
    <w:p w14:paraId="6CEA4C50" w14:textId="77777777" w:rsidR="0005114C" w:rsidRPr="0005114C" w:rsidRDefault="0005114C" w:rsidP="0005114C">
      <w:pPr>
        <w:pStyle w:val="BodyText"/>
        <w:ind w:left="720"/>
        <w:jc w:val="both"/>
        <w:rPr>
          <w:rFonts w:asciiTheme="minorHAnsi" w:hAnsiTheme="minorHAnsi"/>
          <w:kern w:val="2"/>
        </w:rPr>
      </w:pPr>
      <w:r w:rsidRPr="0005114C">
        <w:rPr>
          <w:rFonts w:asciiTheme="minorHAnsi" w:hAnsiTheme="minorHAnsi"/>
          <w:b/>
          <w:bCs/>
          <w:kern w:val="2"/>
        </w:rPr>
        <w:t xml:space="preserve">Measure: </w:t>
      </w:r>
      <w:r w:rsidRPr="0005114C">
        <w:rPr>
          <w:rFonts w:asciiTheme="minorHAnsi" w:hAnsiTheme="minorHAnsi"/>
          <w:kern w:val="2"/>
        </w:rPr>
        <w:t xml:space="preserve">Average rate of adenoma detection among an endoscopist’s patient panel ages 50 years or older. </w:t>
      </w:r>
    </w:p>
    <w:p w14:paraId="737E8C13" w14:textId="77777777" w:rsidR="0005114C" w:rsidRPr="0005114C" w:rsidRDefault="0005114C" w:rsidP="0005114C">
      <w:pPr>
        <w:adjustRightInd w:val="0"/>
        <w:ind w:left="1440"/>
        <w:rPr>
          <w:rFonts w:asciiTheme="minorHAnsi" w:hAnsiTheme="minorHAnsi"/>
          <w:szCs w:val="24"/>
        </w:rPr>
      </w:pPr>
      <w:r w:rsidRPr="0005114C">
        <w:rPr>
          <w:rFonts w:asciiTheme="minorHAnsi" w:hAnsiTheme="minorHAnsi"/>
          <w:b/>
          <w:bCs/>
          <w:szCs w:val="24"/>
        </w:rPr>
        <w:t>Numerator:</w:t>
      </w:r>
      <w:r w:rsidRPr="0005114C">
        <w:rPr>
          <w:rFonts w:asciiTheme="minorHAnsi" w:hAnsiTheme="minorHAnsi"/>
          <w:szCs w:val="24"/>
        </w:rPr>
        <w:t xml:space="preserve"> The number of procedures for patients over 50 years of age where at least one adenoma was detected.</w:t>
      </w:r>
    </w:p>
    <w:p w14:paraId="58D0AE36" w14:textId="77777777" w:rsidR="0005114C" w:rsidRDefault="0005114C" w:rsidP="0005114C">
      <w:pPr>
        <w:adjustRightInd w:val="0"/>
        <w:ind w:left="720" w:firstLine="720"/>
        <w:rPr>
          <w:rFonts w:asciiTheme="minorHAnsi" w:hAnsiTheme="minorHAnsi"/>
          <w:szCs w:val="24"/>
        </w:rPr>
      </w:pPr>
      <w:r w:rsidRPr="0005114C">
        <w:rPr>
          <w:rFonts w:asciiTheme="minorHAnsi" w:hAnsiTheme="minorHAnsi"/>
          <w:b/>
          <w:bCs/>
          <w:szCs w:val="24"/>
        </w:rPr>
        <w:t xml:space="preserve">Denominator: </w:t>
      </w:r>
      <w:r w:rsidRPr="0005114C">
        <w:rPr>
          <w:rFonts w:asciiTheme="minorHAnsi" w:hAnsiTheme="minorHAnsi"/>
          <w:szCs w:val="24"/>
        </w:rPr>
        <w:t>Total number of procedures for patients over 50 years of age.</w:t>
      </w:r>
    </w:p>
    <w:p w14:paraId="1ABD5A67" w14:textId="77777777" w:rsidR="0005114C" w:rsidRPr="0005114C" w:rsidRDefault="0005114C" w:rsidP="0005114C">
      <w:pPr>
        <w:adjustRightInd w:val="0"/>
        <w:ind w:left="720" w:firstLine="720"/>
        <w:rPr>
          <w:rFonts w:asciiTheme="minorHAnsi" w:hAnsiTheme="minorHAnsi"/>
          <w:szCs w:val="24"/>
        </w:rPr>
      </w:pPr>
    </w:p>
    <w:tbl>
      <w:tblPr>
        <w:tblStyle w:val="TableGrid"/>
        <w:tblW w:w="0" w:type="auto"/>
        <w:tblInd w:w="720" w:type="dxa"/>
        <w:tblLook w:val="04A0" w:firstRow="1" w:lastRow="0" w:firstColumn="1" w:lastColumn="0" w:noHBand="0" w:noVBand="1"/>
      </w:tblPr>
      <w:tblGrid>
        <w:gridCol w:w="2265"/>
        <w:gridCol w:w="1837"/>
        <w:gridCol w:w="1162"/>
        <w:gridCol w:w="1494"/>
      </w:tblGrid>
      <w:tr w:rsidR="0005114C" w:rsidRPr="0005114C" w14:paraId="50CE3EFA" w14:textId="77777777" w:rsidTr="0005114C">
        <w:tc>
          <w:tcPr>
            <w:tcW w:w="0" w:type="auto"/>
            <w:shd w:val="clear" w:color="auto" w:fill="DBE5F1" w:themeFill="accent1" w:themeFillTint="33"/>
          </w:tcPr>
          <w:p w14:paraId="58B82A74" w14:textId="77777777" w:rsidR="0005114C" w:rsidRPr="0005114C" w:rsidRDefault="0005114C" w:rsidP="00EA224C">
            <w:pPr>
              <w:adjustRightInd w:val="0"/>
              <w:rPr>
                <w:rFonts w:asciiTheme="minorHAnsi" w:hAnsiTheme="minorHAnsi"/>
                <w:b/>
                <w:bCs/>
                <w:szCs w:val="24"/>
              </w:rPr>
            </w:pPr>
            <w:r w:rsidRPr="0005114C">
              <w:rPr>
                <w:rFonts w:asciiTheme="minorHAnsi" w:hAnsiTheme="minorHAnsi"/>
                <w:b/>
                <w:bCs/>
                <w:szCs w:val="24"/>
              </w:rPr>
              <w:t>Quality Measure #2</w:t>
            </w:r>
          </w:p>
        </w:tc>
        <w:tc>
          <w:tcPr>
            <w:tcW w:w="0" w:type="auto"/>
            <w:shd w:val="clear" w:color="auto" w:fill="DBE5F1" w:themeFill="accent1" w:themeFillTint="33"/>
          </w:tcPr>
          <w:p w14:paraId="2C418001" w14:textId="01EDB99F" w:rsidR="0005114C" w:rsidRPr="0005114C" w:rsidRDefault="0005114C" w:rsidP="0005114C">
            <w:pPr>
              <w:adjustRightInd w:val="0"/>
              <w:jc w:val="center"/>
              <w:rPr>
                <w:rFonts w:asciiTheme="minorHAnsi" w:hAnsiTheme="minorHAnsi"/>
                <w:b/>
                <w:bCs/>
                <w:szCs w:val="24"/>
              </w:rPr>
            </w:pPr>
            <w:r w:rsidRPr="0005114C">
              <w:rPr>
                <w:rFonts w:asciiTheme="minorHAnsi" w:hAnsiTheme="minorHAnsi"/>
                <w:b/>
                <w:bCs/>
                <w:szCs w:val="24"/>
              </w:rPr>
              <w:t>ADR All Patients</w:t>
            </w:r>
          </w:p>
        </w:tc>
        <w:tc>
          <w:tcPr>
            <w:tcW w:w="0" w:type="auto"/>
            <w:shd w:val="clear" w:color="auto" w:fill="DBE5F1" w:themeFill="accent1" w:themeFillTint="33"/>
          </w:tcPr>
          <w:p w14:paraId="67D8745D" w14:textId="77777777" w:rsidR="0005114C" w:rsidRPr="0005114C" w:rsidRDefault="0005114C" w:rsidP="0005114C">
            <w:pPr>
              <w:adjustRightInd w:val="0"/>
              <w:jc w:val="center"/>
              <w:rPr>
                <w:rFonts w:asciiTheme="minorHAnsi" w:hAnsiTheme="minorHAnsi"/>
                <w:b/>
                <w:bCs/>
                <w:szCs w:val="24"/>
              </w:rPr>
            </w:pPr>
            <w:r w:rsidRPr="0005114C">
              <w:rPr>
                <w:rFonts w:asciiTheme="minorHAnsi" w:hAnsiTheme="minorHAnsi"/>
                <w:b/>
                <w:bCs/>
                <w:szCs w:val="24"/>
              </w:rPr>
              <w:t>ADR Men</w:t>
            </w:r>
          </w:p>
        </w:tc>
        <w:tc>
          <w:tcPr>
            <w:tcW w:w="0" w:type="auto"/>
            <w:shd w:val="clear" w:color="auto" w:fill="DBE5F1" w:themeFill="accent1" w:themeFillTint="33"/>
          </w:tcPr>
          <w:p w14:paraId="75F4F0FE" w14:textId="77777777" w:rsidR="0005114C" w:rsidRPr="0005114C" w:rsidRDefault="0005114C" w:rsidP="0005114C">
            <w:pPr>
              <w:adjustRightInd w:val="0"/>
              <w:jc w:val="center"/>
              <w:rPr>
                <w:rFonts w:asciiTheme="minorHAnsi" w:hAnsiTheme="minorHAnsi"/>
                <w:b/>
                <w:bCs/>
                <w:szCs w:val="24"/>
              </w:rPr>
            </w:pPr>
            <w:r w:rsidRPr="0005114C">
              <w:rPr>
                <w:rFonts w:asciiTheme="minorHAnsi" w:hAnsiTheme="minorHAnsi"/>
                <w:b/>
                <w:bCs/>
                <w:szCs w:val="24"/>
              </w:rPr>
              <w:t>ADR Women</w:t>
            </w:r>
          </w:p>
        </w:tc>
      </w:tr>
      <w:tr w:rsidR="0005114C" w:rsidRPr="0005114C" w14:paraId="4F39BB0F" w14:textId="77777777" w:rsidTr="0005114C">
        <w:tc>
          <w:tcPr>
            <w:tcW w:w="0" w:type="auto"/>
          </w:tcPr>
          <w:p w14:paraId="1352DCA8" w14:textId="77777777" w:rsidR="0005114C" w:rsidRPr="0005114C" w:rsidRDefault="0005114C" w:rsidP="00EA224C">
            <w:pPr>
              <w:adjustRightInd w:val="0"/>
              <w:rPr>
                <w:rFonts w:asciiTheme="minorHAnsi" w:hAnsiTheme="minorHAnsi"/>
                <w:szCs w:val="24"/>
              </w:rPr>
            </w:pPr>
            <w:r w:rsidRPr="0005114C">
              <w:rPr>
                <w:rFonts w:asciiTheme="minorHAnsi" w:hAnsiTheme="minorHAnsi"/>
                <w:szCs w:val="24"/>
              </w:rPr>
              <w:t>2024 Baseline</w:t>
            </w:r>
          </w:p>
        </w:tc>
        <w:tc>
          <w:tcPr>
            <w:tcW w:w="0" w:type="auto"/>
          </w:tcPr>
          <w:p w14:paraId="6CE7D8B8" w14:textId="77777777" w:rsidR="0005114C" w:rsidRPr="0005114C" w:rsidRDefault="0005114C" w:rsidP="0005114C">
            <w:pPr>
              <w:adjustRightInd w:val="0"/>
              <w:jc w:val="center"/>
              <w:rPr>
                <w:rFonts w:asciiTheme="minorHAnsi" w:hAnsiTheme="minorHAnsi"/>
                <w:szCs w:val="24"/>
              </w:rPr>
            </w:pPr>
            <w:r w:rsidRPr="0005114C">
              <w:rPr>
                <w:rFonts w:asciiTheme="minorHAnsi" w:hAnsiTheme="minorHAnsi"/>
                <w:szCs w:val="24"/>
              </w:rPr>
              <w:t>52.0%</w:t>
            </w:r>
          </w:p>
        </w:tc>
        <w:tc>
          <w:tcPr>
            <w:tcW w:w="0" w:type="auto"/>
          </w:tcPr>
          <w:p w14:paraId="1571F3D2" w14:textId="77777777" w:rsidR="0005114C" w:rsidRPr="0005114C" w:rsidRDefault="0005114C" w:rsidP="0005114C">
            <w:pPr>
              <w:adjustRightInd w:val="0"/>
              <w:jc w:val="center"/>
              <w:rPr>
                <w:rFonts w:asciiTheme="minorHAnsi" w:hAnsiTheme="minorHAnsi"/>
                <w:szCs w:val="24"/>
              </w:rPr>
            </w:pPr>
            <w:r w:rsidRPr="0005114C">
              <w:rPr>
                <w:rFonts w:asciiTheme="minorHAnsi" w:hAnsiTheme="minorHAnsi"/>
                <w:szCs w:val="24"/>
              </w:rPr>
              <w:t>56.1%</w:t>
            </w:r>
          </w:p>
        </w:tc>
        <w:tc>
          <w:tcPr>
            <w:tcW w:w="0" w:type="auto"/>
          </w:tcPr>
          <w:p w14:paraId="4FA38532" w14:textId="77777777" w:rsidR="0005114C" w:rsidRPr="0005114C" w:rsidRDefault="0005114C" w:rsidP="0005114C">
            <w:pPr>
              <w:adjustRightInd w:val="0"/>
              <w:jc w:val="center"/>
              <w:rPr>
                <w:rFonts w:asciiTheme="minorHAnsi" w:hAnsiTheme="minorHAnsi"/>
                <w:szCs w:val="24"/>
              </w:rPr>
            </w:pPr>
            <w:r w:rsidRPr="0005114C">
              <w:rPr>
                <w:rFonts w:asciiTheme="minorHAnsi" w:hAnsiTheme="minorHAnsi"/>
                <w:szCs w:val="24"/>
              </w:rPr>
              <w:t>48.6%</w:t>
            </w:r>
          </w:p>
        </w:tc>
      </w:tr>
      <w:tr w:rsidR="0005114C" w:rsidRPr="0005114C" w14:paraId="3259F72A" w14:textId="77777777" w:rsidTr="0005114C">
        <w:tc>
          <w:tcPr>
            <w:tcW w:w="0" w:type="auto"/>
          </w:tcPr>
          <w:p w14:paraId="74CA1DDD" w14:textId="77777777" w:rsidR="0005114C" w:rsidRPr="0005114C" w:rsidRDefault="0005114C" w:rsidP="00EA224C">
            <w:pPr>
              <w:adjustRightInd w:val="0"/>
              <w:rPr>
                <w:rFonts w:asciiTheme="minorHAnsi" w:hAnsiTheme="minorHAnsi"/>
                <w:szCs w:val="24"/>
              </w:rPr>
            </w:pPr>
            <w:r w:rsidRPr="0005114C">
              <w:rPr>
                <w:rFonts w:asciiTheme="minorHAnsi" w:hAnsiTheme="minorHAnsi"/>
                <w:szCs w:val="24"/>
              </w:rPr>
              <w:t>Years 1-5 Projections</w:t>
            </w:r>
          </w:p>
        </w:tc>
        <w:tc>
          <w:tcPr>
            <w:tcW w:w="0" w:type="auto"/>
            <w:shd w:val="clear" w:color="auto" w:fill="FFFFFF" w:themeFill="background1"/>
          </w:tcPr>
          <w:p w14:paraId="08E8AB50" w14:textId="77777777" w:rsidR="0005114C" w:rsidRPr="0005114C" w:rsidRDefault="0005114C" w:rsidP="0005114C">
            <w:pPr>
              <w:adjustRightInd w:val="0"/>
              <w:jc w:val="center"/>
              <w:rPr>
                <w:rFonts w:asciiTheme="minorHAnsi" w:hAnsiTheme="minorHAnsi"/>
                <w:szCs w:val="24"/>
              </w:rPr>
            </w:pPr>
            <w:r w:rsidRPr="0005114C">
              <w:rPr>
                <w:rFonts w:asciiTheme="minorHAnsi" w:hAnsiTheme="minorHAnsi"/>
                <w:szCs w:val="24"/>
              </w:rPr>
              <w:t>54.7%</w:t>
            </w:r>
          </w:p>
        </w:tc>
        <w:tc>
          <w:tcPr>
            <w:tcW w:w="0" w:type="auto"/>
            <w:shd w:val="clear" w:color="auto" w:fill="FFFFFF" w:themeFill="background1"/>
          </w:tcPr>
          <w:p w14:paraId="6100D1A2" w14:textId="77777777" w:rsidR="0005114C" w:rsidRPr="0005114C" w:rsidRDefault="0005114C" w:rsidP="0005114C">
            <w:pPr>
              <w:adjustRightInd w:val="0"/>
              <w:jc w:val="center"/>
              <w:rPr>
                <w:rFonts w:asciiTheme="minorHAnsi" w:hAnsiTheme="minorHAnsi"/>
                <w:szCs w:val="24"/>
              </w:rPr>
            </w:pPr>
            <w:r w:rsidRPr="0005114C">
              <w:rPr>
                <w:rFonts w:asciiTheme="minorHAnsi" w:hAnsiTheme="minorHAnsi"/>
                <w:szCs w:val="24"/>
              </w:rPr>
              <w:t>60.2%</w:t>
            </w:r>
          </w:p>
        </w:tc>
        <w:tc>
          <w:tcPr>
            <w:tcW w:w="0" w:type="auto"/>
            <w:shd w:val="clear" w:color="auto" w:fill="FFFFFF" w:themeFill="background1"/>
          </w:tcPr>
          <w:p w14:paraId="77772F2E" w14:textId="77777777" w:rsidR="0005114C" w:rsidRPr="0005114C" w:rsidRDefault="0005114C" w:rsidP="0005114C">
            <w:pPr>
              <w:adjustRightInd w:val="0"/>
              <w:jc w:val="center"/>
              <w:rPr>
                <w:rFonts w:asciiTheme="minorHAnsi" w:hAnsiTheme="minorHAnsi"/>
                <w:szCs w:val="24"/>
              </w:rPr>
            </w:pPr>
            <w:r w:rsidRPr="0005114C">
              <w:rPr>
                <w:rFonts w:asciiTheme="minorHAnsi" w:hAnsiTheme="minorHAnsi"/>
                <w:szCs w:val="24"/>
              </w:rPr>
              <w:t>49.1%</w:t>
            </w:r>
          </w:p>
        </w:tc>
      </w:tr>
    </w:tbl>
    <w:p w14:paraId="406BDF0C" w14:textId="77777777" w:rsidR="0005114C" w:rsidRDefault="0005114C" w:rsidP="0005114C">
      <w:pPr>
        <w:pStyle w:val="BodyText"/>
        <w:spacing w:after="120"/>
        <w:jc w:val="both"/>
        <w:rPr>
          <w:rFonts w:asciiTheme="minorHAnsi" w:hAnsiTheme="minorHAnsi"/>
          <w:kern w:val="2"/>
        </w:rPr>
      </w:pPr>
    </w:p>
    <w:p w14:paraId="7F8DCE88" w14:textId="29FEE80D" w:rsidR="00B9641E" w:rsidRPr="0005114C" w:rsidRDefault="00B9641E" w:rsidP="00445EF8">
      <w:pPr>
        <w:pStyle w:val="BodyText"/>
        <w:spacing w:after="120"/>
        <w:ind w:left="450"/>
        <w:jc w:val="both"/>
        <w:rPr>
          <w:rFonts w:asciiTheme="minorHAnsi" w:hAnsiTheme="minorHAnsi"/>
          <w:kern w:val="2"/>
        </w:rPr>
      </w:pPr>
      <w:r w:rsidRPr="00B9641E">
        <w:rPr>
          <w:rFonts w:asciiTheme="minorHAnsi" w:hAnsiTheme="minorHAnsi"/>
          <w:b/>
          <w:bCs/>
          <w:kern w:val="2"/>
        </w:rPr>
        <w:t>Measure:</w:t>
      </w:r>
      <w:r>
        <w:rPr>
          <w:rFonts w:asciiTheme="minorHAnsi" w:hAnsiTheme="minorHAnsi"/>
          <w:kern w:val="2"/>
        </w:rPr>
        <w:t xml:space="preserve"> </w:t>
      </w:r>
      <w:r w:rsidRPr="00B9641E">
        <w:rPr>
          <w:rFonts w:asciiTheme="minorHAnsi" w:hAnsiTheme="minorHAnsi"/>
          <w:kern w:val="2"/>
        </w:rPr>
        <w:t>The Holder shall report annually on the Adenoma Detection Rate stratified by race</w:t>
      </w:r>
      <w:r>
        <w:rPr>
          <w:rFonts w:asciiTheme="minorHAnsi" w:hAnsiTheme="minorHAnsi"/>
          <w:kern w:val="2"/>
        </w:rPr>
        <w:t xml:space="preserve"> and </w:t>
      </w:r>
      <w:r w:rsidRPr="00B9641E">
        <w:rPr>
          <w:rFonts w:asciiTheme="minorHAnsi" w:hAnsiTheme="minorHAnsi"/>
          <w:kern w:val="2"/>
        </w:rPr>
        <w:t xml:space="preserve">ethnicity, and by </w:t>
      </w:r>
      <w:r>
        <w:rPr>
          <w:rFonts w:asciiTheme="minorHAnsi" w:hAnsiTheme="minorHAnsi"/>
          <w:kern w:val="2"/>
        </w:rPr>
        <w:t>payer mix</w:t>
      </w:r>
      <w:r w:rsidRPr="00B9641E">
        <w:rPr>
          <w:rFonts w:asciiTheme="minorHAnsi" w:hAnsiTheme="minorHAnsi"/>
          <w:kern w:val="2"/>
        </w:rPr>
        <w:t>.</w:t>
      </w:r>
    </w:p>
    <w:p w14:paraId="68092CB0" w14:textId="77777777" w:rsidR="007B13E2" w:rsidRDefault="007B13E2" w:rsidP="007B13E2">
      <w:pPr>
        <w:pStyle w:val="BodyText"/>
        <w:widowControl/>
        <w:spacing w:after="120"/>
        <w:ind w:left="450" w:hanging="450"/>
        <w:jc w:val="both"/>
        <w:rPr>
          <w:rFonts w:asciiTheme="minorHAnsi" w:hAnsiTheme="minorHAnsi"/>
          <w:b/>
          <w:bCs/>
          <w:kern w:val="2"/>
        </w:rPr>
      </w:pPr>
    </w:p>
    <w:p w14:paraId="0558B291" w14:textId="01DFA3E7" w:rsidR="0005114C" w:rsidRPr="005656E3" w:rsidRDefault="0005114C" w:rsidP="005656E3">
      <w:pPr>
        <w:pStyle w:val="BodyText"/>
        <w:widowControl/>
        <w:numPr>
          <w:ilvl w:val="0"/>
          <w:numId w:val="55"/>
        </w:numPr>
        <w:spacing w:after="120"/>
        <w:jc w:val="both"/>
        <w:rPr>
          <w:rFonts w:asciiTheme="minorHAnsi" w:hAnsiTheme="minorHAnsi"/>
          <w:b/>
          <w:bCs/>
          <w:kern w:val="2"/>
        </w:rPr>
      </w:pPr>
      <w:r w:rsidRPr="00976617">
        <w:rPr>
          <w:rFonts w:asciiTheme="minorHAnsi" w:hAnsiTheme="minorHAnsi"/>
          <w:b/>
          <w:bCs/>
          <w:kern w:val="2"/>
        </w:rPr>
        <w:t xml:space="preserve">Post-Procedure Infection – </w:t>
      </w:r>
      <w:r w:rsidRPr="00976617">
        <w:rPr>
          <w:rFonts w:asciiTheme="minorHAnsi" w:hAnsiTheme="minorHAnsi"/>
          <w:kern w:val="2"/>
        </w:rPr>
        <w:t xml:space="preserve">This measure evaluates the number of patients with post-procedure infections. </w:t>
      </w:r>
    </w:p>
    <w:p w14:paraId="36C72B09" w14:textId="77777777" w:rsidR="0005114C" w:rsidRPr="0005114C" w:rsidRDefault="0005114C" w:rsidP="0005114C">
      <w:pPr>
        <w:pStyle w:val="BodyText"/>
        <w:spacing w:after="120"/>
        <w:ind w:left="720"/>
        <w:jc w:val="both"/>
        <w:rPr>
          <w:rFonts w:asciiTheme="minorHAnsi" w:hAnsiTheme="minorHAnsi"/>
          <w:kern w:val="2"/>
        </w:rPr>
      </w:pPr>
      <w:r w:rsidRPr="0005114C">
        <w:rPr>
          <w:rFonts w:asciiTheme="minorHAnsi" w:hAnsiTheme="minorHAnsi"/>
          <w:b/>
          <w:bCs/>
          <w:kern w:val="2"/>
        </w:rPr>
        <w:lastRenderedPageBreak/>
        <w:t xml:space="preserve">Measure: </w:t>
      </w:r>
      <w:r w:rsidRPr="0005114C">
        <w:rPr>
          <w:rFonts w:asciiTheme="minorHAnsi" w:hAnsiTheme="minorHAnsi"/>
          <w:kern w:val="2"/>
        </w:rPr>
        <w:t xml:space="preserve">The total number of patients with post-procedure infections. </w:t>
      </w:r>
    </w:p>
    <w:tbl>
      <w:tblPr>
        <w:tblStyle w:val="TableGrid"/>
        <w:tblW w:w="0" w:type="auto"/>
        <w:tblInd w:w="720" w:type="dxa"/>
        <w:tblLook w:val="04A0" w:firstRow="1" w:lastRow="0" w:firstColumn="1" w:lastColumn="0" w:noHBand="0" w:noVBand="1"/>
      </w:tblPr>
      <w:tblGrid>
        <w:gridCol w:w="2240"/>
        <w:gridCol w:w="2769"/>
      </w:tblGrid>
      <w:tr w:rsidR="0005114C" w:rsidRPr="0005114C" w14:paraId="6E331F75" w14:textId="77777777" w:rsidTr="0005114C">
        <w:tc>
          <w:tcPr>
            <w:tcW w:w="0" w:type="auto"/>
            <w:shd w:val="clear" w:color="auto" w:fill="DBE5F1" w:themeFill="accent1" w:themeFillTint="33"/>
          </w:tcPr>
          <w:p w14:paraId="11CAC141" w14:textId="77777777" w:rsidR="0005114C" w:rsidRPr="0005114C" w:rsidRDefault="0005114C" w:rsidP="00EA224C">
            <w:pPr>
              <w:pStyle w:val="BodyText"/>
              <w:jc w:val="both"/>
              <w:rPr>
                <w:rFonts w:asciiTheme="minorHAnsi" w:hAnsiTheme="minorHAnsi"/>
                <w:b/>
                <w:bCs/>
                <w:kern w:val="2"/>
              </w:rPr>
            </w:pPr>
            <w:r w:rsidRPr="0005114C">
              <w:rPr>
                <w:rFonts w:asciiTheme="minorHAnsi" w:hAnsiTheme="minorHAnsi"/>
                <w:b/>
                <w:bCs/>
                <w:kern w:val="2"/>
              </w:rPr>
              <w:t>Quality Measure #3</w:t>
            </w:r>
          </w:p>
        </w:tc>
        <w:tc>
          <w:tcPr>
            <w:tcW w:w="0" w:type="auto"/>
            <w:shd w:val="clear" w:color="auto" w:fill="DBE5F1" w:themeFill="accent1" w:themeFillTint="33"/>
          </w:tcPr>
          <w:p w14:paraId="2A648AF2" w14:textId="77777777" w:rsidR="0005114C" w:rsidRPr="0005114C" w:rsidRDefault="0005114C" w:rsidP="00EA224C">
            <w:pPr>
              <w:pStyle w:val="BodyText"/>
              <w:jc w:val="both"/>
              <w:rPr>
                <w:rFonts w:asciiTheme="minorHAnsi" w:hAnsiTheme="minorHAnsi"/>
                <w:b/>
                <w:bCs/>
                <w:kern w:val="2"/>
              </w:rPr>
            </w:pPr>
            <w:r w:rsidRPr="0005114C">
              <w:rPr>
                <w:rFonts w:asciiTheme="minorHAnsi" w:hAnsiTheme="minorHAnsi"/>
                <w:b/>
                <w:bCs/>
                <w:kern w:val="2"/>
              </w:rPr>
              <w:t>Post-Procedure Infections</w:t>
            </w:r>
          </w:p>
        </w:tc>
      </w:tr>
      <w:tr w:rsidR="0005114C" w:rsidRPr="0005114C" w14:paraId="11971ADA" w14:textId="77777777" w:rsidTr="0005114C">
        <w:tc>
          <w:tcPr>
            <w:tcW w:w="0" w:type="auto"/>
          </w:tcPr>
          <w:p w14:paraId="3A4AB886" w14:textId="77777777" w:rsidR="0005114C" w:rsidRPr="0005114C" w:rsidRDefault="0005114C" w:rsidP="00EA224C">
            <w:pPr>
              <w:pStyle w:val="BodyText"/>
              <w:jc w:val="both"/>
              <w:rPr>
                <w:rFonts w:asciiTheme="minorHAnsi" w:hAnsiTheme="minorHAnsi"/>
                <w:kern w:val="2"/>
              </w:rPr>
            </w:pPr>
            <w:r w:rsidRPr="0005114C">
              <w:rPr>
                <w:rFonts w:asciiTheme="minorHAnsi" w:hAnsiTheme="minorHAnsi"/>
                <w:kern w:val="2"/>
              </w:rPr>
              <w:t>2024 Baseline</w:t>
            </w:r>
          </w:p>
        </w:tc>
        <w:tc>
          <w:tcPr>
            <w:tcW w:w="0" w:type="auto"/>
          </w:tcPr>
          <w:p w14:paraId="5F95D19B" w14:textId="77777777" w:rsidR="0005114C" w:rsidRPr="0005114C" w:rsidRDefault="0005114C" w:rsidP="0005114C">
            <w:pPr>
              <w:pStyle w:val="BodyText"/>
              <w:jc w:val="center"/>
              <w:rPr>
                <w:rFonts w:asciiTheme="minorHAnsi" w:hAnsiTheme="minorHAnsi"/>
                <w:kern w:val="2"/>
              </w:rPr>
            </w:pPr>
            <w:r w:rsidRPr="0005114C">
              <w:rPr>
                <w:rFonts w:asciiTheme="minorHAnsi" w:hAnsiTheme="minorHAnsi"/>
                <w:kern w:val="2"/>
              </w:rPr>
              <w:t>2</w:t>
            </w:r>
          </w:p>
        </w:tc>
      </w:tr>
      <w:tr w:rsidR="0005114C" w:rsidRPr="0005114C" w14:paraId="4C9766E4" w14:textId="77777777" w:rsidTr="0005114C">
        <w:tc>
          <w:tcPr>
            <w:tcW w:w="0" w:type="auto"/>
          </w:tcPr>
          <w:p w14:paraId="6CEDD41E" w14:textId="77777777" w:rsidR="0005114C" w:rsidRPr="0005114C" w:rsidRDefault="0005114C" w:rsidP="00EA224C">
            <w:pPr>
              <w:pStyle w:val="BodyText"/>
              <w:jc w:val="both"/>
              <w:rPr>
                <w:rFonts w:asciiTheme="minorHAnsi" w:hAnsiTheme="minorHAnsi"/>
                <w:kern w:val="2"/>
              </w:rPr>
            </w:pPr>
            <w:r w:rsidRPr="0005114C">
              <w:rPr>
                <w:rFonts w:asciiTheme="minorHAnsi" w:hAnsiTheme="minorHAnsi"/>
                <w:kern w:val="2"/>
              </w:rPr>
              <w:t>Years 1-5 Projections</w:t>
            </w:r>
          </w:p>
        </w:tc>
        <w:tc>
          <w:tcPr>
            <w:tcW w:w="0" w:type="auto"/>
            <w:shd w:val="clear" w:color="auto" w:fill="FFFFFF" w:themeFill="background1"/>
          </w:tcPr>
          <w:p w14:paraId="7AEF6234" w14:textId="77777777" w:rsidR="0005114C" w:rsidRPr="0005114C" w:rsidRDefault="0005114C" w:rsidP="0005114C">
            <w:pPr>
              <w:pStyle w:val="BodyText"/>
              <w:jc w:val="center"/>
              <w:rPr>
                <w:rFonts w:asciiTheme="minorHAnsi" w:hAnsiTheme="minorHAnsi"/>
                <w:kern w:val="2"/>
              </w:rPr>
            </w:pPr>
            <w:r w:rsidRPr="0005114C">
              <w:rPr>
                <w:rFonts w:asciiTheme="minorHAnsi" w:hAnsiTheme="minorHAnsi"/>
                <w:kern w:val="2"/>
              </w:rPr>
              <w:t>0</w:t>
            </w:r>
          </w:p>
        </w:tc>
      </w:tr>
    </w:tbl>
    <w:p w14:paraId="6753185C" w14:textId="77777777" w:rsidR="0005114C" w:rsidRPr="0005114C" w:rsidRDefault="0005114C" w:rsidP="0005114C">
      <w:pPr>
        <w:pStyle w:val="BodyText"/>
        <w:widowControl/>
        <w:spacing w:after="120"/>
        <w:jc w:val="both"/>
        <w:rPr>
          <w:rFonts w:asciiTheme="minorHAnsi" w:hAnsiTheme="minorHAnsi"/>
          <w:b/>
          <w:bCs/>
          <w:kern w:val="2"/>
        </w:rPr>
      </w:pPr>
    </w:p>
    <w:p w14:paraId="79DA71F6" w14:textId="6CFBAC39" w:rsidR="0005114C" w:rsidRPr="0005114C" w:rsidRDefault="0005114C" w:rsidP="005656E3">
      <w:pPr>
        <w:pStyle w:val="BodyText"/>
        <w:widowControl/>
        <w:numPr>
          <w:ilvl w:val="0"/>
          <w:numId w:val="55"/>
        </w:numPr>
        <w:autoSpaceDE/>
        <w:autoSpaceDN/>
        <w:spacing w:after="120"/>
        <w:jc w:val="both"/>
        <w:rPr>
          <w:rFonts w:asciiTheme="minorHAnsi" w:hAnsiTheme="minorHAnsi"/>
          <w:kern w:val="2"/>
        </w:rPr>
      </w:pPr>
      <w:r w:rsidRPr="0005114C">
        <w:rPr>
          <w:rFonts w:asciiTheme="minorHAnsi" w:hAnsiTheme="minorHAnsi"/>
          <w:b/>
          <w:kern w:val="2"/>
        </w:rPr>
        <w:t xml:space="preserve">Patient </w:t>
      </w:r>
      <w:r w:rsidR="00CC155F">
        <w:rPr>
          <w:rFonts w:asciiTheme="minorHAnsi" w:hAnsiTheme="minorHAnsi"/>
          <w:b/>
          <w:kern w:val="2"/>
        </w:rPr>
        <w:t>Experience</w:t>
      </w:r>
      <w:r w:rsidRPr="0005114C">
        <w:rPr>
          <w:rFonts w:asciiTheme="minorHAnsi" w:hAnsiTheme="minorHAnsi"/>
          <w:b/>
          <w:kern w:val="2"/>
        </w:rPr>
        <w:t xml:space="preserve">: </w:t>
      </w:r>
      <w:r w:rsidRPr="0005114C">
        <w:rPr>
          <w:rFonts w:asciiTheme="minorHAnsi" w:hAnsiTheme="minorHAnsi"/>
          <w:kern w:val="2"/>
        </w:rPr>
        <w:t xml:space="preserve">Patients that are satisfied with their care are more likely to seek additional treatment when needed. The Applicant will continue to review patient satisfaction levels with the ASC’s surgical services and compare across like-facilities and regional benchmarks. </w:t>
      </w:r>
    </w:p>
    <w:p w14:paraId="4C52E3D3" w14:textId="77777777" w:rsidR="0005114C" w:rsidRPr="0005114C" w:rsidRDefault="0005114C" w:rsidP="0005114C">
      <w:pPr>
        <w:pStyle w:val="BodyText"/>
        <w:widowControl/>
        <w:spacing w:after="120"/>
        <w:ind w:left="720"/>
        <w:jc w:val="both"/>
        <w:rPr>
          <w:rFonts w:asciiTheme="minorHAnsi" w:hAnsiTheme="minorHAnsi"/>
          <w:kern w:val="2"/>
        </w:rPr>
      </w:pPr>
      <w:r w:rsidRPr="0005114C">
        <w:rPr>
          <w:rFonts w:asciiTheme="minorHAnsi" w:hAnsiTheme="minorHAnsi"/>
          <w:b/>
          <w:kern w:val="2"/>
        </w:rPr>
        <w:t>Measure:</w:t>
      </w:r>
      <w:r w:rsidRPr="0005114C">
        <w:rPr>
          <w:rFonts w:asciiTheme="minorHAnsi" w:hAnsiTheme="minorHAnsi"/>
          <w:kern w:val="2"/>
        </w:rPr>
        <w:t xml:space="preserve"> A Press Ganey Patient Satisfaction survey is provided to all eligible patients following their procedure. This survey focuses on the patient’s experience in multiple areas, including, net promoter score (NPS), wait times, facility operations, care communication, nurse/physician treatment, and discharge. The survey also allows for anonymous comments from patients to further provide insight into areas of improvements and praises or concerns.  </w:t>
      </w:r>
    </w:p>
    <w:tbl>
      <w:tblPr>
        <w:tblStyle w:val="TableGrid"/>
        <w:tblW w:w="0" w:type="auto"/>
        <w:tblInd w:w="720" w:type="dxa"/>
        <w:tblLook w:val="04A0" w:firstRow="1" w:lastRow="0" w:firstColumn="1" w:lastColumn="0" w:noHBand="0" w:noVBand="1"/>
      </w:tblPr>
      <w:tblGrid>
        <w:gridCol w:w="2240"/>
        <w:gridCol w:w="3277"/>
      </w:tblGrid>
      <w:tr w:rsidR="0005114C" w:rsidRPr="0005114C" w14:paraId="0ED61819" w14:textId="77777777" w:rsidTr="0005114C">
        <w:tc>
          <w:tcPr>
            <w:tcW w:w="0" w:type="auto"/>
            <w:shd w:val="clear" w:color="auto" w:fill="DBE5F1" w:themeFill="accent1" w:themeFillTint="33"/>
          </w:tcPr>
          <w:p w14:paraId="22FB006D" w14:textId="77777777" w:rsidR="0005114C" w:rsidRPr="0005114C" w:rsidRDefault="0005114C" w:rsidP="00EA224C">
            <w:pPr>
              <w:pStyle w:val="BodyText"/>
              <w:widowControl/>
              <w:jc w:val="both"/>
              <w:rPr>
                <w:rFonts w:asciiTheme="minorHAnsi" w:hAnsiTheme="minorHAnsi"/>
                <w:b/>
                <w:bCs/>
                <w:kern w:val="2"/>
              </w:rPr>
            </w:pPr>
            <w:r w:rsidRPr="0005114C">
              <w:rPr>
                <w:rFonts w:asciiTheme="minorHAnsi" w:hAnsiTheme="minorHAnsi"/>
                <w:b/>
                <w:bCs/>
                <w:kern w:val="2"/>
              </w:rPr>
              <w:t xml:space="preserve">Quality Measure #4 </w:t>
            </w:r>
          </w:p>
        </w:tc>
        <w:tc>
          <w:tcPr>
            <w:tcW w:w="0" w:type="auto"/>
            <w:shd w:val="clear" w:color="auto" w:fill="DBE5F1" w:themeFill="accent1" w:themeFillTint="33"/>
          </w:tcPr>
          <w:p w14:paraId="124C2939" w14:textId="77777777" w:rsidR="0005114C" w:rsidRPr="0005114C" w:rsidRDefault="0005114C" w:rsidP="00EA224C">
            <w:pPr>
              <w:pStyle w:val="BodyText"/>
              <w:widowControl/>
              <w:jc w:val="both"/>
              <w:rPr>
                <w:rFonts w:asciiTheme="minorHAnsi" w:hAnsiTheme="minorHAnsi"/>
                <w:b/>
                <w:bCs/>
                <w:kern w:val="2"/>
              </w:rPr>
            </w:pPr>
            <w:r w:rsidRPr="0005114C">
              <w:rPr>
                <w:rFonts w:asciiTheme="minorHAnsi" w:hAnsiTheme="minorHAnsi"/>
                <w:b/>
                <w:bCs/>
                <w:kern w:val="2"/>
              </w:rPr>
              <w:t>Patient Experience (NPS Score)</w:t>
            </w:r>
          </w:p>
        </w:tc>
      </w:tr>
      <w:tr w:rsidR="0005114C" w:rsidRPr="0005114C" w14:paraId="37774582" w14:textId="77777777" w:rsidTr="0005114C">
        <w:tc>
          <w:tcPr>
            <w:tcW w:w="0" w:type="auto"/>
          </w:tcPr>
          <w:p w14:paraId="466726E3" w14:textId="77777777" w:rsidR="0005114C" w:rsidRPr="0005114C" w:rsidRDefault="0005114C" w:rsidP="00EA224C">
            <w:pPr>
              <w:pStyle w:val="BodyText"/>
              <w:widowControl/>
              <w:jc w:val="both"/>
              <w:rPr>
                <w:rFonts w:asciiTheme="minorHAnsi" w:hAnsiTheme="minorHAnsi"/>
                <w:kern w:val="2"/>
              </w:rPr>
            </w:pPr>
            <w:r w:rsidRPr="0005114C">
              <w:rPr>
                <w:rFonts w:asciiTheme="minorHAnsi" w:hAnsiTheme="minorHAnsi"/>
                <w:kern w:val="2"/>
              </w:rPr>
              <w:t>2024 Baseline</w:t>
            </w:r>
          </w:p>
        </w:tc>
        <w:tc>
          <w:tcPr>
            <w:tcW w:w="0" w:type="auto"/>
          </w:tcPr>
          <w:p w14:paraId="7E4BA7F4" w14:textId="77777777" w:rsidR="0005114C" w:rsidRPr="0005114C" w:rsidRDefault="0005114C" w:rsidP="0005114C">
            <w:pPr>
              <w:pStyle w:val="BodyText"/>
              <w:widowControl/>
              <w:jc w:val="center"/>
              <w:rPr>
                <w:rFonts w:asciiTheme="minorHAnsi" w:hAnsiTheme="minorHAnsi"/>
                <w:kern w:val="2"/>
              </w:rPr>
            </w:pPr>
            <w:r w:rsidRPr="0005114C">
              <w:rPr>
                <w:rFonts w:asciiTheme="minorHAnsi" w:hAnsiTheme="minorHAnsi"/>
                <w:kern w:val="2"/>
              </w:rPr>
              <w:t>89%</w:t>
            </w:r>
          </w:p>
        </w:tc>
      </w:tr>
      <w:tr w:rsidR="0005114C" w:rsidRPr="0005114C" w14:paraId="2EBE9121" w14:textId="77777777" w:rsidTr="0005114C">
        <w:tc>
          <w:tcPr>
            <w:tcW w:w="0" w:type="auto"/>
          </w:tcPr>
          <w:p w14:paraId="75B26E74" w14:textId="77777777" w:rsidR="0005114C" w:rsidRPr="0005114C" w:rsidRDefault="0005114C" w:rsidP="00EA224C">
            <w:pPr>
              <w:pStyle w:val="BodyText"/>
              <w:widowControl/>
              <w:jc w:val="both"/>
              <w:rPr>
                <w:rFonts w:asciiTheme="minorHAnsi" w:hAnsiTheme="minorHAnsi"/>
                <w:kern w:val="2"/>
              </w:rPr>
            </w:pPr>
            <w:r w:rsidRPr="0005114C">
              <w:rPr>
                <w:rFonts w:asciiTheme="minorHAnsi" w:hAnsiTheme="minorHAnsi"/>
                <w:kern w:val="2"/>
              </w:rPr>
              <w:t xml:space="preserve">Years 1-5 Projections </w:t>
            </w:r>
          </w:p>
        </w:tc>
        <w:tc>
          <w:tcPr>
            <w:tcW w:w="0" w:type="auto"/>
          </w:tcPr>
          <w:p w14:paraId="59445D5D" w14:textId="77777777" w:rsidR="0005114C" w:rsidRPr="0005114C" w:rsidRDefault="0005114C" w:rsidP="0005114C">
            <w:pPr>
              <w:pStyle w:val="BodyText"/>
              <w:widowControl/>
              <w:jc w:val="center"/>
              <w:rPr>
                <w:rFonts w:asciiTheme="minorHAnsi" w:hAnsiTheme="minorHAnsi"/>
                <w:kern w:val="2"/>
              </w:rPr>
            </w:pPr>
            <w:r w:rsidRPr="0005114C">
              <w:rPr>
                <w:rFonts w:asciiTheme="minorHAnsi" w:hAnsiTheme="minorHAnsi"/>
                <w:kern w:val="2"/>
              </w:rPr>
              <w:t>&gt;90%</w:t>
            </w:r>
          </w:p>
        </w:tc>
      </w:tr>
    </w:tbl>
    <w:p w14:paraId="300BDCCF" w14:textId="77777777" w:rsidR="00A63487" w:rsidRDefault="00A63487">
      <w:pPr>
        <w:rPr>
          <w:rFonts w:asciiTheme="minorHAnsi" w:hAnsiTheme="minorHAnsi"/>
          <w:b/>
          <w:bCs/>
          <w:color w:val="1F497D" w:themeColor="text2"/>
          <w:sz w:val="28"/>
          <w:szCs w:val="28"/>
        </w:rPr>
      </w:pPr>
    </w:p>
    <w:p w14:paraId="2C06861B" w14:textId="77777777" w:rsidR="00BC399C" w:rsidRDefault="00BC399C" w:rsidP="00BC399C"/>
    <w:p w14:paraId="51C9C127" w14:textId="72D050F0" w:rsidR="00A63487" w:rsidRDefault="000A5EB1" w:rsidP="005656E3">
      <w:pPr>
        <w:pStyle w:val="ListParagraph"/>
        <w:numPr>
          <w:ilvl w:val="0"/>
          <w:numId w:val="55"/>
        </w:numPr>
        <w:rPr>
          <w:rFonts w:asciiTheme="minorHAnsi" w:hAnsiTheme="minorHAnsi"/>
          <w:b/>
          <w:bCs/>
          <w:color w:val="1F497D" w:themeColor="text2"/>
          <w:sz w:val="28"/>
          <w:szCs w:val="28"/>
        </w:rPr>
      </w:pPr>
      <w:r w:rsidRPr="000A5EB1">
        <w:t xml:space="preserve">The Holder shall report annually on its efforts to implement a SDoH screening process to assess and respond to the SDoH needs of its Patient Panel. Annual reporting shall include, but not be limited to a description of the screening process (e.g. domains screened for and the referral process for positive SDoH screens), the number of patients screened, and the number of positive screens identified.  </w:t>
      </w:r>
    </w:p>
    <w:p w14:paraId="64B88866" w14:textId="59DEEBB1" w:rsidR="00A63487" w:rsidRDefault="00A63487">
      <w:pPr>
        <w:rPr>
          <w:rFonts w:asciiTheme="minorHAnsi" w:hAnsiTheme="minorHAnsi"/>
          <w:b/>
          <w:bCs/>
          <w:color w:val="1F497D" w:themeColor="text2"/>
          <w:sz w:val="28"/>
          <w:szCs w:val="28"/>
        </w:rPr>
      </w:pPr>
    </w:p>
    <w:p w14:paraId="701F26EA" w14:textId="77777777" w:rsidR="00A63487" w:rsidRDefault="00A63487">
      <w:pPr>
        <w:rPr>
          <w:rFonts w:asciiTheme="minorHAnsi" w:hAnsiTheme="minorHAnsi"/>
          <w:b/>
          <w:bCs/>
          <w:color w:val="1F497D" w:themeColor="text2"/>
          <w:sz w:val="28"/>
          <w:szCs w:val="28"/>
        </w:rPr>
      </w:pPr>
    </w:p>
    <w:p w14:paraId="7CE4EB32" w14:textId="77777777" w:rsidR="00A63487" w:rsidRDefault="00A63487">
      <w:pPr>
        <w:rPr>
          <w:rFonts w:asciiTheme="minorHAnsi" w:hAnsiTheme="minorHAnsi"/>
          <w:b/>
          <w:bCs/>
          <w:color w:val="1F497D" w:themeColor="text2"/>
          <w:sz w:val="28"/>
          <w:szCs w:val="28"/>
        </w:rPr>
      </w:pPr>
    </w:p>
    <w:p w14:paraId="608DC723" w14:textId="77777777" w:rsidR="00A63487" w:rsidRDefault="00A63487">
      <w:pPr>
        <w:rPr>
          <w:rFonts w:asciiTheme="minorHAnsi" w:hAnsiTheme="minorHAnsi"/>
          <w:b/>
          <w:bCs/>
          <w:color w:val="1F497D" w:themeColor="text2"/>
          <w:sz w:val="28"/>
          <w:szCs w:val="28"/>
        </w:rPr>
      </w:pPr>
    </w:p>
    <w:p w14:paraId="34C208EB" w14:textId="77777777" w:rsidR="00B04291" w:rsidRDefault="00B04291">
      <w:pPr>
        <w:rPr>
          <w:rFonts w:asciiTheme="minorHAnsi" w:hAnsiTheme="minorHAnsi"/>
          <w:b/>
          <w:bCs/>
          <w:color w:val="1F497D" w:themeColor="text2"/>
          <w:sz w:val="28"/>
          <w:szCs w:val="28"/>
        </w:rPr>
      </w:pPr>
    </w:p>
    <w:p w14:paraId="32A2AF17" w14:textId="77777777" w:rsidR="00B04291" w:rsidRDefault="00B04291">
      <w:pPr>
        <w:rPr>
          <w:rFonts w:asciiTheme="minorHAnsi" w:hAnsiTheme="minorHAnsi"/>
          <w:b/>
          <w:bCs/>
          <w:color w:val="1F497D" w:themeColor="text2"/>
          <w:sz w:val="28"/>
          <w:szCs w:val="28"/>
        </w:rPr>
      </w:pPr>
    </w:p>
    <w:p w14:paraId="45F79836" w14:textId="77777777" w:rsidR="00B04291" w:rsidRDefault="00B04291">
      <w:pPr>
        <w:rPr>
          <w:rFonts w:asciiTheme="minorHAnsi" w:hAnsiTheme="minorHAnsi"/>
          <w:b/>
          <w:bCs/>
          <w:color w:val="1F497D" w:themeColor="text2"/>
          <w:sz w:val="28"/>
          <w:szCs w:val="28"/>
        </w:rPr>
      </w:pPr>
    </w:p>
    <w:p w14:paraId="304F1CFA" w14:textId="77777777" w:rsidR="00B04291" w:rsidRDefault="00B04291">
      <w:pPr>
        <w:rPr>
          <w:rFonts w:asciiTheme="minorHAnsi" w:hAnsiTheme="minorHAnsi"/>
          <w:b/>
          <w:bCs/>
          <w:color w:val="1F497D" w:themeColor="text2"/>
          <w:sz w:val="28"/>
          <w:szCs w:val="28"/>
        </w:rPr>
      </w:pPr>
    </w:p>
    <w:p w14:paraId="2F04C655" w14:textId="77777777" w:rsidR="00B04291" w:rsidRDefault="00B04291">
      <w:pPr>
        <w:rPr>
          <w:rFonts w:asciiTheme="minorHAnsi" w:hAnsiTheme="minorHAnsi"/>
          <w:b/>
          <w:bCs/>
          <w:color w:val="1F497D" w:themeColor="text2"/>
          <w:sz w:val="28"/>
          <w:szCs w:val="28"/>
        </w:rPr>
      </w:pPr>
    </w:p>
    <w:p w14:paraId="6B0FB3BA" w14:textId="77777777" w:rsidR="00B04291" w:rsidRDefault="00B04291">
      <w:pPr>
        <w:rPr>
          <w:rFonts w:asciiTheme="minorHAnsi" w:hAnsiTheme="minorHAnsi"/>
          <w:b/>
          <w:bCs/>
          <w:color w:val="1F497D" w:themeColor="text2"/>
          <w:sz w:val="28"/>
          <w:szCs w:val="28"/>
        </w:rPr>
      </w:pPr>
    </w:p>
    <w:p w14:paraId="3DAC2AD9" w14:textId="77777777" w:rsidR="00B04291" w:rsidRDefault="00B04291">
      <w:pPr>
        <w:rPr>
          <w:rFonts w:asciiTheme="minorHAnsi" w:hAnsiTheme="minorHAnsi"/>
          <w:b/>
          <w:bCs/>
          <w:color w:val="1F497D" w:themeColor="text2"/>
          <w:sz w:val="28"/>
          <w:szCs w:val="28"/>
        </w:rPr>
      </w:pPr>
    </w:p>
    <w:p w14:paraId="117772AC" w14:textId="77777777" w:rsidR="00B04291" w:rsidRDefault="00B04291">
      <w:pPr>
        <w:rPr>
          <w:rFonts w:asciiTheme="minorHAnsi" w:hAnsiTheme="minorHAnsi"/>
          <w:b/>
          <w:bCs/>
          <w:color w:val="1F497D" w:themeColor="text2"/>
          <w:sz w:val="28"/>
          <w:szCs w:val="28"/>
        </w:rPr>
      </w:pPr>
    </w:p>
    <w:p w14:paraId="22228565" w14:textId="77777777" w:rsidR="00B04291" w:rsidRDefault="00B04291">
      <w:pPr>
        <w:rPr>
          <w:rFonts w:asciiTheme="minorHAnsi" w:hAnsiTheme="minorHAnsi"/>
          <w:b/>
          <w:bCs/>
          <w:color w:val="1F497D" w:themeColor="text2"/>
          <w:sz w:val="28"/>
          <w:szCs w:val="28"/>
        </w:rPr>
      </w:pPr>
    </w:p>
    <w:p w14:paraId="1CD7706C" w14:textId="77777777" w:rsidR="00B04291" w:rsidRDefault="00B04291">
      <w:pPr>
        <w:rPr>
          <w:rFonts w:asciiTheme="minorHAnsi" w:hAnsiTheme="minorHAnsi"/>
          <w:b/>
          <w:bCs/>
          <w:color w:val="1F497D" w:themeColor="text2"/>
          <w:sz w:val="28"/>
          <w:szCs w:val="28"/>
        </w:rPr>
      </w:pPr>
    </w:p>
    <w:p w14:paraId="0208F648" w14:textId="77777777" w:rsidR="00B04291" w:rsidRDefault="00B04291">
      <w:pPr>
        <w:rPr>
          <w:rFonts w:asciiTheme="minorHAnsi" w:hAnsiTheme="minorHAnsi"/>
          <w:b/>
          <w:bCs/>
          <w:color w:val="1F497D" w:themeColor="text2"/>
          <w:sz w:val="28"/>
          <w:szCs w:val="28"/>
        </w:rPr>
      </w:pPr>
    </w:p>
    <w:p w14:paraId="32582B34" w14:textId="77777777" w:rsidR="00B04291" w:rsidRDefault="00B04291">
      <w:pPr>
        <w:rPr>
          <w:rFonts w:asciiTheme="minorHAnsi" w:hAnsiTheme="minorHAnsi"/>
          <w:b/>
          <w:bCs/>
          <w:color w:val="1F497D" w:themeColor="text2"/>
          <w:sz w:val="28"/>
          <w:szCs w:val="28"/>
        </w:rPr>
      </w:pPr>
    </w:p>
    <w:p w14:paraId="0306810F" w14:textId="6A310899" w:rsidR="00B447F3" w:rsidRDefault="00A4110F" w:rsidP="00014053">
      <w:pPr>
        <w:pStyle w:val="Heading1"/>
        <w:ind w:left="0"/>
        <w:rPr>
          <w:rFonts w:asciiTheme="minorHAnsi" w:hAnsiTheme="minorHAnsi"/>
          <w:color w:val="1F497D" w:themeColor="text2"/>
        </w:rPr>
      </w:pPr>
      <w:bookmarkStart w:id="35" w:name="_Toc207953810"/>
      <w:r w:rsidRPr="00F80934">
        <w:rPr>
          <w:rFonts w:asciiTheme="minorHAnsi" w:hAnsiTheme="minorHAnsi"/>
          <w:color w:val="1F497D" w:themeColor="text2"/>
        </w:rPr>
        <w:lastRenderedPageBreak/>
        <w:t>REFERENCES</w:t>
      </w:r>
      <w:bookmarkEnd w:id="35"/>
    </w:p>
    <w:sectPr w:rsidR="00B447F3">
      <w:headerReference w:type="even" r:id="rId25"/>
      <w:headerReference w:type="default" r:id="rId26"/>
      <w:footerReference w:type="default" r:id="rId27"/>
      <w:headerReference w:type="first" r:id="rId28"/>
      <w:endnotePr>
        <w:numFmt w:val="lowerLetter"/>
      </w:endnotePr>
      <w:pgSz w:w="12240" w:h="15840"/>
      <w:pgMar w:top="1140" w:right="1200" w:bottom="1240" w:left="122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C66D2" w14:textId="77777777" w:rsidR="006B4651" w:rsidRDefault="006B4651">
      <w:r>
        <w:separator/>
      </w:r>
    </w:p>
  </w:endnote>
  <w:endnote w:type="continuationSeparator" w:id="0">
    <w:p w14:paraId="4F3950AA" w14:textId="77777777" w:rsidR="006B4651" w:rsidRDefault="006B4651">
      <w:r>
        <w:continuationSeparator/>
      </w:r>
    </w:p>
  </w:endnote>
  <w:endnote w:type="continuationNotice" w:id="1">
    <w:p w14:paraId="5E93DDAE" w14:textId="77777777" w:rsidR="006B4651" w:rsidRDefault="006B4651"/>
  </w:endnote>
  <w:endnote w:id="2">
    <w:p w14:paraId="10F69905" w14:textId="77777777" w:rsidR="0075445F" w:rsidRPr="0075445F" w:rsidRDefault="0075445F" w:rsidP="0075445F">
      <w:pPr>
        <w:pStyle w:val="EndnoteText"/>
      </w:pPr>
      <w:r>
        <w:rPr>
          <w:rStyle w:val="EndnoteReference"/>
        </w:rPr>
        <w:endnoteRef/>
      </w:r>
      <w:r>
        <w:t xml:space="preserve"> </w:t>
      </w:r>
      <w:r w:rsidRPr="0075445F">
        <w:t xml:space="preserve">Emerson Hospital 2024 Community Health Needs Assessment Final Assessment Findings June 2024. </w:t>
      </w:r>
    </w:p>
    <w:p w14:paraId="0A3B845F" w14:textId="5F591E9F" w:rsidR="0075445F" w:rsidRDefault="0075445F" w:rsidP="0075445F">
      <w:pPr>
        <w:pStyle w:val="EndnoteText"/>
      </w:pPr>
      <w:hyperlink r:id="rId1" w:history="1">
        <w:r w:rsidRPr="0075445F">
          <w:rPr>
            <w:rStyle w:val="Hyperlink"/>
          </w:rPr>
          <w:t>https://emersonhealth.org/wp-content/uploads/2025/02/2024-Community-Health-Needs-Assessment.pdf</w:t>
        </w:r>
      </w:hyperlink>
    </w:p>
  </w:endnote>
  <w:endnote w:id="3">
    <w:p w14:paraId="6E4EED1F" w14:textId="77777777" w:rsidR="0073549D" w:rsidRDefault="0073549D" w:rsidP="0073549D">
      <w:pPr>
        <w:pStyle w:val="EndnoteText"/>
      </w:pPr>
      <w:r>
        <w:rPr>
          <w:rStyle w:val="EndnoteReference"/>
        </w:rPr>
        <w:endnoteRef/>
      </w:r>
      <w:r>
        <w:t xml:space="preserve"> Fields, Rachel. Defining 'Full Utilization' of an Ambulatory Surgery Center: Q&amp;A With Jim Scarsella of Anesthesia Staffing</w:t>
      </w:r>
    </w:p>
    <w:p w14:paraId="64EBB971" w14:textId="77777777" w:rsidR="0073549D" w:rsidRDefault="0073549D" w:rsidP="0073549D">
      <w:pPr>
        <w:pStyle w:val="EndnoteText"/>
      </w:pPr>
      <w:r>
        <w:t>Consultants. Becker’s ASC Review. February 25th, 2011</w:t>
      </w:r>
    </w:p>
    <w:p w14:paraId="42361591" w14:textId="25B7A103" w:rsidR="0073549D" w:rsidRDefault="0073549D" w:rsidP="0073549D">
      <w:pPr>
        <w:pStyle w:val="EndnoteText"/>
      </w:pPr>
      <w:hyperlink r:id="rId2" w:history="1">
        <w:r w:rsidRPr="00EA2811">
          <w:rPr>
            <w:rStyle w:val="Hyperlink"/>
          </w:rPr>
          <w:t>https://www.beckersasc.com/asc-news/defining-full-utilization-of-an-ambulatory-surgery-center-qaa-with-jim-scarsella-of-anesthesia-staffing-consultants/</w:t>
        </w:r>
      </w:hyperlink>
      <w:r>
        <w:t xml:space="preserve"> </w:t>
      </w:r>
    </w:p>
  </w:endnote>
  <w:endnote w:id="4">
    <w:p w14:paraId="082F4E08" w14:textId="77777777" w:rsidR="008D6A68" w:rsidRDefault="008D6A68" w:rsidP="008D6A68">
      <w:pPr>
        <w:pStyle w:val="EndnoteText"/>
      </w:pPr>
      <w:r>
        <w:rPr>
          <w:rStyle w:val="EndnoteReference"/>
        </w:rPr>
        <w:endnoteRef/>
      </w:r>
      <w:r>
        <w:t xml:space="preserve"> Nashoba Valley Health Planning Working Group Final Report. </w:t>
      </w:r>
    </w:p>
    <w:p w14:paraId="19D145D3" w14:textId="77777777" w:rsidR="008D6A68" w:rsidRDefault="008D6A68" w:rsidP="008D6A68">
      <w:pPr>
        <w:pStyle w:val="EndnoteText"/>
      </w:pPr>
      <w:hyperlink r:id="rId3" w:history="1">
        <w:r w:rsidRPr="004B4FDC">
          <w:rPr>
            <w:rStyle w:val="Hyperlink"/>
          </w:rPr>
          <w:t>https://www.mass.gov/doc/nashoba-valley-health-planning-working-group-report-pdf/download</w:t>
        </w:r>
      </w:hyperlink>
      <w:r>
        <w:t xml:space="preserve"> </w:t>
      </w:r>
    </w:p>
  </w:endnote>
  <w:endnote w:id="5">
    <w:p w14:paraId="0232FC5F" w14:textId="77777777" w:rsidR="00A354AA" w:rsidRDefault="00A354AA" w:rsidP="00A354AA">
      <w:pPr>
        <w:pStyle w:val="EndnoteText"/>
      </w:pPr>
      <w:r>
        <w:rPr>
          <w:rStyle w:val="EndnoteReference"/>
        </w:rPr>
        <w:endnoteRef/>
      </w:r>
      <w:r>
        <w:t xml:space="preserve"> Nashoba Valley Health Planning Working Group Final Report. </w:t>
      </w:r>
    </w:p>
    <w:p w14:paraId="79088474" w14:textId="77777777" w:rsidR="00A354AA" w:rsidRDefault="00A354AA" w:rsidP="00A354AA">
      <w:pPr>
        <w:pStyle w:val="EndnoteText"/>
      </w:pPr>
      <w:hyperlink r:id="rId4" w:history="1">
        <w:r w:rsidRPr="004B4FDC">
          <w:rPr>
            <w:rStyle w:val="Hyperlink"/>
          </w:rPr>
          <w:t>https://www.mass.gov/doc/nashoba-valley-health-planning-working-group-report-pdf/download</w:t>
        </w:r>
      </w:hyperlink>
      <w:r>
        <w:t xml:space="preserve"> </w:t>
      </w:r>
    </w:p>
  </w:endnote>
  <w:endnote w:id="6">
    <w:p w14:paraId="0CAA01AF" w14:textId="53E672D1" w:rsidR="002F3AF0" w:rsidRDefault="002F3AF0">
      <w:pPr>
        <w:pStyle w:val="EndnoteText"/>
      </w:pPr>
      <w:r>
        <w:rPr>
          <w:rStyle w:val="EndnoteReference"/>
        </w:rPr>
        <w:endnoteRef/>
      </w:r>
      <w:r>
        <w:t xml:space="preserve"> </w:t>
      </w:r>
      <w:r w:rsidR="00216973">
        <w:t xml:space="preserve">Atrius Health. About Us. </w:t>
      </w:r>
      <w:hyperlink r:id="rId5" w:history="1">
        <w:r w:rsidR="00216973" w:rsidRPr="009B3F33">
          <w:rPr>
            <w:rStyle w:val="Hyperlink"/>
          </w:rPr>
          <w:t>https://www.atriushealth.org/about-us</w:t>
        </w:r>
      </w:hyperlink>
      <w:r w:rsidR="00216973">
        <w:t xml:space="preserve"> </w:t>
      </w:r>
    </w:p>
  </w:endnote>
  <w:endnote w:id="7">
    <w:p w14:paraId="1A80105E" w14:textId="77777777" w:rsidR="005409AA" w:rsidRDefault="00FD0171">
      <w:pPr>
        <w:pStyle w:val="EndnoteText"/>
      </w:pPr>
      <w:r>
        <w:rPr>
          <w:rStyle w:val="EndnoteReference"/>
        </w:rPr>
        <w:endnoteRef/>
      </w:r>
      <w:r>
        <w:t xml:space="preserve"> </w:t>
      </w:r>
      <w:r w:rsidR="00003AA5">
        <w:t xml:space="preserve">UMass Donahue Institute. </w:t>
      </w:r>
      <w:r w:rsidR="00003AA5" w:rsidRPr="00003AA5">
        <w:t>UMDI V2024 Projections: Population by Age and Sex</w:t>
      </w:r>
      <w:r w:rsidR="00003AA5">
        <w:t xml:space="preserve">. </w:t>
      </w:r>
    </w:p>
    <w:p w14:paraId="41F2593E" w14:textId="7F7195BC" w:rsidR="00FD0171" w:rsidRDefault="005409AA">
      <w:pPr>
        <w:pStyle w:val="EndnoteText"/>
      </w:pPr>
      <w:hyperlink r:id="rId6" w:history="1">
        <w:r w:rsidRPr="00827BC1">
          <w:rPr>
            <w:rStyle w:val="Hyperlink"/>
          </w:rPr>
          <w:t>https://donahue.umass.edu/business-groups/economic-public-policy-research/massachusetts-population-estimates-program/population-projections</w:t>
        </w:r>
      </w:hyperlink>
      <w:r>
        <w:t xml:space="preserve"> </w:t>
      </w:r>
    </w:p>
  </w:endnote>
  <w:endnote w:id="8">
    <w:p w14:paraId="228B52FA" w14:textId="2EE3511F" w:rsidR="00AB150C" w:rsidRDefault="00AB150C">
      <w:pPr>
        <w:pStyle w:val="EndnoteText"/>
      </w:pPr>
      <w:r>
        <w:rPr>
          <w:rStyle w:val="EndnoteReference"/>
        </w:rPr>
        <w:endnoteRef/>
      </w:r>
      <w:r>
        <w:t xml:space="preserve"> </w:t>
      </w:r>
      <w:r w:rsidR="00704887">
        <w:t xml:space="preserve">American Cancer Society. </w:t>
      </w:r>
      <w:r w:rsidR="00704887" w:rsidRPr="00704887">
        <w:t>American Cancer Society Guideline for Colorectal Cancer Screening</w:t>
      </w:r>
      <w:r w:rsidR="00704887">
        <w:t xml:space="preserve">. </w:t>
      </w:r>
      <w:hyperlink r:id="rId7" w:anchor=":%7E:text=The%20American%20Cancer%20Society%20recommends,if%20they%20do%20not%20have" w:history="1">
        <w:r w:rsidR="00704887" w:rsidRPr="00827BC1">
          <w:rPr>
            <w:rStyle w:val="Hyperlink"/>
          </w:rPr>
          <w:t>https://www.cancer.org/cancer/types/colon-rectal-cancer/detection-diagnosis-staging/acs-recommendations.html#:%7E:text=The%20American%20Cancer%20Society%20recommends,if%20they%20do%20not%20have</w:t>
        </w:r>
      </w:hyperlink>
      <w:r w:rsidR="00704887">
        <w:t xml:space="preserve"> </w:t>
      </w:r>
    </w:p>
  </w:endnote>
  <w:endnote w:id="9">
    <w:p w14:paraId="01CC24A0" w14:textId="3DE634EF" w:rsidR="007D6CBE" w:rsidRDefault="007D6CBE">
      <w:pPr>
        <w:pStyle w:val="EndnoteText"/>
      </w:pPr>
      <w:r>
        <w:rPr>
          <w:rStyle w:val="EndnoteReference"/>
        </w:rPr>
        <w:endnoteRef/>
      </w:r>
      <w:r>
        <w:t xml:space="preserve"> </w:t>
      </w:r>
      <w:r w:rsidR="00F6261C" w:rsidRPr="00F6261C">
        <w:t>US Preventive Services Task Force. Screening for Colorectal Cancer: US Preventive Services Task Force Recommendation Statement. JAMA. 2021;325(19):1965–1977. doi:10.1001/jama.2021.6238</w:t>
      </w:r>
    </w:p>
  </w:endnote>
  <w:endnote w:id="10">
    <w:p w14:paraId="055FA3E9" w14:textId="77777777" w:rsidR="008A1BA6" w:rsidRDefault="00FD0171" w:rsidP="008A1BA6">
      <w:pPr>
        <w:pStyle w:val="EndnoteText"/>
      </w:pPr>
      <w:r>
        <w:rPr>
          <w:rStyle w:val="EndnoteReference"/>
        </w:rPr>
        <w:endnoteRef/>
      </w:r>
      <w:r>
        <w:t xml:space="preserve"> </w:t>
      </w:r>
      <w:r w:rsidR="008A1BA6">
        <w:t xml:space="preserve">American Cancer Society. Colorectal Cancer Facts &amp; Figures 2023-2025. </w:t>
      </w:r>
    </w:p>
    <w:p w14:paraId="528579A3" w14:textId="6E9AA443" w:rsidR="00FD0171" w:rsidRDefault="00FE4967" w:rsidP="008A1BA6">
      <w:pPr>
        <w:pStyle w:val="EndnoteText"/>
      </w:pPr>
      <w:hyperlink r:id="rId8" w:history="1">
        <w:r w:rsidRPr="00827BC1">
          <w:rPr>
            <w:rStyle w:val="Hyperlink"/>
          </w:rPr>
          <w:t>https://www.cancer.org/content/dam/cancer-org/research/cancer-facts-and-statistics/colorectal-cancer-facts-and-figures/colorectal-cancer-facts-and-figures-2023.pdf</w:t>
        </w:r>
      </w:hyperlink>
      <w:r w:rsidR="008A1BA6">
        <w:t xml:space="preserve"> </w:t>
      </w:r>
    </w:p>
  </w:endnote>
  <w:endnote w:id="11">
    <w:p w14:paraId="5AC8DC9F" w14:textId="6A90DE50" w:rsidR="00C1419A" w:rsidRDefault="00C1419A">
      <w:pPr>
        <w:pStyle w:val="EndnoteText"/>
      </w:pPr>
      <w:r>
        <w:rPr>
          <w:rStyle w:val="EndnoteReference"/>
        </w:rPr>
        <w:endnoteRef/>
      </w:r>
      <w:r>
        <w:t xml:space="preserve"> </w:t>
      </w:r>
      <w:r w:rsidR="0014492C">
        <w:t xml:space="preserve">National Colorectal Cancer Roundtable. 80% In Every Community Strategic Plan. </w:t>
      </w:r>
    </w:p>
    <w:p w14:paraId="66E8AB7C" w14:textId="2DCB5B1B" w:rsidR="00C1419A" w:rsidRDefault="00C1419A">
      <w:pPr>
        <w:pStyle w:val="EndnoteText"/>
      </w:pPr>
      <w:hyperlink r:id="rId9" w:history="1">
        <w:r w:rsidRPr="004B57EE">
          <w:rPr>
            <w:rStyle w:val="Hyperlink"/>
          </w:rPr>
          <w:t>file:///C:/Users/LClarke/Downloads/NCCRT_Strategic_Plan_March2020.pdf</w:t>
        </w:r>
      </w:hyperlink>
    </w:p>
  </w:endnote>
  <w:endnote w:id="12">
    <w:p w14:paraId="64D3259B" w14:textId="77777777" w:rsidR="008B5796" w:rsidRDefault="008B5796" w:rsidP="008B5796">
      <w:pPr>
        <w:pStyle w:val="EndnoteText"/>
      </w:pPr>
      <w:r>
        <w:rPr>
          <w:rStyle w:val="EndnoteReference"/>
        </w:rPr>
        <w:endnoteRef/>
      </w:r>
      <w:r>
        <w:t xml:space="preserve"> National Cancer Institute. State Cancer Profiles. Screening and Risk Factors Table. </w:t>
      </w:r>
      <w:hyperlink r:id="rId10" w:anchor="results" w:history="1">
        <w:r w:rsidRPr="00BF3F47">
          <w:rPr>
            <w:rStyle w:val="Hyperlink"/>
          </w:rPr>
          <w:t>https://statecancerprofiles.cancer.gov/risk/index.php?topic=colorec&amp;risk=v521&amp;race=00&amp;sex=0&amp;type=risk&amp;sortVariableName=default&amp;sortOrder=default#results</w:t>
        </w:r>
      </w:hyperlink>
      <w:r>
        <w:t xml:space="preserve"> </w:t>
      </w:r>
    </w:p>
  </w:endnote>
  <w:endnote w:id="13">
    <w:p w14:paraId="7F9BFE5E" w14:textId="24ECD0BF" w:rsidR="00C87732" w:rsidRDefault="00C87732">
      <w:pPr>
        <w:pStyle w:val="EndnoteText"/>
      </w:pPr>
      <w:r>
        <w:rPr>
          <w:rStyle w:val="EndnoteReference"/>
        </w:rPr>
        <w:endnoteRef/>
      </w:r>
      <w:r>
        <w:t xml:space="preserve"> </w:t>
      </w:r>
      <w:r w:rsidR="007677A5">
        <w:t xml:space="preserve">Massachusetts Cancer Registry. </w:t>
      </w:r>
      <w:r w:rsidR="007677A5" w:rsidRPr="007677A5">
        <w:t>Cancer Incidence and Mortality in Massachusetts 2016-2020 Statewide Report</w:t>
      </w:r>
      <w:r w:rsidR="007677A5">
        <w:t xml:space="preserve">. </w:t>
      </w:r>
      <w:hyperlink r:id="rId11" w:anchor=":~:text=Between%202016%20and%202020%2C%20there,average%20of%2039%2C280%20cases%20yearly.&amp;text=COVID%20and%20cancer%3A&amp;text=Massachusetts%27s%20overall%20cancer%20incidence%20rate,among%20both%20males%20and%20females." w:history="1">
        <w:r w:rsidR="00E9574B" w:rsidRPr="00E9574B">
          <w:rPr>
            <w:rStyle w:val="Hyperlink"/>
          </w:rPr>
          <w:t>https://www.mass.gov/doc/cancer-incidence-and-mortality-in-massachusetts-2016-2020-statewide-report/download</w:t>
        </w:r>
      </w:hyperlink>
    </w:p>
  </w:endnote>
  <w:endnote w:id="14">
    <w:p w14:paraId="30A1D6A6" w14:textId="2F06E009" w:rsidR="007B1DA8" w:rsidRDefault="00FD0171">
      <w:pPr>
        <w:pStyle w:val="EndnoteText"/>
      </w:pPr>
      <w:r>
        <w:rPr>
          <w:rStyle w:val="EndnoteReference"/>
        </w:rPr>
        <w:endnoteRef/>
      </w:r>
      <w:r>
        <w:t xml:space="preserve"> </w:t>
      </w:r>
      <w:r w:rsidR="004379A4">
        <w:t xml:space="preserve">American Cancer Society. </w:t>
      </w:r>
      <w:r w:rsidR="0064582C">
        <w:t>Cancer Facts &amp; Figures 202</w:t>
      </w:r>
      <w:r w:rsidR="009631CD">
        <w:t>5</w:t>
      </w:r>
      <w:r w:rsidR="0064582C">
        <w:t xml:space="preserve">. </w:t>
      </w:r>
      <w:r w:rsidR="004379A4">
        <w:t xml:space="preserve"> </w:t>
      </w:r>
    </w:p>
    <w:p w14:paraId="4A1A8977" w14:textId="5EBFC560" w:rsidR="00FD0171" w:rsidRDefault="009631CD">
      <w:pPr>
        <w:pStyle w:val="EndnoteText"/>
      </w:pPr>
      <w:hyperlink r:id="rId12" w:history="1">
        <w:r w:rsidRPr="004A02B9">
          <w:rPr>
            <w:rStyle w:val="Hyperlink"/>
          </w:rPr>
          <w:t>https://www.cancer.org/content/dam/cancer-org/research/cancer-facts-and-statistics/annual-cancer-facts-and-figures/2025/2025-cancer-facts-and-figures-acs.pdf</w:t>
        </w:r>
      </w:hyperlink>
      <w:r>
        <w:t xml:space="preserve"> </w:t>
      </w:r>
    </w:p>
  </w:endnote>
  <w:endnote w:id="15">
    <w:p w14:paraId="6EF45E46" w14:textId="77777777" w:rsidR="00072D0F" w:rsidRDefault="00FD0171">
      <w:pPr>
        <w:pStyle w:val="EndnoteText"/>
      </w:pPr>
      <w:r>
        <w:rPr>
          <w:rStyle w:val="EndnoteReference"/>
        </w:rPr>
        <w:endnoteRef/>
      </w:r>
      <w:r>
        <w:t xml:space="preserve"> </w:t>
      </w:r>
      <w:r w:rsidR="004A684B" w:rsidRPr="004A684B">
        <w:t>2024—First Year the US Expects More than 2M New Cases of Cancer</w:t>
      </w:r>
      <w:r w:rsidR="004A684B">
        <w:t xml:space="preserve">. </w:t>
      </w:r>
    </w:p>
    <w:p w14:paraId="7FD41484" w14:textId="6BFC1634" w:rsidR="00FD0171" w:rsidRDefault="002E1FE7">
      <w:pPr>
        <w:pStyle w:val="EndnoteText"/>
      </w:pPr>
      <w:hyperlink r:id="rId13" w:history="1">
        <w:r w:rsidRPr="00827BC1">
          <w:rPr>
            <w:rStyle w:val="Hyperlink"/>
          </w:rPr>
          <w:t>https://www.cancer.org/research/acs-research-news/facts-and-figures-2024.html</w:t>
        </w:r>
      </w:hyperlink>
      <w:r w:rsidR="00072D0F">
        <w:t xml:space="preserve"> </w:t>
      </w:r>
    </w:p>
  </w:endnote>
  <w:endnote w:id="16">
    <w:p w14:paraId="137A1EC2" w14:textId="77777777" w:rsidR="00A123FC" w:rsidRPr="00A123FC" w:rsidRDefault="00FD0171" w:rsidP="00A123FC">
      <w:pPr>
        <w:pStyle w:val="EndnoteText"/>
      </w:pPr>
      <w:r>
        <w:rPr>
          <w:rStyle w:val="EndnoteReference"/>
        </w:rPr>
        <w:endnoteRef/>
      </w:r>
      <w:r>
        <w:t xml:space="preserve"> </w:t>
      </w:r>
      <w:r w:rsidR="00A123FC" w:rsidRPr="00A123FC">
        <w:t xml:space="preserve">2024—First Year the US Expects More than 2M New Cases of Cancer. </w:t>
      </w:r>
    </w:p>
    <w:p w14:paraId="3B774312" w14:textId="064898AA" w:rsidR="00FD0171" w:rsidRDefault="00A123FC">
      <w:pPr>
        <w:pStyle w:val="EndnoteText"/>
      </w:pPr>
      <w:hyperlink r:id="rId14" w:history="1">
        <w:r w:rsidRPr="00A123FC">
          <w:rPr>
            <w:rStyle w:val="Hyperlink"/>
          </w:rPr>
          <w:t>https://www.cancer.org/research/acs-research-news/facts-and-figures-2024.html</w:t>
        </w:r>
      </w:hyperlink>
      <w:r w:rsidRPr="00A123FC">
        <w:t xml:space="preserve"> </w:t>
      </w:r>
    </w:p>
  </w:endnote>
  <w:endnote w:id="17">
    <w:p w14:paraId="59A951D9" w14:textId="049A5E0B" w:rsidR="00027161" w:rsidRDefault="00027161">
      <w:pPr>
        <w:pStyle w:val="EndnoteText"/>
      </w:pPr>
      <w:r>
        <w:rPr>
          <w:rStyle w:val="EndnoteReference"/>
        </w:rPr>
        <w:endnoteRef/>
      </w:r>
      <w:r>
        <w:t xml:space="preserve"> </w:t>
      </w:r>
      <w:r w:rsidRPr="00027161">
        <w:t>Rahib L, Wehner MR, Matrisian LM, Nead KT. Estimated Projection of US Cancer Incidence and Death to 2040. JAMA Netw Open. 2021;4(4):e214708. doi:10.1001/jamanetworkopen.2021.4708</w:t>
      </w:r>
    </w:p>
  </w:endnote>
  <w:endnote w:id="18">
    <w:p w14:paraId="025094FE" w14:textId="70E2AAC6" w:rsidR="00D76ED2" w:rsidRDefault="00D76ED2">
      <w:pPr>
        <w:pStyle w:val="EndnoteText"/>
      </w:pPr>
      <w:r>
        <w:rPr>
          <w:rStyle w:val="EndnoteReference"/>
        </w:rPr>
        <w:endnoteRef/>
      </w:r>
      <w:r>
        <w:t xml:space="preserve"> </w:t>
      </w:r>
      <w:r w:rsidRPr="00D76ED2">
        <w:t>Paterson WG, Depew WT, Paré P, Petrunia D, Switzer C, Veldhuyzen van Zanten SJ, Daniels S; Canadian Association of Gastroenterology Wait Time Consensus Group. Canadian consensus on medically acceptable wait times for digestive health care. Can J Gastroenterol. 2006 Jun;20(6):411-23. doi: 10.1155/2006/343686. PMID: 16779459; PMCID: PMC2659924.</w:t>
      </w:r>
    </w:p>
  </w:endnote>
  <w:endnote w:id="19">
    <w:p w14:paraId="72894C91" w14:textId="102D977D" w:rsidR="00662C83" w:rsidRDefault="00662C83">
      <w:pPr>
        <w:pStyle w:val="EndnoteText"/>
      </w:pPr>
      <w:r>
        <w:rPr>
          <w:rStyle w:val="EndnoteReference"/>
        </w:rPr>
        <w:endnoteRef/>
      </w:r>
      <w:r>
        <w:t xml:space="preserve"> </w:t>
      </w:r>
      <w:r w:rsidR="00F6085F" w:rsidRPr="00F6085F">
        <w:t>Shim HG, Gupta A, Fu A, Flores R Jr, Simmons R, Steinberg J, Guerson-Gil A, Liao Y, Yang J, LaComb JF, D'Souza LS, Monzur F, Li E, Guillaume A. A Quality Improvement Study on Colonoscopy Wait Times in Underinsured Patients Following the COVID-19 Pandemic. Clin Transl Gastroenterol. 2024 Sep 1;15(9):e1. doi: 10.14309/ctg.0000000000000730. PMID: 38916225; PMCID: PMC11421721.</w:t>
      </w:r>
    </w:p>
  </w:endnote>
  <w:endnote w:id="20">
    <w:p w14:paraId="42F08AB9" w14:textId="37B8FBD1" w:rsidR="00D05A08" w:rsidRDefault="00D05A08">
      <w:pPr>
        <w:pStyle w:val="EndnoteText"/>
      </w:pPr>
      <w:r>
        <w:rPr>
          <w:rStyle w:val="EndnoteReference"/>
        </w:rPr>
        <w:endnoteRef/>
      </w:r>
      <w:r>
        <w:t xml:space="preserve"> </w:t>
      </w:r>
      <w:r w:rsidR="005605A1" w:rsidRPr="005605A1">
        <w:t>Corley DA, Jensen CD, Quinn VP, et al. Association Between Time to Colonoscopy After a Positive Fecal Test Result and Risk of Colorectal Cancer and Cancer Stage at Diagnosis. JAMA. 2017;317(16):1631–1641. doi:10.1001/jama.2017.3634</w:t>
      </w:r>
    </w:p>
  </w:endnote>
  <w:endnote w:id="21">
    <w:p w14:paraId="10BEC822" w14:textId="77777777" w:rsidR="00816609" w:rsidRDefault="00816609" w:rsidP="00816609">
      <w:pPr>
        <w:pStyle w:val="EndnoteText"/>
      </w:pPr>
      <w:r>
        <w:rPr>
          <w:rStyle w:val="EndnoteReference"/>
        </w:rPr>
        <w:endnoteRef/>
      </w:r>
      <w:r>
        <w:t xml:space="preserve"> </w:t>
      </w:r>
      <w:r w:rsidRPr="000F22C6">
        <w:t>Lin MY, Mishra G, Ellison J, Osei-Poku G, Prentice JC. Differences in patient outcomes after outpatient GI endoscopy across settings: a statewide matched cohort study. Gastrointest Endosc. 2022 Jun;95(6):1088-1097.e17. doi: 10.1016/j.gie.2021.12.025. Epub 2021 Dec 31. PMID: 34979119.</w:t>
      </w:r>
    </w:p>
  </w:endnote>
  <w:endnote w:id="22">
    <w:p w14:paraId="665CF517" w14:textId="77777777" w:rsidR="00DE058A" w:rsidRDefault="00DE058A" w:rsidP="00DE058A">
      <w:pPr>
        <w:pStyle w:val="EndnoteText"/>
      </w:pPr>
      <w:r>
        <w:rPr>
          <w:rStyle w:val="EndnoteReference"/>
        </w:rPr>
        <w:endnoteRef/>
      </w:r>
      <w:r>
        <w:t xml:space="preserve"> </w:t>
      </w:r>
      <w:r w:rsidRPr="00C648B9">
        <w:t>Goudra B. Setting Up an Ambulatory GI Endoscopy Suite in the USA-Anesthesia and Sedation Challenges. J Clin Med. 2024 Jul 25;13(15):4335. doi: 10.3390/jcm13154335. PMID: 39124602; PMCID: PMC11313587.</w:t>
      </w:r>
    </w:p>
  </w:endnote>
  <w:endnote w:id="23">
    <w:p w14:paraId="329FB83F" w14:textId="3319BC2F" w:rsidR="00852462" w:rsidRDefault="00852462">
      <w:pPr>
        <w:pStyle w:val="EndnoteText"/>
      </w:pPr>
      <w:r>
        <w:rPr>
          <w:rStyle w:val="EndnoteReference"/>
        </w:rPr>
        <w:endnoteRef/>
      </w:r>
      <w:r>
        <w:t xml:space="preserve"> </w:t>
      </w:r>
      <w:r w:rsidR="00E339FC" w:rsidRPr="00E339FC">
        <w:t>Yamasaki T, Hemond C, Eisa M, Ganocy S, Fass R. The Changing Epidemiology of Gastroesophageal Reflux Disease: Are Patients Getting Younger? J Neurogastroenterol Motil. 2018 Oct 1;24(4):559-569. doi: 10.5056/jnm18140. PMID: 30347935; PMCID: PMC6175565.</w:t>
      </w:r>
    </w:p>
  </w:endnote>
  <w:endnote w:id="24">
    <w:p w14:paraId="08474CC6" w14:textId="4D5289CB" w:rsidR="00066B0F" w:rsidRDefault="00066B0F" w:rsidP="008D50C1">
      <w:pPr>
        <w:pStyle w:val="EndnoteText"/>
      </w:pPr>
      <w:r>
        <w:rPr>
          <w:rStyle w:val="EndnoteReference"/>
        </w:rPr>
        <w:endnoteRef/>
      </w:r>
      <w:r>
        <w:t xml:space="preserve"> </w:t>
      </w:r>
      <w:r w:rsidR="008D50C1">
        <w:t>Effects of Organized Colorectal Cancer Screening on Cancer Incidence and Mortality in a Large Community-Based Population Levin, Theodore R. et al. Gastroenterology, Volume 155, Issue 5, 1383 - 1391.e5</w:t>
      </w:r>
    </w:p>
  </w:endnote>
  <w:endnote w:id="25">
    <w:p w14:paraId="26FC7F9B" w14:textId="77777777" w:rsidR="00714831" w:rsidRDefault="00714831" w:rsidP="00714831">
      <w:pPr>
        <w:pStyle w:val="EndnoteText"/>
      </w:pPr>
      <w:r>
        <w:rPr>
          <w:rStyle w:val="EndnoteReference"/>
        </w:rPr>
        <w:endnoteRef/>
      </w:r>
      <w:r>
        <w:t xml:space="preserve"> Massachusetts Cancer Registry. Data Report 2020 on Colorectal Cancer in Massachusetts. </w:t>
      </w:r>
    </w:p>
    <w:p w14:paraId="3FB817D4" w14:textId="77777777" w:rsidR="00714831" w:rsidRDefault="00714831" w:rsidP="00714831">
      <w:pPr>
        <w:pStyle w:val="EndnoteText"/>
      </w:pPr>
      <w:hyperlink r:id="rId15" w:history="1">
        <w:r w:rsidRPr="00B7085B">
          <w:rPr>
            <w:rStyle w:val="Hyperlink"/>
          </w:rPr>
          <w:t>https://www.mass.gov/doc/data-report-on-colorectal-cancer-in-massachusetts-november-2020/download</w:t>
        </w:r>
      </w:hyperlink>
      <w:r>
        <w:t xml:space="preserve"> </w:t>
      </w:r>
    </w:p>
  </w:endnote>
  <w:endnote w:id="26">
    <w:p w14:paraId="1E8D788A" w14:textId="62D68B8C" w:rsidR="00E859CA" w:rsidRDefault="00E859CA">
      <w:pPr>
        <w:pStyle w:val="EndnoteText"/>
      </w:pPr>
      <w:r>
        <w:rPr>
          <w:rStyle w:val="EndnoteReference"/>
        </w:rPr>
        <w:endnoteRef/>
      </w:r>
      <w:r>
        <w:t xml:space="preserve"> </w:t>
      </w:r>
      <w:r w:rsidR="00597BE9" w:rsidRPr="00597BE9">
        <w:t>Hollenbeck BK, Dunn RL, Suskind AM, Strope SA, Zhang Y, Hollingsworth JM. Ambulatory Surgery Centers and Their Intended Effects on Outpatient Surgery. Health Serv Res. 2015 Oct;50(5):1491-507. doi: 10.1111/1475-6773.12278. Epub 2015 Jan 22. PMID: 25645136; PMCID: PMC4600358.</w:t>
      </w:r>
    </w:p>
  </w:endnote>
  <w:endnote w:id="27">
    <w:p w14:paraId="0D6672D4" w14:textId="0F72C145" w:rsidR="00FA2AB5" w:rsidRDefault="00FA2AB5">
      <w:pPr>
        <w:pStyle w:val="EndnoteText"/>
      </w:pPr>
      <w:r>
        <w:rPr>
          <w:rStyle w:val="EndnoteReference"/>
        </w:rPr>
        <w:endnoteRef/>
      </w:r>
      <w:r>
        <w:t xml:space="preserve"> </w:t>
      </w:r>
      <w:r w:rsidR="003959C1" w:rsidRPr="003959C1">
        <w:t>Lin MY, Mishra G, Ellison J, Osei-Poku G, Prentice JC. Differences in patient outcomes after outpatient GI endoscopy across settings: a statewide matched cohort study. Gastrointest Endosc. 2022 Jun;95(6):1088-1097.e17. doi: 10.1016/j.gie.2021.12.025. Epub 2021 Dec 31. PMID: 34979119.</w:t>
      </w:r>
    </w:p>
  </w:endnote>
  <w:endnote w:id="28">
    <w:p w14:paraId="17855416" w14:textId="77777777" w:rsidR="000C7FBA" w:rsidRDefault="000C7FBA" w:rsidP="000C7FBA">
      <w:pPr>
        <w:pStyle w:val="EndnoteText"/>
      </w:pPr>
      <w:r>
        <w:rPr>
          <w:rStyle w:val="EndnoteReference"/>
        </w:rPr>
        <w:endnoteRef/>
      </w:r>
      <w:r>
        <w:t xml:space="preserve"> Emerson Hospital 2024 Community Health Needs Assessment Final Assessment Findings June 2024. </w:t>
      </w:r>
    </w:p>
    <w:p w14:paraId="70F79526" w14:textId="77777777" w:rsidR="000C7FBA" w:rsidRDefault="000C7FBA" w:rsidP="000C7FBA">
      <w:pPr>
        <w:pStyle w:val="EndnoteText"/>
      </w:pPr>
      <w:hyperlink r:id="rId16" w:history="1">
        <w:r w:rsidRPr="003B1758">
          <w:rPr>
            <w:rStyle w:val="Hyperlink"/>
          </w:rPr>
          <w:t>https://emersonhealth.org/wp-content/uploads/2025/02/2024-Community-Health-Needs-Assessment.pdf</w:t>
        </w:r>
      </w:hyperlink>
      <w:r>
        <w:t xml:space="preserve"> </w:t>
      </w:r>
    </w:p>
  </w:endnote>
  <w:endnote w:id="29">
    <w:p w14:paraId="6521C5BE" w14:textId="77777777" w:rsidR="000C7FBA" w:rsidRDefault="000C7FBA" w:rsidP="000C7FBA">
      <w:pPr>
        <w:pStyle w:val="EndnoteText"/>
      </w:pPr>
      <w:r>
        <w:rPr>
          <w:rStyle w:val="EndnoteReference"/>
        </w:rPr>
        <w:endnoteRef/>
      </w:r>
      <w:r>
        <w:t xml:space="preserve"> US Census Bureau 2023 American Community Survey 5-Year Estimates.</w:t>
      </w:r>
    </w:p>
  </w:endnote>
  <w:endnote w:id="30">
    <w:p w14:paraId="5BABFC70" w14:textId="77777777" w:rsidR="000C7FBA" w:rsidRDefault="000C7FBA" w:rsidP="000C7FBA">
      <w:pPr>
        <w:pStyle w:val="EndnoteText"/>
      </w:pPr>
      <w:r>
        <w:rPr>
          <w:rStyle w:val="EndnoteReference"/>
        </w:rPr>
        <w:endnoteRef/>
      </w:r>
      <w:r>
        <w:t xml:space="preserve"> US Census Bureau 2023 American Community Survey 1-Year Estimates. </w:t>
      </w:r>
    </w:p>
    <w:p w14:paraId="70003C89" w14:textId="77777777" w:rsidR="000C7FBA" w:rsidRDefault="000C7FBA" w:rsidP="000C7FBA">
      <w:pPr>
        <w:pStyle w:val="EndnoteText"/>
      </w:pPr>
      <w:hyperlink r:id="rId17" w:history="1">
        <w:r w:rsidRPr="003B1758">
          <w:rPr>
            <w:rStyle w:val="Hyperlink"/>
          </w:rPr>
          <w:t>https://data.census.gov/profile/Massachusetts?g=040XX00US25</w:t>
        </w:r>
      </w:hyperlink>
      <w:r>
        <w:t xml:space="preserve"> </w:t>
      </w:r>
    </w:p>
  </w:endnote>
  <w:endnote w:id="31">
    <w:p w14:paraId="541F4A88" w14:textId="77777777" w:rsidR="000C7FBA" w:rsidRDefault="000C7FBA" w:rsidP="000C7FBA">
      <w:pPr>
        <w:pStyle w:val="EndnoteText"/>
      </w:pPr>
      <w:r>
        <w:rPr>
          <w:rStyle w:val="EndnoteReference"/>
        </w:rPr>
        <w:endnoteRef/>
      </w:r>
      <w:r>
        <w:t xml:space="preserve"> US Census Bureau 2023 American Community Survey 5-Year Estimates.</w:t>
      </w:r>
    </w:p>
  </w:endnote>
  <w:endnote w:id="32">
    <w:p w14:paraId="4F7B1980" w14:textId="77777777" w:rsidR="000C7FBA" w:rsidRDefault="000C7FBA" w:rsidP="000C7FBA">
      <w:pPr>
        <w:pStyle w:val="EndnoteText"/>
      </w:pPr>
      <w:r>
        <w:rPr>
          <w:rStyle w:val="EndnoteReference"/>
        </w:rPr>
        <w:endnoteRef/>
      </w:r>
      <w:r>
        <w:t xml:space="preserve"> US Census Bureau 2023 American Community Survey 1-Year Estimates. </w:t>
      </w:r>
    </w:p>
    <w:p w14:paraId="408E1206" w14:textId="77777777" w:rsidR="000C7FBA" w:rsidRDefault="000C7FBA" w:rsidP="000C7FBA">
      <w:pPr>
        <w:pStyle w:val="EndnoteText"/>
      </w:pPr>
      <w:hyperlink r:id="rId18" w:history="1">
        <w:r w:rsidRPr="003B1758">
          <w:rPr>
            <w:rStyle w:val="Hyperlink"/>
          </w:rPr>
          <w:t>https://data.census.gov/profile/Massachusetts?g=040XX00US25</w:t>
        </w:r>
      </w:hyperlink>
      <w:r>
        <w:t xml:space="preserve"> </w:t>
      </w:r>
    </w:p>
  </w:endnote>
  <w:endnote w:id="33">
    <w:p w14:paraId="177719E3" w14:textId="77777777" w:rsidR="00010CF5" w:rsidRDefault="00010CF5" w:rsidP="00010CF5">
      <w:pPr>
        <w:pStyle w:val="EndnoteText"/>
      </w:pPr>
      <w:r>
        <w:rPr>
          <w:rStyle w:val="EndnoteReference"/>
        </w:rPr>
        <w:endnoteRef/>
      </w:r>
      <w:r>
        <w:t xml:space="preserve"> Massachusetts Health Policy Commission. DataPoints Issue 26: Trends in Ambulatory Surgical Centers in Massachusetts. February 2024.</w:t>
      </w:r>
    </w:p>
    <w:p w14:paraId="4F28CD04" w14:textId="109DC90C" w:rsidR="00010CF5" w:rsidRDefault="00010CF5" w:rsidP="00010CF5">
      <w:pPr>
        <w:pStyle w:val="EndnoteText"/>
      </w:pPr>
      <w:r>
        <w:t xml:space="preserve">Available at: </w:t>
      </w:r>
      <w:hyperlink r:id="rId19" w:history="1">
        <w:r w:rsidR="000875CA" w:rsidRPr="0045194E">
          <w:rPr>
            <w:rStyle w:val="Hyperlink"/>
          </w:rPr>
          <w:t>https://masshpc.gov/sites/default/files/DataPoints_ASC_26.pdf</w:t>
        </w:r>
      </w:hyperlink>
      <w:r w:rsidR="000875CA">
        <w:t xml:space="preserve"> </w:t>
      </w:r>
    </w:p>
  </w:endnote>
  <w:endnote w:id="34">
    <w:p w14:paraId="7C04D4A8" w14:textId="77777777" w:rsidR="00010CF5" w:rsidRDefault="00010CF5" w:rsidP="00010CF5">
      <w:pPr>
        <w:pStyle w:val="EndnoteText"/>
      </w:pPr>
      <w:r>
        <w:rPr>
          <w:rStyle w:val="EndnoteReference"/>
        </w:rPr>
        <w:endnoteRef/>
      </w:r>
      <w:r>
        <w:t xml:space="preserve"> Massachusetts Health Policy Commission. DataPoints Issue 26: Trends in Ambulatory Surgical Centers in Massachusetts. February 2024.</w:t>
      </w:r>
    </w:p>
    <w:p w14:paraId="605F2D8F" w14:textId="05DBE773" w:rsidR="00010CF5" w:rsidRDefault="00010CF5" w:rsidP="00010CF5">
      <w:pPr>
        <w:pStyle w:val="EndnoteText"/>
      </w:pPr>
      <w:r>
        <w:t xml:space="preserve">Available at: </w:t>
      </w:r>
      <w:hyperlink r:id="rId20" w:history="1">
        <w:r w:rsidR="000875CA" w:rsidRPr="0045194E">
          <w:rPr>
            <w:rStyle w:val="Hyperlink"/>
          </w:rPr>
          <w:t>https://masshpc.gov/sites/default/files/DataPoints_ASC_26.pdf</w:t>
        </w:r>
      </w:hyperlink>
      <w:r w:rsidR="000875CA">
        <w:t xml:space="preserve"> </w:t>
      </w:r>
    </w:p>
  </w:endnote>
  <w:endnote w:id="35">
    <w:p w14:paraId="113C2DDE" w14:textId="77777777" w:rsidR="003A02CB" w:rsidRDefault="00322172" w:rsidP="003A02CB">
      <w:pPr>
        <w:pStyle w:val="EndnoteText"/>
      </w:pPr>
      <w:r>
        <w:rPr>
          <w:rStyle w:val="EndnoteReference"/>
        </w:rPr>
        <w:endnoteRef/>
      </w:r>
      <w:r>
        <w:t xml:space="preserve"> </w:t>
      </w:r>
      <w:r w:rsidR="003A02CB">
        <w:t>Massachusetts Health Policy Commission. DataPoints Issue 26: Trends in Ambulatory Surgical Centers in Massachusetts. February 2024.</w:t>
      </w:r>
    </w:p>
    <w:p w14:paraId="54A120EA" w14:textId="6A6FE0EC" w:rsidR="00322172" w:rsidRDefault="003A02CB" w:rsidP="002A7E76">
      <w:pPr>
        <w:pStyle w:val="EndnoteText"/>
      </w:pPr>
      <w:r>
        <w:t xml:space="preserve">Available at: </w:t>
      </w:r>
      <w:hyperlink r:id="rId21" w:history="1">
        <w:r w:rsidR="00F77187" w:rsidRPr="009B3F33">
          <w:rPr>
            <w:rStyle w:val="Hyperlink"/>
          </w:rPr>
          <w:t>https://masshpc.gov/sites/default/files/DataPoints_ASC_26.pdf</w:t>
        </w:r>
      </w:hyperlink>
      <w:r w:rsidR="00F77187">
        <w:t xml:space="preserve"> </w:t>
      </w:r>
    </w:p>
  </w:endnote>
  <w:endnote w:id="36">
    <w:p w14:paraId="0C715846" w14:textId="77777777" w:rsidR="00F93613" w:rsidRDefault="00F93613" w:rsidP="00F93613">
      <w:pPr>
        <w:pStyle w:val="EndnoteText"/>
      </w:pPr>
      <w:r>
        <w:rPr>
          <w:rStyle w:val="EndnoteReference"/>
        </w:rPr>
        <w:endnoteRef/>
      </w:r>
      <w:r>
        <w:t xml:space="preserve"> Massachusetts Health Policy Commission. DataPoints Issue 26: Trends in Ambulatory Surgical Centers in Massachusetts. February 2024.</w:t>
      </w:r>
    </w:p>
    <w:p w14:paraId="735421DC" w14:textId="7B537B5C" w:rsidR="00F93613" w:rsidRDefault="00F93613" w:rsidP="00F93613">
      <w:pPr>
        <w:pStyle w:val="EndnoteText"/>
      </w:pPr>
      <w:r>
        <w:t xml:space="preserve">Available at: </w:t>
      </w:r>
      <w:hyperlink r:id="rId22" w:history="1">
        <w:r w:rsidR="00F77187" w:rsidRPr="009B3F33">
          <w:rPr>
            <w:rStyle w:val="Hyperlink"/>
          </w:rPr>
          <w:t>https://masshpc.gov/sites/default/files/DataPoints_ASC_26.pdf</w:t>
        </w:r>
      </w:hyperlink>
      <w:r w:rsidR="00F77187">
        <w:t xml:space="preserve"> </w:t>
      </w:r>
    </w:p>
  </w:endnote>
  <w:endnote w:id="37">
    <w:p w14:paraId="6D100FF1" w14:textId="77777777" w:rsidR="00AC5754" w:rsidRDefault="00AC5754" w:rsidP="00AC5754">
      <w:pPr>
        <w:pStyle w:val="EndnoteText"/>
      </w:pPr>
      <w:r>
        <w:rPr>
          <w:rStyle w:val="EndnoteReference"/>
        </w:rPr>
        <w:endnoteRef/>
      </w:r>
      <w:r>
        <w:t xml:space="preserve"> Massachusetts Health Policy Commission. 2023 Report and Recommendations Chartpack. </w:t>
      </w:r>
    </w:p>
    <w:p w14:paraId="1C407B40" w14:textId="77777777" w:rsidR="00AC5754" w:rsidRDefault="00AC5754" w:rsidP="00AC5754">
      <w:pPr>
        <w:pStyle w:val="EndnoteText"/>
      </w:pPr>
      <w:hyperlink r:id="rId23" w:history="1">
        <w:r w:rsidRPr="001305D5">
          <w:rPr>
            <w:rStyle w:val="Hyperlink"/>
          </w:rPr>
          <w:t>https://masshpc.gov/sites/default/files/2023%20CTR%20Chartpack.pdf</w:t>
        </w:r>
      </w:hyperlink>
      <w:r>
        <w:t xml:space="preserve"> </w:t>
      </w:r>
    </w:p>
  </w:endnote>
  <w:endnote w:id="38">
    <w:p w14:paraId="70C512E6" w14:textId="77777777" w:rsidR="00AC5754" w:rsidRDefault="00AC5754" w:rsidP="00AC5754">
      <w:pPr>
        <w:pStyle w:val="EndnoteText"/>
      </w:pPr>
      <w:r>
        <w:rPr>
          <w:rStyle w:val="EndnoteReference"/>
        </w:rPr>
        <w:endnoteRef/>
      </w:r>
      <w:r>
        <w:t xml:space="preserve"> Massachusetts Health Policy Commission. 2024 Report and Recommendations Chartpack</w:t>
      </w:r>
    </w:p>
    <w:p w14:paraId="5372FACA" w14:textId="77777777" w:rsidR="00AC5754" w:rsidRDefault="00AC5754" w:rsidP="00AC5754">
      <w:pPr>
        <w:pStyle w:val="EndnoteText"/>
      </w:pPr>
      <w:hyperlink r:id="rId24" w:history="1">
        <w:r w:rsidRPr="001305D5">
          <w:rPr>
            <w:rStyle w:val="Hyperlink"/>
          </w:rPr>
          <w:t>https://masshpc.gov/sites/default/files/2024%20CTR%20Chartpack.pdf</w:t>
        </w:r>
      </w:hyperlink>
      <w:r>
        <w:t xml:space="preserve"> </w:t>
      </w:r>
    </w:p>
  </w:endnote>
  <w:endnote w:id="39">
    <w:p w14:paraId="1AA62CC6" w14:textId="77777777" w:rsidR="00E77F27" w:rsidRDefault="00E77F27" w:rsidP="00E77F27">
      <w:pPr>
        <w:pStyle w:val="EndnoteText"/>
      </w:pPr>
      <w:r>
        <w:rPr>
          <w:rStyle w:val="EndnoteReference"/>
        </w:rPr>
        <w:endnoteRef/>
      </w:r>
      <w:r>
        <w:t xml:space="preserve"> Massachusetts Health Policy Commission. DataPoints Issue 26: Trends in Ambulatory Surgical Centers in Massachusetts. February 2024.</w:t>
      </w:r>
    </w:p>
    <w:p w14:paraId="74107A0C" w14:textId="26EBBCDE" w:rsidR="00E77F27" w:rsidRDefault="00E77F27" w:rsidP="00E77F27">
      <w:pPr>
        <w:pStyle w:val="EndnoteText"/>
      </w:pPr>
      <w:r>
        <w:t xml:space="preserve">Available at: </w:t>
      </w:r>
      <w:hyperlink r:id="rId25" w:history="1">
        <w:r w:rsidR="00F77187" w:rsidRPr="009B3F33">
          <w:rPr>
            <w:rStyle w:val="Hyperlink"/>
          </w:rPr>
          <w:t>https://masshpc.gov/sites/default/files/DataPoints_ASC_26.pdf</w:t>
        </w:r>
      </w:hyperlink>
      <w:r w:rsidR="00F77187">
        <w:t xml:space="preserve"> </w:t>
      </w:r>
    </w:p>
  </w:endnote>
  <w:endnote w:id="40">
    <w:p w14:paraId="130778B7" w14:textId="77777777" w:rsidR="00FA1197" w:rsidRDefault="00FA1197" w:rsidP="00FA1197">
      <w:pPr>
        <w:pStyle w:val="EndnoteText"/>
      </w:pPr>
      <w:r>
        <w:rPr>
          <w:rStyle w:val="EndnoteReference"/>
        </w:rPr>
        <w:endnoteRef/>
      </w:r>
      <w:r>
        <w:t xml:space="preserve"> Massachusetts Health Policy Commission. DataPoints Issue 26: Trends in Ambulatory Surgical Centers in Massachusetts. February 2024.</w:t>
      </w:r>
    </w:p>
    <w:p w14:paraId="20AEB017" w14:textId="05F46112" w:rsidR="00FA1197" w:rsidRDefault="00FA1197" w:rsidP="00FA1197">
      <w:pPr>
        <w:pStyle w:val="EndnoteText"/>
      </w:pPr>
      <w:r>
        <w:t xml:space="preserve">Available at: </w:t>
      </w:r>
      <w:hyperlink r:id="rId26" w:history="1">
        <w:r w:rsidR="00F77187" w:rsidRPr="009B3F33">
          <w:rPr>
            <w:rStyle w:val="Hyperlink"/>
          </w:rPr>
          <w:t>https://masshpc.gov/sites/default/files/DataPoints_ASC_26.pdf</w:t>
        </w:r>
      </w:hyperlink>
      <w:r w:rsidR="00F77187">
        <w:t xml:space="preserve"> </w:t>
      </w:r>
    </w:p>
  </w:endnote>
  <w:endnote w:id="41">
    <w:p w14:paraId="063742FF" w14:textId="77777777" w:rsidR="00FA1197" w:rsidRDefault="00FA1197" w:rsidP="00FA1197">
      <w:pPr>
        <w:pStyle w:val="EndnoteText"/>
      </w:pPr>
      <w:r>
        <w:rPr>
          <w:rStyle w:val="EndnoteReference"/>
        </w:rPr>
        <w:endnoteRef/>
      </w:r>
      <w:r>
        <w:t xml:space="preserve"> Massachusetts Health Policy Commission. DataPoints Issue 26: Trends in Ambulatory Surgical Centers in Massachusetts. February 2024.</w:t>
      </w:r>
    </w:p>
    <w:p w14:paraId="1111DD86" w14:textId="1D82CEEE" w:rsidR="00FA1197" w:rsidRDefault="00FA1197" w:rsidP="00FA1197">
      <w:pPr>
        <w:pStyle w:val="EndnoteText"/>
      </w:pPr>
      <w:r>
        <w:t xml:space="preserve">Available at: </w:t>
      </w:r>
      <w:hyperlink r:id="rId27" w:history="1">
        <w:r w:rsidR="00F77187" w:rsidRPr="009B3F33">
          <w:rPr>
            <w:rStyle w:val="Hyperlink"/>
          </w:rPr>
          <w:t>https://masshpc.gov/sites/default/files/DataPoints_ASC_26.pdf</w:t>
        </w:r>
      </w:hyperlink>
      <w:r w:rsidR="00F77187">
        <w:t xml:space="preserve"> </w:t>
      </w:r>
    </w:p>
  </w:endnote>
  <w:endnote w:id="42">
    <w:p w14:paraId="1378D0F8" w14:textId="77777777" w:rsidR="00711B85" w:rsidRDefault="00711B85" w:rsidP="00711B85">
      <w:pPr>
        <w:pStyle w:val="EndnoteText"/>
      </w:pPr>
      <w:r>
        <w:rPr>
          <w:rStyle w:val="EndnoteReference"/>
        </w:rPr>
        <w:endnoteRef/>
      </w:r>
      <w:r>
        <w:t xml:space="preserve"> Massachusetts Health Policy Commission. HPC Board Meeting. June 7, 2023. </w:t>
      </w:r>
      <w:hyperlink r:id="rId28" w:history="1">
        <w:r w:rsidRPr="00F46D57">
          <w:rPr>
            <w:rStyle w:val="Hyperlink"/>
          </w:rPr>
          <w:t>https://www.mass.gov/doc/presentation-board-meeting-june-7-2023/download</w:t>
        </w:r>
      </w:hyperlink>
      <w:r>
        <w:t xml:space="preserve"> </w:t>
      </w:r>
    </w:p>
  </w:endnote>
  <w:endnote w:id="43">
    <w:p w14:paraId="51C99140" w14:textId="77777777" w:rsidR="0001293E" w:rsidRDefault="00675630" w:rsidP="0001293E">
      <w:pPr>
        <w:pStyle w:val="EndnoteText"/>
      </w:pPr>
      <w:r>
        <w:rPr>
          <w:rStyle w:val="EndnoteReference"/>
        </w:rPr>
        <w:endnoteRef/>
      </w:r>
      <w:r>
        <w:t xml:space="preserve"> </w:t>
      </w:r>
      <w:r w:rsidR="0001293E">
        <w:t xml:space="preserve">Massachusetts Health Policy Commission. 2023 Cost Trends Report. Sept. 2023. Available at: </w:t>
      </w:r>
    </w:p>
    <w:p w14:paraId="4EB32347" w14:textId="1A6BA392" w:rsidR="00675630" w:rsidRDefault="0001293E" w:rsidP="0001293E">
      <w:pPr>
        <w:pStyle w:val="EndnoteText"/>
      </w:pPr>
      <w:hyperlink r:id="rId29" w:history="1">
        <w:r w:rsidRPr="00F46D57">
          <w:rPr>
            <w:rStyle w:val="Hyperlink"/>
          </w:rPr>
          <w:t>https://www.mass.gov/doc/2023-health-care-cost-trends-report/download</w:t>
        </w:r>
      </w:hyperlink>
      <w:r>
        <w:t xml:space="preserve"> </w:t>
      </w:r>
      <w:r w:rsidRPr="0001293E">
        <w:t xml:space="preserve">  </w:t>
      </w:r>
      <w:r>
        <w:t xml:space="preserve"> </w:t>
      </w:r>
    </w:p>
  </w:endnote>
  <w:endnote w:id="44">
    <w:p w14:paraId="5E3116BE" w14:textId="77777777" w:rsidR="00645573" w:rsidRDefault="00645573" w:rsidP="00645573">
      <w:pPr>
        <w:pStyle w:val="EndnoteText"/>
      </w:pPr>
      <w:r>
        <w:rPr>
          <w:rStyle w:val="EndnoteReference"/>
        </w:rPr>
        <w:endnoteRef/>
      </w:r>
      <w:r>
        <w:t xml:space="preserve"> Ambulatory Surgery Center Association. Reducing Medicare Costs by Migrating Volume from Hospital Outpatient Departments to Ambulatory Surgery Centers. </w:t>
      </w:r>
      <w:hyperlink r:id="rId30" w:history="1">
        <w:r w:rsidRPr="00CA0509">
          <w:rPr>
            <w:rStyle w:val="Hyperlink"/>
          </w:rPr>
          <w:t>https://higherlogicdownload.s3.amazonaws.com/ASCACONNECT/975a33fe-e4b9-41ad-92b4-8f6bbfc25293/UploadedImages/documents/public-relations/kng-health-study-reducing-medicare-costs-by-migrating-volume-from-hopds-to-ascs.pdf</w:t>
        </w:r>
      </w:hyperlink>
      <w:r>
        <w:t xml:space="preserve"> </w:t>
      </w:r>
    </w:p>
  </w:endnote>
  <w:endnote w:id="45">
    <w:p w14:paraId="135AF7B2" w14:textId="77777777" w:rsidR="002D297B" w:rsidRDefault="002D297B" w:rsidP="002D297B">
      <w:pPr>
        <w:pStyle w:val="EndnoteText"/>
      </w:pPr>
      <w:r>
        <w:rPr>
          <w:rStyle w:val="EndnoteReference"/>
        </w:rPr>
        <w:endnoteRef/>
      </w:r>
      <w:r>
        <w:t xml:space="preserve"> Massachusetts Health Policy Commission. DataPoints Issue 26: Trends in Ambulatory Surgical Centers in Massachusetts. February 2024.</w:t>
      </w:r>
    </w:p>
    <w:p w14:paraId="23DD275B" w14:textId="77777777" w:rsidR="002D297B" w:rsidRDefault="002D297B" w:rsidP="002D297B">
      <w:pPr>
        <w:pStyle w:val="EndnoteText"/>
      </w:pPr>
      <w:r>
        <w:t xml:space="preserve">Available at: </w:t>
      </w:r>
      <w:hyperlink r:id="rId31" w:history="1">
        <w:r w:rsidRPr="009B3F33">
          <w:rPr>
            <w:rStyle w:val="Hyperlink"/>
          </w:rPr>
          <w:t>https://masshpc.gov/sites/default/files/DataPoints_ASC_26.pdf</w:t>
        </w:r>
      </w:hyperlink>
      <w:r>
        <w:t xml:space="preserve"> </w:t>
      </w:r>
    </w:p>
  </w:endnote>
  <w:endnote w:id="46">
    <w:p w14:paraId="4BFA83D3" w14:textId="77777777" w:rsidR="00BF415D" w:rsidRPr="00BF415D" w:rsidRDefault="00F946B1" w:rsidP="00BF415D">
      <w:pPr>
        <w:pStyle w:val="EndnoteText"/>
      </w:pPr>
      <w:r>
        <w:rPr>
          <w:rStyle w:val="EndnoteReference"/>
        </w:rPr>
        <w:endnoteRef/>
      </w:r>
      <w:r>
        <w:t xml:space="preserve"> </w:t>
      </w:r>
      <w:r w:rsidR="00BF415D" w:rsidRPr="00BF415D">
        <w:t xml:space="preserve">Massachusetts Health Policy Commission. HPC Board Meeting June 7, 2023. </w:t>
      </w:r>
    </w:p>
    <w:p w14:paraId="4734657B" w14:textId="64A022AC" w:rsidR="00F946B1" w:rsidRDefault="00BF415D" w:rsidP="00BF415D">
      <w:pPr>
        <w:pStyle w:val="EndnoteText"/>
      </w:pPr>
      <w:hyperlink r:id="rId32" w:history="1">
        <w:r w:rsidRPr="00BF415D">
          <w:rPr>
            <w:rStyle w:val="Hyperlink"/>
          </w:rPr>
          <w:t>https://www.mass.gov/doc/presentation-board-meeting-june-7-2023/download</w:t>
        </w:r>
      </w:hyperlink>
    </w:p>
    <w:p w14:paraId="5DDBB382" w14:textId="77777777" w:rsidR="0085713F" w:rsidRDefault="0085713F" w:rsidP="00BF415D">
      <w:pPr>
        <w:pStyle w:val="EndnoteText"/>
      </w:pPr>
    </w:p>
    <w:p w14:paraId="66146649" w14:textId="77777777" w:rsidR="0085713F" w:rsidRDefault="0085713F" w:rsidP="00BF415D">
      <w:pPr>
        <w:pStyle w:val="EndnoteText"/>
      </w:pPr>
    </w:p>
    <w:p w14:paraId="02869FDB" w14:textId="77777777" w:rsidR="0085713F" w:rsidRDefault="0085713F" w:rsidP="00BF415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79C41" w14:textId="77777777" w:rsidR="00EC4637" w:rsidRDefault="00EC4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3A007" w14:textId="6A78658F" w:rsidR="00E54588" w:rsidRDefault="00E5458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43DB562" wp14:editId="280532BE">
              <wp:simplePos x="0" y="0"/>
              <wp:positionH relativeFrom="page">
                <wp:posOffset>3813175</wp:posOffset>
              </wp:positionH>
              <wp:positionV relativeFrom="page">
                <wp:posOffset>9272905</wp:posOffset>
              </wp:positionV>
              <wp:extent cx="1473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F466C" w14:textId="77777777" w:rsidR="00E54588" w:rsidRDefault="00E54588">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DB562" id="_x0000_t202" coordsize="21600,21600" o:spt="202" path="m,l,21600r21600,l21600,xe">
              <v:stroke joinstyle="miter"/>
              <v:path gradientshapeok="t" o:connecttype="rect"/>
            </v:shapetype>
            <v:shape id="Text Box 2" o:spid="_x0000_s1026" type="#_x0000_t202" style="position:absolute;margin-left:300.25pt;margin-top:730.15pt;width:11.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" filled="f" stroked="f">
              <v:textbox inset="0,0,0,0">
                <w:txbxContent>
                  <w:p w14:paraId="056F466C" w14:textId="77777777" w:rsidR="00E54588" w:rsidRDefault="00E54588">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13F5A" w14:textId="77777777" w:rsidR="00EC4637" w:rsidRDefault="00EC46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573723"/>
      <w:docPartObj>
        <w:docPartGallery w:val="Page Numbers (Bottom of Page)"/>
        <w:docPartUnique/>
      </w:docPartObj>
    </w:sdtPr>
    <w:sdtEndPr>
      <w:rPr>
        <w:noProof/>
      </w:rPr>
    </w:sdtEndPr>
    <w:sdtContent>
      <w:p w14:paraId="16AC19D4" w14:textId="17302680" w:rsidR="00E54588" w:rsidRDefault="00E54588">
        <w:pPr>
          <w:pStyle w:val="Footer"/>
          <w:jc w:val="center"/>
        </w:pPr>
        <w:r w:rsidRPr="00542854">
          <w:rPr>
            <w:rFonts w:asciiTheme="minorHAnsi" w:hAnsiTheme="minorHAnsi"/>
          </w:rPr>
          <w:fldChar w:fldCharType="begin"/>
        </w:r>
        <w:r w:rsidRPr="00542854">
          <w:rPr>
            <w:rFonts w:asciiTheme="minorHAnsi" w:hAnsiTheme="minorHAnsi"/>
          </w:rPr>
          <w:instrText xml:space="preserve"> PAGE   \* MERGEFORMAT </w:instrText>
        </w:r>
        <w:r w:rsidRPr="00542854">
          <w:rPr>
            <w:rFonts w:asciiTheme="minorHAnsi" w:hAnsiTheme="minorHAnsi"/>
          </w:rPr>
          <w:fldChar w:fldCharType="separate"/>
        </w:r>
        <w:r w:rsidRPr="00542854">
          <w:rPr>
            <w:rFonts w:asciiTheme="minorHAnsi" w:hAnsiTheme="minorHAnsi"/>
            <w:noProof/>
          </w:rPr>
          <w:t>2</w:t>
        </w:r>
        <w:r w:rsidRPr="00542854">
          <w:rPr>
            <w:rFonts w:asciiTheme="minorHAnsi" w:hAnsiTheme="minorHAnsi"/>
            <w:noProof/>
          </w:rPr>
          <w:fldChar w:fldCharType="end"/>
        </w:r>
      </w:p>
    </w:sdtContent>
  </w:sdt>
  <w:p w14:paraId="525B5754" w14:textId="78558AD7" w:rsidR="00E54588" w:rsidRPr="00542854" w:rsidRDefault="00E54588" w:rsidP="00542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8A3B6" w14:textId="77777777" w:rsidR="006B4651" w:rsidRDefault="006B4651">
      <w:r>
        <w:separator/>
      </w:r>
    </w:p>
  </w:footnote>
  <w:footnote w:type="continuationSeparator" w:id="0">
    <w:p w14:paraId="6328DE95" w14:textId="77777777" w:rsidR="006B4651" w:rsidRDefault="006B4651">
      <w:r>
        <w:continuationSeparator/>
      </w:r>
    </w:p>
  </w:footnote>
  <w:footnote w:type="continuationNotice" w:id="1">
    <w:p w14:paraId="5C97753E" w14:textId="77777777" w:rsidR="006B4651" w:rsidRDefault="006B4651"/>
  </w:footnote>
  <w:footnote w:id="2">
    <w:p w14:paraId="3F739AE5" w14:textId="49604DC4" w:rsidR="008C1B29" w:rsidRDefault="008C1B29">
      <w:pPr>
        <w:pStyle w:val="FootnoteText"/>
      </w:pPr>
      <w:r>
        <w:rPr>
          <w:rStyle w:val="FootnoteReference"/>
        </w:rPr>
        <w:footnoteRef/>
      </w:r>
      <w:r>
        <w:t xml:space="preserve"> The Applicant states that the bays are used interchangeably for pre- and post-operative care. </w:t>
      </w:r>
    </w:p>
  </w:footnote>
  <w:footnote w:id="3">
    <w:p w14:paraId="43F1E1DC" w14:textId="79D35ADE" w:rsidR="00B95EA4" w:rsidRPr="002B07BF" w:rsidRDefault="00B95EA4">
      <w:pPr>
        <w:pStyle w:val="FootnoteText"/>
        <w:rPr>
          <w:rFonts w:asciiTheme="minorHAnsi" w:hAnsiTheme="minorHAnsi"/>
        </w:rPr>
      </w:pPr>
      <w:r w:rsidRPr="002B07BF">
        <w:rPr>
          <w:rStyle w:val="FootnoteReference"/>
          <w:rFonts w:asciiTheme="minorHAnsi" w:hAnsiTheme="minorHAnsi"/>
        </w:rPr>
        <w:footnoteRef/>
      </w:r>
      <w:r w:rsidRPr="002B07BF">
        <w:rPr>
          <w:rFonts w:asciiTheme="minorHAnsi" w:hAnsiTheme="minorHAnsi"/>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 Patient Panel also means: (1) If the Applicant or Holder has no Patient Panel itself, the Patient Panel includes the Patient Panel of the health care facilities affiliated with the Applicant; or (2) If the Proposed Project is for a new facility and there is no existing Patient Panel, Patient Panel means the anticipated patients; or (3) In the case of a Transfer of Ownership, Patient Panel also includes the Patient Panel of the Entity to be acquired.</w:t>
      </w:r>
    </w:p>
  </w:footnote>
  <w:footnote w:id="4">
    <w:p w14:paraId="4C6056B4" w14:textId="46BB3876" w:rsidR="00B9307B" w:rsidRDefault="00B9307B">
      <w:pPr>
        <w:pStyle w:val="FootnoteText"/>
      </w:pPr>
      <w:r>
        <w:rPr>
          <w:rStyle w:val="FootnoteReference"/>
        </w:rPr>
        <w:footnoteRef/>
      </w:r>
      <w:r>
        <w:t xml:space="preserve"> The Center’s fiscal year is the Calendar Year. </w:t>
      </w:r>
    </w:p>
  </w:footnote>
  <w:footnote w:id="5">
    <w:p w14:paraId="18B560E0" w14:textId="7558363B" w:rsidR="004857CB" w:rsidRDefault="004857CB" w:rsidP="004857CB">
      <w:pPr>
        <w:pStyle w:val="FootnoteText"/>
      </w:pPr>
      <w:r>
        <w:rPr>
          <w:rStyle w:val="FootnoteReference"/>
        </w:rPr>
        <w:footnoteRef/>
      </w:r>
      <w:r>
        <w:t xml:space="preserve"> In the Emerson Hospital 2024 CHNA on the hospital’s service area is comprised of 21 towns in Massachusetts. The primary service area of the hospital is comprised of 14 communities: Acton, Bedford, Bolton, Boxborough, Carlisle,</w:t>
      </w:r>
    </w:p>
    <w:p w14:paraId="52BCE4B3" w14:textId="7D5D498C" w:rsidR="004857CB" w:rsidRDefault="004857CB" w:rsidP="004857CB">
      <w:pPr>
        <w:pStyle w:val="FootnoteText"/>
      </w:pPr>
      <w:r>
        <w:t>Concord, Harvard, Hudson, Lincoln, Littleton, Maynard, Stow, Sudbury, and Westford. The secondary service area</w:t>
      </w:r>
    </w:p>
    <w:p w14:paraId="753BBB8E" w14:textId="67572405" w:rsidR="004857CB" w:rsidRDefault="00B266DD" w:rsidP="004857CB">
      <w:pPr>
        <w:pStyle w:val="FootnoteText"/>
      </w:pPr>
      <w:r>
        <w:t>i</w:t>
      </w:r>
      <w:r w:rsidR="00930D81">
        <w:t xml:space="preserve">s comprised of seven communities: </w:t>
      </w:r>
      <w:r w:rsidR="004857CB">
        <w:t>Ayer, Devens, Groton,</w:t>
      </w:r>
      <w:r w:rsidR="00930D81">
        <w:t xml:space="preserve"> </w:t>
      </w:r>
      <w:r w:rsidR="004857CB">
        <w:t>Hanscom, Pepperell, Shirley, and</w:t>
      </w:r>
      <w:r w:rsidR="00930D81">
        <w:t xml:space="preserve"> </w:t>
      </w:r>
      <w:r w:rsidR="004857CB">
        <w:t>Townsend.</w:t>
      </w:r>
    </w:p>
  </w:footnote>
  <w:footnote w:id="6">
    <w:p w14:paraId="26BFDD1B" w14:textId="283898DA" w:rsidR="0075445F" w:rsidRDefault="0075445F">
      <w:pPr>
        <w:pStyle w:val="FootnoteText"/>
      </w:pPr>
      <w:r>
        <w:rPr>
          <w:rStyle w:val="FootnoteReference"/>
        </w:rPr>
        <w:footnoteRef/>
      </w:r>
      <w:r>
        <w:t xml:space="preserve"> </w:t>
      </w:r>
      <w:r w:rsidR="006C6B2C" w:rsidRPr="006C6B2C">
        <w:t>Primary Service Area: 76.9% White, non-Hispanic in 2018</w:t>
      </w:r>
      <w:r w:rsidR="00920273">
        <w:t xml:space="preserve"> to </w:t>
      </w:r>
      <w:r w:rsidR="006C6B2C" w:rsidRPr="006C6B2C">
        <w:t xml:space="preserve">2022; </w:t>
      </w:r>
      <w:r w:rsidR="00E73147">
        <w:t xml:space="preserve">compared to </w:t>
      </w:r>
      <w:r w:rsidR="006C6B2C" w:rsidRPr="006C6B2C">
        <w:t>78.9% in 2015</w:t>
      </w:r>
      <w:r w:rsidR="00920273">
        <w:t xml:space="preserve"> to </w:t>
      </w:r>
      <w:r w:rsidR="006C6B2C" w:rsidRPr="006C6B2C">
        <w:t>2019 and Secondary Service Area: 80.8%</w:t>
      </w:r>
      <w:r w:rsidR="00281472">
        <w:t xml:space="preserve"> White</w:t>
      </w:r>
      <w:r w:rsidR="006C6B2C" w:rsidRPr="006C6B2C">
        <w:t xml:space="preserve"> in 2018</w:t>
      </w:r>
      <w:r w:rsidR="00920273">
        <w:t xml:space="preserve"> to </w:t>
      </w:r>
      <w:r w:rsidR="006C6B2C" w:rsidRPr="006C6B2C">
        <w:t>2022</w:t>
      </w:r>
      <w:r w:rsidR="00281472">
        <w:t xml:space="preserve"> </w:t>
      </w:r>
      <w:r w:rsidR="0010234E">
        <w:t>compared to</w:t>
      </w:r>
      <w:r w:rsidR="006C6B2C" w:rsidRPr="006C6B2C">
        <w:t xml:space="preserve"> 86.0% in 2015</w:t>
      </w:r>
      <w:r w:rsidR="00920273">
        <w:t xml:space="preserve"> to </w:t>
      </w:r>
      <w:r w:rsidR="006C6B2C" w:rsidRPr="006C6B2C">
        <w:t>2</w:t>
      </w:r>
      <w:r w:rsidR="00286427">
        <w:t>0</w:t>
      </w:r>
      <w:r w:rsidR="006C6B2C" w:rsidRPr="006C6B2C">
        <w:t>19</w:t>
      </w:r>
      <w:r w:rsidR="00286427">
        <w:t>.</w:t>
      </w:r>
    </w:p>
  </w:footnote>
  <w:footnote w:id="7">
    <w:p w14:paraId="36C3EF7D" w14:textId="19B7F77B" w:rsidR="001852B6" w:rsidRDefault="001852B6">
      <w:pPr>
        <w:pStyle w:val="FootnoteText"/>
      </w:pPr>
      <w:r>
        <w:rPr>
          <w:rStyle w:val="FootnoteReference"/>
        </w:rPr>
        <w:footnoteRef/>
      </w:r>
      <w:r>
        <w:t xml:space="preserve"> </w:t>
      </w:r>
      <w:r w:rsidRPr="001852B6">
        <w:t>Additional towns that represent 75% of the Center’s patients for CY2024 include Lincoln, Framingham, Bolton, Townsend, Shirley, Billerica, and Lancaster</w:t>
      </w:r>
      <w:r w:rsidR="00993586">
        <w:t>.</w:t>
      </w:r>
    </w:p>
  </w:footnote>
  <w:footnote w:id="8">
    <w:p w14:paraId="72ED8D3B" w14:textId="342A549B" w:rsidR="00774AA7" w:rsidRDefault="00774AA7">
      <w:pPr>
        <w:pStyle w:val="FootnoteText"/>
      </w:pPr>
      <w:r>
        <w:rPr>
          <w:rStyle w:val="FootnoteReference"/>
        </w:rPr>
        <w:footnoteRef/>
      </w:r>
      <w:r>
        <w:t xml:space="preserve"> </w:t>
      </w:r>
      <w:r w:rsidRPr="00774AA7">
        <w:t>Other includes Tricare/VA, self-pay, and worker’s comp</w:t>
      </w:r>
      <w:r w:rsidR="00C26425">
        <w:t xml:space="preserve">ensation. </w:t>
      </w:r>
    </w:p>
  </w:footnote>
  <w:footnote w:id="9">
    <w:p w14:paraId="2F2A6FE1" w14:textId="52A2CCDC" w:rsidR="00940983" w:rsidRDefault="00940983">
      <w:pPr>
        <w:pStyle w:val="FootnoteText"/>
      </w:pPr>
      <w:r>
        <w:rPr>
          <w:rStyle w:val="FootnoteReference"/>
        </w:rPr>
        <w:footnoteRef/>
      </w:r>
      <w:r>
        <w:t xml:space="preserve"> The Applicant used the following calculation: ((52 weeks per year x 5 days per week) – 10 h</w:t>
      </w:r>
      <w:r w:rsidR="007F3DCA">
        <w:t>olidays) X 14 slots = 3,500</w:t>
      </w:r>
      <w:r w:rsidR="0012464C">
        <w:t xml:space="preserve"> cases</w:t>
      </w:r>
      <w:r w:rsidR="007F3DCA">
        <w:t xml:space="preserve">. </w:t>
      </w:r>
    </w:p>
  </w:footnote>
  <w:footnote w:id="10">
    <w:p w14:paraId="05D24419" w14:textId="6A41C25D" w:rsidR="00CB7C42" w:rsidRDefault="00CB7C42">
      <w:pPr>
        <w:pStyle w:val="FootnoteText"/>
      </w:pPr>
      <w:r>
        <w:rPr>
          <w:rStyle w:val="FootnoteReference"/>
        </w:rPr>
        <w:footnoteRef/>
      </w:r>
      <w:r>
        <w:t xml:space="preserve"> The Center opened in April 2022. </w:t>
      </w:r>
    </w:p>
  </w:footnote>
  <w:footnote w:id="11">
    <w:p w14:paraId="35447109" w14:textId="58124F4B" w:rsidR="00BE1029" w:rsidRDefault="00BE1029">
      <w:pPr>
        <w:pStyle w:val="FootnoteText"/>
      </w:pPr>
      <w:r>
        <w:rPr>
          <w:rStyle w:val="FootnoteReference"/>
        </w:rPr>
        <w:footnoteRef/>
      </w:r>
      <w:r>
        <w:t xml:space="preserve"> </w:t>
      </w:r>
      <w:r w:rsidRPr="00BE1029">
        <w:t xml:space="preserve">The Applicant states that Annualized volume/capacity is based on April and May cases to account for low volume in earlier months due to a provider’s leave of absence.    </w:t>
      </w:r>
    </w:p>
  </w:footnote>
  <w:footnote w:id="12">
    <w:p w14:paraId="0A6AF884" w14:textId="77777777" w:rsidR="002F1494" w:rsidRDefault="002F1494" w:rsidP="002F1494">
      <w:pPr>
        <w:pStyle w:val="FootnoteText"/>
      </w:pPr>
      <w:r>
        <w:rPr>
          <w:rStyle w:val="FootnoteReference"/>
        </w:rPr>
        <w:footnoteRef/>
      </w:r>
      <w:r>
        <w:t xml:space="preserve"> </w:t>
      </w:r>
      <w:r w:rsidRPr="0007128D">
        <w:t xml:space="preserve">The Applicant states that the data received by the Center via the booking sheet does not provide </w:t>
      </w:r>
      <w:r>
        <w:t xml:space="preserve">the </w:t>
      </w:r>
      <w:r w:rsidRPr="0007128D">
        <w:t>historical information that would indicate if a patient was a former NVMC patient.</w:t>
      </w:r>
    </w:p>
  </w:footnote>
  <w:footnote w:id="13">
    <w:p w14:paraId="04D15BB5" w14:textId="02F44BBB" w:rsidR="000F0825" w:rsidRDefault="000F0825">
      <w:pPr>
        <w:pStyle w:val="FootnoteText"/>
      </w:pPr>
      <w:r>
        <w:rPr>
          <w:rStyle w:val="FootnoteReference"/>
        </w:rPr>
        <w:footnoteRef/>
      </w:r>
      <w:r>
        <w:t xml:space="preserve"> </w:t>
      </w:r>
      <w:r>
        <w:rPr>
          <w:rFonts w:asciiTheme="minorHAnsi" w:hAnsiTheme="minorHAnsi"/>
        </w:rPr>
        <w:t>The Applicant states that leading up to the closure of NVMC, Emerson Health prepared for the closure and expected increase in patient demand, by hiring additional staff, including hiring 14 primary care providers (PCPs) for the NVMC service area; increasing operating hours at some of its sites; and opening an observation unit at Emerson Hospital.</w:t>
      </w:r>
    </w:p>
  </w:footnote>
  <w:footnote w:id="14">
    <w:p w14:paraId="3F538570" w14:textId="77777777" w:rsidR="00A354AA" w:rsidRDefault="00A354AA" w:rsidP="00A354AA">
      <w:pPr>
        <w:pStyle w:val="FootnoteText"/>
      </w:pPr>
      <w:r>
        <w:rPr>
          <w:rStyle w:val="FootnoteReference"/>
        </w:rPr>
        <w:footnoteRef/>
      </w:r>
      <w:r>
        <w:t xml:space="preserve"> The Final Report states that nine communities were selected as the focus communities: Ayer, Devens Enterprise Zone, Groton, Harvard, Littleton, Lunenburg, Pepperell, Shirley, and Townsend.</w:t>
      </w:r>
    </w:p>
  </w:footnote>
  <w:footnote w:id="15">
    <w:p w14:paraId="3C518BED" w14:textId="4C515CF4" w:rsidR="009D6090" w:rsidRDefault="009D6090">
      <w:pPr>
        <w:pStyle w:val="FootnoteText"/>
      </w:pPr>
      <w:r>
        <w:rPr>
          <w:rStyle w:val="FootnoteReference"/>
        </w:rPr>
        <w:footnoteRef/>
      </w:r>
      <w:r>
        <w:t xml:space="preserve"> </w:t>
      </w:r>
      <w:r w:rsidRPr="009D6090">
        <w:t>The Atrius Health Concord practice</w:t>
      </w:r>
      <w:r>
        <w:t xml:space="preserve"> of which Emerson Hospital is a preferred </w:t>
      </w:r>
      <w:r w:rsidR="00707C7C">
        <w:t>hospital partner.</w:t>
      </w:r>
      <w:r w:rsidR="00707C7C" w:rsidRPr="00707C7C">
        <w:t xml:space="preserve"> </w:t>
      </w:r>
      <w:hyperlink r:id="rId1" w:history="1">
        <w:r w:rsidR="00707C7C" w:rsidRPr="009B3F33">
          <w:rPr>
            <w:rStyle w:val="Hyperlink"/>
          </w:rPr>
          <w:t>https://www.atriushealth.org/locations/concord</w:t>
        </w:r>
      </w:hyperlink>
      <w:r w:rsidR="00707C7C">
        <w:t xml:space="preserve"> </w:t>
      </w:r>
    </w:p>
  </w:footnote>
  <w:footnote w:id="16">
    <w:p w14:paraId="7C343293" w14:textId="0481CC97" w:rsidR="00444864" w:rsidRPr="00C33448" w:rsidRDefault="00444864">
      <w:pPr>
        <w:pStyle w:val="FootnoteText"/>
        <w:rPr>
          <w:b/>
          <w:bCs/>
        </w:rPr>
      </w:pPr>
      <w:r>
        <w:rPr>
          <w:rStyle w:val="FootnoteReference"/>
        </w:rPr>
        <w:footnoteRef/>
      </w:r>
      <w:r w:rsidR="00C576BA">
        <w:t xml:space="preserve"> </w:t>
      </w:r>
      <w:r w:rsidR="00C33448" w:rsidRPr="00C33448">
        <w:t>The National Colorectal Cancer Roundtable</w:t>
      </w:r>
      <w:r w:rsidR="00C33448">
        <w:t xml:space="preserve">, </w:t>
      </w:r>
      <w:r w:rsidR="001221DA">
        <w:t xml:space="preserve">one </w:t>
      </w:r>
      <w:r w:rsidR="00FE69E2" w:rsidRPr="00FE69E2">
        <w:t>of the American Cancer Society’s seven mission-critical national roundtable</w:t>
      </w:r>
      <w:r w:rsidR="00B27EC5">
        <w:t>s,</w:t>
      </w:r>
      <w:r w:rsidR="00C33448" w:rsidRPr="00C33448">
        <w:t xml:space="preserve"> </w:t>
      </w:r>
      <w:r w:rsidR="00B27EC5">
        <w:t xml:space="preserve">is a </w:t>
      </w:r>
      <w:r w:rsidRPr="00444864">
        <w:t xml:space="preserve">coalition of more than 180 member organizations, with a shared mission to increase the use of proven </w:t>
      </w:r>
      <w:r w:rsidR="001221DA">
        <w:t xml:space="preserve">colorectal cancer </w:t>
      </w:r>
      <w:r w:rsidRPr="00444864">
        <w:t>screening tests among the entire population for whom screening is appropriate. </w:t>
      </w:r>
    </w:p>
  </w:footnote>
  <w:footnote w:id="17">
    <w:p w14:paraId="084A8DB5" w14:textId="4B0117C5" w:rsidR="00332A97" w:rsidRDefault="00332A97">
      <w:pPr>
        <w:pStyle w:val="FootnoteText"/>
      </w:pPr>
      <w:r>
        <w:rPr>
          <w:rStyle w:val="FootnoteReference"/>
        </w:rPr>
        <w:footnoteRef/>
      </w:r>
      <w:r>
        <w:t xml:space="preserve"> </w:t>
      </w:r>
      <w:r w:rsidR="003601A8" w:rsidRPr="003601A8">
        <w:t>Esophagogastroduodenoscopy (EGD) is a medical procedure where a thin, flexible, lighted tube called an endoscope is used to visualize the esophagus, stomach, and the first part of the small intestine (duodenum)</w:t>
      </w:r>
      <w:r w:rsidR="003601A8">
        <w:t>.</w:t>
      </w:r>
    </w:p>
  </w:footnote>
  <w:footnote w:id="18">
    <w:p w14:paraId="6545AFD3" w14:textId="41D6836B" w:rsidR="00A9524E" w:rsidRDefault="00A9524E">
      <w:pPr>
        <w:pStyle w:val="FootnoteText"/>
      </w:pPr>
      <w:r>
        <w:rPr>
          <w:rStyle w:val="FootnoteReference"/>
        </w:rPr>
        <w:footnoteRef/>
      </w:r>
      <w:r>
        <w:t xml:space="preserve"> Colonoscopy is a medical procedure used to examine the inside of the </w:t>
      </w:r>
      <w:r w:rsidR="00430D37">
        <w:t>large intestine (colon)</w:t>
      </w:r>
      <w:r w:rsidR="008F5B77">
        <w:t>. Colonoscopy is considered the “gold standard” for CRC screening</w:t>
      </w:r>
      <w:r w:rsidR="00EF6CBA">
        <w:t xml:space="preserve"> compared to other </w:t>
      </w:r>
      <w:r w:rsidR="00621708">
        <w:t xml:space="preserve">screening methods. </w:t>
      </w:r>
    </w:p>
  </w:footnote>
  <w:footnote w:id="19">
    <w:p w14:paraId="1BD2D0AE" w14:textId="633F3DB1" w:rsidR="00430D37" w:rsidRDefault="00430D37">
      <w:pPr>
        <w:pStyle w:val="FootnoteText"/>
      </w:pPr>
      <w:r>
        <w:rPr>
          <w:rStyle w:val="FootnoteReference"/>
        </w:rPr>
        <w:footnoteRef/>
      </w:r>
      <w:r>
        <w:t xml:space="preserve"> Sigmoidoscopy is a medical procedure </w:t>
      </w:r>
      <w:r w:rsidR="00BA6915">
        <w:t xml:space="preserve">used to examine </w:t>
      </w:r>
      <w:r w:rsidR="00BA6915" w:rsidRPr="00BA6915">
        <w:t>the lower part of the colon (the sigmoid colon) and rectum.</w:t>
      </w:r>
    </w:p>
  </w:footnote>
  <w:footnote w:id="20">
    <w:p w14:paraId="56E2D02D" w14:textId="5E9EC35F" w:rsidR="008D50C1" w:rsidRDefault="008D50C1">
      <w:pPr>
        <w:pStyle w:val="FootnoteText"/>
      </w:pPr>
      <w:r>
        <w:rPr>
          <w:rStyle w:val="FootnoteReference"/>
        </w:rPr>
        <w:footnoteRef/>
      </w:r>
      <w:r>
        <w:t xml:space="preserve"> </w:t>
      </w:r>
      <w:r w:rsidR="008B60F3">
        <w:t xml:space="preserve">The </w:t>
      </w:r>
      <w:r w:rsidR="008B60F3" w:rsidRPr="008B60F3">
        <w:t>replacement of an opportunistic CRC screening program based primarily on sigmoidoscopy and gFOBT, with an organized screening program of annual FIT combined with opportunistic colonoscopy doubled the percentage of patients screening up-to-date, from almost 40% to &gt;80%. The increase in screening was associated with an immediate increase in CRC incidence, particularly early-stage disease, followed by a substantial 25.5% decline in cancer incidence and a 52.4% decrease in cancer mortality during a 12- to 16-year period.</w:t>
      </w:r>
    </w:p>
  </w:footnote>
  <w:footnote w:id="21">
    <w:p w14:paraId="39557114" w14:textId="0D3F2537" w:rsidR="00AB441E" w:rsidRDefault="00AB441E">
      <w:pPr>
        <w:pStyle w:val="FootnoteText"/>
      </w:pPr>
      <w:r>
        <w:rPr>
          <w:rStyle w:val="FootnoteReference"/>
        </w:rPr>
        <w:footnoteRef/>
      </w:r>
      <w:r>
        <w:t xml:space="preserve"> A</w:t>
      </w:r>
      <w:r w:rsidRPr="00AB441E">
        <w:t xml:space="preserve"> national endoscopic registry and clinical benchmarking tool for gastroenterologists that is jointly managed by</w:t>
      </w:r>
      <w:r>
        <w:t xml:space="preserve"> </w:t>
      </w:r>
      <w:r w:rsidR="004967D3" w:rsidRPr="004967D3">
        <w:t>the American College of Gastroenterology (ACG) and the American Society for Gastrointestinal Endoscopy (ASGE)</w:t>
      </w:r>
      <w:r w:rsidR="004967D3">
        <w:t>.</w:t>
      </w:r>
    </w:p>
  </w:footnote>
  <w:footnote w:id="22">
    <w:p w14:paraId="52EA9DBA" w14:textId="58B16AE7" w:rsidR="005B0CD1" w:rsidRDefault="005B0CD1">
      <w:pPr>
        <w:pStyle w:val="FootnoteText"/>
      </w:pPr>
      <w:r>
        <w:rPr>
          <w:rStyle w:val="FootnoteReference"/>
        </w:rPr>
        <w:footnoteRef/>
      </w:r>
      <w:r>
        <w:t xml:space="preserve"> Measures reported </w:t>
      </w:r>
      <w:r w:rsidR="00664A8F">
        <w:t>include</w:t>
      </w:r>
      <w:r>
        <w:t xml:space="preserve"> Patient Burn (ASC-1)</w:t>
      </w:r>
      <w:r w:rsidR="00F75D12">
        <w:t>;</w:t>
      </w:r>
      <w:r>
        <w:t xml:space="preserve"> Patient Fall (ASC-2)</w:t>
      </w:r>
      <w:r w:rsidR="00F75D12">
        <w:t>;</w:t>
      </w:r>
      <w:r>
        <w:t xml:space="preserve"> </w:t>
      </w:r>
      <w:r w:rsidR="00F75D12">
        <w:t>Wrong Site, Wrong Side, Wrong Patient, Wrong Procedure, Wrong Implant (</w:t>
      </w:r>
      <w:r w:rsidR="00624F3C">
        <w:t>ASC-3); All-cause hospital transfer/admission (ASC-4); Appropriate follow-up interval for normal colonoscopy in average risk patients (ASC-9); Outpatient and Ambulatory Surgery Consumer Assessment of Healthcare Providers and Systems (OAS-CAHPS</w:t>
      </w:r>
      <w:r w:rsidR="00603101">
        <w:t xml:space="preserve">)(ASC-15); and COVID-19 vaccination coverage among healthcare personnel (ASC-20). </w:t>
      </w:r>
    </w:p>
  </w:footnote>
  <w:footnote w:id="23">
    <w:p w14:paraId="5C4B2856" w14:textId="58C5AC4B" w:rsidR="00F45FBE" w:rsidRDefault="00F45FBE">
      <w:pPr>
        <w:pStyle w:val="FootnoteText"/>
      </w:pPr>
      <w:r>
        <w:rPr>
          <w:rStyle w:val="FootnoteReference"/>
        </w:rPr>
        <w:footnoteRef/>
      </w:r>
      <w:r>
        <w:t xml:space="preserve"> </w:t>
      </w:r>
      <w:r w:rsidRPr="00F45FBE">
        <w:t>140.305: Emergency Transfer (A) Each clinic shall have a written policy addressing the procedures for calling 911 for patients who need emergency</w:t>
      </w:r>
      <w:r>
        <w:t xml:space="preserve"> </w:t>
      </w:r>
      <w:r w:rsidRPr="00F45FBE">
        <w:t>treatment. A clinic is not precluded from entering into agreements for inter-facility transport in nonemergency situations.</w:t>
      </w:r>
    </w:p>
  </w:footnote>
  <w:footnote w:id="24">
    <w:p w14:paraId="6BE2F799" w14:textId="05D4659E" w:rsidR="00CA4897" w:rsidRDefault="00CA4897">
      <w:pPr>
        <w:pStyle w:val="FootnoteText"/>
      </w:pPr>
      <w:r>
        <w:rPr>
          <w:rStyle w:val="FootnoteReference"/>
        </w:rPr>
        <w:footnoteRef/>
      </w:r>
      <w:r>
        <w:t xml:space="preserve"> </w:t>
      </w:r>
      <w:r w:rsidR="00381EF3" w:rsidRPr="00381EF3">
        <w:t>Localized: There is no sign that the cancer has spread outside of the colon or rectum.</w:t>
      </w:r>
    </w:p>
  </w:footnote>
  <w:footnote w:id="25">
    <w:p w14:paraId="1E15D163" w14:textId="77777777" w:rsidR="00FB11EE" w:rsidRDefault="00381EF3" w:rsidP="00FB11EE">
      <w:pPr>
        <w:pStyle w:val="FootnoteText"/>
      </w:pPr>
      <w:r>
        <w:rPr>
          <w:rStyle w:val="FootnoteReference"/>
        </w:rPr>
        <w:footnoteRef/>
      </w:r>
      <w:r>
        <w:t xml:space="preserve"> </w:t>
      </w:r>
      <w:r w:rsidR="00FB11EE">
        <w:t>Regional: The cancer has spread outside the colon or rectum to nearby structures or lymph nodes.</w:t>
      </w:r>
    </w:p>
    <w:p w14:paraId="1B2A6DDA" w14:textId="3587A255" w:rsidR="00381EF3" w:rsidRDefault="00FB11EE" w:rsidP="00FB11EE">
      <w:pPr>
        <w:pStyle w:val="FootnoteText"/>
      </w:pPr>
      <w:r>
        <w:t xml:space="preserve">    Distant: The cancer has spread to distant parts of the body, such as the liver, lungs, or distant lymph nodes.</w:t>
      </w:r>
    </w:p>
  </w:footnote>
  <w:footnote w:id="26">
    <w:p w14:paraId="1A3E862E" w14:textId="77777777" w:rsidR="009B36F3" w:rsidRDefault="009B36F3" w:rsidP="009B36F3">
      <w:pPr>
        <w:pStyle w:val="FootnoteText"/>
      </w:pPr>
      <w:r>
        <w:rPr>
          <w:rStyle w:val="FootnoteReference"/>
        </w:rPr>
        <w:footnoteRef/>
      </w:r>
      <w:r>
        <w:t xml:space="preserve"> The estimate could not be computed because there was an insufficient number of sample observations. </w:t>
      </w:r>
    </w:p>
  </w:footnote>
  <w:footnote w:id="27">
    <w:p w14:paraId="6BAE4476" w14:textId="77777777" w:rsidR="009B36F3" w:rsidRDefault="009B36F3" w:rsidP="009B36F3">
      <w:pPr>
        <w:pStyle w:val="FootnoteText"/>
      </w:pPr>
      <w:r>
        <w:rPr>
          <w:rStyle w:val="FootnoteReference"/>
        </w:rPr>
        <w:footnoteRef/>
      </w:r>
      <w:r>
        <w:t xml:space="preserve"> The margin of error could not be computed. </w:t>
      </w:r>
    </w:p>
  </w:footnote>
  <w:footnote w:id="28">
    <w:p w14:paraId="4D878C94" w14:textId="77777777" w:rsidR="004F2FE6" w:rsidRDefault="004F2FE6" w:rsidP="004F2FE6">
      <w:pPr>
        <w:pStyle w:val="FootnoteText"/>
      </w:pPr>
      <w:r>
        <w:rPr>
          <w:rStyle w:val="FootnoteReference"/>
        </w:rPr>
        <w:footnoteRef/>
      </w:r>
      <w:r>
        <w:t xml:space="preserve"> The Applicant states that total cost is based </w:t>
      </w:r>
      <w:r w:rsidRPr="00822787">
        <w:t>on Medicare’s 2025 payments and copayments rates as reviewed on June 2, 2025.</w:t>
      </w:r>
    </w:p>
  </w:footnote>
  <w:footnote w:id="29">
    <w:p w14:paraId="12074B62" w14:textId="1AA362D7" w:rsidR="00425E48" w:rsidRDefault="00425E48">
      <w:pPr>
        <w:pStyle w:val="FootnoteText"/>
      </w:pPr>
      <w:r>
        <w:rPr>
          <w:rStyle w:val="FootnoteReference"/>
        </w:rPr>
        <w:footnoteRef/>
      </w:r>
      <w:r>
        <w:t xml:space="preserve"> Refers to the </w:t>
      </w:r>
      <w:r w:rsidRPr="00425E48">
        <w:t>hiring of physicians by Emerson Health’s GI practice and Atrius</w:t>
      </w:r>
      <w:r w:rsidR="009968E3">
        <w:t xml:space="preserve"> Health</w:t>
      </w:r>
      <w:r>
        <w:t>. The Center does not employ any physicians.</w:t>
      </w:r>
      <w:r w:rsidRPr="00425E48">
        <w:t xml:space="preserve"> Recently,</w:t>
      </w:r>
      <w:r w:rsidR="002A5665">
        <w:t xml:space="preserve"> Emerson Health hired two providers and Atrius Health hired one provider, for a total of three providers. </w:t>
      </w:r>
    </w:p>
  </w:footnote>
  <w:footnote w:id="30">
    <w:p w14:paraId="5FD25862" w14:textId="77777777" w:rsidR="0005114C" w:rsidRDefault="0005114C" w:rsidP="0005114C">
      <w:pPr>
        <w:pStyle w:val="FootnoteText"/>
      </w:pPr>
      <w:r w:rsidRPr="00422482">
        <w:rPr>
          <w:rStyle w:val="FootnoteReference"/>
          <w:rFonts w:ascii="Aptos" w:hAnsi="Aptos"/>
          <w:sz w:val="16"/>
          <w:szCs w:val="16"/>
        </w:rPr>
        <w:footnoteRef/>
      </w:r>
      <w:r>
        <w:t xml:space="preserve"> </w:t>
      </w:r>
      <w:r w:rsidRPr="00422482">
        <w:rPr>
          <w:rFonts w:ascii="Aptos" w:hAnsi="Aptos"/>
          <w:i/>
          <w:iCs/>
          <w:sz w:val="16"/>
          <w:szCs w:val="16"/>
        </w:rPr>
        <w:t>Quality Indicators for GI Endoscopic Procedures</w:t>
      </w:r>
      <w:r w:rsidRPr="00422482">
        <w:rPr>
          <w:rFonts w:ascii="Aptos" w:hAnsi="Aptos"/>
          <w:sz w:val="16"/>
          <w:szCs w:val="16"/>
        </w:rPr>
        <w:t xml:space="preserve">, </w:t>
      </w:r>
      <w:r w:rsidRPr="00422482">
        <w:rPr>
          <w:rFonts w:ascii="Aptos" w:hAnsi="Aptos"/>
          <w:smallCaps/>
          <w:sz w:val="16"/>
          <w:szCs w:val="16"/>
        </w:rPr>
        <w:t>American Society for Gastrointestinal Endoscopy</w:t>
      </w:r>
      <w:r w:rsidRPr="00422482">
        <w:rPr>
          <w:rFonts w:ascii="Aptos" w:hAnsi="Aptos"/>
          <w:sz w:val="16"/>
          <w:szCs w:val="16"/>
        </w:rPr>
        <w:t>,</w:t>
      </w:r>
      <w:r w:rsidRPr="007B4BAA">
        <w:rPr>
          <w:i/>
          <w:iCs/>
          <w:sz w:val="16"/>
          <w:szCs w:val="16"/>
        </w:rPr>
        <w:t xml:space="preserve">  </w:t>
      </w:r>
      <w:hyperlink r:id="rId2" w:history="1">
        <w:r w:rsidRPr="00422482">
          <w:rPr>
            <w:rStyle w:val="Hyperlink"/>
            <w:rFonts w:ascii="Aptos" w:hAnsi="Aptos"/>
            <w:sz w:val="16"/>
            <w:szCs w:val="16"/>
          </w:rPr>
          <w:t>https://www.asge.org/docs/default-source/default-document-library/quality-indicators-for-gi-endoscopic-procedures.pdf?sfvrsn=e0d2ea51_0</w:t>
        </w:r>
      </w:hyperlink>
      <w:r w:rsidRPr="00422482">
        <w:rPr>
          <w:rFonts w:ascii="Aptos" w:hAnsi="Aptos"/>
          <w:sz w:val="16"/>
          <w:szCs w:val="16"/>
        </w:rPr>
        <w:t xml:space="preserve"> (last visited January 15,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9F65C" w14:textId="2AA8DAA3" w:rsidR="00EC4637" w:rsidRDefault="00EC4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94A8B" w14:textId="2AD86D5E" w:rsidR="00EC4637" w:rsidRDefault="00EC4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F3ADD" w14:textId="7F95A35B" w:rsidR="00EC4637" w:rsidRDefault="00EC46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E6E92" w14:textId="2FB467ED" w:rsidR="00EC4637" w:rsidRDefault="00EC46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65"/>
      <w:gridCol w:w="3465"/>
      <w:gridCol w:w="3465"/>
    </w:tblGrid>
    <w:tr w:rsidR="1A2CFF01" w14:paraId="4540EB51" w14:textId="77777777" w:rsidTr="1A2CFF01">
      <w:trPr>
        <w:trHeight w:val="300"/>
      </w:trPr>
      <w:tc>
        <w:tcPr>
          <w:tcW w:w="3465" w:type="dxa"/>
        </w:tcPr>
        <w:p w14:paraId="7A44C071" w14:textId="07143871" w:rsidR="1A2CFF01" w:rsidRDefault="1A2CFF01" w:rsidP="1A2CFF01">
          <w:pPr>
            <w:pStyle w:val="Header"/>
            <w:ind w:left="-115"/>
          </w:pPr>
        </w:p>
      </w:tc>
      <w:tc>
        <w:tcPr>
          <w:tcW w:w="3465" w:type="dxa"/>
        </w:tcPr>
        <w:p w14:paraId="53272F70" w14:textId="47809EF2" w:rsidR="1A2CFF01" w:rsidRDefault="1A2CFF01" w:rsidP="1A2CFF01">
          <w:pPr>
            <w:pStyle w:val="Header"/>
            <w:jc w:val="center"/>
          </w:pPr>
        </w:p>
      </w:tc>
      <w:tc>
        <w:tcPr>
          <w:tcW w:w="3465" w:type="dxa"/>
        </w:tcPr>
        <w:p w14:paraId="6A6DFE3D" w14:textId="0F8686AE" w:rsidR="1A2CFF01" w:rsidRDefault="1A2CFF01" w:rsidP="1A2CFF01">
          <w:pPr>
            <w:pStyle w:val="Header"/>
            <w:ind w:right="-115"/>
            <w:jc w:val="right"/>
          </w:pPr>
        </w:p>
      </w:tc>
    </w:tr>
  </w:tbl>
  <w:p w14:paraId="2C549112" w14:textId="3703A93E" w:rsidR="1A2CFF01" w:rsidRDefault="1A2CFF01" w:rsidP="1A2CFF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48AEC" w14:textId="4BE873EF" w:rsidR="00EC4637" w:rsidRDefault="00EC463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5913E" w14:textId="37DD8990" w:rsidR="00E54588" w:rsidRDefault="00E5458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07A5E" w14:textId="48F32284" w:rsidR="00E54588" w:rsidRDefault="00E5458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6555" w14:textId="22808791" w:rsidR="00E54588" w:rsidRDefault="00E54588">
    <w:pPr>
      <w:pStyle w:val="Header"/>
    </w:pPr>
  </w:p>
</w:hdr>
</file>

<file path=word/intelligence2.xml><?xml version="1.0" encoding="utf-8"?>
<int2:intelligence xmlns:int2="http://schemas.microsoft.com/office/intelligence/2020/intelligence" xmlns:oel="http://schemas.microsoft.com/office/2019/extlst">
  <int2:observations>
    <int2:textHash int2:hashCode="FXOcqJK+9PPsZh" int2:id="WI5LvmmN">
      <int2:state int2:value="Rejected" int2:type="LegacyProofing"/>
    </int2:textHash>
    <int2:textHash int2:hashCode="BzvN8B/rJ5tKx/" int2:id="axrM9OZY">
      <int2:state int2:value="Rejected" int2:type="LegacyProofing"/>
    </int2:textHash>
    <int2:textHash int2:hashCode="MrGydln25631a1" int2:id="cTAHSydM">
      <int2:state int2:value="Rejected" int2:type="LegacyProofing"/>
    </int2:textHash>
    <int2:textHash int2:hashCode="Hx5n5f2yXS5c0Y" int2:id="g8x8b5mZ">
      <int2:state int2:value="Rejected" int2:type="LegacyProofing"/>
    </int2:textHash>
    <int2:textHash int2:hashCode="H0RIRLHKYWAJwr" int2:id="ye4AxkzS">
      <int2:state int2:value="Rejected" int2:type="LegacyProofing"/>
    </int2:textHash>
    <int2:bookmark int2:bookmarkName="_Int_BedYxzXG" int2:invalidationBookmarkName="" int2:hashCode="6bVNq+N7VCJ8bt" int2:id="YBCJAkw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577B"/>
    <w:multiLevelType w:val="hybridMultilevel"/>
    <w:tmpl w:val="B47EFD7A"/>
    <w:lvl w:ilvl="0" w:tplc="F8404F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75F50"/>
    <w:multiLevelType w:val="hybridMultilevel"/>
    <w:tmpl w:val="95E0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030A4"/>
    <w:multiLevelType w:val="hybridMultilevel"/>
    <w:tmpl w:val="614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376DC"/>
    <w:multiLevelType w:val="hybridMultilevel"/>
    <w:tmpl w:val="17AEB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B4EBF"/>
    <w:multiLevelType w:val="hybridMultilevel"/>
    <w:tmpl w:val="28B8839A"/>
    <w:lvl w:ilvl="0" w:tplc="4DC2633A">
      <w:start w:val="1"/>
      <w:numFmt w:val="decimal"/>
      <w:lvlText w:val="%1."/>
      <w:lvlJc w:val="left"/>
      <w:pPr>
        <w:ind w:left="720" w:hanging="360"/>
      </w:pPr>
      <w:rPr>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31FF0"/>
    <w:multiLevelType w:val="multilevel"/>
    <w:tmpl w:val="C34494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5424297"/>
    <w:multiLevelType w:val="hybridMultilevel"/>
    <w:tmpl w:val="AC90B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F3D5E"/>
    <w:multiLevelType w:val="hybridMultilevel"/>
    <w:tmpl w:val="0AB2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449EB"/>
    <w:multiLevelType w:val="multilevel"/>
    <w:tmpl w:val="FF5AA3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D021FC6"/>
    <w:multiLevelType w:val="hybridMultilevel"/>
    <w:tmpl w:val="F89C1BAA"/>
    <w:lvl w:ilvl="0" w:tplc="D5268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F0448F"/>
    <w:multiLevelType w:val="multilevel"/>
    <w:tmpl w:val="B37C31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C43701"/>
    <w:multiLevelType w:val="hybridMultilevel"/>
    <w:tmpl w:val="71E6FED0"/>
    <w:lvl w:ilvl="0" w:tplc="A88A3FD6">
      <w:start w:val="4"/>
      <w:numFmt w:val="decimal"/>
      <w:lvlText w:val="%1."/>
      <w:lvlJc w:val="left"/>
      <w:pPr>
        <w:ind w:left="380" w:hanging="360"/>
      </w:pPr>
      <w:rPr>
        <w:rFonts w:hint="default"/>
        <w:b/>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287728F9"/>
    <w:multiLevelType w:val="hybridMultilevel"/>
    <w:tmpl w:val="35709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369E9"/>
    <w:multiLevelType w:val="hybridMultilevel"/>
    <w:tmpl w:val="1944B6AA"/>
    <w:lvl w:ilvl="0" w:tplc="A754CF0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4" w15:restartNumberingAfterBreak="0">
    <w:nsid w:val="2E040E80"/>
    <w:multiLevelType w:val="hybridMultilevel"/>
    <w:tmpl w:val="CFFE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B4751"/>
    <w:multiLevelType w:val="hybridMultilevel"/>
    <w:tmpl w:val="34E2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DD7352"/>
    <w:multiLevelType w:val="hybridMultilevel"/>
    <w:tmpl w:val="AC4A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C9587C"/>
    <w:multiLevelType w:val="hybridMultilevel"/>
    <w:tmpl w:val="A970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F239B"/>
    <w:multiLevelType w:val="hybridMultilevel"/>
    <w:tmpl w:val="349CC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6345D9"/>
    <w:multiLevelType w:val="multilevel"/>
    <w:tmpl w:val="BEDC92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46960DA"/>
    <w:multiLevelType w:val="hybridMultilevel"/>
    <w:tmpl w:val="E73ECBEC"/>
    <w:lvl w:ilvl="0" w:tplc="E9B8F0A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4A079D"/>
    <w:multiLevelType w:val="hybridMultilevel"/>
    <w:tmpl w:val="15F4ACE0"/>
    <w:lvl w:ilvl="0" w:tplc="3A6A5842">
      <w:start w:val="1"/>
      <w:numFmt w:val="decimal"/>
      <w:lvlText w:val="%1."/>
      <w:lvlJc w:val="left"/>
      <w:pPr>
        <w:ind w:left="380" w:hanging="360"/>
      </w:pPr>
      <w:rPr>
        <w:rFonts w:hint="default"/>
      </w:rPr>
    </w:lvl>
    <w:lvl w:ilvl="1" w:tplc="04090019">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2" w15:restartNumberingAfterBreak="0">
    <w:nsid w:val="3725443B"/>
    <w:multiLevelType w:val="multilevel"/>
    <w:tmpl w:val="831AE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025C93"/>
    <w:multiLevelType w:val="multilevel"/>
    <w:tmpl w:val="760C15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0C050A3"/>
    <w:multiLevelType w:val="hybridMultilevel"/>
    <w:tmpl w:val="51BE3500"/>
    <w:lvl w:ilvl="0" w:tplc="01F2F9FE">
      <w:start w:val="3"/>
      <w:numFmt w:val="bullet"/>
      <w:lvlText w:val="-"/>
      <w:lvlJc w:val="left"/>
      <w:pPr>
        <w:ind w:left="1800" w:hanging="360"/>
      </w:pPr>
      <w:rPr>
        <w:rFonts w:ascii="Times New Roman" w:eastAsia="Aptos"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41CB42BD"/>
    <w:multiLevelType w:val="hybridMultilevel"/>
    <w:tmpl w:val="07523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662F8B"/>
    <w:multiLevelType w:val="hybridMultilevel"/>
    <w:tmpl w:val="48AC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7D0C24"/>
    <w:multiLevelType w:val="hybridMultilevel"/>
    <w:tmpl w:val="0208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283621"/>
    <w:multiLevelType w:val="multilevel"/>
    <w:tmpl w:val="7FAEC9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0118CA"/>
    <w:multiLevelType w:val="hybridMultilevel"/>
    <w:tmpl w:val="649C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076587"/>
    <w:multiLevelType w:val="hybridMultilevel"/>
    <w:tmpl w:val="7BAA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8A1184"/>
    <w:multiLevelType w:val="hybridMultilevel"/>
    <w:tmpl w:val="51246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8E0623"/>
    <w:multiLevelType w:val="multilevel"/>
    <w:tmpl w:val="55ECD0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DB723EE"/>
    <w:multiLevelType w:val="hybridMultilevel"/>
    <w:tmpl w:val="4C5C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6D2694"/>
    <w:multiLevelType w:val="hybridMultilevel"/>
    <w:tmpl w:val="8400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1E045F"/>
    <w:multiLevelType w:val="hybridMultilevel"/>
    <w:tmpl w:val="4FFCC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6878EB"/>
    <w:multiLevelType w:val="hybridMultilevel"/>
    <w:tmpl w:val="C8700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090A5E"/>
    <w:multiLevelType w:val="hybridMultilevel"/>
    <w:tmpl w:val="71A40E6A"/>
    <w:lvl w:ilvl="0" w:tplc="D4D213F8">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8" w15:restartNumberingAfterBreak="0">
    <w:nsid w:val="596B1924"/>
    <w:multiLevelType w:val="hybridMultilevel"/>
    <w:tmpl w:val="5DE2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BE1E2A"/>
    <w:multiLevelType w:val="hybridMultilevel"/>
    <w:tmpl w:val="D328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CD1BEE"/>
    <w:multiLevelType w:val="hybridMultilevel"/>
    <w:tmpl w:val="EB941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2C3CC2"/>
    <w:multiLevelType w:val="hybridMultilevel"/>
    <w:tmpl w:val="1C96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5817E8"/>
    <w:multiLevelType w:val="hybridMultilevel"/>
    <w:tmpl w:val="8F6E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196BCC"/>
    <w:multiLevelType w:val="hybridMultilevel"/>
    <w:tmpl w:val="7974C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F017A2"/>
    <w:multiLevelType w:val="multilevel"/>
    <w:tmpl w:val="91504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58445B6"/>
    <w:multiLevelType w:val="hybridMultilevel"/>
    <w:tmpl w:val="A8962CD4"/>
    <w:lvl w:ilvl="0" w:tplc="E1B8159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6" w15:restartNumberingAfterBreak="0">
    <w:nsid w:val="697919B9"/>
    <w:multiLevelType w:val="hybridMultilevel"/>
    <w:tmpl w:val="3A68103C"/>
    <w:lvl w:ilvl="0" w:tplc="85E2B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9C20948"/>
    <w:multiLevelType w:val="hybridMultilevel"/>
    <w:tmpl w:val="979C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8F4E0F"/>
    <w:multiLevelType w:val="hybridMultilevel"/>
    <w:tmpl w:val="53C648EE"/>
    <w:lvl w:ilvl="0" w:tplc="AEFEBB1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F26A91"/>
    <w:multiLevelType w:val="hybridMultilevel"/>
    <w:tmpl w:val="372C2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866611"/>
    <w:multiLevelType w:val="hybridMultilevel"/>
    <w:tmpl w:val="B788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104FF1"/>
    <w:multiLevelType w:val="hybridMultilevel"/>
    <w:tmpl w:val="4C1A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527965"/>
    <w:multiLevelType w:val="hybridMultilevel"/>
    <w:tmpl w:val="AE66F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840841"/>
    <w:multiLevelType w:val="hybridMultilevel"/>
    <w:tmpl w:val="C74A1780"/>
    <w:lvl w:ilvl="0" w:tplc="08F6198A">
      <w:start w:val="1"/>
      <w:numFmt w:val="decimal"/>
      <w:lvlText w:val="%1."/>
      <w:lvlJc w:val="left"/>
      <w:pPr>
        <w:ind w:left="1020" w:hanging="360"/>
      </w:pPr>
    </w:lvl>
    <w:lvl w:ilvl="1" w:tplc="4CE0C364">
      <w:start w:val="1"/>
      <w:numFmt w:val="decimal"/>
      <w:lvlText w:val="%2."/>
      <w:lvlJc w:val="left"/>
      <w:pPr>
        <w:ind w:left="1020" w:hanging="360"/>
      </w:pPr>
    </w:lvl>
    <w:lvl w:ilvl="2" w:tplc="52420EA8">
      <w:start w:val="1"/>
      <w:numFmt w:val="decimal"/>
      <w:lvlText w:val="%3."/>
      <w:lvlJc w:val="left"/>
      <w:pPr>
        <w:ind w:left="1020" w:hanging="360"/>
      </w:pPr>
    </w:lvl>
    <w:lvl w:ilvl="3" w:tplc="AD0AE69E">
      <w:start w:val="1"/>
      <w:numFmt w:val="decimal"/>
      <w:lvlText w:val="%4."/>
      <w:lvlJc w:val="left"/>
      <w:pPr>
        <w:ind w:left="1020" w:hanging="360"/>
      </w:pPr>
    </w:lvl>
    <w:lvl w:ilvl="4" w:tplc="EE000960">
      <w:start w:val="1"/>
      <w:numFmt w:val="decimal"/>
      <w:lvlText w:val="%5."/>
      <w:lvlJc w:val="left"/>
      <w:pPr>
        <w:ind w:left="1020" w:hanging="360"/>
      </w:pPr>
    </w:lvl>
    <w:lvl w:ilvl="5" w:tplc="F54275B2">
      <w:start w:val="1"/>
      <w:numFmt w:val="decimal"/>
      <w:lvlText w:val="%6."/>
      <w:lvlJc w:val="left"/>
      <w:pPr>
        <w:ind w:left="1020" w:hanging="360"/>
      </w:pPr>
    </w:lvl>
    <w:lvl w:ilvl="6" w:tplc="CBF6380E">
      <w:start w:val="1"/>
      <w:numFmt w:val="decimal"/>
      <w:lvlText w:val="%7."/>
      <w:lvlJc w:val="left"/>
      <w:pPr>
        <w:ind w:left="1020" w:hanging="360"/>
      </w:pPr>
    </w:lvl>
    <w:lvl w:ilvl="7" w:tplc="DF08FB08">
      <w:start w:val="1"/>
      <w:numFmt w:val="decimal"/>
      <w:lvlText w:val="%8."/>
      <w:lvlJc w:val="left"/>
      <w:pPr>
        <w:ind w:left="1020" w:hanging="360"/>
      </w:pPr>
    </w:lvl>
    <w:lvl w:ilvl="8" w:tplc="1CCC03E6">
      <w:start w:val="1"/>
      <w:numFmt w:val="decimal"/>
      <w:lvlText w:val="%9."/>
      <w:lvlJc w:val="left"/>
      <w:pPr>
        <w:ind w:left="1020" w:hanging="360"/>
      </w:pPr>
    </w:lvl>
  </w:abstractNum>
  <w:abstractNum w:abstractNumId="54" w15:restartNumberingAfterBreak="0">
    <w:nsid w:val="7DF16AEC"/>
    <w:multiLevelType w:val="hybridMultilevel"/>
    <w:tmpl w:val="4A8C3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353732">
    <w:abstractNumId w:val="31"/>
  </w:num>
  <w:num w:numId="2" w16cid:durableId="2046444056">
    <w:abstractNumId w:val="34"/>
  </w:num>
  <w:num w:numId="3" w16cid:durableId="2022781453">
    <w:abstractNumId w:val="20"/>
  </w:num>
  <w:num w:numId="4" w16cid:durableId="868493169">
    <w:abstractNumId w:val="39"/>
  </w:num>
  <w:num w:numId="5" w16cid:durableId="1546722123">
    <w:abstractNumId w:val="30"/>
  </w:num>
  <w:num w:numId="6" w16cid:durableId="1901593858">
    <w:abstractNumId w:val="0"/>
  </w:num>
  <w:num w:numId="7" w16cid:durableId="1851026594">
    <w:abstractNumId w:val="29"/>
  </w:num>
  <w:num w:numId="8" w16cid:durableId="118228002">
    <w:abstractNumId w:val="16"/>
  </w:num>
  <w:num w:numId="9" w16cid:durableId="890505169">
    <w:abstractNumId w:val="12"/>
  </w:num>
  <w:num w:numId="10" w16cid:durableId="1933320787">
    <w:abstractNumId w:val="50"/>
  </w:num>
  <w:num w:numId="11" w16cid:durableId="1492328935">
    <w:abstractNumId w:val="41"/>
  </w:num>
  <w:num w:numId="12" w16cid:durableId="1960526614">
    <w:abstractNumId w:val="24"/>
  </w:num>
  <w:num w:numId="13" w16cid:durableId="1364789143">
    <w:abstractNumId w:val="13"/>
  </w:num>
  <w:num w:numId="14" w16cid:durableId="421145315">
    <w:abstractNumId w:val="45"/>
  </w:num>
  <w:num w:numId="15" w16cid:durableId="1841382150">
    <w:abstractNumId w:val="22"/>
  </w:num>
  <w:num w:numId="16" w16cid:durableId="676620041">
    <w:abstractNumId w:val="10"/>
  </w:num>
  <w:num w:numId="17" w16cid:durableId="880942686">
    <w:abstractNumId w:val="15"/>
  </w:num>
  <w:num w:numId="18" w16cid:durableId="1002859603">
    <w:abstractNumId w:val="49"/>
  </w:num>
  <w:num w:numId="19" w16cid:durableId="1076786923">
    <w:abstractNumId w:val="52"/>
  </w:num>
  <w:num w:numId="20" w16cid:durableId="560101063">
    <w:abstractNumId w:val="3"/>
  </w:num>
  <w:num w:numId="21" w16cid:durableId="1900826840">
    <w:abstractNumId w:val="26"/>
  </w:num>
  <w:num w:numId="22" w16cid:durableId="109278027">
    <w:abstractNumId w:val="43"/>
  </w:num>
  <w:num w:numId="23" w16cid:durableId="300620005">
    <w:abstractNumId w:val="21"/>
  </w:num>
  <w:num w:numId="24" w16cid:durableId="119110786">
    <w:abstractNumId w:val="11"/>
  </w:num>
  <w:num w:numId="25" w16cid:durableId="671027420">
    <w:abstractNumId w:val="2"/>
  </w:num>
  <w:num w:numId="26" w16cid:durableId="1882593053">
    <w:abstractNumId w:val="47"/>
  </w:num>
  <w:num w:numId="27" w16cid:durableId="2041781838">
    <w:abstractNumId w:val="33"/>
  </w:num>
  <w:num w:numId="28" w16cid:durableId="293296653">
    <w:abstractNumId w:val="42"/>
  </w:num>
  <w:num w:numId="29" w16cid:durableId="645089849">
    <w:abstractNumId w:val="14"/>
  </w:num>
  <w:num w:numId="30" w16cid:durableId="1205797029">
    <w:abstractNumId w:val="51"/>
  </w:num>
  <w:num w:numId="31" w16cid:durableId="1023480330">
    <w:abstractNumId w:val="25"/>
  </w:num>
  <w:num w:numId="32" w16cid:durableId="89543755">
    <w:abstractNumId w:val="6"/>
  </w:num>
  <w:num w:numId="33" w16cid:durableId="21053748">
    <w:abstractNumId w:val="17"/>
  </w:num>
  <w:num w:numId="34" w16cid:durableId="1090005311">
    <w:abstractNumId w:val="7"/>
  </w:num>
  <w:num w:numId="35" w16cid:durableId="656304651">
    <w:abstractNumId w:val="54"/>
  </w:num>
  <w:num w:numId="36" w16cid:durableId="1832985104">
    <w:abstractNumId w:val="40"/>
  </w:num>
  <w:num w:numId="37" w16cid:durableId="2066097560">
    <w:abstractNumId w:val="36"/>
  </w:num>
  <w:num w:numId="38" w16cid:durableId="816217190">
    <w:abstractNumId w:val="35"/>
  </w:num>
  <w:num w:numId="39" w16cid:durableId="240531304">
    <w:abstractNumId w:val="38"/>
  </w:num>
  <w:num w:numId="40" w16cid:durableId="1525905454">
    <w:abstractNumId w:val="27"/>
  </w:num>
  <w:num w:numId="41" w16cid:durableId="1001545747">
    <w:abstractNumId w:val="44"/>
  </w:num>
  <w:num w:numId="42" w16cid:durableId="199171135">
    <w:abstractNumId w:val="5"/>
  </w:num>
  <w:num w:numId="43" w16cid:durableId="267540356">
    <w:abstractNumId w:val="32"/>
  </w:num>
  <w:num w:numId="44" w16cid:durableId="123930919">
    <w:abstractNumId w:val="19"/>
  </w:num>
  <w:num w:numId="45" w16cid:durableId="1332298099">
    <w:abstractNumId w:val="28"/>
  </w:num>
  <w:num w:numId="46" w16cid:durableId="1460101578">
    <w:abstractNumId w:val="8"/>
  </w:num>
  <w:num w:numId="47" w16cid:durableId="1564677229">
    <w:abstractNumId w:val="23"/>
  </w:num>
  <w:num w:numId="48" w16cid:durableId="1593053783">
    <w:abstractNumId w:val="46"/>
  </w:num>
  <w:num w:numId="49" w16cid:durableId="1848250534">
    <w:abstractNumId w:val="9"/>
  </w:num>
  <w:num w:numId="50" w16cid:durableId="1070234365">
    <w:abstractNumId w:val="1"/>
  </w:num>
  <w:num w:numId="51" w16cid:durableId="1661150001">
    <w:abstractNumId w:val="53"/>
  </w:num>
  <w:num w:numId="52" w16cid:durableId="637102408">
    <w:abstractNumId w:val="18"/>
  </w:num>
  <w:num w:numId="53" w16cid:durableId="1788966432">
    <w:abstractNumId w:val="37"/>
  </w:num>
  <w:num w:numId="54" w16cid:durableId="119032365">
    <w:abstractNumId w:val="48"/>
  </w:num>
  <w:num w:numId="55" w16cid:durableId="1548176515">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F3"/>
    <w:rsid w:val="000003FF"/>
    <w:rsid w:val="00000430"/>
    <w:rsid w:val="0000071C"/>
    <w:rsid w:val="000012A3"/>
    <w:rsid w:val="00001374"/>
    <w:rsid w:val="00001390"/>
    <w:rsid w:val="00001564"/>
    <w:rsid w:val="0000168E"/>
    <w:rsid w:val="00001815"/>
    <w:rsid w:val="000027EC"/>
    <w:rsid w:val="00002947"/>
    <w:rsid w:val="00003299"/>
    <w:rsid w:val="00003423"/>
    <w:rsid w:val="000039A4"/>
    <w:rsid w:val="00003AA5"/>
    <w:rsid w:val="00003B76"/>
    <w:rsid w:val="00004181"/>
    <w:rsid w:val="00004439"/>
    <w:rsid w:val="000046FE"/>
    <w:rsid w:val="000047EA"/>
    <w:rsid w:val="00004A11"/>
    <w:rsid w:val="0000517F"/>
    <w:rsid w:val="000052DC"/>
    <w:rsid w:val="000055EA"/>
    <w:rsid w:val="0000566A"/>
    <w:rsid w:val="000056AD"/>
    <w:rsid w:val="00005944"/>
    <w:rsid w:val="00005A10"/>
    <w:rsid w:val="00005E2A"/>
    <w:rsid w:val="00006021"/>
    <w:rsid w:val="000060CB"/>
    <w:rsid w:val="00006497"/>
    <w:rsid w:val="000068A9"/>
    <w:rsid w:val="0000711B"/>
    <w:rsid w:val="000071D8"/>
    <w:rsid w:val="00007308"/>
    <w:rsid w:val="00007482"/>
    <w:rsid w:val="000074B6"/>
    <w:rsid w:val="000074CF"/>
    <w:rsid w:val="00007959"/>
    <w:rsid w:val="00007EEC"/>
    <w:rsid w:val="000102D3"/>
    <w:rsid w:val="000107D7"/>
    <w:rsid w:val="00010CF5"/>
    <w:rsid w:val="000114E2"/>
    <w:rsid w:val="00011511"/>
    <w:rsid w:val="000119D3"/>
    <w:rsid w:val="00011B77"/>
    <w:rsid w:val="00011C25"/>
    <w:rsid w:val="00011C94"/>
    <w:rsid w:val="00011D83"/>
    <w:rsid w:val="0001293E"/>
    <w:rsid w:val="00012AF8"/>
    <w:rsid w:val="0001311B"/>
    <w:rsid w:val="00013251"/>
    <w:rsid w:val="00013926"/>
    <w:rsid w:val="0001395E"/>
    <w:rsid w:val="00013C7D"/>
    <w:rsid w:val="00013F9A"/>
    <w:rsid w:val="00014053"/>
    <w:rsid w:val="00014696"/>
    <w:rsid w:val="000148AA"/>
    <w:rsid w:val="00014E94"/>
    <w:rsid w:val="00014FC2"/>
    <w:rsid w:val="00015491"/>
    <w:rsid w:val="00015683"/>
    <w:rsid w:val="00015AD7"/>
    <w:rsid w:val="000161C6"/>
    <w:rsid w:val="00016354"/>
    <w:rsid w:val="0001693E"/>
    <w:rsid w:val="00016A95"/>
    <w:rsid w:val="00016B4E"/>
    <w:rsid w:val="0001712D"/>
    <w:rsid w:val="000171EC"/>
    <w:rsid w:val="00017230"/>
    <w:rsid w:val="0001744B"/>
    <w:rsid w:val="00017697"/>
    <w:rsid w:val="00017883"/>
    <w:rsid w:val="00017C14"/>
    <w:rsid w:val="00017EDE"/>
    <w:rsid w:val="000201AF"/>
    <w:rsid w:val="00020544"/>
    <w:rsid w:val="00020647"/>
    <w:rsid w:val="00020688"/>
    <w:rsid w:val="00020D91"/>
    <w:rsid w:val="00020EE5"/>
    <w:rsid w:val="00020F56"/>
    <w:rsid w:val="00021538"/>
    <w:rsid w:val="000217BB"/>
    <w:rsid w:val="00021BA7"/>
    <w:rsid w:val="00021C87"/>
    <w:rsid w:val="000221AA"/>
    <w:rsid w:val="00022A07"/>
    <w:rsid w:val="00022B9F"/>
    <w:rsid w:val="00022FAB"/>
    <w:rsid w:val="00022FD2"/>
    <w:rsid w:val="0002354B"/>
    <w:rsid w:val="00023560"/>
    <w:rsid w:val="00024390"/>
    <w:rsid w:val="000244B9"/>
    <w:rsid w:val="000249C5"/>
    <w:rsid w:val="00024A9E"/>
    <w:rsid w:val="00024B39"/>
    <w:rsid w:val="00024B3F"/>
    <w:rsid w:val="00024C58"/>
    <w:rsid w:val="00024C68"/>
    <w:rsid w:val="00024CF5"/>
    <w:rsid w:val="00024FA3"/>
    <w:rsid w:val="00025D23"/>
    <w:rsid w:val="00025EBC"/>
    <w:rsid w:val="000261A7"/>
    <w:rsid w:val="00026291"/>
    <w:rsid w:val="0002683C"/>
    <w:rsid w:val="0002693B"/>
    <w:rsid w:val="00026D52"/>
    <w:rsid w:val="00027161"/>
    <w:rsid w:val="00027B81"/>
    <w:rsid w:val="000300C9"/>
    <w:rsid w:val="0003095A"/>
    <w:rsid w:val="0003096E"/>
    <w:rsid w:val="0003098F"/>
    <w:rsid w:val="00030B46"/>
    <w:rsid w:val="00030E3F"/>
    <w:rsid w:val="00031546"/>
    <w:rsid w:val="00031818"/>
    <w:rsid w:val="00031A5E"/>
    <w:rsid w:val="00031B37"/>
    <w:rsid w:val="00031C68"/>
    <w:rsid w:val="0003231C"/>
    <w:rsid w:val="000327F1"/>
    <w:rsid w:val="0003285A"/>
    <w:rsid w:val="00032DA2"/>
    <w:rsid w:val="00032DEB"/>
    <w:rsid w:val="0003302C"/>
    <w:rsid w:val="00033155"/>
    <w:rsid w:val="0003348F"/>
    <w:rsid w:val="00033544"/>
    <w:rsid w:val="000336C2"/>
    <w:rsid w:val="000337B2"/>
    <w:rsid w:val="00033CFA"/>
    <w:rsid w:val="00033EE4"/>
    <w:rsid w:val="00034430"/>
    <w:rsid w:val="00034A83"/>
    <w:rsid w:val="00035015"/>
    <w:rsid w:val="000359AD"/>
    <w:rsid w:val="00035D1F"/>
    <w:rsid w:val="00036659"/>
    <w:rsid w:val="000369FE"/>
    <w:rsid w:val="00036AD3"/>
    <w:rsid w:val="00036F01"/>
    <w:rsid w:val="00037206"/>
    <w:rsid w:val="0003739A"/>
    <w:rsid w:val="00037684"/>
    <w:rsid w:val="000376F2"/>
    <w:rsid w:val="00037A8F"/>
    <w:rsid w:val="00040284"/>
    <w:rsid w:val="000403B7"/>
    <w:rsid w:val="00040660"/>
    <w:rsid w:val="0004083A"/>
    <w:rsid w:val="00040960"/>
    <w:rsid w:val="00040BA1"/>
    <w:rsid w:val="000413D2"/>
    <w:rsid w:val="00041433"/>
    <w:rsid w:val="000415C7"/>
    <w:rsid w:val="00041766"/>
    <w:rsid w:val="00041E86"/>
    <w:rsid w:val="00042198"/>
    <w:rsid w:val="000423D7"/>
    <w:rsid w:val="00042846"/>
    <w:rsid w:val="00042863"/>
    <w:rsid w:val="00042B14"/>
    <w:rsid w:val="00042BEA"/>
    <w:rsid w:val="00043096"/>
    <w:rsid w:val="0004320F"/>
    <w:rsid w:val="00043618"/>
    <w:rsid w:val="00043639"/>
    <w:rsid w:val="000437AE"/>
    <w:rsid w:val="000438EF"/>
    <w:rsid w:val="00043B95"/>
    <w:rsid w:val="00043CAE"/>
    <w:rsid w:val="00043CBB"/>
    <w:rsid w:val="00044385"/>
    <w:rsid w:val="00044442"/>
    <w:rsid w:val="000444EC"/>
    <w:rsid w:val="00045032"/>
    <w:rsid w:val="00045409"/>
    <w:rsid w:val="000461AA"/>
    <w:rsid w:val="00046522"/>
    <w:rsid w:val="00046530"/>
    <w:rsid w:val="000466AD"/>
    <w:rsid w:val="00046A14"/>
    <w:rsid w:val="00046D96"/>
    <w:rsid w:val="000471B1"/>
    <w:rsid w:val="000471D4"/>
    <w:rsid w:val="00047B25"/>
    <w:rsid w:val="00050168"/>
    <w:rsid w:val="0005038D"/>
    <w:rsid w:val="000509B2"/>
    <w:rsid w:val="00050C17"/>
    <w:rsid w:val="00050F22"/>
    <w:rsid w:val="00050F90"/>
    <w:rsid w:val="0005114C"/>
    <w:rsid w:val="00051A3B"/>
    <w:rsid w:val="00051C7D"/>
    <w:rsid w:val="00051D0A"/>
    <w:rsid w:val="0005221C"/>
    <w:rsid w:val="0005255E"/>
    <w:rsid w:val="00052966"/>
    <w:rsid w:val="000529FA"/>
    <w:rsid w:val="000530BA"/>
    <w:rsid w:val="00053367"/>
    <w:rsid w:val="0005359C"/>
    <w:rsid w:val="00053822"/>
    <w:rsid w:val="00053B7B"/>
    <w:rsid w:val="0005427D"/>
    <w:rsid w:val="00054309"/>
    <w:rsid w:val="000545AE"/>
    <w:rsid w:val="000547A5"/>
    <w:rsid w:val="00054E4A"/>
    <w:rsid w:val="000552FC"/>
    <w:rsid w:val="00055603"/>
    <w:rsid w:val="00055649"/>
    <w:rsid w:val="000558B4"/>
    <w:rsid w:val="00055984"/>
    <w:rsid w:val="00055E02"/>
    <w:rsid w:val="00055E31"/>
    <w:rsid w:val="00055E56"/>
    <w:rsid w:val="00056155"/>
    <w:rsid w:val="00056189"/>
    <w:rsid w:val="0005675F"/>
    <w:rsid w:val="00056976"/>
    <w:rsid w:val="00056BEA"/>
    <w:rsid w:val="00056D52"/>
    <w:rsid w:val="00056D64"/>
    <w:rsid w:val="00056F79"/>
    <w:rsid w:val="00057259"/>
    <w:rsid w:val="00057583"/>
    <w:rsid w:val="00057595"/>
    <w:rsid w:val="00057F2D"/>
    <w:rsid w:val="000602A3"/>
    <w:rsid w:val="00060409"/>
    <w:rsid w:val="000604E8"/>
    <w:rsid w:val="00060C7E"/>
    <w:rsid w:val="00060D97"/>
    <w:rsid w:val="00061BB7"/>
    <w:rsid w:val="00061D05"/>
    <w:rsid w:val="00061DFF"/>
    <w:rsid w:val="00061F58"/>
    <w:rsid w:val="00062C14"/>
    <w:rsid w:val="00062CEC"/>
    <w:rsid w:val="000631E7"/>
    <w:rsid w:val="0006323D"/>
    <w:rsid w:val="000635D6"/>
    <w:rsid w:val="0006368F"/>
    <w:rsid w:val="00063D95"/>
    <w:rsid w:val="00063F0A"/>
    <w:rsid w:val="00063F51"/>
    <w:rsid w:val="000641F9"/>
    <w:rsid w:val="0006476D"/>
    <w:rsid w:val="00064D23"/>
    <w:rsid w:val="00064E29"/>
    <w:rsid w:val="0006589B"/>
    <w:rsid w:val="00065BCA"/>
    <w:rsid w:val="00065C77"/>
    <w:rsid w:val="00065C85"/>
    <w:rsid w:val="0006603E"/>
    <w:rsid w:val="00066130"/>
    <w:rsid w:val="000663A3"/>
    <w:rsid w:val="0006651A"/>
    <w:rsid w:val="00066630"/>
    <w:rsid w:val="00066A91"/>
    <w:rsid w:val="00066B0F"/>
    <w:rsid w:val="00066B6D"/>
    <w:rsid w:val="00066CE9"/>
    <w:rsid w:val="00066F3E"/>
    <w:rsid w:val="000673D1"/>
    <w:rsid w:val="000675C5"/>
    <w:rsid w:val="00067B08"/>
    <w:rsid w:val="00067F7F"/>
    <w:rsid w:val="00070132"/>
    <w:rsid w:val="000708E6"/>
    <w:rsid w:val="0007094F"/>
    <w:rsid w:val="00070D17"/>
    <w:rsid w:val="00071268"/>
    <w:rsid w:val="0007128D"/>
    <w:rsid w:val="00071841"/>
    <w:rsid w:val="000718D3"/>
    <w:rsid w:val="00071B40"/>
    <w:rsid w:val="00071C0B"/>
    <w:rsid w:val="00072084"/>
    <w:rsid w:val="0007216B"/>
    <w:rsid w:val="00072550"/>
    <w:rsid w:val="000725C4"/>
    <w:rsid w:val="00072D0F"/>
    <w:rsid w:val="000739BE"/>
    <w:rsid w:val="00073C62"/>
    <w:rsid w:val="000741C3"/>
    <w:rsid w:val="000746D1"/>
    <w:rsid w:val="00074A48"/>
    <w:rsid w:val="000752F6"/>
    <w:rsid w:val="00075703"/>
    <w:rsid w:val="0007577A"/>
    <w:rsid w:val="00075BF7"/>
    <w:rsid w:val="00076200"/>
    <w:rsid w:val="00076366"/>
    <w:rsid w:val="000763FB"/>
    <w:rsid w:val="0007652C"/>
    <w:rsid w:val="000766E1"/>
    <w:rsid w:val="0007688F"/>
    <w:rsid w:val="000769AC"/>
    <w:rsid w:val="00076F75"/>
    <w:rsid w:val="000774E0"/>
    <w:rsid w:val="00077815"/>
    <w:rsid w:val="00077D80"/>
    <w:rsid w:val="00077DD8"/>
    <w:rsid w:val="00077EC2"/>
    <w:rsid w:val="00077F55"/>
    <w:rsid w:val="00080DD9"/>
    <w:rsid w:val="00080EF8"/>
    <w:rsid w:val="00080F2E"/>
    <w:rsid w:val="00080FDB"/>
    <w:rsid w:val="000815A4"/>
    <w:rsid w:val="00081A2A"/>
    <w:rsid w:val="00081DD3"/>
    <w:rsid w:val="00081E8D"/>
    <w:rsid w:val="00082065"/>
    <w:rsid w:val="00082320"/>
    <w:rsid w:val="00082526"/>
    <w:rsid w:val="00082726"/>
    <w:rsid w:val="00082745"/>
    <w:rsid w:val="00082760"/>
    <w:rsid w:val="000828D4"/>
    <w:rsid w:val="0008299B"/>
    <w:rsid w:val="00082CDA"/>
    <w:rsid w:val="00082DDC"/>
    <w:rsid w:val="00083471"/>
    <w:rsid w:val="00083E4A"/>
    <w:rsid w:val="000843B4"/>
    <w:rsid w:val="00084942"/>
    <w:rsid w:val="00084ABF"/>
    <w:rsid w:val="00084CF7"/>
    <w:rsid w:val="000856DA"/>
    <w:rsid w:val="0008576A"/>
    <w:rsid w:val="000857DB"/>
    <w:rsid w:val="00085A1B"/>
    <w:rsid w:val="00085A6F"/>
    <w:rsid w:val="00085E95"/>
    <w:rsid w:val="000861A2"/>
    <w:rsid w:val="00086B64"/>
    <w:rsid w:val="00086DA4"/>
    <w:rsid w:val="00086DB3"/>
    <w:rsid w:val="00086E4F"/>
    <w:rsid w:val="000875CA"/>
    <w:rsid w:val="0008771E"/>
    <w:rsid w:val="00087741"/>
    <w:rsid w:val="00087827"/>
    <w:rsid w:val="00087B6B"/>
    <w:rsid w:val="00087F88"/>
    <w:rsid w:val="00090122"/>
    <w:rsid w:val="0009069D"/>
    <w:rsid w:val="00090817"/>
    <w:rsid w:val="00090E9E"/>
    <w:rsid w:val="00091004"/>
    <w:rsid w:val="000910A7"/>
    <w:rsid w:val="00091131"/>
    <w:rsid w:val="0009121E"/>
    <w:rsid w:val="00091302"/>
    <w:rsid w:val="00091921"/>
    <w:rsid w:val="00091B0D"/>
    <w:rsid w:val="00091E27"/>
    <w:rsid w:val="000920E4"/>
    <w:rsid w:val="00092107"/>
    <w:rsid w:val="000923A9"/>
    <w:rsid w:val="00092916"/>
    <w:rsid w:val="00092CCB"/>
    <w:rsid w:val="00092D59"/>
    <w:rsid w:val="00092ED5"/>
    <w:rsid w:val="000930F1"/>
    <w:rsid w:val="0009338B"/>
    <w:rsid w:val="00093632"/>
    <w:rsid w:val="000941EB"/>
    <w:rsid w:val="00094718"/>
    <w:rsid w:val="00094DB4"/>
    <w:rsid w:val="00094DBE"/>
    <w:rsid w:val="00095307"/>
    <w:rsid w:val="000954C3"/>
    <w:rsid w:val="000954E5"/>
    <w:rsid w:val="00095920"/>
    <w:rsid w:val="000959B1"/>
    <w:rsid w:val="00095E13"/>
    <w:rsid w:val="00095FBB"/>
    <w:rsid w:val="000962B8"/>
    <w:rsid w:val="00096344"/>
    <w:rsid w:val="00096813"/>
    <w:rsid w:val="000969A6"/>
    <w:rsid w:val="000971D6"/>
    <w:rsid w:val="0009748F"/>
    <w:rsid w:val="000977C2"/>
    <w:rsid w:val="0009799B"/>
    <w:rsid w:val="00097A6E"/>
    <w:rsid w:val="00097A92"/>
    <w:rsid w:val="00097F77"/>
    <w:rsid w:val="000A03F4"/>
    <w:rsid w:val="000A07B7"/>
    <w:rsid w:val="000A0EFC"/>
    <w:rsid w:val="000A12F1"/>
    <w:rsid w:val="000A14A4"/>
    <w:rsid w:val="000A14B8"/>
    <w:rsid w:val="000A1583"/>
    <w:rsid w:val="000A1594"/>
    <w:rsid w:val="000A180C"/>
    <w:rsid w:val="000A1814"/>
    <w:rsid w:val="000A1875"/>
    <w:rsid w:val="000A1C03"/>
    <w:rsid w:val="000A1C53"/>
    <w:rsid w:val="000A1E26"/>
    <w:rsid w:val="000A2040"/>
    <w:rsid w:val="000A20C5"/>
    <w:rsid w:val="000A2D42"/>
    <w:rsid w:val="000A3081"/>
    <w:rsid w:val="000A3098"/>
    <w:rsid w:val="000A36B7"/>
    <w:rsid w:val="000A396D"/>
    <w:rsid w:val="000A43CF"/>
    <w:rsid w:val="000A4495"/>
    <w:rsid w:val="000A44D4"/>
    <w:rsid w:val="000A5243"/>
    <w:rsid w:val="000A5454"/>
    <w:rsid w:val="000A56CE"/>
    <w:rsid w:val="000A5711"/>
    <w:rsid w:val="000A5823"/>
    <w:rsid w:val="000A5EB1"/>
    <w:rsid w:val="000A6048"/>
    <w:rsid w:val="000A6578"/>
    <w:rsid w:val="000A6B5E"/>
    <w:rsid w:val="000A6D20"/>
    <w:rsid w:val="000A6FA8"/>
    <w:rsid w:val="000A70AC"/>
    <w:rsid w:val="000A77AE"/>
    <w:rsid w:val="000A7F78"/>
    <w:rsid w:val="000B01ED"/>
    <w:rsid w:val="000B04BE"/>
    <w:rsid w:val="000B0613"/>
    <w:rsid w:val="000B0676"/>
    <w:rsid w:val="000B0A71"/>
    <w:rsid w:val="000B113A"/>
    <w:rsid w:val="000B11FC"/>
    <w:rsid w:val="000B15ED"/>
    <w:rsid w:val="000B1DE2"/>
    <w:rsid w:val="000B2364"/>
    <w:rsid w:val="000B23B4"/>
    <w:rsid w:val="000B2808"/>
    <w:rsid w:val="000B28B6"/>
    <w:rsid w:val="000B3105"/>
    <w:rsid w:val="000B3935"/>
    <w:rsid w:val="000B3F6C"/>
    <w:rsid w:val="000B4027"/>
    <w:rsid w:val="000B42AA"/>
    <w:rsid w:val="000B4947"/>
    <w:rsid w:val="000B4CC6"/>
    <w:rsid w:val="000B522B"/>
    <w:rsid w:val="000B5230"/>
    <w:rsid w:val="000B5405"/>
    <w:rsid w:val="000B5465"/>
    <w:rsid w:val="000B55CB"/>
    <w:rsid w:val="000B5840"/>
    <w:rsid w:val="000B5F7C"/>
    <w:rsid w:val="000B63C8"/>
    <w:rsid w:val="000B6A59"/>
    <w:rsid w:val="000B6B61"/>
    <w:rsid w:val="000B769E"/>
    <w:rsid w:val="000B7919"/>
    <w:rsid w:val="000B7B27"/>
    <w:rsid w:val="000B7B7C"/>
    <w:rsid w:val="000B7F42"/>
    <w:rsid w:val="000C0092"/>
    <w:rsid w:val="000C0193"/>
    <w:rsid w:val="000C04AB"/>
    <w:rsid w:val="000C055A"/>
    <w:rsid w:val="000C07EF"/>
    <w:rsid w:val="000C0834"/>
    <w:rsid w:val="000C0B80"/>
    <w:rsid w:val="000C0C27"/>
    <w:rsid w:val="000C0EE8"/>
    <w:rsid w:val="000C110F"/>
    <w:rsid w:val="000C20FE"/>
    <w:rsid w:val="000C2CBC"/>
    <w:rsid w:val="000C3052"/>
    <w:rsid w:val="000C34C0"/>
    <w:rsid w:val="000C34EC"/>
    <w:rsid w:val="000C35E9"/>
    <w:rsid w:val="000C377B"/>
    <w:rsid w:val="000C37B0"/>
    <w:rsid w:val="000C3A7E"/>
    <w:rsid w:val="000C3AAA"/>
    <w:rsid w:val="000C3BA3"/>
    <w:rsid w:val="000C3CE8"/>
    <w:rsid w:val="000C3FB8"/>
    <w:rsid w:val="000C4064"/>
    <w:rsid w:val="000C42AC"/>
    <w:rsid w:val="000C4998"/>
    <w:rsid w:val="000C4B9F"/>
    <w:rsid w:val="000C4FCD"/>
    <w:rsid w:val="000C5004"/>
    <w:rsid w:val="000C50EF"/>
    <w:rsid w:val="000C5442"/>
    <w:rsid w:val="000C576B"/>
    <w:rsid w:val="000C5B51"/>
    <w:rsid w:val="000C5D09"/>
    <w:rsid w:val="000C5E8C"/>
    <w:rsid w:val="000C673D"/>
    <w:rsid w:val="000C6C18"/>
    <w:rsid w:val="000C6E88"/>
    <w:rsid w:val="000C7075"/>
    <w:rsid w:val="000C72EE"/>
    <w:rsid w:val="000C74AF"/>
    <w:rsid w:val="000C76C1"/>
    <w:rsid w:val="000C78BD"/>
    <w:rsid w:val="000C7C17"/>
    <w:rsid w:val="000C7FBA"/>
    <w:rsid w:val="000D0172"/>
    <w:rsid w:val="000D028F"/>
    <w:rsid w:val="000D032B"/>
    <w:rsid w:val="000D0AD0"/>
    <w:rsid w:val="000D0CDE"/>
    <w:rsid w:val="000D10FB"/>
    <w:rsid w:val="000D1127"/>
    <w:rsid w:val="000D12A2"/>
    <w:rsid w:val="000D161B"/>
    <w:rsid w:val="000D16C7"/>
    <w:rsid w:val="000D1764"/>
    <w:rsid w:val="000D191B"/>
    <w:rsid w:val="000D1B73"/>
    <w:rsid w:val="000D1D07"/>
    <w:rsid w:val="000D1D51"/>
    <w:rsid w:val="000D23F5"/>
    <w:rsid w:val="000D244C"/>
    <w:rsid w:val="000D2D03"/>
    <w:rsid w:val="000D2F4F"/>
    <w:rsid w:val="000D32C7"/>
    <w:rsid w:val="000D330F"/>
    <w:rsid w:val="000D33CE"/>
    <w:rsid w:val="000D3C1E"/>
    <w:rsid w:val="000D3C6B"/>
    <w:rsid w:val="000D463B"/>
    <w:rsid w:val="000D4AD9"/>
    <w:rsid w:val="000D4DE8"/>
    <w:rsid w:val="000D4E2B"/>
    <w:rsid w:val="000D4FFC"/>
    <w:rsid w:val="000D4FFE"/>
    <w:rsid w:val="000D569B"/>
    <w:rsid w:val="000D570A"/>
    <w:rsid w:val="000D578B"/>
    <w:rsid w:val="000D5986"/>
    <w:rsid w:val="000D5B30"/>
    <w:rsid w:val="000D5C97"/>
    <w:rsid w:val="000D5D93"/>
    <w:rsid w:val="000D5E2F"/>
    <w:rsid w:val="000D6DAC"/>
    <w:rsid w:val="000D7625"/>
    <w:rsid w:val="000D77F4"/>
    <w:rsid w:val="000D7BD9"/>
    <w:rsid w:val="000D7CE5"/>
    <w:rsid w:val="000D7D90"/>
    <w:rsid w:val="000D7D9C"/>
    <w:rsid w:val="000D7E1C"/>
    <w:rsid w:val="000E00EA"/>
    <w:rsid w:val="000E0613"/>
    <w:rsid w:val="000E0EA4"/>
    <w:rsid w:val="000E10F4"/>
    <w:rsid w:val="000E1A42"/>
    <w:rsid w:val="000E1B6B"/>
    <w:rsid w:val="000E205D"/>
    <w:rsid w:val="000E20D6"/>
    <w:rsid w:val="000E2374"/>
    <w:rsid w:val="000E2527"/>
    <w:rsid w:val="000E2B07"/>
    <w:rsid w:val="000E2CF0"/>
    <w:rsid w:val="000E2F92"/>
    <w:rsid w:val="000E3255"/>
    <w:rsid w:val="000E3E53"/>
    <w:rsid w:val="000E3F18"/>
    <w:rsid w:val="000E4109"/>
    <w:rsid w:val="000E45D2"/>
    <w:rsid w:val="000E468D"/>
    <w:rsid w:val="000E4C43"/>
    <w:rsid w:val="000E4CDA"/>
    <w:rsid w:val="000E4DFD"/>
    <w:rsid w:val="000E52BE"/>
    <w:rsid w:val="000E5B35"/>
    <w:rsid w:val="000E5B9F"/>
    <w:rsid w:val="000E5EB0"/>
    <w:rsid w:val="000E5EE1"/>
    <w:rsid w:val="000E5FA3"/>
    <w:rsid w:val="000E6046"/>
    <w:rsid w:val="000E6825"/>
    <w:rsid w:val="000E6A28"/>
    <w:rsid w:val="000E6F72"/>
    <w:rsid w:val="000E76AC"/>
    <w:rsid w:val="000E786F"/>
    <w:rsid w:val="000E78D4"/>
    <w:rsid w:val="000E7B25"/>
    <w:rsid w:val="000E7BC1"/>
    <w:rsid w:val="000E7BEE"/>
    <w:rsid w:val="000F0382"/>
    <w:rsid w:val="000F0825"/>
    <w:rsid w:val="000F0D05"/>
    <w:rsid w:val="000F0F0F"/>
    <w:rsid w:val="000F0F20"/>
    <w:rsid w:val="000F0F61"/>
    <w:rsid w:val="000F13C7"/>
    <w:rsid w:val="000F1587"/>
    <w:rsid w:val="000F1879"/>
    <w:rsid w:val="000F206F"/>
    <w:rsid w:val="000F20B9"/>
    <w:rsid w:val="000F22C6"/>
    <w:rsid w:val="000F27FF"/>
    <w:rsid w:val="000F2A52"/>
    <w:rsid w:val="000F2D1C"/>
    <w:rsid w:val="000F2E2F"/>
    <w:rsid w:val="000F359D"/>
    <w:rsid w:val="000F3B31"/>
    <w:rsid w:val="000F3C45"/>
    <w:rsid w:val="000F4026"/>
    <w:rsid w:val="000F4096"/>
    <w:rsid w:val="000F440C"/>
    <w:rsid w:val="000F4557"/>
    <w:rsid w:val="000F4F04"/>
    <w:rsid w:val="000F4F3A"/>
    <w:rsid w:val="000F51E1"/>
    <w:rsid w:val="000F52F0"/>
    <w:rsid w:val="000F5AA4"/>
    <w:rsid w:val="000F6331"/>
    <w:rsid w:val="000F66D5"/>
    <w:rsid w:val="000F736F"/>
    <w:rsid w:val="000F738D"/>
    <w:rsid w:val="000F7593"/>
    <w:rsid w:val="000F7AC6"/>
    <w:rsid w:val="000F7CEB"/>
    <w:rsid w:val="000F7F41"/>
    <w:rsid w:val="00100015"/>
    <w:rsid w:val="001003A4"/>
    <w:rsid w:val="001003D7"/>
    <w:rsid w:val="00100602"/>
    <w:rsid w:val="00100775"/>
    <w:rsid w:val="001007C7"/>
    <w:rsid w:val="001008D4"/>
    <w:rsid w:val="00100DE7"/>
    <w:rsid w:val="001013F2"/>
    <w:rsid w:val="001015E0"/>
    <w:rsid w:val="00101ED7"/>
    <w:rsid w:val="001020AD"/>
    <w:rsid w:val="00102189"/>
    <w:rsid w:val="0010224F"/>
    <w:rsid w:val="0010234E"/>
    <w:rsid w:val="00102401"/>
    <w:rsid w:val="00102549"/>
    <w:rsid w:val="001026F5"/>
    <w:rsid w:val="00102755"/>
    <w:rsid w:val="00102A07"/>
    <w:rsid w:val="00102B15"/>
    <w:rsid w:val="00102DA2"/>
    <w:rsid w:val="00103800"/>
    <w:rsid w:val="00103999"/>
    <w:rsid w:val="00103D3A"/>
    <w:rsid w:val="00104541"/>
    <w:rsid w:val="00104C48"/>
    <w:rsid w:val="00104E52"/>
    <w:rsid w:val="00104F23"/>
    <w:rsid w:val="001054AB"/>
    <w:rsid w:val="001056CE"/>
    <w:rsid w:val="001058CC"/>
    <w:rsid w:val="001058DA"/>
    <w:rsid w:val="00105FFF"/>
    <w:rsid w:val="00106188"/>
    <w:rsid w:val="0010642C"/>
    <w:rsid w:val="00106520"/>
    <w:rsid w:val="00106BE6"/>
    <w:rsid w:val="00106C50"/>
    <w:rsid w:val="001070C5"/>
    <w:rsid w:val="00107178"/>
    <w:rsid w:val="00107D2E"/>
    <w:rsid w:val="0011002C"/>
    <w:rsid w:val="00110125"/>
    <w:rsid w:val="00110360"/>
    <w:rsid w:val="00110728"/>
    <w:rsid w:val="00110AA2"/>
    <w:rsid w:val="00110C5E"/>
    <w:rsid w:val="00110D88"/>
    <w:rsid w:val="001114AF"/>
    <w:rsid w:val="00111507"/>
    <w:rsid w:val="001115A6"/>
    <w:rsid w:val="00111751"/>
    <w:rsid w:val="00111754"/>
    <w:rsid w:val="00111E1D"/>
    <w:rsid w:val="00112332"/>
    <w:rsid w:val="00112420"/>
    <w:rsid w:val="00112670"/>
    <w:rsid w:val="00112BC7"/>
    <w:rsid w:val="00112D27"/>
    <w:rsid w:val="001131F6"/>
    <w:rsid w:val="0011328C"/>
    <w:rsid w:val="00113569"/>
    <w:rsid w:val="00113681"/>
    <w:rsid w:val="00113825"/>
    <w:rsid w:val="00113A07"/>
    <w:rsid w:val="00113F04"/>
    <w:rsid w:val="001140D7"/>
    <w:rsid w:val="0011441E"/>
    <w:rsid w:val="00114475"/>
    <w:rsid w:val="00114CFC"/>
    <w:rsid w:val="00114E4D"/>
    <w:rsid w:val="00115011"/>
    <w:rsid w:val="0011521C"/>
    <w:rsid w:val="0011542A"/>
    <w:rsid w:val="00115754"/>
    <w:rsid w:val="00115A66"/>
    <w:rsid w:val="00115AA9"/>
    <w:rsid w:val="00115CBD"/>
    <w:rsid w:val="00115EDD"/>
    <w:rsid w:val="00116589"/>
    <w:rsid w:val="0011682E"/>
    <w:rsid w:val="001168D6"/>
    <w:rsid w:val="001169EF"/>
    <w:rsid w:val="00116B87"/>
    <w:rsid w:val="00116FAB"/>
    <w:rsid w:val="001174C6"/>
    <w:rsid w:val="001177D3"/>
    <w:rsid w:val="00117E42"/>
    <w:rsid w:val="001200CB"/>
    <w:rsid w:val="00120946"/>
    <w:rsid w:val="00120992"/>
    <w:rsid w:val="001214D7"/>
    <w:rsid w:val="001215E2"/>
    <w:rsid w:val="00121754"/>
    <w:rsid w:val="00121DB5"/>
    <w:rsid w:val="00121F46"/>
    <w:rsid w:val="001221DA"/>
    <w:rsid w:val="0012245E"/>
    <w:rsid w:val="001226EE"/>
    <w:rsid w:val="00122858"/>
    <w:rsid w:val="00122D1F"/>
    <w:rsid w:val="00122D44"/>
    <w:rsid w:val="00122ED2"/>
    <w:rsid w:val="00122F47"/>
    <w:rsid w:val="001231ED"/>
    <w:rsid w:val="00123B1F"/>
    <w:rsid w:val="00123C43"/>
    <w:rsid w:val="00123DA0"/>
    <w:rsid w:val="00123E4C"/>
    <w:rsid w:val="00124049"/>
    <w:rsid w:val="00124080"/>
    <w:rsid w:val="001241EA"/>
    <w:rsid w:val="0012464C"/>
    <w:rsid w:val="0012475A"/>
    <w:rsid w:val="0012478D"/>
    <w:rsid w:val="0012479B"/>
    <w:rsid w:val="00124BE4"/>
    <w:rsid w:val="00124D67"/>
    <w:rsid w:val="00125078"/>
    <w:rsid w:val="00125272"/>
    <w:rsid w:val="00125620"/>
    <w:rsid w:val="00125679"/>
    <w:rsid w:val="00125EFD"/>
    <w:rsid w:val="00126445"/>
    <w:rsid w:val="00126AF9"/>
    <w:rsid w:val="00126BB7"/>
    <w:rsid w:val="00126DAB"/>
    <w:rsid w:val="00127518"/>
    <w:rsid w:val="001275F2"/>
    <w:rsid w:val="00127B5C"/>
    <w:rsid w:val="00127F9B"/>
    <w:rsid w:val="00127FE0"/>
    <w:rsid w:val="0013001C"/>
    <w:rsid w:val="00130069"/>
    <w:rsid w:val="00130798"/>
    <w:rsid w:val="00130848"/>
    <w:rsid w:val="00130B5B"/>
    <w:rsid w:val="001311CD"/>
    <w:rsid w:val="00131992"/>
    <w:rsid w:val="00131E45"/>
    <w:rsid w:val="00131EE6"/>
    <w:rsid w:val="00131FDF"/>
    <w:rsid w:val="001326BD"/>
    <w:rsid w:val="00132866"/>
    <w:rsid w:val="001329C3"/>
    <w:rsid w:val="00132B88"/>
    <w:rsid w:val="00132E79"/>
    <w:rsid w:val="001330AE"/>
    <w:rsid w:val="00133407"/>
    <w:rsid w:val="001335F6"/>
    <w:rsid w:val="00133974"/>
    <w:rsid w:val="00133B83"/>
    <w:rsid w:val="00133DBF"/>
    <w:rsid w:val="00133E2E"/>
    <w:rsid w:val="0013447D"/>
    <w:rsid w:val="00134655"/>
    <w:rsid w:val="00134AD4"/>
    <w:rsid w:val="0013510E"/>
    <w:rsid w:val="00135217"/>
    <w:rsid w:val="001355B1"/>
    <w:rsid w:val="00135A1F"/>
    <w:rsid w:val="001361B5"/>
    <w:rsid w:val="00136282"/>
    <w:rsid w:val="001362AF"/>
    <w:rsid w:val="001365A8"/>
    <w:rsid w:val="0013663C"/>
    <w:rsid w:val="00136685"/>
    <w:rsid w:val="00136AB4"/>
    <w:rsid w:val="00136E9F"/>
    <w:rsid w:val="00137165"/>
    <w:rsid w:val="00137646"/>
    <w:rsid w:val="00137B14"/>
    <w:rsid w:val="00137CFF"/>
    <w:rsid w:val="00137FFE"/>
    <w:rsid w:val="001401CD"/>
    <w:rsid w:val="00140D74"/>
    <w:rsid w:val="001410CE"/>
    <w:rsid w:val="00141333"/>
    <w:rsid w:val="0014172F"/>
    <w:rsid w:val="0014187F"/>
    <w:rsid w:val="00141C27"/>
    <w:rsid w:val="00141D80"/>
    <w:rsid w:val="00141E53"/>
    <w:rsid w:val="00141F7B"/>
    <w:rsid w:val="001423CE"/>
    <w:rsid w:val="001426FB"/>
    <w:rsid w:val="00142743"/>
    <w:rsid w:val="001428DB"/>
    <w:rsid w:val="00142902"/>
    <w:rsid w:val="00142AEC"/>
    <w:rsid w:val="00142E90"/>
    <w:rsid w:val="00143408"/>
    <w:rsid w:val="001436B2"/>
    <w:rsid w:val="001437DD"/>
    <w:rsid w:val="001437FF"/>
    <w:rsid w:val="00143B53"/>
    <w:rsid w:val="00143E9A"/>
    <w:rsid w:val="00144018"/>
    <w:rsid w:val="00144066"/>
    <w:rsid w:val="001441EC"/>
    <w:rsid w:val="001447E7"/>
    <w:rsid w:val="0014492C"/>
    <w:rsid w:val="00144BB3"/>
    <w:rsid w:val="00144CFF"/>
    <w:rsid w:val="001450E1"/>
    <w:rsid w:val="001456AF"/>
    <w:rsid w:val="001456BF"/>
    <w:rsid w:val="00145C00"/>
    <w:rsid w:val="00145C27"/>
    <w:rsid w:val="00145D15"/>
    <w:rsid w:val="00145D22"/>
    <w:rsid w:val="00145D96"/>
    <w:rsid w:val="00145FC8"/>
    <w:rsid w:val="00146775"/>
    <w:rsid w:val="00146C02"/>
    <w:rsid w:val="00146EA5"/>
    <w:rsid w:val="0014770F"/>
    <w:rsid w:val="00150161"/>
    <w:rsid w:val="001501FD"/>
    <w:rsid w:val="00150868"/>
    <w:rsid w:val="001508F6"/>
    <w:rsid w:val="00150EBC"/>
    <w:rsid w:val="0015163B"/>
    <w:rsid w:val="00151752"/>
    <w:rsid w:val="00151EB5"/>
    <w:rsid w:val="00152349"/>
    <w:rsid w:val="00152438"/>
    <w:rsid w:val="00152688"/>
    <w:rsid w:val="00152791"/>
    <w:rsid w:val="0015287B"/>
    <w:rsid w:val="00152FE2"/>
    <w:rsid w:val="00153272"/>
    <w:rsid w:val="001532EF"/>
    <w:rsid w:val="00153805"/>
    <w:rsid w:val="001539B2"/>
    <w:rsid w:val="00153B2E"/>
    <w:rsid w:val="00153CE8"/>
    <w:rsid w:val="0015401B"/>
    <w:rsid w:val="001541F7"/>
    <w:rsid w:val="001544EC"/>
    <w:rsid w:val="001546D5"/>
    <w:rsid w:val="001548D3"/>
    <w:rsid w:val="00154936"/>
    <w:rsid w:val="00154953"/>
    <w:rsid w:val="00155279"/>
    <w:rsid w:val="00155454"/>
    <w:rsid w:val="001559E8"/>
    <w:rsid w:val="00155B14"/>
    <w:rsid w:val="00155BC2"/>
    <w:rsid w:val="00155BFB"/>
    <w:rsid w:val="00155D09"/>
    <w:rsid w:val="00155FE9"/>
    <w:rsid w:val="001562AA"/>
    <w:rsid w:val="001563C6"/>
    <w:rsid w:val="001564CD"/>
    <w:rsid w:val="00156566"/>
    <w:rsid w:val="00156820"/>
    <w:rsid w:val="0015682E"/>
    <w:rsid w:val="001569F9"/>
    <w:rsid w:val="0015702B"/>
    <w:rsid w:val="001572CA"/>
    <w:rsid w:val="0015763A"/>
    <w:rsid w:val="00157C45"/>
    <w:rsid w:val="00160144"/>
    <w:rsid w:val="0016022A"/>
    <w:rsid w:val="001605E6"/>
    <w:rsid w:val="00160B81"/>
    <w:rsid w:val="00160D9E"/>
    <w:rsid w:val="00160F06"/>
    <w:rsid w:val="001611C9"/>
    <w:rsid w:val="001613B6"/>
    <w:rsid w:val="00161776"/>
    <w:rsid w:val="001618D0"/>
    <w:rsid w:val="00161A2A"/>
    <w:rsid w:val="00161B5D"/>
    <w:rsid w:val="00162146"/>
    <w:rsid w:val="00162713"/>
    <w:rsid w:val="00162BA6"/>
    <w:rsid w:val="00162E9F"/>
    <w:rsid w:val="00163C55"/>
    <w:rsid w:val="00163DF5"/>
    <w:rsid w:val="00164181"/>
    <w:rsid w:val="001643BC"/>
    <w:rsid w:val="00164493"/>
    <w:rsid w:val="001648E9"/>
    <w:rsid w:val="001649FD"/>
    <w:rsid w:val="001655AD"/>
    <w:rsid w:val="001656D2"/>
    <w:rsid w:val="00165CF1"/>
    <w:rsid w:val="00165F12"/>
    <w:rsid w:val="00165F50"/>
    <w:rsid w:val="001664DA"/>
    <w:rsid w:val="00167374"/>
    <w:rsid w:val="0016758C"/>
    <w:rsid w:val="00167881"/>
    <w:rsid w:val="00167A2F"/>
    <w:rsid w:val="00167B71"/>
    <w:rsid w:val="00167B8D"/>
    <w:rsid w:val="00167CA0"/>
    <w:rsid w:val="00167D29"/>
    <w:rsid w:val="001701FC"/>
    <w:rsid w:val="0017025B"/>
    <w:rsid w:val="001706CF"/>
    <w:rsid w:val="00170B16"/>
    <w:rsid w:val="00170C81"/>
    <w:rsid w:val="00170EFB"/>
    <w:rsid w:val="00171032"/>
    <w:rsid w:val="0017137A"/>
    <w:rsid w:val="00171671"/>
    <w:rsid w:val="00171B0A"/>
    <w:rsid w:val="00171B15"/>
    <w:rsid w:val="001720FC"/>
    <w:rsid w:val="00172258"/>
    <w:rsid w:val="00172552"/>
    <w:rsid w:val="00172667"/>
    <w:rsid w:val="00172730"/>
    <w:rsid w:val="00173034"/>
    <w:rsid w:val="00173675"/>
    <w:rsid w:val="00173E0A"/>
    <w:rsid w:val="001749CD"/>
    <w:rsid w:val="00174CAA"/>
    <w:rsid w:val="00174FA5"/>
    <w:rsid w:val="00174FAB"/>
    <w:rsid w:val="001750B6"/>
    <w:rsid w:val="00175164"/>
    <w:rsid w:val="001751AC"/>
    <w:rsid w:val="00175422"/>
    <w:rsid w:val="00175AD0"/>
    <w:rsid w:val="00175B7E"/>
    <w:rsid w:val="00175CD6"/>
    <w:rsid w:val="00175D63"/>
    <w:rsid w:val="00175FE4"/>
    <w:rsid w:val="001764E2"/>
    <w:rsid w:val="001765B4"/>
    <w:rsid w:val="001768CD"/>
    <w:rsid w:val="00176AA1"/>
    <w:rsid w:val="00176B14"/>
    <w:rsid w:val="00176B29"/>
    <w:rsid w:val="00177076"/>
    <w:rsid w:val="00177292"/>
    <w:rsid w:val="001773D3"/>
    <w:rsid w:val="00177D16"/>
    <w:rsid w:val="0018000E"/>
    <w:rsid w:val="00180184"/>
    <w:rsid w:val="00180387"/>
    <w:rsid w:val="00180472"/>
    <w:rsid w:val="00180857"/>
    <w:rsid w:val="0018093E"/>
    <w:rsid w:val="00180984"/>
    <w:rsid w:val="00180C4E"/>
    <w:rsid w:val="00180E53"/>
    <w:rsid w:val="0018117F"/>
    <w:rsid w:val="001814E8"/>
    <w:rsid w:val="00181683"/>
    <w:rsid w:val="0018186C"/>
    <w:rsid w:val="0018198E"/>
    <w:rsid w:val="00181B62"/>
    <w:rsid w:val="00181CD3"/>
    <w:rsid w:val="00182A00"/>
    <w:rsid w:val="00182A77"/>
    <w:rsid w:val="00182CF1"/>
    <w:rsid w:val="001832B1"/>
    <w:rsid w:val="001833C9"/>
    <w:rsid w:val="001833D2"/>
    <w:rsid w:val="00183762"/>
    <w:rsid w:val="0018388C"/>
    <w:rsid w:val="00183E45"/>
    <w:rsid w:val="00183F26"/>
    <w:rsid w:val="00184147"/>
    <w:rsid w:val="00184315"/>
    <w:rsid w:val="001849C6"/>
    <w:rsid w:val="00184BFF"/>
    <w:rsid w:val="00184F38"/>
    <w:rsid w:val="00184FE6"/>
    <w:rsid w:val="001852B6"/>
    <w:rsid w:val="0018557E"/>
    <w:rsid w:val="00185725"/>
    <w:rsid w:val="001857C3"/>
    <w:rsid w:val="001858BC"/>
    <w:rsid w:val="00185ADD"/>
    <w:rsid w:val="00185C2D"/>
    <w:rsid w:val="00186539"/>
    <w:rsid w:val="00186685"/>
    <w:rsid w:val="00186884"/>
    <w:rsid w:val="00186D81"/>
    <w:rsid w:val="001871E5"/>
    <w:rsid w:val="00187499"/>
    <w:rsid w:val="0018781A"/>
    <w:rsid w:val="00187B1C"/>
    <w:rsid w:val="00187D7A"/>
    <w:rsid w:val="00187FCD"/>
    <w:rsid w:val="0019039C"/>
    <w:rsid w:val="001903CF"/>
    <w:rsid w:val="00190FE4"/>
    <w:rsid w:val="00191389"/>
    <w:rsid w:val="00191C34"/>
    <w:rsid w:val="00191D8D"/>
    <w:rsid w:val="00191E94"/>
    <w:rsid w:val="00192095"/>
    <w:rsid w:val="001922AD"/>
    <w:rsid w:val="001922DA"/>
    <w:rsid w:val="001923DD"/>
    <w:rsid w:val="00192423"/>
    <w:rsid w:val="00192A85"/>
    <w:rsid w:val="00192CDA"/>
    <w:rsid w:val="0019323A"/>
    <w:rsid w:val="0019358A"/>
    <w:rsid w:val="00193594"/>
    <w:rsid w:val="00193839"/>
    <w:rsid w:val="00193BB2"/>
    <w:rsid w:val="00193BF2"/>
    <w:rsid w:val="00193FED"/>
    <w:rsid w:val="001940F1"/>
    <w:rsid w:val="00194B41"/>
    <w:rsid w:val="00194F23"/>
    <w:rsid w:val="00195271"/>
    <w:rsid w:val="001955DA"/>
    <w:rsid w:val="00195973"/>
    <w:rsid w:val="00195B61"/>
    <w:rsid w:val="001962A8"/>
    <w:rsid w:val="001963DF"/>
    <w:rsid w:val="00196451"/>
    <w:rsid w:val="00196492"/>
    <w:rsid w:val="001965FD"/>
    <w:rsid w:val="00196D6D"/>
    <w:rsid w:val="00197269"/>
    <w:rsid w:val="0019757E"/>
    <w:rsid w:val="00197A8D"/>
    <w:rsid w:val="00197CD4"/>
    <w:rsid w:val="00197CEF"/>
    <w:rsid w:val="00197D67"/>
    <w:rsid w:val="001A05F5"/>
    <w:rsid w:val="001A0F04"/>
    <w:rsid w:val="001A164D"/>
    <w:rsid w:val="001A1747"/>
    <w:rsid w:val="001A197D"/>
    <w:rsid w:val="001A1ACE"/>
    <w:rsid w:val="001A1C32"/>
    <w:rsid w:val="001A1C6A"/>
    <w:rsid w:val="001A1F87"/>
    <w:rsid w:val="001A217E"/>
    <w:rsid w:val="001A2230"/>
    <w:rsid w:val="001A27B1"/>
    <w:rsid w:val="001A284B"/>
    <w:rsid w:val="001A28DF"/>
    <w:rsid w:val="001A2E86"/>
    <w:rsid w:val="001A313B"/>
    <w:rsid w:val="001A3434"/>
    <w:rsid w:val="001A3537"/>
    <w:rsid w:val="001A3DE0"/>
    <w:rsid w:val="001A4002"/>
    <w:rsid w:val="001A5080"/>
    <w:rsid w:val="001A5256"/>
    <w:rsid w:val="001A5377"/>
    <w:rsid w:val="001A5737"/>
    <w:rsid w:val="001A58ED"/>
    <w:rsid w:val="001A5C4E"/>
    <w:rsid w:val="001A5D31"/>
    <w:rsid w:val="001A62BE"/>
    <w:rsid w:val="001A64BA"/>
    <w:rsid w:val="001A64C6"/>
    <w:rsid w:val="001A671F"/>
    <w:rsid w:val="001A6F21"/>
    <w:rsid w:val="001A6F35"/>
    <w:rsid w:val="001A702C"/>
    <w:rsid w:val="001A7051"/>
    <w:rsid w:val="001A7518"/>
    <w:rsid w:val="001A7803"/>
    <w:rsid w:val="001A7C8D"/>
    <w:rsid w:val="001B021B"/>
    <w:rsid w:val="001B02AF"/>
    <w:rsid w:val="001B0588"/>
    <w:rsid w:val="001B06A4"/>
    <w:rsid w:val="001B07E0"/>
    <w:rsid w:val="001B08AF"/>
    <w:rsid w:val="001B0B79"/>
    <w:rsid w:val="001B0CAA"/>
    <w:rsid w:val="001B1ABB"/>
    <w:rsid w:val="001B1D07"/>
    <w:rsid w:val="001B2408"/>
    <w:rsid w:val="001B2585"/>
    <w:rsid w:val="001B2630"/>
    <w:rsid w:val="001B27A8"/>
    <w:rsid w:val="001B2879"/>
    <w:rsid w:val="001B2AA1"/>
    <w:rsid w:val="001B2AA4"/>
    <w:rsid w:val="001B2DB3"/>
    <w:rsid w:val="001B3B97"/>
    <w:rsid w:val="001B3D0D"/>
    <w:rsid w:val="001B4808"/>
    <w:rsid w:val="001B4B1E"/>
    <w:rsid w:val="001B4FEF"/>
    <w:rsid w:val="001B5343"/>
    <w:rsid w:val="001B5381"/>
    <w:rsid w:val="001B54BB"/>
    <w:rsid w:val="001B5919"/>
    <w:rsid w:val="001B59ED"/>
    <w:rsid w:val="001B5AD9"/>
    <w:rsid w:val="001B5B2C"/>
    <w:rsid w:val="001B5BF7"/>
    <w:rsid w:val="001B60C0"/>
    <w:rsid w:val="001B611E"/>
    <w:rsid w:val="001B62E2"/>
    <w:rsid w:val="001B71E1"/>
    <w:rsid w:val="001B72E3"/>
    <w:rsid w:val="001B758B"/>
    <w:rsid w:val="001B7AA1"/>
    <w:rsid w:val="001C00E1"/>
    <w:rsid w:val="001C0520"/>
    <w:rsid w:val="001C070D"/>
    <w:rsid w:val="001C0B5C"/>
    <w:rsid w:val="001C0C31"/>
    <w:rsid w:val="001C10A9"/>
    <w:rsid w:val="001C10E8"/>
    <w:rsid w:val="001C1343"/>
    <w:rsid w:val="001C13CF"/>
    <w:rsid w:val="001C14C6"/>
    <w:rsid w:val="001C1A36"/>
    <w:rsid w:val="001C2423"/>
    <w:rsid w:val="001C2A61"/>
    <w:rsid w:val="001C2EF1"/>
    <w:rsid w:val="001C2F2E"/>
    <w:rsid w:val="001C2FF9"/>
    <w:rsid w:val="001C367B"/>
    <w:rsid w:val="001C38C4"/>
    <w:rsid w:val="001C39EC"/>
    <w:rsid w:val="001C3D29"/>
    <w:rsid w:val="001C414D"/>
    <w:rsid w:val="001C464B"/>
    <w:rsid w:val="001C4714"/>
    <w:rsid w:val="001C4A18"/>
    <w:rsid w:val="001C4DAE"/>
    <w:rsid w:val="001C4E91"/>
    <w:rsid w:val="001C556F"/>
    <w:rsid w:val="001C5646"/>
    <w:rsid w:val="001C5891"/>
    <w:rsid w:val="001C58DC"/>
    <w:rsid w:val="001C5C21"/>
    <w:rsid w:val="001C65DC"/>
    <w:rsid w:val="001C692A"/>
    <w:rsid w:val="001C6C8B"/>
    <w:rsid w:val="001C6C8D"/>
    <w:rsid w:val="001C6ED1"/>
    <w:rsid w:val="001C6FFE"/>
    <w:rsid w:val="001C7216"/>
    <w:rsid w:val="001C7217"/>
    <w:rsid w:val="001C77AA"/>
    <w:rsid w:val="001C785D"/>
    <w:rsid w:val="001C7B0C"/>
    <w:rsid w:val="001C7FC0"/>
    <w:rsid w:val="001D02F1"/>
    <w:rsid w:val="001D0540"/>
    <w:rsid w:val="001D07DF"/>
    <w:rsid w:val="001D0841"/>
    <w:rsid w:val="001D090E"/>
    <w:rsid w:val="001D0DF5"/>
    <w:rsid w:val="001D0EEC"/>
    <w:rsid w:val="001D15AE"/>
    <w:rsid w:val="001D167D"/>
    <w:rsid w:val="001D1BCC"/>
    <w:rsid w:val="001D1E8E"/>
    <w:rsid w:val="001D22E9"/>
    <w:rsid w:val="001D2435"/>
    <w:rsid w:val="001D26BE"/>
    <w:rsid w:val="001D2A0B"/>
    <w:rsid w:val="001D2FD2"/>
    <w:rsid w:val="001D3374"/>
    <w:rsid w:val="001D3644"/>
    <w:rsid w:val="001D378F"/>
    <w:rsid w:val="001D3C23"/>
    <w:rsid w:val="001D3CCF"/>
    <w:rsid w:val="001D3CD6"/>
    <w:rsid w:val="001D3D35"/>
    <w:rsid w:val="001D3D7C"/>
    <w:rsid w:val="001D3E72"/>
    <w:rsid w:val="001D4109"/>
    <w:rsid w:val="001D4247"/>
    <w:rsid w:val="001D467B"/>
    <w:rsid w:val="001D4C1A"/>
    <w:rsid w:val="001D4C75"/>
    <w:rsid w:val="001D4DDB"/>
    <w:rsid w:val="001D4F77"/>
    <w:rsid w:val="001D50A8"/>
    <w:rsid w:val="001D52C3"/>
    <w:rsid w:val="001D5363"/>
    <w:rsid w:val="001D5617"/>
    <w:rsid w:val="001D5E1B"/>
    <w:rsid w:val="001D65FA"/>
    <w:rsid w:val="001D6951"/>
    <w:rsid w:val="001D6CC0"/>
    <w:rsid w:val="001D70FC"/>
    <w:rsid w:val="001D755B"/>
    <w:rsid w:val="001D7995"/>
    <w:rsid w:val="001D7F80"/>
    <w:rsid w:val="001E03E0"/>
    <w:rsid w:val="001E067F"/>
    <w:rsid w:val="001E075C"/>
    <w:rsid w:val="001E082D"/>
    <w:rsid w:val="001E0AEF"/>
    <w:rsid w:val="001E0DD2"/>
    <w:rsid w:val="001E15C2"/>
    <w:rsid w:val="001E16D3"/>
    <w:rsid w:val="001E1812"/>
    <w:rsid w:val="001E1B4C"/>
    <w:rsid w:val="001E1C66"/>
    <w:rsid w:val="001E1E09"/>
    <w:rsid w:val="001E1FB2"/>
    <w:rsid w:val="001E2344"/>
    <w:rsid w:val="001E25BB"/>
    <w:rsid w:val="001E25D9"/>
    <w:rsid w:val="001E27F2"/>
    <w:rsid w:val="001E2C3A"/>
    <w:rsid w:val="001E2C53"/>
    <w:rsid w:val="001E2CE1"/>
    <w:rsid w:val="001E2DC5"/>
    <w:rsid w:val="001E2E85"/>
    <w:rsid w:val="001E32FA"/>
    <w:rsid w:val="001E3C0A"/>
    <w:rsid w:val="001E3F3D"/>
    <w:rsid w:val="001E40B7"/>
    <w:rsid w:val="001E4113"/>
    <w:rsid w:val="001E4448"/>
    <w:rsid w:val="001E4DC3"/>
    <w:rsid w:val="001E4F7D"/>
    <w:rsid w:val="001E5284"/>
    <w:rsid w:val="001E57BF"/>
    <w:rsid w:val="001E5B27"/>
    <w:rsid w:val="001E5DA1"/>
    <w:rsid w:val="001E5F94"/>
    <w:rsid w:val="001E6432"/>
    <w:rsid w:val="001E64AF"/>
    <w:rsid w:val="001E6948"/>
    <w:rsid w:val="001E6A0B"/>
    <w:rsid w:val="001E6B15"/>
    <w:rsid w:val="001E6F19"/>
    <w:rsid w:val="001E7041"/>
    <w:rsid w:val="001E70B5"/>
    <w:rsid w:val="001E77CA"/>
    <w:rsid w:val="001E788A"/>
    <w:rsid w:val="001E7899"/>
    <w:rsid w:val="001E78D2"/>
    <w:rsid w:val="001E7D6F"/>
    <w:rsid w:val="001E7E18"/>
    <w:rsid w:val="001E7EB4"/>
    <w:rsid w:val="001F05FB"/>
    <w:rsid w:val="001F07AE"/>
    <w:rsid w:val="001F0A1B"/>
    <w:rsid w:val="001F0EE7"/>
    <w:rsid w:val="001F0FC0"/>
    <w:rsid w:val="001F11F1"/>
    <w:rsid w:val="001F19FF"/>
    <w:rsid w:val="001F204B"/>
    <w:rsid w:val="001F23EA"/>
    <w:rsid w:val="001F23EB"/>
    <w:rsid w:val="001F29E5"/>
    <w:rsid w:val="001F2B70"/>
    <w:rsid w:val="001F2BE3"/>
    <w:rsid w:val="001F2DAE"/>
    <w:rsid w:val="001F316A"/>
    <w:rsid w:val="001F32E4"/>
    <w:rsid w:val="001F353C"/>
    <w:rsid w:val="001F3653"/>
    <w:rsid w:val="001F3687"/>
    <w:rsid w:val="001F36E2"/>
    <w:rsid w:val="001F3884"/>
    <w:rsid w:val="001F4949"/>
    <w:rsid w:val="001F4CFD"/>
    <w:rsid w:val="001F4D78"/>
    <w:rsid w:val="001F4EB1"/>
    <w:rsid w:val="001F5734"/>
    <w:rsid w:val="001F5A84"/>
    <w:rsid w:val="001F6062"/>
    <w:rsid w:val="001F6B29"/>
    <w:rsid w:val="001F6C6F"/>
    <w:rsid w:val="001F6D06"/>
    <w:rsid w:val="001F6F48"/>
    <w:rsid w:val="001F73CC"/>
    <w:rsid w:val="001F7616"/>
    <w:rsid w:val="001F780F"/>
    <w:rsid w:val="001F790B"/>
    <w:rsid w:val="001F7AAA"/>
    <w:rsid w:val="001F7B9F"/>
    <w:rsid w:val="001F7E9F"/>
    <w:rsid w:val="002008DF"/>
    <w:rsid w:val="002010BD"/>
    <w:rsid w:val="00201324"/>
    <w:rsid w:val="00201601"/>
    <w:rsid w:val="00201647"/>
    <w:rsid w:val="0020226D"/>
    <w:rsid w:val="00202700"/>
    <w:rsid w:val="0020277F"/>
    <w:rsid w:val="00202A08"/>
    <w:rsid w:val="00202F28"/>
    <w:rsid w:val="002033FF"/>
    <w:rsid w:val="002034BC"/>
    <w:rsid w:val="00203513"/>
    <w:rsid w:val="0020377F"/>
    <w:rsid w:val="00203819"/>
    <w:rsid w:val="00203868"/>
    <w:rsid w:val="00203941"/>
    <w:rsid w:val="00203B02"/>
    <w:rsid w:val="00203F9A"/>
    <w:rsid w:val="00204617"/>
    <w:rsid w:val="002052AE"/>
    <w:rsid w:val="0020587C"/>
    <w:rsid w:val="002058BC"/>
    <w:rsid w:val="00205F07"/>
    <w:rsid w:val="00205FC9"/>
    <w:rsid w:val="00206889"/>
    <w:rsid w:val="002068CE"/>
    <w:rsid w:val="00206B14"/>
    <w:rsid w:val="00206C37"/>
    <w:rsid w:val="00206D24"/>
    <w:rsid w:val="00206E59"/>
    <w:rsid w:val="0020702F"/>
    <w:rsid w:val="002073EF"/>
    <w:rsid w:val="002074A3"/>
    <w:rsid w:val="002075EE"/>
    <w:rsid w:val="002076B6"/>
    <w:rsid w:val="0020772D"/>
    <w:rsid w:val="00207AEA"/>
    <w:rsid w:val="00207B57"/>
    <w:rsid w:val="002102E6"/>
    <w:rsid w:val="00210333"/>
    <w:rsid w:val="00210581"/>
    <w:rsid w:val="00210C9D"/>
    <w:rsid w:val="002115C6"/>
    <w:rsid w:val="00211B85"/>
    <w:rsid w:val="00211C59"/>
    <w:rsid w:val="002125CC"/>
    <w:rsid w:val="002128E7"/>
    <w:rsid w:val="00212CC4"/>
    <w:rsid w:val="00212DC0"/>
    <w:rsid w:val="00212E62"/>
    <w:rsid w:val="00212ED5"/>
    <w:rsid w:val="00213690"/>
    <w:rsid w:val="002137D1"/>
    <w:rsid w:val="00213B69"/>
    <w:rsid w:val="00213CD0"/>
    <w:rsid w:val="00214091"/>
    <w:rsid w:val="002141B4"/>
    <w:rsid w:val="00214511"/>
    <w:rsid w:val="00214549"/>
    <w:rsid w:val="002147A4"/>
    <w:rsid w:val="0021482F"/>
    <w:rsid w:val="00214B2D"/>
    <w:rsid w:val="00214D65"/>
    <w:rsid w:val="00214F75"/>
    <w:rsid w:val="0021528C"/>
    <w:rsid w:val="0021544F"/>
    <w:rsid w:val="002156ED"/>
    <w:rsid w:val="00215D16"/>
    <w:rsid w:val="00216302"/>
    <w:rsid w:val="0021636E"/>
    <w:rsid w:val="002164C5"/>
    <w:rsid w:val="002164EA"/>
    <w:rsid w:val="00216973"/>
    <w:rsid w:val="00216CBE"/>
    <w:rsid w:val="00216D41"/>
    <w:rsid w:val="00216DFF"/>
    <w:rsid w:val="00216E35"/>
    <w:rsid w:val="0021783C"/>
    <w:rsid w:val="00217943"/>
    <w:rsid w:val="00217A5D"/>
    <w:rsid w:val="00217C72"/>
    <w:rsid w:val="00220606"/>
    <w:rsid w:val="002206DB"/>
    <w:rsid w:val="00220783"/>
    <w:rsid w:val="00220A2B"/>
    <w:rsid w:val="00220A41"/>
    <w:rsid w:val="00220B6E"/>
    <w:rsid w:val="00221231"/>
    <w:rsid w:val="00221331"/>
    <w:rsid w:val="00221A80"/>
    <w:rsid w:val="00221F25"/>
    <w:rsid w:val="0022200E"/>
    <w:rsid w:val="00222328"/>
    <w:rsid w:val="002225F1"/>
    <w:rsid w:val="002228B2"/>
    <w:rsid w:val="00223257"/>
    <w:rsid w:val="0022418B"/>
    <w:rsid w:val="002241D0"/>
    <w:rsid w:val="00224B5F"/>
    <w:rsid w:val="00224E05"/>
    <w:rsid w:val="00224E97"/>
    <w:rsid w:val="0022573A"/>
    <w:rsid w:val="002257FC"/>
    <w:rsid w:val="00225800"/>
    <w:rsid w:val="00225AC4"/>
    <w:rsid w:val="00225F70"/>
    <w:rsid w:val="002261D7"/>
    <w:rsid w:val="0022622A"/>
    <w:rsid w:val="0022645D"/>
    <w:rsid w:val="0022679E"/>
    <w:rsid w:val="00226F04"/>
    <w:rsid w:val="00227540"/>
    <w:rsid w:val="0022755A"/>
    <w:rsid w:val="0022792C"/>
    <w:rsid w:val="00227936"/>
    <w:rsid w:val="00227D5A"/>
    <w:rsid w:val="00230B0E"/>
    <w:rsid w:val="00230BC1"/>
    <w:rsid w:val="00230E7C"/>
    <w:rsid w:val="002313D9"/>
    <w:rsid w:val="00231813"/>
    <w:rsid w:val="00231B44"/>
    <w:rsid w:val="00231D84"/>
    <w:rsid w:val="00231FBF"/>
    <w:rsid w:val="00232015"/>
    <w:rsid w:val="0023215B"/>
    <w:rsid w:val="00232313"/>
    <w:rsid w:val="002323F8"/>
    <w:rsid w:val="002325AA"/>
    <w:rsid w:val="002335B9"/>
    <w:rsid w:val="00233FE3"/>
    <w:rsid w:val="002345E5"/>
    <w:rsid w:val="00234800"/>
    <w:rsid w:val="0023488B"/>
    <w:rsid w:val="00234C52"/>
    <w:rsid w:val="00234F7D"/>
    <w:rsid w:val="0023503C"/>
    <w:rsid w:val="00235196"/>
    <w:rsid w:val="00235226"/>
    <w:rsid w:val="002352C4"/>
    <w:rsid w:val="00235724"/>
    <w:rsid w:val="00235903"/>
    <w:rsid w:val="00235BA2"/>
    <w:rsid w:val="00235F91"/>
    <w:rsid w:val="0023607C"/>
    <w:rsid w:val="00236081"/>
    <w:rsid w:val="00236234"/>
    <w:rsid w:val="0023644A"/>
    <w:rsid w:val="002364B4"/>
    <w:rsid w:val="00236D84"/>
    <w:rsid w:val="00236E7F"/>
    <w:rsid w:val="0023704F"/>
    <w:rsid w:val="00237369"/>
    <w:rsid w:val="00237372"/>
    <w:rsid w:val="00237706"/>
    <w:rsid w:val="00237AA7"/>
    <w:rsid w:val="00237C4E"/>
    <w:rsid w:val="00240115"/>
    <w:rsid w:val="00240381"/>
    <w:rsid w:val="0024127C"/>
    <w:rsid w:val="00241603"/>
    <w:rsid w:val="002416AE"/>
    <w:rsid w:val="00241F64"/>
    <w:rsid w:val="002423EB"/>
    <w:rsid w:val="00242904"/>
    <w:rsid w:val="00242B83"/>
    <w:rsid w:val="002431F9"/>
    <w:rsid w:val="002435F5"/>
    <w:rsid w:val="0024400B"/>
    <w:rsid w:val="002443C0"/>
    <w:rsid w:val="00244597"/>
    <w:rsid w:val="00244853"/>
    <w:rsid w:val="00244983"/>
    <w:rsid w:val="002449C0"/>
    <w:rsid w:val="00244D1F"/>
    <w:rsid w:val="00244E51"/>
    <w:rsid w:val="00245288"/>
    <w:rsid w:val="00245696"/>
    <w:rsid w:val="00245992"/>
    <w:rsid w:val="00245CE6"/>
    <w:rsid w:val="00246153"/>
    <w:rsid w:val="002463BF"/>
    <w:rsid w:val="002467AB"/>
    <w:rsid w:val="00246805"/>
    <w:rsid w:val="00246BFC"/>
    <w:rsid w:val="00246C6D"/>
    <w:rsid w:val="00246F7D"/>
    <w:rsid w:val="002470BE"/>
    <w:rsid w:val="002471F3"/>
    <w:rsid w:val="002472F0"/>
    <w:rsid w:val="0024732C"/>
    <w:rsid w:val="00247384"/>
    <w:rsid w:val="0024767B"/>
    <w:rsid w:val="00247B83"/>
    <w:rsid w:val="00247CBF"/>
    <w:rsid w:val="00247DE9"/>
    <w:rsid w:val="002502C8"/>
    <w:rsid w:val="002505E0"/>
    <w:rsid w:val="002509F3"/>
    <w:rsid w:val="00250AF0"/>
    <w:rsid w:val="00250CCF"/>
    <w:rsid w:val="00250E19"/>
    <w:rsid w:val="00250FC3"/>
    <w:rsid w:val="00251035"/>
    <w:rsid w:val="00251335"/>
    <w:rsid w:val="0025164F"/>
    <w:rsid w:val="00251BF9"/>
    <w:rsid w:val="00251FB9"/>
    <w:rsid w:val="002521BB"/>
    <w:rsid w:val="002521C4"/>
    <w:rsid w:val="00252BB9"/>
    <w:rsid w:val="0025342C"/>
    <w:rsid w:val="0025383D"/>
    <w:rsid w:val="002538EB"/>
    <w:rsid w:val="002538FB"/>
    <w:rsid w:val="00253E1D"/>
    <w:rsid w:val="00254008"/>
    <w:rsid w:val="00254E27"/>
    <w:rsid w:val="00254EEC"/>
    <w:rsid w:val="0025543B"/>
    <w:rsid w:val="00255562"/>
    <w:rsid w:val="00255641"/>
    <w:rsid w:val="002557B4"/>
    <w:rsid w:val="002559B2"/>
    <w:rsid w:val="00255CC8"/>
    <w:rsid w:val="00255E68"/>
    <w:rsid w:val="002561BE"/>
    <w:rsid w:val="00256475"/>
    <w:rsid w:val="00256600"/>
    <w:rsid w:val="0025663F"/>
    <w:rsid w:val="002568BC"/>
    <w:rsid w:val="00257165"/>
    <w:rsid w:val="0025738C"/>
    <w:rsid w:val="002578FE"/>
    <w:rsid w:val="002600B8"/>
    <w:rsid w:val="002603A6"/>
    <w:rsid w:val="00260E74"/>
    <w:rsid w:val="00260EC4"/>
    <w:rsid w:val="002613CE"/>
    <w:rsid w:val="002615E2"/>
    <w:rsid w:val="002616CA"/>
    <w:rsid w:val="002616F5"/>
    <w:rsid w:val="00261D54"/>
    <w:rsid w:val="00261DB0"/>
    <w:rsid w:val="00262421"/>
    <w:rsid w:val="00262891"/>
    <w:rsid w:val="00262E0E"/>
    <w:rsid w:val="00262E2F"/>
    <w:rsid w:val="00262F69"/>
    <w:rsid w:val="002630DB"/>
    <w:rsid w:val="00263331"/>
    <w:rsid w:val="00263386"/>
    <w:rsid w:val="002634A6"/>
    <w:rsid w:val="00263755"/>
    <w:rsid w:val="00263CF4"/>
    <w:rsid w:val="00263D80"/>
    <w:rsid w:val="0026442D"/>
    <w:rsid w:val="00264625"/>
    <w:rsid w:val="0026535F"/>
    <w:rsid w:val="00265BEB"/>
    <w:rsid w:val="00265BF5"/>
    <w:rsid w:val="00265C4A"/>
    <w:rsid w:val="00265C6D"/>
    <w:rsid w:val="0026623A"/>
    <w:rsid w:val="002662A4"/>
    <w:rsid w:val="002663CF"/>
    <w:rsid w:val="002665B4"/>
    <w:rsid w:val="00266676"/>
    <w:rsid w:val="00266A34"/>
    <w:rsid w:val="00266B02"/>
    <w:rsid w:val="00266B1E"/>
    <w:rsid w:val="00266D99"/>
    <w:rsid w:val="00266E79"/>
    <w:rsid w:val="002670A5"/>
    <w:rsid w:val="0026761D"/>
    <w:rsid w:val="00267866"/>
    <w:rsid w:val="0026786E"/>
    <w:rsid w:val="00267A6A"/>
    <w:rsid w:val="00267BCF"/>
    <w:rsid w:val="00267CFF"/>
    <w:rsid w:val="00267D18"/>
    <w:rsid w:val="00267F9A"/>
    <w:rsid w:val="002700F3"/>
    <w:rsid w:val="00270113"/>
    <w:rsid w:val="002706D3"/>
    <w:rsid w:val="00271251"/>
    <w:rsid w:val="00271665"/>
    <w:rsid w:val="00271851"/>
    <w:rsid w:val="00271B3A"/>
    <w:rsid w:val="00271DC6"/>
    <w:rsid w:val="00271E4A"/>
    <w:rsid w:val="00271EE7"/>
    <w:rsid w:val="00271F15"/>
    <w:rsid w:val="00272095"/>
    <w:rsid w:val="00272233"/>
    <w:rsid w:val="002723FA"/>
    <w:rsid w:val="00272C6B"/>
    <w:rsid w:val="00272D2E"/>
    <w:rsid w:val="00272D3B"/>
    <w:rsid w:val="00273190"/>
    <w:rsid w:val="0027320E"/>
    <w:rsid w:val="002732B5"/>
    <w:rsid w:val="002732E5"/>
    <w:rsid w:val="002736E1"/>
    <w:rsid w:val="00273CBA"/>
    <w:rsid w:val="00273EB0"/>
    <w:rsid w:val="00273EB3"/>
    <w:rsid w:val="00274031"/>
    <w:rsid w:val="002740CE"/>
    <w:rsid w:val="002743D9"/>
    <w:rsid w:val="00274893"/>
    <w:rsid w:val="00274BBF"/>
    <w:rsid w:val="00274E32"/>
    <w:rsid w:val="00274F7C"/>
    <w:rsid w:val="0027575D"/>
    <w:rsid w:val="002758B0"/>
    <w:rsid w:val="00275B12"/>
    <w:rsid w:val="00275BAD"/>
    <w:rsid w:val="002760B1"/>
    <w:rsid w:val="00276365"/>
    <w:rsid w:val="0027639C"/>
    <w:rsid w:val="00276A75"/>
    <w:rsid w:val="00276C2E"/>
    <w:rsid w:val="00276D12"/>
    <w:rsid w:val="00277031"/>
    <w:rsid w:val="002770F0"/>
    <w:rsid w:val="0027781F"/>
    <w:rsid w:val="0027799C"/>
    <w:rsid w:val="00277B90"/>
    <w:rsid w:val="00277CED"/>
    <w:rsid w:val="00277E4A"/>
    <w:rsid w:val="00277EC4"/>
    <w:rsid w:val="0028005A"/>
    <w:rsid w:val="00280076"/>
    <w:rsid w:val="0028047D"/>
    <w:rsid w:val="00280620"/>
    <w:rsid w:val="00280E3B"/>
    <w:rsid w:val="002810AA"/>
    <w:rsid w:val="00281373"/>
    <w:rsid w:val="00281472"/>
    <w:rsid w:val="002814BB"/>
    <w:rsid w:val="002819D0"/>
    <w:rsid w:val="00281B32"/>
    <w:rsid w:val="00282153"/>
    <w:rsid w:val="0028282F"/>
    <w:rsid w:val="0028289A"/>
    <w:rsid w:val="0028308B"/>
    <w:rsid w:val="0028348D"/>
    <w:rsid w:val="00283665"/>
    <w:rsid w:val="00283BD0"/>
    <w:rsid w:val="00283BDB"/>
    <w:rsid w:val="00283E5F"/>
    <w:rsid w:val="0028412A"/>
    <w:rsid w:val="002841AC"/>
    <w:rsid w:val="0028427B"/>
    <w:rsid w:val="00284312"/>
    <w:rsid w:val="00284392"/>
    <w:rsid w:val="0028496B"/>
    <w:rsid w:val="00284DBC"/>
    <w:rsid w:val="00284E90"/>
    <w:rsid w:val="002852DB"/>
    <w:rsid w:val="002859F8"/>
    <w:rsid w:val="00285C78"/>
    <w:rsid w:val="00285C94"/>
    <w:rsid w:val="00285CA4"/>
    <w:rsid w:val="00285D07"/>
    <w:rsid w:val="00286061"/>
    <w:rsid w:val="0028622B"/>
    <w:rsid w:val="00286427"/>
    <w:rsid w:val="002867BE"/>
    <w:rsid w:val="002868FE"/>
    <w:rsid w:val="00286C2A"/>
    <w:rsid w:val="00286D6A"/>
    <w:rsid w:val="002872B8"/>
    <w:rsid w:val="00287525"/>
    <w:rsid w:val="002875B7"/>
    <w:rsid w:val="00287F68"/>
    <w:rsid w:val="00287FAA"/>
    <w:rsid w:val="0029006D"/>
    <w:rsid w:val="00290124"/>
    <w:rsid w:val="00290279"/>
    <w:rsid w:val="0029071C"/>
    <w:rsid w:val="00290761"/>
    <w:rsid w:val="0029089C"/>
    <w:rsid w:val="00290A66"/>
    <w:rsid w:val="00290BF6"/>
    <w:rsid w:val="00290C2B"/>
    <w:rsid w:val="00290DBB"/>
    <w:rsid w:val="00290F34"/>
    <w:rsid w:val="002914EF"/>
    <w:rsid w:val="002916B1"/>
    <w:rsid w:val="002919A6"/>
    <w:rsid w:val="00291A84"/>
    <w:rsid w:val="00291ADC"/>
    <w:rsid w:val="00291C87"/>
    <w:rsid w:val="00291DAA"/>
    <w:rsid w:val="00291F1F"/>
    <w:rsid w:val="00292037"/>
    <w:rsid w:val="0029273F"/>
    <w:rsid w:val="00292A9A"/>
    <w:rsid w:val="00293387"/>
    <w:rsid w:val="00293753"/>
    <w:rsid w:val="00293844"/>
    <w:rsid w:val="00293FE5"/>
    <w:rsid w:val="002946A5"/>
    <w:rsid w:val="00294C24"/>
    <w:rsid w:val="00294DAA"/>
    <w:rsid w:val="00294E2F"/>
    <w:rsid w:val="00294F35"/>
    <w:rsid w:val="002953EC"/>
    <w:rsid w:val="00296032"/>
    <w:rsid w:val="002960B8"/>
    <w:rsid w:val="00296895"/>
    <w:rsid w:val="00296C47"/>
    <w:rsid w:val="00296CBB"/>
    <w:rsid w:val="00296CBD"/>
    <w:rsid w:val="00296D38"/>
    <w:rsid w:val="00296EBD"/>
    <w:rsid w:val="00296F85"/>
    <w:rsid w:val="00297096"/>
    <w:rsid w:val="002976C1"/>
    <w:rsid w:val="002976C3"/>
    <w:rsid w:val="00297926"/>
    <w:rsid w:val="00297C7E"/>
    <w:rsid w:val="00297F6D"/>
    <w:rsid w:val="002A0038"/>
    <w:rsid w:val="002A0709"/>
    <w:rsid w:val="002A0752"/>
    <w:rsid w:val="002A09C6"/>
    <w:rsid w:val="002A124D"/>
    <w:rsid w:val="002A1297"/>
    <w:rsid w:val="002A1504"/>
    <w:rsid w:val="002A156A"/>
    <w:rsid w:val="002A17CB"/>
    <w:rsid w:val="002A1C1D"/>
    <w:rsid w:val="002A1CB9"/>
    <w:rsid w:val="002A1D7E"/>
    <w:rsid w:val="002A2018"/>
    <w:rsid w:val="002A217F"/>
    <w:rsid w:val="002A22BD"/>
    <w:rsid w:val="002A24E9"/>
    <w:rsid w:val="002A29FD"/>
    <w:rsid w:val="002A2B2F"/>
    <w:rsid w:val="002A2B6A"/>
    <w:rsid w:val="002A2C71"/>
    <w:rsid w:val="002A2FB6"/>
    <w:rsid w:val="002A3030"/>
    <w:rsid w:val="002A395B"/>
    <w:rsid w:val="002A3C8D"/>
    <w:rsid w:val="002A3CA3"/>
    <w:rsid w:val="002A3EAD"/>
    <w:rsid w:val="002A453D"/>
    <w:rsid w:val="002A4553"/>
    <w:rsid w:val="002A4575"/>
    <w:rsid w:val="002A4713"/>
    <w:rsid w:val="002A47E0"/>
    <w:rsid w:val="002A48A8"/>
    <w:rsid w:val="002A4CBF"/>
    <w:rsid w:val="002A4EA1"/>
    <w:rsid w:val="002A4EA9"/>
    <w:rsid w:val="002A5618"/>
    <w:rsid w:val="002A5665"/>
    <w:rsid w:val="002A56D5"/>
    <w:rsid w:val="002A5CA8"/>
    <w:rsid w:val="002A5E19"/>
    <w:rsid w:val="002A602D"/>
    <w:rsid w:val="002A63A7"/>
    <w:rsid w:val="002A647D"/>
    <w:rsid w:val="002A667A"/>
    <w:rsid w:val="002A68FA"/>
    <w:rsid w:val="002A6C16"/>
    <w:rsid w:val="002A6C1C"/>
    <w:rsid w:val="002A6DAC"/>
    <w:rsid w:val="002A6DFB"/>
    <w:rsid w:val="002A6F29"/>
    <w:rsid w:val="002A7499"/>
    <w:rsid w:val="002A7827"/>
    <w:rsid w:val="002A7A4B"/>
    <w:rsid w:val="002A7D4C"/>
    <w:rsid w:val="002A7E76"/>
    <w:rsid w:val="002B046D"/>
    <w:rsid w:val="002B0755"/>
    <w:rsid w:val="002B07BF"/>
    <w:rsid w:val="002B09E2"/>
    <w:rsid w:val="002B0B2F"/>
    <w:rsid w:val="002B0CBF"/>
    <w:rsid w:val="002B0EC4"/>
    <w:rsid w:val="002B1FB2"/>
    <w:rsid w:val="002B22BB"/>
    <w:rsid w:val="002B257F"/>
    <w:rsid w:val="002B27CF"/>
    <w:rsid w:val="002B29EB"/>
    <w:rsid w:val="002B2AF8"/>
    <w:rsid w:val="002B2C4D"/>
    <w:rsid w:val="002B320E"/>
    <w:rsid w:val="002B3369"/>
    <w:rsid w:val="002B3662"/>
    <w:rsid w:val="002B3A2D"/>
    <w:rsid w:val="002B3CC3"/>
    <w:rsid w:val="002B3E0C"/>
    <w:rsid w:val="002B3FAD"/>
    <w:rsid w:val="002B4060"/>
    <w:rsid w:val="002B40A5"/>
    <w:rsid w:val="002B443F"/>
    <w:rsid w:val="002B4655"/>
    <w:rsid w:val="002B4747"/>
    <w:rsid w:val="002B4A0E"/>
    <w:rsid w:val="002B4CB2"/>
    <w:rsid w:val="002B4CD6"/>
    <w:rsid w:val="002B4D55"/>
    <w:rsid w:val="002B4D90"/>
    <w:rsid w:val="002B5F4B"/>
    <w:rsid w:val="002B6502"/>
    <w:rsid w:val="002B66DB"/>
    <w:rsid w:val="002B7032"/>
    <w:rsid w:val="002B71B7"/>
    <w:rsid w:val="002B781C"/>
    <w:rsid w:val="002B7845"/>
    <w:rsid w:val="002B795B"/>
    <w:rsid w:val="002B7D29"/>
    <w:rsid w:val="002C0180"/>
    <w:rsid w:val="002C02BB"/>
    <w:rsid w:val="002C0446"/>
    <w:rsid w:val="002C0A96"/>
    <w:rsid w:val="002C0ADB"/>
    <w:rsid w:val="002C0B7B"/>
    <w:rsid w:val="002C0B8C"/>
    <w:rsid w:val="002C1535"/>
    <w:rsid w:val="002C16FE"/>
    <w:rsid w:val="002C170F"/>
    <w:rsid w:val="002C1786"/>
    <w:rsid w:val="002C1E76"/>
    <w:rsid w:val="002C1ED0"/>
    <w:rsid w:val="002C2294"/>
    <w:rsid w:val="002C26A2"/>
    <w:rsid w:val="002C2B67"/>
    <w:rsid w:val="002C2BFA"/>
    <w:rsid w:val="002C2D77"/>
    <w:rsid w:val="002C2EBE"/>
    <w:rsid w:val="002C2FB6"/>
    <w:rsid w:val="002C3398"/>
    <w:rsid w:val="002C37A3"/>
    <w:rsid w:val="002C37D3"/>
    <w:rsid w:val="002C38FD"/>
    <w:rsid w:val="002C3CAE"/>
    <w:rsid w:val="002C3D4F"/>
    <w:rsid w:val="002C3DB6"/>
    <w:rsid w:val="002C41B0"/>
    <w:rsid w:val="002C4427"/>
    <w:rsid w:val="002C4756"/>
    <w:rsid w:val="002C4A5F"/>
    <w:rsid w:val="002C5082"/>
    <w:rsid w:val="002C508D"/>
    <w:rsid w:val="002C52D4"/>
    <w:rsid w:val="002C5670"/>
    <w:rsid w:val="002C596F"/>
    <w:rsid w:val="002C5C6A"/>
    <w:rsid w:val="002C5EB9"/>
    <w:rsid w:val="002C63E9"/>
    <w:rsid w:val="002C6D9A"/>
    <w:rsid w:val="002C6E72"/>
    <w:rsid w:val="002C6F0E"/>
    <w:rsid w:val="002C6F27"/>
    <w:rsid w:val="002C756D"/>
    <w:rsid w:val="002C771B"/>
    <w:rsid w:val="002C794C"/>
    <w:rsid w:val="002C7D41"/>
    <w:rsid w:val="002C7DA0"/>
    <w:rsid w:val="002D044B"/>
    <w:rsid w:val="002D0A84"/>
    <w:rsid w:val="002D0B6A"/>
    <w:rsid w:val="002D14DD"/>
    <w:rsid w:val="002D151F"/>
    <w:rsid w:val="002D1886"/>
    <w:rsid w:val="002D1958"/>
    <w:rsid w:val="002D1CC6"/>
    <w:rsid w:val="002D1D7B"/>
    <w:rsid w:val="002D1F2A"/>
    <w:rsid w:val="002D20E9"/>
    <w:rsid w:val="002D2420"/>
    <w:rsid w:val="002D2637"/>
    <w:rsid w:val="002D2911"/>
    <w:rsid w:val="002D297B"/>
    <w:rsid w:val="002D2B6B"/>
    <w:rsid w:val="002D3606"/>
    <w:rsid w:val="002D3611"/>
    <w:rsid w:val="002D3644"/>
    <w:rsid w:val="002D3B42"/>
    <w:rsid w:val="002D3F98"/>
    <w:rsid w:val="002D4072"/>
    <w:rsid w:val="002D4164"/>
    <w:rsid w:val="002D426A"/>
    <w:rsid w:val="002D4546"/>
    <w:rsid w:val="002D49C1"/>
    <w:rsid w:val="002D5AEC"/>
    <w:rsid w:val="002D5BB8"/>
    <w:rsid w:val="002D5BE1"/>
    <w:rsid w:val="002D5C02"/>
    <w:rsid w:val="002D5C51"/>
    <w:rsid w:val="002D6029"/>
    <w:rsid w:val="002D60C6"/>
    <w:rsid w:val="002D66B3"/>
    <w:rsid w:val="002D67C9"/>
    <w:rsid w:val="002D67DB"/>
    <w:rsid w:val="002D694C"/>
    <w:rsid w:val="002D6EDE"/>
    <w:rsid w:val="002D72A4"/>
    <w:rsid w:val="002D73F6"/>
    <w:rsid w:val="002D771A"/>
    <w:rsid w:val="002E0ED9"/>
    <w:rsid w:val="002E14A5"/>
    <w:rsid w:val="002E17E1"/>
    <w:rsid w:val="002E1AE0"/>
    <w:rsid w:val="002E1BCE"/>
    <w:rsid w:val="002E1C8F"/>
    <w:rsid w:val="002E1FE7"/>
    <w:rsid w:val="002E24AB"/>
    <w:rsid w:val="002E2B02"/>
    <w:rsid w:val="002E2B52"/>
    <w:rsid w:val="002E305A"/>
    <w:rsid w:val="002E3234"/>
    <w:rsid w:val="002E3806"/>
    <w:rsid w:val="002E38F1"/>
    <w:rsid w:val="002E395F"/>
    <w:rsid w:val="002E3BAE"/>
    <w:rsid w:val="002E3D1A"/>
    <w:rsid w:val="002E44C0"/>
    <w:rsid w:val="002E45B5"/>
    <w:rsid w:val="002E4CB5"/>
    <w:rsid w:val="002E4F3B"/>
    <w:rsid w:val="002E5742"/>
    <w:rsid w:val="002E5847"/>
    <w:rsid w:val="002E58B2"/>
    <w:rsid w:val="002E5FAB"/>
    <w:rsid w:val="002E6020"/>
    <w:rsid w:val="002E617F"/>
    <w:rsid w:val="002E623C"/>
    <w:rsid w:val="002E6682"/>
    <w:rsid w:val="002E6792"/>
    <w:rsid w:val="002E6E51"/>
    <w:rsid w:val="002E6EC3"/>
    <w:rsid w:val="002E6F86"/>
    <w:rsid w:val="002E76B1"/>
    <w:rsid w:val="002E7789"/>
    <w:rsid w:val="002E7899"/>
    <w:rsid w:val="002E7AB2"/>
    <w:rsid w:val="002E7D69"/>
    <w:rsid w:val="002F02EE"/>
    <w:rsid w:val="002F0392"/>
    <w:rsid w:val="002F08C6"/>
    <w:rsid w:val="002F0A1F"/>
    <w:rsid w:val="002F0AAB"/>
    <w:rsid w:val="002F0C9C"/>
    <w:rsid w:val="002F105F"/>
    <w:rsid w:val="002F1494"/>
    <w:rsid w:val="002F155A"/>
    <w:rsid w:val="002F16A5"/>
    <w:rsid w:val="002F2075"/>
    <w:rsid w:val="002F2344"/>
    <w:rsid w:val="002F238C"/>
    <w:rsid w:val="002F2AA2"/>
    <w:rsid w:val="002F2C44"/>
    <w:rsid w:val="002F2DEB"/>
    <w:rsid w:val="002F3133"/>
    <w:rsid w:val="002F3331"/>
    <w:rsid w:val="002F33A6"/>
    <w:rsid w:val="002F35A0"/>
    <w:rsid w:val="002F3686"/>
    <w:rsid w:val="002F39BB"/>
    <w:rsid w:val="002F3AF0"/>
    <w:rsid w:val="002F3D60"/>
    <w:rsid w:val="002F41CA"/>
    <w:rsid w:val="002F45A3"/>
    <w:rsid w:val="002F4902"/>
    <w:rsid w:val="002F49CF"/>
    <w:rsid w:val="002F4E48"/>
    <w:rsid w:val="002F5269"/>
    <w:rsid w:val="002F56DA"/>
    <w:rsid w:val="002F5D83"/>
    <w:rsid w:val="002F6000"/>
    <w:rsid w:val="002F6152"/>
    <w:rsid w:val="002F6B55"/>
    <w:rsid w:val="002F6F8A"/>
    <w:rsid w:val="002F7016"/>
    <w:rsid w:val="002F703F"/>
    <w:rsid w:val="002F7157"/>
    <w:rsid w:val="002F7410"/>
    <w:rsid w:val="002F7601"/>
    <w:rsid w:val="002F784B"/>
    <w:rsid w:val="002F7D33"/>
    <w:rsid w:val="0030019D"/>
    <w:rsid w:val="003001B6"/>
    <w:rsid w:val="0030045E"/>
    <w:rsid w:val="003006CC"/>
    <w:rsid w:val="003007A6"/>
    <w:rsid w:val="00300A2F"/>
    <w:rsid w:val="00300A42"/>
    <w:rsid w:val="00300B97"/>
    <w:rsid w:val="00300BEB"/>
    <w:rsid w:val="00300D44"/>
    <w:rsid w:val="003010A2"/>
    <w:rsid w:val="00301250"/>
    <w:rsid w:val="00301278"/>
    <w:rsid w:val="00301709"/>
    <w:rsid w:val="00301848"/>
    <w:rsid w:val="00301D9F"/>
    <w:rsid w:val="0030282E"/>
    <w:rsid w:val="00302A52"/>
    <w:rsid w:val="00302F45"/>
    <w:rsid w:val="00302F7F"/>
    <w:rsid w:val="00303323"/>
    <w:rsid w:val="00303426"/>
    <w:rsid w:val="00303512"/>
    <w:rsid w:val="00303C0E"/>
    <w:rsid w:val="00303D73"/>
    <w:rsid w:val="00303E85"/>
    <w:rsid w:val="003040BF"/>
    <w:rsid w:val="00304599"/>
    <w:rsid w:val="00304A94"/>
    <w:rsid w:val="00304C19"/>
    <w:rsid w:val="00304C88"/>
    <w:rsid w:val="00304CF3"/>
    <w:rsid w:val="00304DFC"/>
    <w:rsid w:val="00305449"/>
    <w:rsid w:val="0030553E"/>
    <w:rsid w:val="003055AC"/>
    <w:rsid w:val="00305B02"/>
    <w:rsid w:val="0030603A"/>
    <w:rsid w:val="00306249"/>
    <w:rsid w:val="0030630B"/>
    <w:rsid w:val="003066B0"/>
    <w:rsid w:val="00307C3E"/>
    <w:rsid w:val="00307E43"/>
    <w:rsid w:val="0031061A"/>
    <w:rsid w:val="00310EA4"/>
    <w:rsid w:val="00311138"/>
    <w:rsid w:val="00311321"/>
    <w:rsid w:val="003118E1"/>
    <w:rsid w:val="00312161"/>
    <w:rsid w:val="0031235D"/>
    <w:rsid w:val="003124F7"/>
    <w:rsid w:val="00312952"/>
    <w:rsid w:val="00312D4A"/>
    <w:rsid w:val="00313E8E"/>
    <w:rsid w:val="00313FF1"/>
    <w:rsid w:val="00314086"/>
    <w:rsid w:val="00314B12"/>
    <w:rsid w:val="00314E0C"/>
    <w:rsid w:val="003151AE"/>
    <w:rsid w:val="0031526D"/>
    <w:rsid w:val="003152CB"/>
    <w:rsid w:val="0031551E"/>
    <w:rsid w:val="0031589A"/>
    <w:rsid w:val="0031596B"/>
    <w:rsid w:val="00315996"/>
    <w:rsid w:val="003164D8"/>
    <w:rsid w:val="003169EC"/>
    <w:rsid w:val="00316A5E"/>
    <w:rsid w:val="00316DFF"/>
    <w:rsid w:val="0031703B"/>
    <w:rsid w:val="00317101"/>
    <w:rsid w:val="003171AE"/>
    <w:rsid w:val="0031730D"/>
    <w:rsid w:val="003175B6"/>
    <w:rsid w:val="00317A20"/>
    <w:rsid w:val="00320058"/>
    <w:rsid w:val="003200E8"/>
    <w:rsid w:val="00320235"/>
    <w:rsid w:val="00320290"/>
    <w:rsid w:val="003202BC"/>
    <w:rsid w:val="003205A0"/>
    <w:rsid w:val="003206CD"/>
    <w:rsid w:val="003207C7"/>
    <w:rsid w:val="0032082F"/>
    <w:rsid w:val="0032096D"/>
    <w:rsid w:val="00320E0C"/>
    <w:rsid w:val="00321205"/>
    <w:rsid w:val="0032122A"/>
    <w:rsid w:val="003214C5"/>
    <w:rsid w:val="00321631"/>
    <w:rsid w:val="00321E23"/>
    <w:rsid w:val="00321E3A"/>
    <w:rsid w:val="00322172"/>
    <w:rsid w:val="003225E1"/>
    <w:rsid w:val="00322612"/>
    <w:rsid w:val="00322E7D"/>
    <w:rsid w:val="00322EAF"/>
    <w:rsid w:val="003231BF"/>
    <w:rsid w:val="003238AC"/>
    <w:rsid w:val="00323A82"/>
    <w:rsid w:val="00323B7A"/>
    <w:rsid w:val="00323CE5"/>
    <w:rsid w:val="00323FF2"/>
    <w:rsid w:val="0032435F"/>
    <w:rsid w:val="00324863"/>
    <w:rsid w:val="00324988"/>
    <w:rsid w:val="00324B36"/>
    <w:rsid w:val="00324D79"/>
    <w:rsid w:val="00324E21"/>
    <w:rsid w:val="00324F27"/>
    <w:rsid w:val="0032505A"/>
    <w:rsid w:val="003252E7"/>
    <w:rsid w:val="003254FF"/>
    <w:rsid w:val="00325919"/>
    <w:rsid w:val="00325B51"/>
    <w:rsid w:val="00325CD6"/>
    <w:rsid w:val="0032617A"/>
    <w:rsid w:val="0032644D"/>
    <w:rsid w:val="0032680B"/>
    <w:rsid w:val="00326F35"/>
    <w:rsid w:val="00326F56"/>
    <w:rsid w:val="00327659"/>
    <w:rsid w:val="00327A58"/>
    <w:rsid w:val="00327C48"/>
    <w:rsid w:val="00327F71"/>
    <w:rsid w:val="003302D5"/>
    <w:rsid w:val="00330525"/>
    <w:rsid w:val="0033075B"/>
    <w:rsid w:val="0033077F"/>
    <w:rsid w:val="00331084"/>
    <w:rsid w:val="003310EC"/>
    <w:rsid w:val="00331251"/>
    <w:rsid w:val="003314ED"/>
    <w:rsid w:val="00331836"/>
    <w:rsid w:val="0033186F"/>
    <w:rsid w:val="003318E6"/>
    <w:rsid w:val="00331BD8"/>
    <w:rsid w:val="00331FCF"/>
    <w:rsid w:val="00332046"/>
    <w:rsid w:val="003320C4"/>
    <w:rsid w:val="0033213D"/>
    <w:rsid w:val="00332497"/>
    <w:rsid w:val="00332A68"/>
    <w:rsid w:val="00332A97"/>
    <w:rsid w:val="00332FD8"/>
    <w:rsid w:val="0033344A"/>
    <w:rsid w:val="003334F4"/>
    <w:rsid w:val="00333586"/>
    <w:rsid w:val="00333784"/>
    <w:rsid w:val="00333AD9"/>
    <w:rsid w:val="00333BF7"/>
    <w:rsid w:val="003343E1"/>
    <w:rsid w:val="00334508"/>
    <w:rsid w:val="003346BB"/>
    <w:rsid w:val="0033478B"/>
    <w:rsid w:val="00334A00"/>
    <w:rsid w:val="00334B6E"/>
    <w:rsid w:val="00334EE6"/>
    <w:rsid w:val="00335037"/>
    <w:rsid w:val="003353C7"/>
    <w:rsid w:val="00335D0A"/>
    <w:rsid w:val="00335E2B"/>
    <w:rsid w:val="00335ED3"/>
    <w:rsid w:val="00335F57"/>
    <w:rsid w:val="00335F59"/>
    <w:rsid w:val="003366F4"/>
    <w:rsid w:val="003366FF"/>
    <w:rsid w:val="00336A35"/>
    <w:rsid w:val="00336DBA"/>
    <w:rsid w:val="003372EF"/>
    <w:rsid w:val="00337446"/>
    <w:rsid w:val="0033746F"/>
    <w:rsid w:val="00337568"/>
    <w:rsid w:val="00337853"/>
    <w:rsid w:val="00337FA3"/>
    <w:rsid w:val="00340107"/>
    <w:rsid w:val="00340422"/>
    <w:rsid w:val="0034063F"/>
    <w:rsid w:val="00340822"/>
    <w:rsid w:val="00340993"/>
    <w:rsid w:val="00340C56"/>
    <w:rsid w:val="00340F16"/>
    <w:rsid w:val="003416B6"/>
    <w:rsid w:val="00341794"/>
    <w:rsid w:val="00341858"/>
    <w:rsid w:val="00342138"/>
    <w:rsid w:val="003422A8"/>
    <w:rsid w:val="00342571"/>
    <w:rsid w:val="00342A5C"/>
    <w:rsid w:val="00342B2F"/>
    <w:rsid w:val="00342C30"/>
    <w:rsid w:val="00342EA3"/>
    <w:rsid w:val="00342EA8"/>
    <w:rsid w:val="00343506"/>
    <w:rsid w:val="003436F0"/>
    <w:rsid w:val="00343767"/>
    <w:rsid w:val="00343A45"/>
    <w:rsid w:val="00343D5D"/>
    <w:rsid w:val="00343D81"/>
    <w:rsid w:val="00343EC9"/>
    <w:rsid w:val="003445C2"/>
    <w:rsid w:val="003445C6"/>
    <w:rsid w:val="00344C62"/>
    <w:rsid w:val="00344FCD"/>
    <w:rsid w:val="003452AA"/>
    <w:rsid w:val="00345425"/>
    <w:rsid w:val="003454BB"/>
    <w:rsid w:val="00346113"/>
    <w:rsid w:val="003461D7"/>
    <w:rsid w:val="003466D6"/>
    <w:rsid w:val="003469C0"/>
    <w:rsid w:val="00346AE3"/>
    <w:rsid w:val="00346BA2"/>
    <w:rsid w:val="00346EB0"/>
    <w:rsid w:val="00346F78"/>
    <w:rsid w:val="00347486"/>
    <w:rsid w:val="00347541"/>
    <w:rsid w:val="003477B6"/>
    <w:rsid w:val="00347957"/>
    <w:rsid w:val="00347973"/>
    <w:rsid w:val="003479FC"/>
    <w:rsid w:val="00347AE3"/>
    <w:rsid w:val="00347B95"/>
    <w:rsid w:val="00347F2C"/>
    <w:rsid w:val="00350889"/>
    <w:rsid w:val="00350A13"/>
    <w:rsid w:val="00350EC1"/>
    <w:rsid w:val="00351066"/>
    <w:rsid w:val="003512D4"/>
    <w:rsid w:val="0035159E"/>
    <w:rsid w:val="003515AC"/>
    <w:rsid w:val="003515BF"/>
    <w:rsid w:val="003516C7"/>
    <w:rsid w:val="003519F3"/>
    <w:rsid w:val="00351D24"/>
    <w:rsid w:val="00352585"/>
    <w:rsid w:val="003529EF"/>
    <w:rsid w:val="00352A08"/>
    <w:rsid w:val="00352C05"/>
    <w:rsid w:val="003530C2"/>
    <w:rsid w:val="00353827"/>
    <w:rsid w:val="0035384A"/>
    <w:rsid w:val="00353990"/>
    <w:rsid w:val="00353FF9"/>
    <w:rsid w:val="0035401E"/>
    <w:rsid w:val="003540E4"/>
    <w:rsid w:val="003547DB"/>
    <w:rsid w:val="00354CD8"/>
    <w:rsid w:val="00355421"/>
    <w:rsid w:val="0035599B"/>
    <w:rsid w:val="00355E11"/>
    <w:rsid w:val="00355E62"/>
    <w:rsid w:val="0035653B"/>
    <w:rsid w:val="003565CA"/>
    <w:rsid w:val="003567E6"/>
    <w:rsid w:val="00356C21"/>
    <w:rsid w:val="00356E0A"/>
    <w:rsid w:val="00356E83"/>
    <w:rsid w:val="003575B6"/>
    <w:rsid w:val="0035774F"/>
    <w:rsid w:val="00357AED"/>
    <w:rsid w:val="00357C2C"/>
    <w:rsid w:val="00357DD1"/>
    <w:rsid w:val="00357F21"/>
    <w:rsid w:val="003601A8"/>
    <w:rsid w:val="00360571"/>
    <w:rsid w:val="003606AF"/>
    <w:rsid w:val="00360888"/>
    <w:rsid w:val="00360B54"/>
    <w:rsid w:val="00360B99"/>
    <w:rsid w:val="0036100F"/>
    <w:rsid w:val="0036110B"/>
    <w:rsid w:val="00361238"/>
    <w:rsid w:val="003614C0"/>
    <w:rsid w:val="00361558"/>
    <w:rsid w:val="0036182F"/>
    <w:rsid w:val="0036193E"/>
    <w:rsid w:val="00361980"/>
    <w:rsid w:val="00361BFD"/>
    <w:rsid w:val="00361E48"/>
    <w:rsid w:val="00362066"/>
    <w:rsid w:val="0036220B"/>
    <w:rsid w:val="00362295"/>
    <w:rsid w:val="00362392"/>
    <w:rsid w:val="003627AF"/>
    <w:rsid w:val="003627CF"/>
    <w:rsid w:val="0036330F"/>
    <w:rsid w:val="00363590"/>
    <w:rsid w:val="00363607"/>
    <w:rsid w:val="00363CC3"/>
    <w:rsid w:val="00364160"/>
    <w:rsid w:val="00364236"/>
    <w:rsid w:val="0036448C"/>
    <w:rsid w:val="003644AD"/>
    <w:rsid w:val="00364BBB"/>
    <w:rsid w:val="00364D5F"/>
    <w:rsid w:val="00365435"/>
    <w:rsid w:val="00365592"/>
    <w:rsid w:val="0036582C"/>
    <w:rsid w:val="00365C4D"/>
    <w:rsid w:val="00365F2C"/>
    <w:rsid w:val="00365FF9"/>
    <w:rsid w:val="00366030"/>
    <w:rsid w:val="0036617F"/>
    <w:rsid w:val="003661DD"/>
    <w:rsid w:val="003664C2"/>
    <w:rsid w:val="00366575"/>
    <w:rsid w:val="0036670D"/>
    <w:rsid w:val="00366DDE"/>
    <w:rsid w:val="00366FFF"/>
    <w:rsid w:val="0036750E"/>
    <w:rsid w:val="003677E8"/>
    <w:rsid w:val="00367AFA"/>
    <w:rsid w:val="00367BEC"/>
    <w:rsid w:val="00367EC6"/>
    <w:rsid w:val="003700FA"/>
    <w:rsid w:val="00370486"/>
    <w:rsid w:val="003704B0"/>
    <w:rsid w:val="003708C8"/>
    <w:rsid w:val="003708FC"/>
    <w:rsid w:val="00371150"/>
    <w:rsid w:val="00371224"/>
    <w:rsid w:val="00371784"/>
    <w:rsid w:val="00371864"/>
    <w:rsid w:val="0037199A"/>
    <w:rsid w:val="003719B8"/>
    <w:rsid w:val="00371EFE"/>
    <w:rsid w:val="003724EA"/>
    <w:rsid w:val="0037285E"/>
    <w:rsid w:val="00372AA7"/>
    <w:rsid w:val="00372ECD"/>
    <w:rsid w:val="003733A9"/>
    <w:rsid w:val="003734DB"/>
    <w:rsid w:val="00373A1A"/>
    <w:rsid w:val="00373B26"/>
    <w:rsid w:val="00373E5D"/>
    <w:rsid w:val="00373E65"/>
    <w:rsid w:val="00373EF2"/>
    <w:rsid w:val="00373F1F"/>
    <w:rsid w:val="0037406F"/>
    <w:rsid w:val="00374406"/>
    <w:rsid w:val="00374542"/>
    <w:rsid w:val="003745A2"/>
    <w:rsid w:val="00374D6B"/>
    <w:rsid w:val="00374DEC"/>
    <w:rsid w:val="003750DF"/>
    <w:rsid w:val="003755F4"/>
    <w:rsid w:val="00375B0B"/>
    <w:rsid w:val="00375DBA"/>
    <w:rsid w:val="00375E9B"/>
    <w:rsid w:val="00376134"/>
    <w:rsid w:val="003767A8"/>
    <w:rsid w:val="003767C5"/>
    <w:rsid w:val="00376947"/>
    <w:rsid w:val="00376A20"/>
    <w:rsid w:val="00376C09"/>
    <w:rsid w:val="00376CC3"/>
    <w:rsid w:val="003770AF"/>
    <w:rsid w:val="003770B8"/>
    <w:rsid w:val="00377186"/>
    <w:rsid w:val="0037780E"/>
    <w:rsid w:val="00377B70"/>
    <w:rsid w:val="00377D33"/>
    <w:rsid w:val="00380115"/>
    <w:rsid w:val="00380514"/>
    <w:rsid w:val="003807DF"/>
    <w:rsid w:val="00380A1B"/>
    <w:rsid w:val="00380A22"/>
    <w:rsid w:val="00380B05"/>
    <w:rsid w:val="00380B0A"/>
    <w:rsid w:val="00380BCC"/>
    <w:rsid w:val="00380D3A"/>
    <w:rsid w:val="00380F85"/>
    <w:rsid w:val="00381088"/>
    <w:rsid w:val="003817DE"/>
    <w:rsid w:val="00381BA1"/>
    <w:rsid w:val="00381E30"/>
    <w:rsid w:val="00381EF3"/>
    <w:rsid w:val="0038234C"/>
    <w:rsid w:val="00382481"/>
    <w:rsid w:val="00382717"/>
    <w:rsid w:val="00382D3D"/>
    <w:rsid w:val="00382D80"/>
    <w:rsid w:val="00382EB6"/>
    <w:rsid w:val="003838CE"/>
    <w:rsid w:val="00383C06"/>
    <w:rsid w:val="003841A5"/>
    <w:rsid w:val="0038474C"/>
    <w:rsid w:val="0038482A"/>
    <w:rsid w:val="00384DBF"/>
    <w:rsid w:val="00385254"/>
    <w:rsid w:val="003853E8"/>
    <w:rsid w:val="00385414"/>
    <w:rsid w:val="00385546"/>
    <w:rsid w:val="00385665"/>
    <w:rsid w:val="00385D02"/>
    <w:rsid w:val="00385EFB"/>
    <w:rsid w:val="0038672F"/>
    <w:rsid w:val="00386928"/>
    <w:rsid w:val="003869F8"/>
    <w:rsid w:val="00386D27"/>
    <w:rsid w:val="00386FC2"/>
    <w:rsid w:val="00386FD0"/>
    <w:rsid w:val="003872E9"/>
    <w:rsid w:val="00387328"/>
    <w:rsid w:val="003873F2"/>
    <w:rsid w:val="0038744E"/>
    <w:rsid w:val="003876EF"/>
    <w:rsid w:val="00387D29"/>
    <w:rsid w:val="00387FD2"/>
    <w:rsid w:val="00390075"/>
    <w:rsid w:val="0039089B"/>
    <w:rsid w:val="00390BAF"/>
    <w:rsid w:val="00391027"/>
    <w:rsid w:val="003915D6"/>
    <w:rsid w:val="00391645"/>
    <w:rsid w:val="003916AA"/>
    <w:rsid w:val="00391DAB"/>
    <w:rsid w:val="00391FAE"/>
    <w:rsid w:val="00391FB3"/>
    <w:rsid w:val="00392395"/>
    <w:rsid w:val="00392426"/>
    <w:rsid w:val="003926CF"/>
    <w:rsid w:val="00392CD6"/>
    <w:rsid w:val="003931B1"/>
    <w:rsid w:val="003931CF"/>
    <w:rsid w:val="003931DE"/>
    <w:rsid w:val="003931F2"/>
    <w:rsid w:val="003934FF"/>
    <w:rsid w:val="003937D9"/>
    <w:rsid w:val="00393C02"/>
    <w:rsid w:val="00393D3D"/>
    <w:rsid w:val="00393FDB"/>
    <w:rsid w:val="00394146"/>
    <w:rsid w:val="00394750"/>
    <w:rsid w:val="003947BE"/>
    <w:rsid w:val="00394A0F"/>
    <w:rsid w:val="0039526F"/>
    <w:rsid w:val="00395338"/>
    <w:rsid w:val="0039564F"/>
    <w:rsid w:val="003959C1"/>
    <w:rsid w:val="00395CB8"/>
    <w:rsid w:val="00395F54"/>
    <w:rsid w:val="00396013"/>
    <w:rsid w:val="00396183"/>
    <w:rsid w:val="003961B3"/>
    <w:rsid w:val="003962AD"/>
    <w:rsid w:val="0039634E"/>
    <w:rsid w:val="0039669F"/>
    <w:rsid w:val="003967FE"/>
    <w:rsid w:val="00396AB7"/>
    <w:rsid w:val="00396B86"/>
    <w:rsid w:val="00396D1A"/>
    <w:rsid w:val="00397273"/>
    <w:rsid w:val="0039737A"/>
    <w:rsid w:val="003975C1"/>
    <w:rsid w:val="003976F9"/>
    <w:rsid w:val="00397769"/>
    <w:rsid w:val="00397857"/>
    <w:rsid w:val="003979CA"/>
    <w:rsid w:val="00397B60"/>
    <w:rsid w:val="003A020A"/>
    <w:rsid w:val="003A02CB"/>
    <w:rsid w:val="003A0ED1"/>
    <w:rsid w:val="003A1600"/>
    <w:rsid w:val="003A1671"/>
    <w:rsid w:val="003A175F"/>
    <w:rsid w:val="003A185A"/>
    <w:rsid w:val="003A1998"/>
    <w:rsid w:val="003A1BCE"/>
    <w:rsid w:val="003A1DB5"/>
    <w:rsid w:val="003A237E"/>
    <w:rsid w:val="003A2495"/>
    <w:rsid w:val="003A2837"/>
    <w:rsid w:val="003A28A7"/>
    <w:rsid w:val="003A2C01"/>
    <w:rsid w:val="003A3844"/>
    <w:rsid w:val="003A3AAB"/>
    <w:rsid w:val="003A3B5E"/>
    <w:rsid w:val="003A3CE1"/>
    <w:rsid w:val="003A4547"/>
    <w:rsid w:val="003A48B0"/>
    <w:rsid w:val="003A4CBF"/>
    <w:rsid w:val="003A4F09"/>
    <w:rsid w:val="003A50D3"/>
    <w:rsid w:val="003A5548"/>
    <w:rsid w:val="003A57C2"/>
    <w:rsid w:val="003A5B6A"/>
    <w:rsid w:val="003A5D9E"/>
    <w:rsid w:val="003A5E3B"/>
    <w:rsid w:val="003A6509"/>
    <w:rsid w:val="003A685B"/>
    <w:rsid w:val="003A6A6E"/>
    <w:rsid w:val="003A6EB3"/>
    <w:rsid w:val="003A7084"/>
    <w:rsid w:val="003A730C"/>
    <w:rsid w:val="003A78F8"/>
    <w:rsid w:val="003A7A0B"/>
    <w:rsid w:val="003A7B86"/>
    <w:rsid w:val="003A7C56"/>
    <w:rsid w:val="003A7D73"/>
    <w:rsid w:val="003B005C"/>
    <w:rsid w:val="003B063D"/>
    <w:rsid w:val="003B0B96"/>
    <w:rsid w:val="003B18AB"/>
    <w:rsid w:val="003B1A7D"/>
    <w:rsid w:val="003B1B83"/>
    <w:rsid w:val="003B1C3E"/>
    <w:rsid w:val="003B2331"/>
    <w:rsid w:val="003B2C12"/>
    <w:rsid w:val="003B2D03"/>
    <w:rsid w:val="003B32C5"/>
    <w:rsid w:val="003B38C6"/>
    <w:rsid w:val="003B3A82"/>
    <w:rsid w:val="003B3DA5"/>
    <w:rsid w:val="003B3DC6"/>
    <w:rsid w:val="003B3E29"/>
    <w:rsid w:val="003B487D"/>
    <w:rsid w:val="003B48D3"/>
    <w:rsid w:val="003B4C6E"/>
    <w:rsid w:val="003B4FDC"/>
    <w:rsid w:val="003B5F65"/>
    <w:rsid w:val="003B606E"/>
    <w:rsid w:val="003B60A2"/>
    <w:rsid w:val="003B6263"/>
    <w:rsid w:val="003B63C7"/>
    <w:rsid w:val="003B678D"/>
    <w:rsid w:val="003B68E0"/>
    <w:rsid w:val="003B72DA"/>
    <w:rsid w:val="003B75A3"/>
    <w:rsid w:val="003B7FB3"/>
    <w:rsid w:val="003B7FF8"/>
    <w:rsid w:val="003C024B"/>
    <w:rsid w:val="003C11C4"/>
    <w:rsid w:val="003C178F"/>
    <w:rsid w:val="003C1BDC"/>
    <w:rsid w:val="003C1D27"/>
    <w:rsid w:val="003C20D1"/>
    <w:rsid w:val="003C22AC"/>
    <w:rsid w:val="003C274B"/>
    <w:rsid w:val="003C2867"/>
    <w:rsid w:val="003C28CC"/>
    <w:rsid w:val="003C2EE2"/>
    <w:rsid w:val="003C3554"/>
    <w:rsid w:val="003C360F"/>
    <w:rsid w:val="003C405C"/>
    <w:rsid w:val="003C407D"/>
    <w:rsid w:val="003C40A4"/>
    <w:rsid w:val="003C4236"/>
    <w:rsid w:val="003C4516"/>
    <w:rsid w:val="003C49A5"/>
    <w:rsid w:val="003C54E8"/>
    <w:rsid w:val="003C5517"/>
    <w:rsid w:val="003C5D20"/>
    <w:rsid w:val="003C6119"/>
    <w:rsid w:val="003C62AC"/>
    <w:rsid w:val="003C756D"/>
    <w:rsid w:val="003C795F"/>
    <w:rsid w:val="003C7A91"/>
    <w:rsid w:val="003C7E48"/>
    <w:rsid w:val="003D0301"/>
    <w:rsid w:val="003D055F"/>
    <w:rsid w:val="003D08A1"/>
    <w:rsid w:val="003D0D03"/>
    <w:rsid w:val="003D0D77"/>
    <w:rsid w:val="003D0EA6"/>
    <w:rsid w:val="003D1042"/>
    <w:rsid w:val="003D1076"/>
    <w:rsid w:val="003D1924"/>
    <w:rsid w:val="003D1BFB"/>
    <w:rsid w:val="003D225C"/>
    <w:rsid w:val="003D25C1"/>
    <w:rsid w:val="003D2657"/>
    <w:rsid w:val="003D29CC"/>
    <w:rsid w:val="003D333B"/>
    <w:rsid w:val="003D34D7"/>
    <w:rsid w:val="003D3641"/>
    <w:rsid w:val="003D3A29"/>
    <w:rsid w:val="003D3BA6"/>
    <w:rsid w:val="003D41EA"/>
    <w:rsid w:val="003D4320"/>
    <w:rsid w:val="003D4AFF"/>
    <w:rsid w:val="003D4B02"/>
    <w:rsid w:val="003D525E"/>
    <w:rsid w:val="003D54ED"/>
    <w:rsid w:val="003D59E8"/>
    <w:rsid w:val="003D600D"/>
    <w:rsid w:val="003D6209"/>
    <w:rsid w:val="003D627F"/>
    <w:rsid w:val="003D6687"/>
    <w:rsid w:val="003D68B2"/>
    <w:rsid w:val="003D6AD2"/>
    <w:rsid w:val="003D6D3C"/>
    <w:rsid w:val="003D6EFA"/>
    <w:rsid w:val="003D73DD"/>
    <w:rsid w:val="003D78B3"/>
    <w:rsid w:val="003D7CED"/>
    <w:rsid w:val="003D7F0C"/>
    <w:rsid w:val="003E026B"/>
    <w:rsid w:val="003E03FE"/>
    <w:rsid w:val="003E044B"/>
    <w:rsid w:val="003E0979"/>
    <w:rsid w:val="003E0D3F"/>
    <w:rsid w:val="003E0D7E"/>
    <w:rsid w:val="003E0E46"/>
    <w:rsid w:val="003E17D6"/>
    <w:rsid w:val="003E1B03"/>
    <w:rsid w:val="003E1B80"/>
    <w:rsid w:val="003E1C4C"/>
    <w:rsid w:val="003E28C8"/>
    <w:rsid w:val="003E2D72"/>
    <w:rsid w:val="003E2EAC"/>
    <w:rsid w:val="003E30FD"/>
    <w:rsid w:val="003E322E"/>
    <w:rsid w:val="003E33AB"/>
    <w:rsid w:val="003E3400"/>
    <w:rsid w:val="003E343B"/>
    <w:rsid w:val="003E379C"/>
    <w:rsid w:val="003E3C6A"/>
    <w:rsid w:val="003E445D"/>
    <w:rsid w:val="003E446B"/>
    <w:rsid w:val="003E4BB0"/>
    <w:rsid w:val="003E4CAA"/>
    <w:rsid w:val="003E5589"/>
    <w:rsid w:val="003E55CD"/>
    <w:rsid w:val="003E55D8"/>
    <w:rsid w:val="003E5A68"/>
    <w:rsid w:val="003E5CA2"/>
    <w:rsid w:val="003E5FD4"/>
    <w:rsid w:val="003E6A59"/>
    <w:rsid w:val="003E6AA9"/>
    <w:rsid w:val="003E6C4A"/>
    <w:rsid w:val="003E6DA1"/>
    <w:rsid w:val="003E6EF3"/>
    <w:rsid w:val="003E6F65"/>
    <w:rsid w:val="003E6FE6"/>
    <w:rsid w:val="003E7092"/>
    <w:rsid w:val="003E7178"/>
    <w:rsid w:val="003E726D"/>
    <w:rsid w:val="003E72A4"/>
    <w:rsid w:val="003E7521"/>
    <w:rsid w:val="003E7A4D"/>
    <w:rsid w:val="003E7B76"/>
    <w:rsid w:val="003E7BD7"/>
    <w:rsid w:val="003F03BC"/>
    <w:rsid w:val="003F046D"/>
    <w:rsid w:val="003F0595"/>
    <w:rsid w:val="003F0675"/>
    <w:rsid w:val="003F0BF4"/>
    <w:rsid w:val="003F0C88"/>
    <w:rsid w:val="003F0D63"/>
    <w:rsid w:val="003F10CD"/>
    <w:rsid w:val="003F1403"/>
    <w:rsid w:val="003F18C3"/>
    <w:rsid w:val="003F19E2"/>
    <w:rsid w:val="003F24CC"/>
    <w:rsid w:val="003F24D7"/>
    <w:rsid w:val="003F2912"/>
    <w:rsid w:val="003F2A12"/>
    <w:rsid w:val="003F3000"/>
    <w:rsid w:val="003F30CA"/>
    <w:rsid w:val="003F3136"/>
    <w:rsid w:val="003F38A2"/>
    <w:rsid w:val="003F391F"/>
    <w:rsid w:val="003F3DAF"/>
    <w:rsid w:val="003F442B"/>
    <w:rsid w:val="003F47E2"/>
    <w:rsid w:val="003F485A"/>
    <w:rsid w:val="003F4BC0"/>
    <w:rsid w:val="003F4C84"/>
    <w:rsid w:val="003F51C7"/>
    <w:rsid w:val="003F5216"/>
    <w:rsid w:val="003F554B"/>
    <w:rsid w:val="003F57EB"/>
    <w:rsid w:val="003F585C"/>
    <w:rsid w:val="003F587B"/>
    <w:rsid w:val="003F5A47"/>
    <w:rsid w:val="003F5A59"/>
    <w:rsid w:val="003F61C3"/>
    <w:rsid w:val="003F6A05"/>
    <w:rsid w:val="003F7014"/>
    <w:rsid w:val="003F72E2"/>
    <w:rsid w:val="003F769D"/>
    <w:rsid w:val="003F7ED8"/>
    <w:rsid w:val="00400546"/>
    <w:rsid w:val="00400584"/>
    <w:rsid w:val="00400935"/>
    <w:rsid w:val="0040096E"/>
    <w:rsid w:val="00400D28"/>
    <w:rsid w:val="00400FF4"/>
    <w:rsid w:val="004014D0"/>
    <w:rsid w:val="004015C1"/>
    <w:rsid w:val="004016D1"/>
    <w:rsid w:val="00401736"/>
    <w:rsid w:val="00401BDA"/>
    <w:rsid w:val="00401CDB"/>
    <w:rsid w:val="004020BF"/>
    <w:rsid w:val="0040211A"/>
    <w:rsid w:val="00402B3C"/>
    <w:rsid w:val="00402C71"/>
    <w:rsid w:val="00402E48"/>
    <w:rsid w:val="00403DE8"/>
    <w:rsid w:val="0040459D"/>
    <w:rsid w:val="004045E3"/>
    <w:rsid w:val="0040474F"/>
    <w:rsid w:val="00404860"/>
    <w:rsid w:val="00404B11"/>
    <w:rsid w:val="004051C4"/>
    <w:rsid w:val="004053CB"/>
    <w:rsid w:val="004053DF"/>
    <w:rsid w:val="00405646"/>
    <w:rsid w:val="00405CE2"/>
    <w:rsid w:val="00405D25"/>
    <w:rsid w:val="00406541"/>
    <w:rsid w:val="00406612"/>
    <w:rsid w:val="00406642"/>
    <w:rsid w:val="0040668D"/>
    <w:rsid w:val="00406702"/>
    <w:rsid w:val="00406DC4"/>
    <w:rsid w:val="00406E6C"/>
    <w:rsid w:val="00406EE8"/>
    <w:rsid w:val="004070AC"/>
    <w:rsid w:val="00407230"/>
    <w:rsid w:val="00407376"/>
    <w:rsid w:val="00407492"/>
    <w:rsid w:val="004078A0"/>
    <w:rsid w:val="0040792D"/>
    <w:rsid w:val="00407D11"/>
    <w:rsid w:val="00407E15"/>
    <w:rsid w:val="004101D5"/>
    <w:rsid w:val="004106D9"/>
    <w:rsid w:val="00410D9D"/>
    <w:rsid w:val="00410DF1"/>
    <w:rsid w:val="004111F1"/>
    <w:rsid w:val="00411FD4"/>
    <w:rsid w:val="004128E4"/>
    <w:rsid w:val="0041293D"/>
    <w:rsid w:val="00412EAD"/>
    <w:rsid w:val="004130C0"/>
    <w:rsid w:val="00413201"/>
    <w:rsid w:val="004133D6"/>
    <w:rsid w:val="004135AE"/>
    <w:rsid w:val="004140A8"/>
    <w:rsid w:val="00414103"/>
    <w:rsid w:val="0041465D"/>
    <w:rsid w:val="00414789"/>
    <w:rsid w:val="004147F2"/>
    <w:rsid w:val="00414AFF"/>
    <w:rsid w:val="00414F24"/>
    <w:rsid w:val="00415001"/>
    <w:rsid w:val="00415118"/>
    <w:rsid w:val="00415268"/>
    <w:rsid w:val="004152D8"/>
    <w:rsid w:val="00415E8F"/>
    <w:rsid w:val="004162D6"/>
    <w:rsid w:val="00416456"/>
    <w:rsid w:val="00416655"/>
    <w:rsid w:val="00416737"/>
    <w:rsid w:val="004168C0"/>
    <w:rsid w:val="00417332"/>
    <w:rsid w:val="00417429"/>
    <w:rsid w:val="00417461"/>
    <w:rsid w:val="004179C0"/>
    <w:rsid w:val="00417BCA"/>
    <w:rsid w:val="00417E7D"/>
    <w:rsid w:val="004201A3"/>
    <w:rsid w:val="004210B4"/>
    <w:rsid w:val="004214A7"/>
    <w:rsid w:val="00421507"/>
    <w:rsid w:val="0042188A"/>
    <w:rsid w:val="00421A66"/>
    <w:rsid w:val="00421CB2"/>
    <w:rsid w:val="00421D28"/>
    <w:rsid w:val="004221B3"/>
    <w:rsid w:val="0042260C"/>
    <w:rsid w:val="00422811"/>
    <w:rsid w:val="004231A3"/>
    <w:rsid w:val="004233EA"/>
    <w:rsid w:val="004235BC"/>
    <w:rsid w:val="0042380A"/>
    <w:rsid w:val="00423888"/>
    <w:rsid w:val="00423FB7"/>
    <w:rsid w:val="0042428F"/>
    <w:rsid w:val="004247EC"/>
    <w:rsid w:val="00424CD9"/>
    <w:rsid w:val="00424E8B"/>
    <w:rsid w:val="00424F6B"/>
    <w:rsid w:val="0042514A"/>
    <w:rsid w:val="0042523C"/>
    <w:rsid w:val="0042551C"/>
    <w:rsid w:val="004257D2"/>
    <w:rsid w:val="004257D5"/>
    <w:rsid w:val="00425883"/>
    <w:rsid w:val="00425C2F"/>
    <w:rsid w:val="00425E48"/>
    <w:rsid w:val="00425FC1"/>
    <w:rsid w:val="004262E8"/>
    <w:rsid w:val="004266A8"/>
    <w:rsid w:val="00426AF4"/>
    <w:rsid w:val="00426E38"/>
    <w:rsid w:val="00427254"/>
    <w:rsid w:val="004272E2"/>
    <w:rsid w:val="0042761F"/>
    <w:rsid w:val="0043015D"/>
    <w:rsid w:val="004309B1"/>
    <w:rsid w:val="00430D37"/>
    <w:rsid w:val="00430FEC"/>
    <w:rsid w:val="004313B3"/>
    <w:rsid w:val="0043199A"/>
    <w:rsid w:val="00431C36"/>
    <w:rsid w:val="00431C7A"/>
    <w:rsid w:val="00431FBE"/>
    <w:rsid w:val="004325E1"/>
    <w:rsid w:val="004326CE"/>
    <w:rsid w:val="00432760"/>
    <w:rsid w:val="00432F06"/>
    <w:rsid w:val="00433429"/>
    <w:rsid w:val="004336CF"/>
    <w:rsid w:val="00433952"/>
    <w:rsid w:val="00433A7B"/>
    <w:rsid w:val="00433ABF"/>
    <w:rsid w:val="00433DF0"/>
    <w:rsid w:val="0043408E"/>
    <w:rsid w:val="0043419C"/>
    <w:rsid w:val="00434387"/>
    <w:rsid w:val="004348CA"/>
    <w:rsid w:val="00434EAD"/>
    <w:rsid w:val="0043577A"/>
    <w:rsid w:val="00435B83"/>
    <w:rsid w:val="00435F6C"/>
    <w:rsid w:val="0043604C"/>
    <w:rsid w:val="0043626A"/>
    <w:rsid w:val="00436608"/>
    <w:rsid w:val="00436849"/>
    <w:rsid w:val="00436FFA"/>
    <w:rsid w:val="00437675"/>
    <w:rsid w:val="004379A4"/>
    <w:rsid w:val="00437FAE"/>
    <w:rsid w:val="004401CB"/>
    <w:rsid w:val="004401F9"/>
    <w:rsid w:val="00441031"/>
    <w:rsid w:val="004412D8"/>
    <w:rsid w:val="004416AA"/>
    <w:rsid w:val="004417A8"/>
    <w:rsid w:val="004419EA"/>
    <w:rsid w:val="00441E49"/>
    <w:rsid w:val="00442020"/>
    <w:rsid w:val="00442106"/>
    <w:rsid w:val="0044224E"/>
    <w:rsid w:val="00442327"/>
    <w:rsid w:val="00442504"/>
    <w:rsid w:val="004427EC"/>
    <w:rsid w:val="004428A2"/>
    <w:rsid w:val="00442B9B"/>
    <w:rsid w:val="00442BBD"/>
    <w:rsid w:val="00442BF8"/>
    <w:rsid w:val="004431CD"/>
    <w:rsid w:val="00443354"/>
    <w:rsid w:val="004434B0"/>
    <w:rsid w:val="00443658"/>
    <w:rsid w:val="0044378F"/>
    <w:rsid w:val="004438F0"/>
    <w:rsid w:val="00443ACF"/>
    <w:rsid w:val="00443EFF"/>
    <w:rsid w:val="004442F8"/>
    <w:rsid w:val="00444396"/>
    <w:rsid w:val="00444864"/>
    <w:rsid w:val="004449AF"/>
    <w:rsid w:val="00444A28"/>
    <w:rsid w:val="00444B95"/>
    <w:rsid w:val="00444D85"/>
    <w:rsid w:val="00445242"/>
    <w:rsid w:val="004452ED"/>
    <w:rsid w:val="0044574C"/>
    <w:rsid w:val="004458F9"/>
    <w:rsid w:val="00445926"/>
    <w:rsid w:val="00445AE5"/>
    <w:rsid w:val="00445E48"/>
    <w:rsid w:val="00445EF8"/>
    <w:rsid w:val="004466F3"/>
    <w:rsid w:val="00446719"/>
    <w:rsid w:val="004469FF"/>
    <w:rsid w:val="00446BEF"/>
    <w:rsid w:val="00447F31"/>
    <w:rsid w:val="00451146"/>
    <w:rsid w:val="00451796"/>
    <w:rsid w:val="0045179B"/>
    <w:rsid w:val="004517EE"/>
    <w:rsid w:val="00451895"/>
    <w:rsid w:val="00452085"/>
    <w:rsid w:val="0045219D"/>
    <w:rsid w:val="00452289"/>
    <w:rsid w:val="004527B1"/>
    <w:rsid w:val="00452EC6"/>
    <w:rsid w:val="00452F41"/>
    <w:rsid w:val="00453270"/>
    <w:rsid w:val="0045370D"/>
    <w:rsid w:val="00453A45"/>
    <w:rsid w:val="00453D68"/>
    <w:rsid w:val="00453E28"/>
    <w:rsid w:val="00454741"/>
    <w:rsid w:val="0045483C"/>
    <w:rsid w:val="00454A9B"/>
    <w:rsid w:val="00454D66"/>
    <w:rsid w:val="00454EE3"/>
    <w:rsid w:val="00454FDD"/>
    <w:rsid w:val="004551A1"/>
    <w:rsid w:val="0045545E"/>
    <w:rsid w:val="004558B1"/>
    <w:rsid w:val="00455E2C"/>
    <w:rsid w:val="00456180"/>
    <w:rsid w:val="00456286"/>
    <w:rsid w:val="0045628E"/>
    <w:rsid w:val="00456752"/>
    <w:rsid w:val="00456A71"/>
    <w:rsid w:val="00456D7F"/>
    <w:rsid w:val="004571BC"/>
    <w:rsid w:val="00457240"/>
    <w:rsid w:val="0045771F"/>
    <w:rsid w:val="00457F6E"/>
    <w:rsid w:val="00460061"/>
    <w:rsid w:val="00460097"/>
    <w:rsid w:val="00460407"/>
    <w:rsid w:val="004604F2"/>
    <w:rsid w:val="004607D6"/>
    <w:rsid w:val="004609EF"/>
    <w:rsid w:val="00460A6A"/>
    <w:rsid w:val="00460B8B"/>
    <w:rsid w:val="00460BAC"/>
    <w:rsid w:val="0046146E"/>
    <w:rsid w:val="00461887"/>
    <w:rsid w:val="00461B08"/>
    <w:rsid w:val="00461C3E"/>
    <w:rsid w:val="00462187"/>
    <w:rsid w:val="0046240C"/>
    <w:rsid w:val="004624CE"/>
    <w:rsid w:val="00462599"/>
    <w:rsid w:val="00462AAD"/>
    <w:rsid w:val="00462B2E"/>
    <w:rsid w:val="00462D0C"/>
    <w:rsid w:val="00462E11"/>
    <w:rsid w:val="004630B5"/>
    <w:rsid w:val="0046328A"/>
    <w:rsid w:val="00463BE0"/>
    <w:rsid w:val="00463C0D"/>
    <w:rsid w:val="00463CC4"/>
    <w:rsid w:val="00463F9A"/>
    <w:rsid w:val="00463FC0"/>
    <w:rsid w:val="00464006"/>
    <w:rsid w:val="004642AC"/>
    <w:rsid w:val="0046448E"/>
    <w:rsid w:val="004645DA"/>
    <w:rsid w:val="0046469D"/>
    <w:rsid w:val="00464968"/>
    <w:rsid w:val="00464AB5"/>
    <w:rsid w:val="00464C42"/>
    <w:rsid w:val="00465241"/>
    <w:rsid w:val="004653BF"/>
    <w:rsid w:val="00465402"/>
    <w:rsid w:val="004655DF"/>
    <w:rsid w:val="00465ADE"/>
    <w:rsid w:val="00465B56"/>
    <w:rsid w:val="00465EEC"/>
    <w:rsid w:val="00466183"/>
    <w:rsid w:val="004667AF"/>
    <w:rsid w:val="00466C8C"/>
    <w:rsid w:val="00466DF4"/>
    <w:rsid w:val="00466E20"/>
    <w:rsid w:val="00467060"/>
    <w:rsid w:val="004670B3"/>
    <w:rsid w:val="004677BD"/>
    <w:rsid w:val="00470016"/>
    <w:rsid w:val="00470543"/>
    <w:rsid w:val="00470564"/>
    <w:rsid w:val="004707B9"/>
    <w:rsid w:val="00470B8C"/>
    <w:rsid w:val="00470E9B"/>
    <w:rsid w:val="004715B6"/>
    <w:rsid w:val="004720C5"/>
    <w:rsid w:val="00472386"/>
    <w:rsid w:val="004726E7"/>
    <w:rsid w:val="00472933"/>
    <w:rsid w:val="00472A60"/>
    <w:rsid w:val="00472AB5"/>
    <w:rsid w:val="00472B8B"/>
    <w:rsid w:val="0047339C"/>
    <w:rsid w:val="004735DF"/>
    <w:rsid w:val="0047366C"/>
    <w:rsid w:val="004736AF"/>
    <w:rsid w:val="00473A6C"/>
    <w:rsid w:val="00473DCD"/>
    <w:rsid w:val="0047427B"/>
    <w:rsid w:val="00474427"/>
    <w:rsid w:val="00474659"/>
    <w:rsid w:val="0047475C"/>
    <w:rsid w:val="004752DD"/>
    <w:rsid w:val="00475657"/>
    <w:rsid w:val="00475B8D"/>
    <w:rsid w:val="00476248"/>
    <w:rsid w:val="004762C5"/>
    <w:rsid w:val="00476B50"/>
    <w:rsid w:val="00476E1C"/>
    <w:rsid w:val="00477433"/>
    <w:rsid w:val="0047754F"/>
    <w:rsid w:val="00477558"/>
    <w:rsid w:val="004776C2"/>
    <w:rsid w:val="00477718"/>
    <w:rsid w:val="004778ED"/>
    <w:rsid w:val="00477917"/>
    <w:rsid w:val="00477C9B"/>
    <w:rsid w:val="00477EE4"/>
    <w:rsid w:val="004804CB"/>
    <w:rsid w:val="00480635"/>
    <w:rsid w:val="00480799"/>
    <w:rsid w:val="004807A2"/>
    <w:rsid w:val="00480CA0"/>
    <w:rsid w:val="00480E47"/>
    <w:rsid w:val="004813DC"/>
    <w:rsid w:val="00481520"/>
    <w:rsid w:val="00481547"/>
    <w:rsid w:val="00481785"/>
    <w:rsid w:val="00481F95"/>
    <w:rsid w:val="00482AFC"/>
    <w:rsid w:val="00483315"/>
    <w:rsid w:val="004834FE"/>
    <w:rsid w:val="00483C4C"/>
    <w:rsid w:val="00483DEF"/>
    <w:rsid w:val="00483E77"/>
    <w:rsid w:val="00484263"/>
    <w:rsid w:val="00484356"/>
    <w:rsid w:val="00484480"/>
    <w:rsid w:val="0048470A"/>
    <w:rsid w:val="004847DA"/>
    <w:rsid w:val="00484A50"/>
    <w:rsid w:val="00484BF4"/>
    <w:rsid w:val="00484DC0"/>
    <w:rsid w:val="004850F3"/>
    <w:rsid w:val="0048531E"/>
    <w:rsid w:val="0048569F"/>
    <w:rsid w:val="0048578F"/>
    <w:rsid w:val="004857CB"/>
    <w:rsid w:val="0048584E"/>
    <w:rsid w:val="00485970"/>
    <w:rsid w:val="00485D1B"/>
    <w:rsid w:val="00485E33"/>
    <w:rsid w:val="00485FCF"/>
    <w:rsid w:val="00486144"/>
    <w:rsid w:val="004861E2"/>
    <w:rsid w:val="00486B1D"/>
    <w:rsid w:val="0048761C"/>
    <w:rsid w:val="00490018"/>
    <w:rsid w:val="00490113"/>
    <w:rsid w:val="0049045A"/>
    <w:rsid w:val="0049075C"/>
    <w:rsid w:val="004908B6"/>
    <w:rsid w:val="0049095C"/>
    <w:rsid w:val="004909E6"/>
    <w:rsid w:val="00490BF3"/>
    <w:rsid w:val="004911B6"/>
    <w:rsid w:val="004911C7"/>
    <w:rsid w:val="004916F6"/>
    <w:rsid w:val="00491A03"/>
    <w:rsid w:val="00492268"/>
    <w:rsid w:val="00492817"/>
    <w:rsid w:val="00492A35"/>
    <w:rsid w:val="00493466"/>
    <w:rsid w:val="00493856"/>
    <w:rsid w:val="00493941"/>
    <w:rsid w:val="00494834"/>
    <w:rsid w:val="004949E8"/>
    <w:rsid w:val="00494CF4"/>
    <w:rsid w:val="00494DAB"/>
    <w:rsid w:val="00494EE0"/>
    <w:rsid w:val="004958B2"/>
    <w:rsid w:val="00495CD6"/>
    <w:rsid w:val="00495FD1"/>
    <w:rsid w:val="00496007"/>
    <w:rsid w:val="00496083"/>
    <w:rsid w:val="0049674E"/>
    <w:rsid w:val="004967D3"/>
    <w:rsid w:val="004967DD"/>
    <w:rsid w:val="0049690C"/>
    <w:rsid w:val="00496C38"/>
    <w:rsid w:val="00497265"/>
    <w:rsid w:val="00497329"/>
    <w:rsid w:val="004975B1"/>
    <w:rsid w:val="00497E18"/>
    <w:rsid w:val="00497E80"/>
    <w:rsid w:val="00497E83"/>
    <w:rsid w:val="004A028D"/>
    <w:rsid w:val="004A03F2"/>
    <w:rsid w:val="004A0A98"/>
    <w:rsid w:val="004A0C6C"/>
    <w:rsid w:val="004A0FD9"/>
    <w:rsid w:val="004A120C"/>
    <w:rsid w:val="004A1321"/>
    <w:rsid w:val="004A1473"/>
    <w:rsid w:val="004A156E"/>
    <w:rsid w:val="004A15E1"/>
    <w:rsid w:val="004A1716"/>
    <w:rsid w:val="004A1BA8"/>
    <w:rsid w:val="004A2BB1"/>
    <w:rsid w:val="004A2BD8"/>
    <w:rsid w:val="004A2E7E"/>
    <w:rsid w:val="004A3364"/>
    <w:rsid w:val="004A3957"/>
    <w:rsid w:val="004A3AE2"/>
    <w:rsid w:val="004A3DDC"/>
    <w:rsid w:val="004A4CA9"/>
    <w:rsid w:val="004A4E02"/>
    <w:rsid w:val="004A4ED7"/>
    <w:rsid w:val="004A5132"/>
    <w:rsid w:val="004A513E"/>
    <w:rsid w:val="004A516F"/>
    <w:rsid w:val="004A5A0B"/>
    <w:rsid w:val="004A6021"/>
    <w:rsid w:val="004A63DA"/>
    <w:rsid w:val="004A648D"/>
    <w:rsid w:val="004A67EB"/>
    <w:rsid w:val="004A684B"/>
    <w:rsid w:val="004A6A00"/>
    <w:rsid w:val="004A6E87"/>
    <w:rsid w:val="004A72CB"/>
    <w:rsid w:val="004A75BD"/>
    <w:rsid w:val="004A76DE"/>
    <w:rsid w:val="004A7AB6"/>
    <w:rsid w:val="004A7ED3"/>
    <w:rsid w:val="004B0087"/>
    <w:rsid w:val="004B05C1"/>
    <w:rsid w:val="004B0D18"/>
    <w:rsid w:val="004B0FAF"/>
    <w:rsid w:val="004B187E"/>
    <w:rsid w:val="004B257D"/>
    <w:rsid w:val="004B2A51"/>
    <w:rsid w:val="004B2D3C"/>
    <w:rsid w:val="004B2EB8"/>
    <w:rsid w:val="004B3692"/>
    <w:rsid w:val="004B373C"/>
    <w:rsid w:val="004B37CA"/>
    <w:rsid w:val="004B3AA5"/>
    <w:rsid w:val="004B3B4B"/>
    <w:rsid w:val="004B40DF"/>
    <w:rsid w:val="004B4206"/>
    <w:rsid w:val="004B43FD"/>
    <w:rsid w:val="004B4794"/>
    <w:rsid w:val="004B4B9B"/>
    <w:rsid w:val="004B4CE8"/>
    <w:rsid w:val="004B4ECF"/>
    <w:rsid w:val="004B501C"/>
    <w:rsid w:val="004B5483"/>
    <w:rsid w:val="004B5699"/>
    <w:rsid w:val="004B598A"/>
    <w:rsid w:val="004B5B1F"/>
    <w:rsid w:val="004B5FD0"/>
    <w:rsid w:val="004B618A"/>
    <w:rsid w:val="004B64BA"/>
    <w:rsid w:val="004B6B28"/>
    <w:rsid w:val="004B6F51"/>
    <w:rsid w:val="004B6FF7"/>
    <w:rsid w:val="004B70B2"/>
    <w:rsid w:val="004B71AF"/>
    <w:rsid w:val="004B7260"/>
    <w:rsid w:val="004B734A"/>
    <w:rsid w:val="004B7576"/>
    <w:rsid w:val="004B75A7"/>
    <w:rsid w:val="004C0213"/>
    <w:rsid w:val="004C0225"/>
    <w:rsid w:val="004C03E3"/>
    <w:rsid w:val="004C0401"/>
    <w:rsid w:val="004C0625"/>
    <w:rsid w:val="004C07F7"/>
    <w:rsid w:val="004C0887"/>
    <w:rsid w:val="004C09CC"/>
    <w:rsid w:val="004C0BD1"/>
    <w:rsid w:val="004C0EF8"/>
    <w:rsid w:val="004C11EA"/>
    <w:rsid w:val="004C19E0"/>
    <w:rsid w:val="004C1B7F"/>
    <w:rsid w:val="004C1EE2"/>
    <w:rsid w:val="004C2988"/>
    <w:rsid w:val="004C2A82"/>
    <w:rsid w:val="004C3088"/>
    <w:rsid w:val="004C3311"/>
    <w:rsid w:val="004C3B4E"/>
    <w:rsid w:val="004C3CC1"/>
    <w:rsid w:val="004C3F77"/>
    <w:rsid w:val="004C40D6"/>
    <w:rsid w:val="004C4108"/>
    <w:rsid w:val="004C46CB"/>
    <w:rsid w:val="004C49A9"/>
    <w:rsid w:val="004C4DF4"/>
    <w:rsid w:val="004C4F92"/>
    <w:rsid w:val="004C50B2"/>
    <w:rsid w:val="004C531A"/>
    <w:rsid w:val="004C538C"/>
    <w:rsid w:val="004C5625"/>
    <w:rsid w:val="004C5D6B"/>
    <w:rsid w:val="004C5DF5"/>
    <w:rsid w:val="004C5FF7"/>
    <w:rsid w:val="004C60A7"/>
    <w:rsid w:val="004C60C5"/>
    <w:rsid w:val="004C65CD"/>
    <w:rsid w:val="004C6687"/>
    <w:rsid w:val="004C669A"/>
    <w:rsid w:val="004C67EF"/>
    <w:rsid w:val="004C77C4"/>
    <w:rsid w:val="004C7C0D"/>
    <w:rsid w:val="004C7E52"/>
    <w:rsid w:val="004D0055"/>
    <w:rsid w:val="004D0479"/>
    <w:rsid w:val="004D04D4"/>
    <w:rsid w:val="004D0739"/>
    <w:rsid w:val="004D08DB"/>
    <w:rsid w:val="004D08EA"/>
    <w:rsid w:val="004D0D95"/>
    <w:rsid w:val="004D0EB2"/>
    <w:rsid w:val="004D1866"/>
    <w:rsid w:val="004D1989"/>
    <w:rsid w:val="004D213C"/>
    <w:rsid w:val="004D247A"/>
    <w:rsid w:val="004D2603"/>
    <w:rsid w:val="004D2684"/>
    <w:rsid w:val="004D27E2"/>
    <w:rsid w:val="004D2A96"/>
    <w:rsid w:val="004D2BFB"/>
    <w:rsid w:val="004D2C87"/>
    <w:rsid w:val="004D37BC"/>
    <w:rsid w:val="004D396B"/>
    <w:rsid w:val="004D3A11"/>
    <w:rsid w:val="004D3C40"/>
    <w:rsid w:val="004D3FAE"/>
    <w:rsid w:val="004D4041"/>
    <w:rsid w:val="004D40A4"/>
    <w:rsid w:val="004D46B2"/>
    <w:rsid w:val="004D4834"/>
    <w:rsid w:val="004D4D44"/>
    <w:rsid w:val="004D532F"/>
    <w:rsid w:val="004D5540"/>
    <w:rsid w:val="004D5586"/>
    <w:rsid w:val="004D5F73"/>
    <w:rsid w:val="004D5FA0"/>
    <w:rsid w:val="004D5FA2"/>
    <w:rsid w:val="004D6240"/>
    <w:rsid w:val="004D62F3"/>
    <w:rsid w:val="004D654A"/>
    <w:rsid w:val="004D66AE"/>
    <w:rsid w:val="004D67C9"/>
    <w:rsid w:val="004D69D6"/>
    <w:rsid w:val="004D6AB6"/>
    <w:rsid w:val="004D743B"/>
    <w:rsid w:val="004D743D"/>
    <w:rsid w:val="004D74B1"/>
    <w:rsid w:val="004D77ED"/>
    <w:rsid w:val="004D78FE"/>
    <w:rsid w:val="004E03E6"/>
    <w:rsid w:val="004E03EE"/>
    <w:rsid w:val="004E09EC"/>
    <w:rsid w:val="004E11D6"/>
    <w:rsid w:val="004E1268"/>
    <w:rsid w:val="004E12CA"/>
    <w:rsid w:val="004E12FC"/>
    <w:rsid w:val="004E1C38"/>
    <w:rsid w:val="004E1C6F"/>
    <w:rsid w:val="004E1CDA"/>
    <w:rsid w:val="004E1D9F"/>
    <w:rsid w:val="004E1E99"/>
    <w:rsid w:val="004E205D"/>
    <w:rsid w:val="004E23C1"/>
    <w:rsid w:val="004E2CA6"/>
    <w:rsid w:val="004E2E8D"/>
    <w:rsid w:val="004E32F5"/>
    <w:rsid w:val="004E38BC"/>
    <w:rsid w:val="004E40BA"/>
    <w:rsid w:val="004E41C2"/>
    <w:rsid w:val="004E4513"/>
    <w:rsid w:val="004E4A39"/>
    <w:rsid w:val="004E4C2B"/>
    <w:rsid w:val="004E4EA3"/>
    <w:rsid w:val="004E50A3"/>
    <w:rsid w:val="004E5A18"/>
    <w:rsid w:val="004E5F9C"/>
    <w:rsid w:val="004E639D"/>
    <w:rsid w:val="004E6D16"/>
    <w:rsid w:val="004E73C0"/>
    <w:rsid w:val="004E740F"/>
    <w:rsid w:val="004E7444"/>
    <w:rsid w:val="004E7482"/>
    <w:rsid w:val="004E7502"/>
    <w:rsid w:val="004E759A"/>
    <w:rsid w:val="004E7949"/>
    <w:rsid w:val="004E799F"/>
    <w:rsid w:val="004E7B5A"/>
    <w:rsid w:val="004E7FEC"/>
    <w:rsid w:val="004F01FA"/>
    <w:rsid w:val="004F0271"/>
    <w:rsid w:val="004F02F0"/>
    <w:rsid w:val="004F048A"/>
    <w:rsid w:val="004F0500"/>
    <w:rsid w:val="004F0518"/>
    <w:rsid w:val="004F0805"/>
    <w:rsid w:val="004F0A83"/>
    <w:rsid w:val="004F0C60"/>
    <w:rsid w:val="004F1ADC"/>
    <w:rsid w:val="004F2079"/>
    <w:rsid w:val="004F2208"/>
    <w:rsid w:val="004F259E"/>
    <w:rsid w:val="004F2891"/>
    <w:rsid w:val="004F28C3"/>
    <w:rsid w:val="004F2DCD"/>
    <w:rsid w:val="004F2FE6"/>
    <w:rsid w:val="004F33FB"/>
    <w:rsid w:val="004F395A"/>
    <w:rsid w:val="004F39B5"/>
    <w:rsid w:val="004F3CDE"/>
    <w:rsid w:val="004F4132"/>
    <w:rsid w:val="004F41C2"/>
    <w:rsid w:val="004F441D"/>
    <w:rsid w:val="004F4580"/>
    <w:rsid w:val="004F4834"/>
    <w:rsid w:val="004F48AB"/>
    <w:rsid w:val="004F4B72"/>
    <w:rsid w:val="004F4C2F"/>
    <w:rsid w:val="004F5161"/>
    <w:rsid w:val="004F567F"/>
    <w:rsid w:val="004F5CAD"/>
    <w:rsid w:val="004F617D"/>
    <w:rsid w:val="004F62F6"/>
    <w:rsid w:val="004F6643"/>
    <w:rsid w:val="004F67F1"/>
    <w:rsid w:val="004F6975"/>
    <w:rsid w:val="004F6CE4"/>
    <w:rsid w:val="004F6D17"/>
    <w:rsid w:val="004F6E56"/>
    <w:rsid w:val="004F7398"/>
    <w:rsid w:val="004F76AC"/>
    <w:rsid w:val="004F7745"/>
    <w:rsid w:val="004F779A"/>
    <w:rsid w:val="004F7BBD"/>
    <w:rsid w:val="004F7DE2"/>
    <w:rsid w:val="0050004C"/>
    <w:rsid w:val="00500B0B"/>
    <w:rsid w:val="00500D9D"/>
    <w:rsid w:val="00501304"/>
    <w:rsid w:val="00501936"/>
    <w:rsid w:val="00501938"/>
    <w:rsid w:val="005019AB"/>
    <w:rsid w:val="00501DE5"/>
    <w:rsid w:val="00502500"/>
    <w:rsid w:val="0050253A"/>
    <w:rsid w:val="0050254D"/>
    <w:rsid w:val="00502D87"/>
    <w:rsid w:val="005035BA"/>
    <w:rsid w:val="00503EC5"/>
    <w:rsid w:val="005049A0"/>
    <w:rsid w:val="00504ACD"/>
    <w:rsid w:val="00504F1E"/>
    <w:rsid w:val="00504FDB"/>
    <w:rsid w:val="00505038"/>
    <w:rsid w:val="005051DE"/>
    <w:rsid w:val="00505518"/>
    <w:rsid w:val="00505B9B"/>
    <w:rsid w:val="00505DDB"/>
    <w:rsid w:val="00505E0E"/>
    <w:rsid w:val="00506569"/>
    <w:rsid w:val="005065BD"/>
    <w:rsid w:val="00506EBE"/>
    <w:rsid w:val="005072A3"/>
    <w:rsid w:val="00507369"/>
    <w:rsid w:val="0050749D"/>
    <w:rsid w:val="005075D3"/>
    <w:rsid w:val="00507617"/>
    <w:rsid w:val="00507877"/>
    <w:rsid w:val="00507A67"/>
    <w:rsid w:val="00507B82"/>
    <w:rsid w:val="00507EAD"/>
    <w:rsid w:val="0051010D"/>
    <w:rsid w:val="005104EF"/>
    <w:rsid w:val="005106C4"/>
    <w:rsid w:val="00510CE5"/>
    <w:rsid w:val="00510E85"/>
    <w:rsid w:val="00510ECA"/>
    <w:rsid w:val="005115A0"/>
    <w:rsid w:val="00511BAB"/>
    <w:rsid w:val="00511D44"/>
    <w:rsid w:val="005121EB"/>
    <w:rsid w:val="0051227C"/>
    <w:rsid w:val="0051250C"/>
    <w:rsid w:val="005126E8"/>
    <w:rsid w:val="00512754"/>
    <w:rsid w:val="005127A4"/>
    <w:rsid w:val="00512992"/>
    <w:rsid w:val="00512A7E"/>
    <w:rsid w:val="005132A8"/>
    <w:rsid w:val="005133E3"/>
    <w:rsid w:val="005137D7"/>
    <w:rsid w:val="00513904"/>
    <w:rsid w:val="00513D1D"/>
    <w:rsid w:val="00513DC1"/>
    <w:rsid w:val="00513EE1"/>
    <w:rsid w:val="00514003"/>
    <w:rsid w:val="00514203"/>
    <w:rsid w:val="00514519"/>
    <w:rsid w:val="005145D1"/>
    <w:rsid w:val="00514E62"/>
    <w:rsid w:val="0051560E"/>
    <w:rsid w:val="005157A2"/>
    <w:rsid w:val="005157FA"/>
    <w:rsid w:val="005158AA"/>
    <w:rsid w:val="005166A1"/>
    <w:rsid w:val="0051679F"/>
    <w:rsid w:val="00516963"/>
    <w:rsid w:val="00516FBE"/>
    <w:rsid w:val="00517020"/>
    <w:rsid w:val="005173E5"/>
    <w:rsid w:val="0051764E"/>
    <w:rsid w:val="0051766E"/>
    <w:rsid w:val="00517742"/>
    <w:rsid w:val="0051788C"/>
    <w:rsid w:val="00517D80"/>
    <w:rsid w:val="005200F4"/>
    <w:rsid w:val="00520B51"/>
    <w:rsid w:val="00520C0B"/>
    <w:rsid w:val="00520C5A"/>
    <w:rsid w:val="00520D5A"/>
    <w:rsid w:val="00520DD5"/>
    <w:rsid w:val="005213A5"/>
    <w:rsid w:val="005213B3"/>
    <w:rsid w:val="0052168E"/>
    <w:rsid w:val="005216FC"/>
    <w:rsid w:val="00521A21"/>
    <w:rsid w:val="00521BEE"/>
    <w:rsid w:val="00521F17"/>
    <w:rsid w:val="00521F72"/>
    <w:rsid w:val="00521F76"/>
    <w:rsid w:val="0052223B"/>
    <w:rsid w:val="00522395"/>
    <w:rsid w:val="005223F6"/>
    <w:rsid w:val="0052264A"/>
    <w:rsid w:val="0052273D"/>
    <w:rsid w:val="00522764"/>
    <w:rsid w:val="0052288C"/>
    <w:rsid w:val="005228FB"/>
    <w:rsid w:val="00523344"/>
    <w:rsid w:val="0052366B"/>
    <w:rsid w:val="00523C79"/>
    <w:rsid w:val="00523FAB"/>
    <w:rsid w:val="005245EF"/>
    <w:rsid w:val="00524B34"/>
    <w:rsid w:val="00524CFC"/>
    <w:rsid w:val="00524EC6"/>
    <w:rsid w:val="00524ECC"/>
    <w:rsid w:val="005250F6"/>
    <w:rsid w:val="0052511A"/>
    <w:rsid w:val="00525268"/>
    <w:rsid w:val="00525390"/>
    <w:rsid w:val="005257DB"/>
    <w:rsid w:val="005258F1"/>
    <w:rsid w:val="00525C89"/>
    <w:rsid w:val="00525DA7"/>
    <w:rsid w:val="005267C0"/>
    <w:rsid w:val="00526D05"/>
    <w:rsid w:val="00526D7B"/>
    <w:rsid w:val="00526E6F"/>
    <w:rsid w:val="00527533"/>
    <w:rsid w:val="005275ED"/>
    <w:rsid w:val="00527828"/>
    <w:rsid w:val="00527863"/>
    <w:rsid w:val="00527C90"/>
    <w:rsid w:val="00527D04"/>
    <w:rsid w:val="00527EED"/>
    <w:rsid w:val="00530135"/>
    <w:rsid w:val="0053032B"/>
    <w:rsid w:val="00530A1F"/>
    <w:rsid w:val="00530D2E"/>
    <w:rsid w:val="00530FCA"/>
    <w:rsid w:val="005310B8"/>
    <w:rsid w:val="005310DF"/>
    <w:rsid w:val="005311DE"/>
    <w:rsid w:val="00531642"/>
    <w:rsid w:val="00531651"/>
    <w:rsid w:val="00531AA5"/>
    <w:rsid w:val="00531DFC"/>
    <w:rsid w:val="005320DB"/>
    <w:rsid w:val="0053235F"/>
    <w:rsid w:val="00532EE9"/>
    <w:rsid w:val="00533186"/>
    <w:rsid w:val="00533D5B"/>
    <w:rsid w:val="005341ED"/>
    <w:rsid w:val="00534304"/>
    <w:rsid w:val="005343B8"/>
    <w:rsid w:val="005352A3"/>
    <w:rsid w:val="00535377"/>
    <w:rsid w:val="00535851"/>
    <w:rsid w:val="00535AB7"/>
    <w:rsid w:val="00535FF5"/>
    <w:rsid w:val="00536641"/>
    <w:rsid w:val="0053665F"/>
    <w:rsid w:val="00536920"/>
    <w:rsid w:val="00536D16"/>
    <w:rsid w:val="00537183"/>
    <w:rsid w:val="00537865"/>
    <w:rsid w:val="0053786F"/>
    <w:rsid w:val="00537950"/>
    <w:rsid w:val="00540032"/>
    <w:rsid w:val="00540205"/>
    <w:rsid w:val="00540980"/>
    <w:rsid w:val="005409AA"/>
    <w:rsid w:val="00541102"/>
    <w:rsid w:val="005412CF"/>
    <w:rsid w:val="0054139B"/>
    <w:rsid w:val="00541E31"/>
    <w:rsid w:val="005420EC"/>
    <w:rsid w:val="00542208"/>
    <w:rsid w:val="0054269B"/>
    <w:rsid w:val="00542854"/>
    <w:rsid w:val="00542912"/>
    <w:rsid w:val="00542E21"/>
    <w:rsid w:val="005432A3"/>
    <w:rsid w:val="00543724"/>
    <w:rsid w:val="00543939"/>
    <w:rsid w:val="0054454B"/>
    <w:rsid w:val="00544633"/>
    <w:rsid w:val="00544A00"/>
    <w:rsid w:val="00544E2B"/>
    <w:rsid w:val="00544F61"/>
    <w:rsid w:val="0054545D"/>
    <w:rsid w:val="00545791"/>
    <w:rsid w:val="005457CE"/>
    <w:rsid w:val="00545814"/>
    <w:rsid w:val="0054594F"/>
    <w:rsid w:val="00545BBC"/>
    <w:rsid w:val="0054606A"/>
    <w:rsid w:val="0054626E"/>
    <w:rsid w:val="005463FA"/>
    <w:rsid w:val="00546731"/>
    <w:rsid w:val="0054678A"/>
    <w:rsid w:val="00546904"/>
    <w:rsid w:val="0054693E"/>
    <w:rsid w:val="00546BF1"/>
    <w:rsid w:val="005472E2"/>
    <w:rsid w:val="0054745C"/>
    <w:rsid w:val="00547476"/>
    <w:rsid w:val="005478B6"/>
    <w:rsid w:val="005478F4"/>
    <w:rsid w:val="0054798B"/>
    <w:rsid w:val="00547B43"/>
    <w:rsid w:val="00547DEA"/>
    <w:rsid w:val="00547EB5"/>
    <w:rsid w:val="0055026B"/>
    <w:rsid w:val="005502FA"/>
    <w:rsid w:val="005508A2"/>
    <w:rsid w:val="00550D25"/>
    <w:rsid w:val="00550D7C"/>
    <w:rsid w:val="00550F71"/>
    <w:rsid w:val="00551004"/>
    <w:rsid w:val="005511F7"/>
    <w:rsid w:val="00551786"/>
    <w:rsid w:val="00551828"/>
    <w:rsid w:val="005518B6"/>
    <w:rsid w:val="005519FF"/>
    <w:rsid w:val="00551E06"/>
    <w:rsid w:val="00551EA0"/>
    <w:rsid w:val="00551FA5"/>
    <w:rsid w:val="0055200C"/>
    <w:rsid w:val="005521E8"/>
    <w:rsid w:val="00552B39"/>
    <w:rsid w:val="00552BBF"/>
    <w:rsid w:val="00553172"/>
    <w:rsid w:val="00553201"/>
    <w:rsid w:val="00553413"/>
    <w:rsid w:val="005535AB"/>
    <w:rsid w:val="005535C9"/>
    <w:rsid w:val="00553BB2"/>
    <w:rsid w:val="00553BB3"/>
    <w:rsid w:val="00554121"/>
    <w:rsid w:val="005544EC"/>
    <w:rsid w:val="005547AE"/>
    <w:rsid w:val="00554949"/>
    <w:rsid w:val="0055498D"/>
    <w:rsid w:val="005549C1"/>
    <w:rsid w:val="00554B28"/>
    <w:rsid w:val="00554F57"/>
    <w:rsid w:val="00555007"/>
    <w:rsid w:val="0055500E"/>
    <w:rsid w:val="00555128"/>
    <w:rsid w:val="005551BF"/>
    <w:rsid w:val="005552C6"/>
    <w:rsid w:val="00555720"/>
    <w:rsid w:val="00555B59"/>
    <w:rsid w:val="00555F74"/>
    <w:rsid w:val="005566AF"/>
    <w:rsid w:val="00556BE3"/>
    <w:rsid w:val="00556CB8"/>
    <w:rsid w:val="00556DCC"/>
    <w:rsid w:val="005570A5"/>
    <w:rsid w:val="005576A4"/>
    <w:rsid w:val="005576E4"/>
    <w:rsid w:val="005579CE"/>
    <w:rsid w:val="00557ABD"/>
    <w:rsid w:val="00557BDD"/>
    <w:rsid w:val="00557C25"/>
    <w:rsid w:val="005605A1"/>
    <w:rsid w:val="00560643"/>
    <w:rsid w:val="00560BCD"/>
    <w:rsid w:val="0056146C"/>
    <w:rsid w:val="005617B1"/>
    <w:rsid w:val="005619F8"/>
    <w:rsid w:val="00561ACA"/>
    <w:rsid w:val="00561D94"/>
    <w:rsid w:val="005621ED"/>
    <w:rsid w:val="00562796"/>
    <w:rsid w:val="0056288E"/>
    <w:rsid w:val="00562AAD"/>
    <w:rsid w:val="00563470"/>
    <w:rsid w:val="00563993"/>
    <w:rsid w:val="00563A86"/>
    <w:rsid w:val="00563BD8"/>
    <w:rsid w:val="005640B5"/>
    <w:rsid w:val="00564181"/>
    <w:rsid w:val="0056421F"/>
    <w:rsid w:val="00564C68"/>
    <w:rsid w:val="00565210"/>
    <w:rsid w:val="00565402"/>
    <w:rsid w:val="00565581"/>
    <w:rsid w:val="005656E3"/>
    <w:rsid w:val="00565A8A"/>
    <w:rsid w:val="00565C27"/>
    <w:rsid w:val="00565C5D"/>
    <w:rsid w:val="00565FD0"/>
    <w:rsid w:val="00566E85"/>
    <w:rsid w:val="00566E94"/>
    <w:rsid w:val="00566F12"/>
    <w:rsid w:val="0056715F"/>
    <w:rsid w:val="00567B12"/>
    <w:rsid w:val="00567E77"/>
    <w:rsid w:val="00570246"/>
    <w:rsid w:val="005703AF"/>
    <w:rsid w:val="005705AB"/>
    <w:rsid w:val="005706C1"/>
    <w:rsid w:val="00570876"/>
    <w:rsid w:val="00570A50"/>
    <w:rsid w:val="00570CAC"/>
    <w:rsid w:val="005710B9"/>
    <w:rsid w:val="0057142E"/>
    <w:rsid w:val="00571960"/>
    <w:rsid w:val="00571DAF"/>
    <w:rsid w:val="00571EAC"/>
    <w:rsid w:val="00571EDB"/>
    <w:rsid w:val="00571EEE"/>
    <w:rsid w:val="00572602"/>
    <w:rsid w:val="0057298D"/>
    <w:rsid w:val="00572C76"/>
    <w:rsid w:val="0057341C"/>
    <w:rsid w:val="00573952"/>
    <w:rsid w:val="00573B28"/>
    <w:rsid w:val="00573C97"/>
    <w:rsid w:val="00573CAD"/>
    <w:rsid w:val="00573D24"/>
    <w:rsid w:val="00573D78"/>
    <w:rsid w:val="00573F73"/>
    <w:rsid w:val="00574422"/>
    <w:rsid w:val="00574D3B"/>
    <w:rsid w:val="00574DFF"/>
    <w:rsid w:val="005755A9"/>
    <w:rsid w:val="00575AB4"/>
    <w:rsid w:val="00575F12"/>
    <w:rsid w:val="0057602C"/>
    <w:rsid w:val="00576E19"/>
    <w:rsid w:val="00576EE9"/>
    <w:rsid w:val="00577070"/>
    <w:rsid w:val="005772F4"/>
    <w:rsid w:val="005774E3"/>
    <w:rsid w:val="005774EA"/>
    <w:rsid w:val="005775C0"/>
    <w:rsid w:val="00577898"/>
    <w:rsid w:val="005779E3"/>
    <w:rsid w:val="00577F47"/>
    <w:rsid w:val="005804B1"/>
    <w:rsid w:val="005808E3"/>
    <w:rsid w:val="005811C7"/>
    <w:rsid w:val="00582776"/>
    <w:rsid w:val="00582A88"/>
    <w:rsid w:val="00582B62"/>
    <w:rsid w:val="00582CA8"/>
    <w:rsid w:val="00583149"/>
    <w:rsid w:val="00583519"/>
    <w:rsid w:val="00583753"/>
    <w:rsid w:val="00583903"/>
    <w:rsid w:val="00583ABE"/>
    <w:rsid w:val="00584040"/>
    <w:rsid w:val="0058408F"/>
    <w:rsid w:val="00584308"/>
    <w:rsid w:val="00584387"/>
    <w:rsid w:val="005843A9"/>
    <w:rsid w:val="00584CEA"/>
    <w:rsid w:val="00584FC6"/>
    <w:rsid w:val="0058541F"/>
    <w:rsid w:val="005854FC"/>
    <w:rsid w:val="0058578B"/>
    <w:rsid w:val="005859AF"/>
    <w:rsid w:val="00585B57"/>
    <w:rsid w:val="00585B90"/>
    <w:rsid w:val="00585BD7"/>
    <w:rsid w:val="00585CF7"/>
    <w:rsid w:val="00585EAE"/>
    <w:rsid w:val="00586A7B"/>
    <w:rsid w:val="00586B7A"/>
    <w:rsid w:val="00586CE2"/>
    <w:rsid w:val="00586D3F"/>
    <w:rsid w:val="00586D54"/>
    <w:rsid w:val="00586E2E"/>
    <w:rsid w:val="00587527"/>
    <w:rsid w:val="00587763"/>
    <w:rsid w:val="005877B8"/>
    <w:rsid w:val="00587A05"/>
    <w:rsid w:val="00587C9E"/>
    <w:rsid w:val="00590172"/>
    <w:rsid w:val="00590339"/>
    <w:rsid w:val="005903B6"/>
    <w:rsid w:val="005903C0"/>
    <w:rsid w:val="00590438"/>
    <w:rsid w:val="00591136"/>
    <w:rsid w:val="00591A1F"/>
    <w:rsid w:val="00591BD1"/>
    <w:rsid w:val="00592083"/>
    <w:rsid w:val="005925D5"/>
    <w:rsid w:val="005927A9"/>
    <w:rsid w:val="005933A0"/>
    <w:rsid w:val="00593410"/>
    <w:rsid w:val="00593439"/>
    <w:rsid w:val="00593525"/>
    <w:rsid w:val="0059370C"/>
    <w:rsid w:val="005937EE"/>
    <w:rsid w:val="005939C4"/>
    <w:rsid w:val="00593A2B"/>
    <w:rsid w:val="00593DCB"/>
    <w:rsid w:val="00593EAE"/>
    <w:rsid w:val="00593FCB"/>
    <w:rsid w:val="00594802"/>
    <w:rsid w:val="0059519D"/>
    <w:rsid w:val="00595B72"/>
    <w:rsid w:val="00595BA0"/>
    <w:rsid w:val="00595FBB"/>
    <w:rsid w:val="00596098"/>
    <w:rsid w:val="0059627C"/>
    <w:rsid w:val="00596289"/>
    <w:rsid w:val="00596D13"/>
    <w:rsid w:val="00596D2A"/>
    <w:rsid w:val="00596ED2"/>
    <w:rsid w:val="00596F91"/>
    <w:rsid w:val="00597432"/>
    <w:rsid w:val="005976C6"/>
    <w:rsid w:val="00597BD8"/>
    <w:rsid w:val="00597BE9"/>
    <w:rsid w:val="005A01EF"/>
    <w:rsid w:val="005A0393"/>
    <w:rsid w:val="005A073D"/>
    <w:rsid w:val="005A0A54"/>
    <w:rsid w:val="005A0F74"/>
    <w:rsid w:val="005A1505"/>
    <w:rsid w:val="005A1B7E"/>
    <w:rsid w:val="005A1BF9"/>
    <w:rsid w:val="005A1BFF"/>
    <w:rsid w:val="005A1C61"/>
    <w:rsid w:val="005A20EC"/>
    <w:rsid w:val="005A2796"/>
    <w:rsid w:val="005A29AE"/>
    <w:rsid w:val="005A2E27"/>
    <w:rsid w:val="005A38F6"/>
    <w:rsid w:val="005A3944"/>
    <w:rsid w:val="005A3970"/>
    <w:rsid w:val="005A3C46"/>
    <w:rsid w:val="005A4429"/>
    <w:rsid w:val="005A4AA4"/>
    <w:rsid w:val="005A4B2A"/>
    <w:rsid w:val="005A5AE7"/>
    <w:rsid w:val="005A5DB8"/>
    <w:rsid w:val="005A5F18"/>
    <w:rsid w:val="005A6034"/>
    <w:rsid w:val="005A61C5"/>
    <w:rsid w:val="005A6238"/>
    <w:rsid w:val="005A6564"/>
    <w:rsid w:val="005A65A8"/>
    <w:rsid w:val="005A684A"/>
    <w:rsid w:val="005A6A69"/>
    <w:rsid w:val="005A6B7A"/>
    <w:rsid w:val="005A6D03"/>
    <w:rsid w:val="005A6F08"/>
    <w:rsid w:val="005A70BC"/>
    <w:rsid w:val="005A722A"/>
    <w:rsid w:val="005A7E6D"/>
    <w:rsid w:val="005B02DC"/>
    <w:rsid w:val="005B0714"/>
    <w:rsid w:val="005B072C"/>
    <w:rsid w:val="005B0AB3"/>
    <w:rsid w:val="005B0CD1"/>
    <w:rsid w:val="005B118E"/>
    <w:rsid w:val="005B1236"/>
    <w:rsid w:val="005B1301"/>
    <w:rsid w:val="005B140F"/>
    <w:rsid w:val="005B1A2B"/>
    <w:rsid w:val="005B1AD0"/>
    <w:rsid w:val="005B2239"/>
    <w:rsid w:val="005B2E47"/>
    <w:rsid w:val="005B2F78"/>
    <w:rsid w:val="005B35D1"/>
    <w:rsid w:val="005B3D16"/>
    <w:rsid w:val="005B3D17"/>
    <w:rsid w:val="005B3E0B"/>
    <w:rsid w:val="005B446D"/>
    <w:rsid w:val="005B4568"/>
    <w:rsid w:val="005B473F"/>
    <w:rsid w:val="005B51A4"/>
    <w:rsid w:val="005B5504"/>
    <w:rsid w:val="005B58E2"/>
    <w:rsid w:val="005B5A15"/>
    <w:rsid w:val="005B5A72"/>
    <w:rsid w:val="005B5CA3"/>
    <w:rsid w:val="005B5CD8"/>
    <w:rsid w:val="005B6318"/>
    <w:rsid w:val="005B642B"/>
    <w:rsid w:val="005B6585"/>
    <w:rsid w:val="005B67F9"/>
    <w:rsid w:val="005B6904"/>
    <w:rsid w:val="005B6CEB"/>
    <w:rsid w:val="005B6F5C"/>
    <w:rsid w:val="005B70E2"/>
    <w:rsid w:val="005B7555"/>
    <w:rsid w:val="005B7711"/>
    <w:rsid w:val="005B77F9"/>
    <w:rsid w:val="005B7C6F"/>
    <w:rsid w:val="005C02C6"/>
    <w:rsid w:val="005C0634"/>
    <w:rsid w:val="005C06F8"/>
    <w:rsid w:val="005C0936"/>
    <w:rsid w:val="005C10E3"/>
    <w:rsid w:val="005C13A0"/>
    <w:rsid w:val="005C189C"/>
    <w:rsid w:val="005C1A5B"/>
    <w:rsid w:val="005C1B02"/>
    <w:rsid w:val="005C1DA3"/>
    <w:rsid w:val="005C1E53"/>
    <w:rsid w:val="005C1E7B"/>
    <w:rsid w:val="005C23A3"/>
    <w:rsid w:val="005C2915"/>
    <w:rsid w:val="005C2A75"/>
    <w:rsid w:val="005C2B9F"/>
    <w:rsid w:val="005C2DE2"/>
    <w:rsid w:val="005C3084"/>
    <w:rsid w:val="005C320F"/>
    <w:rsid w:val="005C33C9"/>
    <w:rsid w:val="005C3478"/>
    <w:rsid w:val="005C38B5"/>
    <w:rsid w:val="005C39A9"/>
    <w:rsid w:val="005C3DF4"/>
    <w:rsid w:val="005C3E55"/>
    <w:rsid w:val="005C43E4"/>
    <w:rsid w:val="005C47DF"/>
    <w:rsid w:val="005C4822"/>
    <w:rsid w:val="005C5C64"/>
    <w:rsid w:val="005C5D2E"/>
    <w:rsid w:val="005C5F39"/>
    <w:rsid w:val="005C626A"/>
    <w:rsid w:val="005C63D8"/>
    <w:rsid w:val="005C6633"/>
    <w:rsid w:val="005C6AD6"/>
    <w:rsid w:val="005C6B23"/>
    <w:rsid w:val="005C6D44"/>
    <w:rsid w:val="005C713E"/>
    <w:rsid w:val="005C7168"/>
    <w:rsid w:val="005C78C5"/>
    <w:rsid w:val="005C7908"/>
    <w:rsid w:val="005C7B45"/>
    <w:rsid w:val="005D0176"/>
    <w:rsid w:val="005D0203"/>
    <w:rsid w:val="005D0619"/>
    <w:rsid w:val="005D0682"/>
    <w:rsid w:val="005D0B83"/>
    <w:rsid w:val="005D114A"/>
    <w:rsid w:val="005D15A7"/>
    <w:rsid w:val="005D1D77"/>
    <w:rsid w:val="005D1FEA"/>
    <w:rsid w:val="005D238A"/>
    <w:rsid w:val="005D245C"/>
    <w:rsid w:val="005D2A7D"/>
    <w:rsid w:val="005D2A97"/>
    <w:rsid w:val="005D2C83"/>
    <w:rsid w:val="005D2D0F"/>
    <w:rsid w:val="005D2DED"/>
    <w:rsid w:val="005D2E58"/>
    <w:rsid w:val="005D31DC"/>
    <w:rsid w:val="005D3286"/>
    <w:rsid w:val="005D32BC"/>
    <w:rsid w:val="005D33DE"/>
    <w:rsid w:val="005D3537"/>
    <w:rsid w:val="005D3AF6"/>
    <w:rsid w:val="005D3FED"/>
    <w:rsid w:val="005D413E"/>
    <w:rsid w:val="005D43A7"/>
    <w:rsid w:val="005D4864"/>
    <w:rsid w:val="005D4953"/>
    <w:rsid w:val="005D49C3"/>
    <w:rsid w:val="005D4AE8"/>
    <w:rsid w:val="005D4ECE"/>
    <w:rsid w:val="005D4FD3"/>
    <w:rsid w:val="005D54E0"/>
    <w:rsid w:val="005D5504"/>
    <w:rsid w:val="005D580E"/>
    <w:rsid w:val="005D584E"/>
    <w:rsid w:val="005D5C80"/>
    <w:rsid w:val="005D61E2"/>
    <w:rsid w:val="005D62FB"/>
    <w:rsid w:val="005D6489"/>
    <w:rsid w:val="005D69A0"/>
    <w:rsid w:val="005D69BE"/>
    <w:rsid w:val="005D6A8C"/>
    <w:rsid w:val="005D6B84"/>
    <w:rsid w:val="005D6D13"/>
    <w:rsid w:val="005D7367"/>
    <w:rsid w:val="005D743E"/>
    <w:rsid w:val="005D74F9"/>
    <w:rsid w:val="005D7C4C"/>
    <w:rsid w:val="005E06AD"/>
    <w:rsid w:val="005E06D8"/>
    <w:rsid w:val="005E079E"/>
    <w:rsid w:val="005E0A54"/>
    <w:rsid w:val="005E14A4"/>
    <w:rsid w:val="005E18FF"/>
    <w:rsid w:val="005E1D9C"/>
    <w:rsid w:val="005E2156"/>
    <w:rsid w:val="005E2168"/>
    <w:rsid w:val="005E23DA"/>
    <w:rsid w:val="005E24AC"/>
    <w:rsid w:val="005E24CB"/>
    <w:rsid w:val="005E2811"/>
    <w:rsid w:val="005E2A57"/>
    <w:rsid w:val="005E2B76"/>
    <w:rsid w:val="005E31AF"/>
    <w:rsid w:val="005E3432"/>
    <w:rsid w:val="005E34BA"/>
    <w:rsid w:val="005E383C"/>
    <w:rsid w:val="005E3963"/>
    <w:rsid w:val="005E40D1"/>
    <w:rsid w:val="005E457A"/>
    <w:rsid w:val="005E4FBB"/>
    <w:rsid w:val="005E5568"/>
    <w:rsid w:val="005E58EA"/>
    <w:rsid w:val="005E5B47"/>
    <w:rsid w:val="005E5E5C"/>
    <w:rsid w:val="005E605A"/>
    <w:rsid w:val="005E69C9"/>
    <w:rsid w:val="005E6EFD"/>
    <w:rsid w:val="005E71AA"/>
    <w:rsid w:val="005E74ED"/>
    <w:rsid w:val="005F003E"/>
    <w:rsid w:val="005F025C"/>
    <w:rsid w:val="005F0750"/>
    <w:rsid w:val="005F0ABF"/>
    <w:rsid w:val="005F1298"/>
    <w:rsid w:val="005F134C"/>
    <w:rsid w:val="005F150A"/>
    <w:rsid w:val="005F163F"/>
    <w:rsid w:val="005F1791"/>
    <w:rsid w:val="005F1A0F"/>
    <w:rsid w:val="005F1A9D"/>
    <w:rsid w:val="005F1DC8"/>
    <w:rsid w:val="005F240A"/>
    <w:rsid w:val="005F25B3"/>
    <w:rsid w:val="005F2642"/>
    <w:rsid w:val="005F2B4C"/>
    <w:rsid w:val="005F2FFC"/>
    <w:rsid w:val="005F322F"/>
    <w:rsid w:val="005F3508"/>
    <w:rsid w:val="005F3800"/>
    <w:rsid w:val="005F3C6E"/>
    <w:rsid w:val="005F3E36"/>
    <w:rsid w:val="005F3E64"/>
    <w:rsid w:val="005F3E8D"/>
    <w:rsid w:val="005F3F1F"/>
    <w:rsid w:val="005F40AD"/>
    <w:rsid w:val="005F486D"/>
    <w:rsid w:val="005F4D20"/>
    <w:rsid w:val="005F4EF7"/>
    <w:rsid w:val="005F50AF"/>
    <w:rsid w:val="005F50C5"/>
    <w:rsid w:val="005F5474"/>
    <w:rsid w:val="005F5610"/>
    <w:rsid w:val="005F5AED"/>
    <w:rsid w:val="005F5B17"/>
    <w:rsid w:val="005F5B1A"/>
    <w:rsid w:val="005F5D72"/>
    <w:rsid w:val="005F61E8"/>
    <w:rsid w:val="005F6396"/>
    <w:rsid w:val="005F662F"/>
    <w:rsid w:val="005F6639"/>
    <w:rsid w:val="005F6734"/>
    <w:rsid w:val="005F6814"/>
    <w:rsid w:val="005F6F6F"/>
    <w:rsid w:val="005F7280"/>
    <w:rsid w:val="005F739E"/>
    <w:rsid w:val="005F74BF"/>
    <w:rsid w:val="005F77AA"/>
    <w:rsid w:val="005F7F11"/>
    <w:rsid w:val="00600214"/>
    <w:rsid w:val="0060024E"/>
    <w:rsid w:val="00600763"/>
    <w:rsid w:val="0060091D"/>
    <w:rsid w:val="006009C5"/>
    <w:rsid w:val="006009F0"/>
    <w:rsid w:val="00600BDF"/>
    <w:rsid w:val="00600CA9"/>
    <w:rsid w:val="00600DE2"/>
    <w:rsid w:val="00600F2B"/>
    <w:rsid w:val="00601308"/>
    <w:rsid w:val="006014F3"/>
    <w:rsid w:val="00601538"/>
    <w:rsid w:val="00601742"/>
    <w:rsid w:val="00601967"/>
    <w:rsid w:val="0060196C"/>
    <w:rsid w:val="00601E3D"/>
    <w:rsid w:val="006022C5"/>
    <w:rsid w:val="00602319"/>
    <w:rsid w:val="00602562"/>
    <w:rsid w:val="006025B3"/>
    <w:rsid w:val="00602B1E"/>
    <w:rsid w:val="00602C1C"/>
    <w:rsid w:val="00602C5F"/>
    <w:rsid w:val="00602C86"/>
    <w:rsid w:val="00602CA6"/>
    <w:rsid w:val="00602DD3"/>
    <w:rsid w:val="00602E7D"/>
    <w:rsid w:val="006030A0"/>
    <w:rsid w:val="006030C6"/>
    <w:rsid w:val="00603101"/>
    <w:rsid w:val="00603189"/>
    <w:rsid w:val="006038B0"/>
    <w:rsid w:val="0060418D"/>
    <w:rsid w:val="006042DA"/>
    <w:rsid w:val="0060453E"/>
    <w:rsid w:val="00604683"/>
    <w:rsid w:val="006046CD"/>
    <w:rsid w:val="00604E18"/>
    <w:rsid w:val="00604FFF"/>
    <w:rsid w:val="006051DF"/>
    <w:rsid w:val="006056DD"/>
    <w:rsid w:val="0060576B"/>
    <w:rsid w:val="00605908"/>
    <w:rsid w:val="00605AC9"/>
    <w:rsid w:val="00605B2D"/>
    <w:rsid w:val="00605B7C"/>
    <w:rsid w:val="00606192"/>
    <w:rsid w:val="006066D6"/>
    <w:rsid w:val="00606CA7"/>
    <w:rsid w:val="00606EB6"/>
    <w:rsid w:val="00607570"/>
    <w:rsid w:val="00607776"/>
    <w:rsid w:val="0060799C"/>
    <w:rsid w:val="00610289"/>
    <w:rsid w:val="00610305"/>
    <w:rsid w:val="00610AA8"/>
    <w:rsid w:val="00610C33"/>
    <w:rsid w:val="00610D20"/>
    <w:rsid w:val="00610F1B"/>
    <w:rsid w:val="00611038"/>
    <w:rsid w:val="0061120F"/>
    <w:rsid w:val="00611262"/>
    <w:rsid w:val="006116FC"/>
    <w:rsid w:val="00611BAA"/>
    <w:rsid w:val="00612493"/>
    <w:rsid w:val="006125C6"/>
    <w:rsid w:val="00612678"/>
    <w:rsid w:val="0061268B"/>
    <w:rsid w:val="006128E9"/>
    <w:rsid w:val="00612AD7"/>
    <w:rsid w:val="00612B03"/>
    <w:rsid w:val="00612B9A"/>
    <w:rsid w:val="00612D5E"/>
    <w:rsid w:val="0061328B"/>
    <w:rsid w:val="00613576"/>
    <w:rsid w:val="006136D9"/>
    <w:rsid w:val="00613795"/>
    <w:rsid w:val="006137F7"/>
    <w:rsid w:val="00613839"/>
    <w:rsid w:val="00613927"/>
    <w:rsid w:val="00613DAC"/>
    <w:rsid w:val="0061414A"/>
    <w:rsid w:val="0061422B"/>
    <w:rsid w:val="00614347"/>
    <w:rsid w:val="0061444C"/>
    <w:rsid w:val="00614CA6"/>
    <w:rsid w:val="00614CCA"/>
    <w:rsid w:val="00614EB6"/>
    <w:rsid w:val="00615885"/>
    <w:rsid w:val="00615A00"/>
    <w:rsid w:val="00615EFA"/>
    <w:rsid w:val="00616388"/>
    <w:rsid w:val="00616638"/>
    <w:rsid w:val="0061670B"/>
    <w:rsid w:val="006167AE"/>
    <w:rsid w:val="0061699F"/>
    <w:rsid w:val="00617253"/>
    <w:rsid w:val="00617795"/>
    <w:rsid w:val="00617D11"/>
    <w:rsid w:val="00617DF1"/>
    <w:rsid w:val="00617DFC"/>
    <w:rsid w:val="00617EF9"/>
    <w:rsid w:val="0062009D"/>
    <w:rsid w:val="0062064D"/>
    <w:rsid w:val="00620699"/>
    <w:rsid w:val="006206BF"/>
    <w:rsid w:val="006208E3"/>
    <w:rsid w:val="00620ACD"/>
    <w:rsid w:val="00620B23"/>
    <w:rsid w:val="00620F2C"/>
    <w:rsid w:val="0062115A"/>
    <w:rsid w:val="00621708"/>
    <w:rsid w:val="00621766"/>
    <w:rsid w:val="006220B5"/>
    <w:rsid w:val="006220F0"/>
    <w:rsid w:val="00622A1A"/>
    <w:rsid w:val="00622D1C"/>
    <w:rsid w:val="006235B7"/>
    <w:rsid w:val="006236C6"/>
    <w:rsid w:val="00623A76"/>
    <w:rsid w:val="00623E51"/>
    <w:rsid w:val="0062427B"/>
    <w:rsid w:val="006242C9"/>
    <w:rsid w:val="0062459B"/>
    <w:rsid w:val="0062459D"/>
    <w:rsid w:val="00624648"/>
    <w:rsid w:val="0062478E"/>
    <w:rsid w:val="00624F3C"/>
    <w:rsid w:val="006255ED"/>
    <w:rsid w:val="00625640"/>
    <w:rsid w:val="00625EB8"/>
    <w:rsid w:val="0062631B"/>
    <w:rsid w:val="00626DBF"/>
    <w:rsid w:val="00626E18"/>
    <w:rsid w:val="006270A9"/>
    <w:rsid w:val="0062735C"/>
    <w:rsid w:val="00627584"/>
    <w:rsid w:val="0062759C"/>
    <w:rsid w:val="00627994"/>
    <w:rsid w:val="00627C70"/>
    <w:rsid w:val="00627F23"/>
    <w:rsid w:val="006303AF"/>
    <w:rsid w:val="0063081B"/>
    <w:rsid w:val="00630ACB"/>
    <w:rsid w:val="00630F4B"/>
    <w:rsid w:val="0063104C"/>
    <w:rsid w:val="006318FA"/>
    <w:rsid w:val="00631BC9"/>
    <w:rsid w:val="0063232C"/>
    <w:rsid w:val="00632D6E"/>
    <w:rsid w:val="00633560"/>
    <w:rsid w:val="00633FFA"/>
    <w:rsid w:val="006341F0"/>
    <w:rsid w:val="00634862"/>
    <w:rsid w:val="006348B6"/>
    <w:rsid w:val="00634B79"/>
    <w:rsid w:val="00634BB8"/>
    <w:rsid w:val="00635116"/>
    <w:rsid w:val="0063511D"/>
    <w:rsid w:val="006354F0"/>
    <w:rsid w:val="006355C1"/>
    <w:rsid w:val="006358C7"/>
    <w:rsid w:val="00635EB3"/>
    <w:rsid w:val="00635EF4"/>
    <w:rsid w:val="006360AB"/>
    <w:rsid w:val="00636114"/>
    <w:rsid w:val="00636178"/>
    <w:rsid w:val="0063630D"/>
    <w:rsid w:val="006364CB"/>
    <w:rsid w:val="006367A8"/>
    <w:rsid w:val="00636810"/>
    <w:rsid w:val="00636829"/>
    <w:rsid w:val="0063687D"/>
    <w:rsid w:val="0063698B"/>
    <w:rsid w:val="00636B62"/>
    <w:rsid w:val="00636C8D"/>
    <w:rsid w:val="00637129"/>
    <w:rsid w:val="0063737E"/>
    <w:rsid w:val="00637979"/>
    <w:rsid w:val="00637C96"/>
    <w:rsid w:val="00637DEF"/>
    <w:rsid w:val="006404E5"/>
    <w:rsid w:val="00640B05"/>
    <w:rsid w:val="00640F5E"/>
    <w:rsid w:val="00641105"/>
    <w:rsid w:val="006411A6"/>
    <w:rsid w:val="00641843"/>
    <w:rsid w:val="00641B19"/>
    <w:rsid w:val="00641E08"/>
    <w:rsid w:val="0064204E"/>
    <w:rsid w:val="006426F1"/>
    <w:rsid w:val="0064271C"/>
    <w:rsid w:val="006427D9"/>
    <w:rsid w:val="00642821"/>
    <w:rsid w:val="00642F9F"/>
    <w:rsid w:val="0064312D"/>
    <w:rsid w:val="00643185"/>
    <w:rsid w:val="006433B4"/>
    <w:rsid w:val="0064346B"/>
    <w:rsid w:val="006440B4"/>
    <w:rsid w:val="006440ED"/>
    <w:rsid w:val="00644388"/>
    <w:rsid w:val="00644814"/>
    <w:rsid w:val="00644819"/>
    <w:rsid w:val="00644FB2"/>
    <w:rsid w:val="00645259"/>
    <w:rsid w:val="00645573"/>
    <w:rsid w:val="0064582C"/>
    <w:rsid w:val="006458BA"/>
    <w:rsid w:val="00645BA7"/>
    <w:rsid w:val="00645C1D"/>
    <w:rsid w:val="00645E3A"/>
    <w:rsid w:val="00645E53"/>
    <w:rsid w:val="006462DA"/>
    <w:rsid w:val="0064661A"/>
    <w:rsid w:val="006468B4"/>
    <w:rsid w:val="006468C1"/>
    <w:rsid w:val="00646B03"/>
    <w:rsid w:val="00647770"/>
    <w:rsid w:val="006477F8"/>
    <w:rsid w:val="00647898"/>
    <w:rsid w:val="00647A04"/>
    <w:rsid w:val="00647B0D"/>
    <w:rsid w:val="00647B9B"/>
    <w:rsid w:val="00647DD8"/>
    <w:rsid w:val="00650012"/>
    <w:rsid w:val="006500A6"/>
    <w:rsid w:val="006504AA"/>
    <w:rsid w:val="00651034"/>
    <w:rsid w:val="006510EE"/>
    <w:rsid w:val="0065158C"/>
    <w:rsid w:val="006517F3"/>
    <w:rsid w:val="0065188D"/>
    <w:rsid w:val="00651928"/>
    <w:rsid w:val="0065192D"/>
    <w:rsid w:val="00651C64"/>
    <w:rsid w:val="00651E4F"/>
    <w:rsid w:val="00652161"/>
    <w:rsid w:val="006524A3"/>
    <w:rsid w:val="00652EE2"/>
    <w:rsid w:val="00653C45"/>
    <w:rsid w:val="00653FB1"/>
    <w:rsid w:val="00654598"/>
    <w:rsid w:val="0065462E"/>
    <w:rsid w:val="006547C6"/>
    <w:rsid w:val="00654D50"/>
    <w:rsid w:val="00654DFD"/>
    <w:rsid w:val="00654F39"/>
    <w:rsid w:val="00655A29"/>
    <w:rsid w:val="00655A5A"/>
    <w:rsid w:val="00655B51"/>
    <w:rsid w:val="00655BD5"/>
    <w:rsid w:val="00655CB5"/>
    <w:rsid w:val="00655EE2"/>
    <w:rsid w:val="00656035"/>
    <w:rsid w:val="006567C9"/>
    <w:rsid w:val="00656883"/>
    <w:rsid w:val="00656BA3"/>
    <w:rsid w:val="00656E47"/>
    <w:rsid w:val="00656E96"/>
    <w:rsid w:val="00657082"/>
    <w:rsid w:val="0065710D"/>
    <w:rsid w:val="006572FE"/>
    <w:rsid w:val="0065778D"/>
    <w:rsid w:val="00657797"/>
    <w:rsid w:val="006578EB"/>
    <w:rsid w:val="00657C18"/>
    <w:rsid w:val="00657E58"/>
    <w:rsid w:val="00657FC8"/>
    <w:rsid w:val="0066003E"/>
    <w:rsid w:val="00660260"/>
    <w:rsid w:val="006614D6"/>
    <w:rsid w:val="006618CF"/>
    <w:rsid w:val="0066190F"/>
    <w:rsid w:val="00661AEF"/>
    <w:rsid w:val="00661B42"/>
    <w:rsid w:val="00661E84"/>
    <w:rsid w:val="0066204E"/>
    <w:rsid w:val="0066240C"/>
    <w:rsid w:val="00662C83"/>
    <w:rsid w:val="00662CF1"/>
    <w:rsid w:val="00662FB8"/>
    <w:rsid w:val="0066325E"/>
    <w:rsid w:val="006635C6"/>
    <w:rsid w:val="0066375A"/>
    <w:rsid w:val="00663B2C"/>
    <w:rsid w:val="00663C1D"/>
    <w:rsid w:val="00663C60"/>
    <w:rsid w:val="00664582"/>
    <w:rsid w:val="006646D7"/>
    <w:rsid w:val="00664A8F"/>
    <w:rsid w:val="00664CE6"/>
    <w:rsid w:val="006651EA"/>
    <w:rsid w:val="006651FC"/>
    <w:rsid w:val="00665220"/>
    <w:rsid w:val="00665242"/>
    <w:rsid w:val="00665490"/>
    <w:rsid w:val="006654B8"/>
    <w:rsid w:val="00665870"/>
    <w:rsid w:val="00665F5E"/>
    <w:rsid w:val="0066602B"/>
    <w:rsid w:val="00666086"/>
    <w:rsid w:val="006664DF"/>
    <w:rsid w:val="006670A1"/>
    <w:rsid w:val="0066714F"/>
    <w:rsid w:val="00667704"/>
    <w:rsid w:val="00667E23"/>
    <w:rsid w:val="0067044F"/>
    <w:rsid w:val="006704ED"/>
    <w:rsid w:val="00670659"/>
    <w:rsid w:val="00670BD7"/>
    <w:rsid w:val="00671048"/>
    <w:rsid w:val="00671366"/>
    <w:rsid w:val="006713BD"/>
    <w:rsid w:val="006717F9"/>
    <w:rsid w:val="00671BC5"/>
    <w:rsid w:val="006720AC"/>
    <w:rsid w:val="00672117"/>
    <w:rsid w:val="0067216A"/>
    <w:rsid w:val="006728F8"/>
    <w:rsid w:val="00672963"/>
    <w:rsid w:val="00672DE4"/>
    <w:rsid w:val="00673097"/>
    <w:rsid w:val="00673133"/>
    <w:rsid w:val="0067322A"/>
    <w:rsid w:val="006734CF"/>
    <w:rsid w:val="006735CC"/>
    <w:rsid w:val="00673A99"/>
    <w:rsid w:val="00673B20"/>
    <w:rsid w:val="00673D99"/>
    <w:rsid w:val="0067458F"/>
    <w:rsid w:val="006745B0"/>
    <w:rsid w:val="00674684"/>
    <w:rsid w:val="006746FB"/>
    <w:rsid w:val="00674779"/>
    <w:rsid w:val="006748C8"/>
    <w:rsid w:val="00674C89"/>
    <w:rsid w:val="00674FEB"/>
    <w:rsid w:val="006751F5"/>
    <w:rsid w:val="00675630"/>
    <w:rsid w:val="0067588B"/>
    <w:rsid w:val="00675BE6"/>
    <w:rsid w:val="0067639A"/>
    <w:rsid w:val="006764B0"/>
    <w:rsid w:val="006769DC"/>
    <w:rsid w:val="006769DD"/>
    <w:rsid w:val="00676A28"/>
    <w:rsid w:val="00676AF4"/>
    <w:rsid w:val="00677100"/>
    <w:rsid w:val="00677289"/>
    <w:rsid w:val="00677404"/>
    <w:rsid w:val="006810F1"/>
    <w:rsid w:val="00681181"/>
    <w:rsid w:val="006819A6"/>
    <w:rsid w:val="00681D1B"/>
    <w:rsid w:val="00681EDE"/>
    <w:rsid w:val="00682187"/>
    <w:rsid w:val="0068229A"/>
    <w:rsid w:val="00682690"/>
    <w:rsid w:val="006828D8"/>
    <w:rsid w:val="00682E31"/>
    <w:rsid w:val="00682E87"/>
    <w:rsid w:val="00683160"/>
    <w:rsid w:val="0068335F"/>
    <w:rsid w:val="0068372B"/>
    <w:rsid w:val="00683C36"/>
    <w:rsid w:val="00683D20"/>
    <w:rsid w:val="006841CF"/>
    <w:rsid w:val="00684290"/>
    <w:rsid w:val="006845DB"/>
    <w:rsid w:val="0068475E"/>
    <w:rsid w:val="006849D3"/>
    <w:rsid w:val="0068510B"/>
    <w:rsid w:val="006854B1"/>
    <w:rsid w:val="00685BC2"/>
    <w:rsid w:val="00686081"/>
    <w:rsid w:val="006861F1"/>
    <w:rsid w:val="00686357"/>
    <w:rsid w:val="00686577"/>
    <w:rsid w:val="006866FF"/>
    <w:rsid w:val="00686C20"/>
    <w:rsid w:val="006870F7"/>
    <w:rsid w:val="006873DC"/>
    <w:rsid w:val="00687838"/>
    <w:rsid w:val="00687EED"/>
    <w:rsid w:val="0069058D"/>
    <w:rsid w:val="00690B5A"/>
    <w:rsid w:val="00690C6E"/>
    <w:rsid w:val="00690E80"/>
    <w:rsid w:val="00691404"/>
    <w:rsid w:val="00691FEB"/>
    <w:rsid w:val="006921F9"/>
    <w:rsid w:val="00692376"/>
    <w:rsid w:val="0069261A"/>
    <w:rsid w:val="006926BE"/>
    <w:rsid w:val="0069277C"/>
    <w:rsid w:val="006929D6"/>
    <w:rsid w:val="00692A6F"/>
    <w:rsid w:val="00692B7C"/>
    <w:rsid w:val="00692B9D"/>
    <w:rsid w:val="0069387F"/>
    <w:rsid w:val="00693D82"/>
    <w:rsid w:val="00693DE2"/>
    <w:rsid w:val="0069408A"/>
    <w:rsid w:val="006943D7"/>
    <w:rsid w:val="00694686"/>
    <w:rsid w:val="00694B5A"/>
    <w:rsid w:val="00694C1D"/>
    <w:rsid w:val="00694CE6"/>
    <w:rsid w:val="00694D67"/>
    <w:rsid w:val="00694E26"/>
    <w:rsid w:val="00694F86"/>
    <w:rsid w:val="00695586"/>
    <w:rsid w:val="00695769"/>
    <w:rsid w:val="00695A55"/>
    <w:rsid w:val="00695AA6"/>
    <w:rsid w:val="00695ABC"/>
    <w:rsid w:val="00695AE3"/>
    <w:rsid w:val="00695BAC"/>
    <w:rsid w:val="00695C13"/>
    <w:rsid w:val="00695F2D"/>
    <w:rsid w:val="006960D3"/>
    <w:rsid w:val="0069617D"/>
    <w:rsid w:val="0069651D"/>
    <w:rsid w:val="00696D38"/>
    <w:rsid w:val="006970AB"/>
    <w:rsid w:val="00697135"/>
    <w:rsid w:val="006971C3"/>
    <w:rsid w:val="006971D0"/>
    <w:rsid w:val="00697240"/>
    <w:rsid w:val="006972AB"/>
    <w:rsid w:val="0069738A"/>
    <w:rsid w:val="00697421"/>
    <w:rsid w:val="0069745B"/>
    <w:rsid w:val="00697A06"/>
    <w:rsid w:val="00697A4E"/>
    <w:rsid w:val="00697B84"/>
    <w:rsid w:val="006A0305"/>
    <w:rsid w:val="006A03CF"/>
    <w:rsid w:val="006A0475"/>
    <w:rsid w:val="006A0662"/>
    <w:rsid w:val="006A0DAA"/>
    <w:rsid w:val="006A1030"/>
    <w:rsid w:val="006A12BD"/>
    <w:rsid w:val="006A12E6"/>
    <w:rsid w:val="006A16CD"/>
    <w:rsid w:val="006A173E"/>
    <w:rsid w:val="006A212D"/>
    <w:rsid w:val="006A27A3"/>
    <w:rsid w:val="006A2DD1"/>
    <w:rsid w:val="006A31B8"/>
    <w:rsid w:val="006A3224"/>
    <w:rsid w:val="006A3412"/>
    <w:rsid w:val="006A34A2"/>
    <w:rsid w:val="006A3A89"/>
    <w:rsid w:val="006A3F74"/>
    <w:rsid w:val="006A4268"/>
    <w:rsid w:val="006A4FE1"/>
    <w:rsid w:val="006A52F1"/>
    <w:rsid w:val="006A577F"/>
    <w:rsid w:val="006A63EA"/>
    <w:rsid w:val="006A663A"/>
    <w:rsid w:val="006A6BA3"/>
    <w:rsid w:val="006A6DC2"/>
    <w:rsid w:val="006A707D"/>
    <w:rsid w:val="006A712A"/>
    <w:rsid w:val="006A79E0"/>
    <w:rsid w:val="006A7FC4"/>
    <w:rsid w:val="006B0068"/>
    <w:rsid w:val="006B02D7"/>
    <w:rsid w:val="006B06EF"/>
    <w:rsid w:val="006B08A3"/>
    <w:rsid w:val="006B0C3E"/>
    <w:rsid w:val="006B0CDA"/>
    <w:rsid w:val="006B0EC1"/>
    <w:rsid w:val="006B0FE7"/>
    <w:rsid w:val="006B0FF0"/>
    <w:rsid w:val="006B1332"/>
    <w:rsid w:val="006B18E3"/>
    <w:rsid w:val="006B191C"/>
    <w:rsid w:val="006B1A14"/>
    <w:rsid w:val="006B1AFD"/>
    <w:rsid w:val="006B1B37"/>
    <w:rsid w:val="006B2185"/>
    <w:rsid w:val="006B2282"/>
    <w:rsid w:val="006B22D2"/>
    <w:rsid w:val="006B2599"/>
    <w:rsid w:val="006B3393"/>
    <w:rsid w:val="006B3BB3"/>
    <w:rsid w:val="006B41FD"/>
    <w:rsid w:val="006B43A7"/>
    <w:rsid w:val="006B4651"/>
    <w:rsid w:val="006B4691"/>
    <w:rsid w:val="006B4718"/>
    <w:rsid w:val="006B478D"/>
    <w:rsid w:val="006B4914"/>
    <w:rsid w:val="006B4B1D"/>
    <w:rsid w:val="006B57FB"/>
    <w:rsid w:val="006B5B54"/>
    <w:rsid w:val="006B5B7E"/>
    <w:rsid w:val="006B63A4"/>
    <w:rsid w:val="006B6BC9"/>
    <w:rsid w:val="006B70C1"/>
    <w:rsid w:val="006B7A87"/>
    <w:rsid w:val="006B7E18"/>
    <w:rsid w:val="006B7F9B"/>
    <w:rsid w:val="006C0133"/>
    <w:rsid w:val="006C014C"/>
    <w:rsid w:val="006C018A"/>
    <w:rsid w:val="006C0267"/>
    <w:rsid w:val="006C06F6"/>
    <w:rsid w:val="006C0E61"/>
    <w:rsid w:val="006C1A28"/>
    <w:rsid w:val="006C1E99"/>
    <w:rsid w:val="006C1F0F"/>
    <w:rsid w:val="006C20E0"/>
    <w:rsid w:val="006C25A5"/>
    <w:rsid w:val="006C2681"/>
    <w:rsid w:val="006C2811"/>
    <w:rsid w:val="006C32DC"/>
    <w:rsid w:val="006C358A"/>
    <w:rsid w:val="006C3E17"/>
    <w:rsid w:val="006C3E62"/>
    <w:rsid w:val="006C4547"/>
    <w:rsid w:val="006C4B00"/>
    <w:rsid w:val="006C4B04"/>
    <w:rsid w:val="006C4D22"/>
    <w:rsid w:val="006C4FDA"/>
    <w:rsid w:val="006C57FC"/>
    <w:rsid w:val="006C5ADC"/>
    <w:rsid w:val="006C5ED6"/>
    <w:rsid w:val="006C6A66"/>
    <w:rsid w:val="006C6B2C"/>
    <w:rsid w:val="006C6F18"/>
    <w:rsid w:val="006C7340"/>
    <w:rsid w:val="006C7B34"/>
    <w:rsid w:val="006C7F1F"/>
    <w:rsid w:val="006D011B"/>
    <w:rsid w:val="006D0182"/>
    <w:rsid w:val="006D02C9"/>
    <w:rsid w:val="006D0341"/>
    <w:rsid w:val="006D07A4"/>
    <w:rsid w:val="006D0819"/>
    <w:rsid w:val="006D0826"/>
    <w:rsid w:val="006D0CC3"/>
    <w:rsid w:val="006D0F78"/>
    <w:rsid w:val="006D0FA9"/>
    <w:rsid w:val="006D1496"/>
    <w:rsid w:val="006D1B02"/>
    <w:rsid w:val="006D1BFA"/>
    <w:rsid w:val="006D1D1F"/>
    <w:rsid w:val="006D26ED"/>
    <w:rsid w:val="006D275F"/>
    <w:rsid w:val="006D28D1"/>
    <w:rsid w:val="006D2C06"/>
    <w:rsid w:val="006D2F6B"/>
    <w:rsid w:val="006D3164"/>
    <w:rsid w:val="006D35F7"/>
    <w:rsid w:val="006D37A6"/>
    <w:rsid w:val="006D37A9"/>
    <w:rsid w:val="006D380F"/>
    <w:rsid w:val="006D399E"/>
    <w:rsid w:val="006D3BDD"/>
    <w:rsid w:val="006D3D2A"/>
    <w:rsid w:val="006D3D32"/>
    <w:rsid w:val="006D3F3D"/>
    <w:rsid w:val="006D4173"/>
    <w:rsid w:val="006D452D"/>
    <w:rsid w:val="006D4A0A"/>
    <w:rsid w:val="006D4BEB"/>
    <w:rsid w:val="006D51AD"/>
    <w:rsid w:val="006D5548"/>
    <w:rsid w:val="006D578C"/>
    <w:rsid w:val="006D57A4"/>
    <w:rsid w:val="006D5939"/>
    <w:rsid w:val="006D5DE7"/>
    <w:rsid w:val="006D5FFA"/>
    <w:rsid w:val="006D60EC"/>
    <w:rsid w:val="006D6185"/>
    <w:rsid w:val="006D61AD"/>
    <w:rsid w:val="006D62D6"/>
    <w:rsid w:val="006D63BD"/>
    <w:rsid w:val="006D67C9"/>
    <w:rsid w:val="006D6EB4"/>
    <w:rsid w:val="006D756A"/>
    <w:rsid w:val="006D7782"/>
    <w:rsid w:val="006D79AA"/>
    <w:rsid w:val="006D7D58"/>
    <w:rsid w:val="006D7DE6"/>
    <w:rsid w:val="006D7ED7"/>
    <w:rsid w:val="006E082C"/>
    <w:rsid w:val="006E09C1"/>
    <w:rsid w:val="006E0A08"/>
    <w:rsid w:val="006E0A38"/>
    <w:rsid w:val="006E12A8"/>
    <w:rsid w:val="006E1891"/>
    <w:rsid w:val="006E1B30"/>
    <w:rsid w:val="006E2281"/>
    <w:rsid w:val="006E233D"/>
    <w:rsid w:val="006E27CD"/>
    <w:rsid w:val="006E2B14"/>
    <w:rsid w:val="006E2B62"/>
    <w:rsid w:val="006E2F65"/>
    <w:rsid w:val="006E31CD"/>
    <w:rsid w:val="006E3406"/>
    <w:rsid w:val="006E3894"/>
    <w:rsid w:val="006E38BF"/>
    <w:rsid w:val="006E3D17"/>
    <w:rsid w:val="006E3D4D"/>
    <w:rsid w:val="006E3F41"/>
    <w:rsid w:val="006E44A0"/>
    <w:rsid w:val="006E46CC"/>
    <w:rsid w:val="006E4809"/>
    <w:rsid w:val="006E49C3"/>
    <w:rsid w:val="006E4ADF"/>
    <w:rsid w:val="006E4D39"/>
    <w:rsid w:val="006E4F1F"/>
    <w:rsid w:val="006E5100"/>
    <w:rsid w:val="006E5767"/>
    <w:rsid w:val="006E591C"/>
    <w:rsid w:val="006E5994"/>
    <w:rsid w:val="006E5ABF"/>
    <w:rsid w:val="006E5B46"/>
    <w:rsid w:val="006E5BB1"/>
    <w:rsid w:val="006E5F00"/>
    <w:rsid w:val="006E62E3"/>
    <w:rsid w:val="006E6F46"/>
    <w:rsid w:val="006E6FC5"/>
    <w:rsid w:val="006E75D6"/>
    <w:rsid w:val="006E7627"/>
    <w:rsid w:val="006E7B12"/>
    <w:rsid w:val="006E7B9B"/>
    <w:rsid w:val="006E7BC2"/>
    <w:rsid w:val="006E7C81"/>
    <w:rsid w:val="006E7D52"/>
    <w:rsid w:val="006E7FAC"/>
    <w:rsid w:val="006F01CC"/>
    <w:rsid w:val="006F0B6F"/>
    <w:rsid w:val="006F1D7D"/>
    <w:rsid w:val="006F1DEC"/>
    <w:rsid w:val="006F2049"/>
    <w:rsid w:val="006F24D4"/>
    <w:rsid w:val="006F26E3"/>
    <w:rsid w:val="006F29EC"/>
    <w:rsid w:val="006F2BED"/>
    <w:rsid w:val="006F2C18"/>
    <w:rsid w:val="006F2D9B"/>
    <w:rsid w:val="006F2E42"/>
    <w:rsid w:val="006F31C7"/>
    <w:rsid w:val="006F351D"/>
    <w:rsid w:val="006F3593"/>
    <w:rsid w:val="006F363B"/>
    <w:rsid w:val="006F3785"/>
    <w:rsid w:val="006F3AD3"/>
    <w:rsid w:val="006F3CAA"/>
    <w:rsid w:val="006F43B9"/>
    <w:rsid w:val="006F45B1"/>
    <w:rsid w:val="006F50E5"/>
    <w:rsid w:val="006F583B"/>
    <w:rsid w:val="006F5F8F"/>
    <w:rsid w:val="006F6202"/>
    <w:rsid w:val="006F6D19"/>
    <w:rsid w:val="006F6D29"/>
    <w:rsid w:val="006F7464"/>
    <w:rsid w:val="006F751E"/>
    <w:rsid w:val="006F7967"/>
    <w:rsid w:val="006F7A85"/>
    <w:rsid w:val="006F7E0C"/>
    <w:rsid w:val="006F7E2D"/>
    <w:rsid w:val="0070042A"/>
    <w:rsid w:val="00700C56"/>
    <w:rsid w:val="00700D38"/>
    <w:rsid w:val="00700D93"/>
    <w:rsid w:val="00700DD7"/>
    <w:rsid w:val="00700EF2"/>
    <w:rsid w:val="0070119E"/>
    <w:rsid w:val="00701383"/>
    <w:rsid w:val="00701924"/>
    <w:rsid w:val="00701BA5"/>
    <w:rsid w:val="00701FDF"/>
    <w:rsid w:val="007027C0"/>
    <w:rsid w:val="00702962"/>
    <w:rsid w:val="007036F8"/>
    <w:rsid w:val="007039F7"/>
    <w:rsid w:val="00703B11"/>
    <w:rsid w:val="007043C2"/>
    <w:rsid w:val="00704468"/>
    <w:rsid w:val="007045E5"/>
    <w:rsid w:val="007045FE"/>
    <w:rsid w:val="007046B7"/>
    <w:rsid w:val="00704887"/>
    <w:rsid w:val="00704899"/>
    <w:rsid w:val="00704C7E"/>
    <w:rsid w:val="00705016"/>
    <w:rsid w:val="0070528C"/>
    <w:rsid w:val="007052A2"/>
    <w:rsid w:val="00705454"/>
    <w:rsid w:val="00705AB5"/>
    <w:rsid w:val="00705C83"/>
    <w:rsid w:val="007069B6"/>
    <w:rsid w:val="00706ACB"/>
    <w:rsid w:val="00706E39"/>
    <w:rsid w:val="00706E5C"/>
    <w:rsid w:val="007074E3"/>
    <w:rsid w:val="007075B4"/>
    <w:rsid w:val="00707934"/>
    <w:rsid w:val="00707C38"/>
    <w:rsid w:val="00707C6E"/>
    <w:rsid w:val="00707C7C"/>
    <w:rsid w:val="00710181"/>
    <w:rsid w:val="007103A2"/>
    <w:rsid w:val="007103CD"/>
    <w:rsid w:val="0071073D"/>
    <w:rsid w:val="00710927"/>
    <w:rsid w:val="00710AD2"/>
    <w:rsid w:val="00710EC2"/>
    <w:rsid w:val="00710FA2"/>
    <w:rsid w:val="00711040"/>
    <w:rsid w:val="00711544"/>
    <w:rsid w:val="00711589"/>
    <w:rsid w:val="007119F1"/>
    <w:rsid w:val="00711B68"/>
    <w:rsid w:val="00711B85"/>
    <w:rsid w:val="00711D9F"/>
    <w:rsid w:val="00711E50"/>
    <w:rsid w:val="00712097"/>
    <w:rsid w:val="007122A4"/>
    <w:rsid w:val="0071263E"/>
    <w:rsid w:val="00712C8F"/>
    <w:rsid w:val="00712E27"/>
    <w:rsid w:val="00712F3E"/>
    <w:rsid w:val="00713370"/>
    <w:rsid w:val="007133A9"/>
    <w:rsid w:val="0071398A"/>
    <w:rsid w:val="0071422C"/>
    <w:rsid w:val="007143F5"/>
    <w:rsid w:val="00714831"/>
    <w:rsid w:val="00714965"/>
    <w:rsid w:val="00714FA1"/>
    <w:rsid w:val="00715246"/>
    <w:rsid w:val="00715252"/>
    <w:rsid w:val="00715260"/>
    <w:rsid w:val="007152F3"/>
    <w:rsid w:val="00715A7E"/>
    <w:rsid w:val="00715F7D"/>
    <w:rsid w:val="007163A5"/>
    <w:rsid w:val="007163BC"/>
    <w:rsid w:val="00716549"/>
    <w:rsid w:val="00716B66"/>
    <w:rsid w:val="007172B6"/>
    <w:rsid w:val="007178EF"/>
    <w:rsid w:val="00720471"/>
    <w:rsid w:val="0072048A"/>
    <w:rsid w:val="00720684"/>
    <w:rsid w:val="00720860"/>
    <w:rsid w:val="00720960"/>
    <w:rsid w:val="00720A57"/>
    <w:rsid w:val="00720D75"/>
    <w:rsid w:val="00721844"/>
    <w:rsid w:val="00721FB3"/>
    <w:rsid w:val="0072228A"/>
    <w:rsid w:val="007222BD"/>
    <w:rsid w:val="007222DA"/>
    <w:rsid w:val="007224D3"/>
    <w:rsid w:val="007228AF"/>
    <w:rsid w:val="00722AC6"/>
    <w:rsid w:val="00722C10"/>
    <w:rsid w:val="00723272"/>
    <w:rsid w:val="0072362E"/>
    <w:rsid w:val="00723DAA"/>
    <w:rsid w:val="007241A7"/>
    <w:rsid w:val="0072439C"/>
    <w:rsid w:val="007243BD"/>
    <w:rsid w:val="00724870"/>
    <w:rsid w:val="00724CA2"/>
    <w:rsid w:val="00724D8A"/>
    <w:rsid w:val="0072522B"/>
    <w:rsid w:val="007252A1"/>
    <w:rsid w:val="0072555F"/>
    <w:rsid w:val="00725586"/>
    <w:rsid w:val="007258A8"/>
    <w:rsid w:val="00725904"/>
    <w:rsid w:val="00725EDD"/>
    <w:rsid w:val="0072612C"/>
    <w:rsid w:val="00726541"/>
    <w:rsid w:val="007266A1"/>
    <w:rsid w:val="0072688C"/>
    <w:rsid w:val="00726D60"/>
    <w:rsid w:val="00727018"/>
    <w:rsid w:val="00727793"/>
    <w:rsid w:val="00727BCC"/>
    <w:rsid w:val="00727FFE"/>
    <w:rsid w:val="00730051"/>
    <w:rsid w:val="00730A2A"/>
    <w:rsid w:val="00730BB2"/>
    <w:rsid w:val="00730E9C"/>
    <w:rsid w:val="00731479"/>
    <w:rsid w:val="00731A49"/>
    <w:rsid w:val="007326F6"/>
    <w:rsid w:val="00732918"/>
    <w:rsid w:val="007331C6"/>
    <w:rsid w:val="00733344"/>
    <w:rsid w:val="00733F54"/>
    <w:rsid w:val="007342D6"/>
    <w:rsid w:val="0073444C"/>
    <w:rsid w:val="007347DF"/>
    <w:rsid w:val="007349B1"/>
    <w:rsid w:val="00734C9F"/>
    <w:rsid w:val="00734F42"/>
    <w:rsid w:val="00734F67"/>
    <w:rsid w:val="007350CC"/>
    <w:rsid w:val="007352BC"/>
    <w:rsid w:val="0073536F"/>
    <w:rsid w:val="0073549D"/>
    <w:rsid w:val="00735B4A"/>
    <w:rsid w:val="00735E7D"/>
    <w:rsid w:val="00735EF3"/>
    <w:rsid w:val="00735F46"/>
    <w:rsid w:val="00736252"/>
    <w:rsid w:val="00736456"/>
    <w:rsid w:val="00736584"/>
    <w:rsid w:val="00736888"/>
    <w:rsid w:val="0073709E"/>
    <w:rsid w:val="0073751D"/>
    <w:rsid w:val="007375BE"/>
    <w:rsid w:val="00737B05"/>
    <w:rsid w:val="00737BF0"/>
    <w:rsid w:val="00737D57"/>
    <w:rsid w:val="00737D90"/>
    <w:rsid w:val="00740910"/>
    <w:rsid w:val="0074099E"/>
    <w:rsid w:val="00740AAF"/>
    <w:rsid w:val="00740B4F"/>
    <w:rsid w:val="007410AE"/>
    <w:rsid w:val="00741175"/>
    <w:rsid w:val="00741343"/>
    <w:rsid w:val="007413A0"/>
    <w:rsid w:val="00741427"/>
    <w:rsid w:val="007415E1"/>
    <w:rsid w:val="00741E76"/>
    <w:rsid w:val="00742084"/>
    <w:rsid w:val="007429F5"/>
    <w:rsid w:val="00742A21"/>
    <w:rsid w:val="00742CF0"/>
    <w:rsid w:val="00742D4A"/>
    <w:rsid w:val="00742E48"/>
    <w:rsid w:val="0074366D"/>
    <w:rsid w:val="00743A5F"/>
    <w:rsid w:val="00743AD6"/>
    <w:rsid w:val="00743B8B"/>
    <w:rsid w:val="007441C0"/>
    <w:rsid w:val="007442AB"/>
    <w:rsid w:val="007444DD"/>
    <w:rsid w:val="00744800"/>
    <w:rsid w:val="00744917"/>
    <w:rsid w:val="00744C78"/>
    <w:rsid w:val="0074526E"/>
    <w:rsid w:val="007459B2"/>
    <w:rsid w:val="00746150"/>
    <w:rsid w:val="00747A64"/>
    <w:rsid w:val="00747B54"/>
    <w:rsid w:val="00747CD4"/>
    <w:rsid w:val="00747D3B"/>
    <w:rsid w:val="00747EE3"/>
    <w:rsid w:val="00747F86"/>
    <w:rsid w:val="0075003E"/>
    <w:rsid w:val="00750186"/>
    <w:rsid w:val="00750AC7"/>
    <w:rsid w:val="00750D91"/>
    <w:rsid w:val="00750E29"/>
    <w:rsid w:val="007511E7"/>
    <w:rsid w:val="00751291"/>
    <w:rsid w:val="0075182D"/>
    <w:rsid w:val="0075190E"/>
    <w:rsid w:val="00751963"/>
    <w:rsid w:val="00751A86"/>
    <w:rsid w:val="00751F7D"/>
    <w:rsid w:val="00752199"/>
    <w:rsid w:val="00752352"/>
    <w:rsid w:val="007523C2"/>
    <w:rsid w:val="00752DC2"/>
    <w:rsid w:val="007530FD"/>
    <w:rsid w:val="007535D7"/>
    <w:rsid w:val="007538DB"/>
    <w:rsid w:val="00753DA3"/>
    <w:rsid w:val="00753EC8"/>
    <w:rsid w:val="00753F44"/>
    <w:rsid w:val="00754052"/>
    <w:rsid w:val="007540D5"/>
    <w:rsid w:val="0075445F"/>
    <w:rsid w:val="00755DA0"/>
    <w:rsid w:val="0075631E"/>
    <w:rsid w:val="00756554"/>
    <w:rsid w:val="0075665D"/>
    <w:rsid w:val="007567AD"/>
    <w:rsid w:val="007569BD"/>
    <w:rsid w:val="0075702B"/>
    <w:rsid w:val="00757071"/>
    <w:rsid w:val="0075710D"/>
    <w:rsid w:val="00757530"/>
    <w:rsid w:val="00757792"/>
    <w:rsid w:val="00757B54"/>
    <w:rsid w:val="00757D7F"/>
    <w:rsid w:val="00760628"/>
    <w:rsid w:val="00760689"/>
    <w:rsid w:val="00760A66"/>
    <w:rsid w:val="00760E00"/>
    <w:rsid w:val="00760E4F"/>
    <w:rsid w:val="00761705"/>
    <w:rsid w:val="00761959"/>
    <w:rsid w:val="00761A0F"/>
    <w:rsid w:val="00761C67"/>
    <w:rsid w:val="00762103"/>
    <w:rsid w:val="00762545"/>
    <w:rsid w:val="00762610"/>
    <w:rsid w:val="0076278D"/>
    <w:rsid w:val="0076282B"/>
    <w:rsid w:val="00763295"/>
    <w:rsid w:val="00763621"/>
    <w:rsid w:val="00763A0D"/>
    <w:rsid w:val="00763A9C"/>
    <w:rsid w:val="00763C63"/>
    <w:rsid w:val="00763F08"/>
    <w:rsid w:val="00763FE1"/>
    <w:rsid w:val="0076441D"/>
    <w:rsid w:val="00764595"/>
    <w:rsid w:val="00765803"/>
    <w:rsid w:val="00765D9C"/>
    <w:rsid w:val="0076610F"/>
    <w:rsid w:val="00766270"/>
    <w:rsid w:val="00766CD8"/>
    <w:rsid w:val="007677A5"/>
    <w:rsid w:val="007678FE"/>
    <w:rsid w:val="0076798C"/>
    <w:rsid w:val="00767E7F"/>
    <w:rsid w:val="00770056"/>
    <w:rsid w:val="007700F3"/>
    <w:rsid w:val="00770384"/>
    <w:rsid w:val="00770A7F"/>
    <w:rsid w:val="00771173"/>
    <w:rsid w:val="00771352"/>
    <w:rsid w:val="00771386"/>
    <w:rsid w:val="00771BCB"/>
    <w:rsid w:val="00772087"/>
    <w:rsid w:val="00772127"/>
    <w:rsid w:val="0077225C"/>
    <w:rsid w:val="00772295"/>
    <w:rsid w:val="0077266C"/>
    <w:rsid w:val="0077283C"/>
    <w:rsid w:val="00772B3A"/>
    <w:rsid w:val="007734A2"/>
    <w:rsid w:val="007734C0"/>
    <w:rsid w:val="0077377A"/>
    <w:rsid w:val="00773A85"/>
    <w:rsid w:val="00773AFF"/>
    <w:rsid w:val="00773E2F"/>
    <w:rsid w:val="00773FA1"/>
    <w:rsid w:val="00774170"/>
    <w:rsid w:val="00774448"/>
    <w:rsid w:val="00774AA7"/>
    <w:rsid w:val="00775093"/>
    <w:rsid w:val="007755FB"/>
    <w:rsid w:val="007758D5"/>
    <w:rsid w:val="00775D28"/>
    <w:rsid w:val="00775F0D"/>
    <w:rsid w:val="007762C6"/>
    <w:rsid w:val="00776798"/>
    <w:rsid w:val="00776DC4"/>
    <w:rsid w:val="00777206"/>
    <w:rsid w:val="00777480"/>
    <w:rsid w:val="0077772E"/>
    <w:rsid w:val="007778D1"/>
    <w:rsid w:val="00777BB2"/>
    <w:rsid w:val="007800DA"/>
    <w:rsid w:val="00780238"/>
    <w:rsid w:val="007803C1"/>
    <w:rsid w:val="007803D8"/>
    <w:rsid w:val="00780843"/>
    <w:rsid w:val="007809BB"/>
    <w:rsid w:val="0078119F"/>
    <w:rsid w:val="0078136B"/>
    <w:rsid w:val="00781868"/>
    <w:rsid w:val="0078193F"/>
    <w:rsid w:val="00781B61"/>
    <w:rsid w:val="00782966"/>
    <w:rsid w:val="00782A0D"/>
    <w:rsid w:val="0078340E"/>
    <w:rsid w:val="00783519"/>
    <w:rsid w:val="007836C6"/>
    <w:rsid w:val="007837DB"/>
    <w:rsid w:val="00783B72"/>
    <w:rsid w:val="00783F01"/>
    <w:rsid w:val="00783FB2"/>
    <w:rsid w:val="00784057"/>
    <w:rsid w:val="007847CE"/>
    <w:rsid w:val="00784A47"/>
    <w:rsid w:val="00784BC4"/>
    <w:rsid w:val="00784D61"/>
    <w:rsid w:val="00784E42"/>
    <w:rsid w:val="007857C5"/>
    <w:rsid w:val="00786126"/>
    <w:rsid w:val="00786245"/>
    <w:rsid w:val="0078631A"/>
    <w:rsid w:val="007864D6"/>
    <w:rsid w:val="007867F9"/>
    <w:rsid w:val="007868B9"/>
    <w:rsid w:val="00786C04"/>
    <w:rsid w:val="00786EE2"/>
    <w:rsid w:val="007872A7"/>
    <w:rsid w:val="00787681"/>
    <w:rsid w:val="0078770B"/>
    <w:rsid w:val="0079003E"/>
    <w:rsid w:val="0079069E"/>
    <w:rsid w:val="00790735"/>
    <w:rsid w:val="007908AB"/>
    <w:rsid w:val="00790A81"/>
    <w:rsid w:val="00790F2D"/>
    <w:rsid w:val="007915F7"/>
    <w:rsid w:val="007918A0"/>
    <w:rsid w:val="007919EE"/>
    <w:rsid w:val="00791AC2"/>
    <w:rsid w:val="00791BBA"/>
    <w:rsid w:val="00791BE1"/>
    <w:rsid w:val="00791D0E"/>
    <w:rsid w:val="00791D26"/>
    <w:rsid w:val="00791DBD"/>
    <w:rsid w:val="00791F15"/>
    <w:rsid w:val="00791F27"/>
    <w:rsid w:val="00792235"/>
    <w:rsid w:val="007924C2"/>
    <w:rsid w:val="007924E3"/>
    <w:rsid w:val="00792B08"/>
    <w:rsid w:val="00792B21"/>
    <w:rsid w:val="00792EE6"/>
    <w:rsid w:val="00792F7C"/>
    <w:rsid w:val="00793162"/>
    <w:rsid w:val="00793634"/>
    <w:rsid w:val="007936AF"/>
    <w:rsid w:val="00793807"/>
    <w:rsid w:val="00793B6E"/>
    <w:rsid w:val="00793C0C"/>
    <w:rsid w:val="007940CF"/>
    <w:rsid w:val="007943C5"/>
    <w:rsid w:val="00794829"/>
    <w:rsid w:val="007948A7"/>
    <w:rsid w:val="00794952"/>
    <w:rsid w:val="00794B2B"/>
    <w:rsid w:val="00794B68"/>
    <w:rsid w:val="00795465"/>
    <w:rsid w:val="00795707"/>
    <w:rsid w:val="007959DB"/>
    <w:rsid w:val="00796149"/>
    <w:rsid w:val="007965AC"/>
    <w:rsid w:val="007966E8"/>
    <w:rsid w:val="00797D5D"/>
    <w:rsid w:val="007A0122"/>
    <w:rsid w:val="007A019C"/>
    <w:rsid w:val="007A03F6"/>
    <w:rsid w:val="007A053E"/>
    <w:rsid w:val="007A0DF4"/>
    <w:rsid w:val="007A0FB5"/>
    <w:rsid w:val="007A10F6"/>
    <w:rsid w:val="007A172E"/>
    <w:rsid w:val="007A1817"/>
    <w:rsid w:val="007A196A"/>
    <w:rsid w:val="007A214A"/>
    <w:rsid w:val="007A243C"/>
    <w:rsid w:val="007A2809"/>
    <w:rsid w:val="007A2862"/>
    <w:rsid w:val="007A2991"/>
    <w:rsid w:val="007A3290"/>
    <w:rsid w:val="007A39A5"/>
    <w:rsid w:val="007A3D73"/>
    <w:rsid w:val="007A3F6B"/>
    <w:rsid w:val="007A4263"/>
    <w:rsid w:val="007A4831"/>
    <w:rsid w:val="007A4D29"/>
    <w:rsid w:val="007A5043"/>
    <w:rsid w:val="007A5876"/>
    <w:rsid w:val="007A589F"/>
    <w:rsid w:val="007A5A8F"/>
    <w:rsid w:val="007A5BB1"/>
    <w:rsid w:val="007A5CB4"/>
    <w:rsid w:val="007A637D"/>
    <w:rsid w:val="007A678F"/>
    <w:rsid w:val="007A679E"/>
    <w:rsid w:val="007A6884"/>
    <w:rsid w:val="007A773E"/>
    <w:rsid w:val="007A7768"/>
    <w:rsid w:val="007B04E2"/>
    <w:rsid w:val="007B05DC"/>
    <w:rsid w:val="007B08B8"/>
    <w:rsid w:val="007B0918"/>
    <w:rsid w:val="007B09E6"/>
    <w:rsid w:val="007B0ED4"/>
    <w:rsid w:val="007B113D"/>
    <w:rsid w:val="007B13E2"/>
    <w:rsid w:val="007B17E2"/>
    <w:rsid w:val="007B19A6"/>
    <w:rsid w:val="007B1BAD"/>
    <w:rsid w:val="007B1DA8"/>
    <w:rsid w:val="007B1EEF"/>
    <w:rsid w:val="007B2870"/>
    <w:rsid w:val="007B2AF7"/>
    <w:rsid w:val="007B2AFA"/>
    <w:rsid w:val="007B3165"/>
    <w:rsid w:val="007B3A5E"/>
    <w:rsid w:val="007B3A86"/>
    <w:rsid w:val="007B3B21"/>
    <w:rsid w:val="007B3C43"/>
    <w:rsid w:val="007B3FD2"/>
    <w:rsid w:val="007B4554"/>
    <w:rsid w:val="007B48DD"/>
    <w:rsid w:val="007B494E"/>
    <w:rsid w:val="007B4A0C"/>
    <w:rsid w:val="007B4BB3"/>
    <w:rsid w:val="007B4EDC"/>
    <w:rsid w:val="007B5448"/>
    <w:rsid w:val="007B58AF"/>
    <w:rsid w:val="007B5A7D"/>
    <w:rsid w:val="007B5BE5"/>
    <w:rsid w:val="007B5D29"/>
    <w:rsid w:val="007B611F"/>
    <w:rsid w:val="007B66CA"/>
    <w:rsid w:val="007B691A"/>
    <w:rsid w:val="007B69CE"/>
    <w:rsid w:val="007B7034"/>
    <w:rsid w:val="007B728D"/>
    <w:rsid w:val="007B7429"/>
    <w:rsid w:val="007B75E9"/>
    <w:rsid w:val="007B7635"/>
    <w:rsid w:val="007B76AC"/>
    <w:rsid w:val="007B7727"/>
    <w:rsid w:val="007B7C7E"/>
    <w:rsid w:val="007B7DDD"/>
    <w:rsid w:val="007B7F74"/>
    <w:rsid w:val="007B7FA9"/>
    <w:rsid w:val="007C0E1E"/>
    <w:rsid w:val="007C10F4"/>
    <w:rsid w:val="007C12F9"/>
    <w:rsid w:val="007C134C"/>
    <w:rsid w:val="007C1AB4"/>
    <w:rsid w:val="007C1D99"/>
    <w:rsid w:val="007C1E2E"/>
    <w:rsid w:val="007C1E87"/>
    <w:rsid w:val="007C2399"/>
    <w:rsid w:val="007C252E"/>
    <w:rsid w:val="007C253D"/>
    <w:rsid w:val="007C258D"/>
    <w:rsid w:val="007C25B6"/>
    <w:rsid w:val="007C27F9"/>
    <w:rsid w:val="007C28CF"/>
    <w:rsid w:val="007C2B61"/>
    <w:rsid w:val="007C302D"/>
    <w:rsid w:val="007C322F"/>
    <w:rsid w:val="007C3255"/>
    <w:rsid w:val="007C34A0"/>
    <w:rsid w:val="007C3554"/>
    <w:rsid w:val="007C3700"/>
    <w:rsid w:val="007C3EC4"/>
    <w:rsid w:val="007C3ED5"/>
    <w:rsid w:val="007C430B"/>
    <w:rsid w:val="007C47E7"/>
    <w:rsid w:val="007C4BC5"/>
    <w:rsid w:val="007C4C7D"/>
    <w:rsid w:val="007C5516"/>
    <w:rsid w:val="007C5720"/>
    <w:rsid w:val="007C587F"/>
    <w:rsid w:val="007C5A7B"/>
    <w:rsid w:val="007C5AC4"/>
    <w:rsid w:val="007C5CAE"/>
    <w:rsid w:val="007C5D5A"/>
    <w:rsid w:val="007C5E57"/>
    <w:rsid w:val="007C6364"/>
    <w:rsid w:val="007C672C"/>
    <w:rsid w:val="007C6844"/>
    <w:rsid w:val="007C6B38"/>
    <w:rsid w:val="007C6F44"/>
    <w:rsid w:val="007C708A"/>
    <w:rsid w:val="007C71A1"/>
    <w:rsid w:val="007C71CC"/>
    <w:rsid w:val="007C73F9"/>
    <w:rsid w:val="007C73FB"/>
    <w:rsid w:val="007C7704"/>
    <w:rsid w:val="007C7CE2"/>
    <w:rsid w:val="007D0240"/>
    <w:rsid w:val="007D02F7"/>
    <w:rsid w:val="007D091A"/>
    <w:rsid w:val="007D0931"/>
    <w:rsid w:val="007D0CC0"/>
    <w:rsid w:val="007D0F64"/>
    <w:rsid w:val="007D100D"/>
    <w:rsid w:val="007D159C"/>
    <w:rsid w:val="007D15C3"/>
    <w:rsid w:val="007D19CD"/>
    <w:rsid w:val="007D1C1D"/>
    <w:rsid w:val="007D1E75"/>
    <w:rsid w:val="007D1ED9"/>
    <w:rsid w:val="007D1FC8"/>
    <w:rsid w:val="007D2071"/>
    <w:rsid w:val="007D238C"/>
    <w:rsid w:val="007D2B05"/>
    <w:rsid w:val="007D2E42"/>
    <w:rsid w:val="007D3137"/>
    <w:rsid w:val="007D31A7"/>
    <w:rsid w:val="007D3294"/>
    <w:rsid w:val="007D3370"/>
    <w:rsid w:val="007D341D"/>
    <w:rsid w:val="007D3870"/>
    <w:rsid w:val="007D3991"/>
    <w:rsid w:val="007D399B"/>
    <w:rsid w:val="007D3A40"/>
    <w:rsid w:val="007D3DF7"/>
    <w:rsid w:val="007D3E05"/>
    <w:rsid w:val="007D3ECF"/>
    <w:rsid w:val="007D4F2B"/>
    <w:rsid w:val="007D51D8"/>
    <w:rsid w:val="007D51EE"/>
    <w:rsid w:val="007D5359"/>
    <w:rsid w:val="007D5A21"/>
    <w:rsid w:val="007D5C9E"/>
    <w:rsid w:val="007D5D0E"/>
    <w:rsid w:val="007D5E71"/>
    <w:rsid w:val="007D6189"/>
    <w:rsid w:val="007D6BFD"/>
    <w:rsid w:val="007D6CBE"/>
    <w:rsid w:val="007D6EC4"/>
    <w:rsid w:val="007D716A"/>
    <w:rsid w:val="007D7272"/>
    <w:rsid w:val="007D75FD"/>
    <w:rsid w:val="007D7B67"/>
    <w:rsid w:val="007E02ED"/>
    <w:rsid w:val="007E05BE"/>
    <w:rsid w:val="007E097C"/>
    <w:rsid w:val="007E0986"/>
    <w:rsid w:val="007E0AA8"/>
    <w:rsid w:val="007E109B"/>
    <w:rsid w:val="007E1695"/>
    <w:rsid w:val="007E1B05"/>
    <w:rsid w:val="007E1FD7"/>
    <w:rsid w:val="007E1FF0"/>
    <w:rsid w:val="007E22CF"/>
    <w:rsid w:val="007E2427"/>
    <w:rsid w:val="007E245A"/>
    <w:rsid w:val="007E2639"/>
    <w:rsid w:val="007E2D3B"/>
    <w:rsid w:val="007E3064"/>
    <w:rsid w:val="007E33C8"/>
    <w:rsid w:val="007E351D"/>
    <w:rsid w:val="007E41F4"/>
    <w:rsid w:val="007E42FB"/>
    <w:rsid w:val="007E4F05"/>
    <w:rsid w:val="007E5130"/>
    <w:rsid w:val="007E5290"/>
    <w:rsid w:val="007E54B4"/>
    <w:rsid w:val="007E5785"/>
    <w:rsid w:val="007E57AF"/>
    <w:rsid w:val="007E5C33"/>
    <w:rsid w:val="007E6079"/>
    <w:rsid w:val="007E66D5"/>
    <w:rsid w:val="007E690E"/>
    <w:rsid w:val="007E6B4F"/>
    <w:rsid w:val="007E6BC5"/>
    <w:rsid w:val="007E7197"/>
    <w:rsid w:val="007E779B"/>
    <w:rsid w:val="007E78E7"/>
    <w:rsid w:val="007E7A25"/>
    <w:rsid w:val="007E7E7B"/>
    <w:rsid w:val="007F00D8"/>
    <w:rsid w:val="007F076E"/>
    <w:rsid w:val="007F0DE4"/>
    <w:rsid w:val="007F0DE7"/>
    <w:rsid w:val="007F0FB4"/>
    <w:rsid w:val="007F14E4"/>
    <w:rsid w:val="007F14EC"/>
    <w:rsid w:val="007F1625"/>
    <w:rsid w:val="007F162C"/>
    <w:rsid w:val="007F179A"/>
    <w:rsid w:val="007F1A7A"/>
    <w:rsid w:val="007F1C79"/>
    <w:rsid w:val="007F219E"/>
    <w:rsid w:val="007F2509"/>
    <w:rsid w:val="007F2802"/>
    <w:rsid w:val="007F2994"/>
    <w:rsid w:val="007F2EF6"/>
    <w:rsid w:val="007F352F"/>
    <w:rsid w:val="007F367D"/>
    <w:rsid w:val="007F3DCA"/>
    <w:rsid w:val="007F3E3C"/>
    <w:rsid w:val="007F3E59"/>
    <w:rsid w:val="007F420E"/>
    <w:rsid w:val="007F46F5"/>
    <w:rsid w:val="007F4B94"/>
    <w:rsid w:val="007F4F3F"/>
    <w:rsid w:val="007F53BC"/>
    <w:rsid w:val="007F54CA"/>
    <w:rsid w:val="007F5660"/>
    <w:rsid w:val="007F5824"/>
    <w:rsid w:val="007F5AE9"/>
    <w:rsid w:val="007F61E9"/>
    <w:rsid w:val="007F63FA"/>
    <w:rsid w:val="007F643C"/>
    <w:rsid w:val="007F6446"/>
    <w:rsid w:val="007F671D"/>
    <w:rsid w:val="007F685B"/>
    <w:rsid w:val="007F6B21"/>
    <w:rsid w:val="007F72FC"/>
    <w:rsid w:val="007F75EF"/>
    <w:rsid w:val="007F7A34"/>
    <w:rsid w:val="007F7E12"/>
    <w:rsid w:val="00800271"/>
    <w:rsid w:val="00800293"/>
    <w:rsid w:val="0080044E"/>
    <w:rsid w:val="00800C89"/>
    <w:rsid w:val="00800F23"/>
    <w:rsid w:val="00800FF7"/>
    <w:rsid w:val="00801331"/>
    <w:rsid w:val="00801858"/>
    <w:rsid w:val="008019E7"/>
    <w:rsid w:val="00801A40"/>
    <w:rsid w:val="008025C5"/>
    <w:rsid w:val="0080294A"/>
    <w:rsid w:val="00802B11"/>
    <w:rsid w:val="00802FF6"/>
    <w:rsid w:val="00803306"/>
    <w:rsid w:val="00803A2A"/>
    <w:rsid w:val="00803BDA"/>
    <w:rsid w:val="00803D62"/>
    <w:rsid w:val="0080471A"/>
    <w:rsid w:val="00804A95"/>
    <w:rsid w:val="00804AD0"/>
    <w:rsid w:val="00804E2F"/>
    <w:rsid w:val="00804FA0"/>
    <w:rsid w:val="00804FBD"/>
    <w:rsid w:val="00805338"/>
    <w:rsid w:val="008059E9"/>
    <w:rsid w:val="00805E6E"/>
    <w:rsid w:val="00805E8D"/>
    <w:rsid w:val="008063CA"/>
    <w:rsid w:val="008064F5"/>
    <w:rsid w:val="00806885"/>
    <w:rsid w:val="008068C4"/>
    <w:rsid w:val="00806A09"/>
    <w:rsid w:val="00806B64"/>
    <w:rsid w:val="00806D2D"/>
    <w:rsid w:val="008071AB"/>
    <w:rsid w:val="00807328"/>
    <w:rsid w:val="0080773C"/>
    <w:rsid w:val="008077F8"/>
    <w:rsid w:val="008078C7"/>
    <w:rsid w:val="00807AB9"/>
    <w:rsid w:val="00807D72"/>
    <w:rsid w:val="00807E52"/>
    <w:rsid w:val="008101BB"/>
    <w:rsid w:val="00810240"/>
    <w:rsid w:val="0081047A"/>
    <w:rsid w:val="00810807"/>
    <w:rsid w:val="00810960"/>
    <w:rsid w:val="00810BDF"/>
    <w:rsid w:val="00811181"/>
    <w:rsid w:val="00811473"/>
    <w:rsid w:val="00811FDC"/>
    <w:rsid w:val="00812043"/>
    <w:rsid w:val="00812684"/>
    <w:rsid w:val="00812824"/>
    <w:rsid w:val="00812AA8"/>
    <w:rsid w:val="00813348"/>
    <w:rsid w:val="0081340E"/>
    <w:rsid w:val="00813507"/>
    <w:rsid w:val="00813755"/>
    <w:rsid w:val="00813968"/>
    <w:rsid w:val="008139A8"/>
    <w:rsid w:val="00813CA3"/>
    <w:rsid w:val="00814436"/>
    <w:rsid w:val="00814C96"/>
    <w:rsid w:val="00814CD2"/>
    <w:rsid w:val="00814D3D"/>
    <w:rsid w:val="00814F78"/>
    <w:rsid w:val="00815132"/>
    <w:rsid w:val="00815678"/>
    <w:rsid w:val="008157B2"/>
    <w:rsid w:val="00815DDA"/>
    <w:rsid w:val="00815E4E"/>
    <w:rsid w:val="00816058"/>
    <w:rsid w:val="00816065"/>
    <w:rsid w:val="008163B5"/>
    <w:rsid w:val="00816609"/>
    <w:rsid w:val="00816A06"/>
    <w:rsid w:val="00816D8F"/>
    <w:rsid w:val="00816F9D"/>
    <w:rsid w:val="008172A3"/>
    <w:rsid w:val="008177C3"/>
    <w:rsid w:val="00817888"/>
    <w:rsid w:val="00820071"/>
    <w:rsid w:val="008201A7"/>
    <w:rsid w:val="0082031F"/>
    <w:rsid w:val="00820492"/>
    <w:rsid w:val="00820608"/>
    <w:rsid w:val="008208BC"/>
    <w:rsid w:val="008209A1"/>
    <w:rsid w:val="008209E3"/>
    <w:rsid w:val="00820A85"/>
    <w:rsid w:val="00820D72"/>
    <w:rsid w:val="00820D83"/>
    <w:rsid w:val="00820E95"/>
    <w:rsid w:val="00821171"/>
    <w:rsid w:val="008212D0"/>
    <w:rsid w:val="008214EE"/>
    <w:rsid w:val="0082196B"/>
    <w:rsid w:val="008219D6"/>
    <w:rsid w:val="00821A00"/>
    <w:rsid w:val="00821C75"/>
    <w:rsid w:val="00821F1B"/>
    <w:rsid w:val="00822787"/>
    <w:rsid w:val="00822B15"/>
    <w:rsid w:val="00823387"/>
    <w:rsid w:val="00823720"/>
    <w:rsid w:val="00823B26"/>
    <w:rsid w:val="00824292"/>
    <w:rsid w:val="00824420"/>
    <w:rsid w:val="008246D3"/>
    <w:rsid w:val="00824CC0"/>
    <w:rsid w:val="00824DAC"/>
    <w:rsid w:val="00824E4E"/>
    <w:rsid w:val="00825404"/>
    <w:rsid w:val="008256F4"/>
    <w:rsid w:val="00825874"/>
    <w:rsid w:val="00825929"/>
    <w:rsid w:val="00825F54"/>
    <w:rsid w:val="00826086"/>
    <w:rsid w:val="00826342"/>
    <w:rsid w:val="00826866"/>
    <w:rsid w:val="00826C7D"/>
    <w:rsid w:val="00826CEF"/>
    <w:rsid w:val="00826CFE"/>
    <w:rsid w:val="00827BB5"/>
    <w:rsid w:val="00827DDC"/>
    <w:rsid w:val="00827FE3"/>
    <w:rsid w:val="0083001E"/>
    <w:rsid w:val="008300AA"/>
    <w:rsid w:val="008301E2"/>
    <w:rsid w:val="008307D9"/>
    <w:rsid w:val="00830B8D"/>
    <w:rsid w:val="00830DCA"/>
    <w:rsid w:val="00831060"/>
    <w:rsid w:val="008315AC"/>
    <w:rsid w:val="00831B5A"/>
    <w:rsid w:val="00831C39"/>
    <w:rsid w:val="0083213F"/>
    <w:rsid w:val="00832222"/>
    <w:rsid w:val="008325A9"/>
    <w:rsid w:val="008332FC"/>
    <w:rsid w:val="00833529"/>
    <w:rsid w:val="0083377D"/>
    <w:rsid w:val="00833DDE"/>
    <w:rsid w:val="00833F22"/>
    <w:rsid w:val="008341CE"/>
    <w:rsid w:val="00834409"/>
    <w:rsid w:val="008344ED"/>
    <w:rsid w:val="00834AFD"/>
    <w:rsid w:val="00834BCC"/>
    <w:rsid w:val="00834CF0"/>
    <w:rsid w:val="00834EF0"/>
    <w:rsid w:val="00835583"/>
    <w:rsid w:val="00835C70"/>
    <w:rsid w:val="008364E1"/>
    <w:rsid w:val="0083720B"/>
    <w:rsid w:val="0083725A"/>
    <w:rsid w:val="008372CE"/>
    <w:rsid w:val="008375E2"/>
    <w:rsid w:val="0083763F"/>
    <w:rsid w:val="00837933"/>
    <w:rsid w:val="00837EFA"/>
    <w:rsid w:val="00837FB3"/>
    <w:rsid w:val="00840165"/>
    <w:rsid w:val="00840281"/>
    <w:rsid w:val="00840476"/>
    <w:rsid w:val="008407EC"/>
    <w:rsid w:val="00840841"/>
    <w:rsid w:val="008409BB"/>
    <w:rsid w:val="00840E38"/>
    <w:rsid w:val="00840F30"/>
    <w:rsid w:val="00840FAD"/>
    <w:rsid w:val="00841173"/>
    <w:rsid w:val="008413C2"/>
    <w:rsid w:val="00841BA4"/>
    <w:rsid w:val="00841C82"/>
    <w:rsid w:val="00841CB1"/>
    <w:rsid w:val="00842018"/>
    <w:rsid w:val="008424DF"/>
    <w:rsid w:val="00842A27"/>
    <w:rsid w:val="00842D24"/>
    <w:rsid w:val="00843167"/>
    <w:rsid w:val="00843274"/>
    <w:rsid w:val="0084351A"/>
    <w:rsid w:val="00843889"/>
    <w:rsid w:val="00843975"/>
    <w:rsid w:val="008445FD"/>
    <w:rsid w:val="008449E5"/>
    <w:rsid w:val="00844C8C"/>
    <w:rsid w:val="00845182"/>
    <w:rsid w:val="008454C1"/>
    <w:rsid w:val="00845B7B"/>
    <w:rsid w:val="00845D28"/>
    <w:rsid w:val="0084603F"/>
    <w:rsid w:val="00846126"/>
    <w:rsid w:val="008465C5"/>
    <w:rsid w:val="00846950"/>
    <w:rsid w:val="00846BFF"/>
    <w:rsid w:val="00846C5D"/>
    <w:rsid w:val="00846DB7"/>
    <w:rsid w:val="00846F63"/>
    <w:rsid w:val="00846FB4"/>
    <w:rsid w:val="0084722B"/>
    <w:rsid w:val="0084771F"/>
    <w:rsid w:val="008478DB"/>
    <w:rsid w:val="00847B67"/>
    <w:rsid w:val="00847E8B"/>
    <w:rsid w:val="008500A0"/>
    <w:rsid w:val="008501FF"/>
    <w:rsid w:val="008505CB"/>
    <w:rsid w:val="008505FA"/>
    <w:rsid w:val="00850725"/>
    <w:rsid w:val="00850955"/>
    <w:rsid w:val="00850B6D"/>
    <w:rsid w:val="00850BD6"/>
    <w:rsid w:val="00850E56"/>
    <w:rsid w:val="0085111E"/>
    <w:rsid w:val="00851410"/>
    <w:rsid w:val="008515CA"/>
    <w:rsid w:val="0085204E"/>
    <w:rsid w:val="00852462"/>
    <w:rsid w:val="0085296B"/>
    <w:rsid w:val="00853B7C"/>
    <w:rsid w:val="00853B9D"/>
    <w:rsid w:val="00853C8D"/>
    <w:rsid w:val="00853D8C"/>
    <w:rsid w:val="008540E4"/>
    <w:rsid w:val="00854175"/>
    <w:rsid w:val="00854268"/>
    <w:rsid w:val="008542BD"/>
    <w:rsid w:val="008543A9"/>
    <w:rsid w:val="00854438"/>
    <w:rsid w:val="00854BEF"/>
    <w:rsid w:val="00854C3D"/>
    <w:rsid w:val="00854DDB"/>
    <w:rsid w:val="00854F91"/>
    <w:rsid w:val="00854FF9"/>
    <w:rsid w:val="00855D32"/>
    <w:rsid w:val="00856257"/>
    <w:rsid w:val="00856342"/>
    <w:rsid w:val="00856487"/>
    <w:rsid w:val="008567B5"/>
    <w:rsid w:val="00856B6C"/>
    <w:rsid w:val="00856C7D"/>
    <w:rsid w:val="00856FDC"/>
    <w:rsid w:val="00857101"/>
    <w:rsid w:val="0085713F"/>
    <w:rsid w:val="008573C2"/>
    <w:rsid w:val="008574A9"/>
    <w:rsid w:val="00857AD2"/>
    <w:rsid w:val="00857C36"/>
    <w:rsid w:val="00857C40"/>
    <w:rsid w:val="00857CD3"/>
    <w:rsid w:val="008602FA"/>
    <w:rsid w:val="00860336"/>
    <w:rsid w:val="00860495"/>
    <w:rsid w:val="00860C5E"/>
    <w:rsid w:val="00860CDD"/>
    <w:rsid w:val="00860FA2"/>
    <w:rsid w:val="0086101C"/>
    <w:rsid w:val="00861D9D"/>
    <w:rsid w:val="00861E2C"/>
    <w:rsid w:val="00861ED5"/>
    <w:rsid w:val="0086243A"/>
    <w:rsid w:val="00862784"/>
    <w:rsid w:val="008627F9"/>
    <w:rsid w:val="008628D2"/>
    <w:rsid w:val="00862D45"/>
    <w:rsid w:val="008630ED"/>
    <w:rsid w:val="008635EB"/>
    <w:rsid w:val="0086371E"/>
    <w:rsid w:val="00863AFE"/>
    <w:rsid w:val="00863C8F"/>
    <w:rsid w:val="00863DDE"/>
    <w:rsid w:val="008641C1"/>
    <w:rsid w:val="008643C3"/>
    <w:rsid w:val="0086448E"/>
    <w:rsid w:val="00864AB6"/>
    <w:rsid w:val="00864C6B"/>
    <w:rsid w:val="0086502D"/>
    <w:rsid w:val="008650F2"/>
    <w:rsid w:val="00865220"/>
    <w:rsid w:val="008654AF"/>
    <w:rsid w:val="00865760"/>
    <w:rsid w:val="00865793"/>
    <w:rsid w:val="008657AA"/>
    <w:rsid w:val="00865B93"/>
    <w:rsid w:val="00865BCE"/>
    <w:rsid w:val="00866332"/>
    <w:rsid w:val="00866673"/>
    <w:rsid w:val="00866946"/>
    <w:rsid w:val="00866B94"/>
    <w:rsid w:val="00866C2F"/>
    <w:rsid w:val="0086741D"/>
    <w:rsid w:val="008675E7"/>
    <w:rsid w:val="00867AB0"/>
    <w:rsid w:val="00867ED8"/>
    <w:rsid w:val="00867F9E"/>
    <w:rsid w:val="008700BE"/>
    <w:rsid w:val="00870222"/>
    <w:rsid w:val="008704F6"/>
    <w:rsid w:val="0087050B"/>
    <w:rsid w:val="008705F9"/>
    <w:rsid w:val="008706D4"/>
    <w:rsid w:val="00870755"/>
    <w:rsid w:val="0087083A"/>
    <w:rsid w:val="008709A8"/>
    <w:rsid w:val="00870A6D"/>
    <w:rsid w:val="00870C11"/>
    <w:rsid w:val="00870C56"/>
    <w:rsid w:val="00870D08"/>
    <w:rsid w:val="0087127D"/>
    <w:rsid w:val="008713E7"/>
    <w:rsid w:val="00871D12"/>
    <w:rsid w:val="00871F82"/>
    <w:rsid w:val="008720DF"/>
    <w:rsid w:val="008728FD"/>
    <w:rsid w:val="00872ACB"/>
    <w:rsid w:val="00872CB9"/>
    <w:rsid w:val="00872FFC"/>
    <w:rsid w:val="0087301D"/>
    <w:rsid w:val="00873041"/>
    <w:rsid w:val="008731CC"/>
    <w:rsid w:val="00873502"/>
    <w:rsid w:val="00873966"/>
    <w:rsid w:val="008739AB"/>
    <w:rsid w:val="00873D79"/>
    <w:rsid w:val="00873E86"/>
    <w:rsid w:val="0087419F"/>
    <w:rsid w:val="008741BC"/>
    <w:rsid w:val="00874B17"/>
    <w:rsid w:val="0087521D"/>
    <w:rsid w:val="008753EF"/>
    <w:rsid w:val="008753F1"/>
    <w:rsid w:val="008756D9"/>
    <w:rsid w:val="00875800"/>
    <w:rsid w:val="008758B4"/>
    <w:rsid w:val="00875975"/>
    <w:rsid w:val="00875A72"/>
    <w:rsid w:val="00875B90"/>
    <w:rsid w:val="00876040"/>
    <w:rsid w:val="0087609E"/>
    <w:rsid w:val="00876410"/>
    <w:rsid w:val="008764FD"/>
    <w:rsid w:val="00877176"/>
    <w:rsid w:val="0087730E"/>
    <w:rsid w:val="00877956"/>
    <w:rsid w:val="008779FD"/>
    <w:rsid w:val="00877D21"/>
    <w:rsid w:val="00877D8A"/>
    <w:rsid w:val="00880532"/>
    <w:rsid w:val="0088053D"/>
    <w:rsid w:val="00880ABF"/>
    <w:rsid w:val="00880BA5"/>
    <w:rsid w:val="00880C1E"/>
    <w:rsid w:val="0088135F"/>
    <w:rsid w:val="008813DE"/>
    <w:rsid w:val="00881663"/>
    <w:rsid w:val="00882269"/>
    <w:rsid w:val="008822DC"/>
    <w:rsid w:val="008822E2"/>
    <w:rsid w:val="00882748"/>
    <w:rsid w:val="0088315D"/>
    <w:rsid w:val="008834AA"/>
    <w:rsid w:val="008836F4"/>
    <w:rsid w:val="00883B2E"/>
    <w:rsid w:val="00883C8A"/>
    <w:rsid w:val="00884250"/>
    <w:rsid w:val="00884563"/>
    <w:rsid w:val="00884B7A"/>
    <w:rsid w:val="00884FD4"/>
    <w:rsid w:val="00884FEC"/>
    <w:rsid w:val="00885328"/>
    <w:rsid w:val="008854C6"/>
    <w:rsid w:val="00885AE3"/>
    <w:rsid w:val="00885C59"/>
    <w:rsid w:val="00885C7B"/>
    <w:rsid w:val="008868EF"/>
    <w:rsid w:val="00886A37"/>
    <w:rsid w:val="00886DFA"/>
    <w:rsid w:val="00886EE6"/>
    <w:rsid w:val="00886F48"/>
    <w:rsid w:val="00887137"/>
    <w:rsid w:val="00887261"/>
    <w:rsid w:val="00887D15"/>
    <w:rsid w:val="00887E4E"/>
    <w:rsid w:val="008904C2"/>
    <w:rsid w:val="00890B06"/>
    <w:rsid w:val="00890B5E"/>
    <w:rsid w:val="008910FF"/>
    <w:rsid w:val="008911CE"/>
    <w:rsid w:val="00891587"/>
    <w:rsid w:val="008916DC"/>
    <w:rsid w:val="008917DC"/>
    <w:rsid w:val="0089189A"/>
    <w:rsid w:val="0089209E"/>
    <w:rsid w:val="008927C4"/>
    <w:rsid w:val="00892C23"/>
    <w:rsid w:val="008932EC"/>
    <w:rsid w:val="008933AA"/>
    <w:rsid w:val="008935AF"/>
    <w:rsid w:val="00893A49"/>
    <w:rsid w:val="00893CF2"/>
    <w:rsid w:val="00893DB9"/>
    <w:rsid w:val="00893DE0"/>
    <w:rsid w:val="00893EE2"/>
    <w:rsid w:val="008944FB"/>
    <w:rsid w:val="00894C1B"/>
    <w:rsid w:val="00895777"/>
    <w:rsid w:val="00895908"/>
    <w:rsid w:val="00895913"/>
    <w:rsid w:val="00895A7D"/>
    <w:rsid w:val="00895CFC"/>
    <w:rsid w:val="00896124"/>
    <w:rsid w:val="00896201"/>
    <w:rsid w:val="008964B3"/>
    <w:rsid w:val="0089655E"/>
    <w:rsid w:val="00896621"/>
    <w:rsid w:val="0089683D"/>
    <w:rsid w:val="00896A27"/>
    <w:rsid w:val="00896AED"/>
    <w:rsid w:val="00896C55"/>
    <w:rsid w:val="00896D27"/>
    <w:rsid w:val="008970E4"/>
    <w:rsid w:val="0089718F"/>
    <w:rsid w:val="00897198"/>
    <w:rsid w:val="008971CB"/>
    <w:rsid w:val="00897927"/>
    <w:rsid w:val="00897A48"/>
    <w:rsid w:val="008A00EB"/>
    <w:rsid w:val="008A0926"/>
    <w:rsid w:val="008A0E60"/>
    <w:rsid w:val="008A103C"/>
    <w:rsid w:val="008A1048"/>
    <w:rsid w:val="008A10D7"/>
    <w:rsid w:val="008A1674"/>
    <w:rsid w:val="008A1909"/>
    <w:rsid w:val="008A1935"/>
    <w:rsid w:val="008A19C5"/>
    <w:rsid w:val="008A1BA6"/>
    <w:rsid w:val="008A200C"/>
    <w:rsid w:val="008A22C4"/>
    <w:rsid w:val="008A230A"/>
    <w:rsid w:val="008A26CE"/>
    <w:rsid w:val="008A2C57"/>
    <w:rsid w:val="008A2D3C"/>
    <w:rsid w:val="008A3110"/>
    <w:rsid w:val="008A3658"/>
    <w:rsid w:val="008A383B"/>
    <w:rsid w:val="008A3DC4"/>
    <w:rsid w:val="008A3DC5"/>
    <w:rsid w:val="008A439F"/>
    <w:rsid w:val="008A460B"/>
    <w:rsid w:val="008A4616"/>
    <w:rsid w:val="008A4644"/>
    <w:rsid w:val="008A47B8"/>
    <w:rsid w:val="008A4E91"/>
    <w:rsid w:val="008A50E0"/>
    <w:rsid w:val="008A50F0"/>
    <w:rsid w:val="008A514F"/>
    <w:rsid w:val="008A53EC"/>
    <w:rsid w:val="008A561C"/>
    <w:rsid w:val="008A5847"/>
    <w:rsid w:val="008A5AA5"/>
    <w:rsid w:val="008A5E86"/>
    <w:rsid w:val="008A5F70"/>
    <w:rsid w:val="008A618E"/>
    <w:rsid w:val="008A691E"/>
    <w:rsid w:val="008A6C65"/>
    <w:rsid w:val="008A6F7B"/>
    <w:rsid w:val="008A711C"/>
    <w:rsid w:val="008A71FF"/>
    <w:rsid w:val="008A79FF"/>
    <w:rsid w:val="008A7C00"/>
    <w:rsid w:val="008B0B47"/>
    <w:rsid w:val="008B0F58"/>
    <w:rsid w:val="008B0FA2"/>
    <w:rsid w:val="008B1158"/>
    <w:rsid w:val="008B11F7"/>
    <w:rsid w:val="008B1406"/>
    <w:rsid w:val="008B1945"/>
    <w:rsid w:val="008B21E5"/>
    <w:rsid w:val="008B228C"/>
    <w:rsid w:val="008B2AA0"/>
    <w:rsid w:val="008B2C35"/>
    <w:rsid w:val="008B2D67"/>
    <w:rsid w:val="008B2E4D"/>
    <w:rsid w:val="008B2EB4"/>
    <w:rsid w:val="008B3732"/>
    <w:rsid w:val="008B3DAD"/>
    <w:rsid w:val="008B3DE7"/>
    <w:rsid w:val="008B425B"/>
    <w:rsid w:val="008B42DA"/>
    <w:rsid w:val="008B458A"/>
    <w:rsid w:val="008B532C"/>
    <w:rsid w:val="008B541A"/>
    <w:rsid w:val="008B55A5"/>
    <w:rsid w:val="008B5796"/>
    <w:rsid w:val="008B58B0"/>
    <w:rsid w:val="008B5B6B"/>
    <w:rsid w:val="008B5C15"/>
    <w:rsid w:val="008B608C"/>
    <w:rsid w:val="008B60F3"/>
    <w:rsid w:val="008B62C2"/>
    <w:rsid w:val="008B62FF"/>
    <w:rsid w:val="008B6467"/>
    <w:rsid w:val="008B672E"/>
    <w:rsid w:val="008B6F93"/>
    <w:rsid w:val="008B70BD"/>
    <w:rsid w:val="008B728D"/>
    <w:rsid w:val="008B72E1"/>
    <w:rsid w:val="008B74AE"/>
    <w:rsid w:val="008B7703"/>
    <w:rsid w:val="008B7837"/>
    <w:rsid w:val="008B7C17"/>
    <w:rsid w:val="008C00AD"/>
    <w:rsid w:val="008C0A19"/>
    <w:rsid w:val="008C0CAF"/>
    <w:rsid w:val="008C0D3D"/>
    <w:rsid w:val="008C1382"/>
    <w:rsid w:val="008C1653"/>
    <w:rsid w:val="008C173F"/>
    <w:rsid w:val="008C19F5"/>
    <w:rsid w:val="008C1B29"/>
    <w:rsid w:val="008C1D1D"/>
    <w:rsid w:val="008C1FBD"/>
    <w:rsid w:val="008C22AC"/>
    <w:rsid w:val="008C2370"/>
    <w:rsid w:val="008C2598"/>
    <w:rsid w:val="008C25A7"/>
    <w:rsid w:val="008C2647"/>
    <w:rsid w:val="008C316F"/>
    <w:rsid w:val="008C328D"/>
    <w:rsid w:val="008C3B84"/>
    <w:rsid w:val="008C3D69"/>
    <w:rsid w:val="008C4052"/>
    <w:rsid w:val="008C4760"/>
    <w:rsid w:val="008C4AC0"/>
    <w:rsid w:val="008C4F5F"/>
    <w:rsid w:val="008C4FC9"/>
    <w:rsid w:val="008C50E3"/>
    <w:rsid w:val="008C54F6"/>
    <w:rsid w:val="008C57A5"/>
    <w:rsid w:val="008C57CD"/>
    <w:rsid w:val="008C59DB"/>
    <w:rsid w:val="008C5C35"/>
    <w:rsid w:val="008C5C59"/>
    <w:rsid w:val="008C61B4"/>
    <w:rsid w:val="008C650B"/>
    <w:rsid w:val="008C68EF"/>
    <w:rsid w:val="008C6923"/>
    <w:rsid w:val="008C69B3"/>
    <w:rsid w:val="008C6BE2"/>
    <w:rsid w:val="008C6E74"/>
    <w:rsid w:val="008C73C7"/>
    <w:rsid w:val="008D00BC"/>
    <w:rsid w:val="008D0276"/>
    <w:rsid w:val="008D0569"/>
    <w:rsid w:val="008D08A4"/>
    <w:rsid w:val="008D10EB"/>
    <w:rsid w:val="008D1461"/>
    <w:rsid w:val="008D1838"/>
    <w:rsid w:val="008D1B8B"/>
    <w:rsid w:val="008D1C39"/>
    <w:rsid w:val="008D1C88"/>
    <w:rsid w:val="008D2022"/>
    <w:rsid w:val="008D25BB"/>
    <w:rsid w:val="008D292F"/>
    <w:rsid w:val="008D2AF6"/>
    <w:rsid w:val="008D2BE4"/>
    <w:rsid w:val="008D3256"/>
    <w:rsid w:val="008D3276"/>
    <w:rsid w:val="008D3785"/>
    <w:rsid w:val="008D3C07"/>
    <w:rsid w:val="008D3D20"/>
    <w:rsid w:val="008D3EED"/>
    <w:rsid w:val="008D401D"/>
    <w:rsid w:val="008D4077"/>
    <w:rsid w:val="008D46EA"/>
    <w:rsid w:val="008D4A3E"/>
    <w:rsid w:val="008D4D8A"/>
    <w:rsid w:val="008D4E33"/>
    <w:rsid w:val="008D4E4E"/>
    <w:rsid w:val="008D50C1"/>
    <w:rsid w:val="008D541D"/>
    <w:rsid w:val="008D57CF"/>
    <w:rsid w:val="008D5B97"/>
    <w:rsid w:val="008D5C00"/>
    <w:rsid w:val="008D5D6D"/>
    <w:rsid w:val="008D63C5"/>
    <w:rsid w:val="008D681D"/>
    <w:rsid w:val="008D69EA"/>
    <w:rsid w:val="008D6A68"/>
    <w:rsid w:val="008D6E5D"/>
    <w:rsid w:val="008D72F0"/>
    <w:rsid w:val="008D75E1"/>
    <w:rsid w:val="008D7645"/>
    <w:rsid w:val="008D7A1C"/>
    <w:rsid w:val="008D7DAD"/>
    <w:rsid w:val="008E040D"/>
    <w:rsid w:val="008E0933"/>
    <w:rsid w:val="008E1077"/>
    <w:rsid w:val="008E1644"/>
    <w:rsid w:val="008E223D"/>
    <w:rsid w:val="008E2675"/>
    <w:rsid w:val="008E29E6"/>
    <w:rsid w:val="008E2B9B"/>
    <w:rsid w:val="008E2C4A"/>
    <w:rsid w:val="008E2DA9"/>
    <w:rsid w:val="008E336A"/>
    <w:rsid w:val="008E38E3"/>
    <w:rsid w:val="008E3928"/>
    <w:rsid w:val="008E395E"/>
    <w:rsid w:val="008E3967"/>
    <w:rsid w:val="008E3C3E"/>
    <w:rsid w:val="008E4188"/>
    <w:rsid w:val="008E425E"/>
    <w:rsid w:val="008E455F"/>
    <w:rsid w:val="008E4649"/>
    <w:rsid w:val="008E4650"/>
    <w:rsid w:val="008E46FE"/>
    <w:rsid w:val="008E478A"/>
    <w:rsid w:val="008E48AE"/>
    <w:rsid w:val="008E4A4D"/>
    <w:rsid w:val="008E4CB3"/>
    <w:rsid w:val="008E5724"/>
    <w:rsid w:val="008E5AF1"/>
    <w:rsid w:val="008E6204"/>
    <w:rsid w:val="008E62C0"/>
    <w:rsid w:val="008E6618"/>
    <w:rsid w:val="008E669A"/>
    <w:rsid w:val="008E6C55"/>
    <w:rsid w:val="008E6D9B"/>
    <w:rsid w:val="008E6DFE"/>
    <w:rsid w:val="008E6EB6"/>
    <w:rsid w:val="008E796E"/>
    <w:rsid w:val="008E7D40"/>
    <w:rsid w:val="008E7E4A"/>
    <w:rsid w:val="008E7F24"/>
    <w:rsid w:val="008F0318"/>
    <w:rsid w:val="008F06ED"/>
    <w:rsid w:val="008F1E59"/>
    <w:rsid w:val="008F21B2"/>
    <w:rsid w:val="008F25C5"/>
    <w:rsid w:val="008F2781"/>
    <w:rsid w:val="008F28C1"/>
    <w:rsid w:val="008F355A"/>
    <w:rsid w:val="008F3957"/>
    <w:rsid w:val="008F416A"/>
    <w:rsid w:val="008F4283"/>
    <w:rsid w:val="008F4C23"/>
    <w:rsid w:val="008F5176"/>
    <w:rsid w:val="008F5310"/>
    <w:rsid w:val="008F54DD"/>
    <w:rsid w:val="008F5B33"/>
    <w:rsid w:val="008F5B77"/>
    <w:rsid w:val="008F5F55"/>
    <w:rsid w:val="008F5FA5"/>
    <w:rsid w:val="008F6147"/>
    <w:rsid w:val="008F6536"/>
    <w:rsid w:val="008F657C"/>
    <w:rsid w:val="008F6958"/>
    <w:rsid w:val="008F7007"/>
    <w:rsid w:val="008F732C"/>
    <w:rsid w:val="008F75CA"/>
    <w:rsid w:val="008F76A9"/>
    <w:rsid w:val="008F7910"/>
    <w:rsid w:val="008F7BAE"/>
    <w:rsid w:val="008F7BEE"/>
    <w:rsid w:val="008F7DB8"/>
    <w:rsid w:val="008F7DDE"/>
    <w:rsid w:val="009002F9"/>
    <w:rsid w:val="009004D2"/>
    <w:rsid w:val="009005BD"/>
    <w:rsid w:val="00900623"/>
    <w:rsid w:val="00900864"/>
    <w:rsid w:val="009015B8"/>
    <w:rsid w:val="00901D36"/>
    <w:rsid w:val="00901D59"/>
    <w:rsid w:val="00902145"/>
    <w:rsid w:val="0090255E"/>
    <w:rsid w:val="0090275E"/>
    <w:rsid w:val="00902822"/>
    <w:rsid w:val="00902E9D"/>
    <w:rsid w:val="00902F0F"/>
    <w:rsid w:val="0090311E"/>
    <w:rsid w:val="009033DE"/>
    <w:rsid w:val="009034A4"/>
    <w:rsid w:val="009048CB"/>
    <w:rsid w:val="00904A7E"/>
    <w:rsid w:val="00905139"/>
    <w:rsid w:val="009051AF"/>
    <w:rsid w:val="009059F5"/>
    <w:rsid w:val="00906141"/>
    <w:rsid w:val="009061F0"/>
    <w:rsid w:val="009064F8"/>
    <w:rsid w:val="0090676E"/>
    <w:rsid w:val="0090684E"/>
    <w:rsid w:val="009071C8"/>
    <w:rsid w:val="0090727A"/>
    <w:rsid w:val="00907682"/>
    <w:rsid w:val="009079A7"/>
    <w:rsid w:val="009100E6"/>
    <w:rsid w:val="00910376"/>
    <w:rsid w:val="00910530"/>
    <w:rsid w:val="00910780"/>
    <w:rsid w:val="00910C81"/>
    <w:rsid w:val="00910CF1"/>
    <w:rsid w:val="00910D42"/>
    <w:rsid w:val="00910FEC"/>
    <w:rsid w:val="00910FF4"/>
    <w:rsid w:val="009114D3"/>
    <w:rsid w:val="00911526"/>
    <w:rsid w:val="009115D9"/>
    <w:rsid w:val="00911795"/>
    <w:rsid w:val="009118BB"/>
    <w:rsid w:val="00911E0D"/>
    <w:rsid w:val="00911E7E"/>
    <w:rsid w:val="00912196"/>
    <w:rsid w:val="0091241E"/>
    <w:rsid w:val="009134BF"/>
    <w:rsid w:val="00913738"/>
    <w:rsid w:val="00913A92"/>
    <w:rsid w:val="00913D18"/>
    <w:rsid w:val="00913F4D"/>
    <w:rsid w:val="00914061"/>
    <w:rsid w:val="009141B9"/>
    <w:rsid w:val="009149F2"/>
    <w:rsid w:val="00914C77"/>
    <w:rsid w:val="00915290"/>
    <w:rsid w:val="009152EF"/>
    <w:rsid w:val="009156CF"/>
    <w:rsid w:val="00915ED5"/>
    <w:rsid w:val="00915F05"/>
    <w:rsid w:val="00916674"/>
    <w:rsid w:val="0091682B"/>
    <w:rsid w:val="00916895"/>
    <w:rsid w:val="009168D5"/>
    <w:rsid w:val="00916BDC"/>
    <w:rsid w:val="00916F14"/>
    <w:rsid w:val="0091735F"/>
    <w:rsid w:val="00917570"/>
    <w:rsid w:val="00917B6B"/>
    <w:rsid w:val="00917D0C"/>
    <w:rsid w:val="00917D7E"/>
    <w:rsid w:val="00917DB9"/>
    <w:rsid w:val="00917ECA"/>
    <w:rsid w:val="009200D2"/>
    <w:rsid w:val="00920201"/>
    <w:rsid w:val="00920273"/>
    <w:rsid w:val="00920644"/>
    <w:rsid w:val="00920713"/>
    <w:rsid w:val="009209DB"/>
    <w:rsid w:val="00920C58"/>
    <w:rsid w:val="00920F74"/>
    <w:rsid w:val="0092121B"/>
    <w:rsid w:val="00921727"/>
    <w:rsid w:val="00921749"/>
    <w:rsid w:val="00921F22"/>
    <w:rsid w:val="00922025"/>
    <w:rsid w:val="009226EB"/>
    <w:rsid w:val="00922780"/>
    <w:rsid w:val="0092294A"/>
    <w:rsid w:val="00922CE5"/>
    <w:rsid w:val="009235CF"/>
    <w:rsid w:val="00923734"/>
    <w:rsid w:val="00923B4B"/>
    <w:rsid w:val="00923BA8"/>
    <w:rsid w:val="00923CC4"/>
    <w:rsid w:val="00924009"/>
    <w:rsid w:val="009245A7"/>
    <w:rsid w:val="00924D39"/>
    <w:rsid w:val="00924E1F"/>
    <w:rsid w:val="00924F9B"/>
    <w:rsid w:val="009257B6"/>
    <w:rsid w:val="00925C32"/>
    <w:rsid w:val="00925FA3"/>
    <w:rsid w:val="009260C4"/>
    <w:rsid w:val="009260D3"/>
    <w:rsid w:val="009265C7"/>
    <w:rsid w:val="009267A0"/>
    <w:rsid w:val="00926B08"/>
    <w:rsid w:val="00926B5E"/>
    <w:rsid w:val="00926F39"/>
    <w:rsid w:val="009273BD"/>
    <w:rsid w:val="00927419"/>
    <w:rsid w:val="00927B89"/>
    <w:rsid w:val="009300EC"/>
    <w:rsid w:val="00930312"/>
    <w:rsid w:val="00930D81"/>
    <w:rsid w:val="00931384"/>
    <w:rsid w:val="009314BC"/>
    <w:rsid w:val="00931923"/>
    <w:rsid w:val="00931D81"/>
    <w:rsid w:val="00931F43"/>
    <w:rsid w:val="00932489"/>
    <w:rsid w:val="00932B13"/>
    <w:rsid w:val="00932D71"/>
    <w:rsid w:val="00932E5D"/>
    <w:rsid w:val="0093311D"/>
    <w:rsid w:val="009335C8"/>
    <w:rsid w:val="00933A74"/>
    <w:rsid w:val="00933EE7"/>
    <w:rsid w:val="00934820"/>
    <w:rsid w:val="009354A7"/>
    <w:rsid w:val="009357E0"/>
    <w:rsid w:val="00935B92"/>
    <w:rsid w:val="00935CA8"/>
    <w:rsid w:val="00935D49"/>
    <w:rsid w:val="00936046"/>
    <w:rsid w:val="009361B9"/>
    <w:rsid w:val="00936F46"/>
    <w:rsid w:val="009376F3"/>
    <w:rsid w:val="009378FA"/>
    <w:rsid w:val="00937B65"/>
    <w:rsid w:val="00937C46"/>
    <w:rsid w:val="00940983"/>
    <w:rsid w:val="009409FB"/>
    <w:rsid w:val="009413D5"/>
    <w:rsid w:val="009414DA"/>
    <w:rsid w:val="00941B8A"/>
    <w:rsid w:val="00941D2D"/>
    <w:rsid w:val="0094204A"/>
    <w:rsid w:val="009422B4"/>
    <w:rsid w:val="00942346"/>
    <w:rsid w:val="00942665"/>
    <w:rsid w:val="00942871"/>
    <w:rsid w:val="009428CF"/>
    <w:rsid w:val="00942B17"/>
    <w:rsid w:val="00943100"/>
    <w:rsid w:val="009434BB"/>
    <w:rsid w:val="009435A3"/>
    <w:rsid w:val="0094376C"/>
    <w:rsid w:val="00943BDB"/>
    <w:rsid w:val="00943FE7"/>
    <w:rsid w:val="00944067"/>
    <w:rsid w:val="009448DF"/>
    <w:rsid w:val="009449D5"/>
    <w:rsid w:val="00944AB3"/>
    <w:rsid w:val="00944D68"/>
    <w:rsid w:val="00945931"/>
    <w:rsid w:val="009459DB"/>
    <w:rsid w:val="00946601"/>
    <w:rsid w:val="009476D4"/>
    <w:rsid w:val="00947970"/>
    <w:rsid w:val="00947A2E"/>
    <w:rsid w:val="00947C3C"/>
    <w:rsid w:val="00947C3D"/>
    <w:rsid w:val="00947C4F"/>
    <w:rsid w:val="00947C52"/>
    <w:rsid w:val="00947FDE"/>
    <w:rsid w:val="009501B9"/>
    <w:rsid w:val="0095048E"/>
    <w:rsid w:val="00950D92"/>
    <w:rsid w:val="0095137D"/>
    <w:rsid w:val="0095149D"/>
    <w:rsid w:val="009515E1"/>
    <w:rsid w:val="009516C1"/>
    <w:rsid w:val="0095183D"/>
    <w:rsid w:val="00951A7D"/>
    <w:rsid w:val="00951B4F"/>
    <w:rsid w:val="00951CEE"/>
    <w:rsid w:val="009520C9"/>
    <w:rsid w:val="00952276"/>
    <w:rsid w:val="00952293"/>
    <w:rsid w:val="00952444"/>
    <w:rsid w:val="00952676"/>
    <w:rsid w:val="00952B6F"/>
    <w:rsid w:val="00952E01"/>
    <w:rsid w:val="009532CD"/>
    <w:rsid w:val="009533D4"/>
    <w:rsid w:val="00953CFC"/>
    <w:rsid w:val="00953E5D"/>
    <w:rsid w:val="00953EAE"/>
    <w:rsid w:val="00954429"/>
    <w:rsid w:val="0095445D"/>
    <w:rsid w:val="009545F4"/>
    <w:rsid w:val="00954D9B"/>
    <w:rsid w:val="009551C7"/>
    <w:rsid w:val="00955C8F"/>
    <w:rsid w:val="00955D83"/>
    <w:rsid w:val="00956074"/>
    <w:rsid w:val="00956102"/>
    <w:rsid w:val="00956249"/>
    <w:rsid w:val="0095624F"/>
    <w:rsid w:val="00956800"/>
    <w:rsid w:val="00957079"/>
    <w:rsid w:val="009573D8"/>
    <w:rsid w:val="009574AD"/>
    <w:rsid w:val="00957505"/>
    <w:rsid w:val="009577FC"/>
    <w:rsid w:val="0096014C"/>
    <w:rsid w:val="00960869"/>
    <w:rsid w:val="00960947"/>
    <w:rsid w:val="00962113"/>
    <w:rsid w:val="009621DC"/>
    <w:rsid w:val="00962340"/>
    <w:rsid w:val="00962A6D"/>
    <w:rsid w:val="00962ACF"/>
    <w:rsid w:val="00962FAD"/>
    <w:rsid w:val="009631CD"/>
    <w:rsid w:val="009632E2"/>
    <w:rsid w:val="009633F7"/>
    <w:rsid w:val="009634CC"/>
    <w:rsid w:val="0096360E"/>
    <w:rsid w:val="0096416C"/>
    <w:rsid w:val="009645CF"/>
    <w:rsid w:val="00964FA7"/>
    <w:rsid w:val="009651BD"/>
    <w:rsid w:val="00965275"/>
    <w:rsid w:val="00965398"/>
    <w:rsid w:val="009656A5"/>
    <w:rsid w:val="00965BFB"/>
    <w:rsid w:val="0096637B"/>
    <w:rsid w:val="009666A5"/>
    <w:rsid w:val="00966F63"/>
    <w:rsid w:val="009673C7"/>
    <w:rsid w:val="00967711"/>
    <w:rsid w:val="009677F2"/>
    <w:rsid w:val="0096787A"/>
    <w:rsid w:val="009678E8"/>
    <w:rsid w:val="00967900"/>
    <w:rsid w:val="00967CE7"/>
    <w:rsid w:val="00967D67"/>
    <w:rsid w:val="0097039F"/>
    <w:rsid w:val="0097043B"/>
    <w:rsid w:val="00970AA3"/>
    <w:rsid w:val="00970B66"/>
    <w:rsid w:val="00970C5E"/>
    <w:rsid w:val="00970E9A"/>
    <w:rsid w:val="00971363"/>
    <w:rsid w:val="00971DF9"/>
    <w:rsid w:val="00971FE7"/>
    <w:rsid w:val="00972076"/>
    <w:rsid w:val="0097250F"/>
    <w:rsid w:val="009728E5"/>
    <w:rsid w:val="00972A2D"/>
    <w:rsid w:val="00972B63"/>
    <w:rsid w:val="00972D0E"/>
    <w:rsid w:val="009737D1"/>
    <w:rsid w:val="00973992"/>
    <w:rsid w:val="009739B1"/>
    <w:rsid w:val="00973B7C"/>
    <w:rsid w:val="00973FF9"/>
    <w:rsid w:val="00974077"/>
    <w:rsid w:val="00974101"/>
    <w:rsid w:val="00974181"/>
    <w:rsid w:val="00974382"/>
    <w:rsid w:val="00974594"/>
    <w:rsid w:val="00974740"/>
    <w:rsid w:val="00974C36"/>
    <w:rsid w:val="00974D0E"/>
    <w:rsid w:val="00974E7C"/>
    <w:rsid w:val="00974F1C"/>
    <w:rsid w:val="0097513C"/>
    <w:rsid w:val="009751E0"/>
    <w:rsid w:val="009752AA"/>
    <w:rsid w:val="009758DC"/>
    <w:rsid w:val="00975CB2"/>
    <w:rsid w:val="00976617"/>
    <w:rsid w:val="00976693"/>
    <w:rsid w:val="009766C0"/>
    <w:rsid w:val="009766C1"/>
    <w:rsid w:val="00976B65"/>
    <w:rsid w:val="00976D26"/>
    <w:rsid w:val="00976EAB"/>
    <w:rsid w:val="0097703A"/>
    <w:rsid w:val="009770BA"/>
    <w:rsid w:val="00977190"/>
    <w:rsid w:val="009774CE"/>
    <w:rsid w:val="0097752A"/>
    <w:rsid w:val="00977728"/>
    <w:rsid w:val="00977936"/>
    <w:rsid w:val="00977A77"/>
    <w:rsid w:val="00977AE2"/>
    <w:rsid w:val="00977C24"/>
    <w:rsid w:val="00977D55"/>
    <w:rsid w:val="00980C00"/>
    <w:rsid w:val="00980D98"/>
    <w:rsid w:val="00980FF2"/>
    <w:rsid w:val="009811C5"/>
    <w:rsid w:val="0098149B"/>
    <w:rsid w:val="009814F3"/>
    <w:rsid w:val="00981689"/>
    <w:rsid w:val="00981DA8"/>
    <w:rsid w:val="00981E09"/>
    <w:rsid w:val="00981E2A"/>
    <w:rsid w:val="00981F18"/>
    <w:rsid w:val="00981FF1"/>
    <w:rsid w:val="00982C9B"/>
    <w:rsid w:val="00983068"/>
    <w:rsid w:val="009830AB"/>
    <w:rsid w:val="0098312E"/>
    <w:rsid w:val="00983A04"/>
    <w:rsid w:val="00983C60"/>
    <w:rsid w:val="00983F27"/>
    <w:rsid w:val="00983FF2"/>
    <w:rsid w:val="00984061"/>
    <w:rsid w:val="00984239"/>
    <w:rsid w:val="00984471"/>
    <w:rsid w:val="009845AA"/>
    <w:rsid w:val="00984727"/>
    <w:rsid w:val="00984E58"/>
    <w:rsid w:val="00984EB3"/>
    <w:rsid w:val="00985353"/>
    <w:rsid w:val="0098575C"/>
    <w:rsid w:val="00985910"/>
    <w:rsid w:val="00985956"/>
    <w:rsid w:val="00985D21"/>
    <w:rsid w:val="0098633F"/>
    <w:rsid w:val="0098641B"/>
    <w:rsid w:val="00986499"/>
    <w:rsid w:val="00986933"/>
    <w:rsid w:val="00986D0D"/>
    <w:rsid w:val="00986E97"/>
    <w:rsid w:val="00987144"/>
    <w:rsid w:val="0098760A"/>
    <w:rsid w:val="009876B1"/>
    <w:rsid w:val="00987A49"/>
    <w:rsid w:val="00987B96"/>
    <w:rsid w:val="00990208"/>
    <w:rsid w:val="00990285"/>
    <w:rsid w:val="0099044B"/>
    <w:rsid w:val="009906E5"/>
    <w:rsid w:val="0099077B"/>
    <w:rsid w:val="00990798"/>
    <w:rsid w:val="00990939"/>
    <w:rsid w:val="00990B9A"/>
    <w:rsid w:val="00990BB1"/>
    <w:rsid w:val="00990CB8"/>
    <w:rsid w:val="0099107B"/>
    <w:rsid w:val="00991391"/>
    <w:rsid w:val="0099148D"/>
    <w:rsid w:val="00991E82"/>
    <w:rsid w:val="0099210B"/>
    <w:rsid w:val="0099236C"/>
    <w:rsid w:val="009924AC"/>
    <w:rsid w:val="00992531"/>
    <w:rsid w:val="0099267A"/>
    <w:rsid w:val="009928B9"/>
    <w:rsid w:val="00992BB8"/>
    <w:rsid w:val="00992C15"/>
    <w:rsid w:val="00993586"/>
    <w:rsid w:val="0099359B"/>
    <w:rsid w:val="00993611"/>
    <w:rsid w:val="00993877"/>
    <w:rsid w:val="0099399F"/>
    <w:rsid w:val="00993C22"/>
    <w:rsid w:val="00993D0B"/>
    <w:rsid w:val="00993EFD"/>
    <w:rsid w:val="00993FFB"/>
    <w:rsid w:val="009942D5"/>
    <w:rsid w:val="009948E1"/>
    <w:rsid w:val="00994B41"/>
    <w:rsid w:val="00994B62"/>
    <w:rsid w:val="00994BDE"/>
    <w:rsid w:val="00994E4E"/>
    <w:rsid w:val="00994F0B"/>
    <w:rsid w:val="00995250"/>
    <w:rsid w:val="0099582D"/>
    <w:rsid w:val="00995BB1"/>
    <w:rsid w:val="00995DE7"/>
    <w:rsid w:val="00995E23"/>
    <w:rsid w:val="00995F1B"/>
    <w:rsid w:val="00995FDE"/>
    <w:rsid w:val="00996036"/>
    <w:rsid w:val="00996355"/>
    <w:rsid w:val="009963FF"/>
    <w:rsid w:val="009968E3"/>
    <w:rsid w:val="00996AC9"/>
    <w:rsid w:val="00996D80"/>
    <w:rsid w:val="00996E84"/>
    <w:rsid w:val="00996F85"/>
    <w:rsid w:val="0099701F"/>
    <w:rsid w:val="00997415"/>
    <w:rsid w:val="009975D7"/>
    <w:rsid w:val="009975E3"/>
    <w:rsid w:val="00997741"/>
    <w:rsid w:val="00997A5E"/>
    <w:rsid w:val="00997D43"/>
    <w:rsid w:val="00997DE8"/>
    <w:rsid w:val="009A01E1"/>
    <w:rsid w:val="009A04A5"/>
    <w:rsid w:val="009A0577"/>
    <w:rsid w:val="009A05C2"/>
    <w:rsid w:val="009A0B03"/>
    <w:rsid w:val="009A0C61"/>
    <w:rsid w:val="009A0D17"/>
    <w:rsid w:val="009A0F8F"/>
    <w:rsid w:val="009A108A"/>
    <w:rsid w:val="009A1304"/>
    <w:rsid w:val="009A14A2"/>
    <w:rsid w:val="009A1542"/>
    <w:rsid w:val="009A1A5F"/>
    <w:rsid w:val="009A1E11"/>
    <w:rsid w:val="009A1F15"/>
    <w:rsid w:val="009A201C"/>
    <w:rsid w:val="009A220F"/>
    <w:rsid w:val="009A22B8"/>
    <w:rsid w:val="009A28E6"/>
    <w:rsid w:val="009A291F"/>
    <w:rsid w:val="009A2E44"/>
    <w:rsid w:val="009A355D"/>
    <w:rsid w:val="009A37E8"/>
    <w:rsid w:val="009A3D66"/>
    <w:rsid w:val="009A3FCC"/>
    <w:rsid w:val="009A41D6"/>
    <w:rsid w:val="009A47CA"/>
    <w:rsid w:val="009A48FB"/>
    <w:rsid w:val="009A51A1"/>
    <w:rsid w:val="009A52CA"/>
    <w:rsid w:val="009A5679"/>
    <w:rsid w:val="009A59A6"/>
    <w:rsid w:val="009A59DD"/>
    <w:rsid w:val="009A5B60"/>
    <w:rsid w:val="009A5CC9"/>
    <w:rsid w:val="009A5D04"/>
    <w:rsid w:val="009A5EF2"/>
    <w:rsid w:val="009A60A1"/>
    <w:rsid w:val="009A6202"/>
    <w:rsid w:val="009A6856"/>
    <w:rsid w:val="009A6B37"/>
    <w:rsid w:val="009A71E0"/>
    <w:rsid w:val="009A7278"/>
    <w:rsid w:val="009A73FF"/>
    <w:rsid w:val="009A74E8"/>
    <w:rsid w:val="009A7777"/>
    <w:rsid w:val="009A7B24"/>
    <w:rsid w:val="009B0AB1"/>
    <w:rsid w:val="009B0CA4"/>
    <w:rsid w:val="009B0D9B"/>
    <w:rsid w:val="009B0D9F"/>
    <w:rsid w:val="009B19AD"/>
    <w:rsid w:val="009B1BFB"/>
    <w:rsid w:val="009B23DC"/>
    <w:rsid w:val="009B2D17"/>
    <w:rsid w:val="009B321A"/>
    <w:rsid w:val="009B32E2"/>
    <w:rsid w:val="009B35C5"/>
    <w:rsid w:val="009B36F3"/>
    <w:rsid w:val="009B36FE"/>
    <w:rsid w:val="009B37C2"/>
    <w:rsid w:val="009B3D42"/>
    <w:rsid w:val="009B3DDF"/>
    <w:rsid w:val="009B3EB2"/>
    <w:rsid w:val="009B4169"/>
    <w:rsid w:val="009B430F"/>
    <w:rsid w:val="009B4A6E"/>
    <w:rsid w:val="009B56D6"/>
    <w:rsid w:val="009B588F"/>
    <w:rsid w:val="009B5AFC"/>
    <w:rsid w:val="009B5B13"/>
    <w:rsid w:val="009B5C40"/>
    <w:rsid w:val="009B5E78"/>
    <w:rsid w:val="009B5F15"/>
    <w:rsid w:val="009B5F17"/>
    <w:rsid w:val="009B6048"/>
    <w:rsid w:val="009B660D"/>
    <w:rsid w:val="009B6701"/>
    <w:rsid w:val="009B69BD"/>
    <w:rsid w:val="009B7245"/>
    <w:rsid w:val="009B744E"/>
    <w:rsid w:val="009B752C"/>
    <w:rsid w:val="009C0453"/>
    <w:rsid w:val="009C07CC"/>
    <w:rsid w:val="009C0A4A"/>
    <w:rsid w:val="009C105B"/>
    <w:rsid w:val="009C10C4"/>
    <w:rsid w:val="009C12D4"/>
    <w:rsid w:val="009C13D3"/>
    <w:rsid w:val="009C141D"/>
    <w:rsid w:val="009C146C"/>
    <w:rsid w:val="009C1599"/>
    <w:rsid w:val="009C1658"/>
    <w:rsid w:val="009C1962"/>
    <w:rsid w:val="009C1969"/>
    <w:rsid w:val="009C1DD1"/>
    <w:rsid w:val="009C2AA9"/>
    <w:rsid w:val="009C30D0"/>
    <w:rsid w:val="009C3C74"/>
    <w:rsid w:val="009C4059"/>
    <w:rsid w:val="009C40A9"/>
    <w:rsid w:val="009C4429"/>
    <w:rsid w:val="009C4462"/>
    <w:rsid w:val="009C4585"/>
    <w:rsid w:val="009C4C40"/>
    <w:rsid w:val="009C4D4E"/>
    <w:rsid w:val="009C5637"/>
    <w:rsid w:val="009C5A6D"/>
    <w:rsid w:val="009C5BF1"/>
    <w:rsid w:val="009C5D7C"/>
    <w:rsid w:val="009C5F13"/>
    <w:rsid w:val="009C6385"/>
    <w:rsid w:val="009C63A6"/>
    <w:rsid w:val="009C68F1"/>
    <w:rsid w:val="009C69B6"/>
    <w:rsid w:val="009C6BC3"/>
    <w:rsid w:val="009C6DF2"/>
    <w:rsid w:val="009C71A1"/>
    <w:rsid w:val="009C7AF7"/>
    <w:rsid w:val="009C7F16"/>
    <w:rsid w:val="009D07A4"/>
    <w:rsid w:val="009D089F"/>
    <w:rsid w:val="009D0FBA"/>
    <w:rsid w:val="009D1013"/>
    <w:rsid w:val="009D13FA"/>
    <w:rsid w:val="009D1430"/>
    <w:rsid w:val="009D149A"/>
    <w:rsid w:val="009D1BC6"/>
    <w:rsid w:val="009D20F1"/>
    <w:rsid w:val="009D2143"/>
    <w:rsid w:val="009D2616"/>
    <w:rsid w:val="009D26F7"/>
    <w:rsid w:val="009D2A52"/>
    <w:rsid w:val="009D2A5E"/>
    <w:rsid w:val="009D2A98"/>
    <w:rsid w:val="009D2D3F"/>
    <w:rsid w:val="009D319E"/>
    <w:rsid w:val="009D3612"/>
    <w:rsid w:val="009D3855"/>
    <w:rsid w:val="009D3B51"/>
    <w:rsid w:val="009D3CB0"/>
    <w:rsid w:val="009D4545"/>
    <w:rsid w:val="009D45F2"/>
    <w:rsid w:val="009D4655"/>
    <w:rsid w:val="009D465C"/>
    <w:rsid w:val="009D46B7"/>
    <w:rsid w:val="009D4738"/>
    <w:rsid w:val="009D4763"/>
    <w:rsid w:val="009D49E4"/>
    <w:rsid w:val="009D51B3"/>
    <w:rsid w:val="009D51CA"/>
    <w:rsid w:val="009D53A5"/>
    <w:rsid w:val="009D57E4"/>
    <w:rsid w:val="009D5ABD"/>
    <w:rsid w:val="009D6090"/>
    <w:rsid w:val="009D6183"/>
    <w:rsid w:val="009D61E0"/>
    <w:rsid w:val="009D61FD"/>
    <w:rsid w:val="009D6362"/>
    <w:rsid w:val="009D649C"/>
    <w:rsid w:val="009D673B"/>
    <w:rsid w:val="009D69D5"/>
    <w:rsid w:val="009D6FBD"/>
    <w:rsid w:val="009D7176"/>
    <w:rsid w:val="009D7696"/>
    <w:rsid w:val="009D76B5"/>
    <w:rsid w:val="009D7A5B"/>
    <w:rsid w:val="009D7C86"/>
    <w:rsid w:val="009DD6EC"/>
    <w:rsid w:val="009E01E5"/>
    <w:rsid w:val="009E034A"/>
    <w:rsid w:val="009E0B36"/>
    <w:rsid w:val="009E11D1"/>
    <w:rsid w:val="009E1569"/>
    <w:rsid w:val="009E1763"/>
    <w:rsid w:val="009E1AF4"/>
    <w:rsid w:val="009E204F"/>
    <w:rsid w:val="009E2149"/>
    <w:rsid w:val="009E21C7"/>
    <w:rsid w:val="009E246B"/>
    <w:rsid w:val="009E260D"/>
    <w:rsid w:val="009E366C"/>
    <w:rsid w:val="009E3784"/>
    <w:rsid w:val="009E3AEC"/>
    <w:rsid w:val="009E3EFC"/>
    <w:rsid w:val="009E42A9"/>
    <w:rsid w:val="009E433A"/>
    <w:rsid w:val="009E43B4"/>
    <w:rsid w:val="009E45D4"/>
    <w:rsid w:val="009E46A7"/>
    <w:rsid w:val="009E47D7"/>
    <w:rsid w:val="009E4E22"/>
    <w:rsid w:val="009E50C2"/>
    <w:rsid w:val="009E50F0"/>
    <w:rsid w:val="009E5358"/>
    <w:rsid w:val="009E581D"/>
    <w:rsid w:val="009E5C31"/>
    <w:rsid w:val="009E5D99"/>
    <w:rsid w:val="009E600A"/>
    <w:rsid w:val="009E61C8"/>
    <w:rsid w:val="009E628A"/>
    <w:rsid w:val="009E6502"/>
    <w:rsid w:val="009E683E"/>
    <w:rsid w:val="009E6C83"/>
    <w:rsid w:val="009E7165"/>
    <w:rsid w:val="009E746B"/>
    <w:rsid w:val="009E79B5"/>
    <w:rsid w:val="009E7A78"/>
    <w:rsid w:val="009F01F8"/>
    <w:rsid w:val="009F0607"/>
    <w:rsid w:val="009F07D9"/>
    <w:rsid w:val="009F1476"/>
    <w:rsid w:val="009F1C16"/>
    <w:rsid w:val="009F2206"/>
    <w:rsid w:val="009F248C"/>
    <w:rsid w:val="009F2579"/>
    <w:rsid w:val="009F29D2"/>
    <w:rsid w:val="009F2EA9"/>
    <w:rsid w:val="009F3C4B"/>
    <w:rsid w:val="009F4729"/>
    <w:rsid w:val="009F494F"/>
    <w:rsid w:val="009F4C0A"/>
    <w:rsid w:val="009F4FE3"/>
    <w:rsid w:val="009F535A"/>
    <w:rsid w:val="009F53B6"/>
    <w:rsid w:val="009F589F"/>
    <w:rsid w:val="009F5BED"/>
    <w:rsid w:val="009F5C0D"/>
    <w:rsid w:val="009F5DCE"/>
    <w:rsid w:val="009F5E6B"/>
    <w:rsid w:val="009F603D"/>
    <w:rsid w:val="009F60D9"/>
    <w:rsid w:val="009F6E55"/>
    <w:rsid w:val="009F7195"/>
    <w:rsid w:val="009F728C"/>
    <w:rsid w:val="009F7809"/>
    <w:rsid w:val="009F7C4F"/>
    <w:rsid w:val="009F7C90"/>
    <w:rsid w:val="009F7F6F"/>
    <w:rsid w:val="00A00246"/>
    <w:rsid w:val="00A00A0F"/>
    <w:rsid w:val="00A00B29"/>
    <w:rsid w:val="00A00EF6"/>
    <w:rsid w:val="00A013E9"/>
    <w:rsid w:val="00A01630"/>
    <w:rsid w:val="00A01978"/>
    <w:rsid w:val="00A0203A"/>
    <w:rsid w:val="00A02408"/>
    <w:rsid w:val="00A026EB"/>
    <w:rsid w:val="00A02968"/>
    <w:rsid w:val="00A02F78"/>
    <w:rsid w:val="00A02F9B"/>
    <w:rsid w:val="00A032FF"/>
    <w:rsid w:val="00A034A0"/>
    <w:rsid w:val="00A038D7"/>
    <w:rsid w:val="00A04176"/>
    <w:rsid w:val="00A04784"/>
    <w:rsid w:val="00A048C8"/>
    <w:rsid w:val="00A0493D"/>
    <w:rsid w:val="00A04B5D"/>
    <w:rsid w:val="00A04BD8"/>
    <w:rsid w:val="00A04CDD"/>
    <w:rsid w:val="00A05C68"/>
    <w:rsid w:val="00A05CAD"/>
    <w:rsid w:val="00A06437"/>
    <w:rsid w:val="00A06D62"/>
    <w:rsid w:val="00A07068"/>
    <w:rsid w:val="00A07573"/>
    <w:rsid w:val="00A07633"/>
    <w:rsid w:val="00A0775E"/>
    <w:rsid w:val="00A07929"/>
    <w:rsid w:val="00A07933"/>
    <w:rsid w:val="00A07BEA"/>
    <w:rsid w:val="00A07CF1"/>
    <w:rsid w:val="00A07E66"/>
    <w:rsid w:val="00A07FEB"/>
    <w:rsid w:val="00A1005E"/>
    <w:rsid w:val="00A10266"/>
    <w:rsid w:val="00A10A0F"/>
    <w:rsid w:val="00A10B3B"/>
    <w:rsid w:val="00A10BF3"/>
    <w:rsid w:val="00A10C91"/>
    <w:rsid w:val="00A10DFA"/>
    <w:rsid w:val="00A11247"/>
    <w:rsid w:val="00A112E6"/>
    <w:rsid w:val="00A116E3"/>
    <w:rsid w:val="00A1181F"/>
    <w:rsid w:val="00A1197F"/>
    <w:rsid w:val="00A11D7D"/>
    <w:rsid w:val="00A12392"/>
    <w:rsid w:val="00A123C8"/>
    <w:rsid w:val="00A123FC"/>
    <w:rsid w:val="00A12604"/>
    <w:rsid w:val="00A128CE"/>
    <w:rsid w:val="00A13291"/>
    <w:rsid w:val="00A13355"/>
    <w:rsid w:val="00A134B6"/>
    <w:rsid w:val="00A1380A"/>
    <w:rsid w:val="00A1392D"/>
    <w:rsid w:val="00A13B68"/>
    <w:rsid w:val="00A145BA"/>
    <w:rsid w:val="00A147F7"/>
    <w:rsid w:val="00A14863"/>
    <w:rsid w:val="00A14C37"/>
    <w:rsid w:val="00A1500E"/>
    <w:rsid w:val="00A150DF"/>
    <w:rsid w:val="00A151CC"/>
    <w:rsid w:val="00A152A9"/>
    <w:rsid w:val="00A15508"/>
    <w:rsid w:val="00A157EE"/>
    <w:rsid w:val="00A1609F"/>
    <w:rsid w:val="00A16213"/>
    <w:rsid w:val="00A16272"/>
    <w:rsid w:val="00A1650D"/>
    <w:rsid w:val="00A166A6"/>
    <w:rsid w:val="00A16CF7"/>
    <w:rsid w:val="00A16D12"/>
    <w:rsid w:val="00A1704C"/>
    <w:rsid w:val="00A17311"/>
    <w:rsid w:val="00A17359"/>
    <w:rsid w:val="00A17704"/>
    <w:rsid w:val="00A1771A"/>
    <w:rsid w:val="00A1792B"/>
    <w:rsid w:val="00A17DB3"/>
    <w:rsid w:val="00A17E76"/>
    <w:rsid w:val="00A17EE1"/>
    <w:rsid w:val="00A17F43"/>
    <w:rsid w:val="00A202BF"/>
    <w:rsid w:val="00A20F8D"/>
    <w:rsid w:val="00A212A7"/>
    <w:rsid w:val="00A21577"/>
    <w:rsid w:val="00A21711"/>
    <w:rsid w:val="00A218ED"/>
    <w:rsid w:val="00A21A47"/>
    <w:rsid w:val="00A22051"/>
    <w:rsid w:val="00A2207E"/>
    <w:rsid w:val="00A221BA"/>
    <w:rsid w:val="00A225FB"/>
    <w:rsid w:val="00A236E1"/>
    <w:rsid w:val="00A238D9"/>
    <w:rsid w:val="00A23FB9"/>
    <w:rsid w:val="00A2480C"/>
    <w:rsid w:val="00A24987"/>
    <w:rsid w:val="00A24AFD"/>
    <w:rsid w:val="00A24D7B"/>
    <w:rsid w:val="00A24E46"/>
    <w:rsid w:val="00A24F88"/>
    <w:rsid w:val="00A24F8F"/>
    <w:rsid w:val="00A24FB4"/>
    <w:rsid w:val="00A254C8"/>
    <w:rsid w:val="00A25850"/>
    <w:rsid w:val="00A258D9"/>
    <w:rsid w:val="00A2594F"/>
    <w:rsid w:val="00A25D6E"/>
    <w:rsid w:val="00A25DEB"/>
    <w:rsid w:val="00A25F95"/>
    <w:rsid w:val="00A26031"/>
    <w:rsid w:val="00A26114"/>
    <w:rsid w:val="00A26251"/>
    <w:rsid w:val="00A26585"/>
    <w:rsid w:val="00A26766"/>
    <w:rsid w:val="00A26800"/>
    <w:rsid w:val="00A268E8"/>
    <w:rsid w:val="00A270B3"/>
    <w:rsid w:val="00A27166"/>
    <w:rsid w:val="00A277CF"/>
    <w:rsid w:val="00A277F0"/>
    <w:rsid w:val="00A27A78"/>
    <w:rsid w:val="00A27D4D"/>
    <w:rsid w:val="00A27E1E"/>
    <w:rsid w:val="00A27F57"/>
    <w:rsid w:val="00A30003"/>
    <w:rsid w:val="00A302F4"/>
    <w:rsid w:val="00A30980"/>
    <w:rsid w:val="00A30B80"/>
    <w:rsid w:val="00A30B9F"/>
    <w:rsid w:val="00A30BE6"/>
    <w:rsid w:val="00A30F3D"/>
    <w:rsid w:val="00A30FDD"/>
    <w:rsid w:val="00A31212"/>
    <w:rsid w:val="00A31279"/>
    <w:rsid w:val="00A315F5"/>
    <w:rsid w:val="00A31735"/>
    <w:rsid w:val="00A31B5A"/>
    <w:rsid w:val="00A32119"/>
    <w:rsid w:val="00A327FA"/>
    <w:rsid w:val="00A32E07"/>
    <w:rsid w:val="00A32F7D"/>
    <w:rsid w:val="00A33019"/>
    <w:rsid w:val="00A332EB"/>
    <w:rsid w:val="00A339DB"/>
    <w:rsid w:val="00A33CA3"/>
    <w:rsid w:val="00A34333"/>
    <w:rsid w:val="00A34781"/>
    <w:rsid w:val="00A347DA"/>
    <w:rsid w:val="00A34936"/>
    <w:rsid w:val="00A34D2D"/>
    <w:rsid w:val="00A34EEB"/>
    <w:rsid w:val="00A35139"/>
    <w:rsid w:val="00A35231"/>
    <w:rsid w:val="00A354AA"/>
    <w:rsid w:val="00A35872"/>
    <w:rsid w:val="00A35959"/>
    <w:rsid w:val="00A35DDE"/>
    <w:rsid w:val="00A35E8D"/>
    <w:rsid w:val="00A360DC"/>
    <w:rsid w:val="00A361F5"/>
    <w:rsid w:val="00A3658E"/>
    <w:rsid w:val="00A36907"/>
    <w:rsid w:val="00A370CD"/>
    <w:rsid w:val="00A370EA"/>
    <w:rsid w:val="00A3743A"/>
    <w:rsid w:val="00A37BEB"/>
    <w:rsid w:val="00A37D4F"/>
    <w:rsid w:val="00A40BE4"/>
    <w:rsid w:val="00A40C35"/>
    <w:rsid w:val="00A40DDD"/>
    <w:rsid w:val="00A4110F"/>
    <w:rsid w:val="00A417CE"/>
    <w:rsid w:val="00A41BCD"/>
    <w:rsid w:val="00A424E5"/>
    <w:rsid w:val="00A42A91"/>
    <w:rsid w:val="00A42BC9"/>
    <w:rsid w:val="00A42C5E"/>
    <w:rsid w:val="00A4342F"/>
    <w:rsid w:val="00A4348D"/>
    <w:rsid w:val="00A43D78"/>
    <w:rsid w:val="00A43FF9"/>
    <w:rsid w:val="00A4407F"/>
    <w:rsid w:val="00A44129"/>
    <w:rsid w:val="00A4413A"/>
    <w:rsid w:val="00A4454E"/>
    <w:rsid w:val="00A4485F"/>
    <w:rsid w:val="00A448CB"/>
    <w:rsid w:val="00A44CF4"/>
    <w:rsid w:val="00A45198"/>
    <w:rsid w:val="00A454E1"/>
    <w:rsid w:val="00A45E7F"/>
    <w:rsid w:val="00A45F54"/>
    <w:rsid w:val="00A462B2"/>
    <w:rsid w:val="00A46326"/>
    <w:rsid w:val="00A463B4"/>
    <w:rsid w:val="00A4672F"/>
    <w:rsid w:val="00A46B37"/>
    <w:rsid w:val="00A46E31"/>
    <w:rsid w:val="00A470DB"/>
    <w:rsid w:val="00A47424"/>
    <w:rsid w:val="00A47A14"/>
    <w:rsid w:val="00A503F4"/>
    <w:rsid w:val="00A519A4"/>
    <w:rsid w:val="00A521C2"/>
    <w:rsid w:val="00A5288A"/>
    <w:rsid w:val="00A52B52"/>
    <w:rsid w:val="00A538C7"/>
    <w:rsid w:val="00A539DA"/>
    <w:rsid w:val="00A53A46"/>
    <w:rsid w:val="00A53A9B"/>
    <w:rsid w:val="00A53BD8"/>
    <w:rsid w:val="00A54248"/>
    <w:rsid w:val="00A543F8"/>
    <w:rsid w:val="00A54B8C"/>
    <w:rsid w:val="00A54BB8"/>
    <w:rsid w:val="00A550AE"/>
    <w:rsid w:val="00A55210"/>
    <w:rsid w:val="00A55653"/>
    <w:rsid w:val="00A5588C"/>
    <w:rsid w:val="00A5596D"/>
    <w:rsid w:val="00A56284"/>
    <w:rsid w:val="00A567D7"/>
    <w:rsid w:val="00A56823"/>
    <w:rsid w:val="00A568FB"/>
    <w:rsid w:val="00A57124"/>
    <w:rsid w:val="00A578A8"/>
    <w:rsid w:val="00A57AB0"/>
    <w:rsid w:val="00A57CB7"/>
    <w:rsid w:val="00A601A1"/>
    <w:rsid w:val="00A602B9"/>
    <w:rsid w:val="00A6045F"/>
    <w:rsid w:val="00A60834"/>
    <w:rsid w:val="00A6088C"/>
    <w:rsid w:val="00A6092E"/>
    <w:rsid w:val="00A60C1B"/>
    <w:rsid w:val="00A60D5D"/>
    <w:rsid w:val="00A61099"/>
    <w:rsid w:val="00A6134B"/>
    <w:rsid w:val="00A616A3"/>
    <w:rsid w:val="00A61B19"/>
    <w:rsid w:val="00A61CE0"/>
    <w:rsid w:val="00A6204B"/>
    <w:rsid w:val="00A62180"/>
    <w:rsid w:val="00A6285C"/>
    <w:rsid w:val="00A6287F"/>
    <w:rsid w:val="00A629C2"/>
    <w:rsid w:val="00A62BAF"/>
    <w:rsid w:val="00A62E7B"/>
    <w:rsid w:val="00A63487"/>
    <w:rsid w:val="00A6397F"/>
    <w:rsid w:val="00A63ABF"/>
    <w:rsid w:val="00A63DC9"/>
    <w:rsid w:val="00A63F68"/>
    <w:rsid w:val="00A640FA"/>
    <w:rsid w:val="00A641A4"/>
    <w:rsid w:val="00A6429A"/>
    <w:rsid w:val="00A6464A"/>
    <w:rsid w:val="00A649D7"/>
    <w:rsid w:val="00A64BC4"/>
    <w:rsid w:val="00A64C5A"/>
    <w:rsid w:val="00A64C88"/>
    <w:rsid w:val="00A64F55"/>
    <w:rsid w:val="00A657AA"/>
    <w:rsid w:val="00A657B5"/>
    <w:rsid w:val="00A6595D"/>
    <w:rsid w:val="00A65E39"/>
    <w:rsid w:val="00A663CC"/>
    <w:rsid w:val="00A6645E"/>
    <w:rsid w:val="00A671AB"/>
    <w:rsid w:val="00A67367"/>
    <w:rsid w:val="00A67666"/>
    <w:rsid w:val="00A6774F"/>
    <w:rsid w:val="00A67BC3"/>
    <w:rsid w:val="00A67E6C"/>
    <w:rsid w:val="00A67EA6"/>
    <w:rsid w:val="00A70617"/>
    <w:rsid w:val="00A7075F"/>
    <w:rsid w:val="00A70E2B"/>
    <w:rsid w:val="00A712D0"/>
    <w:rsid w:val="00A71417"/>
    <w:rsid w:val="00A714B5"/>
    <w:rsid w:val="00A7198D"/>
    <w:rsid w:val="00A71B0D"/>
    <w:rsid w:val="00A71C63"/>
    <w:rsid w:val="00A723BD"/>
    <w:rsid w:val="00A729D6"/>
    <w:rsid w:val="00A72F6C"/>
    <w:rsid w:val="00A72F71"/>
    <w:rsid w:val="00A73156"/>
    <w:rsid w:val="00A739D4"/>
    <w:rsid w:val="00A73AAB"/>
    <w:rsid w:val="00A73CFE"/>
    <w:rsid w:val="00A741E3"/>
    <w:rsid w:val="00A7421C"/>
    <w:rsid w:val="00A744CA"/>
    <w:rsid w:val="00A747BF"/>
    <w:rsid w:val="00A7494E"/>
    <w:rsid w:val="00A75037"/>
    <w:rsid w:val="00A758D3"/>
    <w:rsid w:val="00A75AF7"/>
    <w:rsid w:val="00A75C39"/>
    <w:rsid w:val="00A75DAC"/>
    <w:rsid w:val="00A76A5E"/>
    <w:rsid w:val="00A76D7B"/>
    <w:rsid w:val="00A76F18"/>
    <w:rsid w:val="00A770BF"/>
    <w:rsid w:val="00A77161"/>
    <w:rsid w:val="00A77E00"/>
    <w:rsid w:val="00A77FC3"/>
    <w:rsid w:val="00A802BE"/>
    <w:rsid w:val="00A8064D"/>
    <w:rsid w:val="00A80812"/>
    <w:rsid w:val="00A80E7B"/>
    <w:rsid w:val="00A80FFC"/>
    <w:rsid w:val="00A813A4"/>
    <w:rsid w:val="00A81487"/>
    <w:rsid w:val="00A815CA"/>
    <w:rsid w:val="00A817F4"/>
    <w:rsid w:val="00A8183C"/>
    <w:rsid w:val="00A81980"/>
    <w:rsid w:val="00A81DEA"/>
    <w:rsid w:val="00A81E6C"/>
    <w:rsid w:val="00A823BD"/>
    <w:rsid w:val="00A8255A"/>
    <w:rsid w:val="00A82A7C"/>
    <w:rsid w:val="00A832A6"/>
    <w:rsid w:val="00A834F4"/>
    <w:rsid w:val="00A836C4"/>
    <w:rsid w:val="00A8376E"/>
    <w:rsid w:val="00A837D5"/>
    <w:rsid w:val="00A8385D"/>
    <w:rsid w:val="00A844DD"/>
    <w:rsid w:val="00A84AA4"/>
    <w:rsid w:val="00A84AC5"/>
    <w:rsid w:val="00A84B32"/>
    <w:rsid w:val="00A85157"/>
    <w:rsid w:val="00A85166"/>
    <w:rsid w:val="00A8537F"/>
    <w:rsid w:val="00A854BE"/>
    <w:rsid w:val="00A858BC"/>
    <w:rsid w:val="00A85CE4"/>
    <w:rsid w:val="00A85D6C"/>
    <w:rsid w:val="00A85DDA"/>
    <w:rsid w:val="00A86127"/>
    <w:rsid w:val="00A86332"/>
    <w:rsid w:val="00A86374"/>
    <w:rsid w:val="00A8694E"/>
    <w:rsid w:val="00A86DCA"/>
    <w:rsid w:val="00A871A9"/>
    <w:rsid w:val="00A871B7"/>
    <w:rsid w:val="00A87264"/>
    <w:rsid w:val="00A8765A"/>
    <w:rsid w:val="00A8791D"/>
    <w:rsid w:val="00A87F8B"/>
    <w:rsid w:val="00A9036C"/>
    <w:rsid w:val="00A903C8"/>
    <w:rsid w:val="00A9073F"/>
    <w:rsid w:val="00A90BE7"/>
    <w:rsid w:val="00A90CA2"/>
    <w:rsid w:val="00A9100C"/>
    <w:rsid w:val="00A910D7"/>
    <w:rsid w:val="00A914AD"/>
    <w:rsid w:val="00A9165A"/>
    <w:rsid w:val="00A9173A"/>
    <w:rsid w:val="00A91F8C"/>
    <w:rsid w:val="00A92944"/>
    <w:rsid w:val="00A92953"/>
    <w:rsid w:val="00A92D4D"/>
    <w:rsid w:val="00A92DA3"/>
    <w:rsid w:val="00A92EB5"/>
    <w:rsid w:val="00A9310C"/>
    <w:rsid w:val="00A93705"/>
    <w:rsid w:val="00A93CDA"/>
    <w:rsid w:val="00A93DA1"/>
    <w:rsid w:val="00A93E94"/>
    <w:rsid w:val="00A93F2C"/>
    <w:rsid w:val="00A94129"/>
    <w:rsid w:val="00A943FF"/>
    <w:rsid w:val="00A94562"/>
    <w:rsid w:val="00A94CC8"/>
    <w:rsid w:val="00A95016"/>
    <w:rsid w:val="00A950E7"/>
    <w:rsid w:val="00A9524E"/>
    <w:rsid w:val="00A95291"/>
    <w:rsid w:val="00A952A3"/>
    <w:rsid w:val="00A953FB"/>
    <w:rsid w:val="00A954A0"/>
    <w:rsid w:val="00A956EE"/>
    <w:rsid w:val="00A958E0"/>
    <w:rsid w:val="00A95C6E"/>
    <w:rsid w:val="00A95E16"/>
    <w:rsid w:val="00A962E5"/>
    <w:rsid w:val="00A965B5"/>
    <w:rsid w:val="00A965E5"/>
    <w:rsid w:val="00A9698D"/>
    <w:rsid w:val="00A96A6B"/>
    <w:rsid w:val="00A972D5"/>
    <w:rsid w:val="00A97FE1"/>
    <w:rsid w:val="00AA01D1"/>
    <w:rsid w:val="00AA024B"/>
    <w:rsid w:val="00AA0A0B"/>
    <w:rsid w:val="00AA0D2E"/>
    <w:rsid w:val="00AA0FD2"/>
    <w:rsid w:val="00AA12E2"/>
    <w:rsid w:val="00AA16D0"/>
    <w:rsid w:val="00AA1ACA"/>
    <w:rsid w:val="00AA1F78"/>
    <w:rsid w:val="00AA2699"/>
    <w:rsid w:val="00AA296F"/>
    <w:rsid w:val="00AA2A1F"/>
    <w:rsid w:val="00AA2A45"/>
    <w:rsid w:val="00AA2A8E"/>
    <w:rsid w:val="00AA2A94"/>
    <w:rsid w:val="00AA2B39"/>
    <w:rsid w:val="00AA2ECF"/>
    <w:rsid w:val="00AA2F07"/>
    <w:rsid w:val="00AA2F18"/>
    <w:rsid w:val="00AA347F"/>
    <w:rsid w:val="00AA36AF"/>
    <w:rsid w:val="00AA3DA4"/>
    <w:rsid w:val="00AA4298"/>
    <w:rsid w:val="00AA435D"/>
    <w:rsid w:val="00AA45DB"/>
    <w:rsid w:val="00AA4614"/>
    <w:rsid w:val="00AA4747"/>
    <w:rsid w:val="00AA4896"/>
    <w:rsid w:val="00AA4962"/>
    <w:rsid w:val="00AA4981"/>
    <w:rsid w:val="00AA4ACE"/>
    <w:rsid w:val="00AA4B48"/>
    <w:rsid w:val="00AA4D4C"/>
    <w:rsid w:val="00AA4E55"/>
    <w:rsid w:val="00AA526B"/>
    <w:rsid w:val="00AA528B"/>
    <w:rsid w:val="00AA5950"/>
    <w:rsid w:val="00AA5F6F"/>
    <w:rsid w:val="00AA5F8A"/>
    <w:rsid w:val="00AA6261"/>
    <w:rsid w:val="00AA66DA"/>
    <w:rsid w:val="00AA6F89"/>
    <w:rsid w:val="00AA714F"/>
    <w:rsid w:val="00AA7391"/>
    <w:rsid w:val="00AA7472"/>
    <w:rsid w:val="00AA7533"/>
    <w:rsid w:val="00AA7727"/>
    <w:rsid w:val="00AA7DB7"/>
    <w:rsid w:val="00AB060C"/>
    <w:rsid w:val="00AB0842"/>
    <w:rsid w:val="00AB09B7"/>
    <w:rsid w:val="00AB0EB7"/>
    <w:rsid w:val="00AB13F6"/>
    <w:rsid w:val="00AB150C"/>
    <w:rsid w:val="00AB17F5"/>
    <w:rsid w:val="00AB1C71"/>
    <w:rsid w:val="00AB1C7B"/>
    <w:rsid w:val="00AB1E03"/>
    <w:rsid w:val="00AB1E27"/>
    <w:rsid w:val="00AB1E4B"/>
    <w:rsid w:val="00AB2152"/>
    <w:rsid w:val="00AB228A"/>
    <w:rsid w:val="00AB22D4"/>
    <w:rsid w:val="00AB233D"/>
    <w:rsid w:val="00AB2392"/>
    <w:rsid w:val="00AB2397"/>
    <w:rsid w:val="00AB25F2"/>
    <w:rsid w:val="00AB2780"/>
    <w:rsid w:val="00AB29E5"/>
    <w:rsid w:val="00AB2F11"/>
    <w:rsid w:val="00AB3667"/>
    <w:rsid w:val="00AB385A"/>
    <w:rsid w:val="00AB3927"/>
    <w:rsid w:val="00AB3ECD"/>
    <w:rsid w:val="00AB4300"/>
    <w:rsid w:val="00AB441E"/>
    <w:rsid w:val="00AB49A2"/>
    <w:rsid w:val="00AB4D73"/>
    <w:rsid w:val="00AB4DB3"/>
    <w:rsid w:val="00AB5150"/>
    <w:rsid w:val="00AB5ED0"/>
    <w:rsid w:val="00AB668A"/>
    <w:rsid w:val="00AB690C"/>
    <w:rsid w:val="00AB6C76"/>
    <w:rsid w:val="00AB7392"/>
    <w:rsid w:val="00AB760F"/>
    <w:rsid w:val="00AB7726"/>
    <w:rsid w:val="00AB79DD"/>
    <w:rsid w:val="00AB7A55"/>
    <w:rsid w:val="00AB7CC6"/>
    <w:rsid w:val="00AB7E1B"/>
    <w:rsid w:val="00AB7FC7"/>
    <w:rsid w:val="00AC010C"/>
    <w:rsid w:val="00AC0658"/>
    <w:rsid w:val="00AC0A7B"/>
    <w:rsid w:val="00AC0B5C"/>
    <w:rsid w:val="00AC0E2C"/>
    <w:rsid w:val="00AC0FF9"/>
    <w:rsid w:val="00AC115A"/>
    <w:rsid w:val="00AC1E3C"/>
    <w:rsid w:val="00AC2086"/>
    <w:rsid w:val="00AC2610"/>
    <w:rsid w:val="00AC2C8E"/>
    <w:rsid w:val="00AC30F5"/>
    <w:rsid w:val="00AC324E"/>
    <w:rsid w:val="00AC340A"/>
    <w:rsid w:val="00AC3593"/>
    <w:rsid w:val="00AC3601"/>
    <w:rsid w:val="00AC39A5"/>
    <w:rsid w:val="00AC42B5"/>
    <w:rsid w:val="00AC4617"/>
    <w:rsid w:val="00AC46D2"/>
    <w:rsid w:val="00AC48BD"/>
    <w:rsid w:val="00AC4BFE"/>
    <w:rsid w:val="00AC55FD"/>
    <w:rsid w:val="00AC5754"/>
    <w:rsid w:val="00AC58FA"/>
    <w:rsid w:val="00AC5AD3"/>
    <w:rsid w:val="00AC5E06"/>
    <w:rsid w:val="00AC5F42"/>
    <w:rsid w:val="00AC5F66"/>
    <w:rsid w:val="00AC635D"/>
    <w:rsid w:val="00AC657D"/>
    <w:rsid w:val="00AC68EF"/>
    <w:rsid w:val="00AC7014"/>
    <w:rsid w:val="00AC710F"/>
    <w:rsid w:val="00AC715B"/>
    <w:rsid w:val="00AC7197"/>
    <w:rsid w:val="00AC738E"/>
    <w:rsid w:val="00AC766F"/>
    <w:rsid w:val="00AC79AC"/>
    <w:rsid w:val="00AC7E5B"/>
    <w:rsid w:val="00AC7ED0"/>
    <w:rsid w:val="00AD00A8"/>
    <w:rsid w:val="00AD016C"/>
    <w:rsid w:val="00AD07CE"/>
    <w:rsid w:val="00AD0A34"/>
    <w:rsid w:val="00AD0A92"/>
    <w:rsid w:val="00AD0AF1"/>
    <w:rsid w:val="00AD0EE3"/>
    <w:rsid w:val="00AD0FD7"/>
    <w:rsid w:val="00AD1274"/>
    <w:rsid w:val="00AD1393"/>
    <w:rsid w:val="00AD18DA"/>
    <w:rsid w:val="00AD19BB"/>
    <w:rsid w:val="00AD1A85"/>
    <w:rsid w:val="00AD1B13"/>
    <w:rsid w:val="00AD1C30"/>
    <w:rsid w:val="00AD1C94"/>
    <w:rsid w:val="00AD1D55"/>
    <w:rsid w:val="00AD1D72"/>
    <w:rsid w:val="00AD1E57"/>
    <w:rsid w:val="00AD1F5C"/>
    <w:rsid w:val="00AD2473"/>
    <w:rsid w:val="00AD2690"/>
    <w:rsid w:val="00AD27F3"/>
    <w:rsid w:val="00AD289A"/>
    <w:rsid w:val="00AD2A82"/>
    <w:rsid w:val="00AD2C25"/>
    <w:rsid w:val="00AD2D28"/>
    <w:rsid w:val="00AD2D3E"/>
    <w:rsid w:val="00AD396F"/>
    <w:rsid w:val="00AD3970"/>
    <w:rsid w:val="00AD39B4"/>
    <w:rsid w:val="00AD3E50"/>
    <w:rsid w:val="00AD415C"/>
    <w:rsid w:val="00AD4373"/>
    <w:rsid w:val="00AD4399"/>
    <w:rsid w:val="00AD43C4"/>
    <w:rsid w:val="00AD496E"/>
    <w:rsid w:val="00AD4BD3"/>
    <w:rsid w:val="00AD5131"/>
    <w:rsid w:val="00AD56FE"/>
    <w:rsid w:val="00AD585E"/>
    <w:rsid w:val="00AD5903"/>
    <w:rsid w:val="00AD5A5F"/>
    <w:rsid w:val="00AD5DA1"/>
    <w:rsid w:val="00AD5DDA"/>
    <w:rsid w:val="00AD5DF4"/>
    <w:rsid w:val="00AD5FBE"/>
    <w:rsid w:val="00AD6045"/>
    <w:rsid w:val="00AD61B5"/>
    <w:rsid w:val="00AD61D0"/>
    <w:rsid w:val="00AD6685"/>
    <w:rsid w:val="00AD6786"/>
    <w:rsid w:val="00AD6903"/>
    <w:rsid w:val="00AD6A58"/>
    <w:rsid w:val="00AD6B12"/>
    <w:rsid w:val="00AD6B50"/>
    <w:rsid w:val="00AD6C43"/>
    <w:rsid w:val="00AD6E37"/>
    <w:rsid w:val="00AD7105"/>
    <w:rsid w:val="00AD716F"/>
    <w:rsid w:val="00AD757B"/>
    <w:rsid w:val="00AD7678"/>
    <w:rsid w:val="00AD776D"/>
    <w:rsid w:val="00AD77C9"/>
    <w:rsid w:val="00AD7A8E"/>
    <w:rsid w:val="00AD7B55"/>
    <w:rsid w:val="00AD7D22"/>
    <w:rsid w:val="00AE03F3"/>
    <w:rsid w:val="00AE0713"/>
    <w:rsid w:val="00AE0790"/>
    <w:rsid w:val="00AE085B"/>
    <w:rsid w:val="00AE0DE9"/>
    <w:rsid w:val="00AE0EF1"/>
    <w:rsid w:val="00AE1109"/>
    <w:rsid w:val="00AE1427"/>
    <w:rsid w:val="00AE1463"/>
    <w:rsid w:val="00AE17A3"/>
    <w:rsid w:val="00AE17E0"/>
    <w:rsid w:val="00AE19AC"/>
    <w:rsid w:val="00AE1B8F"/>
    <w:rsid w:val="00AE20E9"/>
    <w:rsid w:val="00AE2658"/>
    <w:rsid w:val="00AE272D"/>
    <w:rsid w:val="00AE2A21"/>
    <w:rsid w:val="00AE2C07"/>
    <w:rsid w:val="00AE2F11"/>
    <w:rsid w:val="00AE38A8"/>
    <w:rsid w:val="00AE3A4B"/>
    <w:rsid w:val="00AE3A52"/>
    <w:rsid w:val="00AE3D4E"/>
    <w:rsid w:val="00AE3DB2"/>
    <w:rsid w:val="00AE3E8C"/>
    <w:rsid w:val="00AE4361"/>
    <w:rsid w:val="00AE4445"/>
    <w:rsid w:val="00AE4631"/>
    <w:rsid w:val="00AE4701"/>
    <w:rsid w:val="00AE49A4"/>
    <w:rsid w:val="00AE49C1"/>
    <w:rsid w:val="00AE4C0B"/>
    <w:rsid w:val="00AE4DCE"/>
    <w:rsid w:val="00AE4F95"/>
    <w:rsid w:val="00AE4FCA"/>
    <w:rsid w:val="00AE515E"/>
    <w:rsid w:val="00AE5B68"/>
    <w:rsid w:val="00AE5E01"/>
    <w:rsid w:val="00AE61A8"/>
    <w:rsid w:val="00AE6354"/>
    <w:rsid w:val="00AE677A"/>
    <w:rsid w:val="00AE69F1"/>
    <w:rsid w:val="00AE6DD2"/>
    <w:rsid w:val="00AE7159"/>
    <w:rsid w:val="00AE78D5"/>
    <w:rsid w:val="00AE7940"/>
    <w:rsid w:val="00AE7B86"/>
    <w:rsid w:val="00AE7F52"/>
    <w:rsid w:val="00AF0074"/>
    <w:rsid w:val="00AF0917"/>
    <w:rsid w:val="00AF0A89"/>
    <w:rsid w:val="00AF0B0F"/>
    <w:rsid w:val="00AF0F1A"/>
    <w:rsid w:val="00AF13D9"/>
    <w:rsid w:val="00AF141E"/>
    <w:rsid w:val="00AF1BF4"/>
    <w:rsid w:val="00AF20F5"/>
    <w:rsid w:val="00AF27F8"/>
    <w:rsid w:val="00AF29F1"/>
    <w:rsid w:val="00AF2E8D"/>
    <w:rsid w:val="00AF2ED5"/>
    <w:rsid w:val="00AF335B"/>
    <w:rsid w:val="00AF34CA"/>
    <w:rsid w:val="00AF37EC"/>
    <w:rsid w:val="00AF3CA9"/>
    <w:rsid w:val="00AF4016"/>
    <w:rsid w:val="00AF406B"/>
    <w:rsid w:val="00AF40FE"/>
    <w:rsid w:val="00AF43F8"/>
    <w:rsid w:val="00AF45AF"/>
    <w:rsid w:val="00AF46AA"/>
    <w:rsid w:val="00AF4705"/>
    <w:rsid w:val="00AF4928"/>
    <w:rsid w:val="00AF4CB2"/>
    <w:rsid w:val="00AF4F82"/>
    <w:rsid w:val="00AF5454"/>
    <w:rsid w:val="00AF58F0"/>
    <w:rsid w:val="00AF6013"/>
    <w:rsid w:val="00AF608F"/>
    <w:rsid w:val="00AF6248"/>
    <w:rsid w:val="00AF6536"/>
    <w:rsid w:val="00AF6584"/>
    <w:rsid w:val="00AF66D5"/>
    <w:rsid w:val="00AF6A08"/>
    <w:rsid w:val="00AF6A0D"/>
    <w:rsid w:val="00AF6AE1"/>
    <w:rsid w:val="00AF6CA4"/>
    <w:rsid w:val="00AF7704"/>
    <w:rsid w:val="00AF7776"/>
    <w:rsid w:val="00AF7DA7"/>
    <w:rsid w:val="00AF7E86"/>
    <w:rsid w:val="00B00314"/>
    <w:rsid w:val="00B007CC"/>
    <w:rsid w:val="00B00FDD"/>
    <w:rsid w:val="00B01207"/>
    <w:rsid w:val="00B0173C"/>
    <w:rsid w:val="00B017EE"/>
    <w:rsid w:val="00B01F09"/>
    <w:rsid w:val="00B02545"/>
    <w:rsid w:val="00B029EB"/>
    <w:rsid w:val="00B02BB7"/>
    <w:rsid w:val="00B02D3C"/>
    <w:rsid w:val="00B034B8"/>
    <w:rsid w:val="00B03553"/>
    <w:rsid w:val="00B03C38"/>
    <w:rsid w:val="00B03F6F"/>
    <w:rsid w:val="00B04291"/>
    <w:rsid w:val="00B043D7"/>
    <w:rsid w:val="00B04683"/>
    <w:rsid w:val="00B0473F"/>
    <w:rsid w:val="00B04E89"/>
    <w:rsid w:val="00B0531F"/>
    <w:rsid w:val="00B0541A"/>
    <w:rsid w:val="00B0577D"/>
    <w:rsid w:val="00B05859"/>
    <w:rsid w:val="00B0610F"/>
    <w:rsid w:val="00B06306"/>
    <w:rsid w:val="00B06505"/>
    <w:rsid w:val="00B06713"/>
    <w:rsid w:val="00B06B56"/>
    <w:rsid w:val="00B07203"/>
    <w:rsid w:val="00B072F6"/>
    <w:rsid w:val="00B07450"/>
    <w:rsid w:val="00B0759B"/>
    <w:rsid w:val="00B10189"/>
    <w:rsid w:val="00B106C6"/>
    <w:rsid w:val="00B107AF"/>
    <w:rsid w:val="00B108C8"/>
    <w:rsid w:val="00B10B5F"/>
    <w:rsid w:val="00B10E8B"/>
    <w:rsid w:val="00B1103D"/>
    <w:rsid w:val="00B1109F"/>
    <w:rsid w:val="00B1134B"/>
    <w:rsid w:val="00B11775"/>
    <w:rsid w:val="00B11790"/>
    <w:rsid w:val="00B118DA"/>
    <w:rsid w:val="00B1191D"/>
    <w:rsid w:val="00B11C15"/>
    <w:rsid w:val="00B11EDC"/>
    <w:rsid w:val="00B11F4E"/>
    <w:rsid w:val="00B127FB"/>
    <w:rsid w:val="00B129E5"/>
    <w:rsid w:val="00B13529"/>
    <w:rsid w:val="00B13925"/>
    <w:rsid w:val="00B13E95"/>
    <w:rsid w:val="00B13ECF"/>
    <w:rsid w:val="00B13EE9"/>
    <w:rsid w:val="00B13F8B"/>
    <w:rsid w:val="00B140B1"/>
    <w:rsid w:val="00B14371"/>
    <w:rsid w:val="00B1449B"/>
    <w:rsid w:val="00B14AD9"/>
    <w:rsid w:val="00B15180"/>
    <w:rsid w:val="00B15222"/>
    <w:rsid w:val="00B15A05"/>
    <w:rsid w:val="00B15B25"/>
    <w:rsid w:val="00B15F23"/>
    <w:rsid w:val="00B16057"/>
    <w:rsid w:val="00B1616B"/>
    <w:rsid w:val="00B16280"/>
    <w:rsid w:val="00B1658B"/>
    <w:rsid w:val="00B16600"/>
    <w:rsid w:val="00B16CF2"/>
    <w:rsid w:val="00B17037"/>
    <w:rsid w:val="00B170CA"/>
    <w:rsid w:val="00B17207"/>
    <w:rsid w:val="00B17B8C"/>
    <w:rsid w:val="00B17CEB"/>
    <w:rsid w:val="00B202F0"/>
    <w:rsid w:val="00B205C6"/>
    <w:rsid w:val="00B20895"/>
    <w:rsid w:val="00B20ABA"/>
    <w:rsid w:val="00B212BE"/>
    <w:rsid w:val="00B2141B"/>
    <w:rsid w:val="00B214EE"/>
    <w:rsid w:val="00B215E1"/>
    <w:rsid w:val="00B216D6"/>
    <w:rsid w:val="00B2197B"/>
    <w:rsid w:val="00B219D7"/>
    <w:rsid w:val="00B21A08"/>
    <w:rsid w:val="00B21B41"/>
    <w:rsid w:val="00B21DDC"/>
    <w:rsid w:val="00B21E40"/>
    <w:rsid w:val="00B221A8"/>
    <w:rsid w:val="00B224BB"/>
    <w:rsid w:val="00B226C1"/>
    <w:rsid w:val="00B2287D"/>
    <w:rsid w:val="00B22902"/>
    <w:rsid w:val="00B229A7"/>
    <w:rsid w:val="00B229CC"/>
    <w:rsid w:val="00B22B04"/>
    <w:rsid w:val="00B22B47"/>
    <w:rsid w:val="00B22B81"/>
    <w:rsid w:val="00B22D80"/>
    <w:rsid w:val="00B22E62"/>
    <w:rsid w:val="00B23070"/>
    <w:rsid w:val="00B233A8"/>
    <w:rsid w:val="00B23423"/>
    <w:rsid w:val="00B2352E"/>
    <w:rsid w:val="00B2355A"/>
    <w:rsid w:val="00B23678"/>
    <w:rsid w:val="00B23732"/>
    <w:rsid w:val="00B23B95"/>
    <w:rsid w:val="00B23D19"/>
    <w:rsid w:val="00B23E15"/>
    <w:rsid w:val="00B24019"/>
    <w:rsid w:val="00B24349"/>
    <w:rsid w:val="00B2492A"/>
    <w:rsid w:val="00B24A3A"/>
    <w:rsid w:val="00B24AA4"/>
    <w:rsid w:val="00B24D99"/>
    <w:rsid w:val="00B24EC7"/>
    <w:rsid w:val="00B24F86"/>
    <w:rsid w:val="00B259C9"/>
    <w:rsid w:val="00B25CFB"/>
    <w:rsid w:val="00B25D6B"/>
    <w:rsid w:val="00B26069"/>
    <w:rsid w:val="00B2636C"/>
    <w:rsid w:val="00B266DD"/>
    <w:rsid w:val="00B267D2"/>
    <w:rsid w:val="00B26A31"/>
    <w:rsid w:val="00B26DB4"/>
    <w:rsid w:val="00B270C9"/>
    <w:rsid w:val="00B277C4"/>
    <w:rsid w:val="00B279C7"/>
    <w:rsid w:val="00B27EC5"/>
    <w:rsid w:val="00B27ECD"/>
    <w:rsid w:val="00B30027"/>
    <w:rsid w:val="00B30033"/>
    <w:rsid w:val="00B30153"/>
    <w:rsid w:val="00B30458"/>
    <w:rsid w:val="00B3047D"/>
    <w:rsid w:val="00B30941"/>
    <w:rsid w:val="00B309A5"/>
    <w:rsid w:val="00B30BB1"/>
    <w:rsid w:val="00B30DB1"/>
    <w:rsid w:val="00B3167F"/>
    <w:rsid w:val="00B31DA0"/>
    <w:rsid w:val="00B32728"/>
    <w:rsid w:val="00B32B1F"/>
    <w:rsid w:val="00B32B3F"/>
    <w:rsid w:val="00B32CA0"/>
    <w:rsid w:val="00B32D84"/>
    <w:rsid w:val="00B3344E"/>
    <w:rsid w:val="00B342B0"/>
    <w:rsid w:val="00B342CA"/>
    <w:rsid w:val="00B343AC"/>
    <w:rsid w:val="00B34457"/>
    <w:rsid w:val="00B34AFD"/>
    <w:rsid w:val="00B34D0B"/>
    <w:rsid w:val="00B34E38"/>
    <w:rsid w:val="00B34FBA"/>
    <w:rsid w:val="00B35397"/>
    <w:rsid w:val="00B35594"/>
    <w:rsid w:val="00B35655"/>
    <w:rsid w:val="00B358E0"/>
    <w:rsid w:val="00B35A6C"/>
    <w:rsid w:val="00B35EEE"/>
    <w:rsid w:val="00B35F16"/>
    <w:rsid w:val="00B35F78"/>
    <w:rsid w:val="00B36694"/>
    <w:rsid w:val="00B36735"/>
    <w:rsid w:val="00B36A5F"/>
    <w:rsid w:val="00B36CD2"/>
    <w:rsid w:val="00B36F42"/>
    <w:rsid w:val="00B37049"/>
    <w:rsid w:val="00B3704C"/>
    <w:rsid w:val="00B37052"/>
    <w:rsid w:val="00B37388"/>
    <w:rsid w:val="00B374AB"/>
    <w:rsid w:val="00B37D41"/>
    <w:rsid w:val="00B40174"/>
    <w:rsid w:val="00B401F3"/>
    <w:rsid w:val="00B4026E"/>
    <w:rsid w:val="00B402EA"/>
    <w:rsid w:val="00B408E7"/>
    <w:rsid w:val="00B40F86"/>
    <w:rsid w:val="00B41233"/>
    <w:rsid w:val="00B412CE"/>
    <w:rsid w:val="00B41306"/>
    <w:rsid w:val="00B41698"/>
    <w:rsid w:val="00B4172F"/>
    <w:rsid w:val="00B41E6A"/>
    <w:rsid w:val="00B426A7"/>
    <w:rsid w:val="00B42AE6"/>
    <w:rsid w:val="00B42DCC"/>
    <w:rsid w:val="00B438BB"/>
    <w:rsid w:val="00B43C33"/>
    <w:rsid w:val="00B44357"/>
    <w:rsid w:val="00B44430"/>
    <w:rsid w:val="00B446DA"/>
    <w:rsid w:val="00B447A1"/>
    <w:rsid w:val="00B447F3"/>
    <w:rsid w:val="00B44C09"/>
    <w:rsid w:val="00B44CA8"/>
    <w:rsid w:val="00B44E1D"/>
    <w:rsid w:val="00B4520C"/>
    <w:rsid w:val="00B45B7E"/>
    <w:rsid w:val="00B45D59"/>
    <w:rsid w:val="00B45DF1"/>
    <w:rsid w:val="00B45DF5"/>
    <w:rsid w:val="00B45F83"/>
    <w:rsid w:val="00B4657F"/>
    <w:rsid w:val="00B467DC"/>
    <w:rsid w:val="00B469AD"/>
    <w:rsid w:val="00B46C73"/>
    <w:rsid w:val="00B46CFC"/>
    <w:rsid w:val="00B470E8"/>
    <w:rsid w:val="00B47557"/>
    <w:rsid w:val="00B47821"/>
    <w:rsid w:val="00B4789A"/>
    <w:rsid w:val="00B478F8"/>
    <w:rsid w:val="00B479A0"/>
    <w:rsid w:val="00B47B18"/>
    <w:rsid w:val="00B47CCF"/>
    <w:rsid w:val="00B50500"/>
    <w:rsid w:val="00B50DFC"/>
    <w:rsid w:val="00B5100D"/>
    <w:rsid w:val="00B51569"/>
    <w:rsid w:val="00B517AF"/>
    <w:rsid w:val="00B517EA"/>
    <w:rsid w:val="00B51A9A"/>
    <w:rsid w:val="00B51CBD"/>
    <w:rsid w:val="00B51FFC"/>
    <w:rsid w:val="00B525DE"/>
    <w:rsid w:val="00B52722"/>
    <w:rsid w:val="00B52A21"/>
    <w:rsid w:val="00B52B49"/>
    <w:rsid w:val="00B534D5"/>
    <w:rsid w:val="00B5386A"/>
    <w:rsid w:val="00B53878"/>
    <w:rsid w:val="00B53BAF"/>
    <w:rsid w:val="00B53E7C"/>
    <w:rsid w:val="00B5405F"/>
    <w:rsid w:val="00B547D6"/>
    <w:rsid w:val="00B54B28"/>
    <w:rsid w:val="00B5501B"/>
    <w:rsid w:val="00B555C1"/>
    <w:rsid w:val="00B558E9"/>
    <w:rsid w:val="00B55A3F"/>
    <w:rsid w:val="00B55B4B"/>
    <w:rsid w:val="00B55EC2"/>
    <w:rsid w:val="00B561ED"/>
    <w:rsid w:val="00B5639C"/>
    <w:rsid w:val="00B563D5"/>
    <w:rsid w:val="00B56426"/>
    <w:rsid w:val="00B5666F"/>
    <w:rsid w:val="00B56BC8"/>
    <w:rsid w:val="00B56BFA"/>
    <w:rsid w:val="00B56E4C"/>
    <w:rsid w:val="00B5760A"/>
    <w:rsid w:val="00B57AD7"/>
    <w:rsid w:val="00B57D2F"/>
    <w:rsid w:val="00B60046"/>
    <w:rsid w:val="00B60109"/>
    <w:rsid w:val="00B6053B"/>
    <w:rsid w:val="00B60541"/>
    <w:rsid w:val="00B607C7"/>
    <w:rsid w:val="00B60930"/>
    <w:rsid w:val="00B60A8C"/>
    <w:rsid w:val="00B60C27"/>
    <w:rsid w:val="00B60EFE"/>
    <w:rsid w:val="00B613C0"/>
    <w:rsid w:val="00B618F8"/>
    <w:rsid w:val="00B61C30"/>
    <w:rsid w:val="00B61C88"/>
    <w:rsid w:val="00B61D85"/>
    <w:rsid w:val="00B620D9"/>
    <w:rsid w:val="00B62103"/>
    <w:rsid w:val="00B623CA"/>
    <w:rsid w:val="00B623D7"/>
    <w:rsid w:val="00B62441"/>
    <w:rsid w:val="00B6245C"/>
    <w:rsid w:val="00B62715"/>
    <w:rsid w:val="00B6319D"/>
    <w:rsid w:val="00B6354E"/>
    <w:rsid w:val="00B635E3"/>
    <w:rsid w:val="00B6368F"/>
    <w:rsid w:val="00B6384F"/>
    <w:rsid w:val="00B63BCC"/>
    <w:rsid w:val="00B6402A"/>
    <w:rsid w:val="00B6460A"/>
    <w:rsid w:val="00B64619"/>
    <w:rsid w:val="00B658AA"/>
    <w:rsid w:val="00B65A1E"/>
    <w:rsid w:val="00B6638A"/>
    <w:rsid w:val="00B664D1"/>
    <w:rsid w:val="00B6699B"/>
    <w:rsid w:val="00B66EBD"/>
    <w:rsid w:val="00B6703A"/>
    <w:rsid w:val="00B6753B"/>
    <w:rsid w:val="00B676C7"/>
    <w:rsid w:val="00B67D88"/>
    <w:rsid w:val="00B67DC0"/>
    <w:rsid w:val="00B67F99"/>
    <w:rsid w:val="00B70B4A"/>
    <w:rsid w:val="00B70E84"/>
    <w:rsid w:val="00B70E9C"/>
    <w:rsid w:val="00B71110"/>
    <w:rsid w:val="00B71141"/>
    <w:rsid w:val="00B71287"/>
    <w:rsid w:val="00B7148E"/>
    <w:rsid w:val="00B71AA5"/>
    <w:rsid w:val="00B71C1C"/>
    <w:rsid w:val="00B71D45"/>
    <w:rsid w:val="00B71E9B"/>
    <w:rsid w:val="00B71F1F"/>
    <w:rsid w:val="00B7232F"/>
    <w:rsid w:val="00B725C6"/>
    <w:rsid w:val="00B72881"/>
    <w:rsid w:val="00B730B1"/>
    <w:rsid w:val="00B737DE"/>
    <w:rsid w:val="00B73814"/>
    <w:rsid w:val="00B73870"/>
    <w:rsid w:val="00B738FC"/>
    <w:rsid w:val="00B739F5"/>
    <w:rsid w:val="00B73A33"/>
    <w:rsid w:val="00B746A3"/>
    <w:rsid w:val="00B746FA"/>
    <w:rsid w:val="00B74BE8"/>
    <w:rsid w:val="00B752CA"/>
    <w:rsid w:val="00B753AB"/>
    <w:rsid w:val="00B758C1"/>
    <w:rsid w:val="00B758F9"/>
    <w:rsid w:val="00B75D07"/>
    <w:rsid w:val="00B75FDA"/>
    <w:rsid w:val="00B7633B"/>
    <w:rsid w:val="00B7647C"/>
    <w:rsid w:val="00B76C24"/>
    <w:rsid w:val="00B76FA7"/>
    <w:rsid w:val="00B77080"/>
    <w:rsid w:val="00B775A4"/>
    <w:rsid w:val="00B77612"/>
    <w:rsid w:val="00B7762D"/>
    <w:rsid w:val="00B7775F"/>
    <w:rsid w:val="00B77832"/>
    <w:rsid w:val="00B77F93"/>
    <w:rsid w:val="00B801E4"/>
    <w:rsid w:val="00B80A0D"/>
    <w:rsid w:val="00B81289"/>
    <w:rsid w:val="00B812BD"/>
    <w:rsid w:val="00B815B7"/>
    <w:rsid w:val="00B81A3F"/>
    <w:rsid w:val="00B81AA6"/>
    <w:rsid w:val="00B81BC7"/>
    <w:rsid w:val="00B81CFB"/>
    <w:rsid w:val="00B81DBD"/>
    <w:rsid w:val="00B82034"/>
    <w:rsid w:val="00B82244"/>
    <w:rsid w:val="00B82314"/>
    <w:rsid w:val="00B8232F"/>
    <w:rsid w:val="00B82406"/>
    <w:rsid w:val="00B826A3"/>
    <w:rsid w:val="00B82931"/>
    <w:rsid w:val="00B82DC2"/>
    <w:rsid w:val="00B83833"/>
    <w:rsid w:val="00B83D49"/>
    <w:rsid w:val="00B842E1"/>
    <w:rsid w:val="00B848DA"/>
    <w:rsid w:val="00B84974"/>
    <w:rsid w:val="00B84D7C"/>
    <w:rsid w:val="00B84F41"/>
    <w:rsid w:val="00B85A8D"/>
    <w:rsid w:val="00B85BCD"/>
    <w:rsid w:val="00B85EF2"/>
    <w:rsid w:val="00B860E8"/>
    <w:rsid w:val="00B86264"/>
    <w:rsid w:val="00B863A1"/>
    <w:rsid w:val="00B869E0"/>
    <w:rsid w:val="00B86BE6"/>
    <w:rsid w:val="00B87883"/>
    <w:rsid w:val="00B87981"/>
    <w:rsid w:val="00B87CC1"/>
    <w:rsid w:val="00B9001B"/>
    <w:rsid w:val="00B90104"/>
    <w:rsid w:val="00B90590"/>
    <w:rsid w:val="00B905A5"/>
    <w:rsid w:val="00B90EAA"/>
    <w:rsid w:val="00B90F0F"/>
    <w:rsid w:val="00B90F5F"/>
    <w:rsid w:val="00B91261"/>
    <w:rsid w:val="00B91360"/>
    <w:rsid w:val="00B913E7"/>
    <w:rsid w:val="00B925C9"/>
    <w:rsid w:val="00B926A1"/>
    <w:rsid w:val="00B928A9"/>
    <w:rsid w:val="00B92DF4"/>
    <w:rsid w:val="00B9307B"/>
    <w:rsid w:val="00B939DF"/>
    <w:rsid w:val="00B93D41"/>
    <w:rsid w:val="00B93D8F"/>
    <w:rsid w:val="00B93E6B"/>
    <w:rsid w:val="00B9407E"/>
    <w:rsid w:val="00B942E8"/>
    <w:rsid w:val="00B9463D"/>
    <w:rsid w:val="00B948FA"/>
    <w:rsid w:val="00B94B0C"/>
    <w:rsid w:val="00B94B6A"/>
    <w:rsid w:val="00B94D32"/>
    <w:rsid w:val="00B94D3F"/>
    <w:rsid w:val="00B94D49"/>
    <w:rsid w:val="00B957FE"/>
    <w:rsid w:val="00B95DBB"/>
    <w:rsid w:val="00B95EA4"/>
    <w:rsid w:val="00B9635B"/>
    <w:rsid w:val="00B9641E"/>
    <w:rsid w:val="00B965BF"/>
    <w:rsid w:val="00B97931"/>
    <w:rsid w:val="00B9798D"/>
    <w:rsid w:val="00B97A8C"/>
    <w:rsid w:val="00BA0482"/>
    <w:rsid w:val="00BA0667"/>
    <w:rsid w:val="00BA066C"/>
    <w:rsid w:val="00BA0B00"/>
    <w:rsid w:val="00BA122A"/>
    <w:rsid w:val="00BA1617"/>
    <w:rsid w:val="00BA1638"/>
    <w:rsid w:val="00BA176C"/>
    <w:rsid w:val="00BA19E8"/>
    <w:rsid w:val="00BA1F7C"/>
    <w:rsid w:val="00BA2260"/>
    <w:rsid w:val="00BA26F4"/>
    <w:rsid w:val="00BA2E0F"/>
    <w:rsid w:val="00BA4086"/>
    <w:rsid w:val="00BA4212"/>
    <w:rsid w:val="00BA4522"/>
    <w:rsid w:val="00BA4F94"/>
    <w:rsid w:val="00BA5085"/>
    <w:rsid w:val="00BA517B"/>
    <w:rsid w:val="00BA543C"/>
    <w:rsid w:val="00BA545F"/>
    <w:rsid w:val="00BA54EA"/>
    <w:rsid w:val="00BA5687"/>
    <w:rsid w:val="00BA5741"/>
    <w:rsid w:val="00BA58A7"/>
    <w:rsid w:val="00BA5C42"/>
    <w:rsid w:val="00BA5C9F"/>
    <w:rsid w:val="00BA61A0"/>
    <w:rsid w:val="00BA667B"/>
    <w:rsid w:val="00BA6915"/>
    <w:rsid w:val="00BA6E68"/>
    <w:rsid w:val="00BA6E88"/>
    <w:rsid w:val="00BA7022"/>
    <w:rsid w:val="00BA70BF"/>
    <w:rsid w:val="00BA74ED"/>
    <w:rsid w:val="00BA756C"/>
    <w:rsid w:val="00BA7B51"/>
    <w:rsid w:val="00BA7C6B"/>
    <w:rsid w:val="00BA7C91"/>
    <w:rsid w:val="00BA7CCE"/>
    <w:rsid w:val="00BB0065"/>
    <w:rsid w:val="00BB02CE"/>
    <w:rsid w:val="00BB0971"/>
    <w:rsid w:val="00BB0973"/>
    <w:rsid w:val="00BB0AE2"/>
    <w:rsid w:val="00BB0B67"/>
    <w:rsid w:val="00BB0BE7"/>
    <w:rsid w:val="00BB0DE8"/>
    <w:rsid w:val="00BB11D2"/>
    <w:rsid w:val="00BB14A4"/>
    <w:rsid w:val="00BB18AE"/>
    <w:rsid w:val="00BB198C"/>
    <w:rsid w:val="00BB1B19"/>
    <w:rsid w:val="00BB1E56"/>
    <w:rsid w:val="00BB1E5B"/>
    <w:rsid w:val="00BB20AF"/>
    <w:rsid w:val="00BB24A9"/>
    <w:rsid w:val="00BB2712"/>
    <w:rsid w:val="00BB30B1"/>
    <w:rsid w:val="00BB31F7"/>
    <w:rsid w:val="00BB350E"/>
    <w:rsid w:val="00BB3AC7"/>
    <w:rsid w:val="00BB3E21"/>
    <w:rsid w:val="00BB41E6"/>
    <w:rsid w:val="00BB49F0"/>
    <w:rsid w:val="00BB4A29"/>
    <w:rsid w:val="00BB4A6A"/>
    <w:rsid w:val="00BB55A5"/>
    <w:rsid w:val="00BB55D4"/>
    <w:rsid w:val="00BB5ACE"/>
    <w:rsid w:val="00BB5BAD"/>
    <w:rsid w:val="00BB6241"/>
    <w:rsid w:val="00BB66C0"/>
    <w:rsid w:val="00BB6828"/>
    <w:rsid w:val="00BB6D17"/>
    <w:rsid w:val="00BC0C38"/>
    <w:rsid w:val="00BC0CDC"/>
    <w:rsid w:val="00BC0E92"/>
    <w:rsid w:val="00BC16B4"/>
    <w:rsid w:val="00BC233C"/>
    <w:rsid w:val="00BC2535"/>
    <w:rsid w:val="00BC2548"/>
    <w:rsid w:val="00BC25B6"/>
    <w:rsid w:val="00BC29E7"/>
    <w:rsid w:val="00BC2AC4"/>
    <w:rsid w:val="00BC36A5"/>
    <w:rsid w:val="00BC3901"/>
    <w:rsid w:val="00BC399C"/>
    <w:rsid w:val="00BC4155"/>
    <w:rsid w:val="00BC42AE"/>
    <w:rsid w:val="00BC448D"/>
    <w:rsid w:val="00BC44BE"/>
    <w:rsid w:val="00BC49CB"/>
    <w:rsid w:val="00BC4B44"/>
    <w:rsid w:val="00BC5214"/>
    <w:rsid w:val="00BC5268"/>
    <w:rsid w:val="00BC5720"/>
    <w:rsid w:val="00BC5B30"/>
    <w:rsid w:val="00BC5C36"/>
    <w:rsid w:val="00BC60F3"/>
    <w:rsid w:val="00BC6183"/>
    <w:rsid w:val="00BC6923"/>
    <w:rsid w:val="00BC6ADA"/>
    <w:rsid w:val="00BC6E48"/>
    <w:rsid w:val="00BC6F86"/>
    <w:rsid w:val="00BC74C9"/>
    <w:rsid w:val="00BC7AAA"/>
    <w:rsid w:val="00BC7C5C"/>
    <w:rsid w:val="00BC7D68"/>
    <w:rsid w:val="00BC7E68"/>
    <w:rsid w:val="00BC7ED0"/>
    <w:rsid w:val="00BD018A"/>
    <w:rsid w:val="00BD0932"/>
    <w:rsid w:val="00BD15F0"/>
    <w:rsid w:val="00BD1AA1"/>
    <w:rsid w:val="00BD2A66"/>
    <w:rsid w:val="00BD2FAD"/>
    <w:rsid w:val="00BD325D"/>
    <w:rsid w:val="00BD376E"/>
    <w:rsid w:val="00BD37C3"/>
    <w:rsid w:val="00BD38F4"/>
    <w:rsid w:val="00BD3F29"/>
    <w:rsid w:val="00BD3FF2"/>
    <w:rsid w:val="00BD4093"/>
    <w:rsid w:val="00BD4590"/>
    <w:rsid w:val="00BD485A"/>
    <w:rsid w:val="00BD4977"/>
    <w:rsid w:val="00BD49F5"/>
    <w:rsid w:val="00BD507D"/>
    <w:rsid w:val="00BD50F9"/>
    <w:rsid w:val="00BD55CA"/>
    <w:rsid w:val="00BD60AE"/>
    <w:rsid w:val="00BD6255"/>
    <w:rsid w:val="00BD63F1"/>
    <w:rsid w:val="00BD65A3"/>
    <w:rsid w:val="00BD673C"/>
    <w:rsid w:val="00BD6825"/>
    <w:rsid w:val="00BD6B56"/>
    <w:rsid w:val="00BD6E6F"/>
    <w:rsid w:val="00BD6FC5"/>
    <w:rsid w:val="00BD7A71"/>
    <w:rsid w:val="00BD7E6F"/>
    <w:rsid w:val="00BE0304"/>
    <w:rsid w:val="00BE0328"/>
    <w:rsid w:val="00BE0377"/>
    <w:rsid w:val="00BE0C72"/>
    <w:rsid w:val="00BE0F41"/>
    <w:rsid w:val="00BE1029"/>
    <w:rsid w:val="00BE17FF"/>
    <w:rsid w:val="00BE18D0"/>
    <w:rsid w:val="00BE1AFA"/>
    <w:rsid w:val="00BE1E22"/>
    <w:rsid w:val="00BE23D0"/>
    <w:rsid w:val="00BE2D31"/>
    <w:rsid w:val="00BE31F1"/>
    <w:rsid w:val="00BE35AB"/>
    <w:rsid w:val="00BE3738"/>
    <w:rsid w:val="00BE374B"/>
    <w:rsid w:val="00BE3B71"/>
    <w:rsid w:val="00BE3DA8"/>
    <w:rsid w:val="00BE4171"/>
    <w:rsid w:val="00BE4228"/>
    <w:rsid w:val="00BE4699"/>
    <w:rsid w:val="00BE4B3F"/>
    <w:rsid w:val="00BE4DD3"/>
    <w:rsid w:val="00BE507C"/>
    <w:rsid w:val="00BE5326"/>
    <w:rsid w:val="00BE5B5C"/>
    <w:rsid w:val="00BE5F94"/>
    <w:rsid w:val="00BE5FE8"/>
    <w:rsid w:val="00BE631B"/>
    <w:rsid w:val="00BE64A6"/>
    <w:rsid w:val="00BE6860"/>
    <w:rsid w:val="00BE6B30"/>
    <w:rsid w:val="00BE738A"/>
    <w:rsid w:val="00BEE444"/>
    <w:rsid w:val="00BF0259"/>
    <w:rsid w:val="00BF0B1B"/>
    <w:rsid w:val="00BF1007"/>
    <w:rsid w:val="00BF102B"/>
    <w:rsid w:val="00BF11E7"/>
    <w:rsid w:val="00BF1262"/>
    <w:rsid w:val="00BF1377"/>
    <w:rsid w:val="00BF13E6"/>
    <w:rsid w:val="00BF13FD"/>
    <w:rsid w:val="00BF1555"/>
    <w:rsid w:val="00BF1602"/>
    <w:rsid w:val="00BF184F"/>
    <w:rsid w:val="00BF1BBE"/>
    <w:rsid w:val="00BF1DAB"/>
    <w:rsid w:val="00BF2464"/>
    <w:rsid w:val="00BF2498"/>
    <w:rsid w:val="00BF29FE"/>
    <w:rsid w:val="00BF2C9F"/>
    <w:rsid w:val="00BF2F94"/>
    <w:rsid w:val="00BF2FE0"/>
    <w:rsid w:val="00BF381D"/>
    <w:rsid w:val="00BF3B49"/>
    <w:rsid w:val="00BF3C1E"/>
    <w:rsid w:val="00BF40BE"/>
    <w:rsid w:val="00BF415D"/>
    <w:rsid w:val="00BF43A6"/>
    <w:rsid w:val="00BF4428"/>
    <w:rsid w:val="00BF44EF"/>
    <w:rsid w:val="00BF45F8"/>
    <w:rsid w:val="00BF4AE4"/>
    <w:rsid w:val="00BF4D14"/>
    <w:rsid w:val="00BF4E53"/>
    <w:rsid w:val="00BF4E5D"/>
    <w:rsid w:val="00BF4EEB"/>
    <w:rsid w:val="00BF4F3D"/>
    <w:rsid w:val="00BF53BE"/>
    <w:rsid w:val="00BF54CB"/>
    <w:rsid w:val="00BF579A"/>
    <w:rsid w:val="00BF57FB"/>
    <w:rsid w:val="00BF5832"/>
    <w:rsid w:val="00BF5EB2"/>
    <w:rsid w:val="00BF6326"/>
    <w:rsid w:val="00BF637C"/>
    <w:rsid w:val="00BF64B9"/>
    <w:rsid w:val="00BF697D"/>
    <w:rsid w:val="00BF6AA8"/>
    <w:rsid w:val="00BF6AE4"/>
    <w:rsid w:val="00BF6D2B"/>
    <w:rsid w:val="00BF6D44"/>
    <w:rsid w:val="00BF71EE"/>
    <w:rsid w:val="00BF71F1"/>
    <w:rsid w:val="00C0009F"/>
    <w:rsid w:val="00C00695"/>
    <w:rsid w:val="00C0089B"/>
    <w:rsid w:val="00C009B2"/>
    <w:rsid w:val="00C00C6D"/>
    <w:rsid w:val="00C00F6F"/>
    <w:rsid w:val="00C0152F"/>
    <w:rsid w:val="00C015F4"/>
    <w:rsid w:val="00C01824"/>
    <w:rsid w:val="00C01A64"/>
    <w:rsid w:val="00C01F0E"/>
    <w:rsid w:val="00C0220F"/>
    <w:rsid w:val="00C023E0"/>
    <w:rsid w:val="00C027A0"/>
    <w:rsid w:val="00C02B5C"/>
    <w:rsid w:val="00C02D09"/>
    <w:rsid w:val="00C02FFA"/>
    <w:rsid w:val="00C0309E"/>
    <w:rsid w:val="00C03119"/>
    <w:rsid w:val="00C03252"/>
    <w:rsid w:val="00C03314"/>
    <w:rsid w:val="00C035E5"/>
    <w:rsid w:val="00C03619"/>
    <w:rsid w:val="00C03709"/>
    <w:rsid w:val="00C03944"/>
    <w:rsid w:val="00C03C3A"/>
    <w:rsid w:val="00C04109"/>
    <w:rsid w:val="00C0430A"/>
    <w:rsid w:val="00C0444A"/>
    <w:rsid w:val="00C04657"/>
    <w:rsid w:val="00C049EA"/>
    <w:rsid w:val="00C04B6B"/>
    <w:rsid w:val="00C04DC3"/>
    <w:rsid w:val="00C05467"/>
    <w:rsid w:val="00C059FD"/>
    <w:rsid w:val="00C05D1D"/>
    <w:rsid w:val="00C06354"/>
    <w:rsid w:val="00C063EB"/>
    <w:rsid w:val="00C063F4"/>
    <w:rsid w:val="00C0662E"/>
    <w:rsid w:val="00C06740"/>
    <w:rsid w:val="00C06A28"/>
    <w:rsid w:val="00C06A5E"/>
    <w:rsid w:val="00C06BA7"/>
    <w:rsid w:val="00C06D25"/>
    <w:rsid w:val="00C06DD4"/>
    <w:rsid w:val="00C077B8"/>
    <w:rsid w:val="00C078F5"/>
    <w:rsid w:val="00C07AD6"/>
    <w:rsid w:val="00C07B4B"/>
    <w:rsid w:val="00C07B8A"/>
    <w:rsid w:val="00C105D0"/>
    <w:rsid w:val="00C10639"/>
    <w:rsid w:val="00C10F76"/>
    <w:rsid w:val="00C11157"/>
    <w:rsid w:val="00C11272"/>
    <w:rsid w:val="00C11710"/>
    <w:rsid w:val="00C1187E"/>
    <w:rsid w:val="00C11B0E"/>
    <w:rsid w:val="00C11FD6"/>
    <w:rsid w:val="00C12102"/>
    <w:rsid w:val="00C12281"/>
    <w:rsid w:val="00C12649"/>
    <w:rsid w:val="00C12671"/>
    <w:rsid w:val="00C126A2"/>
    <w:rsid w:val="00C129A6"/>
    <w:rsid w:val="00C12B58"/>
    <w:rsid w:val="00C1304F"/>
    <w:rsid w:val="00C13075"/>
    <w:rsid w:val="00C13082"/>
    <w:rsid w:val="00C1331F"/>
    <w:rsid w:val="00C13457"/>
    <w:rsid w:val="00C1367D"/>
    <w:rsid w:val="00C13705"/>
    <w:rsid w:val="00C1378C"/>
    <w:rsid w:val="00C138A7"/>
    <w:rsid w:val="00C13CE6"/>
    <w:rsid w:val="00C1417E"/>
    <w:rsid w:val="00C1419A"/>
    <w:rsid w:val="00C14382"/>
    <w:rsid w:val="00C14518"/>
    <w:rsid w:val="00C146D8"/>
    <w:rsid w:val="00C14743"/>
    <w:rsid w:val="00C14ADC"/>
    <w:rsid w:val="00C14B5D"/>
    <w:rsid w:val="00C14D49"/>
    <w:rsid w:val="00C15158"/>
    <w:rsid w:val="00C15283"/>
    <w:rsid w:val="00C15389"/>
    <w:rsid w:val="00C1560A"/>
    <w:rsid w:val="00C15AFB"/>
    <w:rsid w:val="00C15F61"/>
    <w:rsid w:val="00C15FD4"/>
    <w:rsid w:val="00C16288"/>
    <w:rsid w:val="00C16485"/>
    <w:rsid w:val="00C165DF"/>
    <w:rsid w:val="00C16752"/>
    <w:rsid w:val="00C1697C"/>
    <w:rsid w:val="00C16A0D"/>
    <w:rsid w:val="00C16F76"/>
    <w:rsid w:val="00C17476"/>
    <w:rsid w:val="00C2093F"/>
    <w:rsid w:val="00C20A00"/>
    <w:rsid w:val="00C20CFF"/>
    <w:rsid w:val="00C2110A"/>
    <w:rsid w:val="00C21377"/>
    <w:rsid w:val="00C2152E"/>
    <w:rsid w:val="00C21790"/>
    <w:rsid w:val="00C21B18"/>
    <w:rsid w:val="00C21BD0"/>
    <w:rsid w:val="00C21C57"/>
    <w:rsid w:val="00C2266C"/>
    <w:rsid w:val="00C22930"/>
    <w:rsid w:val="00C23175"/>
    <w:rsid w:val="00C231A3"/>
    <w:rsid w:val="00C23705"/>
    <w:rsid w:val="00C23B10"/>
    <w:rsid w:val="00C23FB6"/>
    <w:rsid w:val="00C24098"/>
    <w:rsid w:val="00C24823"/>
    <w:rsid w:val="00C249D9"/>
    <w:rsid w:val="00C24B26"/>
    <w:rsid w:val="00C2500A"/>
    <w:rsid w:val="00C25644"/>
    <w:rsid w:val="00C25651"/>
    <w:rsid w:val="00C25850"/>
    <w:rsid w:val="00C25859"/>
    <w:rsid w:val="00C25AFC"/>
    <w:rsid w:val="00C25B2B"/>
    <w:rsid w:val="00C25E4D"/>
    <w:rsid w:val="00C26425"/>
    <w:rsid w:val="00C26BC0"/>
    <w:rsid w:val="00C26DEF"/>
    <w:rsid w:val="00C26FE9"/>
    <w:rsid w:val="00C27010"/>
    <w:rsid w:val="00C27221"/>
    <w:rsid w:val="00C2752E"/>
    <w:rsid w:val="00C27D00"/>
    <w:rsid w:val="00C27EAC"/>
    <w:rsid w:val="00C27F77"/>
    <w:rsid w:val="00C302D8"/>
    <w:rsid w:val="00C3039B"/>
    <w:rsid w:val="00C305A7"/>
    <w:rsid w:val="00C30802"/>
    <w:rsid w:val="00C30A3A"/>
    <w:rsid w:val="00C30A67"/>
    <w:rsid w:val="00C316C3"/>
    <w:rsid w:val="00C3197A"/>
    <w:rsid w:val="00C319AE"/>
    <w:rsid w:val="00C31FFB"/>
    <w:rsid w:val="00C320F5"/>
    <w:rsid w:val="00C3218C"/>
    <w:rsid w:val="00C321BC"/>
    <w:rsid w:val="00C32C7D"/>
    <w:rsid w:val="00C33448"/>
    <w:rsid w:val="00C335DC"/>
    <w:rsid w:val="00C336DF"/>
    <w:rsid w:val="00C33988"/>
    <w:rsid w:val="00C342AA"/>
    <w:rsid w:val="00C342D7"/>
    <w:rsid w:val="00C343E9"/>
    <w:rsid w:val="00C343F9"/>
    <w:rsid w:val="00C347B2"/>
    <w:rsid w:val="00C34D29"/>
    <w:rsid w:val="00C350F8"/>
    <w:rsid w:val="00C354A7"/>
    <w:rsid w:val="00C35CF8"/>
    <w:rsid w:val="00C35E86"/>
    <w:rsid w:val="00C35EEA"/>
    <w:rsid w:val="00C35FF5"/>
    <w:rsid w:val="00C36316"/>
    <w:rsid w:val="00C363F2"/>
    <w:rsid w:val="00C3683E"/>
    <w:rsid w:val="00C3687E"/>
    <w:rsid w:val="00C37040"/>
    <w:rsid w:val="00C37AAF"/>
    <w:rsid w:val="00C404F7"/>
    <w:rsid w:val="00C40539"/>
    <w:rsid w:val="00C4084D"/>
    <w:rsid w:val="00C409CE"/>
    <w:rsid w:val="00C41604"/>
    <w:rsid w:val="00C41FEE"/>
    <w:rsid w:val="00C4205E"/>
    <w:rsid w:val="00C42268"/>
    <w:rsid w:val="00C42729"/>
    <w:rsid w:val="00C42800"/>
    <w:rsid w:val="00C42A5B"/>
    <w:rsid w:val="00C42DD7"/>
    <w:rsid w:val="00C430B0"/>
    <w:rsid w:val="00C4318B"/>
    <w:rsid w:val="00C43255"/>
    <w:rsid w:val="00C43506"/>
    <w:rsid w:val="00C44354"/>
    <w:rsid w:val="00C44863"/>
    <w:rsid w:val="00C448B6"/>
    <w:rsid w:val="00C449DB"/>
    <w:rsid w:val="00C44A44"/>
    <w:rsid w:val="00C44F1F"/>
    <w:rsid w:val="00C45194"/>
    <w:rsid w:val="00C451AC"/>
    <w:rsid w:val="00C458C2"/>
    <w:rsid w:val="00C459AB"/>
    <w:rsid w:val="00C459DC"/>
    <w:rsid w:val="00C45AB5"/>
    <w:rsid w:val="00C45C33"/>
    <w:rsid w:val="00C45C4D"/>
    <w:rsid w:val="00C45EE5"/>
    <w:rsid w:val="00C460A5"/>
    <w:rsid w:val="00C468F9"/>
    <w:rsid w:val="00C46A3B"/>
    <w:rsid w:val="00C47DE5"/>
    <w:rsid w:val="00C503B6"/>
    <w:rsid w:val="00C50690"/>
    <w:rsid w:val="00C5074C"/>
    <w:rsid w:val="00C50B72"/>
    <w:rsid w:val="00C51092"/>
    <w:rsid w:val="00C511A0"/>
    <w:rsid w:val="00C515CE"/>
    <w:rsid w:val="00C51765"/>
    <w:rsid w:val="00C517D3"/>
    <w:rsid w:val="00C51BA0"/>
    <w:rsid w:val="00C52C65"/>
    <w:rsid w:val="00C536BF"/>
    <w:rsid w:val="00C53832"/>
    <w:rsid w:val="00C53CEC"/>
    <w:rsid w:val="00C53D99"/>
    <w:rsid w:val="00C53EB6"/>
    <w:rsid w:val="00C54308"/>
    <w:rsid w:val="00C5448B"/>
    <w:rsid w:val="00C5465B"/>
    <w:rsid w:val="00C5590A"/>
    <w:rsid w:val="00C55B8B"/>
    <w:rsid w:val="00C55BD7"/>
    <w:rsid w:val="00C55D1A"/>
    <w:rsid w:val="00C55DD1"/>
    <w:rsid w:val="00C569FB"/>
    <w:rsid w:val="00C576BA"/>
    <w:rsid w:val="00C5785D"/>
    <w:rsid w:val="00C57C34"/>
    <w:rsid w:val="00C60DDA"/>
    <w:rsid w:val="00C6118C"/>
    <w:rsid w:val="00C61460"/>
    <w:rsid w:val="00C61475"/>
    <w:rsid w:val="00C614D5"/>
    <w:rsid w:val="00C61532"/>
    <w:rsid w:val="00C61856"/>
    <w:rsid w:val="00C61A20"/>
    <w:rsid w:val="00C61B5D"/>
    <w:rsid w:val="00C61D05"/>
    <w:rsid w:val="00C61DAE"/>
    <w:rsid w:val="00C621B1"/>
    <w:rsid w:val="00C6279A"/>
    <w:rsid w:val="00C6289E"/>
    <w:rsid w:val="00C6292E"/>
    <w:rsid w:val="00C62E01"/>
    <w:rsid w:val="00C62E82"/>
    <w:rsid w:val="00C62EE8"/>
    <w:rsid w:val="00C63011"/>
    <w:rsid w:val="00C63129"/>
    <w:rsid w:val="00C63916"/>
    <w:rsid w:val="00C63A75"/>
    <w:rsid w:val="00C63B91"/>
    <w:rsid w:val="00C63B99"/>
    <w:rsid w:val="00C63D09"/>
    <w:rsid w:val="00C642B9"/>
    <w:rsid w:val="00C6458C"/>
    <w:rsid w:val="00C645DC"/>
    <w:rsid w:val="00C6465E"/>
    <w:rsid w:val="00C64850"/>
    <w:rsid w:val="00C648B9"/>
    <w:rsid w:val="00C6496B"/>
    <w:rsid w:val="00C64A91"/>
    <w:rsid w:val="00C64C14"/>
    <w:rsid w:val="00C64D6E"/>
    <w:rsid w:val="00C65707"/>
    <w:rsid w:val="00C657B9"/>
    <w:rsid w:val="00C658E7"/>
    <w:rsid w:val="00C65983"/>
    <w:rsid w:val="00C65A94"/>
    <w:rsid w:val="00C65B79"/>
    <w:rsid w:val="00C65CBA"/>
    <w:rsid w:val="00C65E82"/>
    <w:rsid w:val="00C66299"/>
    <w:rsid w:val="00C66526"/>
    <w:rsid w:val="00C667BF"/>
    <w:rsid w:val="00C66987"/>
    <w:rsid w:val="00C66D0C"/>
    <w:rsid w:val="00C6711B"/>
    <w:rsid w:val="00C67648"/>
    <w:rsid w:val="00C67AA5"/>
    <w:rsid w:val="00C67F24"/>
    <w:rsid w:val="00C67FA1"/>
    <w:rsid w:val="00C70005"/>
    <w:rsid w:val="00C70421"/>
    <w:rsid w:val="00C704D6"/>
    <w:rsid w:val="00C70763"/>
    <w:rsid w:val="00C707E1"/>
    <w:rsid w:val="00C70AD4"/>
    <w:rsid w:val="00C70C85"/>
    <w:rsid w:val="00C70EE9"/>
    <w:rsid w:val="00C711BF"/>
    <w:rsid w:val="00C7136E"/>
    <w:rsid w:val="00C7188A"/>
    <w:rsid w:val="00C71B1F"/>
    <w:rsid w:val="00C71BF4"/>
    <w:rsid w:val="00C71E41"/>
    <w:rsid w:val="00C721FC"/>
    <w:rsid w:val="00C72967"/>
    <w:rsid w:val="00C72C49"/>
    <w:rsid w:val="00C72F7B"/>
    <w:rsid w:val="00C73046"/>
    <w:rsid w:val="00C73047"/>
    <w:rsid w:val="00C7331D"/>
    <w:rsid w:val="00C7331F"/>
    <w:rsid w:val="00C73A1E"/>
    <w:rsid w:val="00C73AFF"/>
    <w:rsid w:val="00C73BED"/>
    <w:rsid w:val="00C73DCA"/>
    <w:rsid w:val="00C7413A"/>
    <w:rsid w:val="00C742A4"/>
    <w:rsid w:val="00C74908"/>
    <w:rsid w:val="00C74D3C"/>
    <w:rsid w:val="00C75067"/>
    <w:rsid w:val="00C7574E"/>
    <w:rsid w:val="00C759E2"/>
    <w:rsid w:val="00C764F5"/>
    <w:rsid w:val="00C765A9"/>
    <w:rsid w:val="00C76CFB"/>
    <w:rsid w:val="00C774A3"/>
    <w:rsid w:val="00C775CA"/>
    <w:rsid w:val="00C776B7"/>
    <w:rsid w:val="00C776D4"/>
    <w:rsid w:val="00C7782C"/>
    <w:rsid w:val="00C778B3"/>
    <w:rsid w:val="00C77982"/>
    <w:rsid w:val="00C77CA9"/>
    <w:rsid w:val="00C804A6"/>
    <w:rsid w:val="00C806D0"/>
    <w:rsid w:val="00C807D9"/>
    <w:rsid w:val="00C809FF"/>
    <w:rsid w:val="00C80FDD"/>
    <w:rsid w:val="00C811A1"/>
    <w:rsid w:val="00C8131C"/>
    <w:rsid w:val="00C813D6"/>
    <w:rsid w:val="00C81794"/>
    <w:rsid w:val="00C81A14"/>
    <w:rsid w:val="00C81BBC"/>
    <w:rsid w:val="00C82B00"/>
    <w:rsid w:val="00C82EEF"/>
    <w:rsid w:val="00C82F38"/>
    <w:rsid w:val="00C82FD2"/>
    <w:rsid w:val="00C830DE"/>
    <w:rsid w:val="00C83649"/>
    <w:rsid w:val="00C838B7"/>
    <w:rsid w:val="00C840D4"/>
    <w:rsid w:val="00C84214"/>
    <w:rsid w:val="00C84280"/>
    <w:rsid w:val="00C842CB"/>
    <w:rsid w:val="00C843BF"/>
    <w:rsid w:val="00C848A1"/>
    <w:rsid w:val="00C855A4"/>
    <w:rsid w:val="00C856C6"/>
    <w:rsid w:val="00C85804"/>
    <w:rsid w:val="00C85CE7"/>
    <w:rsid w:val="00C85EA6"/>
    <w:rsid w:val="00C85EED"/>
    <w:rsid w:val="00C85F75"/>
    <w:rsid w:val="00C85FC4"/>
    <w:rsid w:val="00C86178"/>
    <w:rsid w:val="00C86578"/>
    <w:rsid w:val="00C86650"/>
    <w:rsid w:val="00C8696B"/>
    <w:rsid w:val="00C86D64"/>
    <w:rsid w:val="00C8722F"/>
    <w:rsid w:val="00C87351"/>
    <w:rsid w:val="00C8735C"/>
    <w:rsid w:val="00C87365"/>
    <w:rsid w:val="00C8750A"/>
    <w:rsid w:val="00C876CC"/>
    <w:rsid w:val="00C87732"/>
    <w:rsid w:val="00C900A9"/>
    <w:rsid w:val="00C90655"/>
    <w:rsid w:val="00C91421"/>
    <w:rsid w:val="00C91472"/>
    <w:rsid w:val="00C91686"/>
    <w:rsid w:val="00C9175F"/>
    <w:rsid w:val="00C91807"/>
    <w:rsid w:val="00C91F74"/>
    <w:rsid w:val="00C92631"/>
    <w:rsid w:val="00C926F4"/>
    <w:rsid w:val="00C929D0"/>
    <w:rsid w:val="00C92B17"/>
    <w:rsid w:val="00C92E23"/>
    <w:rsid w:val="00C93003"/>
    <w:rsid w:val="00C9338C"/>
    <w:rsid w:val="00C9362D"/>
    <w:rsid w:val="00C936C7"/>
    <w:rsid w:val="00C93860"/>
    <w:rsid w:val="00C93E91"/>
    <w:rsid w:val="00C93F1E"/>
    <w:rsid w:val="00C94109"/>
    <w:rsid w:val="00C94288"/>
    <w:rsid w:val="00C9492E"/>
    <w:rsid w:val="00C94EF5"/>
    <w:rsid w:val="00C95354"/>
    <w:rsid w:val="00C95793"/>
    <w:rsid w:val="00C9588C"/>
    <w:rsid w:val="00C95979"/>
    <w:rsid w:val="00C95B15"/>
    <w:rsid w:val="00C95BC6"/>
    <w:rsid w:val="00C96054"/>
    <w:rsid w:val="00C96206"/>
    <w:rsid w:val="00C962ED"/>
    <w:rsid w:val="00C96304"/>
    <w:rsid w:val="00C96A8B"/>
    <w:rsid w:val="00C96AF4"/>
    <w:rsid w:val="00C97129"/>
    <w:rsid w:val="00C97327"/>
    <w:rsid w:val="00C974ED"/>
    <w:rsid w:val="00C975E1"/>
    <w:rsid w:val="00C9760B"/>
    <w:rsid w:val="00C97BBE"/>
    <w:rsid w:val="00C97C9C"/>
    <w:rsid w:val="00C97EDD"/>
    <w:rsid w:val="00CA007B"/>
    <w:rsid w:val="00CA015A"/>
    <w:rsid w:val="00CA0394"/>
    <w:rsid w:val="00CA090F"/>
    <w:rsid w:val="00CA0E92"/>
    <w:rsid w:val="00CA1222"/>
    <w:rsid w:val="00CA18B4"/>
    <w:rsid w:val="00CA1B99"/>
    <w:rsid w:val="00CA246F"/>
    <w:rsid w:val="00CA29D5"/>
    <w:rsid w:val="00CA3048"/>
    <w:rsid w:val="00CA30F2"/>
    <w:rsid w:val="00CA34DC"/>
    <w:rsid w:val="00CA35B7"/>
    <w:rsid w:val="00CA36A9"/>
    <w:rsid w:val="00CA3BEE"/>
    <w:rsid w:val="00CA3C22"/>
    <w:rsid w:val="00CA3C80"/>
    <w:rsid w:val="00CA4897"/>
    <w:rsid w:val="00CA4966"/>
    <w:rsid w:val="00CA4DCD"/>
    <w:rsid w:val="00CA5168"/>
    <w:rsid w:val="00CA522E"/>
    <w:rsid w:val="00CA52C4"/>
    <w:rsid w:val="00CA5513"/>
    <w:rsid w:val="00CA55B4"/>
    <w:rsid w:val="00CA55DD"/>
    <w:rsid w:val="00CA55FB"/>
    <w:rsid w:val="00CA56AB"/>
    <w:rsid w:val="00CA57BC"/>
    <w:rsid w:val="00CA58F4"/>
    <w:rsid w:val="00CA58F7"/>
    <w:rsid w:val="00CA5965"/>
    <w:rsid w:val="00CA63C7"/>
    <w:rsid w:val="00CA655D"/>
    <w:rsid w:val="00CA6668"/>
    <w:rsid w:val="00CA680A"/>
    <w:rsid w:val="00CA6F11"/>
    <w:rsid w:val="00CA7596"/>
    <w:rsid w:val="00CA77EA"/>
    <w:rsid w:val="00CA798E"/>
    <w:rsid w:val="00CA7E89"/>
    <w:rsid w:val="00CA7EEC"/>
    <w:rsid w:val="00CB006B"/>
    <w:rsid w:val="00CB021D"/>
    <w:rsid w:val="00CB0922"/>
    <w:rsid w:val="00CB0B16"/>
    <w:rsid w:val="00CB0F2F"/>
    <w:rsid w:val="00CB1030"/>
    <w:rsid w:val="00CB10EB"/>
    <w:rsid w:val="00CB1244"/>
    <w:rsid w:val="00CB15CC"/>
    <w:rsid w:val="00CB162A"/>
    <w:rsid w:val="00CB166B"/>
    <w:rsid w:val="00CB1BA3"/>
    <w:rsid w:val="00CB21DB"/>
    <w:rsid w:val="00CB2461"/>
    <w:rsid w:val="00CB25C7"/>
    <w:rsid w:val="00CB28E3"/>
    <w:rsid w:val="00CB2936"/>
    <w:rsid w:val="00CB2B1D"/>
    <w:rsid w:val="00CB2BC5"/>
    <w:rsid w:val="00CB2D39"/>
    <w:rsid w:val="00CB31AD"/>
    <w:rsid w:val="00CB3253"/>
    <w:rsid w:val="00CB32FA"/>
    <w:rsid w:val="00CB3380"/>
    <w:rsid w:val="00CB354E"/>
    <w:rsid w:val="00CB37AA"/>
    <w:rsid w:val="00CB3AAC"/>
    <w:rsid w:val="00CB3BD4"/>
    <w:rsid w:val="00CB3D13"/>
    <w:rsid w:val="00CB3EF8"/>
    <w:rsid w:val="00CB425D"/>
    <w:rsid w:val="00CB4579"/>
    <w:rsid w:val="00CB4AFE"/>
    <w:rsid w:val="00CB4B07"/>
    <w:rsid w:val="00CB4C02"/>
    <w:rsid w:val="00CB4C90"/>
    <w:rsid w:val="00CB5170"/>
    <w:rsid w:val="00CB54F3"/>
    <w:rsid w:val="00CB58E4"/>
    <w:rsid w:val="00CB5C3F"/>
    <w:rsid w:val="00CB5F1B"/>
    <w:rsid w:val="00CB6291"/>
    <w:rsid w:val="00CB6336"/>
    <w:rsid w:val="00CB635D"/>
    <w:rsid w:val="00CB64D5"/>
    <w:rsid w:val="00CB69E4"/>
    <w:rsid w:val="00CB6CC7"/>
    <w:rsid w:val="00CB6D9A"/>
    <w:rsid w:val="00CB6F18"/>
    <w:rsid w:val="00CB6F7B"/>
    <w:rsid w:val="00CB72B7"/>
    <w:rsid w:val="00CB772F"/>
    <w:rsid w:val="00CB7956"/>
    <w:rsid w:val="00CB7C42"/>
    <w:rsid w:val="00CB7FE8"/>
    <w:rsid w:val="00CB7FFE"/>
    <w:rsid w:val="00CC0821"/>
    <w:rsid w:val="00CC0E7D"/>
    <w:rsid w:val="00CC0E9A"/>
    <w:rsid w:val="00CC155F"/>
    <w:rsid w:val="00CC15D2"/>
    <w:rsid w:val="00CC19F5"/>
    <w:rsid w:val="00CC1D1B"/>
    <w:rsid w:val="00CC1D8F"/>
    <w:rsid w:val="00CC212A"/>
    <w:rsid w:val="00CC214D"/>
    <w:rsid w:val="00CC21E2"/>
    <w:rsid w:val="00CC2750"/>
    <w:rsid w:val="00CC29D3"/>
    <w:rsid w:val="00CC2E63"/>
    <w:rsid w:val="00CC2ECD"/>
    <w:rsid w:val="00CC2FCA"/>
    <w:rsid w:val="00CC3771"/>
    <w:rsid w:val="00CC385E"/>
    <w:rsid w:val="00CC39BA"/>
    <w:rsid w:val="00CC4023"/>
    <w:rsid w:val="00CC42D8"/>
    <w:rsid w:val="00CC4470"/>
    <w:rsid w:val="00CC4688"/>
    <w:rsid w:val="00CC496B"/>
    <w:rsid w:val="00CC496D"/>
    <w:rsid w:val="00CC4A91"/>
    <w:rsid w:val="00CC5074"/>
    <w:rsid w:val="00CC52D3"/>
    <w:rsid w:val="00CC5440"/>
    <w:rsid w:val="00CC5524"/>
    <w:rsid w:val="00CC5A62"/>
    <w:rsid w:val="00CC5AFF"/>
    <w:rsid w:val="00CC5B4A"/>
    <w:rsid w:val="00CC626A"/>
    <w:rsid w:val="00CC6520"/>
    <w:rsid w:val="00CC699E"/>
    <w:rsid w:val="00CC69EB"/>
    <w:rsid w:val="00CC6AB0"/>
    <w:rsid w:val="00CC6E5C"/>
    <w:rsid w:val="00CC6E88"/>
    <w:rsid w:val="00CC7284"/>
    <w:rsid w:val="00CC76CD"/>
    <w:rsid w:val="00CC76F8"/>
    <w:rsid w:val="00CC7A37"/>
    <w:rsid w:val="00CC7E18"/>
    <w:rsid w:val="00CD009D"/>
    <w:rsid w:val="00CD05C3"/>
    <w:rsid w:val="00CD07E3"/>
    <w:rsid w:val="00CD095F"/>
    <w:rsid w:val="00CD1617"/>
    <w:rsid w:val="00CD1675"/>
    <w:rsid w:val="00CD1D38"/>
    <w:rsid w:val="00CD224F"/>
    <w:rsid w:val="00CD22D6"/>
    <w:rsid w:val="00CD2644"/>
    <w:rsid w:val="00CD2AE0"/>
    <w:rsid w:val="00CD2C35"/>
    <w:rsid w:val="00CD2FB4"/>
    <w:rsid w:val="00CD3036"/>
    <w:rsid w:val="00CD35E1"/>
    <w:rsid w:val="00CD3CF2"/>
    <w:rsid w:val="00CD3D1C"/>
    <w:rsid w:val="00CD3D47"/>
    <w:rsid w:val="00CD3DC0"/>
    <w:rsid w:val="00CD3DD3"/>
    <w:rsid w:val="00CD3EBB"/>
    <w:rsid w:val="00CD41DA"/>
    <w:rsid w:val="00CD446F"/>
    <w:rsid w:val="00CD44E2"/>
    <w:rsid w:val="00CD460A"/>
    <w:rsid w:val="00CD46DF"/>
    <w:rsid w:val="00CD53C4"/>
    <w:rsid w:val="00CD5571"/>
    <w:rsid w:val="00CD5818"/>
    <w:rsid w:val="00CD5971"/>
    <w:rsid w:val="00CD5A24"/>
    <w:rsid w:val="00CD5E06"/>
    <w:rsid w:val="00CD5E67"/>
    <w:rsid w:val="00CD6107"/>
    <w:rsid w:val="00CD6312"/>
    <w:rsid w:val="00CD643D"/>
    <w:rsid w:val="00CD6542"/>
    <w:rsid w:val="00CD65B2"/>
    <w:rsid w:val="00CD6674"/>
    <w:rsid w:val="00CD69D7"/>
    <w:rsid w:val="00CD6CD7"/>
    <w:rsid w:val="00CD707E"/>
    <w:rsid w:val="00CD724A"/>
    <w:rsid w:val="00CD72CF"/>
    <w:rsid w:val="00CD749C"/>
    <w:rsid w:val="00CD7863"/>
    <w:rsid w:val="00CD7927"/>
    <w:rsid w:val="00CD7A31"/>
    <w:rsid w:val="00CD7E96"/>
    <w:rsid w:val="00CE01E8"/>
    <w:rsid w:val="00CE04FF"/>
    <w:rsid w:val="00CE06BB"/>
    <w:rsid w:val="00CE09A0"/>
    <w:rsid w:val="00CE09F7"/>
    <w:rsid w:val="00CE0B4F"/>
    <w:rsid w:val="00CE0D03"/>
    <w:rsid w:val="00CE1224"/>
    <w:rsid w:val="00CE1CA2"/>
    <w:rsid w:val="00CE1DE4"/>
    <w:rsid w:val="00CE1E70"/>
    <w:rsid w:val="00CE20EE"/>
    <w:rsid w:val="00CE2258"/>
    <w:rsid w:val="00CE2956"/>
    <w:rsid w:val="00CE300D"/>
    <w:rsid w:val="00CE3037"/>
    <w:rsid w:val="00CE31BD"/>
    <w:rsid w:val="00CE326A"/>
    <w:rsid w:val="00CE3921"/>
    <w:rsid w:val="00CE39BA"/>
    <w:rsid w:val="00CE3A9A"/>
    <w:rsid w:val="00CE3AB9"/>
    <w:rsid w:val="00CE43B9"/>
    <w:rsid w:val="00CE4AA5"/>
    <w:rsid w:val="00CE54A8"/>
    <w:rsid w:val="00CE5698"/>
    <w:rsid w:val="00CE5706"/>
    <w:rsid w:val="00CE58E4"/>
    <w:rsid w:val="00CE5C90"/>
    <w:rsid w:val="00CE5C94"/>
    <w:rsid w:val="00CE5DA7"/>
    <w:rsid w:val="00CE64CA"/>
    <w:rsid w:val="00CE6B63"/>
    <w:rsid w:val="00CE728F"/>
    <w:rsid w:val="00CE7359"/>
    <w:rsid w:val="00CE7473"/>
    <w:rsid w:val="00CE74A8"/>
    <w:rsid w:val="00CE77CD"/>
    <w:rsid w:val="00CE7A0F"/>
    <w:rsid w:val="00CF035F"/>
    <w:rsid w:val="00CF0471"/>
    <w:rsid w:val="00CF0490"/>
    <w:rsid w:val="00CF06FC"/>
    <w:rsid w:val="00CF08F6"/>
    <w:rsid w:val="00CF0AD7"/>
    <w:rsid w:val="00CF0CFB"/>
    <w:rsid w:val="00CF0E54"/>
    <w:rsid w:val="00CF116F"/>
    <w:rsid w:val="00CF126A"/>
    <w:rsid w:val="00CF1743"/>
    <w:rsid w:val="00CF2097"/>
    <w:rsid w:val="00CF2BEA"/>
    <w:rsid w:val="00CF2CA0"/>
    <w:rsid w:val="00CF2CB0"/>
    <w:rsid w:val="00CF2DA4"/>
    <w:rsid w:val="00CF31A3"/>
    <w:rsid w:val="00CF3427"/>
    <w:rsid w:val="00CF3CE2"/>
    <w:rsid w:val="00CF3F78"/>
    <w:rsid w:val="00CF4053"/>
    <w:rsid w:val="00CF4107"/>
    <w:rsid w:val="00CF41AA"/>
    <w:rsid w:val="00CF4717"/>
    <w:rsid w:val="00CF4DF0"/>
    <w:rsid w:val="00CF5507"/>
    <w:rsid w:val="00CF57F2"/>
    <w:rsid w:val="00CF59AC"/>
    <w:rsid w:val="00CF5C21"/>
    <w:rsid w:val="00CF5CCC"/>
    <w:rsid w:val="00CF5CF3"/>
    <w:rsid w:val="00CF5D8D"/>
    <w:rsid w:val="00CF5DCE"/>
    <w:rsid w:val="00CF5F0F"/>
    <w:rsid w:val="00CF618A"/>
    <w:rsid w:val="00CF66FF"/>
    <w:rsid w:val="00CF675C"/>
    <w:rsid w:val="00CF6C70"/>
    <w:rsid w:val="00CF6DAC"/>
    <w:rsid w:val="00CF6E96"/>
    <w:rsid w:val="00CF7A33"/>
    <w:rsid w:val="00CF7B89"/>
    <w:rsid w:val="00D00019"/>
    <w:rsid w:val="00D000E3"/>
    <w:rsid w:val="00D00128"/>
    <w:rsid w:val="00D0056A"/>
    <w:rsid w:val="00D0086C"/>
    <w:rsid w:val="00D00959"/>
    <w:rsid w:val="00D00A60"/>
    <w:rsid w:val="00D00BE1"/>
    <w:rsid w:val="00D00E13"/>
    <w:rsid w:val="00D00FF6"/>
    <w:rsid w:val="00D010B3"/>
    <w:rsid w:val="00D01232"/>
    <w:rsid w:val="00D018B6"/>
    <w:rsid w:val="00D01951"/>
    <w:rsid w:val="00D01B44"/>
    <w:rsid w:val="00D02B96"/>
    <w:rsid w:val="00D02C53"/>
    <w:rsid w:val="00D02CC4"/>
    <w:rsid w:val="00D02D8E"/>
    <w:rsid w:val="00D03135"/>
    <w:rsid w:val="00D031F0"/>
    <w:rsid w:val="00D03419"/>
    <w:rsid w:val="00D03433"/>
    <w:rsid w:val="00D034DA"/>
    <w:rsid w:val="00D03992"/>
    <w:rsid w:val="00D03CF8"/>
    <w:rsid w:val="00D041D6"/>
    <w:rsid w:val="00D04710"/>
    <w:rsid w:val="00D04B1D"/>
    <w:rsid w:val="00D04C48"/>
    <w:rsid w:val="00D052B3"/>
    <w:rsid w:val="00D0538C"/>
    <w:rsid w:val="00D058D1"/>
    <w:rsid w:val="00D05A08"/>
    <w:rsid w:val="00D05A12"/>
    <w:rsid w:val="00D05D25"/>
    <w:rsid w:val="00D05D89"/>
    <w:rsid w:val="00D06285"/>
    <w:rsid w:val="00D063FE"/>
    <w:rsid w:val="00D0695C"/>
    <w:rsid w:val="00D06FF8"/>
    <w:rsid w:val="00D0771B"/>
    <w:rsid w:val="00D079C2"/>
    <w:rsid w:val="00D07A4B"/>
    <w:rsid w:val="00D07B2D"/>
    <w:rsid w:val="00D07C6D"/>
    <w:rsid w:val="00D07E10"/>
    <w:rsid w:val="00D07E67"/>
    <w:rsid w:val="00D1046B"/>
    <w:rsid w:val="00D107D8"/>
    <w:rsid w:val="00D10B92"/>
    <w:rsid w:val="00D10D88"/>
    <w:rsid w:val="00D11266"/>
    <w:rsid w:val="00D1152E"/>
    <w:rsid w:val="00D11B93"/>
    <w:rsid w:val="00D11C14"/>
    <w:rsid w:val="00D11C70"/>
    <w:rsid w:val="00D11D08"/>
    <w:rsid w:val="00D122B7"/>
    <w:rsid w:val="00D122C4"/>
    <w:rsid w:val="00D1240B"/>
    <w:rsid w:val="00D12A9C"/>
    <w:rsid w:val="00D12C21"/>
    <w:rsid w:val="00D12F2A"/>
    <w:rsid w:val="00D135DB"/>
    <w:rsid w:val="00D13698"/>
    <w:rsid w:val="00D137E7"/>
    <w:rsid w:val="00D14213"/>
    <w:rsid w:val="00D14663"/>
    <w:rsid w:val="00D14780"/>
    <w:rsid w:val="00D14890"/>
    <w:rsid w:val="00D14942"/>
    <w:rsid w:val="00D1512F"/>
    <w:rsid w:val="00D15B46"/>
    <w:rsid w:val="00D160AF"/>
    <w:rsid w:val="00D1617A"/>
    <w:rsid w:val="00D161CF"/>
    <w:rsid w:val="00D1643D"/>
    <w:rsid w:val="00D16524"/>
    <w:rsid w:val="00D16E7E"/>
    <w:rsid w:val="00D16F6E"/>
    <w:rsid w:val="00D17341"/>
    <w:rsid w:val="00D17473"/>
    <w:rsid w:val="00D174A6"/>
    <w:rsid w:val="00D177E9"/>
    <w:rsid w:val="00D178F2"/>
    <w:rsid w:val="00D2052B"/>
    <w:rsid w:val="00D20967"/>
    <w:rsid w:val="00D211A2"/>
    <w:rsid w:val="00D21409"/>
    <w:rsid w:val="00D215DB"/>
    <w:rsid w:val="00D21607"/>
    <w:rsid w:val="00D21871"/>
    <w:rsid w:val="00D21B47"/>
    <w:rsid w:val="00D21D94"/>
    <w:rsid w:val="00D21F82"/>
    <w:rsid w:val="00D22133"/>
    <w:rsid w:val="00D22242"/>
    <w:rsid w:val="00D2229D"/>
    <w:rsid w:val="00D2271C"/>
    <w:rsid w:val="00D22A2D"/>
    <w:rsid w:val="00D22A6A"/>
    <w:rsid w:val="00D22A6D"/>
    <w:rsid w:val="00D22CF8"/>
    <w:rsid w:val="00D22EB0"/>
    <w:rsid w:val="00D230AF"/>
    <w:rsid w:val="00D231BD"/>
    <w:rsid w:val="00D23351"/>
    <w:rsid w:val="00D23FE2"/>
    <w:rsid w:val="00D24009"/>
    <w:rsid w:val="00D247D1"/>
    <w:rsid w:val="00D24A5B"/>
    <w:rsid w:val="00D24C87"/>
    <w:rsid w:val="00D24E51"/>
    <w:rsid w:val="00D24F04"/>
    <w:rsid w:val="00D2585D"/>
    <w:rsid w:val="00D26563"/>
    <w:rsid w:val="00D266AD"/>
    <w:rsid w:val="00D26924"/>
    <w:rsid w:val="00D26BE4"/>
    <w:rsid w:val="00D27205"/>
    <w:rsid w:val="00D272C9"/>
    <w:rsid w:val="00D27350"/>
    <w:rsid w:val="00D2747B"/>
    <w:rsid w:val="00D275A0"/>
    <w:rsid w:val="00D27C42"/>
    <w:rsid w:val="00D3001F"/>
    <w:rsid w:val="00D30137"/>
    <w:rsid w:val="00D305A6"/>
    <w:rsid w:val="00D30800"/>
    <w:rsid w:val="00D30951"/>
    <w:rsid w:val="00D31AC3"/>
    <w:rsid w:val="00D32093"/>
    <w:rsid w:val="00D32342"/>
    <w:rsid w:val="00D32681"/>
    <w:rsid w:val="00D32931"/>
    <w:rsid w:val="00D32BF1"/>
    <w:rsid w:val="00D33009"/>
    <w:rsid w:val="00D331AA"/>
    <w:rsid w:val="00D34D9E"/>
    <w:rsid w:val="00D34EC2"/>
    <w:rsid w:val="00D34FC5"/>
    <w:rsid w:val="00D3515D"/>
    <w:rsid w:val="00D35305"/>
    <w:rsid w:val="00D35788"/>
    <w:rsid w:val="00D35C1F"/>
    <w:rsid w:val="00D35F27"/>
    <w:rsid w:val="00D36373"/>
    <w:rsid w:val="00D364F3"/>
    <w:rsid w:val="00D367EE"/>
    <w:rsid w:val="00D3681D"/>
    <w:rsid w:val="00D3689B"/>
    <w:rsid w:val="00D36AC5"/>
    <w:rsid w:val="00D36E8D"/>
    <w:rsid w:val="00D36F6B"/>
    <w:rsid w:val="00D37380"/>
    <w:rsid w:val="00D373D5"/>
    <w:rsid w:val="00D37685"/>
    <w:rsid w:val="00D3770B"/>
    <w:rsid w:val="00D377E6"/>
    <w:rsid w:val="00D4032C"/>
    <w:rsid w:val="00D40655"/>
    <w:rsid w:val="00D40C67"/>
    <w:rsid w:val="00D41357"/>
    <w:rsid w:val="00D41782"/>
    <w:rsid w:val="00D41808"/>
    <w:rsid w:val="00D41A9B"/>
    <w:rsid w:val="00D41BDD"/>
    <w:rsid w:val="00D41CBB"/>
    <w:rsid w:val="00D41DE3"/>
    <w:rsid w:val="00D41DF7"/>
    <w:rsid w:val="00D41E14"/>
    <w:rsid w:val="00D42BB7"/>
    <w:rsid w:val="00D42F31"/>
    <w:rsid w:val="00D42F49"/>
    <w:rsid w:val="00D42F79"/>
    <w:rsid w:val="00D431A7"/>
    <w:rsid w:val="00D436E0"/>
    <w:rsid w:val="00D449B9"/>
    <w:rsid w:val="00D44BE4"/>
    <w:rsid w:val="00D44D91"/>
    <w:rsid w:val="00D44F9D"/>
    <w:rsid w:val="00D4517C"/>
    <w:rsid w:val="00D451AE"/>
    <w:rsid w:val="00D453DD"/>
    <w:rsid w:val="00D45548"/>
    <w:rsid w:val="00D4557B"/>
    <w:rsid w:val="00D4564E"/>
    <w:rsid w:val="00D4579B"/>
    <w:rsid w:val="00D458AF"/>
    <w:rsid w:val="00D459C1"/>
    <w:rsid w:val="00D46627"/>
    <w:rsid w:val="00D4669A"/>
    <w:rsid w:val="00D46B9F"/>
    <w:rsid w:val="00D46F3F"/>
    <w:rsid w:val="00D46F61"/>
    <w:rsid w:val="00D47105"/>
    <w:rsid w:val="00D477DF"/>
    <w:rsid w:val="00D47CCB"/>
    <w:rsid w:val="00D50210"/>
    <w:rsid w:val="00D504AB"/>
    <w:rsid w:val="00D5090B"/>
    <w:rsid w:val="00D51251"/>
    <w:rsid w:val="00D5134D"/>
    <w:rsid w:val="00D51ED2"/>
    <w:rsid w:val="00D52842"/>
    <w:rsid w:val="00D52D7B"/>
    <w:rsid w:val="00D52ED4"/>
    <w:rsid w:val="00D535D7"/>
    <w:rsid w:val="00D539BA"/>
    <w:rsid w:val="00D545DE"/>
    <w:rsid w:val="00D545F0"/>
    <w:rsid w:val="00D546F0"/>
    <w:rsid w:val="00D54774"/>
    <w:rsid w:val="00D54E08"/>
    <w:rsid w:val="00D55189"/>
    <w:rsid w:val="00D55393"/>
    <w:rsid w:val="00D55B51"/>
    <w:rsid w:val="00D55C1F"/>
    <w:rsid w:val="00D55DBD"/>
    <w:rsid w:val="00D56134"/>
    <w:rsid w:val="00D56143"/>
    <w:rsid w:val="00D562A7"/>
    <w:rsid w:val="00D5653F"/>
    <w:rsid w:val="00D56796"/>
    <w:rsid w:val="00D56830"/>
    <w:rsid w:val="00D56988"/>
    <w:rsid w:val="00D56BAD"/>
    <w:rsid w:val="00D56D11"/>
    <w:rsid w:val="00D56E09"/>
    <w:rsid w:val="00D56E5F"/>
    <w:rsid w:val="00D57165"/>
    <w:rsid w:val="00D5719D"/>
    <w:rsid w:val="00D57622"/>
    <w:rsid w:val="00D576F2"/>
    <w:rsid w:val="00D57746"/>
    <w:rsid w:val="00D578A3"/>
    <w:rsid w:val="00D57C35"/>
    <w:rsid w:val="00D57C54"/>
    <w:rsid w:val="00D57CD2"/>
    <w:rsid w:val="00D601E9"/>
    <w:rsid w:val="00D60383"/>
    <w:rsid w:val="00D608FC"/>
    <w:rsid w:val="00D61166"/>
    <w:rsid w:val="00D61B1C"/>
    <w:rsid w:val="00D62162"/>
    <w:rsid w:val="00D62A13"/>
    <w:rsid w:val="00D62BDC"/>
    <w:rsid w:val="00D62C86"/>
    <w:rsid w:val="00D62E3C"/>
    <w:rsid w:val="00D6324B"/>
    <w:rsid w:val="00D632CF"/>
    <w:rsid w:val="00D63627"/>
    <w:rsid w:val="00D64096"/>
    <w:rsid w:val="00D641FA"/>
    <w:rsid w:val="00D64343"/>
    <w:rsid w:val="00D643A1"/>
    <w:rsid w:val="00D643DA"/>
    <w:rsid w:val="00D644B3"/>
    <w:rsid w:val="00D644F5"/>
    <w:rsid w:val="00D64616"/>
    <w:rsid w:val="00D646DA"/>
    <w:rsid w:val="00D64920"/>
    <w:rsid w:val="00D64A4F"/>
    <w:rsid w:val="00D64B7D"/>
    <w:rsid w:val="00D64E04"/>
    <w:rsid w:val="00D65211"/>
    <w:rsid w:val="00D6546E"/>
    <w:rsid w:val="00D65567"/>
    <w:rsid w:val="00D65664"/>
    <w:rsid w:val="00D65D05"/>
    <w:rsid w:val="00D65E5F"/>
    <w:rsid w:val="00D65F5D"/>
    <w:rsid w:val="00D660A0"/>
    <w:rsid w:val="00D66594"/>
    <w:rsid w:val="00D6686C"/>
    <w:rsid w:val="00D6689A"/>
    <w:rsid w:val="00D66903"/>
    <w:rsid w:val="00D66C78"/>
    <w:rsid w:val="00D66D89"/>
    <w:rsid w:val="00D66E58"/>
    <w:rsid w:val="00D671A0"/>
    <w:rsid w:val="00D67252"/>
    <w:rsid w:val="00D67708"/>
    <w:rsid w:val="00D67844"/>
    <w:rsid w:val="00D678C2"/>
    <w:rsid w:val="00D67BB7"/>
    <w:rsid w:val="00D67D31"/>
    <w:rsid w:val="00D704DA"/>
    <w:rsid w:val="00D70AD9"/>
    <w:rsid w:val="00D71240"/>
    <w:rsid w:val="00D71940"/>
    <w:rsid w:val="00D719EC"/>
    <w:rsid w:val="00D71A1A"/>
    <w:rsid w:val="00D724AF"/>
    <w:rsid w:val="00D726CF"/>
    <w:rsid w:val="00D72C56"/>
    <w:rsid w:val="00D73846"/>
    <w:rsid w:val="00D73B51"/>
    <w:rsid w:val="00D74186"/>
    <w:rsid w:val="00D748EB"/>
    <w:rsid w:val="00D74B1A"/>
    <w:rsid w:val="00D74C39"/>
    <w:rsid w:val="00D74C42"/>
    <w:rsid w:val="00D74D4C"/>
    <w:rsid w:val="00D7556F"/>
    <w:rsid w:val="00D75837"/>
    <w:rsid w:val="00D7586D"/>
    <w:rsid w:val="00D75B1F"/>
    <w:rsid w:val="00D765F0"/>
    <w:rsid w:val="00D76761"/>
    <w:rsid w:val="00D76994"/>
    <w:rsid w:val="00D76AA1"/>
    <w:rsid w:val="00D76DC2"/>
    <w:rsid w:val="00D76DFE"/>
    <w:rsid w:val="00D76ED2"/>
    <w:rsid w:val="00D76ED5"/>
    <w:rsid w:val="00D773DB"/>
    <w:rsid w:val="00D777C0"/>
    <w:rsid w:val="00D77AF6"/>
    <w:rsid w:val="00D77C5C"/>
    <w:rsid w:val="00D80402"/>
    <w:rsid w:val="00D804C5"/>
    <w:rsid w:val="00D80969"/>
    <w:rsid w:val="00D80D0D"/>
    <w:rsid w:val="00D81437"/>
    <w:rsid w:val="00D815BE"/>
    <w:rsid w:val="00D81722"/>
    <w:rsid w:val="00D817C2"/>
    <w:rsid w:val="00D81ED3"/>
    <w:rsid w:val="00D82CE5"/>
    <w:rsid w:val="00D836DE"/>
    <w:rsid w:val="00D83711"/>
    <w:rsid w:val="00D83A02"/>
    <w:rsid w:val="00D83A44"/>
    <w:rsid w:val="00D83BA9"/>
    <w:rsid w:val="00D83D08"/>
    <w:rsid w:val="00D8408D"/>
    <w:rsid w:val="00D842DB"/>
    <w:rsid w:val="00D842EC"/>
    <w:rsid w:val="00D845C0"/>
    <w:rsid w:val="00D84701"/>
    <w:rsid w:val="00D84964"/>
    <w:rsid w:val="00D849EE"/>
    <w:rsid w:val="00D85030"/>
    <w:rsid w:val="00D85091"/>
    <w:rsid w:val="00D851CB"/>
    <w:rsid w:val="00D8561A"/>
    <w:rsid w:val="00D8561F"/>
    <w:rsid w:val="00D85A5D"/>
    <w:rsid w:val="00D85B13"/>
    <w:rsid w:val="00D85B64"/>
    <w:rsid w:val="00D85BD9"/>
    <w:rsid w:val="00D86043"/>
    <w:rsid w:val="00D8614D"/>
    <w:rsid w:val="00D863FD"/>
    <w:rsid w:val="00D86467"/>
    <w:rsid w:val="00D86478"/>
    <w:rsid w:val="00D8662F"/>
    <w:rsid w:val="00D86C8B"/>
    <w:rsid w:val="00D86E48"/>
    <w:rsid w:val="00D874E9"/>
    <w:rsid w:val="00D87851"/>
    <w:rsid w:val="00D87B32"/>
    <w:rsid w:val="00D902B5"/>
    <w:rsid w:val="00D903DC"/>
    <w:rsid w:val="00D9075E"/>
    <w:rsid w:val="00D9086C"/>
    <w:rsid w:val="00D908C0"/>
    <w:rsid w:val="00D90EEC"/>
    <w:rsid w:val="00D91047"/>
    <w:rsid w:val="00D91048"/>
    <w:rsid w:val="00D9126C"/>
    <w:rsid w:val="00D91406"/>
    <w:rsid w:val="00D917CD"/>
    <w:rsid w:val="00D91938"/>
    <w:rsid w:val="00D91C80"/>
    <w:rsid w:val="00D91ED3"/>
    <w:rsid w:val="00D922B8"/>
    <w:rsid w:val="00D9245A"/>
    <w:rsid w:val="00D92493"/>
    <w:rsid w:val="00D925EE"/>
    <w:rsid w:val="00D92A60"/>
    <w:rsid w:val="00D92A79"/>
    <w:rsid w:val="00D92D76"/>
    <w:rsid w:val="00D92E38"/>
    <w:rsid w:val="00D92E3A"/>
    <w:rsid w:val="00D92FF4"/>
    <w:rsid w:val="00D92FF9"/>
    <w:rsid w:val="00D936A2"/>
    <w:rsid w:val="00D93D42"/>
    <w:rsid w:val="00D940A7"/>
    <w:rsid w:val="00D9417C"/>
    <w:rsid w:val="00D94350"/>
    <w:rsid w:val="00D94547"/>
    <w:rsid w:val="00D94A2D"/>
    <w:rsid w:val="00D94ACF"/>
    <w:rsid w:val="00D94B6C"/>
    <w:rsid w:val="00D94B94"/>
    <w:rsid w:val="00D94CFC"/>
    <w:rsid w:val="00D950DA"/>
    <w:rsid w:val="00D9518F"/>
    <w:rsid w:val="00D95286"/>
    <w:rsid w:val="00D9579C"/>
    <w:rsid w:val="00D957C6"/>
    <w:rsid w:val="00D95997"/>
    <w:rsid w:val="00D961C8"/>
    <w:rsid w:val="00D9672C"/>
    <w:rsid w:val="00D96A95"/>
    <w:rsid w:val="00D96BAF"/>
    <w:rsid w:val="00D979A6"/>
    <w:rsid w:val="00D97A58"/>
    <w:rsid w:val="00D97FBD"/>
    <w:rsid w:val="00DA0035"/>
    <w:rsid w:val="00DA0484"/>
    <w:rsid w:val="00DA06B8"/>
    <w:rsid w:val="00DA06C9"/>
    <w:rsid w:val="00DA0756"/>
    <w:rsid w:val="00DA0E47"/>
    <w:rsid w:val="00DA0EFB"/>
    <w:rsid w:val="00DA13EA"/>
    <w:rsid w:val="00DA1CA1"/>
    <w:rsid w:val="00DA1F94"/>
    <w:rsid w:val="00DA236F"/>
    <w:rsid w:val="00DA23AD"/>
    <w:rsid w:val="00DA2482"/>
    <w:rsid w:val="00DA2750"/>
    <w:rsid w:val="00DA2B1A"/>
    <w:rsid w:val="00DA2C38"/>
    <w:rsid w:val="00DA2CE4"/>
    <w:rsid w:val="00DA2F0D"/>
    <w:rsid w:val="00DA38D4"/>
    <w:rsid w:val="00DA3E02"/>
    <w:rsid w:val="00DA416F"/>
    <w:rsid w:val="00DA42FC"/>
    <w:rsid w:val="00DA430B"/>
    <w:rsid w:val="00DA4416"/>
    <w:rsid w:val="00DA4F3B"/>
    <w:rsid w:val="00DA53B9"/>
    <w:rsid w:val="00DA5473"/>
    <w:rsid w:val="00DA562D"/>
    <w:rsid w:val="00DA5A13"/>
    <w:rsid w:val="00DA5F5A"/>
    <w:rsid w:val="00DA65EF"/>
    <w:rsid w:val="00DA681A"/>
    <w:rsid w:val="00DA6C48"/>
    <w:rsid w:val="00DA6D0A"/>
    <w:rsid w:val="00DA6FC3"/>
    <w:rsid w:val="00DA7005"/>
    <w:rsid w:val="00DA748B"/>
    <w:rsid w:val="00DA7669"/>
    <w:rsid w:val="00DA7696"/>
    <w:rsid w:val="00DA79A6"/>
    <w:rsid w:val="00DA7BEC"/>
    <w:rsid w:val="00DA7C87"/>
    <w:rsid w:val="00DA7D8E"/>
    <w:rsid w:val="00DB0334"/>
    <w:rsid w:val="00DB052B"/>
    <w:rsid w:val="00DB071F"/>
    <w:rsid w:val="00DB09B0"/>
    <w:rsid w:val="00DB14F3"/>
    <w:rsid w:val="00DB1A84"/>
    <w:rsid w:val="00DB1E03"/>
    <w:rsid w:val="00DB20A4"/>
    <w:rsid w:val="00DB2298"/>
    <w:rsid w:val="00DB23AD"/>
    <w:rsid w:val="00DB27D2"/>
    <w:rsid w:val="00DB3005"/>
    <w:rsid w:val="00DB3D06"/>
    <w:rsid w:val="00DB3DBB"/>
    <w:rsid w:val="00DB3FCC"/>
    <w:rsid w:val="00DB42AA"/>
    <w:rsid w:val="00DB42AD"/>
    <w:rsid w:val="00DB460C"/>
    <w:rsid w:val="00DB4629"/>
    <w:rsid w:val="00DB4803"/>
    <w:rsid w:val="00DB49F7"/>
    <w:rsid w:val="00DB4FB3"/>
    <w:rsid w:val="00DB5141"/>
    <w:rsid w:val="00DB51BC"/>
    <w:rsid w:val="00DB5271"/>
    <w:rsid w:val="00DB5309"/>
    <w:rsid w:val="00DB56A4"/>
    <w:rsid w:val="00DB58CF"/>
    <w:rsid w:val="00DB5DBD"/>
    <w:rsid w:val="00DB5E4E"/>
    <w:rsid w:val="00DB5F98"/>
    <w:rsid w:val="00DB5FE6"/>
    <w:rsid w:val="00DB606F"/>
    <w:rsid w:val="00DB6071"/>
    <w:rsid w:val="00DB63DB"/>
    <w:rsid w:val="00DB6430"/>
    <w:rsid w:val="00DB6CB2"/>
    <w:rsid w:val="00DB6DB0"/>
    <w:rsid w:val="00DB71E7"/>
    <w:rsid w:val="00DB793B"/>
    <w:rsid w:val="00DC0057"/>
    <w:rsid w:val="00DC04DC"/>
    <w:rsid w:val="00DC054F"/>
    <w:rsid w:val="00DC0E27"/>
    <w:rsid w:val="00DC0E6F"/>
    <w:rsid w:val="00DC17F3"/>
    <w:rsid w:val="00DC1DA7"/>
    <w:rsid w:val="00DC1F14"/>
    <w:rsid w:val="00DC2099"/>
    <w:rsid w:val="00DC2340"/>
    <w:rsid w:val="00DC25A1"/>
    <w:rsid w:val="00DC2884"/>
    <w:rsid w:val="00DC292E"/>
    <w:rsid w:val="00DC2B25"/>
    <w:rsid w:val="00DC2B94"/>
    <w:rsid w:val="00DC3008"/>
    <w:rsid w:val="00DC3109"/>
    <w:rsid w:val="00DC3964"/>
    <w:rsid w:val="00DC3AC9"/>
    <w:rsid w:val="00DC3CA7"/>
    <w:rsid w:val="00DC3EE8"/>
    <w:rsid w:val="00DC46D1"/>
    <w:rsid w:val="00DC47DE"/>
    <w:rsid w:val="00DC49EC"/>
    <w:rsid w:val="00DC521B"/>
    <w:rsid w:val="00DC568C"/>
    <w:rsid w:val="00DC594E"/>
    <w:rsid w:val="00DC59CC"/>
    <w:rsid w:val="00DC5BAE"/>
    <w:rsid w:val="00DC5E23"/>
    <w:rsid w:val="00DC6071"/>
    <w:rsid w:val="00DC6356"/>
    <w:rsid w:val="00DC66BD"/>
    <w:rsid w:val="00DC69F4"/>
    <w:rsid w:val="00DC6E74"/>
    <w:rsid w:val="00DC75F7"/>
    <w:rsid w:val="00DC75F9"/>
    <w:rsid w:val="00DC78B9"/>
    <w:rsid w:val="00DC7902"/>
    <w:rsid w:val="00DC7966"/>
    <w:rsid w:val="00DC7E8A"/>
    <w:rsid w:val="00DC7ED4"/>
    <w:rsid w:val="00DC7FB1"/>
    <w:rsid w:val="00DD0151"/>
    <w:rsid w:val="00DD03C4"/>
    <w:rsid w:val="00DD047E"/>
    <w:rsid w:val="00DD04A6"/>
    <w:rsid w:val="00DD04D0"/>
    <w:rsid w:val="00DD0536"/>
    <w:rsid w:val="00DD08C6"/>
    <w:rsid w:val="00DD08C9"/>
    <w:rsid w:val="00DD0942"/>
    <w:rsid w:val="00DD0A48"/>
    <w:rsid w:val="00DD0EA7"/>
    <w:rsid w:val="00DD10B1"/>
    <w:rsid w:val="00DD1B00"/>
    <w:rsid w:val="00DD1B33"/>
    <w:rsid w:val="00DD1D4A"/>
    <w:rsid w:val="00DD20A1"/>
    <w:rsid w:val="00DD21D8"/>
    <w:rsid w:val="00DD22BA"/>
    <w:rsid w:val="00DD256F"/>
    <w:rsid w:val="00DD28BC"/>
    <w:rsid w:val="00DD2AE2"/>
    <w:rsid w:val="00DD2C33"/>
    <w:rsid w:val="00DD2EAC"/>
    <w:rsid w:val="00DD2FEE"/>
    <w:rsid w:val="00DD31C8"/>
    <w:rsid w:val="00DD3296"/>
    <w:rsid w:val="00DD35AC"/>
    <w:rsid w:val="00DD35F1"/>
    <w:rsid w:val="00DD36CD"/>
    <w:rsid w:val="00DD39C5"/>
    <w:rsid w:val="00DD3B1D"/>
    <w:rsid w:val="00DD3F55"/>
    <w:rsid w:val="00DD4500"/>
    <w:rsid w:val="00DD4AE4"/>
    <w:rsid w:val="00DD4BFD"/>
    <w:rsid w:val="00DD4DD0"/>
    <w:rsid w:val="00DD4DE1"/>
    <w:rsid w:val="00DD4EAE"/>
    <w:rsid w:val="00DD594A"/>
    <w:rsid w:val="00DD5E6F"/>
    <w:rsid w:val="00DD5E8B"/>
    <w:rsid w:val="00DD674E"/>
    <w:rsid w:val="00DD6EAF"/>
    <w:rsid w:val="00DD7CAE"/>
    <w:rsid w:val="00DD7E89"/>
    <w:rsid w:val="00DE058A"/>
    <w:rsid w:val="00DE0702"/>
    <w:rsid w:val="00DE08E1"/>
    <w:rsid w:val="00DE0DB6"/>
    <w:rsid w:val="00DE0F50"/>
    <w:rsid w:val="00DE133E"/>
    <w:rsid w:val="00DE1435"/>
    <w:rsid w:val="00DE180F"/>
    <w:rsid w:val="00DE1814"/>
    <w:rsid w:val="00DE18AE"/>
    <w:rsid w:val="00DE195A"/>
    <w:rsid w:val="00DE2067"/>
    <w:rsid w:val="00DE2111"/>
    <w:rsid w:val="00DE2170"/>
    <w:rsid w:val="00DE2865"/>
    <w:rsid w:val="00DE291C"/>
    <w:rsid w:val="00DE2948"/>
    <w:rsid w:val="00DE2995"/>
    <w:rsid w:val="00DE29E6"/>
    <w:rsid w:val="00DE2C2C"/>
    <w:rsid w:val="00DE2ECF"/>
    <w:rsid w:val="00DE2FE1"/>
    <w:rsid w:val="00DE301D"/>
    <w:rsid w:val="00DE3244"/>
    <w:rsid w:val="00DE335E"/>
    <w:rsid w:val="00DE33E0"/>
    <w:rsid w:val="00DE34D4"/>
    <w:rsid w:val="00DE3594"/>
    <w:rsid w:val="00DE3ADD"/>
    <w:rsid w:val="00DE3C6D"/>
    <w:rsid w:val="00DE491E"/>
    <w:rsid w:val="00DE498A"/>
    <w:rsid w:val="00DE4A58"/>
    <w:rsid w:val="00DE4B67"/>
    <w:rsid w:val="00DE4E4F"/>
    <w:rsid w:val="00DE53A4"/>
    <w:rsid w:val="00DE5668"/>
    <w:rsid w:val="00DE57BE"/>
    <w:rsid w:val="00DE590F"/>
    <w:rsid w:val="00DE5A7B"/>
    <w:rsid w:val="00DE5B64"/>
    <w:rsid w:val="00DE5C16"/>
    <w:rsid w:val="00DE5EAC"/>
    <w:rsid w:val="00DE5F30"/>
    <w:rsid w:val="00DE626B"/>
    <w:rsid w:val="00DE62CC"/>
    <w:rsid w:val="00DE66E4"/>
    <w:rsid w:val="00DE67C0"/>
    <w:rsid w:val="00DE68D9"/>
    <w:rsid w:val="00DE6953"/>
    <w:rsid w:val="00DE6B0E"/>
    <w:rsid w:val="00DE74D9"/>
    <w:rsid w:val="00DE7604"/>
    <w:rsid w:val="00DE7792"/>
    <w:rsid w:val="00DE7D2B"/>
    <w:rsid w:val="00DE7E2D"/>
    <w:rsid w:val="00DF03D3"/>
    <w:rsid w:val="00DF06D8"/>
    <w:rsid w:val="00DF09D3"/>
    <w:rsid w:val="00DF0B37"/>
    <w:rsid w:val="00DF0D13"/>
    <w:rsid w:val="00DF1079"/>
    <w:rsid w:val="00DF121A"/>
    <w:rsid w:val="00DF125F"/>
    <w:rsid w:val="00DF144C"/>
    <w:rsid w:val="00DF1AC3"/>
    <w:rsid w:val="00DF1D36"/>
    <w:rsid w:val="00DF1F22"/>
    <w:rsid w:val="00DF24A9"/>
    <w:rsid w:val="00DF2A4B"/>
    <w:rsid w:val="00DF2B7E"/>
    <w:rsid w:val="00DF2F11"/>
    <w:rsid w:val="00DF3149"/>
    <w:rsid w:val="00DF31A8"/>
    <w:rsid w:val="00DF3259"/>
    <w:rsid w:val="00DF3973"/>
    <w:rsid w:val="00DF39BD"/>
    <w:rsid w:val="00DF3C57"/>
    <w:rsid w:val="00DF3C72"/>
    <w:rsid w:val="00DF4333"/>
    <w:rsid w:val="00DF4452"/>
    <w:rsid w:val="00DF4A9C"/>
    <w:rsid w:val="00DF4EB7"/>
    <w:rsid w:val="00DF50AA"/>
    <w:rsid w:val="00DF5179"/>
    <w:rsid w:val="00DF5365"/>
    <w:rsid w:val="00DF54B0"/>
    <w:rsid w:val="00DF5B66"/>
    <w:rsid w:val="00DF5BD2"/>
    <w:rsid w:val="00DF5E86"/>
    <w:rsid w:val="00DF623D"/>
    <w:rsid w:val="00DF635F"/>
    <w:rsid w:val="00DF6603"/>
    <w:rsid w:val="00DF67B7"/>
    <w:rsid w:val="00DF6828"/>
    <w:rsid w:val="00DF6864"/>
    <w:rsid w:val="00DF6A9A"/>
    <w:rsid w:val="00DF6B6C"/>
    <w:rsid w:val="00DF6FCC"/>
    <w:rsid w:val="00DF701E"/>
    <w:rsid w:val="00DF70DE"/>
    <w:rsid w:val="00DF711E"/>
    <w:rsid w:val="00DF7BBD"/>
    <w:rsid w:val="00DF7D08"/>
    <w:rsid w:val="00DF7EAA"/>
    <w:rsid w:val="00E0051E"/>
    <w:rsid w:val="00E007A5"/>
    <w:rsid w:val="00E008CA"/>
    <w:rsid w:val="00E00A6A"/>
    <w:rsid w:val="00E01078"/>
    <w:rsid w:val="00E010C2"/>
    <w:rsid w:val="00E01154"/>
    <w:rsid w:val="00E01702"/>
    <w:rsid w:val="00E017DC"/>
    <w:rsid w:val="00E0189F"/>
    <w:rsid w:val="00E01FC8"/>
    <w:rsid w:val="00E02371"/>
    <w:rsid w:val="00E028C4"/>
    <w:rsid w:val="00E02DE7"/>
    <w:rsid w:val="00E03133"/>
    <w:rsid w:val="00E033A7"/>
    <w:rsid w:val="00E03A49"/>
    <w:rsid w:val="00E03ADB"/>
    <w:rsid w:val="00E03BE9"/>
    <w:rsid w:val="00E03E05"/>
    <w:rsid w:val="00E03F29"/>
    <w:rsid w:val="00E04133"/>
    <w:rsid w:val="00E0413F"/>
    <w:rsid w:val="00E04146"/>
    <w:rsid w:val="00E046BC"/>
    <w:rsid w:val="00E04711"/>
    <w:rsid w:val="00E04C2C"/>
    <w:rsid w:val="00E053DC"/>
    <w:rsid w:val="00E06852"/>
    <w:rsid w:val="00E06B20"/>
    <w:rsid w:val="00E06E91"/>
    <w:rsid w:val="00E06EC8"/>
    <w:rsid w:val="00E076FF"/>
    <w:rsid w:val="00E10740"/>
    <w:rsid w:val="00E10DA2"/>
    <w:rsid w:val="00E10F58"/>
    <w:rsid w:val="00E10FD1"/>
    <w:rsid w:val="00E11094"/>
    <w:rsid w:val="00E115ED"/>
    <w:rsid w:val="00E11827"/>
    <w:rsid w:val="00E11A36"/>
    <w:rsid w:val="00E12B8A"/>
    <w:rsid w:val="00E12BDE"/>
    <w:rsid w:val="00E13232"/>
    <w:rsid w:val="00E13A80"/>
    <w:rsid w:val="00E13EA2"/>
    <w:rsid w:val="00E145AB"/>
    <w:rsid w:val="00E1481F"/>
    <w:rsid w:val="00E148A1"/>
    <w:rsid w:val="00E14B05"/>
    <w:rsid w:val="00E1595B"/>
    <w:rsid w:val="00E15AD4"/>
    <w:rsid w:val="00E15DD2"/>
    <w:rsid w:val="00E1633F"/>
    <w:rsid w:val="00E16479"/>
    <w:rsid w:val="00E16B46"/>
    <w:rsid w:val="00E16E9C"/>
    <w:rsid w:val="00E17A6F"/>
    <w:rsid w:val="00E17A86"/>
    <w:rsid w:val="00E17BCB"/>
    <w:rsid w:val="00E200AC"/>
    <w:rsid w:val="00E200C0"/>
    <w:rsid w:val="00E20333"/>
    <w:rsid w:val="00E2050E"/>
    <w:rsid w:val="00E207FF"/>
    <w:rsid w:val="00E209A6"/>
    <w:rsid w:val="00E215D7"/>
    <w:rsid w:val="00E21671"/>
    <w:rsid w:val="00E21892"/>
    <w:rsid w:val="00E21944"/>
    <w:rsid w:val="00E219BB"/>
    <w:rsid w:val="00E21A78"/>
    <w:rsid w:val="00E21EB8"/>
    <w:rsid w:val="00E22451"/>
    <w:rsid w:val="00E226B3"/>
    <w:rsid w:val="00E2281F"/>
    <w:rsid w:val="00E22954"/>
    <w:rsid w:val="00E22E87"/>
    <w:rsid w:val="00E23358"/>
    <w:rsid w:val="00E23712"/>
    <w:rsid w:val="00E23804"/>
    <w:rsid w:val="00E2394E"/>
    <w:rsid w:val="00E23DC0"/>
    <w:rsid w:val="00E2450F"/>
    <w:rsid w:val="00E2464E"/>
    <w:rsid w:val="00E2480E"/>
    <w:rsid w:val="00E24B53"/>
    <w:rsid w:val="00E24CBB"/>
    <w:rsid w:val="00E250D5"/>
    <w:rsid w:val="00E254FA"/>
    <w:rsid w:val="00E25839"/>
    <w:rsid w:val="00E25B24"/>
    <w:rsid w:val="00E25CF6"/>
    <w:rsid w:val="00E25D7C"/>
    <w:rsid w:val="00E2626A"/>
    <w:rsid w:val="00E26948"/>
    <w:rsid w:val="00E26DD2"/>
    <w:rsid w:val="00E2717A"/>
    <w:rsid w:val="00E272B8"/>
    <w:rsid w:val="00E274CB"/>
    <w:rsid w:val="00E278FF"/>
    <w:rsid w:val="00E279A8"/>
    <w:rsid w:val="00E27B51"/>
    <w:rsid w:val="00E27B7C"/>
    <w:rsid w:val="00E27F87"/>
    <w:rsid w:val="00E300D6"/>
    <w:rsid w:val="00E3028D"/>
    <w:rsid w:val="00E3078C"/>
    <w:rsid w:val="00E311C6"/>
    <w:rsid w:val="00E31277"/>
    <w:rsid w:val="00E31438"/>
    <w:rsid w:val="00E314CD"/>
    <w:rsid w:val="00E31F7B"/>
    <w:rsid w:val="00E31FA2"/>
    <w:rsid w:val="00E31FC4"/>
    <w:rsid w:val="00E32356"/>
    <w:rsid w:val="00E32A36"/>
    <w:rsid w:val="00E339F8"/>
    <w:rsid w:val="00E339FC"/>
    <w:rsid w:val="00E33BEF"/>
    <w:rsid w:val="00E33D16"/>
    <w:rsid w:val="00E34843"/>
    <w:rsid w:val="00E34BB4"/>
    <w:rsid w:val="00E34E24"/>
    <w:rsid w:val="00E3506C"/>
    <w:rsid w:val="00E356B7"/>
    <w:rsid w:val="00E35E1A"/>
    <w:rsid w:val="00E36129"/>
    <w:rsid w:val="00E3635E"/>
    <w:rsid w:val="00E363A8"/>
    <w:rsid w:val="00E364C1"/>
    <w:rsid w:val="00E3667D"/>
    <w:rsid w:val="00E366F5"/>
    <w:rsid w:val="00E3673D"/>
    <w:rsid w:val="00E368CC"/>
    <w:rsid w:val="00E36BDE"/>
    <w:rsid w:val="00E36C41"/>
    <w:rsid w:val="00E3765A"/>
    <w:rsid w:val="00E376BE"/>
    <w:rsid w:val="00E378BD"/>
    <w:rsid w:val="00E37EDE"/>
    <w:rsid w:val="00E405CA"/>
    <w:rsid w:val="00E406D2"/>
    <w:rsid w:val="00E40969"/>
    <w:rsid w:val="00E40F6F"/>
    <w:rsid w:val="00E41286"/>
    <w:rsid w:val="00E4153C"/>
    <w:rsid w:val="00E416F5"/>
    <w:rsid w:val="00E417F5"/>
    <w:rsid w:val="00E41A9A"/>
    <w:rsid w:val="00E41E46"/>
    <w:rsid w:val="00E4204C"/>
    <w:rsid w:val="00E428D0"/>
    <w:rsid w:val="00E42AB6"/>
    <w:rsid w:val="00E43477"/>
    <w:rsid w:val="00E440DF"/>
    <w:rsid w:val="00E448DD"/>
    <w:rsid w:val="00E44AED"/>
    <w:rsid w:val="00E44B50"/>
    <w:rsid w:val="00E44D7E"/>
    <w:rsid w:val="00E450EB"/>
    <w:rsid w:val="00E451D1"/>
    <w:rsid w:val="00E451D5"/>
    <w:rsid w:val="00E454F1"/>
    <w:rsid w:val="00E4592B"/>
    <w:rsid w:val="00E45BA6"/>
    <w:rsid w:val="00E464AB"/>
    <w:rsid w:val="00E469E8"/>
    <w:rsid w:val="00E46AFC"/>
    <w:rsid w:val="00E46C34"/>
    <w:rsid w:val="00E47053"/>
    <w:rsid w:val="00E470E7"/>
    <w:rsid w:val="00E471DC"/>
    <w:rsid w:val="00E476ED"/>
    <w:rsid w:val="00E4772E"/>
    <w:rsid w:val="00E47794"/>
    <w:rsid w:val="00E47B96"/>
    <w:rsid w:val="00E47BF3"/>
    <w:rsid w:val="00E50082"/>
    <w:rsid w:val="00E50993"/>
    <w:rsid w:val="00E5108F"/>
    <w:rsid w:val="00E515A7"/>
    <w:rsid w:val="00E51853"/>
    <w:rsid w:val="00E51CAC"/>
    <w:rsid w:val="00E5220F"/>
    <w:rsid w:val="00E52460"/>
    <w:rsid w:val="00E52BA3"/>
    <w:rsid w:val="00E52D4D"/>
    <w:rsid w:val="00E5368E"/>
    <w:rsid w:val="00E53921"/>
    <w:rsid w:val="00E53A86"/>
    <w:rsid w:val="00E5436E"/>
    <w:rsid w:val="00E54588"/>
    <w:rsid w:val="00E5470F"/>
    <w:rsid w:val="00E54E78"/>
    <w:rsid w:val="00E55095"/>
    <w:rsid w:val="00E55147"/>
    <w:rsid w:val="00E556F3"/>
    <w:rsid w:val="00E55850"/>
    <w:rsid w:val="00E55D93"/>
    <w:rsid w:val="00E55EAD"/>
    <w:rsid w:val="00E55F87"/>
    <w:rsid w:val="00E56333"/>
    <w:rsid w:val="00E56766"/>
    <w:rsid w:val="00E56A20"/>
    <w:rsid w:val="00E56BC4"/>
    <w:rsid w:val="00E5721F"/>
    <w:rsid w:val="00E57ABD"/>
    <w:rsid w:val="00E57BF6"/>
    <w:rsid w:val="00E57F72"/>
    <w:rsid w:val="00E57F78"/>
    <w:rsid w:val="00E60694"/>
    <w:rsid w:val="00E607C4"/>
    <w:rsid w:val="00E60FA8"/>
    <w:rsid w:val="00E61131"/>
    <w:rsid w:val="00E6128A"/>
    <w:rsid w:val="00E61330"/>
    <w:rsid w:val="00E61426"/>
    <w:rsid w:val="00E616F3"/>
    <w:rsid w:val="00E61A3B"/>
    <w:rsid w:val="00E61CC3"/>
    <w:rsid w:val="00E620C4"/>
    <w:rsid w:val="00E62B3B"/>
    <w:rsid w:val="00E62DD3"/>
    <w:rsid w:val="00E6341C"/>
    <w:rsid w:val="00E634AE"/>
    <w:rsid w:val="00E63567"/>
    <w:rsid w:val="00E636D8"/>
    <w:rsid w:val="00E63C5B"/>
    <w:rsid w:val="00E641EB"/>
    <w:rsid w:val="00E645C4"/>
    <w:rsid w:val="00E64638"/>
    <w:rsid w:val="00E646B2"/>
    <w:rsid w:val="00E648CD"/>
    <w:rsid w:val="00E64913"/>
    <w:rsid w:val="00E64B30"/>
    <w:rsid w:val="00E64F64"/>
    <w:rsid w:val="00E655C8"/>
    <w:rsid w:val="00E65CFC"/>
    <w:rsid w:val="00E65E85"/>
    <w:rsid w:val="00E65F1D"/>
    <w:rsid w:val="00E66FF8"/>
    <w:rsid w:val="00E672B1"/>
    <w:rsid w:val="00E672E2"/>
    <w:rsid w:val="00E67396"/>
    <w:rsid w:val="00E67861"/>
    <w:rsid w:val="00E67935"/>
    <w:rsid w:val="00E67A22"/>
    <w:rsid w:val="00E67A8D"/>
    <w:rsid w:val="00E67AA9"/>
    <w:rsid w:val="00E67B83"/>
    <w:rsid w:val="00E67D27"/>
    <w:rsid w:val="00E67F0F"/>
    <w:rsid w:val="00E7023F"/>
    <w:rsid w:val="00E70B38"/>
    <w:rsid w:val="00E70E1B"/>
    <w:rsid w:val="00E70EC3"/>
    <w:rsid w:val="00E70EE2"/>
    <w:rsid w:val="00E71478"/>
    <w:rsid w:val="00E71B49"/>
    <w:rsid w:val="00E71C79"/>
    <w:rsid w:val="00E71E98"/>
    <w:rsid w:val="00E71F7C"/>
    <w:rsid w:val="00E72058"/>
    <w:rsid w:val="00E72449"/>
    <w:rsid w:val="00E7284B"/>
    <w:rsid w:val="00E72B16"/>
    <w:rsid w:val="00E72C74"/>
    <w:rsid w:val="00E7304E"/>
    <w:rsid w:val="00E73147"/>
    <w:rsid w:val="00E731FD"/>
    <w:rsid w:val="00E73677"/>
    <w:rsid w:val="00E738B2"/>
    <w:rsid w:val="00E73A6E"/>
    <w:rsid w:val="00E73F36"/>
    <w:rsid w:val="00E73FF4"/>
    <w:rsid w:val="00E745CE"/>
    <w:rsid w:val="00E74647"/>
    <w:rsid w:val="00E74780"/>
    <w:rsid w:val="00E7497D"/>
    <w:rsid w:val="00E74CC2"/>
    <w:rsid w:val="00E74D24"/>
    <w:rsid w:val="00E74D84"/>
    <w:rsid w:val="00E75D43"/>
    <w:rsid w:val="00E76024"/>
    <w:rsid w:val="00E7621F"/>
    <w:rsid w:val="00E764BE"/>
    <w:rsid w:val="00E7652D"/>
    <w:rsid w:val="00E76569"/>
    <w:rsid w:val="00E76601"/>
    <w:rsid w:val="00E76815"/>
    <w:rsid w:val="00E7685C"/>
    <w:rsid w:val="00E76866"/>
    <w:rsid w:val="00E76F47"/>
    <w:rsid w:val="00E7733C"/>
    <w:rsid w:val="00E773E8"/>
    <w:rsid w:val="00E7776C"/>
    <w:rsid w:val="00E77ADE"/>
    <w:rsid w:val="00E77D2C"/>
    <w:rsid w:val="00E77DD1"/>
    <w:rsid w:val="00E77F27"/>
    <w:rsid w:val="00E80039"/>
    <w:rsid w:val="00E800ED"/>
    <w:rsid w:val="00E80195"/>
    <w:rsid w:val="00E803A2"/>
    <w:rsid w:val="00E804D1"/>
    <w:rsid w:val="00E808EC"/>
    <w:rsid w:val="00E809D8"/>
    <w:rsid w:val="00E80ABA"/>
    <w:rsid w:val="00E80AE1"/>
    <w:rsid w:val="00E81214"/>
    <w:rsid w:val="00E81739"/>
    <w:rsid w:val="00E81FDD"/>
    <w:rsid w:val="00E8205D"/>
    <w:rsid w:val="00E82245"/>
    <w:rsid w:val="00E8237B"/>
    <w:rsid w:val="00E8239F"/>
    <w:rsid w:val="00E82462"/>
    <w:rsid w:val="00E825FA"/>
    <w:rsid w:val="00E8276B"/>
    <w:rsid w:val="00E82C67"/>
    <w:rsid w:val="00E83146"/>
    <w:rsid w:val="00E83366"/>
    <w:rsid w:val="00E83685"/>
    <w:rsid w:val="00E83764"/>
    <w:rsid w:val="00E83823"/>
    <w:rsid w:val="00E8396A"/>
    <w:rsid w:val="00E83AA2"/>
    <w:rsid w:val="00E843DA"/>
    <w:rsid w:val="00E8453D"/>
    <w:rsid w:val="00E8494D"/>
    <w:rsid w:val="00E849A0"/>
    <w:rsid w:val="00E850B8"/>
    <w:rsid w:val="00E85105"/>
    <w:rsid w:val="00E85195"/>
    <w:rsid w:val="00E853B6"/>
    <w:rsid w:val="00E85522"/>
    <w:rsid w:val="00E85852"/>
    <w:rsid w:val="00E859CA"/>
    <w:rsid w:val="00E85CBD"/>
    <w:rsid w:val="00E85D5E"/>
    <w:rsid w:val="00E86836"/>
    <w:rsid w:val="00E8686E"/>
    <w:rsid w:val="00E86E8D"/>
    <w:rsid w:val="00E870E5"/>
    <w:rsid w:val="00E873C3"/>
    <w:rsid w:val="00E87628"/>
    <w:rsid w:val="00E87629"/>
    <w:rsid w:val="00E87D05"/>
    <w:rsid w:val="00E87DA1"/>
    <w:rsid w:val="00E87ECD"/>
    <w:rsid w:val="00E902E1"/>
    <w:rsid w:val="00E90409"/>
    <w:rsid w:val="00E90426"/>
    <w:rsid w:val="00E90798"/>
    <w:rsid w:val="00E9165D"/>
    <w:rsid w:val="00E916D0"/>
    <w:rsid w:val="00E916D3"/>
    <w:rsid w:val="00E918B6"/>
    <w:rsid w:val="00E91FCD"/>
    <w:rsid w:val="00E92714"/>
    <w:rsid w:val="00E92878"/>
    <w:rsid w:val="00E928BF"/>
    <w:rsid w:val="00E92B10"/>
    <w:rsid w:val="00E92E8E"/>
    <w:rsid w:val="00E92F4A"/>
    <w:rsid w:val="00E9356E"/>
    <w:rsid w:val="00E936D6"/>
    <w:rsid w:val="00E93BCD"/>
    <w:rsid w:val="00E93DA1"/>
    <w:rsid w:val="00E93FAE"/>
    <w:rsid w:val="00E9403B"/>
    <w:rsid w:val="00E940C6"/>
    <w:rsid w:val="00E941F8"/>
    <w:rsid w:val="00E94384"/>
    <w:rsid w:val="00E94544"/>
    <w:rsid w:val="00E9455D"/>
    <w:rsid w:val="00E9473A"/>
    <w:rsid w:val="00E949C9"/>
    <w:rsid w:val="00E94A13"/>
    <w:rsid w:val="00E94DAC"/>
    <w:rsid w:val="00E94EDE"/>
    <w:rsid w:val="00E950EC"/>
    <w:rsid w:val="00E9574B"/>
    <w:rsid w:val="00E9579A"/>
    <w:rsid w:val="00E95AFF"/>
    <w:rsid w:val="00E95B58"/>
    <w:rsid w:val="00E95C57"/>
    <w:rsid w:val="00E95C73"/>
    <w:rsid w:val="00E95EB9"/>
    <w:rsid w:val="00E96173"/>
    <w:rsid w:val="00E969C5"/>
    <w:rsid w:val="00E96B7D"/>
    <w:rsid w:val="00E96F24"/>
    <w:rsid w:val="00E97433"/>
    <w:rsid w:val="00E97818"/>
    <w:rsid w:val="00E97C99"/>
    <w:rsid w:val="00E97D30"/>
    <w:rsid w:val="00EA0075"/>
    <w:rsid w:val="00EA00C5"/>
    <w:rsid w:val="00EA0190"/>
    <w:rsid w:val="00EA021F"/>
    <w:rsid w:val="00EA08D3"/>
    <w:rsid w:val="00EA090F"/>
    <w:rsid w:val="00EA0A89"/>
    <w:rsid w:val="00EA0E5D"/>
    <w:rsid w:val="00EA0F42"/>
    <w:rsid w:val="00EA123A"/>
    <w:rsid w:val="00EA1240"/>
    <w:rsid w:val="00EA1300"/>
    <w:rsid w:val="00EA1474"/>
    <w:rsid w:val="00EA15D1"/>
    <w:rsid w:val="00EA19D5"/>
    <w:rsid w:val="00EA1A83"/>
    <w:rsid w:val="00EA1B08"/>
    <w:rsid w:val="00EA1F19"/>
    <w:rsid w:val="00EA2196"/>
    <w:rsid w:val="00EA224C"/>
    <w:rsid w:val="00EA2277"/>
    <w:rsid w:val="00EA2340"/>
    <w:rsid w:val="00EA26D1"/>
    <w:rsid w:val="00EA281E"/>
    <w:rsid w:val="00EA2909"/>
    <w:rsid w:val="00EA2989"/>
    <w:rsid w:val="00EA2A93"/>
    <w:rsid w:val="00EA2B62"/>
    <w:rsid w:val="00EA2CB3"/>
    <w:rsid w:val="00EA2FF9"/>
    <w:rsid w:val="00EA3155"/>
    <w:rsid w:val="00EA3390"/>
    <w:rsid w:val="00EA3847"/>
    <w:rsid w:val="00EA3C65"/>
    <w:rsid w:val="00EA3C7E"/>
    <w:rsid w:val="00EA3C86"/>
    <w:rsid w:val="00EA3D2C"/>
    <w:rsid w:val="00EA3D64"/>
    <w:rsid w:val="00EA485F"/>
    <w:rsid w:val="00EA4C0C"/>
    <w:rsid w:val="00EA50A9"/>
    <w:rsid w:val="00EA529C"/>
    <w:rsid w:val="00EA5323"/>
    <w:rsid w:val="00EA54AF"/>
    <w:rsid w:val="00EA54C7"/>
    <w:rsid w:val="00EA57FB"/>
    <w:rsid w:val="00EA7231"/>
    <w:rsid w:val="00EA72BD"/>
    <w:rsid w:val="00EA752E"/>
    <w:rsid w:val="00EA757D"/>
    <w:rsid w:val="00EA7CA3"/>
    <w:rsid w:val="00EA7E8B"/>
    <w:rsid w:val="00EB0A53"/>
    <w:rsid w:val="00EB0DD4"/>
    <w:rsid w:val="00EB157F"/>
    <w:rsid w:val="00EB2141"/>
    <w:rsid w:val="00EB22D2"/>
    <w:rsid w:val="00EB242E"/>
    <w:rsid w:val="00EB253A"/>
    <w:rsid w:val="00EB2ACF"/>
    <w:rsid w:val="00EB2B18"/>
    <w:rsid w:val="00EB2B81"/>
    <w:rsid w:val="00EB2C2F"/>
    <w:rsid w:val="00EB2C33"/>
    <w:rsid w:val="00EB2C9E"/>
    <w:rsid w:val="00EB35A9"/>
    <w:rsid w:val="00EB3784"/>
    <w:rsid w:val="00EB37AD"/>
    <w:rsid w:val="00EB3A58"/>
    <w:rsid w:val="00EB3E45"/>
    <w:rsid w:val="00EB3E75"/>
    <w:rsid w:val="00EB3FFE"/>
    <w:rsid w:val="00EB41AB"/>
    <w:rsid w:val="00EB48C6"/>
    <w:rsid w:val="00EB4B44"/>
    <w:rsid w:val="00EB4BBB"/>
    <w:rsid w:val="00EB4CB3"/>
    <w:rsid w:val="00EB5332"/>
    <w:rsid w:val="00EB5435"/>
    <w:rsid w:val="00EB55C6"/>
    <w:rsid w:val="00EB5A14"/>
    <w:rsid w:val="00EB5C80"/>
    <w:rsid w:val="00EB6956"/>
    <w:rsid w:val="00EB6CBA"/>
    <w:rsid w:val="00EB6F15"/>
    <w:rsid w:val="00EB6F1C"/>
    <w:rsid w:val="00EB705A"/>
    <w:rsid w:val="00EB707C"/>
    <w:rsid w:val="00EB7144"/>
    <w:rsid w:val="00EB72CD"/>
    <w:rsid w:val="00EB734B"/>
    <w:rsid w:val="00EB74D5"/>
    <w:rsid w:val="00EB7CE1"/>
    <w:rsid w:val="00EB7DB8"/>
    <w:rsid w:val="00EC000B"/>
    <w:rsid w:val="00EC0108"/>
    <w:rsid w:val="00EC051E"/>
    <w:rsid w:val="00EC08B6"/>
    <w:rsid w:val="00EC0913"/>
    <w:rsid w:val="00EC0B2E"/>
    <w:rsid w:val="00EC0CC9"/>
    <w:rsid w:val="00EC1149"/>
    <w:rsid w:val="00EC145F"/>
    <w:rsid w:val="00EC1855"/>
    <w:rsid w:val="00EC19D6"/>
    <w:rsid w:val="00EC201C"/>
    <w:rsid w:val="00EC2822"/>
    <w:rsid w:val="00EC2923"/>
    <w:rsid w:val="00EC2E80"/>
    <w:rsid w:val="00EC2FD7"/>
    <w:rsid w:val="00EC30F0"/>
    <w:rsid w:val="00EC316D"/>
    <w:rsid w:val="00EC32E4"/>
    <w:rsid w:val="00EC347C"/>
    <w:rsid w:val="00EC3E10"/>
    <w:rsid w:val="00EC3E3D"/>
    <w:rsid w:val="00EC414F"/>
    <w:rsid w:val="00EC444A"/>
    <w:rsid w:val="00EC457E"/>
    <w:rsid w:val="00EC4637"/>
    <w:rsid w:val="00EC46C0"/>
    <w:rsid w:val="00EC536C"/>
    <w:rsid w:val="00EC553D"/>
    <w:rsid w:val="00EC56A4"/>
    <w:rsid w:val="00EC56BA"/>
    <w:rsid w:val="00EC592C"/>
    <w:rsid w:val="00EC594A"/>
    <w:rsid w:val="00EC5C64"/>
    <w:rsid w:val="00EC5FD8"/>
    <w:rsid w:val="00EC649B"/>
    <w:rsid w:val="00EC6822"/>
    <w:rsid w:val="00EC6889"/>
    <w:rsid w:val="00EC69E4"/>
    <w:rsid w:val="00EC6C56"/>
    <w:rsid w:val="00EC709F"/>
    <w:rsid w:val="00EC70F8"/>
    <w:rsid w:val="00EC752D"/>
    <w:rsid w:val="00EC76E8"/>
    <w:rsid w:val="00EC7B82"/>
    <w:rsid w:val="00ED033B"/>
    <w:rsid w:val="00ED0399"/>
    <w:rsid w:val="00ED03A0"/>
    <w:rsid w:val="00ED06F6"/>
    <w:rsid w:val="00ED093B"/>
    <w:rsid w:val="00ED0A92"/>
    <w:rsid w:val="00ED0F8D"/>
    <w:rsid w:val="00ED104D"/>
    <w:rsid w:val="00ED10DC"/>
    <w:rsid w:val="00ED1693"/>
    <w:rsid w:val="00ED172F"/>
    <w:rsid w:val="00ED1732"/>
    <w:rsid w:val="00ED1E03"/>
    <w:rsid w:val="00ED1FC1"/>
    <w:rsid w:val="00ED218B"/>
    <w:rsid w:val="00ED2395"/>
    <w:rsid w:val="00ED2777"/>
    <w:rsid w:val="00ED2BEF"/>
    <w:rsid w:val="00ED2E91"/>
    <w:rsid w:val="00ED2FD8"/>
    <w:rsid w:val="00ED3062"/>
    <w:rsid w:val="00ED348F"/>
    <w:rsid w:val="00ED35C0"/>
    <w:rsid w:val="00ED3EC2"/>
    <w:rsid w:val="00ED4505"/>
    <w:rsid w:val="00ED45DE"/>
    <w:rsid w:val="00ED4E7E"/>
    <w:rsid w:val="00ED501A"/>
    <w:rsid w:val="00ED50FC"/>
    <w:rsid w:val="00ED5146"/>
    <w:rsid w:val="00ED54C2"/>
    <w:rsid w:val="00ED5647"/>
    <w:rsid w:val="00ED5882"/>
    <w:rsid w:val="00ED5A75"/>
    <w:rsid w:val="00ED5DDD"/>
    <w:rsid w:val="00ED5F01"/>
    <w:rsid w:val="00ED61AB"/>
    <w:rsid w:val="00ED6254"/>
    <w:rsid w:val="00ED713A"/>
    <w:rsid w:val="00ED7479"/>
    <w:rsid w:val="00ED7520"/>
    <w:rsid w:val="00ED7608"/>
    <w:rsid w:val="00ED790D"/>
    <w:rsid w:val="00ED7C0E"/>
    <w:rsid w:val="00EE01C0"/>
    <w:rsid w:val="00EE02B2"/>
    <w:rsid w:val="00EE037A"/>
    <w:rsid w:val="00EE0D64"/>
    <w:rsid w:val="00EE155C"/>
    <w:rsid w:val="00EE1671"/>
    <w:rsid w:val="00EE16BC"/>
    <w:rsid w:val="00EE1BB9"/>
    <w:rsid w:val="00EE1D0F"/>
    <w:rsid w:val="00EE1E8A"/>
    <w:rsid w:val="00EE2118"/>
    <w:rsid w:val="00EE221A"/>
    <w:rsid w:val="00EE241D"/>
    <w:rsid w:val="00EE2421"/>
    <w:rsid w:val="00EE2998"/>
    <w:rsid w:val="00EE2E72"/>
    <w:rsid w:val="00EE308C"/>
    <w:rsid w:val="00EE3355"/>
    <w:rsid w:val="00EE335C"/>
    <w:rsid w:val="00EE3896"/>
    <w:rsid w:val="00EE39E5"/>
    <w:rsid w:val="00EE3B2B"/>
    <w:rsid w:val="00EE3BC3"/>
    <w:rsid w:val="00EE3EE9"/>
    <w:rsid w:val="00EE40C5"/>
    <w:rsid w:val="00EE4B74"/>
    <w:rsid w:val="00EE580E"/>
    <w:rsid w:val="00EE586A"/>
    <w:rsid w:val="00EE5AB2"/>
    <w:rsid w:val="00EE5CEC"/>
    <w:rsid w:val="00EE5D20"/>
    <w:rsid w:val="00EE5EAF"/>
    <w:rsid w:val="00EE5EC0"/>
    <w:rsid w:val="00EE6008"/>
    <w:rsid w:val="00EE6303"/>
    <w:rsid w:val="00EE65A3"/>
    <w:rsid w:val="00EE661B"/>
    <w:rsid w:val="00EE6893"/>
    <w:rsid w:val="00EE6C0C"/>
    <w:rsid w:val="00EE6EBA"/>
    <w:rsid w:val="00EE731A"/>
    <w:rsid w:val="00EE742B"/>
    <w:rsid w:val="00EE74D0"/>
    <w:rsid w:val="00EE762E"/>
    <w:rsid w:val="00EE7929"/>
    <w:rsid w:val="00EE79A3"/>
    <w:rsid w:val="00EF0018"/>
    <w:rsid w:val="00EF014E"/>
    <w:rsid w:val="00EF0836"/>
    <w:rsid w:val="00EF08CA"/>
    <w:rsid w:val="00EF0AA9"/>
    <w:rsid w:val="00EF0BB2"/>
    <w:rsid w:val="00EF0E05"/>
    <w:rsid w:val="00EF0E4B"/>
    <w:rsid w:val="00EF0E8F"/>
    <w:rsid w:val="00EF1255"/>
    <w:rsid w:val="00EF1990"/>
    <w:rsid w:val="00EF1D3E"/>
    <w:rsid w:val="00EF1D4A"/>
    <w:rsid w:val="00EF1DBA"/>
    <w:rsid w:val="00EF1E42"/>
    <w:rsid w:val="00EF206F"/>
    <w:rsid w:val="00EF24A6"/>
    <w:rsid w:val="00EF2D1A"/>
    <w:rsid w:val="00EF2EC7"/>
    <w:rsid w:val="00EF3A26"/>
    <w:rsid w:val="00EF3BB9"/>
    <w:rsid w:val="00EF3CB4"/>
    <w:rsid w:val="00EF413E"/>
    <w:rsid w:val="00EF4254"/>
    <w:rsid w:val="00EF4941"/>
    <w:rsid w:val="00EF499B"/>
    <w:rsid w:val="00EF4BC5"/>
    <w:rsid w:val="00EF5168"/>
    <w:rsid w:val="00EF5706"/>
    <w:rsid w:val="00EF5AA6"/>
    <w:rsid w:val="00EF5E00"/>
    <w:rsid w:val="00EF61E0"/>
    <w:rsid w:val="00EF6457"/>
    <w:rsid w:val="00EF64AC"/>
    <w:rsid w:val="00EF6808"/>
    <w:rsid w:val="00EF6CBA"/>
    <w:rsid w:val="00EF6D20"/>
    <w:rsid w:val="00EF6DF5"/>
    <w:rsid w:val="00EF6EAA"/>
    <w:rsid w:val="00EF7633"/>
    <w:rsid w:val="00EF77A8"/>
    <w:rsid w:val="00EF7836"/>
    <w:rsid w:val="00EF7E5F"/>
    <w:rsid w:val="00EF7F5E"/>
    <w:rsid w:val="00F000F9"/>
    <w:rsid w:val="00F002B0"/>
    <w:rsid w:val="00F004CF"/>
    <w:rsid w:val="00F00665"/>
    <w:rsid w:val="00F006B8"/>
    <w:rsid w:val="00F00765"/>
    <w:rsid w:val="00F0092D"/>
    <w:rsid w:val="00F00987"/>
    <w:rsid w:val="00F00AE6"/>
    <w:rsid w:val="00F00D32"/>
    <w:rsid w:val="00F00DB6"/>
    <w:rsid w:val="00F010C0"/>
    <w:rsid w:val="00F01DFB"/>
    <w:rsid w:val="00F01E3B"/>
    <w:rsid w:val="00F021DE"/>
    <w:rsid w:val="00F022DC"/>
    <w:rsid w:val="00F022E0"/>
    <w:rsid w:val="00F024BB"/>
    <w:rsid w:val="00F02B86"/>
    <w:rsid w:val="00F03250"/>
    <w:rsid w:val="00F0338C"/>
    <w:rsid w:val="00F038E8"/>
    <w:rsid w:val="00F03E40"/>
    <w:rsid w:val="00F04440"/>
    <w:rsid w:val="00F0462C"/>
    <w:rsid w:val="00F047ED"/>
    <w:rsid w:val="00F04ADF"/>
    <w:rsid w:val="00F04B8E"/>
    <w:rsid w:val="00F04D86"/>
    <w:rsid w:val="00F05068"/>
    <w:rsid w:val="00F05216"/>
    <w:rsid w:val="00F05561"/>
    <w:rsid w:val="00F055AD"/>
    <w:rsid w:val="00F056FA"/>
    <w:rsid w:val="00F05862"/>
    <w:rsid w:val="00F05AD0"/>
    <w:rsid w:val="00F05B77"/>
    <w:rsid w:val="00F05EF9"/>
    <w:rsid w:val="00F05F44"/>
    <w:rsid w:val="00F06007"/>
    <w:rsid w:val="00F06770"/>
    <w:rsid w:val="00F06861"/>
    <w:rsid w:val="00F06927"/>
    <w:rsid w:val="00F06B37"/>
    <w:rsid w:val="00F07326"/>
    <w:rsid w:val="00F07418"/>
    <w:rsid w:val="00F07787"/>
    <w:rsid w:val="00F078D9"/>
    <w:rsid w:val="00F07F21"/>
    <w:rsid w:val="00F103C2"/>
    <w:rsid w:val="00F1040E"/>
    <w:rsid w:val="00F104AE"/>
    <w:rsid w:val="00F1053B"/>
    <w:rsid w:val="00F106A2"/>
    <w:rsid w:val="00F106B3"/>
    <w:rsid w:val="00F106EE"/>
    <w:rsid w:val="00F10F95"/>
    <w:rsid w:val="00F11089"/>
    <w:rsid w:val="00F1117D"/>
    <w:rsid w:val="00F11947"/>
    <w:rsid w:val="00F11FA3"/>
    <w:rsid w:val="00F12676"/>
    <w:rsid w:val="00F126FC"/>
    <w:rsid w:val="00F1276F"/>
    <w:rsid w:val="00F12AA9"/>
    <w:rsid w:val="00F12BBB"/>
    <w:rsid w:val="00F132CE"/>
    <w:rsid w:val="00F139D4"/>
    <w:rsid w:val="00F13C01"/>
    <w:rsid w:val="00F13CF2"/>
    <w:rsid w:val="00F13D74"/>
    <w:rsid w:val="00F140A8"/>
    <w:rsid w:val="00F145D4"/>
    <w:rsid w:val="00F14E05"/>
    <w:rsid w:val="00F14F16"/>
    <w:rsid w:val="00F15227"/>
    <w:rsid w:val="00F15351"/>
    <w:rsid w:val="00F15471"/>
    <w:rsid w:val="00F154E4"/>
    <w:rsid w:val="00F1572B"/>
    <w:rsid w:val="00F15B9E"/>
    <w:rsid w:val="00F15D4E"/>
    <w:rsid w:val="00F15F33"/>
    <w:rsid w:val="00F160FA"/>
    <w:rsid w:val="00F164BC"/>
    <w:rsid w:val="00F16A3E"/>
    <w:rsid w:val="00F16B7C"/>
    <w:rsid w:val="00F16C19"/>
    <w:rsid w:val="00F16D54"/>
    <w:rsid w:val="00F16DCE"/>
    <w:rsid w:val="00F172E1"/>
    <w:rsid w:val="00F173E5"/>
    <w:rsid w:val="00F17CD6"/>
    <w:rsid w:val="00F17CEF"/>
    <w:rsid w:val="00F17D1D"/>
    <w:rsid w:val="00F17D5B"/>
    <w:rsid w:val="00F2067D"/>
    <w:rsid w:val="00F207B0"/>
    <w:rsid w:val="00F20A7B"/>
    <w:rsid w:val="00F20B11"/>
    <w:rsid w:val="00F20B94"/>
    <w:rsid w:val="00F20E72"/>
    <w:rsid w:val="00F211F8"/>
    <w:rsid w:val="00F21328"/>
    <w:rsid w:val="00F21330"/>
    <w:rsid w:val="00F21470"/>
    <w:rsid w:val="00F21481"/>
    <w:rsid w:val="00F21674"/>
    <w:rsid w:val="00F216D4"/>
    <w:rsid w:val="00F21917"/>
    <w:rsid w:val="00F21952"/>
    <w:rsid w:val="00F21ED9"/>
    <w:rsid w:val="00F22022"/>
    <w:rsid w:val="00F224F7"/>
    <w:rsid w:val="00F22752"/>
    <w:rsid w:val="00F2277B"/>
    <w:rsid w:val="00F22A1F"/>
    <w:rsid w:val="00F22E21"/>
    <w:rsid w:val="00F2318E"/>
    <w:rsid w:val="00F2375B"/>
    <w:rsid w:val="00F23936"/>
    <w:rsid w:val="00F23ECD"/>
    <w:rsid w:val="00F240D8"/>
    <w:rsid w:val="00F24607"/>
    <w:rsid w:val="00F24666"/>
    <w:rsid w:val="00F24696"/>
    <w:rsid w:val="00F246CB"/>
    <w:rsid w:val="00F2471C"/>
    <w:rsid w:val="00F248A9"/>
    <w:rsid w:val="00F24A51"/>
    <w:rsid w:val="00F24BFB"/>
    <w:rsid w:val="00F2514B"/>
    <w:rsid w:val="00F253C6"/>
    <w:rsid w:val="00F25693"/>
    <w:rsid w:val="00F25A71"/>
    <w:rsid w:val="00F265E7"/>
    <w:rsid w:val="00F26600"/>
    <w:rsid w:val="00F266CD"/>
    <w:rsid w:val="00F26782"/>
    <w:rsid w:val="00F26AF8"/>
    <w:rsid w:val="00F300E1"/>
    <w:rsid w:val="00F302FD"/>
    <w:rsid w:val="00F30601"/>
    <w:rsid w:val="00F30621"/>
    <w:rsid w:val="00F3113C"/>
    <w:rsid w:val="00F31710"/>
    <w:rsid w:val="00F319BD"/>
    <w:rsid w:val="00F31C35"/>
    <w:rsid w:val="00F31DCB"/>
    <w:rsid w:val="00F3271B"/>
    <w:rsid w:val="00F3300C"/>
    <w:rsid w:val="00F3340B"/>
    <w:rsid w:val="00F33489"/>
    <w:rsid w:val="00F33571"/>
    <w:rsid w:val="00F337EA"/>
    <w:rsid w:val="00F3388E"/>
    <w:rsid w:val="00F338D3"/>
    <w:rsid w:val="00F33BFE"/>
    <w:rsid w:val="00F33F7A"/>
    <w:rsid w:val="00F34775"/>
    <w:rsid w:val="00F34937"/>
    <w:rsid w:val="00F34D6A"/>
    <w:rsid w:val="00F35121"/>
    <w:rsid w:val="00F35F41"/>
    <w:rsid w:val="00F36060"/>
    <w:rsid w:val="00F365D1"/>
    <w:rsid w:val="00F36825"/>
    <w:rsid w:val="00F3682C"/>
    <w:rsid w:val="00F37140"/>
    <w:rsid w:val="00F371EB"/>
    <w:rsid w:val="00F37B53"/>
    <w:rsid w:val="00F37CB0"/>
    <w:rsid w:val="00F37D2B"/>
    <w:rsid w:val="00F37DE6"/>
    <w:rsid w:val="00F37E1D"/>
    <w:rsid w:val="00F37F41"/>
    <w:rsid w:val="00F37FF9"/>
    <w:rsid w:val="00F408DD"/>
    <w:rsid w:val="00F40C8C"/>
    <w:rsid w:val="00F40E34"/>
    <w:rsid w:val="00F40F01"/>
    <w:rsid w:val="00F412B8"/>
    <w:rsid w:val="00F416B7"/>
    <w:rsid w:val="00F41703"/>
    <w:rsid w:val="00F41807"/>
    <w:rsid w:val="00F41FDB"/>
    <w:rsid w:val="00F420D2"/>
    <w:rsid w:val="00F42374"/>
    <w:rsid w:val="00F424BA"/>
    <w:rsid w:val="00F42A52"/>
    <w:rsid w:val="00F42B41"/>
    <w:rsid w:val="00F42E27"/>
    <w:rsid w:val="00F43413"/>
    <w:rsid w:val="00F437B4"/>
    <w:rsid w:val="00F43816"/>
    <w:rsid w:val="00F43D07"/>
    <w:rsid w:val="00F43FCB"/>
    <w:rsid w:val="00F43FF9"/>
    <w:rsid w:val="00F4442D"/>
    <w:rsid w:val="00F44509"/>
    <w:rsid w:val="00F4472A"/>
    <w:rsid w:val="00F44CD5"/>
    <w:rsid w:val="00F44D7A"/>
    <w:rsid w:val="00F44F77"/>
    <w:rsid w:val="00F451FF"/>
    <w:rsid w:val="00F45221"/>
    <w:rsid w:val="00F45BE0"/>
    <w:rsid w:val="00F45E12"/>
    <w:rsid w:val="00F45E2F"/>
    <w:rsid w:val="00F45FAB"/>
    <w:rsid w:val="00F45FBE"/>
    <w:rsid w:val="00F45FD3"/>
    <w:rsid w:val="00F46136"/>
    <w:rsid w:val="00F47333"/>
    <w:rsid w:val="00F477E6"/>
    <w:rsid w:val="00F4799B"/>
    <w:rsid w:val="00F50678"/>
    <w:rsid w:val="00F50679"/>
    <w:rsid w:val="00F5089D"/>
    <w:rsid w:val="00F50B47"/>
    <w:rsid w:val="00F50B7B"/>
    <w:rsid w:val="00F50DF8"/>
    <w:rsid w:val="00F50FD2"/>
    <w:rsid w:val="00F51333"/>
    <w:rsid w:val="00F519DD"/>
    <w:rsid w:val="00F5209E"/>
    <w:rsid w:val="00F520A9"/>
    <w:rsid w:val="00F52342"/>
    <w:rsid w:val="00F52430"/>
    <w:rsid w:val="00F52836"/>
    <w:rsid w:val="00F52839"/>
    <w:rsid w:val="00F52B0A"/>
    <w:rsid w:val="00F52CFB"/>
    <w:rsid w:val="00F52F9A"/>
    <w:rsid w:val="00F5304B"/>
    <w:rsid w:val="00F532A4"/>
    <w:rsid w:val="00F53A30"/>
    <w:rsid w:val="00F53C44"/>
    <w:rsid w:val="00F54666"/>
    <w:rsid w:val="00F54C3C"/>
    <w:rsid w:val="00F54CE8"/>
    <w:rsid w:val="00F551A8"/>
    <w:rsid w:val="00F5527C"/>
    <w:rsid w:val="00F55AD6"/>
    <w:rsid w:val="00F55D1F"/>
    <w:rsid w:val="00F563BC"/>
    <w:rsid w:val="00F566BE"/>
    <w:rsid w:val="00F56C9E"/>
    <w:rsid w:val="00F56CDE"/>
    <w:rsid w:val="00F56E28"/>
    <w:rsid w:val="00F5741A"/>
    <w:rsid w:val="00F5753B"/>
    <w:rsid w:val="00F57618"/>
    <w:rsid w:val="00F57821"/>
    <w:rsid w:val="00F57E3B"/>
    <w:rsid w:val="00F601A5"/>
    <w:rsid w:val="00F60368"/>
    <w:rsid w:val="00F60416"/>
    <w:rsid w:val="00F60533"/>
    <w:rsid w:val="00F6085F"/>
    <w:rsid w:val="00F612BB"/>
    <w:rsid w:val="00F613A5"/>
    <w:rsid w:val="00F61429"/>
    <w:rsid w:val="00F61B02"/>
    <w:rsid w:val="00F61B7B"/>
    <w:rsid w:val="00F620F0"/>
    <w:rsid w:val="00F621EF"/>
    <w:rsid w:val="00F6231A"/>
    <w:rsid w:val="00F6261C"/>
    <w:rsid w:val="00F6267B"/>
    <w:rsid w:val="00F62A69"/>
    <w:rsid w:val="00F63020"/>
    <w:rsid w:val="00F637D0"/>
    <w:rsid w:val="00F63924"/>
    <w:rsid w:val="00F63AEA"/>
    <w:rsid w:val="00F63B2E"/>
    <w:rsid w:val="00F63D55"/>
    <w:rsid w:val="00F63DE1"/>
    <w:rsid w:val="00F64813"/>
    <w:rsid w:val="00F64B8D"/>
    <w:rsid w:val="00F6537E"/>
    <w:rsid w:val="00F6544F"/>
    <w:rsid w:val="00F65C12"/>
    <w:rsid w:val="00F65D64"/>
    <w:rsid w:val="00F65DB1"/>
    <w:rsid w:val="00F66132"/>
    <w:rsid w:val="00F66199"/>
    <w:rsid w:val="00F6655D"/>
    <w:rsid w:val="00F66852"/>
    <w:rsid w:val="00F66AE7"/>
    <w:rsid w:val="00F66E26"/>
    <w:rsid w:val="00F66E61"/>
    <w:rsid w:val="00F671D2"/>
    <w:rsid w:val="00F675BB"/>
    <w:rsid w:val="00F678CB"/>
    <w:rsid w:val="00F67AEE"/>
    <w:rsid w:val="00F67C50"/>
    <w:rsid w:val="00F7033D"/>
    <w:rsid w:val="00F70404"/>
    <w:rsid w:val="00F70B33"/>
    <w:rsid w:val="00F70DE5"/>
    <w:rsid w:val="00F70EEA"/>
    <w:rsid w:val="00F70F39"/>
    <w:rsid w:val="00F70F65"/>
    <w:rsid w:val="00F70FBA"/>
    <w:rsid w:val="00F71357"/>
    <w:rsid w:val="00F713E1"/>
    <w:rsid w:val="00F71590"/>
    <w:rsid w:val="00F7174E"/>
    <w:rsid w:val="00F718D5"/>
    <w:rsid w:val="00F71999"/>
    <w:rsid w:val="00F71F5C"/>
    <w:rsid w:val="00F72C61"/>
    <w:rsid w:val="00F72D63"/>
    <w:rsid w:val="00F72E3A"/>
    <w:rsid w:val="00F7303B"/>
    <w:rsid w:val="00F7326D"/>
    <w:rsid w:val="00F73592"/>
    <w:rsid w:val="00F73B7B"/>
    <w:rsid w:val="00F73E78"/>
    <w:rsid w:val="00F7400B"/>
    <w:rsid w:val="00F74248"/>
    <w:rsid w:val="00F743AD"/>
    <w:rsid w:val="00F74CA4"/>
    <w:rsid w:val="00F74DD7"/>
    <w:rsid w:val="00F75002"/>
    <w:rsid w:val="00F7529B"/>
    <w:rsid w:val="00F757A3"/>
    <w:rsid w:val="00F759CD"/>
    <w:rsid w:val="00F75A51"/>
    <w:rsid w:val="00F75CDA"/>
    <w:rsid w:val="00F75D12"/>
    <w:rsid w:val="00F76096"/>
    <w:rsid w:val="00F7611B"/>
    <w:rsid w:val="00F761DC"/>
    <w:rsid w:val="00F765C8"/>
    <w:rsid w:val="00F76913"/>
    <w:rsid w:val="00F76F92"/>
    <w:rsid w:val="00F77187"/>
    <w:rsid w:val="00F771C4"/>
    <w:rsid w:val="00F77773"/>
    <w:rsid w:val="00F8017B"/>
    <w:rsid w:val="00F80934"/>
    <w:rsid w:val="00F80AE4"/>
    <w:rsid w:val="00F81054"/>
    <w:rsid w:val="00F8120A"/>
    <w:rsid w:val="00F8142B"/>
    <w:rsid w:val="00F814E1"/>
    <w:rsid w:val="00F81A8D"/>
    <w:rsid w:val="00F81B50"/>
    <w:rsid w:val="00F81BC6"/>
    <w:rsid w:val="00F81D26"/>
    <w:rsid w:val="00F8205F"/>
    <w:rsid w:val="00F829F8"/>
    <w:rsid w:val="00F82BD8"/>
    <w:rsid w:val="00F82CFC"/>
    <w:rsid w:val="00F833DA"/>
    <w:rsid w:val="00F83C80"/>
    <w:rsid w:val="00F83EEF"/>
    <w:rsid w:val="00F8419C"/>
    <w:rsid w:val="00F84276"/>
    <w:rsid w:val="00F84572"/>
    <w:rsid w:val="00F84D22"/>
    <w:rsid w:val="00F85354"/>
    <w:rsid w:val="00F85CED"/>
    <w:rsid w:val="00F865B2"/>
    <w:rsid w:val="00F86682"/>
    <w:rsid w:val="00F86EF9"/>
    <w:rsid w:val="00F87238"/>
    <w:rsid w:val="00F8733D"/>
    <w:rsid w:val="00F87469"/>
    <w:rsid w:val="00F87DD3"/>
    <w:rsid w:val="00F9056B"/>
    <w:rsid w:val="00F90612"/>
    <w:rsid w:val="00F908C9"/>
    <w:rsid w:val="00F909AC"/>
    <w:rsid w:val="00F90CBB"/>
    <w:rsid w:val="00F90CDA"/>
    <w:rsid w:val="00F915DE"/>
    <w:rsid w:val="00F91AA2"/>
    <w:rsid w:val="00F91C76"/>
    <w:rsid w:val="00F921BD"/>
    <w:rsid w:val="00F92528"/>
    <w:rsid w:val="00F929EA"/>
    <w:rsid w:val="00F92AC2"/>
    <w:rsid w:val="00F92C18"/>
    <w:rsid w:val="00F93003"/>
    <w:rsid w:val="00F930CD"/>
    <w:rsid w:val="00F932CB"/>
    <w:rsid w:val="00F934A5"/>
    <w:rsid w:val="00F93613"/>
    <w:rsid w:val="00F939C5"/>
    <w:rsid w:val="00F9404C"/>
    <w:rsid w:val="00F941B3"/>
    <w:rsid w:val="00F946B1"/>
    <w:rsid w:val="00F947A7"/>
    <w:rsid w:val="00F949D8"/>
    <w:rsid w:val="00F95402"/>
    <w:rsid w:val="00F9571E"/>
    <w:rsid w:val="00F95ADD"/>
    <w:rsid w:val="00F9618C"/>
    <w:rsid w:val="00F96B9E"/>
    <w:rsid w:val="00F972A7"/>
    <w:rsid w:val="00FA00C2"/>
    <w:rsid w:val="00FA08EC"/>
    <w:rsid w:val="00FA0C20"/>
    <w:rsid w:val="00FA0CD3"/>
    <w:rsid w:val="00FA103F"/>
    <w:rsid w:val="00FA1090"/>
    <w:rsid w:val="00FA1197"/>
    <w:rsid w:val="00FA11E0"/>
    <w:rsid w:val="00FA15D8"/>
    <w:rsid w:val="00FA161D"/>
    <w:rsid w:val="00FA173D"/>
    <w:rsid w:val="00FA195C"/>
    <w:rsid w:val="00FA1985"/>
    <w:rsid w:val="00FA1EE9"/>
    <w:rsid w:val="00FA2308"/>
    <w:rsid w:val="00FA2313"/>
    <w:rsid w:val="00FA2464"/>
    <w:rsid w:val="00FA2882"/>
    <w:rsid w:val="00FA29BF"/>
    <w:rsid w:val="00FA2AB5"/>
    <w:rsid w:val="00FA2C4E"/>
    <w:rsid w:val="00FA2CF8"/>
    <w:rsid w:val="00FA2F27"/>
    <w:rsid w:val="00FA3296"/>
    <w:rsid w:val="00FA32A8"/>
    <w:rsid w:val="00FA342E"/>
    <w:rsid w:val="00FA3444"/>
    <w:rsid w:val="00FA363C"/>
    <w:rsid w:val="00FA36C8"/>
    <w:rsid w:val="00FA3AA3"/>
    <w:rsid w:val="00FA3BB4"/>
    <w:rsid w:val="00FA3CF4"/>
    <w:rsid w:val="00FA426B"/>
    <w:rsid w:val="00FA442E"/>
    <w:rsid w:val="00FA4444"/>
    <w:rsid w:val="00FA540B"/>
    <w:rsid w:val="00FA55C1"/>
    <w:rsid w:val="00FA58FB"/>
    <w:rsid w:val="00FA5BB6"/>
    <w:rsid w:val="00FA5CB8"/>
    <w:rsid w:val="00FA5DB2"/>
    <w:rsid w:val="00FA63D2"/>
    <w:rsid w:val="00FA6497"/>
    <w:rsid w:val="00FA6684"/>
    <w:rsid w:val="00FA67B1"/>
    <w:rsid w:val="00FA6936"/>
    <w:rsid w:val="00FA73A3"/>
    <w:rsid w:val="00FA7574"/>
    <w:rsid w:val="00FA777B"/>
    <w:rsid w:val="00FA7935"/>
    <w:rsid w:val="00FA7A3A"/>
    <w:rsid w:val="00FA7BEF"/>
    <w:rsid w:val="00FA7C59"/>
    <w:rsid w:val="00FA7CCC"/>
    <w:rsid w:val="00FB01C6"/>
    <w:rsid w:val="00FB084B"/>
    <w:rsid w:val="00FB0D30"/>
    <w:rsid w:val="00FB0E65"/>
    <w:rsid w:val="00FB11EE"/>
    <w:rsid w:val="00FB12BF"/>
    <w:rsid w:val="00FB1573"/>
    <w:rsid w:val="00FB18E1"/>
    <w:rsid w:val="00FB19C1"/>
    <w:rsid w:val="00FB1C61"/>
    <w:rsid w:val="00FB2AAA"/>
    <w:rsid w:val="00FB2D6A"/>
    <w:rsid w:val="00FB3067"/>
    <w:rsid w:val="00FB3207"/>
    <w:rsid w:val="00FB3533"/>
    <w:rsid w:val="00FB3B45"/>
    <w:rsid w:val="00FB3B96"/>
    <w:rsid w:val="00FB3F61"/>
    <w:rsid w:val="00FB3FAF"/>
    <w:rsid w:val="00FB3FD6"/>
    <w:rsid w:val="00FB4211"/>
    <w:rsid w:val="00FB4230"/>
    <w:rsid w:val="00FB457F"/>
    <w:rsid w:val="00FB4AE6"/>
    <w:rsid w:val="00FB4BA9"/>
    <w:rsid w:val="00FB4C06"/>
    <w:rsid w:val="00FB4D2A"/>
    <w:rsid w:val="00FB4E47"/>
    <w:rsid w:val="00FB4F59"/>
    <w:rsid w:val="00FB4FB5"/>
    <w:rsid w:val="00FB55E4"/>
    <w:rsid w:val="00FB582D"/>
    <w:rsid w:val="00FB5955"/>
    <w:rsid w:val="00FB5FA3"/>
    <w:rsid w:val="00FB64E8"/>
    <w:rsid w:val="00FB6DBF"/>
    <w:rsid w:val="00FB6E5E"/>
    <w:rsid w:val="00FB7506"/>
    <w:rsid w:val="00FB781B"/>
    <w:rsid w:val="00FB7C6D"/>
    <w:rsid w:val="00FB7F8F"/>
    <w:rsid w:val="00FB7FBA"/>
    <w:rsid w:val="00FC0111"/>
    <w:rsid w:val="00FC019C"/>
    <w:rsid w:val="00FC07E1"/>
    <w:rsid w:val="00FC0D92"/>
    <w:rsid w:val="00FC0E91"/>
    <w:rsid w:val="00FC1055"/>
    <w:rsid w:val="00FC1456"/>
    <w:rsid w:val="00FC1905"/>
    <w:rsid w:val="00FC1C82"/>
    <w:rsid w:val="00FC1F0D"/>
    <w:rsid w:val="00FC235F"/>
    <w:rsid w:val="00FC23CC"/>
    <w:rsid w:val="00FC2C2E"/>
    <w:rsid w:val="00FC34BB"/>
    <w:rsid w:val="00FC35ED"/>
    <w:rsid w:val="00FC3BEA"/>
    <w:rsid w:val="00FC3E83"/>
    <w:rsid w:val="00FC4190"/>
    <w:rsid w:val="00FC41DA"/>
    <w:rsid w:val="00FC42DE"/>
    <w:rsid w:val="00FC4405"/>
    <w:rsid w:val="00FC459F"/>
    <w:rsid w:val="00FC4602"/>
    <w:rsid w:val="00FC4668"/>
    <w:rsid w:val="00FC4D7A"/>
    <w:rsid w:val="00FC5277"/>
    <w:rsid w:val="00FC53E2"/>
    <w:rsid w:val="00FC56CB"/>
    <w:rsid w:val="00FC57B8"/>
    <w:rsid w:val="00FC5B6C"/>
    <w:rsid w:val="00FC65FD"/>
    <w:rsid w:val="00FC6DBC"/>
    <w:rsid w:val="00FC6F01"/>
    <w:rsid w:val="00FC6F89"/>
    <w:rsid w:val="00FC6FE3"/>
    <w:rsid w:val="00FC703A"/>
    <w:rsid w:val="00FC70D8"/>
    <w:rsid w:val="00FC71F6"/>
    <w:rsid w:val="00FC7526"/>
    <w:rsid w:val="00FC75AF"/>
    <w:rsid w:val="00FC7691"/>
    <w:rsid w:val="00FC7AB7"/>
    <w:rsid w:val="00FD0171"/>
    <w:rsid w:val="00FD05EE"/>
    <w:rsid w:val="00FD0625"/>
    <w:rsid w:val="00FD074D"/>
    <w:rsid w:val="00FD0B6C"/>
    <w:rsid w:val="00FD0DC4"/>
    <w:rsid w:val="00FD0F4E"/>
    <w:rsid w:val="00FD0F93"/>
    <w:rsid w:val="00FD12F6"/>
    <w:rsid w:val="00FD1524"/>
    <w:rsid w:val="00FD1894"/>
    <w:rsid w:val="00FD18BA"/>
    <w:rsid w:val="00FD1E22"/>
    <w:rsid w:val="00FD1E7B"/>
    <w:rsid w:val="00FD2913"/>
    <w:rsid w:val="00FD29D3"/>
    <w:rsid w:val="00FD31DE"/>
    <w:rsid w:val="00FD3539"/>
    <w:rsid w:val="00FD3A87"/>
    <w:rsid w:val="00FD3D5B"/>
    <w:rsid w:val="00FD3D6F"/>
    <w:rsid w:val="00FD41F1"/>
    <w:rsid w:val="00FD44A8"/>
    <w:rsid w:val="00FD475A"/>
    <w:rsid w:val="00FD481F"/>
    <w:rsid w:val="00FD4858"/>
    <w:rsid w:val="00FD49F3"/>
    <w:rsid w:val="00FD4A3E"/>
    <w:rsid w:val="00FD4D9F"/>
    <w:rsid w:val="00FD4F90"/>
    <w:rsid w:val="00FD4FDF"/>
    <w:rsid w:val="00FD514B"/>
    <w:rsid w:val="00FD51B7"/>
    <w:rsid w:val="00FD5712"/>
    <w:rsid w:val="00FD5D47"/>
    <w:rsid w:val="00FD641B"/>
    <w:rsid w:val="00FD6ED4"/>
    <w:rsid w:val="00FD71F6"/>
    <w:rsid w:val="00FD732D"/>
    <w:rsid w:val="00FD7414"/>
    <w:rsid w:val="00FD7612"/>
    <w:rsid w:val="00FD76FF"/>
    <w:rsid w:val="00FD7765"/>
    <w:rsid w:val="00FD7BA4"/>
    <w:rsid w:val="00FD7D8B"/>
    <w:rsid w:val="00FE022A"/>
    <w:rsid w:val="00FE0598"/>
    <w:rsid w:val="00FE06D6"/>
    <w:rsid w:val="00FE1391"/>
    <w:rsid w:val="00FE147A"/>
    <w:rsid w:val="00FE1571"/>
    <w:rsid w:val="00FE15AB"/>
    <w:rsid w:val="00FE17D7"/>
    <w:rsid w:val="00FE1874"/>
    <w:rsid w:val="00FE195F"/>
    <w:rsid w:val="00FE274A"/>
    <w:rsid w:val="00FE27CA"/>
    <w:rsid w:val="00FE281E"/>
    <w:rsid w:val="00FE28FE"/>
    <w:rsid w:val="00FE30D1"/>
    <w:rsid w:val="00FE34E1"/>
    <w:rsid w:val="00FE3B34"/>
    <w:rsid w:val="00FE3BD6"/>
    <w:rsid w:val="00FE3DC1"/>
    <w:rsid w:val="00FE41F9"/>
    <w:rsid w:val="00FE47D6"/>
    <w:rsid w:val="00FE495C"/>
    <w:rsid w:val="00FE4967"/>
    <w:rsid w:val="00FE4AB1"/>
    <w:rsid w:val="00FE4CBB"/>
    <w:rsid w:val="00FE4D03"/>
    <w:rsid w:val="00FE4E9B"/>
    <w:rsid w:val="00FE54AC"/>
    <w:rsid w:val="00FE5852"/>
    <w:rsid w:val="00FE59F6"/>
    <w:rsid w:val="00FE5CF9"/>
    <w:rsid w:val="00FE63EF"/>
    <w:rsid w:val="00FE69E2"/>
    <w:rsid w:val="00FE6B46"/>
    <w:rsid w:val="00FE6E75"/>
    <w:rsid w:val="00FE6F47"/>
    <w:rsid w:val="00FE77BA"/>
    <w:rsid w:val="00FE7914"/>
    <w:rsid w:val="00FE7915"/>
    <w:rsid w:val="00FE7F34"/>
    <w:rsid w:val="00FF014B"/>
    <w:rsid w:val="00FF07EE"/>
    <w:rsid w:val="00FF0A39"/>
    <w:rsid w:val="00FF0AD2"/>
    <w:rsid w:val="00FF0B49"/>
    <w:rsid w:val="00FF0E9D"/>
    <w:rsid w:val="00FF1C0E"/>
    <w:rsid w:val="00FF1DAF"/>
    <w:rsid w:val="00FF1E98"/>
    <w:rsid w:val="00FF213D"/>
    <w:rsid w:val="00FF2392"/>
    <w:rsid w:val="00FF2768"/>
    <w:rsid w:val="00FF2E63"/>
    <w:rsid w:val="00FF2EB7"/>
    <w:rsid w:val="00FF3026"/>
    <w:rsid w:val="00FF31A6"/>
    <w:rsid w:val="00FF337A"/>
    <w:rsid w:val="00FF381D"/>
    <w:rsid w:val="00FF3BCD"/>
    <w:rsid w:val="00FF3BD4"/>
    <w:rsid w:val="00FF400A"/>
    <w:rsid w:val="00FF4338"/>
    <w:rsid w:val="00FF4B5F"/>
    <w:rsid w:val="00FF4B99"/>
    <w:rsid w:val="00FF4EFC"/>
    <w:rsid w:val="00FF5127"/>
    <w:rsid w:val="00FF5559"/>
    <w:rsid w:val="00FF57C7"/>
    <w:rsid w:val="00FF6593"/>
    <w:rsid w:val="00FF668E"/>
    <w:rsid w:val="00FF6A6B"/>
    <w:rsid w:val="00FF6B7D"/>
    <w:rsid w:val="00FF6CCF"/>
    <w:rsid w:val="00FF6DA9"/>
    <w:rsid w:val="00FF6E90"/>
    <w:rsid w:val="00FF6EE8"/>
    <w:rsid w:val="00FF745B"/>
    <w:rsid w:val="00FF74AC"/>
    <w:rsid w:val="00FF7A17"/>
    <w:rsid w:val="00FF7BFE"/>
    <w:rsid w:val="00FF7C89"/>
    <w:rsid w:val="00FF7F9F"/>
    <w:rsid w:val="010A9FAF"/>
    <w:rsid w:val="01165DEC"/>
    <w:rsid w:val="012D5763"/>
    <w:rsid w:val="0134DD4C"/>
    <w:rsid w:val="0145833C"/>
    <w:rsid w:val="014816B9"/>
    <w:rsid w:val="0162C5FD"/>
    <w:rsid w:val="01682276"/>
    <w:rsid w:val="019CB35E"/>
    <w:rsid w:val="01AB1A0D"/>
    <w:rsid w:val="01D21C43"/>
    <w:rsid w:val="01ED6DF6"/>
    <w:rsid w:val="01EFDE8A"/>
    <w:rsid w:val="021B7C69"/>
    <w:rsid w:val="021F78BA"/>
    <w:rsid w:val="0223AD6D"/>
    <w:rsid w:val="022FA68B"/>
    <w:rsid w:val="0237A919"/>
    <w:rsid w:val="0273B8C3"/>
    <w:rsid w:val="02751246"/>
    <w:rsid w:val="02B44D60"/>
    <w:rsid w:val="02C5BB41"/>
    <w:rsid w:val="032BB871"/>
    <w:rsid w:val="037B8F7F"/>
    <w:rsid w:val="03D0E7E5"/>
    <w:rsid w:val="0419DF90"/>
    <w:rsid w:val="042064BE"/>
    <w:rsid w:val="0469EA89"/>
    <w:rsid w:val="0477365B"/>
    <w:rsid w:val="047901A0"/>
    <w:rsid w:val="04D88A85"/>
    <w:rsid w:val="04DC5F7A"/>
    <w:rsid w:val="04E6C271"/>
    <w:rsid w:val="04F0B357"/>
    <w:rsid w:val="050B41B6"/>
    <w:rsid w:val="05949124"/>
    <w:rsid w:val="05BD10E8"/>
    <w:rsid w:val="05D95214"/>
    <w:rsid w:val="06233206"/>
    <w:rsid w:val="064322A1"/>
    <w:rsid w:val="064693E1"/>
    <w:rsid w:val="06878C7A"/>
    <w:rsid w:val="0692B114"/>
    <w:rsid w:val="06A2866F"/>
    <w:rsid w:val="06CEF33D"/>
    <w:rsid w:val="06CF307D"/>
    <w:rsid w:val="06E132B3"/>
    <w:rsid w:val="06E93860"/>
    <w:rsid w:val="07160C2A"/>
    <w:rsid w:val="07161D58"/>
    <w:rsid w:val="075BB8D5"/>
    <w:rsid w:val="0778935E"/>
    <w:rsid w:val="07BEAB16"/>
    <w:rsid w:val="07C12A31"/>
    <w:rsid w:val="07CA19A5"/>
    <w:rsid w:val="084383A8"/>
    <w:rsid w:val="0853E702"/>
    <w:rsid w:val="087D5769"/>
    <w:rsid w:val="08952DE7"/>
    <w:rsid w:val="08B81B52"/>
    <w:rsid w:val="08E95C1E"/>
    <w:rsid w:val="0922BF24"/>
    <w:rsid w:val="09394777"/>
    <w:rsid w:val="09417DDF"/>
    <w:rsid w:val="0942F227"/>
    <w:rsid w:val="095FE5B2"/>
    <w:rsid w:val="097B7EBA"/>
    <w:rsid w:val="0989D840"/>
    <w:rsid w:val="098B5600"/>
    <w:rsid w:val="09918C4D"/>
    <w:rsid w:val="09D689D9"/>
    <w:rsid w:val="09DD2FBC"/>
    <w:rsid w:val="09F553B7"/>
    <w:rsid w:val="0A04CAFC"/>
    <w:rsid w:val="0A0A490A"/>
    <w:rsid w:val="0A0E07E0"/>
    <w:rsid w:val="0A2398AC"/>
    <w:rsid w:val="0A49B00A"/>
    <w:rsid w:val="0A83D679"/>
    <w:rsid w:val="0A8FB66F"/>
    <w:rsid w:val="0A9A72EC"/>
    <w:rsid w:val="0AB941E4"/>
    <w:rsid w:val="0AD8A233"/>
    <w:rsid w:val="0AFEC8EA"/>
    <w:rsid w:val="0B07C9FD"/>
    <w:rsid w:val="0B3BBA7F"/>
    <w:rsid w:val="0B52CAF6"/>
    <w:rsid w:val="0B8D3E5C"/>
    <w:rsid w:val="0BA1085E"/>
    <w:rsid w:val="0BA50C44"/>
    <w:rsid w:val="0BCA03EB"/>
    <w:rsid w:val="0BCD3686"/>
    <w:rsid w:val="0BED6A73"/>
    <w:rsid w:val="0BEE577F"/>
    <w:rsid w:val="0C3BFAB0"/>
    <w:rsid w:val="0C56A49D"/>
    <w:rsid w:val="0C6E9618"/>
    <w:rsid w:val="0C984ED9"/>
    <w:rsid w:val="0CB62952"/>
    <w:rsid w:val="0CD6C381"/>
    <w:rsid w:val="0D0B5D09"/>
    <w:rsid w:val="0D2C8040"/>
    <w:rsid w:val="0D379B23"/>
    <w:rsid w:val="0D3F5F36"/>
    <w:rsid w:val="0D6D3294"/>
    <w:rsid w:val="0D943642"/>
    <w:rsid w:val="0DCC7CA0"/>
    <w:rsid w:val="0DE613B0"/>
    <w:rsid w:val="0E2D65D3"/>
    <w:rsid w:val="0E5A8D97"/>
    <w:rsid w:val="0E6208EE"/>
    <w:rsid w:val="0E670AD7"/>
    <w:rsid w:val="0E6AEC50"/>
    <w:rsid w:val="0E8C5547"/>
    <w:rsid w:val="0ECBED89"/>
    <w:rsid w:val="0F546FC7"/>
    <w:rsid w:val="0F6A8896"/>
    <w:rsid w:val="0F7D5E78"/>
    <w:rsid w:val="0F8396A5"/>
    <w:rsid w:val="0FA58A77"/>
    <w:rsid w:val="0FAE0AD7"/>
    <w:rsid w:val="0FB04589"/>
    <w:rsid w:val="101BEAE9"/>
    <w:rsid w:val="102825A8"/>
    <w:rsid w:val="102D9AF7"/>
    <w:rsid w:val="10334E2B"/>
    <w:rsid w:val="10345157"/>
    <w:rsid w:val="10481C02"/>
    <w:rsid w:val="10734F16"/>
    <w:rsid w:val="10762DCE"/>
    <w:rsid w:val="10C5DB9A"/>
    <w:rsid w:val="10C9F021"/>
    <w:rsid w:val="10F417DF"/>
    <w:rsid w:val="10FA4CB8"/>
    <w:rsid w:val="10FDA60A"/>
    <w:rsid w:val="113CCAB6"/>
    <w:rsid w:val="1149CE5B"/>
    <w:rsid w:val="114A473E"/>
    <w:rsid w:val="114E4526"/>
    <w:rsid w:val="11650A2B"/>
    <w:rsid w:val="117D3D65"/>
    <w:rsid w:val="1199E892"/>
    <w:rsid w:val="11A74849"/>
    <w:rsid w:val="11F6091B"/>
    <w:rsid w:val="1244AF13"/>
    <w:rsid w:val="125656F4"/>
    <w:rsid w:val="125B9A57"/>
    <w:rsid w:val="12854994"/>
    <w:rsid w:val="12986752"/>
    <w:rsid w:val="12A7FE06"/>
    <w:rsid w:val="12AE4A0A"/>
    <w:rsid w:val="13001B84"/>
    <w:rsid w:val="13064368"/>
    <w:rsid w:val="131707BA"/>
    <w:rsid w:val="131C09CC"/>
    <w:rsid w:val="13308616"/>
    <w:rsid w:val="13463F96"/>
    <w:rsid w:val="136DF629"/>
    <w:rsid w:val="136F520D"/>
    <w:rsid w:val="136FB41D"/>
    <w:rsid w:val="139B6E43"/>
    <w:rsid w:val="13D099C6"/>
    <w:rsid w:val="14013C8B"/>
    <w:rsid w:val="140380C6"/>
    <w:rsid w:val="1419D058"/>
    <w:rsid w:val="1420E4C5"/>
    <w:rsid w:val="142DEA38"/>
    <w:rsid w:val="142EDBE5"/>
    <w:rsid w:val="143A59B4"/>
    <w:rsid w:val="143E8243"/>
    <w:rsid w:val="144A75D6"/>
    <w:rsid w:val="14F7A37F"/>
    <w:rsid w:val="1506C19B"/>
    <w:rsid w:val="151DF70F"/>
    <w:rsid w:val="15589AA4"/>
    <w:rsid w:val="15776BF1"/>
    <w:rsid w:val="1585843C"/>
    <w:rsid w:val="158D3E56"/>
    <w:rsid w:val="158DEEE7"/>
    <w:rsid w:val="159BD651"/>
    <w:rsid w:val="159D9932"/>
    <w:rsid w:val="15A75D7C"/>
    <w:rsid w:val="15CFAC23"/>
    <w:rsid w:val="15E0CAE0"/>
    <w:rsid w:val="15E50A23"/>
    <w:rsid w:val="15E80C08"/>
    <w:rsid w:val="15FB4F11"/>
    <w:rsid w:val="15FFD180"/>
    <w:rsid w:val="16558A9C"/>
    <w:rsid w:val="1659C768"/>
    <w:rsid w:val="16701360"/>
    <w:rsid w:val="16D355DB"/>
    <w:rsid w:val="16E17DC1"/>
    <w:rsid w:val="16FAFD3A"/>
    <w:rsid w:val="16FDB65D"/>
    <w:rsid w:val="170B6FE1"/>
    <w:rsid w:val="1713D12D"/>
    <w:rsid w:val="17739725"/>
    <w:rsid w:val="17810872"/>
    <w:rsid w:val="17C0F2EA"/>
    <w:rsid w:val="17D067E0"/>
    <w:rsid w:val="17DC3094"/>
    <w:rsid w:val="180DB085"/>
    <w:rsid w:val="180F2189"/>
    <w:rsid w:val="1848B6AF"/>
    <w:rsid w:val="187509AA"/>
    <w:rsid w:val="1878E58F"/>
    <w:rsid w:val="189474E2"/>
    <w:rsid w:val="18C31B2E"/>
    <w:rsid w:val="18CE672E"/>
    <w:rsid w:val="190A828A"/>
    <w:rsid w:val="1916EAF1"/>
    <w:rsid w:val="1922285B"/>
    <w:rsid w:val="198E93B2"/>
    <w:rsid w:val="199314AA"/>
    <w:rsid w:val="199430D9"/>
    <w:rsid w:val="199C38A1"/>
    <w:rsid w:val="19CA379A"/>
    <w:rsid w:val="19DC5825"/>
    <w:rsid w:val="19DFCC7E"/>
    <w:rsid w:val="19FC8015"/>
    <w:rsid w:val="1A2CFF01"/>
    <w:rsid w:val="1A5E432C"/>
    <w:rsid w:val="1A90B016"/>
    <w:rsid w:val="1A932036"/>
    <w:rsid w:val="1AC97DA3"/>
    <w:rsid w:val="1ACF2D25"/>
    <w:rsid w:val="1AE81B98"/>
    <w:rsid w:val="1B1921F9"/>
    <w:rsid w:val="1B1C3C30"/>
    <w:rsid w:val="1B1CCC74"/>
    <w:rsid w:val="1B2E2F17"/>
    <w:rsid w:val="1B75EAF4"/>
    <w:rsid w:val="1B9E6B3E"/>
    <w:rsid w:val="1B9F1F7B"/>
    <w:rsid w:val="1BC8CF62"/>
    <w:rsid w:val="1BEFCE5B"/>
    <w:rsid w:val="1C03B193"/>
    <w:rsid w:val="1C1021E7"/>
    <w:rsid w:val="1C48E955"/>
    <w:rsid w:val="1CC8CE55"/>
    <w:rsid w:val="1CF743C7"/>
    <w:rsid w:val="1D703F7E"/>
    <w:rsid w:val="1D72B9EC"/>
    <w:rsid w:val="1D9C3F39"/>
    <w:rsid w:val="1DA1722A"/>
    <w:rsid w:val="1DBF733A"/>
    <w:rsid w:val="1DF909E2"/>
    <w:rsid w:val="1E0F1186"/>
    <w:rsid w:val="1E10B02A"/>
    <w:rsid w:val="1E278EE1"/>
    <w:rsid w:val="1E29C842"/>
    <w:rsid w:val="1E50D28A"/>
    <w:rsid w:val="1E7A8881"/>
    <w:rsid w:val="1EAB39ED"/>
    <w:rsid w:val="1EF3C17A"/>
    <w:rsid w:val="1F0CDA4A"/>
    <w:rsid w:val="1F348E8A"/>
    <w:rsid w:val="1F36F014"/>
    <w:rsid w:val="1F619F32"/>
    <w:rsid w:val="1F7C4C76"/>
    <w:rsid w:val="1F7E307E"/>
    <w:rsid w:val="1F9CDDB0"/>
    <w:rsid w:val="1FA936DA"/>
    <w:rsid w:val="1FDCADC9"/>
    <w:rsid w:val="2043E7FE"/>
    <w:rsid w:val="20908DD6"/>
    <w:rsid w:val="20A39270"/>
    <w:rsid w:val="20E4F27A"/>
    <w:rsid w:val="2102685D"/>
    <w:rsid w:val="2117EFDD"/>
    <w:rsid w:val="2149E683"/>
    <w:rsid w:val="214C1A32"/>
    <w:rsid w:val="2151F5A4"/>
    <w:rsid w:val="21AA0C7F"/>
    <w:rsid w:val="21AB53BB"/>
    <w:rsid w:val="21AD3337"/>
    <w:rsid w:val="21BFA180"/>
    <w:rsid w:val="21C309DA"/>
    <w:rsid w:val="21DA68DB"/>
    <w:rsid w:val="21DF5DC2"/>
    <w:rsid w:val="22090F29"/>
    <w:rsid w:val="2217BD0B"/>
    <w:rsid w:val="223859DA"/>
    <w:rsid w:val="224CBA23"/>
    <w:rsid w:val="22547CD7"/>
    <w:rsid w:val="2256D11C"/>
    <w:rsid w:val="2282732B"/>
    <w:rsid w:val="228D6313"/>
    <w:rsid w:val="229D187E"/>
    <w:rsid w:val="22BEBCBB"/>
    <w:rsid w:val="22D2DC0C"/>
    <w:rsid w:val="2306BFB8"/>
    <w:rsid w:val="2314A3BA"/>
    <w:rsid w:val="233CFAB5"/>
    <w:rsid w:val="233FAA64"/>
    <w:rsid w:val="235093C3"/>
    <w:rsid w:val="235C9793"/>
    <w:rsid w:val="236D4CE7"/>
    <w:rsid w:val="2372E535"/>
    <w:rsid w:val="237A6AC3"/>
    <w:rsid w:val="239B5C3A"/>
    <w:rsid w:val="23A5A584"/>
    <w:rsid w:val="23B610AC"/>
    <w:rsid w:val="23B74542"/>
    <w:rsid w:val="23D95B13"/>
    <w:rsid w:val="240C7BAF"/>
    <w:rsid w:val="242C6FA9"/>
    <w:rsid w:val="2444A99D"/>
    <w:rsid w:val="24A06A60"/>
    <w:rsid w:val="24A8E4E1"/>
    <w:rsid w:val="24B38BB6"/>
    <w:rsid w:val="24BCE855"/>
    <w:rsid w:val="24D63011"/>
    <w:rsid w:val="24F8825B"/>
    <w:rsid w:val="2507A45C"/>
    <w:rsid w:val="253581F3"/>
    <w:rsid w:val="256416CF"/>
    <w:rsid w:val="25B8B993"/>
    <w:rsid w:val="25D2D344"/>
    <w:rsid w:val="25DD6A11"/>
    <w:rsid w:val="260431F2"/>
    <w:rsid w:val="261F8499"/>
    <w:rsid w:val="2656F63E"/>
    <w:rsid w:val="2662A0FA"/>
    <w:rsid w:val="2672801D"/>
    <w:rsid w:val="2686A7C4"/>
    <w:rsid w:val="269C2D1C"/>
    <w:rsid w:val="26BE69AF"/>
    <w:rsid w:val="26ED1A9D"/>
    <w:rsid w:val="270F3044"/>
    <w:rsid w:val="272A505D"/>
    <w:rsid w:val="273C6C5E"/>
    <w:rsid w:val="27413B94"/>
    <w:rsid w:val="2750DB21"/>
    <w:rsid w:val="277218F3"/>
    <w:rsid w:val="27D134ED"/>
    <w:rsid w:val="27F11228"/>
    <w:rsid w:val="27F76D24"/>
    <w:rsid w:val="280DD427"/>
    <w:rsid w:val="2810302F"/>
    <w:rsid w:val="28157CC0"/>
    <w:rsid w:val="28174E29"/>
    <w:rsid w:val="28245F03"/>
    <w:rsid w:val="2843156D"/>
    <w:rsid w:val="286010E8"/>
    <w:rsid w:val="2885B897"/>
    <w:rsid w:val="28AD7E20"/>
    <w:rsid w:val="28BDCF1B"/>
    <w:rsid w:val="28D4A28F"/>
    <w:rsid w:val="28D9EFD8"/>
    <w:rsid w:val="28E162E4"/>
    <w:rsid w:val="28F686D0"/>
    <w:rsid w:val="29319C6F"/>
    <w:rsid w:val="29652E36"/>
    <w:rsid w:val="297DEF19"/>
    <w:rsid w:val="29957181"/>
    <w:rsid w:val="29CA6377"/>
    <w:rsid w:val="29DC4F6C"/>
    <w:rsid w:val="2A027EB2"/>
    <w:rsid w:val="2A050529"/>
    <w:rsid w:val="2A3D4381"/>
    <w:rsid w:val="2A5B1A9F"/>
    <w:rsid w:val="2AA34D6C"/>
    <w:rsid w:val="2AAA3950"/>
    <w:rsid w:val="2AB0838E"/>
    <w:rsid w:val="2ABD9851"/>
    <w:rsid w:val="2AE74594"/>
    <w:rsid w:val="2B3B7761"/>
    <w:rsid w:val="2B56B2AA"/>
    <w:rsid w:val="2B675529"/>
    <w:rsid w:val="2B68F375"/>
    <w:rsid w:val="2BCFB093"/>
    <w:rsid w:val="2C1FE4A7"/>
    <w:rsid w:val="2C33C2C1"/>
    <w:rsid w:val="2C3FEF20"/>
    <w:rsid w:val="2C6B2BDC"/>
    <w:rsid w:val="2C70DA79"/>
    <w:rsid w:val="2C72BF2B"/>
    <w:rsid w:val="2C97D54E"/>
    <w:rsid w:val="2CB3FAF5"/>
    <w:rsid w:val="2CB5BC91"/>
    <w:rsid w:val="2CC8F987"/>
    <w:rsid w:val="2CD163D3"/>
    <w:rsid w:val="2D038763"/>
    <w:rsid w:val="2D1A3521"/>
    <w:rsid w:val="2D300B67"/>
    <w:rsid w:val="2D5C6525"/>
    <w:rsid w:val="2D6F567A"/>
    <w:rsid w:val="2D739C68"/>
    <w:rsid w:val="2D744950"/>
    <w:rsid w:val="2D93AE68"/>
    <w:rsid w:val="2D9E52C7"/>
    <w:rsid w:val="2DC9ADA2"/>
    <w:rsid w:val="2DD25682"/>
    <w:rsid w:val="2DD6D149"/>
    <w:rsid w:val="2DF22C2A"/>
    <w:rsid w:val="2DF9BC04"/>
    <w:rsid w:val="2E0E8F8C"/>
    <w:rsid w:val="2E191E96"/>
    <w:rsid w:val="2E413B32"/>
    <w:rsid w:val="2E63A37E"/>
    <w:rsid w:val="2E706B61"/>
    <w:rsid w:val="2E7C69D4"/>
    <w:rsid w:val="2E7CFED0"/>
    <w:rsid w:val="2E8334B9"/>
    <w:rsid w:val="2E85B62E"/>
    <w:rsid w:val="2EA32C66"/>
    <w:rsid w:val="2EAB181A"/>
    <w:rsid w:val="2EB53909"/>
    <w:rsid w:val="2EB87948"/>
    <w:rsid w:val="2EF90CF3"/>
    <w:rsid w:val="2F176113"/>
    <w:rsid w:val="2F25A973"/>
    <w:rsid w:val="2F38D6D4"/>
    <w:rsid w:val="2F57C3FD"/>
    <w:rsid w:val="2F6C6C40"/>
    <w:rsid w:val="2F7DFDFE"/>
    <w:rsid w:val="2F81965E"/>
    <w:rsid w:val="2F921170"/>
    <w:rsid w:val="2FB368BF"/>
    <w:rsid w:val="2FF01C79"/>
    <w:rsid w:val="30124077"/>
    <w:rsid w:val="3023C1BF"/>
    <w:rsid w:val="30275DC6"/>
    <w:rsid w:val="302F5C80"/>
    <w:rsid w:val="303C1EEE"/>
    <w:rsid w:val="305CB7EF"/>
    <w:rsid w:val="30B69EA9"/>
    <w:rsid w:val="30BB1FB6"/>
    <w:rsid w:val="30FDF0FF"/>
    <w:rsid w:val="3106F9A3"/>
    <w:rsid w:val="310DD77C"/>
    <w:rsid w:val="311F98CC"/>
    <w:rsid w:val="31413F78"/>
    <w:rsid w:val="3146304E"/>
    <w:rsid w:val="3147B474"/>
    <w:rsid w:val="31681C2B"/>
    <w:rsid w:val="319A87C0"/>
    <w:rsid w:val="319E3525"/>
    <w:rsid w:val="31B31C78"/>
    <w:rsid w:val="31D73BA2"/>
    <w:rsid w:val="31FB57F8"/>
    <w:rsid w:val="321C3CE7"/>
    <w:rsid w:val="3221DC8D"/>
    <w:rsid w:val="32265BCB"/>
    <w:rsid w:val="323090A3"/>
    <w:rsid w:val="325B4DE1"/>
    <w:rsid w:val="325E6C21"/>
    <w:rsid w:val="3260C0CF"/>
    <w:rsid w:val="3262D457"/>
    <w:rsid w:val="32EF544F"/>
    <w:rsid w:val="330D7819"/>
    <w:rsid w:val="332FE238"/>
    <w:rsid w:val="33348706"/>
    <w:rsid w:val="33354E35"/>
    <w:rsid w:val="334CE08A"/>
    <w:rsid w:val="3379EE9C"/>
    <w:rsid w:val="339D8AD8"/>
    <w:rsid w:val="339F2BB7"/>
    <w:rsid w:val="33B8A90D"/>
    <w:rsid w:val="33BF8237"/>
    <w:rsid w:val="34199236"/>
    <w:rsid w:val="345012FC"/>
    <w:rsid w:val="3484D41F"/>
    <w:rsid w:val="348BB935"/>
    <w:rsid w:val="34C053F4"/>
    <w:rsid w:val="35292C75"/>
    <w:rsid w:val="3538C702"/>
    <w:rsid w:val="3544FD83"/>
    <w:rsid w:val="356B3820"/>
    <w:rsid w:val="35810E3D"/>
    <w:rsid w:val="35A723CE"/>
    <w:rsid w:val="35E16A0E"/>
    <w:rsid w:val="35E43245"/>
    <w:rsid w:val="363FB644"/>
    <w:rsid w:val="365FE38F"/>
    <w:rsid w:val="366A55CC"/>
    <w:rsid w:val="368F5F84"/>
    <w:rsid w:val="369EF11A"/>
    <w:rsid w:val="36A198C6"/>
    <w:rsid w:val="36A29968"/>
    <w:rsid w:val="36A367D1"/>
    <w:rsid w:val="36A774F4"/>
    <w:rsid w:val="36B7FC80"/>
    <w:rsid w:val="36BD326D"/>
    <w:rsid w:val="36DAED75"/>
    <w:rsid w:val="3703DA00"/>
    <w:rsid w:val="37382284"/>
    <w:rsid w:val="37551247"/>
    <w:rsid w:val="37637B43"/>
    <w:rsid w:val="377B17AA"/>
    <w:rsid w:val="3780B948"/>
    <w:rsid w:val="37842DD2"/>
    <w:rsid w:val="37889AD6"/>
    <w:rsid w:val="37896067"/>
    <w:rsid w:val="378E7B7B"/>
    <w:rsid w:val="37A90BBE"/>
    <w:rsid w:val="37B95544"/>
    <w:rsid w:val="37DC153E"/>
    <w:rsid w:val="37E7C34D"/>
    <w:rsid w:val="38160C18"/>
    <w:rsid w:val="38191FD2"/>
    <w:rsid w:val="382C42DB"/>
    <w:rsid w:val="383E69C9"/>
    <w:rsid w:val="3859F00E"/>
    <w:rsid w:val="385FB5F8"/>
    <w:rsid w:val="386D9B7E"/>
    <w:rsid w:val="38709144"/>
    <w:rsid w:val="388C5D23"/>
    <w:rsid w:val="3895CDFA"/>
    <w:rsid w:val="38A52557"/>
    <w:rsid w:val="38C185C0"/>
    <w:rsid w:val="38C29A62"/>
    <w:rsid w:val="38D45C28"/>
    <w:rsid w:val="38F470AF"/>
    <w:rsid w:val="3902DABC"/>
    <w:rsid w:val="3904A323"/>
    <w:rsid w:val="393B25EA"/>
    <w:rsid w:val="396758B4"/>
    <w:rsid w:val="3980F530"/>
    <w:rsid w:val="39A11EE6"/>
    <w:rsid w:val="39F0B1D7"/>
    <w:rsid w:val="39FF9E9C"/>
    <w:rsid w:val="3A0413D2"/>
    <w:rsid w:val="3A1D917F"/>
    <w:rsid w:val="3A213173"/>
    <w:rsid w:val="3A3C0E9E"/>
    <w:rsid w:val="3A528D82"/>
    <w:rsid w:val="3A63DB24"/>
    <w:rsid w:val="3A6884A6"/>
    <w:rsid w:val="3A74FD66"/>
    <w:rsid w:val="3A8D3F9A"/>
    <w:rsid w:val="3A9B9101"/>
    <w:rsid w:val="3AAE30AA"/>
    <w:rsid w:val="3AB7B459"/>
    <w:rsid w:val="3ABCF7AB"/>
    <w:rsid w:val="3AC11C55"/>
    <w:rsid w:val="3B2EF856"/>
    <w:rsid w:val="3B2FCD9C"/>
    <w:rsid w:val="3B35080D"/>
    <w:rsid w:val="3B3773B8"/>
    <w:rsid w:val="3B3E5A5B"/>
    <w:rsid w:val="3B4C8C84"/>
    <w:rsid w:val="3B6149E8"/>
    <w:rsid w:val="3B638639"/>
    <w:rsid w:val="3B9AF80A"/>
    <w:rsid w:val="3BB07B3F"/>
    <w:rsid w:val="3BC7A7CF"/>
    <w:rsid w:val="3BC7B307"/>
    <w:rsid w:val="3BE854E8"/>
    <w:rsid w:val="3C0E0EF9"/>
    <w:rsid w:val="3C33016B"/>
    <w:rsid w:val="3C34AD3B"/>
    <w:rsid w:val="3C370FE3"/>
    <w:rsid w:val="3C3F1E13"/>
    <w:rsid w:val="3C5C26BD"/>
    <w:rsid w:val="3C8FF73F"/>
    <w:rsid w:val="3CC06EF3"/>
    <w:rsid w:val="3D013B36"/>
    <w:rsid w:val="3D2AFC16"/>
    <w:rsid w:val="3D489884"/>
    <w:rsid w:val="3D6A5E93"/>
    <w:rsid w:val="3D6B6FF1"/>
    <w:rsid w:val="3D75EFE8"/>
    <w:rsid w:val="3DA33978"/>
    <w:rsid w:val="3DCCFFD0"/>
    <w:rsid w:val="3DE2B752"/>
    <w:rsid w:val="3DE487FC"/>
    <w:rsid w:val="3DF00E31"/>
    <w:rsid w:val="3E02282B"/>
    <w:rsid w:val="3E268915"/>
    <w:rsid w:val="3E2DE746"/>
    <w:rsid w:val="3E4AC006"/>
    <w:rsid w:val="3E6491D7"/>
    <w:rsid w:val="3E66AB69"/>
    <w:rsid w:val="3E83EA3D"/>
    <w:rsid w:val="3E999E48"/>
    <w:rsid w:val="3E99A140"/>
    <w:rsid w:val="3EB73D4E"/>
    <w:rsid w:val="3EE468E5"/>
    <w:rsid w:val="3EFB719C"/>
    <w:rsid w:val="3F14CC27"/>
    <w:rsid w:val="3F2C9E3B"/>
    <w:rsid w:val="3F5760F4"/>
    <w:rsid w:val="3F675EA7"/>
    <w:rsid w:val="3F6D8189"/>
    <w:rsid w:val="3FBD7F54"/>
    <w:rsid w:val="3FC0C7CB"/>
    <w:rsid w:val="3FC224D5"/>
    <w:rsid w:val="3FECB2E6"/>
    <w:rsid w:val="40259A19"/>
    <w:rsid w:val="40457D71"/>
    <w:rsid w:val="40505EC7"/>
    <w:rsid w:val="406FE733"/>
    <w:rsid w:val="40706681"/>
    <w:rsid w:val="407DBC63"/>
    <w:rsid w:val="408E2FD8"/>
    <w:rsid w:val="40E2CC30"/>
    <w:rsid w:val="41175EE2"/>
    <w:rsid w:val="41626BD6"/>
    <w:rsid w:val="417AD9BB"/>
    <w:rsid w:val="4187BC42"/>
    <w:rsid w:val="419E2A81"/>
    <w:rsid w:val="41A8958E"/>
    <w:rsid w:val="41E2D7F0"/>
    <w:rsid w:val="41F15ADC"/>
    <w:rsid w:val="41F3791D"/>
    <w:rsid w:val="421837BD"/>
    <w:rsid w:val="421EA031"/>
    <w:rsid w:val="4236148B"/>
    <w:rsid w:val="42401C21"/>
    <w:rsid w:val="42A792A0"/>
    <w:rsid w:val="42C6B00E"/>
    <w:rsid w:val="42D38882"/>
    <w:rsid w:val="431EE0DB"/>
    <w:rsid w:val="4349702C"/>
    <w:rsid w:val="4355C381"/>
    <w:rsid w:val="4358B185"/>
    <w:rsid w:val="438EBB08"/>
    <w:rsid w:val="439C4B62"/>
    <w:rsid w:val="43A6C2D9"/>
    <w:rsid w:val="43BD325A"/>
    <w:rsid w:val="43E0337C"/>
    <w:rsid w:val="43F02E9A"/>
    <w:rsid w:val="43F04AE8"/>
    <w:rsid w:val="43F15ABA"/>
    <w:rsid w:val="43F69854"/>
    <w:rsid w:val="444EF952"/>
    <w:rsid w:val="445F9F87"/>
    <w:rsid w:val="44715C06"/>
    <w:rsid w:val="44847EDC"/>
    <w:rsid w:val="4497192E"/>
    <w:rsid w:val="44B059CB"/>
    <w:rsid w:val="44BEA0CB"/>
    <w:rsid w:val="44CA06C2"/>
    <w:rsid w:val="44F14022"/>
    <w:rsid w:val="44F2EA15"/>
    <w:rsid w:val="44F7A78A"/>
    <w:rsid w:val="4514318D"/>
    <w:rsid w:val="45462DB7"/>
    <w:rsid w:val="45700562"/>
    <w:rsid w:val="4579C3A1"/>
    <w:rsid w:val="457A99E7"/>
    <w:rsid w:val="460034A5"/>
    <w:rsid w:val="4623901D"/>
    <w:rsid w:val="46571EEA"/>
    <w:rsid w:val="467271DA"/>
    <w:rsid w:val="46838797"/>
    <w:rsid w:val="468ACB37"/>
    <w:rsid w:val="46D60A18"/>
    <w:rsid w:val="46F21154"/>
    <w:rsid w:val="470985AF"/>
    <w:rsid w:val="470ADF28"/>
    <w:rsid w:val="4725F62E"/>
    <w:rsid w:val="4727B23B"/>
    <w:rsid w:val="4730770F"/>
    <w:rsid w:val="473D8054"/>
    <w:rsid w:val="478417B7"/>
    <w:rsid w:val="47C3B949"/>
    <w:rsid w:val="47D635B4"/>
    <w:rsid w:val="47E94D8B"/>
    <w:rsid w:val="47EA00A6"/>
    <w:rsid w:val="47F8225B"/>
    <w:rsid w:val="47F94033"/>
    <w:rsid w:val="48515C47"/>
    <w:rsid w:val="4873CD87"/>
    <w:rsid w:val="4893D54F"/>
    <w:rsid w:val="4896F3D3"/>
    <w:rsid w:val="48C7AB4D"/>
    <w:rsid w:val="48D782F0"/>
    <w:rsid w:val="48E0590C"/>
    <w:rsid w:val="48F8084B"/>
    <w:rsid w:val="490C4646"/>
    <w:rsid w:val="492ED74C"/>
    <w:rsid w:val="4930E6DF"/>
    <w:rsid w:val="493D2F4C"/>
    <w:rsid w:val="49701A81"/>
    <w:rsid w:val="49872AED"/>
    <w:rsid w:val="49ABBAC6"/>
    <w:rsid w:val="49B9949A"/>
    <w:rsid w:val="49EE17BD"/>
    <w:rsid w:val="49F2D80E"/>
    <w:rsid w:val="4A067CA5"/>
    <w:rsid w:val="4A1B5B59"/>
    <w:rsid w:val="4A23A348"/>
    <w:rsid w:val="4A2890B9"/>
    <w:rsid w:val="4A388DC4"/>
    <w:rsid w:val="4A59A93C"/>
    <w:rsid w:val="4A60B83A"/>
    <w:rsid w:val="4A633C1C"/>
    <w:rsid w:val="4A845B57"/>
    <w:rsid w:val="4A8F050A"/>
    <w:rsid w:val="4AAD2A96"/>
    <w:rsid w:val="4ACD7675"/>
    <w:rsid w:val="4AF23053"/>
    <w:rsid w:val="4B228E0D"/>
    <w:rsid w:val="4B3C646D"/>
    <w:rsid w:val="4B56E702"/>
    <w:rsid w:val="4B59D848"/>
    <w:rsid w:val="4BA241BA"/>
    <w:rsid w:val="4BC9EFD7"/>
    <w:rsid w:val="4C05E003"/>
    <w:rsid w:val="4C1D87C3"/>
    <w:rsid w:val="4C4BC0F5"/>
    <w:rsid w:val="4C7D279B"/>
    <w:rsid w:val="4C9A3196"/>
    <w:rsid w:val="4CC93102"/>
    <w:rsid w:val="4CD2085E"/>
    <w:rsid w:val="4CDC4FB1"/>
    <w:rsid w:val="4D2A8315"/>
    <w:rsid w:val="4D69EFC3"/>
    <w:rsid w:val="4D735177"/>
    <w:rsid w:val="4D76748A"/>
    <w:rsid w:val="4D77EF2B"/>
    <w:rsid w:val="4D7A61FE"/>
    <w:rsid w:val="4D86179D"/>
    <w:rsid w:val="4DFFAF27"/>
    <w:rsid w:val="4E197A6F"/>
    <w:rsid w:val="4E6131A3"/>
    <w:rsid w:val="4EA62435"/>
    <w:rsid w:val="4ECCEDE3"/>
    <w:rsid w:val="4ED21429"/>
    <w:rsid w:val="4ED4AA62"/>
    <w:rsid w:val="4EDD97EC"/>
    <w:rsid w:val="4EE66897"/>
    <w:rsid w:val="4F0B8541"/>
    <w:rsid w:val="4F2EE6D7"/>
    <w:rsid w:val="4F30B7D1"/>
    <w:rsid w:val="4F5A1337"/>
    <w:rsid w:val="4F73395F"/>
    <w:rsid w:val="4F9D77DB"/>
    <w:rsid w:val="4FA490F2"/>
    <w:rsid w:val="4FB8EA06"/>
    <w:rsid w:val="4FC630B5"/>
    <w:rsid w:val="4FC85E12"/>
    <w:rsid w:val="4FDC3106"/>
    <w:rsid w:val="4FEA1BF1"/>
    <w:rsid w:val="4FF70A70"/>
    <w:rsid w:val="4FFE156C"/>
    <w:rsid w:val="50626571"/>
    <w:rsid w:val="5082DB89"/>
    <w:rsid w:val="508CF97D"/>
    <w:rsid w:val="5091DEE0"/>
    <w:rsid w:val="50C3ED80"/>
    <w:rsid w:val="50DCD95B"/>
    <w:rsid w:val="510397F4"/>
    <w:rsid w:val="5111E12A"/>
    <w:rsid w:val="5123B305"/>
    <w:rsid w:val="5131CFB0"/>
    <w:rsid w:val="515162E5"/>
    <w:rsid w:val="516CAD51"/>
    <w:rsid w:val="5176E82F"/>
    <w:rsid w:val="51972DB5"/>
    <w:rsid w:val="519B8310"/>
    <w:rsid w:val="51ACF33D"/>
    <w:rsid w:val="51EB53FA"/>
    <w:rsid w:val="51EC36CC"/>
    <w:rsid w:val="52162CCB"/>
    <w:rsid w:val="521D89B9"/>
    <w:rsid w:val="523B4FC1"/>
    <w:rsid w:val="5291A929"/>
    <w:rsid w:val="529260FF"/>
    <w:rsid w:val="52ABAC4E"/>
    <w:rsid w:val="52CA9A73"/>
    <w:rsid w:val="52EF98F2"/>
    <w:rsid w:val="52F38800"/>
    <w:rsid w:val="531FD97F"/>
    <w:rsid w:val="5342D9DE"/>
    <w:rsid w:val="5348F737"/>
    <w:rsid w:val="534DC1C7"/>
    <w:rsid w:val="5350CFA5"/>
    <w:rsid w:val="5350ED59"/>
    <w:rsid w:val="5354F8F0"/>
    <w:rsid w:val="53580C32"/>
    <w:rsid w:val="535C1B57"/>
    <w:rsid w:val="53843CB3"/>
    <w:rsid w:val="5387A69E"/>
    <w:rsid w:val="539D039A"/>
    <w:rsid w:val="53C60DB1"/>
    <w:rsid w:val="540304BC"/>
    <w:rsid w:val="540CAB80"/>
    <w:rsid w:val="54818736"/>
    <w:rsid w:val="5492B9E5"/>
    <w:rsid w:val="54B220D7"/>
    <w:rsid w:val="54C629F1"/>
    <w:rsid w:val="54C84BFB"/>
    <w:rsid w:val="54CDB204"/>
    <w:rsid w:val="55088E3F"/>
    <w:rsid w:val="552151D5"/>
    <w:rsid w:val="5575220E"/>
    <w:rsid w:val="557B915B"/>
    <w:rsid w:val="557E5C3E"/>
    <w:rsid w:val="55BC7CD4"/>
    <w:rsid w:val="55C0DFA4"/>
    <w:rsid w:val="55C520E9"/>
    <w:rsid w:val="55CA01C1"/>
    <w:rsid w:val="55D851FF"/>
    <w:rsid w:val="56367992"/>
    <w:rsid w:val="5646FF53"/>
    <w:rsid w:val="567AE0EE"/>
    <w:rsid w:val="567EFE14"/>
    <w:rsid w:val="56EE72C1"/>
    <w:rsid w:val="570CD469"/>
    <w:rsid w:val="5731829D"/>
    <w:rsid w:val="575CEB86"/>
    <w:rsid w:val="57888976"/>
    <w:rsid w:val="58257C5F"/>
    <w:rsid w:val="58509A41"/>
    <w:rsid w:val="58956444"/>
    <w:rsid w:val="5898256F"/>
    <w:rsid w:val="589EEDE0"/>
    <w:rsid w:val="58A40738"/>
    <w:rsid w:val="58AD1906"/>
    <w:rsid w:val="58CCAE8C"/>
    <w:rsid w:val="58CDBAE1"/>
    <w:rsid w:val="591FE37D"/>
    <w:rsid w:val="594F784A"/>
    <w:rsid w:val="596D8B5F"/>
    <w:rsid w:val="596E3FCE"/>
    <w:rsid w:val="5983C4A0"/>
    <w:rsid w:val="598852FC"/>
    <w:rsid w:val="599D6FA9"/>
    <w:rsid w:val="59B67AA5"/>
    <w:rsid w:val="59F072FF"/>
    <w:rsid w:val="5A06DAFF"/>
    <w:rsid w:val="5A4A0725"/>
    <w:rsid w:val="5A6160F7"/>
    <w:rsid w:val="5A9D6722"/>
    <w:rsid w:val="5AA4EBA2"/>
    <w:rsid w:val="5AA5FAD6"/>
    <w:rsid w:val="5AAB729E"/>
    <w:rsid w:val="5AB53A7B"/>
    <w:rsid w:val="5AE360E4"/>
    <w:rsid w:val="5B171526"/>
    <w:rsid w:val="5B781B75"/>
    <w:rsid w:val="5B91649D"/>
    <w:rsid w:val="5B91AF2D"/>
    <w:rsid w:val="5B9BED7F"/>
    <w:rsid w:val="5BB2935F"/>
    <w:rsid w:val="5BB5B798"/>
    <w:rsid w:val="5BE109FE"/>
    <w:rsid w:val="5C2AE65A"/>
    <w:rsid w:val="5C408505"/>
    <w:rsid w:val="5C56BB66"/>
    <w:rsid w:val="5C76218F"/>
    <w:rsid w:val="5CB1FF28"/>
    <w:rsid w:val="5CB78A6A"/>
    <w:rsid w:val="5CC225D5"/>
    <w:rsid w:val="5CCF6934"/>
    <w:rsid w:val="5D066D87"/>
    <w:rsid w:val="5D439A27"/>
    <w:rsid w:val="5D8420DC"/>
    <w:rsid w:val="5E03C5C6"/>
    <w:rsid w:val="5E1D9C37"/>
    <w:rsid w:val="5E3CBF08"/>
    <w:rsid w:val="5E3DBDA8"/>
    <w:rsid w:val="5E5033E1"/>
    <w:rsid w:val="5E518FDD"/>
    <w:rsid w:val="5E68C48C"/>
    <w:rsid w:val="5E7A476F"/>
    <w:rsid w:val="5E936C2C"/>
    <w:rsid w:val="5E96870F"/>
    <w:rsid w:val="5EB1F941"/>
    <w:rsid w:val="5EB2BDA6"/>
    <w:rsid w:val="5EB7E796"/>
    <w:rsid w:val="5EF0BC3D"/>
    <w:rsid w:val="5F1AE873"/>
    <w:rsid w:val="5F1B3489"/>
    <w:rsid w:val="5F1F8AB7"/>
    <w:rsid w:val="5F57E9ED"/>
    <w:rsid w:val="5F5E776C"/>
    <w:rsid w:val="5F935266"/>
    <w:rsid w:val="5FA0F9E9"/>
    <w:rsid w:val="5FA3BB2C"/>
    <w:rsid w:val="5FC1442E"/>
    <w:rsid w:val="5FCFBC5A"/>
    <w:rsid w:val="5FDB0A7E"/>
    <w:rsid w:val="5FDE07D9"/>
    <w:rsid w:val="5FEA3363"/>
    <w:rsid w:val="5FF1BA2C"/>
    <w:rsid w:val="5FFD3467"/>
    <w:rsid w:val="5FFE922D"/>
    <w:rsid w:val="6041939F"/>
    <w:rsid w:val="605F22AD"/>
    <w:rsid w:val="61042EBC"/>
    <w:rsid w:val="6117FD89"/>
    <w:rsid w:val="617397D1"/>
    <w:rsid w:val="618180AD"/>
    <w:rsid w:val="6187D467"/>
    <w:rsid w:val="61921D60"/>
    <w:rsid w:val="61A355DE"/>
    <w:rsid w:val="61C1E34C"/>
    <w:rsid w:val="61ECF932"/>
    <w:rsid w:val="623084C3"/>
    <w:rsid w:val="624376B7"/>
    <w:rsid w:val="6248277A"/>
    <w:rsid w:val="6250434A"/>
    <w:rsid w:val="627C0357"/>
    <w:rsid w:val="6290250B"/>
    <w:rsid w:val="62B3AA01"/>
    <w:rsid w:val="62BB4FC3"/>
    <w:rsid w:val="62BC9E5D"/>
    <w:rsid w:val="62C0818A"/>
    <w:rsid w:val="62F850EB"/>
    <w:rsid w:val="6315DFD7"/>
    <w:rsid w:val="631A3CE2"/>
    <w:rsid w:val="63219880"/>
    <w:rsid w:val="632C12B1"/>
    <w:rsid w:val="632C3472"/>
    <w:rsid w:val="632C9211"/>
    <w:rsid w:val="63740A53"/>
    <w:rsid w:val="63EA3E56"/>
    <w:rsid w:val="6410CF93"/>
    <w:rsid w:val="64235EB6"/>
    <w:rsid w:val="642CE20C"/>
    <w:rsid w:val="6431C170"/>
    <w:rsid w:val="6445D3B6"/>
    <w:rsid w:val="6445F8A6"/>
    <w:rsid w:val="647830B8"/>
    <w:rsid w:val="648C885F"/>
    <w:rsid w:val="64AA8F7E"/>
    <w:rsid w:val="64D5BDF9"/>
    <w:rsid w:val="64D713B6"/>
    <w:rsid w:val="65032203"/>
    <w:rsid w:val="6509F378"/>
    <w:rsid w:val="655E68B3"/>
    <w:rsid w:val="6584B1A4"/>
    <w:rsid w:val="65A39EDB"/>
    <w:rsid w:val="65DF2DCF"/>
    <w:rsid w:val="6629521B"/>
    <w:rsid w:val="6640F73C"/>
    <w:rsid w:val="665BDDAC"/>
    <w:rsid w:val="66A4A818"/>
    <w:rsid w:val="66BCCF29"/>
    <w:rsid w:val="66D00BB9"/>
    <w:rsid w:val="66F1C26E"/>
    <w:rsid w:val="672C294C"/>
    <w:rsid w:val="67443A1D"/>
    <w:rsid w:val="6752A319"/>
    <w:rsid w:val="6754029F"/>
    <w:rsid w:val="6765D500"/>
    <w:rsid w:val="6766EB8C"/>
    <w:rsid w:val="678A7A10"/>
    <w:rsid w:val="67A0F8F0"/>
    <w:rsid w:val="67AFFF99"/>
    <w:rsid w:val="67C1B276"/>
    <w:rsid w:val="67C407EA"/>
    <w:rsid w:val="67DFE0D9"/>
    <w:rsid w:val="681E5A6A"/>
    <w:rsid w:val="683E78A0"/>
    <w:rsid w:val="68418C70"/>
    <w:rsid w:val="687E65E2"/>
    <w:rsid w:val="68A0432F"/>
    <w:rsid w:val="68BA25F2"/>
    <w:rsid w:val="68C13CEF"/>
    <w:rsid w:val="68CEF5E8"/>
    <w:rsid w:val="68EA1404"/>
    <w:rsid w:val="6909E60A"/>
    <w:rsid w:val="691FB3D3"/>
    <w:rsid w:val="691FE9C3"/>
    <w:rsid w:val="695486A4"/>
    <w:rsid w:val="69CA18C6"/>
    <w:rsid w:val="69FD6210"/>
    <w:rsid w:val="6A4E6404"/>
    <w:rsid w:val="6A6B6702"/>
    <w:rsid w:val="6A75FF2F"/>
    <w:rsid w:val="6A9716B1"/>
    <w:rsid w:val="6A9FE216"/>
    <w:rsid w:val="6AA8CF63"/>
    <w:rsid w:val="6ACB936F"/>
    <w:rsid w:val="6ADA84D6"/>
    <w:rsid w:val="6AE5D396"/>
    <w:rsid w:val="6B0B807E"/>
    <w:rsid w:val="6B7071B8"/>
    <w:rsid w:val="6B80F2E6"/>
    <w:rsid w:val="6B895985"/>
    <w:rsid w:val="6B8A8AD1"/>
    <w:rsid w:val="6B9472F0"/>
    <w:rsid w:val="6B9C19DA"/>
    <w:rsid w:val="6C155EFC"/>
    <w:rsid w:val="6C273439"/>
    <w:rsid w:val="6C2AFAFB"/>
    <w:rsid w:val="6C3D7F90"/>
    <w:rsid w:val="6C59067B"/>
    <w:rsid w:val="6C5DF5F0"/>
    <w:rsid w:val="6C6CD2CC"/>
    <w:rsid w:val="6C8C4C06"/>
    <w:rsid w:val="6CB0EAF4"/>
    <w:rsid w:val="6CB136FD"/>
    <w:rsid w:val="6CC657E5"/>
    <w:rsid w:val="6D1A4A95"/>
    <w:rsid w:val="6D1C8446"/>
    <w:rsid w:val="6D206744"/>
    <w:rsid w:val="6D4C66E6"/>
    <w:rsid w:val="6D603376"/>
    <w:rsid w:val="6D62A95A"/>
    <w:rsid w:val="6D7D5D38"/>
    <w:rsid w:val="6DEAD55D"/>
    <w:rsid w:val="6E02F548"/>
    <w:rsid w:val="6E0393D7"/>
    <w:rsid w:val="6E497F93"/>
    <w:rsid w:val="6E5A5AD0"/>
    <w:rsid w:val="6E702288"/>
    <w:rsid w:val="6EA367A4"/>
    <w:rsid w:val="6EBEAE7C"/>
    <w:rsid w:val="6EFE172D"/>
    <w:rsid w:val="6F17BF3A"/>
    <w:rsid w:val="6F3A62BB"/>
    <w:rsid w:val="6F3C6C39"/>
    <w:rsid w:val="6F76AACD"/>
    <w:rsid w:val="6FCF1FE3"/>
    <w:rsid w:val="70036DD6"/>
    <w:rsid w:val="704A4004"/>
    <w:rsid w:val="708F3D4E"/>
    <w:rsid w:val="70C78BFC"/>
    <w:rsid w:val="70CC1A1E"/>
    <w:rsid w:val="7142C279"/>
    <w:rsid w:val="715499F1"/>
    <w:rsid w:val="717CF5BD"/>
    <w:rsid w:val="71A7C34A"/>
    <w:rsid w:val="71BB157D"/>
    <w:rsid w:val="71C99060"/>
    <w:rsid w:val="71CB5C0E"/>
    <w:rsid w:val="71CD92D9"/>
    <w:rsid w:val="71D7A4FA"/>
    <w:rsid w:val="71F17042"/>
    <w:rsid w:val="722E97E6"/>
    <w:rsid w:val="72408929"/>
    <w:rsid w:val="726BD175"/>
    <w:rsid w:val="726F1768"/>
    <w:rsid w:val="7291BBDC"/>
    <w:rsid w:val="729DA0BC"/>
    <w:rsid w:val="72C60AA7"/>
    <w:rsid w:val="731F0F65"/>
    <w:rsid w:val="734393AB"/>
    <w:rsid w:val="734905B1"/>
    <w:rsid w:val="737B31DE"/>
    <w:rsid w:val="738A1DAB"/>
    <w:rsid w:val="73976C39"/>
    <w:rsid w:val="739C8C9D"/>
    <w:rsid w:val="73A609E1"/>
    <w:rsid w:val="7404066F"/>
    <w:rsid w:val="74169109"/>
    <w:rsid w:val="74531EAF"/>
    <w:rsid w:val="7454A596"/>
    <w:rsid w:val="74735F82"/>
    <w:rsid w:val="7491B4B9"/>
    <w:rsid w:val="74B4F20B"/>
    <w:rsid w:val="74C70E08"/>
    <w:rsid w:val="74CE470D"/>
    <w:rsid w:val="74EBD1B4"/>
    <w:rsid w:val="74FD924E"/>
    <w:rsid w:val="7524CD4B"/>
    <w:rsid w:val="753F7338"/>
    <w:rsid w:val="75CC9F69"/>
    <w:rsid w:val="75ED168B"/>
    <w:rsid w:val="75FCDCF0"/>
    <w:rsid w:val="760E28BE"/>
    <w:rsid w:val="76115F58"/>
    <w:rsid w:val="76457CE3"/>
    <w:rsid w:val="76502772"/>
    <w:rsid w:val="76676297"/>
    <w:rsid w:val="769BBFFD"/>
    <w:rsid w:val="76A4CDE3"/>
    <w:rsid w:val="76C7B999"/>
    <w:rsid w:val="770F071F"/>
    <w:rsid w:val="7728F82E"/>
    <w:rsid w:val="7752FC10"/>
    <w:rsid w:val="776A5A7D"/>
    <w:rsid w:val="776EF760"/>
    <w:rsid w:val="77A1A963"/>
    <w:rsid w:val="77AAAB42"/>
    <w:rsid w:val="77DA0DE3"/>
    <w:rsid w:val="77DDA979"/>
    <w:rsid w:val="77DE73AC"/>
    <w:rsid w:val="77E93B63"/>
    <w:rsid w:val="78075866"/>
    <w:rsid w:val="78965249"/>
    <w:rsid w:val="78991791"/>
    <w:rsid w:val="78A486DE"/>
    <w:rsid w:val="78A7829E"/>
    <w:rsid w:val="78DD2800"/>
    <w:rsid w:val="79193722"/>
    <w:rsid w:val="7927178A"/>
    <w:rsid w:val="794AF816"/>
    <w:rsid w:val="795FD843"/>
    <w:rsid w:val="798270CC"/>
    <w:rsid w:val="798F1B19"/>
    <w:rsid w:val="7999B5AE"/>
    <w:rsid w:val="79B2E683"/>
    <w:rsid w:val="79DFB5B2"/>
    <w:rsid w:val="7A0D75C9"/>
    <w:rsid w:val="7A1E6E5E"/>
    <w:rsid w:val="7A300C50"/>
    <w:rsid w:val="7A4CB98E"/>
    <w:rsid w:val="7A9261AB"/>
    <w:rsid w:val="7AA2E1EE"/>
    <w:rsid w:val="7AA69822"/>
    <w:rsid w:val="7AC88B00"/>
    <w:rsid w:val="7AC8F2C4"/>
    <w:rsid w:val="7AE78C2B"/>
    <w:rsid w:val="7AE9A4BF"/>
    <w:rsid w:val="7B1AB96C"/>
    <w:rsid w:val="7B24953A"/>
    <w:rsid w:val="7B6FDBA2"/>
    <w:rsid w:val="7BCF7ACD"/>
    <w:rsid w:val="7BD67821"/>
    <w:rsid w:val="7C04080A"/>
    <w:rsid w:val="7C08709F"/>
    <w:rsid w:val="7C0E6939"/>
    <w:rsid w:val="7C1E7182"/>
    <w:rsid w:val="7C5A5CBC"/>
    <w:rsid w:val="7C63CE16"/>
    <w:rsid w:val="7C941E97"/>
    <w:rsid w:val="7CAB533B"/>
    <w:rsid w:val="7CAC91DA"/>
    <w:rsid w:val="7CFC692A"/>
    <w:rsid w:val="7D0DA451"/>
    <w:rsid w:val="7D1540EF"/>
    <w:rsid w:val="7D311E5C"/>
    <w:rsid w:val="7D31A1E8"/>
    <w:rsid w:val="7D39C951"/>
    <w:rsid w:val="7D4087B1"/>
    <w:rsid w:val="7D75B12E"/>
    <w:rsid w:val="7DBF207D"/>
    <w:rsid w:val="7DC6FA09"/>
    <w:rsid w:val="7E04238F"/>
    <w:rsid w:val="7E11C710"/>
    <w:rsid w:val="7E1B2D45"/>
    <w:rsid w:val="7E206854"/>
    <w:rsid w:val="7E43B121"/>
    <w:rsid w:val="7E784BD0"/>
    <w:rsid w:val="7EA43440"/>
    <w:rsid w:val="7EAF0893"/>
    <w:rsid w:val="7F5687B1"/>
    <w:rsid w:val="7F5C9DDA"/>
    <w:rsid w:val="7F604B0D"/>
    <w:rsid w:val="7F67311F"/>
    <w:rsid w:val="7F824A12"/>
    <w:rsid w:val="7F8CF323"/>
    <w:rsid w:val="7FBF1E87"/>
    <w:rsid w:val="7FC055E8"/>
    <w:rsid w:val="7FC52215"/>
    <w:rsid w:val="7FF67F1F"/>
    <w:rsid w:val="7FFEE7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CB8E6"/>
  <w15:docId w15:val="{F38A0A6A-84C8-40A8-8165-74BFE546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sz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20"/>
      <w:outlineLvl w:val="0"/>
    </w:pPr>
    <w:rPr>
      <w:b/>
      <w:bCs/>
      <w:sz w:val="28"/>
      <w:szCs w:val="28"/>
    </w:rPr>
  </w:style>
  <w:style w:type="paragraph" w:styleId="Heading2">
    <w:name w:val="heading 2"/>
    <w:basedOn w:val="Normal"/>
    <w:uiPriority w:val="9"/>
    <w:unhideWhenUsed/>
    <w:qFormat/>
    <w:pPr>
      <w:spacing w:before="76"/>
      <w:ind w:left="220"/>
      <w:outlineLvl w:val="1"/>
    </w:pPr>
    <w:rPr>
      <w:sz w:val="28"/>
      <w:szCs w:val="28"/>
    </w:rPr>
  </w:style>
  <w:style w:type="paragraph" w:styleId="Heading3">
    <w:name w:val="heading 3"/>
    <w:basedOn w:val="Normal"/>
    <w:uiPriority w:val="9"/>
    <w:unhideWhenUsed/>
    <w:qFormat/>
    <w:pPr>
      <w:spacing w:line="279" w:lineRule="exact"/>
      <w:ind w:left="220"/>
      <w:outlineLvl w:val="2"/>
    </w:pPr>
    <w:rPr>
      <w:sz w:val="25"/>
      <w:szCs w:val="25"/>
    </w:rPr>
  </w:style>
  <w:style w:type="paragraph" w:styleId="Heading4">
    <w:name w:val="heading 4"/>
    <w:basedOn w:val="Normal"/>
    <w:uiPriority w:val="9"/>
    <w:unhideWhenUsed/>
    <w:qFormat/>
    <w:pPr>
      <w:spacing w:line="269" w:lineRule="exact"/>
      <w:ind w:left="220"/>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6"/>
      <w:ind w:left="220"/>
    </w:pPr>
  </w:style>
  <w:style w:type="paragraph" w:styleId="BodyText">
    <w:name w:val="Body Text"/>
    <w:basedOn w:val="Normal"/>
    <w:link w:val="BodyTextChar"/>
    <w:uiPriority w:val="1"/>
    <w:qFormat/>
    <w:rPr>
      <w:szCs w:val="24"/>
    </w:rPr>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pPr>
      <w:ind w:left="107"/>
    </w:pPr>
  </w:style>
  <w:style w:type="paragraph" w:styleId="NoSpacing">
    <w:name w:val="No Spacing"/>
    <w:uiPriority w:val="1"/>
    <w:qFormat/>
    <w:rsid w:val="00DE2FE1"/>
    <w:rPr>
      <w:rFonts w:ascii="Garamond" w:eastAsia="Garamond" w:hAnsi="Garamond" w:cs="Garamond"/>
      <w:lang w:bidi="en-US"/>
    </w:rPr>
  </w:style>
  <w:style w:type="paragraph" w:styleId="FootnoteText">
    <w:name w:val="footnote text"/>
    <w:basedOn w:val="Normal"/>
    <w:link w:val="FootnoteTextChar"/>
    <w:uiPriority w:val="99"/>
    <w:unhideWhenUsed/>
    <w:rsid w:val="00C249D9"/>
    <w:rPr>
      <w:sz w:val="20"/>
    </w:rPr>
  </w:style>
  <w:style w:type="character" w:customStyle="1" w:styleId="FootnoteTextChar">
    <w:name w:val="Footnote Text Char"/>
    <w:basedOn w:val="DefaultParagraphFont"/>
    <w:link w:val="FootnoteText"/>
    <w:uiPriority w:val="99"/>
    <w:rsid w:val="00C249D9"/>
    <w:rPr>
      <w:rFonts w:ascii="Garamond" w:eastAsia="Garamond" w:hAnsi="Garamond" w:cs="Garamond"/>
      <w:sz w:val="20"/>
      <w:szCs w:val="20"/>
      <w:lang w:bidi="en-US"/>
    </w:rPr>
  </w:style>
  <w:style w:type="character" w:styleId="FootnoteReference">
    <w:name w:val="footnote reference"/>
    <w:basedOn w:val="DefaultParagraphFont"/>
    <w:uiPriority w:val="99"/>
    <w:unhideWhenUsed/>
    <w:rsid w:val="00C249D9"/>
    <w:rPr>
      <w:vertAlign w:val="superscript"/>
    </w:rPr>
  </w:style>
  <w:style w:type="character" w:styleId="Hyperlink">
    <w:name w:val="Hyperlink"/>
    <w:basedOn w:val="DefaultParagraphFont"/>
    <w:uiPriority w:val="99"/>
    <w:unhideWhenUsed/>
    <w:rsid w:val="0088053D"/>
    <w:rPr>
      <w:color w:val="0000FF" w:themeColor="hyperlink"/>
      <w:u w:val="single"/>
    </w:rPr>
  </w:style>
  <w:style w:type="character" w:styleId="UnresolvedMention">
    <w:name w:val="Unresolved Mention"/>
    <w:basedOn w:val="DefaultParagraphFont"/>
    <w:uiPriority w:val="99"/>
    <w:semiHidden/>
    <w:unhideWhenUsed/>
    <w:rsid w:val="0088053D"/>
    <w:rPr>
      <w:color w:val="605E5C"/>
      <w:shd w:val="clear" w:color="auto" w:fill="E1DFDD"/>
    </w:rPr>
  </w:style>
  <w:style w:type="table" w:styleId="TableGrid">
    <w:name w:val="Table Grid"/>
    <w:basedOn w:val="TableNormal"/>
    <w:uiPriority w:val="39"/>
    <w:rsid w:val="00D35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6332"/>
    <w:rPr>
      <w:sz w:val="16"/>
      <w:szCs w:val="16"/>
    </w:rPr>
  </w:style>
  <w:style w:type="paragraph" w:styleId="CommentText">
    <w:name w:val="annotation text"/>
    <w:basedOn w:val="Normal"/>
    <w:link w:val="CommentTextChar"/>
    <w:uiPriority w:val="99"/>
    <w:unhideWhenUsed/>
    <w:rsid w:val="00866332"/>
    <w:rPr>
      <w:sz w:val="20"/>
    </w:rPr>
  </w:style>
  <w:style w:type="character" w:customStyle="1" w:styleId="CommentTextChar">
    <w:name w:val="Comment Text Char"/>
    <w:basedOn w:val="DefaultParagraphFont"/>
    <w:link w:val="CommentText"/>
    <w:uiPriority w:val="99"/>
    <w:rsid w:val="00866332"/>
    <w:rPr>
      <w:rFonts w:ascii="Garamond" w:eastAsia="Garamond" w:hAnsi="Garamond" w:cs="Garamond"/>
      <w:sz w:val="20"/>
      <w:szCs w:val="20"/>
      <w:lang w:bidi="en-US"/>
    </w:rPr>
  </w:style>
  <w:style w:type="paragraph" w:styleId="CommentSubject">
    <w:name w:val="annotation subject"/>
    <w:basedOn w:val="CommentText"/>
    <w:next w:val="CommentText"/>
    <w:link w:val="CommentSubjectChar"/>
    <w:uiPriority w:val="99"/>
    <w:semiHidden/>
    <w:unhideWhenUsed/>
    <w:rsid w:val="00866332"/>
    <w:rPr>
      <w:b/>
      <w:bCs/>
    </w:rPr>
  </w:style>
  <w:style w:type="character" w:customStyle="1" w:styleId="CommentSubjectChar">
    <w:name w:val="Comment Subject Char"/>
    <w:basedOn w:val="CommentTextChar"/>
    <w:link w:val="CommentSubject"/>
    <w:uiPriority w:val="99"/>
    <w:semiHidden/>
    <w:rsid w:val="00866332"/>
    <w:rPr>
      <w:rFonts w:ascii="Garamond" w:eastAsia="Garamond" w:hAnsi="Garamond" w:cs="Garamond"/>
      <w:b/>
      <w:bCs/>
      <w:sz w:val="20"/>
      <w:szCs w:val="20"/>
      <w:lang w:bidi="en-US"/>
    </w:rPr>
  </w:style>
  <w:style w:type="paragraph" w:styleId="BalloonText">
    <w:name w:val="Balloon Text"/>
    <w:basedOn w:val="Normal"/>
    <w:link w:val="BalloonTextChar"/>
    <w:uiPriority w:val="99"/>
    <w:semiHidden/>
    <w:unhideWhenUsed/>
    <w:rsid w:val="00866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332"/>
    <w:rPr>
      <w:rFonts w:ascii="Segoe UI" w:eastAsia="Garamond" w:hAnsi="Segoe UI" w:cs="Segoe UI"/>
      <w:sz w:val="18"/>
      <w:szCs w:val="18"/>
      <w:lang w:bidi="en-US"/>
    </w:rPr>
  </w:style>
  <w:style w:type="paragraph" w:styleId="Header">
    <w:name w:val="header"/>
    <w:basedOn w:val="Normal"/>
    <w:link w:val="HeaderChar"/>
    <w:uiPriority w:val="99"/>
    <w:unhideWhenUsed/>
    <w:rsid w:val="00AB0EB7"/>
    <w:pPr>
      <w:tabs>
        <w:tab w:val="center" w:pos="4680"/>
        <w:tab w:val="right" w:pos="9360"/>
      </w:tabs>
    </w:pPr>
  </w:style>
  <w:style w:type="character" w:customStyle="1" w:styleId="HeaderChar">
    <w:name w:val="Header Char"/>
    <w:basedOn w:val="DefaultParagraphFont"/>
    <w:link w:val="Header"/>
    <w:uiPriority w:val="99"/>
    <w:rsid w:val="00AB0EB7"/>
    <w:rPr>
      <w:rFonts w:ascii="Garamond" w:eastAsia="Garamond" w:hAnsi="Garamond" w:cs="Garamond"/>
      <w:lang w:bidi="en-US"/>
    </w:rPr>
  </w:style>
  <w:style w:type="paragraph" w:styleId="Footer">
    <w:name w:val="footer"/>
    <w:basedOn w:val="Normal"/>
    <w:link w:val="FooterChar"/>
    <w:uiPriority w:val="99"/>
    <w:unhideWhenUsed/>
    <w:rsid w:val="00AB0EB7"/>
    <w:pPr>
      <w:tabs>
        <w:tab w:val="center" w:pos="4680"/>
        <w:tab w:val="right" w:pos="9360"/>
      </w:tabs>
    </w:pPr>
  </w:style>
  <w:style w:type="character" w:customStyle="1" w:styleId="FooterChar">
    <w:name w:val="Footer Char"/>
    <w:basedOn w:val="DefaultParagraphFont"/>
    <w:link w:val="Footer"/>
    <w:uiPriority w:val="99"/>
    <w:rsid w:val="00AB0EB7"/>
    <w:rPr>
      <w:rFonts w:ascii="Garamond" w:eastAsia="Garamond" w:hAnsi="Garamond" w:cs="Garamond"/>
      <w:lang w:bidi="en-US"/>
    </w:rPr>
  </w:style>
  <w:style w:type="paragraph" w:styleId="EndnoteText">
    <w:name w:val="endnote text"/>
    <w:basedOn w:val="Normal"/>
    <w:link w:val="EndnoteTextChar"/>
    <w:uiPriority w:val="99"/>
    <w:unhideWhenUsed/>
    <w:rsid w:val="00690C6E"/>
    <w:rPr>
      <w:sz w:val="20"/>
    </w:rPr>
  </w:style>
  <w:style w:type="character" w:customStyle="1" w:styleId="EndnoteTextChar">
    <w:name w:val="Endnote Text Char"/>
    <w:basedOn w:val="DefaultParagraphFont"/>
    <w:link w:val="EndnoteText"/>
    <w:uiPriority w:val="99"/>
    <w:rsid w:val="00690C6E"/>
    <w:rPr>
      <w:rFonts w:ascii="Garamond" w:eastAsia="Garamond" w:hAnsi="Garamond" w:cs="Garamond"/>
      <w:sz w:val="20"/>
      <w:szCs w:val="20"/>
      <w:lang w:bidi="en-US"/>
    </w:rPr>
  </w:style>
  <w:style w:type="character" w:styleId="EndnoteReference">
    <w:name w:val="endnote reference"/>
    <w:basedOn w:val="DefaultParagraphFont"/>
    <w:uiPriority w:val="99"/>
    <w:semiHidden/>
    <w:unhideWhenUsed/>
    <w:rsid w:val="00690C6E"/>
    <w:rPr>
      <w:vertAlign w:val="superscript"/>
    </w:rPr>
  </w:style>
  <w:style w:type="paragraph" w:styleId="TOCHeading">
    <w:name w:val="TOC Heading"/>
    <w:basedOn w:val="Heading1"/>
    <w:next w:val="Normal"/>
    <w:uiPriority w:val="39"/>
    <w:unhideWhenUsed/>
    <w:qFormat/>
    <w:rsid w:val="008650F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8650F2"/>
    <w:pPr>
      <w:spacing w:after="100"/>
      <w:ind w:left="220"/>
    </w:pPr>
  </w:style>
  <w:style w:type="paragraph" w:styleId="TOC3">
    <w:name w:val="toc 3"/>
    <w:basedOn w:val="Normal"/>
    <w:next w:val="Normal"/>
    <w:autoRedefine/>
    <w:uiPriority w:val="39"/>
    <w:unhideWhenUsed/>
    <w:rsid w:val="008650F2"/>
    <w:pPr>
      <w:spacing w:after="100"/>
      <w:ind w:left="440"/>
    </w:pPr>
  </w:style>
  <w:style w:type="character" w:customStyle="1" w:styleId="BodyTextChar">
    <w:name w:val="Body Text Char"/>
    <w:basedOn w:val="DefaultParagraphFont"/>
    <w:link w:val="BodyText"/>
    <w:uiPriority w:val="1"/>
    <w:rsid w:val="00B129E5"/>
    <w:rPr>
      <w:rFonts w:ascii="Garamond" w:eastAsia="Garamond" w:hAnsi="Garamond" w:cs="Garamond"/>
      <w:sz w:val="24"/>
      <w:szCs w:val="24"/>
      <w:lang w:bidi="en-US"/>
    </w:rPr>
  </w:style>
  <w:style w:type="paragraph" w:customStyle="1" w:styleId="paragraph">
    <w:name w:val="paragraph"/>
    <w:basedOn w:val="Normal"/>
    <w:rsid w:val="00F92C18"/>
    <w:pPr>
      <w:widowControl/>
      <w:autoSpaceDE/>
      <w:autoSpaceDN/>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F92C18"/>
  </w:style>
  <w:style w:type="character" w:customStyle="1" w:styleId="normaltextrun">
    <w:name w:val="normaltextrun"/>
    <w:basedOn w:val="DefaultParagraphFont"/>
    <w:rsid w:val="00F92C18"/>
  </w:style>
  <w:style w:type="paragraph" w:styleId="Revision">
    <w:name w:val="Revision"/>
    <w:hidden/>
    <w:uiPriority w:val="99"/>
    <w:semiHidden/>
    <w:rsid w:val="00915F05"/>
    <w:pPr>
      <w:widowControl/>
      <w:autoSpaceDE/>
      <w:autoSpaceDN/>
    </w:pPr>
  </w:style>
  <w:style w:type="paragraph" w:customStyle="1" w:styleId="footnotedescription">
    <w:name w:val="footnote description"/>
    <w:next w:val="Normal"/>
    <w:link w:val="footnotedescriptionChar"/>
    <w:hidden/>
    <w:rsid w:val="00210581"/>
    <w:pPr>
      <w:widowControl/>
      <w:autoSpaceDE/>
      <w:autoSpaceDN/>
      <w:spacing w:line="246" w:lineRule="auto"/>
    </w:pPr>
    <w:rPr>
      <w:rFonts w:eastAsia="Calibri" w:cs="Calibri"/>
      <w:color w:val="000000"/>
      <w:kern w:val="2"/>
      <w:sz w:val="18"/>
      <w:szCs w:val="24"/>
    </w:rPr>
  </w:style>
  <w:style w:type="character" w:customStyle="1" w:styleId="footnotedescriptionChar">
    <w:name w:val="footnote description Char"/>
    <w:link w:val="footnotedescription"/>
    <w:rsid w:val="00210581"/>
    <w:rPr>
      <w:rFonts w:eastAsia="Calibri" w:cs="Calibri"/>
      <w:color w:val="000000"/>
      <w:kern w:val="2"/>
      <w:sz w:val="18"/>
      <w:szCs w:val="24"/>
    </w:rPr>
  </w:style>
  <w:style w:type="paragraph" w:customStyle="1" w:styleId="Default">
    <w:name w:val="Default"/>
    <w:rsid w:val="00AB690C"/>
    <w:pPr>
      <w:widowControl/>
      <w:adjustRightInd w:val="0"/>
    </w:pPr>
    <w:rPr>
      <w:rFonts w:ascii="Times New Roman" w:hAnsi="Times New Roman" w:cs="Times New Roman"/>
      <w:color w:val="000000"/>
      <w:szCs w:val="24"/>
    </w:rPr>
  </w:style>
  <w:style w:type="table" w:customStyle="1" w:styleId="TableGrid1">
    <w:name w:val="Table Grid1"/>
    <w:basedOn w:val="TableNormal"/>
    <w:next w:val="TableGrid"/>
    <w:uiPriority w:val="59"/>
    <w:rsid w:val="00E37EDE"/>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12A2"/>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008CA"/>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0333"/>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4738"/>
    <w:rPr>
      <w:color w:val="2B579A"/>
      <w:shd w:val="clear" w:color="auto" w:fill="E1DFDD"/>
    </w:rPr>
  </w:style>
  <w:style w:type="paragraph" w:styleId="NormalWeb">
    <w:name w:val="Normal (Web)"/>
    <w:basedOn w:val="Normal"/>
    <w:uiPriority w:val="99"/>
    <w:semiHidden/>
    <w:unhideWhenUsed/>
    <w:rsid w:val="005A0F74"/>
    <w:rPr>
      <w:rFonts w:ascii="Times New Roman" w:hAnsi="Times New Roman" w:cs="Times New Roman"/>
      <w:szCs w:val="24"/>
    </w:rPr>
  </w:style>
  <w:style w:type="character" w:styleId="FollowedHyperlink">
    <w:name w:val="FollowedHyperlink"/>
    <w:basedOn w:val="DefaultParagraphFont"/>
    <w:uiPriority w:val="99"/>
    <w:semiHidden/>
    <w:unhideWhenUsed/>
    <w:rsid w:val="003206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63">
      <w:bodyDiv w:val="1"/>
      <w:marLeft w:val="0"/>
      <w:marRight w:val="0"/>
      <w:marTop w:val="0"/>
      <w:marBottom w:val="0"/>
      <w:divBdr>
        <w:top w:val="none" w:sz="0" w:space="0" w:color="auto"/>
        <w:left w:val="none" w:sz="0" w:space="0" w:color="auto"/>
        <w:bottom w:val="none" w:sz="0" w:space="0" w:color="auto"/>
        <w:right w:val="none" w:sz="0" w:space="0" w:color="auto"/>
      </w:divBdr>
    </w:div>
    <w:div w:id="5712261">
      <w:bodyDiv w:val="1"/>
      <w:marLeft w:val="0"/>
      <w:marRight w:val="0"/>
      <w:marTop w:val="0"/>
      <w:marBottom w:val="0"/>
      <w:divBdr>
        <w:top w:val="none" w:sz="0" w:space="0" w:color="auto"/>
        <w:left w:val="none" w:sz="0" w:space="0" w:color="auto"/>
        <w:bottom w:val="none" w:sz="0" w:space="0" w:color="auto"/>
        <w:right w:val="none" w:sz="0" w:space="0" w:color="auto"/>
      </w:divBdr>
    </w:div>
    <w:div w:id="63649101">
      <w:bodyDiv w:val="1"/>
      <w:marLeft w:val="0"/>
      <w:marRight w:val="0"/>
      <w:marTop w:val="0"/>
      <w:marBottom w:val="0"/>
      <w:divBdr>
        <w:top w:val="none" w:sz="0" w:space="0" w:color="auto"/>
        <w:left w:val="none" w:sz="0" w:space="0" w:color="auto"/>
        <w:bottom w:val="none" w:sz="0" w:space="0" w:color="auto"/>
        <w:right w:val="none" w:sz="0" w:space="0" w:color="auto"/>
      </w:divBdr>
    </w:div>
    <w:div w:id="68161237">
      <w:bodyDiv w:val="1"/>
      <w:marLeft w:val="0"/>
      <w:marRight w:val="0"/>
      <w:marTop w:val="0"/>
      <w:marBottom w:val="0"/>
      <w:divBdr>
        <w:top w:val="none" w:sz="0" w:space="0" w:color="auto"/>
        <w:left w:val="none" w:sz="0" w:space="0" w:color="auto"/>
        <w:bottom w:val="none" w:sz="0" w:space="0" w:color="auto"/>
        <w:right w:val="none" w:sz="0" w:space="0" w:color="auto"/>
      </w:divBdr>
    </w:div>
    <w:div w:id="78717580">
      <w:bodyDiv w:val="1"/>
      <w:marLeft w:val="0"/>
      <w:marRight w:val="0"/>
      <w:marTop w:val="0"/>
      <w:marBottom w:val="0"/>
      <w:divBdr>
        <w:top w:val="none" w:sz="0" w:space="0" w:color="auto"/>
        <w:left w:val="none" w:sz="0" w:space="0" w:color="auto"/>
        <w:bottom w:val="none" w:sz="0" w:space="0" w:color="auto"/>
        <w:right w:val="none" w:sz="0" w:space="0" w:color="auto"/>
      </w:divBdr>
    </w:div>
    <w:div w:id="121307873">
      <w:bodyDiv w:val="1"/>
      <w:marLeft w:val="0"/>
      <w:marRight w:val="0"/>
      <w:marTop w:val="0"/>
      <w:marBottom w:val="0"/>
      <w:divBdr>
        <w:top w:val="none" w:sz="0" w:space="0" w:color="auto"/>
        <w:left w:val="none" w:sz="0" w:space="0" w:color="auto"/>
        <w:bottom w:val="none" w:sz="0" w:space="0" w:color="auto"/>
        <w:right w:val="none" w:sz="0" w:space="0" w:color="auto"/>
      </w:divBdr>
    </w:div>
    <w:div w:id="161045577">
      <w:bodyDiv w:val="1"/>
      <w:marLeft w:val="0"/>
      <w:marRight w:val="0"/>
      <w:marTop w:val="0"/>
      <w:marBottom w:val="0"/>
      <w:divBdr>
        <w:top w:val="none" w:sz="0" w:space="0" w:color="auto"/>
        <w:left w:val="none" w:sz="0" w:space="0" w:color="auto"/>
        <w:bottom w:val="none" w:sz="0" w:space="0" w:color="auto"/>
        <w:right w:val="none" w:sz="0" w:space="0" w:color="auto"/>
      </w:divBdr>
    </w:div>
    <w:div w:id="174271434">
      <w:bodyDiv w:val="1"/>
      <w:marLeft w:val="0"/>
      <w:marRight w:val="0"/>
      <w:marTop w:val="0"/>
      <w:marBottom w:val="0"/>
      <w:divBdr>
        <w:top w:val="none" w:sz="0" w:space="0" w:color="auto"/>
        <w:left w:val="none" w:sz="0" w:space="0" w:color="auto"/>
        <w:bottom w:val="none" w:sz="0" w:space="0" w:color="auto"/>
        <w:right w:val="none" w:sz="0" w:space="0" w:color="auto"/>
      </w:divBdr>
    </w:div>
    <w:div w:id="198864495">
      <w:bodyDiv w:val="1"/>
      <w:marLeft w:val="0"/>
      <w:marRight w:val="0"/>
      <w:marTop w:val="0"/>
      <w:marBottom w:val="0"/>
      <w:divBdr>
        <w:top w:val="none" w:sz="0" w:space="0" w:color="auto"/>
        <w:left w:val="none" w:sz="0" w:space="0" w:color="auto"/>
        <w:bottom w:val="none" w:sz="0" w:space="0" w:color="auto"/>
        <w:right w:val="none" w:sz="0" w:space="0" w:color="auto"/>
      </w:divBdr>
      <w:divsChild>
        <w:div w:id="1376850412">
          <w:marLeft w:val="0"/>
          <w:marRight w:val="0"/>
          <w:marTop w:val="0"/>
          <w:marBottom w:val="0"/>
          <w:divBdr>
            <w:top w:val="none" w:sz="0" w:space="0" w:color="auto"/>
            <w:left w:val="none" w:sz="0" w:space="0" w:color="auto"/>
            <w:bottom w:val="none" w:sz="0" w:space="0" w:color="auto"/>
            <w:right w:val="none" w:sz="0" w:space="0" w:color="auto"/>
          </w:divBdr>
        </w:div>
        <w:div w:id="2006086450">
          <w:marLeft w:val="0"/>
          <w:marRight w:val="0"/>
          <w:marTop w:val="0"/>
          <w:marBottom w:val="0"/>
          <w:divBdr>
            <w:top w:val="none" w:sz="0" w:space="0" w:color="auto"/>
            <w:left w:val="none" w:sz="0" w:space="0" w:color="auto"/>
            <w:bottom w:val="none" w:sz="0" w:space="0" w:color="auto"/>
            <w:right w:val="none" w:sz="0" w:space="0" w:color="auto"/>
          </w:divBdr>
        </w:div>
        <w:div w:id="2138445277">
          <w:marLeft w:val="0"/>
          <w:marRight w:val="0"/>
          <w:marTop w:val="0"/>
          <w:marBottom w:val="0"/>
          <w:divBdr>
            <w:top w:val="none" w:sz="0" w:space="0" w:color="auto"/>
            <w:left w:val="none" w:sz="0" w:space="0" w:color="auto"/>
            <w:bottom w:val="none" w:sz="0" w:space="0" w:color="auto"/>
            <w:right w:val="none" w:sz="0" w:space="0" w:color="auto"/>
          </w:divBdr>
        </w:div>
      </w:divsChild>
    </w:div>
    <w:div w:id="255405176">
      <w:bodyDiv w:val="1"/>
      <w:marLeft w:val="0"/>
      <w:marRight w:val="0"/>
      <w:marTop w:val="0"/>
      <w:marBottom w:val="0"/>
      <w:divBdr>
        <w:top w:val="none" w:sz="0" w:space="0" w:color="auto"/>
        <w:left w:val="none" w:sz="0" w:space="0" w:color="auto"/>
        <w:bottom w:val="none" w:sz="0" w:space="0" w:color="auto"/>
        <w:right w:val="none" w:sz="0" w:space="0" w:color="auto"/>
      </w:divBdr>
    </w:div>
    <w:div w:id="282732558">
      <w:bodyDiv w:val="1"/>
      <w:marLeft w:val="0"/>
      <w:marRight w:val="0"/>
      <w:marTop w:val="0"/>
      <w:marBottom w:val="0"/>
      <w:divBdr>
        <w:top w:val="none" w:sz="0" w:space="0" w:color="auto"/>
        <w:left w:val="none" w:sz="0" w:space="0" w:color="auto"/>
        <w:bottom w:val="none" w:sz="0" w:space="0" w:color="auto"/>
        <w:right w:val="none" w:sz="0" w:space="0" w:color="auto"/>
      </w:divBdr>
    </w:div>
    <w:div w:id="303314932">
      <w:bodyDiv w:val="1"/>
      <w:marLeft w:val="0"/>
      <w:marRight w:val="0"/>
      <w:marTop w:val="0"/>
      <w:marBottom w:val="0"/>
      <w:divBdr>
        <w:top w:val="none" w:sz="0" w:space="0" w:color="auto"/>
        <w:left w:val="none" w:sz="0" w:space="0" w:color="auto"/>
        <w:bottom w:val="none" w:sz="0" w:space="0" w:color="auto"/>
        <w:right w:val="none" w:sz="0" w:space="0" w:color="auto"/>
      </w:divBdr>
    </w:div>
    <w:div w:id="327443692">
      <w:bodyDiv w:val="1"/>
      <w:marLeft w:val="0"/>
      <w:marRight w:val="0"/>
      <w:marTop w:val="0"/>
      <w:marBottom w:val="0"/>
      <w:divBdr>
        <w:top w:val="none" w:sz="0" w:space="0" w:color="auto"/>
        <w:left w:val="none" w:sz="0" w:space="0" w:color="auto"/>
        <w:bottom w:val="none" w:sz="0" w:space="0" w:color="auto"/>
        <w:right w:val="none" w:sz="0" w:space="0" w:color="auto"/>
      </w:divBdr>
    </w:div>
    <w:div w:id="398132983">
      <w:bodyDiv w:val="1"/>
      <w:marLeft w:val="0"/>
      <w:marRight w:val="0"/>
      <w:marTop w:val="0"/>
      <w:marBottom w:val="0"/>
      <w:divBdr>
        <w:top w:val="none" w:sz="0" w:space="0" w:color="auto"/>
        <w:left w:val="none" w:sz="0" w:space="0" w:color="auto"/>
        <w:bottom w:val="none" w:sz="0" w:space="0" w:color="auto"/>
        <w:right w:val="none" w:sz="0" w:space="0" w:color="auto"/>
      </w:divBdr>
    </w:div>
    <w:div w:id="414472400">
      <w:bodyDiv w:val="1"/>
      <w:marLeft w:val="0"/>
      <w:marRight w:val="0"/>
      <w:marTop w:val="0"/>
      <w:marBottom w:val="0"/>
      <w:divBdr>
        <w:top w:val="none" w:sz="0" w:space="0" w:color="auto"/>
        <w:left w:val="none" w:sz="0" w:space="0" w:color="auto"/>
        <w:bottom w:val="none" w:sz="0" w:space="0" w:color="auto"/>
        <w:right w:val="none" w:sz="0" w:space="0" w:color="auto"/>
      </w:divBdr>
    </w:div>
    <w:div w:id="432824882">
      <w:bodyDiv w:val="1"/>
      <w:marLeft w:val="0"/>
      <w:marRight w:val="0"/>
      <w:marTop w:val="0"/>
      <w:marBottom w:val="0"/>
      <w:divBdr>
        <w:top w:val="none" w:sz="0" w:space="0" w:color="auto"/>
        <w:left w:val="none" w:sz="0" w:space="0" w:color="auto"/>
        <w:bottom w:val="none" w:sz="0" w:space="0" w:color="auto"/>
        <w:right w:val="none" w:sz="0" w:space="0" w:color="auto"/>
      </w:divBdr>
    </w:div>
    <w:div w:id="497380690">
      <w:bodyDiv w:val="1"/>
      <w:marLeft w:val="0"/>
      <w:marRight w:val="0"/>
      <w:marTop w:val="0"/>
      <w:marBottom w:val="0"/>
      <w:divBdr>
        <w:top w:val="none" w:sz="0" w:space="0" w:color="auto"/>
        <w:left w:val="none" w:sz="0" w:space="0" w:color="auto"/>
        <w:bottom w:val="none" w:sz="0" w:space="0" w:color="auto"/>
        <w:right w:val="none" w:sz="0" w:space="0" w:color="auto"/>
      </w:divBdr>
    </w:div>
    <w:div w:id="510994376">
      <w:bodyDiv w:val="1"/>
      <w:marLeft w:val="0"/>
      <w:marRight w:val="0"/>
      <w:marTop w:val="0"/>
      <w:marBottom w:val="0"/>
      <w:divBdr>
        <w:top w:val="none" w:sz="0" w:space="0" w:color="auto"/>
        <w:left w:val="none" w:sz="0" w:space="0" w:color="auto"/>
        <w:bottom w:val="none" w:sz="0" w:space="0" w:color="auto"/>
        <w:right w:val="none" w:sz="0" w:space="0" w:color="auto"/>
      </w:divBdr>
      <w:divsChild>
        <w:div w:id="367724422">
          <w:marLeft w:val="0"/>
          <w:marRight w:val="0"/>
          <w:marTop w:val="0"/>
          <w:marBottom w:val="0"/>
          <w:divBdr>
            <w:top w:val="none" w:sz="0" w:space="0" w:color="auto"/>
            <w:left w:val="none" w:sz="0" w:space="0" w:color="auto"/>
            <w:bottom w:val="none" w:sz="0" w:space="0" w:color="auto"/>
            <w:right w:val="none" w:sz="0" w:space="0" w:color="auto"/>
          </w:divBdr>
        </w:div>
        <w:div w:id="1372412321">
          <w:marLeft w:val="0"/>
          <w:marRight w:val="0"/>
          <w:marTop w:val="0"/>
          <w:marBottom w:val="0"/>
          <w:divBdr>
            <w:top w:val="none" w:sz="0" w:space="0" w:color="auto"/>
            <w:left w:val="none" w:sz="0" w:space="0" w:color="auto"/>
            <w:bottom w:val="none" w:sz="0" w:space="0" w:color="auto"/>
            <w:right w:val="none" w:sz="0" w:space="0" w:color="auto"/>
          </w:divBdr>
        </w:div>
      </w:divsChild>
    </w:div>
    <w:div w:id="551309561">
      <w:bodyDiv w:val="1"/>
      <w:marLeft w:val="0"/>
      <w:marRight w:val="0"/>
      <w:marTop w:val="0"/>
      <w:marBottom w:val="0"/>
      <w:divBdr>
        <w:top w:val="none" w:sz="0" w:space="0" w:color="auto"/>
        <w:left w:val="none" w:sz="0" w:space="0" w:color="auto"/>
        <w:bottom w:val="none" w:sz="0" w:space="0" w:color="auto"/>
        <w:right w:val="none" w:sz="0" w:space="0" w:color="auto"/>
      </w:divBdr>
    </w:div>
    <w:div w:id="696662024">
      <w:bodyDiv w:val="1"/>
      <w:marLeft w:val="0"/>
      <w:marRight w:val="0"/>
      <w:marTop w:val="0"/>
      <w:marBottom w:val="0"/>
      <w:divBdr>
        <w:top w:val="none" w:sz="0" w:space="0" w:color="auto"/>
        <w:left w:val="none" w:sz="0" w:space="0" w:color="auto"/>
        <w:bottom w:val="none" w:sz="0" w:space="0" w:color="auto"/>
        <w:right w:val="none" w:sz="0" w:space="0" w:color="auto"/>
      </w:divBdr>
    </w:div>
    <w:div w:id="809173158">
      <w:bodyDiv w:val="1"/>
      <w:marLeft w:val="0"/>
      <w:marRight w:val="0"/>
      <w:marTop w:val="0"/>
      <w:marBottom w:val="0"/>
      <w:divBdr>
        <w:top w:val="none" w:sz="0" w:space="0" w:color="auto"/>
        <w:left w:val="none" w:sz="0" w:space="0" w:color="auto"/>
        <w:bottom w:val="none" w:sz="0" w:space="0" w:color="auto"/>
        <w:right w:val="none" w:sz="0" w:space="0" w:color="auto"/>
      </w:divBdr>
    </w:div>
    <w:div w:id="839851681">
      <w:bodyDiv w:val="1"/>
      <w:marLeft w:val="0"/>
      <w:marRight w:val="0"/>
      <w:marTop w:val="0"/>
      <w:marBottom w:val="0"/>
      <w:divBdr>
        <w:top w:val="none" w:sz="0" w:space="0" w:color="auto"/>
        <w:left w:val="none" w:sz="0" w:space="0" w:color="auto"/>
        <w:bottom w:val="none" w:sz="0" w:space="0" w:color="auto"/>
        <w:right w:val="none" w:sz="0" w:space="0" w:color="auto"/>
      </w:divBdr>
    </w:div>
    <w:div w:id="871192039">
      <w:bodyDiv w:val="1"/>
      <w:marLeft w:val="0"/>
      <w:marRight w:val="0"/>
      <w:marTop w:val="0"/>
      <w:marBottom w:val="0"/>
      <w:divBdr>
        <w:top w:val="none" w:sz="0" w:space="0" w:color="auto"/>
        <w:left w:val="none" w:sz="0" w:space="0" w:color="auto"/>
        <w:bottom w:val="none" w:sz="0" w:space="0" w:color="auto"/>
        <w:right w:val="none" w:sz="0" w:space="0" w:color="auto"/>
      </w:divBdr>
    </w:div>
    <w:div w:id="1020203049">
      <w:bodyDiv w:val="1"/>
      <w:marLeft w:val="0"/>
      <w:marRight w:val="0"/>
      <w:marTop w:val="0"/>
      <w:marBottom w:val="0"/>
      <w:divBdr>
        <w:top w:val="none" w:sz="0" w:space="0" w:color="auto"/>
        <w:left w:val="none" w:sz="0" w:space="0" w:color="auto"/>
        <w:bottom w:val="none" w:sz="0" w:space="0" w:color="auto"/>
        <w:right w:val="none" w:sz="0" w:space="0" w:color="auto"/>
      </w:divBdr>
      <w:divsChild>
        <w:div w:id="195775998">
          <w:marLeft w:val="0"/>
          <w:marRight w:val="0"/>
          <w:marTop w:val="0"/>
          <w:marBottom w:val="0"/>
          <w:divBdr>
            <w:top w:val="none" w:sz="0" w:space="0" w:color="auto"/>
            <w:left w:val="none" w:sz="0" w:space="0" w:color="auto"/>
            <w:bottom w:val="none" w:sz="0" w:space="0" w:color="auto"/>
            <w:right w:val="none" w:sz="0" w:space="0" w:color="auto"/>
          </w:divBdr>
        </w:div>
        <w:div w:id="324018283">
          <w:marLeft w:val="0"/>
          <w:marRight w:val="0"/>
          <w:marTop w:val="0"/>
          <w:marBottom w:val="0"/>
          <w:divBdr>
            <w:top w:val="none" w:sz="0" w:space="0" w:color="auto"/>
            <w:left w:val="none" w:sz="0" w:space="0" w:color="auto"/>
            <w:bottom w:val="none" w:sz="0" w:space="0" w:color="auto"/>
            <w:right w:val="none" w:sz="0" w:space="0" w:color="auto"/>
          </w:divBdr>
        </w:div>
        <w:div w:id="534973843">
          <w:marLeft w:val="0"/>
          <w:marRight w:val="0"/>
          <w:marTop w:val="0"/>
          <w:marBottom w:val="0"/>
          <w:divBdr>
            <w:top w:val="none" w:sz="0" w:space="0" w:color="auto"/>
            <w:left w:val="none" w:sz="0" w:space="0" w:color="auto"/>
            <w:bottom w:val="none" w:sz="0" w:space="0" w:color="auto"/>
            <w:right w:val="none" w:sz="0" w:space="0" w:color="auto"/>
          </w:divBdr>
        </w:div>
        <w:div w:id="812017426">
          <w:marLeft w:val="0"/>
          <w:marRight w:val="0"/>
          <w:marTop w:val="0"/>
          <w:marBottom w:val="0"/>
          <w:divBdr>
            <w:top w:val="none" w:sz="0" w:space="0" w:color="auto"/>
            <w:left w:val="none" w:sz="0" w:space="0" w:color="auto"/>
            <w:bottom w:val="none" w:sz="0" w:space="0" w:color="auto"/>
            <w:right w:val="none" w:sz="0" w:space="0" w:color="auto"/>
          </w:divBdr>
        </w:div>
        <w:div w:id="922449652">
          <w:marLeft w:val="0"/>
          <w:marRight w:val="0"/>
          <w:marTop w:val="0"/>
          <w:marBottom w:val="0"/>
          <w:divBdr>
            <w:top w:val="none" w:sz="0" w:space="0" w:color="auto"/>
            <w:left w:val="none" w:sz="0" w:space="0" w:color="auto"/>
            <w:bottom w:val="none" w:sz="0" w:space="0" w:color="auto"/>
            <w:right w:val="none" w:sz="0" w:space="0" w:color="auto"/>
          </w:divBdr>
        </w:div>
        <w:div w:id="971128961">
          <w:marLeft w:val="0"/>
          <w:marRight w:val="0"/>
          <w:marTop w:val="0"/>
          <w:marBottom w:val="0"/>
          <w:divBdr>
            <w:top w:val="none" w:sz="0" w:space="0" w:color="auto"/>
            <w:left w:val="none" w:sz="0" w:space="0" w:color="auto"/>
            <w:bottom w:val="none" w:sz="0" w:space="0" w:color="auto"/>
            <w:right w:val="none" w:sz="0" w:space="0" w:color="auto"/>
          </w:divBdr>
        </w:div>
        <w:div w:id="1099329178">
          <w:marLeft w:val="0"/>
          <w:marRight w:val="0"/>
          <w:marTop w:val="0"/>
          <w:marBottom w:val="0"/>
          <w:divBdr>
            <w:top w:val="none" w:sz="0" w:space="0" w:color="auto"/>
            <w:left w:val="none" w:sz="0" w:space="0" w:color="auto"/>
            <w:bottom w:val="none" w:sz="0" w:space="0" w:color="auto"/>
            <w:right w:val="none" w:sz="0" w:space="0" w:color="auto"/>
          </w:divBdr>
        </w:div>
        <w:div w:id="1106388281">
          <w:marLeft w:val="0"/>
          <w:marRight w:val="0"/>
          <w:marTop w:val="0"/>
          <w:marBottom w:val="0"/>
          <w:divBdr>
            <w:top w:val="none" w:sz="0" w:space="0" w:color="auto"/>
            <w:left w:val="none" w:sz="0" w:space="0" w:color="auto"/>
            <w:bottom w:val="none" w:sz="0" w:space="0" w:color="auto"/>
            <w:right w:val="none" w:sz="0" w:space="0" w:color="auto"/>
          </w:divBdr>
        </w:div>
      </w:divsChild>
    </w:div>
    <w:div w:id="1026637579">
      <w:bodyDiv w:val="1"/>
      <w:marLeft w:val="0"/>
      <w:marRight w:val="0"/>
      <w:marTop w:val="0"/>
      <w:marBottom w:val="0"/>
      <w:divBdr>
        <w:top w:val="none" w:sz="0" w:space="0" w:color="auto"/>
        <w:left w:val="none" w:sz="0" w:space="0" w:color="auto"/>
        <w:bottom w:val="none" w:sz="0" w:space="0" w:color="auto"/>
        <w:right w:val="none" w:sz="0" w:space="0" w:color="auto"/>
      </w:divBdr>
    </w:div>
    <w:div w:id="1032270907">
      <w:bodyDiv w:val="1"/>
      <w:marLeft w:val="0"/>
      <w:marRight w:val="0"/>
      <w:marTop w:val="0"/>
      <w:marBottom w:val="0"/>
      <w:divBdr>
        <w:top w:val="none" w:sz="0" w:space="0" w:color="auto"/>
        <w:left w:val="none" w:sz="0" w:space="0" w:color="auto"/>
        <w:bottom w:val="none" w:sz="0" w:space="0" w:color="auto"/>
        <w:right w:val="none" w:sz="0" w:space="0" w:color="auto"/>
      </w:divBdr>
    </w:div>
    <w:div w:id="1038360665">
      <w:bodyDiv w:val="1"/>
      <w:marLeft w:val="0"/>
      <w:marRight w:val="0"/>
      <w:marTop w:val="0"/>
      <w:marBottom w:val="0"/>
      <w:divBdr>
        <w:top w:val="none" w:sz="0" w:space="0" w:color="auto"/>
        <w:left w:val="none" w:sz="0" w:space="0" w:color="auto"/>
        <w:bottom w:val="none" w:sz="0" w:space="0" w:color="auto"/>
        <w:right w:val="none" w:sz="0" w:space="0" w:color="auto"/>
      </w:divBdr>
    </w:div>
    <w:div w:id="1058550134">
      <w:bodyDiv w:val="1"/>
      <w:marLeft w:val="0"/>
      <w:marRight w:val="0"/>
      <w:marTop w:val="0"/>
      <w:marBottom w:val="0"/>
      <w:divBdr>
        <w:top w:val="none" w:sz="0" w:space="0" w:color="auto"/>
        <w:left w:val="none" w:sz="0" w:space="0" w:color="auto"/>
        <w:bottom w:val="none" w:sz="0" w:space="0" w:color="auto"/>
        <w:right w:val="none" w:sz="0" w:space="0" w:color="auto"/>
      </w:divBdr>
    </w:div>
    <w:div w:id="1069688739">
      <w:bodyDiv w:val="1"/>
      <w:marLeft w:val="0"/>
      <w:marRight w:val="0"/>
      <w:marTop w:val="0"/>
      <w:marBottom w:val="0"/>
      <w:divBdr>
        <w:top w:val="none" w:sz="0" w:space="0" w:color="auto"/>
        <w:left w:val="none" w:sz="0" w:space="0" w:color="auto"/>
        <w:bottom w:val="none" w:sz="0" w:space="0" w:color="auto"/>
        <w:right w:val="none" w:sz="0" w:space="0" w:color="auto"/>
      </w:divBdr>
    </w:div>
    <w:div w:id="1110786032">
      <w:bodyDiv w:val="1"/>
      <w:marLeft w:val="0"/>
      <w:marRight w:val="0"/>
      <w:marTop w:val="0"/>
      <w:marBottom w:val="0"/>
      <w:divBdr>
        <w:top w:val="none" w:sz="0" w:space="0" w:color="auto"/>
        <w:left w:val="none" w:sz="0" w:space="0" w:color="auto"/>
        <w:bottom w:val="none" w:sz="0" w:space="0" w:color="auto"/>
        <w:right w:val="none" w:sz="0" w:space="0" w:color="auto"/>
      </w:divBdr>
    </w:div>
    <w:div w:id="1149857025">
      <w:bodyDiv w:val="1"/>
      <w:marLeft w:val="0"/>
      <w:marRight w:val="0"/>
      <w:marTop w:val="0"/>
      <w:marBottom w:val="0"/>
      <w:divBdr>
        <w:top w:val="none" w:sz="0" w:space="0" w:color="auto"/>
        <w:left w:val="none" w:sz="0" w:space="0" w:color="auto"/>
        <w:bottom w:val="none" w:sz="0" w:space="0" w:color="auto"/>
        <w:right w:val="none" w:sz="0" w:space="0" w:color="auto"/>
      </w:divBdr>
    </w:div>
    <w:div w:id="1171678461">
      <w:bodyDiv w:val="1"/>
      <w:marLeft w:val="0"/>
      <w:marRight w:val="0"/>
      <w:marTop w:val="0"/>
      <w:marBottom w:val="0"/>
      <w:divBdr>
        <w:top w:val="none" w:sz="0" w:space="0" w:color="auto"/>
        <w:left w:val="none" w:sz="0" w:space="0" w:color="auto"/>
        <w:bottom w:val="none" w:sz="0" w:space="0" w:color="auto"/>
        <w:right w:val="none" w:sz="0" w:space="0" w:color="auto"/>
      </w:divBdr>
    </w:div>
    <w:div w:id="1179932650">
      <w:bodyDiv w:val="1"/>
      <w:marLeft w:val="0"/>
      <w:marRight w:val="0"/>
      <w:marTop w:val="0"/>
      <w:marBottom w:val="0"/>
      <w:divBdr>
        <w:top w:val="none" w:sz="0" w:space="0" w:color="auto"/>
        <w:left w:val="none" w:sz="0" w:space="0" w:color="auto"/>
        <w:bottom w:val="none" w:sz="0" w:space="0" w:color="auto"/>
        <w:right w:val="none" w:sz="0" w:space="0" w:color="auto"/>
      </w:divBdr>
    </w:div>
    <w:div w:id="1221945957">
      <w:bodyDiv w:val="1"/>
      <w:marLeft w:val="0"/>
      <w:marRight w:val="0"/>
      <w:marTop w:val="0"/>
      <w:marBottom w:val="0"/>
      <w:divBdr>
        <w:top w:val="none" w:sz="0" w:space="0" w:color="auto"/>
        <w:left w:val="none" w:sz="0" w:space="0" w:color="auto"/>
        <w:bottom w:val="none" w:sz="0" w:space="0" w:color="auto"/>
        <w:right w:val="none" w:sz="0" w:space="0" w:color="auto"/>
      </w:divBdr>
    </w:div>
    <w:div w:id="1286154112">
      <w:bodyDiv w:val="1"/>
      <w:marLeft w:val="0"/>
      <w:marRight w:val="0"/>
      <w:marTop w:val="0"/>
      <w:marBottom w:val="0"/>
      <w:divBdr>
        <w:top w:val="none" w:sz="0" w:space="0" w:color="auto"/>
        <w:left w:val="none" w:sz="0" w:space="0" w:color="auto"/>
        <w:bottom w:val="none" w:sz="0" w:space="0" w:color="auto"/>
        <w:right w:val="none" w:sz="0" w:space="0" w:color="auto"/>
      </w:divBdr>
    </w:div>
    <w:div w:id="1296450339">
      <w:bodyDiv w:val="1"/>
      <w:marLeft w:val="0"/>
      <w:marRight w:val="0"/>
      <w:marTop w:val="0"/>
      <w:marBottom w:val="0"/>
      <w:divBdr>
        <w:top w:val="none" w:sz="0" w:space="0" w:color="auto"/>
        <w:left w:val="none" w:sz="0" w:space="0" w:color="auto"/>
        <w:bottom w:val="none" w:sz="0" w:space="0" w:color="auto"/>
        <w:right w:val="none" w:sz="0" w:space="0" w:color="auto"/>
      </w:divBdr>
    </w:div>
    <w:div w:id="1417246391">
      <w:bodyDiv w:val="1"/>
      <w:marLeft w:val="0"/>
      <w:marRight w:val="0"/>
      <w:marTop w:val="0"/>
      <w:marBottom w:val="0"/>
      <w:divBdr>
        <w:top w:val="none" w:sz="0" w:space="0" w:color="auto"/>
        <w:left w:val="none" w:sz="0" w:space="0" w:color="auto"/>
        <w:bottom w:val="none" w:sz="0" w:space="0" w:color="auto"/>
        <w:right w:val="none" w:sz="0" w:space="0" w:color="auto"/>
      </w:divBdr>
    </w:div>
    <w:div w:id="1432240106">
      <w:bodyDiv w:val="1"/>
      <w:marLeft w:val="0"/>
      <w:marRight w:val="0"/>
      <w:marTop w:val="0"/>
      <w:marBottom w:val="0"/>
      <w:divBdr>
        <w:top w:val="none" w:sz="0" w:space="0" w:color="auto"/>
        <w:left w:val="none" w:sz="0" w:space="0" w:color="auto"/>
        <w:bottom w:val="none" w:sz="0" w:space="0" w:color="auto"/>
        <w:right w:val="none" w:sz="0" w:space="0" w:color="auto"/>
      </w:divBdr>
    </w:div>
    <w:div w:id="1446997336">
      <w:bodyDiv w:val="1"/>
      <w:marLeft w:val="0"/>
      <w:marRight w:val="0"/>
      <w:marTop w:val="0"/>
      <w:marBottom w:val="0"/>
      <w:divBdr>
        <w:top w:val="none" w:sz="0" w:space="0" w:color="auto"/>
        <w:left w:val="none" w:sz="0" w:space="0" w:color="auto"/>
        <w:bottom w:val="none" w:sz="0" w:space="0" w:color="auto"/>
        <w:right w:val="none" w:sz="0" w:space="0" w:color="auto"/>
      </w:divBdr>
    </w:div>
    <w:div w:id="1467358543">
      <w:bodyDiv w:val="1"/>
      <w:marLeft w:val="0"/>
      <w:marRight w:val="0"/>
      <w:marTop w:val="0"/>
      <w:marBottom w:val="0"/>
      <w:divBdr>
        <w:top w:val="none" w:sz="0" w:space="0" w:color="auto"/>
        <w:left w:val="none" w:sz="0" w:space="0" w:color="auto"/>
        <w:bottom w:val="none" w:sz="0" w:space="0" w:color="auto"/>
        <w:right w:val="none" w:sz="0" w:space="0" w:color="auto"/>
      </w:divBdr>
    </w:div>
    <w:div w:id="1508447980">
      <w:bodyDiv w:val="1"/>
      <w:marLeft w:val="0"/>
      <w:marRight w:val="0"/>
      <w:marTop w:val="0"/>
      <w:marBottom w:val="0"/>
      <w:divBdr>
        <w:top w:val="none" w:sz="0" w:space="0" w:color="auto"/>
        <w:left w:val="none" w:sz="0" w:space="0" w:color="auto"/>
        <w:bottom w:val="none" w:sz="0" w:space="0" w:color="auto"/>
        <w:right w:val="none" w:sz="0" w:space="0" w:color="auto"/>
      </w:divBdr>
    </w:div>
    <w:div w:id="1519124840">
      <w:bodyDiv w:val="1"/>
      <w:marLeft w:val="0"/>
      <w:marRight w:val="0"/>
      <w:marTop w:val="0"/>
      <w:marBottom w:val="0"/>
      <w:divBdr>
        <w:top w:val="none" w:sz="0" w:space="0" w:color="auto"/>
        <w:left w:val="none" w:sz="0" w:space="0" w:color="auto"/>
        <w:bottom w:val="none" w:sz="0" w:space="0" w:color="auto"/>
        <w:right w:val="none" w:sz="0" w:space="0" w:color="auto"/>
      </w:divBdr>
    </w:div>
    <w:div w:id="1574508776">
      <w:bodyDiv w:val="1"/>
      <w:marLeft w:val="0"/>
      <w:marRight w:val="0"/>
      <w:marTop w:val="0"/>
      <w:marBottom w:val="0"/>
      <w:divBdr>
        <w:top w:val="none" w:sz="0" w:space="0" w:color="auto"/>
        <w:left w:val="none" w:sz="0" w:space="0" w:color="auto"/>
        <w:bottom w:val="none" w:sz="0" w:space="0" w:color="auto"/>
        <w:right w:val="none" w:sz="0" w:space="0" w:color="auto"/>
      </w:divBdr>
    </w:div>
    <w:div w:id="1623269225">
      <w:bodyDiv w:val="1"/>
      <w:marLeft w:val="0"/>
      <w:marRight w:val="0"/>
      <w:marTop w:val="0"/>
      <w:marBottom w:val="0"/>
      <w:divBdr>
        <w:top w:val="none" w:sz="0" w:space="0" w:color="auto"/>
        <w:left w:val="none" w:sz="0" w:space="0" w:color="auto"/>
        <w:bottom w:val="none" w:sz="0" w:space="0" w:color="auto"/>
        <w:right w:val="none" w:sz="0" w:space="0" w:color="auto"/>
      </w:divBdr>
    </w:div>
    <w:div w:id="1626080939">
      <w:bodyDiv w:val="1"/>
      <w:marLeft w:val="0"/>
      <w:marRight w:val="0"/>
      <w:marTop w:val="0"/>
      <w:marBottom w:val="0"/>
      <w:divBdr>
        <w:top w:val="none" w:sz="0" w:space="0" w:color="auto"/>
        <w:left w:val="none" w:sz="0" w:space="0" w:color="auto"/>
        <w:bottom w:val="none" w:sz="0" w:space="0" w:color="auto"/>
        <w:right w:val="none" w:sz="0" w:space="0" w:color="auto"/>
      </w:divBdr>
    </w:div>
    <w:div w:id="1642421933">
      <w:bodyDiv w:val="1"/>
      <w:marLeft w:val="0"/>
      <w:marRight w:val="0"/>
      <w:marTop w:val="0"/>
      <w:marBottom w:val="0"/>
      <w:divBdr>
        <w:top w:val="none" w:sz="0" w:space="0" w:color="auto"/>
        <w:left w:val="none" w:sz="0" w:space="0" w:color="auto"/>
        <w:bottom w:val="none" w:sz="0" w:space="0" w:color="auto"/>
        <w:right w:val="none" w:sz="0" w:space="0" w:color="auto"/>
      </w:divBdr>
    </w:div>
    <w:div w:id="1751192507">
      <w:bodyDiv w:val="1"/>
      <w:marLeft w:val="0"/>
      <w:marRight w:val="0"/>
      <w:marTop w:val="0"/>
      <w:marBottom w:val="0"/>
      <w:divBdr>
        <w:top w:val="none" w:sz="0" w:space="0" w:color="auto"/>
        <w:left w:val="none" w:sz="0" w:space="0" w:color="auto"/>
        <w:bottom w:val="none" w:sz="0" w:space="0" w:color="auto"/>
        <w:right w:val="none" w:sz="0" w:space="0" w:color="auto"/>
      </w:divBdr>
    </w:div>
    <w:div w:id="1768381437">
      <w:bodyDiv w:val="1"/>
      <w:marLeft w:val="0"/>
      <w:marRight w:val="0"/>
      <w:marTop w:val="0"/>
      <w:marBottom w:val="0"/>
      <w:divBdr>
        <w:top w:val="none" w:sz="0" w:space="0" w:color="auto"/>
        <w:left w:val="none" w:sz="0" w:space="0" w:color="auto"/>
        <w:bottom w:val="none" w:sz="0" w:space="0" w:color="auto"/>
        <w:right w:val="none" w:sz="0" w:space="0" w:color="auto"/>
      </w:divBdr>
    </w:div>
    <w:div w:id="1829247772">
      <w:bodyDiv w:val="1"/>
      <w:marLeft w:val="0"/>
      <w:marRight w:val="0"/>
      <w:marTop w:val="0"/>
      <w:marBottom w:val="0"/>
      <w:divBdr>
        <w:top w:val="none" w:sz="0" w:space="0" w:color="auto"/>
        <w:left w:val="none" w:sz="0" w:space="0" w:color="auto"/>
        <w:bottom w:val="none" w:sz="0" w:space="0" w:color="auto"/>
        <w:right w:val="none" w:sz="0" w:space="0" w:color="auto"/>
      </w:divBdr>
    </w:div>
    <w:div w:id="1858229454">
      <w:bodyDiv w:val="1"/>
      <w:marLeft w:val="0"/>
      <w:marRight w:val="0"/>
      <w:marTop w:val="0"/>
      <w:marBottom w:val="0"/>
      <w:divBdr>
        <w:top w:val="none" w:sz="0" w:space="0" w:color="auto"/>
        <w:left w:val="none" w:sz="0" w:space="0" w:color="auto"/>
        <w:bottom w:val="none" w:sz="0" w:space="0" w:color="auto"/>
        <w:right w:val="none" w:sz="0" w:space="0" w:color="auto"/>
      </w:divBdr>
    </w:div>
    <w:div w:id="1876624013">
      <w:bodyDiv w:val="1"/>
      <w:marLeft w:val="0"/>
      <w:marRight w:val="0"/>
      <w:marTop w:val="0"/>
      <w:marBottom w:val="0"/>
      <w:divBdr>
        <w:top w:val="none" w:sz="0" w:space="0" w:color="auto"/>
        <w:left w:val="none" w:sz="0" w:space="0" w:color="auto"/>
        <w:bottom w:val="none" w:sz="0" w:space="0" w:color="auto"/>
        <w:right w:val="none" w:sz="0" w:space="0" w:color="auto"/>
      </w:divBdr>
      <w:divsChild>
        <w:div w:id="61560601">
          <w:marLeft w:val="0"/>
          <w:marRight w:val="0"/>
          <w:marTop w:val="0"/>
          <w:marBottom w:val="0"/>
          <w:divBdr>
            <w:top w:val="none" w:sz="0" w:space="0" w:color="auto"/>
            <w:left w:val="none" w:sz="0" w:space="0" w:color="auto"/>
            <w:bottom w:val="none" w:sz="0" w:space="0" w:color="auto"/>
            <w:right w:val="none" w:sz="0" w:space="0" w:color="auto"/>
          </w:divBdr>
        </w:div>
        <w:div w:id="90861829">
          <w:marLeft w:val="0"/>
          <w:marRight w:val="0"/>
          <w:marTop w:val="0"/>
          <w:marBottom w:val="0"/>
          <w:divBdr>
            <w:top w:val="none" w:sz="0" w:space="0" w:color="auto"/>
            <w:left w:val="none" w:sz="0" w:space="0" w:color="auto"/>
            <w:bottom w:val="none" w:sz="0" w:space="0" w:color="auto"/>
            <w:right w:val="none" w:sz="0" w:space="0" w:color="auto"/>
          </w:divBdr>
        </w:div>
        <w:div w:id="145438607">
          <w:marLeft w:val="0"/>
          <w:marRight w:val="0"/>
          <w:marTop w:val="0"/>
          <w:marBottom w:val="0"/>
          <w:divBdr>
            <w:top w:val="none" w:sz="0" w:space="0" w:color="auto"/>
            <w:left w:val="none" w:sz="0" w:space="0" w:color="auto"/>
            <w:bottom w:val="none" w:sz="0" w:space="0" w:color="auto"/>
            <w:right w:val="none" w:sz="0" w:space="0" w:color="auto"/>
          </w:divBdr>
        </w:div>
        <w:div w:id="379520144">
          <w:marLeft w:val="0"/>
          <w:marRight w:val="0"/>
          <w:marTop w:val="0"/>
          <w:marBottom w:val="0"/>
          <w:divBdr>
            <w:top w:val="none" w:sz="0" w:space="0" w:color="auto"/>
            <w:left w:val="none" w:sz="0" w:space="0" w:color="auto"/>
            <w:bottom w:val="none" w:sz="0" w:space="0" w:color="auto"/>
            <w:right w:val="none" w:sz="0" w:space="0" w:color="auto"/>
          </w:divBdr>
        </w:div>
        <w:div w:id="678194016">
          <w:marLeft w:val="0"/>
          <w:marRight w:val="0"/>
          <w:marTop w:val="0"/>
          <w:marBottom w:val="0"/>
          <w:divBdr>
            <w:top w:val="none" w:sz="0" w:space="0" w:color="auto"/>
            <w:left w:val="none" w:sz="0" w:space="0" w:color="auto"/>
            <w:bottom w:val="none" w:sz="0" w:space="0" w:color="auto"/>
            <w:right w:val="none" w:sz="0" w:space="0" w:color="auto"/>
          </w:divBdr>
        </w:div>
        <w:div w:id="768158775">
          <w:marLeft w:val="0"/>
          <w:marRight w:val="0"/>
          <w:marTop w:val="0"/>
          <w:marBottom w:val="0"/>
          <w:divBdr>
            <w:top w:val="none" w:sz="0" w:space="0" w:color="auto"/>
            <w:left w:val="none" w:sz="0" w:space="0" w:color="auto"/>
            <w:bottom w:val="none" w:sz="0" w:space="0" w:color="auto"/>
            <w:right w:val="none" w:sz="0" w:space="0" w:color="auto"/>
          </w:divBdr>
        </w:div>
        <w:div w:id="1315573544">
          <w:marLeft w:val="0"/>
          <w:marRight w:val="0"/>
          <w:marTop w:val="0"/>
          <w:marBottom w:val="0"/>
          <w:divBdr>
            <w:top w:val="none" w:sz="0" w:space="0" w:color="auto"/>
            <w:left w:val="none" w:sz="0" w:space="0" w:color="auto"/>
            <w:bottom w:val="none" w:sz="0" w:space="0" w:color="auto"/>
            <w:right w:val="none" w:sz="0" w:space="0" w:color="auto"/>
          </w:divBdr>
        </w:div>
        <w:div w:id="1328941484">
          <w:marLeft w:val="0"/>
          <w:marRight w:val="0"/>
          <w:marTop w:val="0"/>
          <w:marBottom w:val="0"/>
          <w:divBdr>
            <w:top w:val="none" w:sz="0" w:space="0" w:color="auto"/>
            <w:left w:val="none" w:sz="0" w:space="0" w:color="auto"/>
            <w:bottom w:val="none" w:sz="0" w:space="0" w:color="auto"/>
            <w:right w:val="none" w:sz="0" w:space="0" w:color="auto"/>
          </w:divBdr>
        </w:div>
        <w:div w:id="1931153723">
          <w:marLeft w:val="0"/>
          <w:marRight w:val="0"/>
          <w:marTop w:val="0"/>
          <w:marBottom w:val="0"/>
          <w:divBdr>
            <w:top w:val="none" w:sz="0" w:space="0" w:color="auto"/>
            <w:left w:val="none" w:sz="0" w:space="0" w:color="auto"/>
            <w:bottom w:val="none" w:sz="0" w:space="0" w:color="auto"/>
            <w:right w:val="none" w:sz="0" w:space="0" w:color="auto"/>
          </w:divBdr>
        </w:div>
        <w:div w:id="2128155615">
          <w:marLeft w:val="0"/>
          <w:marRight w:val="0"/>
          <w:marTop w:val="0"/>
          <w:marBottom w:val="0"/>
          <w:divBdr>
            <w:top w:val="none" w:sz="0" w:space="0" w:color="auto"/>
            <w:left w:val="none" w:sz="0" w:space="0" w:color="auto"/>
            <w:bottom w:val="none" w:sz="0" w:space="0" w:color="auto"/>
            <w:right w:val="none" w:sz="0" w:space="0" w:color="auto"/>
          </w:divBdr>
        </w:div>
      </w:divsChild>
    </w:div>
    <w:div w:id="1892885440">
      <w:bodyDiv w:val="1"/>
      <w:marLeft w:val="0"/>
      <w:marRight w:val="0"/>
      <w:marTop w:val="0"/>
      <w:marBottom w:val="0"/>
      <w:divBdr>
        <w:top w:val="none" w:sz="0" w:space="0" w:color="auto"/>
        <w:left w:val="none" w:sz="0" w:space="0" w:color="auto"/>
        <w:bottom w:val="none" w:sz="0" w:space="0" w:color="auto"/>
        <w:right w:val="none" w:sz="0" w:space="0" w:color="auto"/>
      </w:divBdr>
    </w:div>
    <w:div w:id="1900240668">
      <w:bodyDiv w:val="1"/>
      <w:marLeft w:val="0"/>
      <w:marRight w:val="0"/>
      <w:marTop w:val="0"/>
      <w:marBottom w:val="0"/>
      <w:divBdr>
        <w:top w:val="none" w:sz="0" w:space="0" w:color="auto"/>
        <w:left w:val="none" w:sz="0" w:space="0" w:color="auto"/>
        <w:bottom w:val="none" w:sz="0" w:space="0" w:color="auto"/>
        <w:right w:val="none" w:sz="0" w:space="0" w:color="auto"/>
      </w:divBdr>
    </w:div>
    <w:div w:id="1902711792">
      <w:bodyDiv w:val="1"/>
      <w:marLeft w:val="0"/>
      <w:marRight w:val="0"/>
      <w:marTop w:val="0"/>
      <w:marBottom w:val="0"/>
      <w:divBdr>
        <w:top w:val="none" w:sz="0" w:space="0" w:color="auto"/>
        <w:left w:val="none" w:sz="0" w:space="0" w:color="auto"/>
        <w:bottom w:val="none" w:sz="0" w:space="0" w:color="auto"/>
        <w:right w:val="none" w:sz="0" w:space="0" w:color="auto"/>
      </w:divBdr>
      <w:divsChild>
        <w:div w:id="505748633">
          <w:marLeft w:val="0"/>
          <w:marRight w:val="0"/>
          <w:marTop w:val="0"/>
          <w:marBottom w:val="0"/>
          <w:divBdr>
            <w:top w:val="none" w:sz="0" w:space="0" w:color="auto"/>
            <w:left w:val="none" w:sz="0" w:space="0" w:color="auto"/>
            <w:bottom w:val="none" w:sz="0" w:space="0" w:color="auto"/>
            <w:right w:val="none" w:sz="0" w:space="0" w:color="auto"/>
          </w:divBdr>
        </w:div>
        <w:div w:id="550770455">
          <w:marLeft w:val="0"/>
          <w:marRight w:val="0"/>
          <w:marTop w:val="0"/>
          <w:marBottom w:val="0"/>
          <w:divBdr>
            <w:top w:val="none" w:sz="0" w:space="0" w:color="auto"/>
            <w:left w:val="none" w:sz="0" w:space="0" w:color="auto"/>
            <w:bottom w:val="none" w:sz="0" w:space="0" w:color="auto"/>
            <w:right w:val="none" w:sz="0" w:space="0" w:color="auto"/>
          </w:divBdr>
        </w:div>
        <w:div w:id="1145973592">
          <w:marLeft w:val="0"/>
          <w:marRight w:val="0"/>
          <w:marTop w:val="0"/>
          <w:marBottom w:val="0"/>
          <w:divBdr>
            <w:top w:val="none" w:sz="0" w:space="0" w:color="auto"/>
            <w:left w:val="none" w:sz="0" w:space="0" w:color="auto"/>
            <w:bottom w:val="none" w:sz="0" w:space="0" w:color="auto"/>
            <w:right w:val="none" w:sz="0" w:space="0" w:color="auto"/>
          </w:divBdr>
        </w:div>
        <w:div w:id="1209416911">
          <w:marLeft w:val="0"/>
          <w:marRight w:val="0"/>
          <w:marTop w:val="0"/>
          <w:marBottom w:val="0"/>
          <w:divBdr>
            <w:top w:val="none" w:sz="0" w:space="0" w:color="auto"/>
            <w:left w:val="none" w:sz="0" w:space="0" w:color="auto"/>
            <w:bottom w:val="none" w:sz="0" w:space="0" w:color="auto"/>
            <w:right w:val="none" w:sz="0" w:space="0" w:color="auto"/>
          </w:divBdr>
        </w:div>
        <w:div w:id="1435050471">
          <w:marLeft w:val="0"/>
          <w:marRight w:val="0"/>
          <w:marTop w:val="0"/>
          <w:marBottom w:val="0"/>
          <w:divBdr>
            <w:top w:val="none" w:sz="0" w:space="0" w:color="auto"/>
            <w:left w:val="none" w:sz="0" w:space="0" w:color="auto"/>
            <w:bottom w:val="none" w:sz="0" w:space="0" w:color="auto"/>
            <w:right w:val="none" w:sz="0" w:space="0" w:color="auto"/>
          </w:divBdr>
        </w:div>
        <w:div w:id="1670056606">
          <w:marLeft w:val="0"/>
          <w:marRight w:val="0"/>
          <w:marTop w:val="0"/>
          <w:marBottom w:val="0"/>
          <w:divBdr>
            <w:top w:val="none" w:sz="0" w:space="0" w:color="auto"/>
            <w:left w:val="none" w:sz="0" w:space="0" w:color="auto"/>
            <w:bottom w:val="none" w:sz="0" w:space="0" w:color="auto"/>
            <w:right w:val="none" w:sz="0" w:space="0" w:color="auto"/>
          </w:divBdr>
        </w:div>
      </w:divsChild>
    </w:div>
    <w:div w:id="1954088097">
      <w:bodyDiv w:val="1"/>
      <w:marLeft w:val="0"/>
      <w:marRight w:val="0"/>
      <w:marTop w:val="0"/>
      <w:marBottom w:val="0"/>
      <w:divBdr>
        <w:top w:val="none" w:sz="0" w:space="0" w:color="auto"/>
        <w:left w:val="none" w:sz="0" w:space="0" w:color="auto"/>
        <w:bottom w:val="none" w:sz="0" w:space="0" w:color="auto"/>
        <w:right w:val="none" w:sz="0" w:space="0" w:color="auto"/>
      </w:divBdr>
    </w:div>
    <w:div w:id="2017462456">
      <w:bodyDiv w:val="1"/>
      <w:marLeft w:val="0"/>
      <w:marRight w:val="0"/>
      <w:marTop w:val="0"/>
      <w:marBottom w:val="0"/>
      <w:divBdr>
        <w:top w:val="none" w:sz="0" w:space="0" w:color="auto"/>
        <w:left w:val="none" w:sz="0" w:space="0" w:color="auto"/>
        <w:bottom w:val="none" w:sz="0" w:space="0" w:color="auto"/>
        <w:right w:val="none" w:sz="0" w:space="0" w:color="auto"/>
      </w:divBdr>
    </w:div>
    <w:div w:id="2026134052">
      <w:bodyDiv w:val="1"/>
      <w:marLeft w:val="0"/>
      <w:marRight w:val="0"/>
      <w:marTop w:val="0"/>
      <w:marBottom w:val="0"/>
      <w:divBdr>
        <w:top w:val="none" w:sz="0" w:space="0" w:color="auto"/>
        <w:left w:val="none" w:sz="0" w:space="0" w:color="auto"/>
        <w:bottom w:val="none" w:sz="0" w:space="0" w:color="auto"/>
        <w:right w:val="none" w:sz="0" w:space="0" w:color="auto"/>
      </w:divBdr>
    </w:div>
    <w:div w:id="2037610597">
      <w:bodyDiv w:val="1"/>
      <w:marLeft w:val="0"/>
      <w:marRight w:val="0"/>
      <w:marTop w:val="0"/>
      <w:marBottom w:val="0"/>
      <w:divBdr>
        <w:top w:val="none" w:sz="0" w:space="0" w:color="auto"/>
        <w:left w:val="none" w:sz="0" w:space="0" w:color="auto"/>
        <w:bottom w:val="none" w:sz="0" w:space="0" w:color="auto"/>
        <w:right w:val="none" w:sz="0" w:space="0" w:color="auto"/>
      </w:divBdr>
    </w:div>
    <w:div w:id="2074545196">
      <w:bodyDiv w:val="1"/>
      <w:marLeft w:val="0"/>
      <w:marRight w:val="0"/>
      <w:marTop w:val="0"/>
      <w:marBottom w:val="0"/>
      <w:divBdr>
        <w:top w:val="none" w:sz="0" w:space="0" w:color="auto"/>
        <w:left w:val="none" w:sz="0" w:space="0" w:color="auto"/>
        <w:bottom w:val="none" w:sz="0" w:space="0" w:color="auto"/>
        <w:right w:val="none" w:sz="0" w:space="0" w:color="auto"/>
      </w:divBdr>
    </w:div>
    <w:div w:id="2095783771">
      <w:bodyDiv w:val="1"/>
      <w:marLeft w:val="0"/>
      <w:marRight w:val="0"/>
      <w:marTop w:val="0"/>
      <w:marBottom w:val="0"/>
      <w:divBdr>
        <w:top w:val="none" w:sz="0" w:space="0" w:color="auto"/>
        <w:left w:val="none" w:sz="0" w:space="0" w:color="auto"/>
        <w:bottom w:val="none" w:sz="0" w:space="0" w:color="auto"/>
        <w:right w:val="none" w:sz="0" w:space="0" w:color="auto"/>
      </w:divBdr>
      <w:divsChild>
        <w:div w:id="227037708">
          <w:marLeft w:val="0"/>
          <w:marRight w:val="0"/>
          <w:marTop w:val="0"/>
          <w:marBottom w:val="0"/>
          <w:divBdr>
            <w:top w:val="none" w:sz="0" w:space="0" w:color="auto"/>
            <w:left w:val="none" w:sz="0" w:space="0" w:color="auto"/>
            <w:bottom w:val="none" w:sz="0" w:space="0" w:color="auto"/>
            <w:right w:val="none" w:sz="0" w:space="0" w:color="auto"/>
          </w:divBdr>
        </w:div>
        <w:div w:id="265815869">
          <w:marLeft w:val="0"/>
          <w:marRight w:val="0"/>
          <w:marTop w:val="0"/>
          <w:marBottom w:val="0"/>
          <w:divBdr>
            <w:top w:val="none" w:sz="0" w:space="0" w:color="auto"/>
            <w:left w:val="none" w:sz="0" w:space="0" w:color="auto"/>
            <w:bottom w:val="none" w:sz="0" w:space="0" w:color="auto"/>
            <w:right w:val="none" w:sz="0" w:space="0" w:color="auto"/>
          </w:divBdr>
        </w:div>
        <w:div w:id="718742056">
          <w:marLeft w:val="0"/>
          <w:marRight w:val="0"/>
          <w:marTop w:val="0"/>
          <w:marBottom w:val="0"/>
          <w:divBdr>
            <w:top w:val="none" w:sz="0" w:space="0" w:color="auto"/>
            <w:left w:val="none" w:sz="0" w:space="0" w:color="auto"/>
            <w:bottom w:val="none" w:sz="0" w:space="0" w:color="auto"/>
            <w:right w:val="none" w:sz="0" w:space="0" w:color="auto"/>
          </w:divBdr>
        </w:div>
        <w:div w:id="775977314">
          <w:marLeft w:val="0"/>
          <w:marRight w:val="0"/>
          <w:marTop w:val="0"/>
          <w:marBottom w:val="0"/>
          <w:divBdr>
            <w:top w:val="none" w:sz="0" w:space="0" w:color="auto"/>
            <w:left w:val="none" w:sz="0" w:space="0" w:color="auto"/>
            <w:bottom w:val="none" w:sz="0" w:space="0" w:color="auto"/>
            <w:right w:val="none" w:sz="0" w:space="0" w:color="auto"/>
          </w:divBdr>
        </w:div>
        <w:div w:id="809711077">
          <w:marLeft w:val="0"/>
          <w:marRight w:val="0"/>
          <w:marTop w:val="0"/>
          <w:marBottom w:val="0"/>
          <w:divBdr>
            <w:top w:val="none" w:sz="0" w:space="0" w:color="auto"/>
            <w:left w:val="none" w:sz="0" w:space="0" w:color="auto"/>
            <w:bottom w:val="none" w:sz="0" w:space="0" w:color="auto"/>
            <w:right w:val="none" w:sz="0" w:space="0" w:color="auto"/>
          </w:divBdr>
        </w:div>
        <w:div w:id="1099789834">
          <w:marLeft w:val="0"/>
          <w:marRight w:val="0"/>
          <w:marTop w:val="0"/>
          <w:marBottom w:val="0"/>
          <w:divBdr>
            <w:top w:val="none" w:sz="0" w:space="0" w:color="auto"/>
            <w:left w:val="none" w:sz="0" w:space="0" w:color="auto"/>
            <w:bottom w:val="none" w:sz="0" w:space="0" w:color="auto"/>
            <w:right w:val="none" w:sz="0" w:space="0" w:color="auto"/>
          </w:divBdr>
        </w:div>
        <w:div w:id="1485702595">
          <w:marLeft w:val="0"/>
          <w:marRight w:val="0"/>
          <w:marTop w:val="0"/>
          <w:marBottom w:val="0"/>
          <w:divBdr>
            <w:top w:val="none" w:sz="0" w:space="0" w:color="auto"/>
            <w:left w:val="none" w:sz="0" w:space="0" w:color="auto"/>
            <w:bottom w:val="none" w:sz="0" w:space="0" w:color="auto"/>
            <w:right w:val="none" w:sz="0" w:space="0" w:color="auto"/>
          </w:divBdr>
        </w:div>
        <w:div w:id="1936591626">
          <w:marLeft w:val="0"/>
          <w:marRight w:val="0"/>
          <w:marTop w:val="0"/>
          <w:marBottom w:val="0"/>
          <w:divBdr>
            <w:top w:val="none" w:sz="0" w:space="0" w:color="auto"/>
            <w:left w:val="none" w:sz="0" w:space="0" w:color="auto"/>
            <w:bottom w:val="none" w:sz="0" w:space="0" w:color="auto"/>
            <w:right w:val="none" w:sz="0" w:space="0" w:color="auto"/>
          </w:divBdr>
        </w:div>
        <w:div w:id="1948123458">
          <w:marLeft w:val="0"/>
          <w:marRight w:val="0"/>
          <w:marTop w:val="0"/>
          <w:marBottom w:val="0"/>
          <w:divBdr>
            <w:top w:val="none" w:sz="0" w:space="0" w:color="auto"/>
            <w:left w:val="none" w:sz="0" w:space="0" w:color="auto"/>
            <w:bottom w:val="none" w:sz="0" w:space="0" w:color="auto"/>
            <w:right w:val="none" w:sz="0" w:space="0" w:color="auto"/>
          </w:divBdr>
        </w:div>
        <w:div w:id="21096923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ogle.com/search?sca_esv=168bb5d2636e6f00&amp;rlz=1C1GCEB_enUS979US979&amp;q=fecal+immunochemical+test&amp;sa=X&amp;ved=2ahUKEwj-2v25yLKOAxXxFlkFHZ_KMaMQxccNegQIKhAB&amp;mstk=AUtExfAfLl9JHMsf3pCvJI6jUQDZv7LHcMQ1XEWeklYrSEQp3t6EJErOS4YgxgXXfh3d25CkiWMS9S7pFmkEJQPw-MW2tYZORKhoeYTBwjoOBKn4NKfDL4rkvXJU6vdt0ChSPxw&amp;csui=3"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www.mass.gov/lists/don-emerson-endoscopy-and-digestive-health-center-llc-don-application-20090210-a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LClarke\AppData\Local\Microsoft\Windows\INetCache\Content.MSO\BA1840CA.xlsx"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emersondigestivecenter.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DONCHI@Mass.gov"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dongrants@hria.org" TargetMode="Externa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file:///C:\Users\LClarke\AppData\Local\Microsoft\Windows\INetCache\Content.MSO\BA1840CA.xlsx" TargetMode="External"/><Relationship Id="rId31"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DONCHI@Mass.gov" TargetMode="External"/><Relationship Id="rId27" Type="http://schemas.openxmlformats.org/officeDocument/2006/relationships/footer" Target="footer4.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cancer.org/content/dam/cancer-org/research/cancer-facts-and-statistics/colorectal-cancer-facts-and-figures/colorectal-cancer-facts-and-figures-2023.pdf" TargetMode="External"/><Relationship Id="rId13" Type="http://schemas.openxmlformats.org/officeDocument/2006/relationships/hyperlink" Target="https://www.cancer.org/research/acs-research-news/facts-and-figures-2024.html" TargetMode="External"/><Relationship Id="rId18" Type="http://schemas.openxmlformats.org/officeDocument/2006/relationships/hyperlink" Target="https://data.census.gov/profile/Massachusetts?g=040XX00US25" TargetMode="External"/><Relationship Id="rId26" Type="http://schemas.openxmlformats.org/officeDocument/2006/relationships/hyperlink" Target="https://masshpc.gov/sites/default/files/DataPoints_ASC_26.pdf" TargetMode="External"/><Relationship Id="rId3" Type="http://schemas.openxmlformats.org/officeDocument/2006/relationships/hyperlink" Target="https://www.mass.gov/doc/nashoba-valley-health-planning-working-group-report-pdf/download" TargetMode="External"/><Relationship Id="rId21" Type="http://schemas.openxmlformats.org/officeDocument/2006/relationships/hyperlink" Target="https://masshpc.gov/sites/default/files/DataPoints_ASC_26.pdf" TargetMode="External"/><Relationship Id="rId7" Type="http://schemas.openxmlformats.org/officeDocument/2006/relationships/hyperlink" Target="https://www.cancer.org/cancer/types/colon-rectal-cancer/detection-diagnosis-staging/acs-recommendations.html" TargetMode="External"/><Relationship Id="rId12" Type="http://schemas.openxmlformats.org/officeDocument/2006/relationships/hyperlink" Target="https://www.cancer.org/content/dam/cancer-org/research/cancer-facts-and-statistics/annual-cancer-facts-and-figures/2025/2025-cancer-facts-and-figures-acs.pdf" TargetMode="External"/><Relationship Id="rId17" Type="http://schemas.openxmlformats.org/officeDocument/2006/relationships/hyperlink" Target="https://data.census.gov/profile/Massachusetts?g=040XX00US25" TargetMode="External"/><Relationship Id="rId25" Type="http://schemas.openxmlformats.org/officeDocument/2006/relationships/hyperlink" Target="https://masshpc.gov/sites/default/files/DataPoints_ASC_26.pdf" TargetMode="External"/><Relationship Id="rId2" Type="http://schemas.openxmlformats.org/officeDocument/2006/relationships/hyperlink" Target="https://www.beckersasc.com/asc-news/defining-full-utilization-of-an-ambulatory-surgery-center-qaa-with-jim-scarsella-of-anesthesia-staffing-consultants/" TargetMode="External"/><Relationship Id="rId16" Type="http://schemas.openxmlformats.org/officeDocument/2006/relationships/hyperlink" Target="https://emersonhealth.org/wp-content/uploads/2025/02/2024-Community-Health-Needs-Assessment.pdf" TargetMode="External"/><Relationship Id="rId20" Type="http://schemas.openxmlformats.org/officeDocument/2006/relationships/hyperlink" Target="https://masshpc.gov/sites/default/files/DataPoints_ASC_26.pdf" TargetMode="External"/><Relationship Id="rId29" Type="http://schemas.openxmlformats.org/officeDocument/2006/relationships/hyperlink" Target="https://www.mass.gov/doc/2023-health-care-cost-trends-report/download" TargetMode="External"/><Relationship Id="rId1" Type="http://schemas.openxmlformats.org/officeDocument/2006/relationships/hyperlink" Target="https://emersonhealth.org/wp-content/uploads/2025/02/2024-Community-Health-Needs-Assessment.pdf" TargetMode="External"/><Relationship Id="rId6" Type="http://schemas.openxmlformats.org/officeDocument/2006/relationships/hyperlink" Target="https://donahue.umass.edu/business-groups/economic-public-policy-research/massachusetts-population-estimates-program/population-projections" TargetMode="External"/><Relationship Id="rId11" Type="http://schemas.openxmlformats.org/officeDocument/2006/relationships/hyperlink" Target="https://www.mass.gov/doc/cancer-incidence-and-mortality-in-massachusetts-2016-2020-statewide-report/download" TargetMode="External"/><Relationship Id="rId24" Type="http://schemas.openxmlformats.org/officeDocument/2006/relationships/hyperlink" Target="https://masshpc.gov/sites/default/files/2024%20CTR%20Chartpack.pdf" TargetMode="External"/><Relationship Id="rId32" Type="http://schemas.openxmlformats.org/officeDocument/2006/relationships/hyperlink" Target="https://www.mass.gov/doc/presentation-board-meeting-june-7-2023/download" TargetMode="External"/><Relationship Id="rId5" Type="http://schemas.openxmlformats.org/officeDocument/2006/relationships/hyperlink" Target="https://www.atriushealth.org/about-us" TargetMode="External"/><Relationship Id="rId15" Type="http://schemas.openxmlformats.org/officeDocument/2006/relationships/hyperlink" Target="https://www.mass.gov/doc/data-report-on-colorectal-cancer-in-massachusetts-november-2020/download" TargetMode="External"/><Relationship Id="rId23" Type="http://schemas.openxmlformats.org/officeDocument/2006/relationships/hyperlink" Target="https://masshpc.gov/sites/default/files/2023%20CTR%20Chartpack.pdf" TargetMode="External"/><Relationship Id="rId28" Type="http://schemas.openxmlformats.org/officeDocument/2006/relationships/hyperlink" Target="https://www.mass.gov/doc/presentation-board-meeting-june-7-2023/download" TargetMode="External"/><Relationship Id="rId10" Type="http://schemas.openxmlformats.org/officeDocument/2006/relationships/hyperlink" Target="https://statecancerprofiles.cancer.gov/risk/index.php?topic=colorec&amp;risk=v521&amp;race=00&amp;sex=0&amp;type=risk&amp;sortVariableName=default&amp;sortOrder=default" TargetMode="External"/><Relationship Id="rId19" Type="http://schemas.openxmlformats.org/officeDocument/2006/relationships/hyperlink" Target="https://masshpc.gov/sites/default/files/DataPoints_ASC_26.pdf" TargetMode="External"/><Relationship Id="rId31" Type="http://schemas.openxmlformats.org/officeDocument/2006/relationships/hyperlink" Target="https://masshpc.gov/sites/default/files/DataPoints_ASC_26.pdf" TargetMode="External"/><Relationship Id="rId4" Type="http://schemas.openxmlformats.org/officeDocument/2006/relationships/hyperlink" Target="https://www.mass.gov/doc/nashoba-valley-health-planning-working-group-report-pdf/download" TargetMode="External"/><Relationship Id="rId9" Type="http://schemas.openxmlformats.org/officeDocument/2006/relationships/hyperlink" Target="file:///C:/Users/LClarke/Downloads/NCCRT_Strategic_Plan_March2020.pdf" TargetMode="External"/><Relationship Id="rId14" Type="http://schemas.openxmlformats.org/officeDocument/2006/relationships/hyperlink" Target="https://www.cancer.org/research/acs-research-news/facts-and-figures-2024.html" TargetMode="External"/><Relationship Id="rId22" Type="http://schemas.openxmlformats.org/officeDocument/2006/relationships/hyperlink" Target="https://masshpc.gov/sites/default/files/DataPoints_ASC_26.pdf" TargetMode="External"/><Relationship Id="rId27" Type="http://schemas.openxmlformats.org/officeDocument/2006/relationships/hyperlink" Target="https://masshpc.gov/sites/default/files/DataPoints_ASC_26.pdf" TargetMode="External"/><Relationship Id="rId30" Type="http://schemas.openxmlformats.org/officeDocument/2006/relationships/hyperlink" Target="https://higherlogicdownload.s3.amazonaws.com/ASCACONNECT/975a33fe-e4b9-41ad-92b4-8f6bbfc25293/UploadedImages/documents/public-relations/kng-health-study-reducing-medicare-costs-by-migrating-volume-from-hopds-to-asc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sge.org/docs/default-source/default-document-library/quality-indicators-for-gi-endoscopic-procedures.pdf?sfvrsn=e0d2ea51_0" TargetMode="External"/><Relationship Id="rId1" Type="http://schemas.openxmlformats.org/officeDocument/2006/relationships/hyperlink" Target="https://www.atriushealth.org/locations/con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E6AA6-D2FF-4393-B423-05AF53D318C3}">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37</Pages>
  <Words>13435</Words>
  <Characters>76582</Characters>
  <Application>Microsoft Office Word</Application>
  <DocSecurity>0</DocSecurity>
  <Lines>638</Lines>
  <Paragraphs>179</Paragraphs>
  <ScaleCrop>false</ScaleCrop>
  <Company/>
  <LinksUpToDate>false</LinksUpToDate>
  <CharactersWithSpaces>89838</CharactersWithSpaces>
  <SharedDoc>false</SharedDoc>
  <HLinks>
    <vt:vector size="366" baseType="variant">
      <vt:variant>
        <vt:i4>4391024</vt:i4>
      </vt:variant>
      <vt:variant>
        <vt:i4>138</vt:i4>
      </vt:variant>
      <vt:variant>
        <vt:i4>0</vt:i4>
      </vt:variant>
      <vt:variant>
        <vt:i4>5</vt:i4>
      </vt:variant>
      <vt:variant>
        <vt:lpwstr>mailto:DONCHI@Mass.gov</vt:lpwstr>
      </vt:variant>
      <vt:variant>
        <vt:lpwstr/>
      </vt:variant>
      <vt:variant>
        <vt:i4>5898347</vt:i4>
      </vt:variant>
      <vt:variant>
        <vt:i4>135</vt:i4>
      </vt:variant>
      <vt:variant>
        <vt:i4>0</vt:i4>
      </vt:variant>
      <vt:variant>
        <vt:i4>5</vt:i4>
      </vt:variant>
      <vt:variant>
        <vt:lpwstr>mailto:dongrants@hria.org</vt:lpwstr>
      </vt:variant>
      <vt:variant>
        <vt:lpwstr/>
      </vt:variant>
      <vt:variant>
        <vt:i4>4391024</vt:i4>
      </vt:variant>
      <vt:variant>
        <vt:i4>132</vt:i4>
      </vt:variant>
      <vt:variant>
        <vt:i4>0</vt:i4>
      </vt:variant>
      <vt:variant>
        <vt:i4>5</vt:i4>
      </vt:variant>
      <vt:variant>
        <vt:lpwstr>mailto:DONCHI@Mass.gov</vt:lpwstr>
      </vt:variant>
      <vt:variant>
        <vt:lpwstr/>
      </vt:variant>
      <vt:variant>
        <vt:i4>5767238</vt:i4>
      </vt:variant>
      <vt:variant>
        <vt:i4>129</vt:i4>
      </vt:variant>
      <vt:variant>
        <vt:i4>0</vt:i4>
      </vt:variant>
      <vt:variant>
        <vt:i4>5</vt:i4>
      </vt:variant>
      <vt:variant>
        <vt:lpwstr>https://www.mass.gov/lists/don-emerson-endoscopy-and-digestive-health-center-llc-don-application-20090210-as</vt:lpwstr>
      </vt:variant>
      <vt:variant>
        <vt:lpwstr/>
      </vt:variant>
      <vt:variant>
        <vt:i4>7340154</vt:i4>
      </vt:variant>
      <vt:variant>
        <vt:i4>126</vt:i4>
      </vt:variant>
      <vt:variant>
        <vt:i4>0</vt:i4>
      </vt:variant>
      <vt:variant>
        <vt:i4>5</vt:i4>
      </vt:variant>
      <vt:variant>
        <vt:lpwstr>https://emersondigestivecenter.com/</vt:lpwstr>
      </vt:variant>
      <vt:variant>
        <vt:lpwstr/>
      </vt:variant>
      <vt:variant>
        <vt:i4>2424871</vt:i4>
      </vt:variant>
      <vt:variant>
        <vt:i4>123</vt:i4>
      </vt:variant>
      <vt:variant>
        <vt:i4>0</vt:i4>
      </vt:variant>
      <vt:variant>
        <vt:i4>5</vt:i4>
      </vt:variant>
      <vt:variant>
        <vt:lpwstr>C:\Users\LClarke\AppData\Local\Microsoft\Windows\INetCache\Content.MSO\BA1840CA.xlsx</vt:lpwstr>
      </vt:variant>
      <vt:variant>
        <vt:lpwstr>RANGE!_ftn1</vt:lpwstr>
      </vt:variant>
      <vt:variant>
        <vt:i4>1507450</vt:i4>
      </vt:variant>
      <vt:variant>
        <vt:i4>120</vt:i4>
      </vt:variant>
      <vt:variant>
        <vt:i4>0</vt:i4>
      </vt:variant>
      <vt:variant>
        <vt:i4>5</vt:i4>
      </vt:variant>
      <vt:variant>
        <vt:lpwstr>https://www.google.com/search?sca_esv=168bb5d2636e6f00&amp;rlz=1C1GCEB_enUS979US979&amp;q=fecal+immunochemical+test&amp;sa=X&amp;ved=2ahUKEwj-2v25yLKOAxXxFlkFHZ_KMaMQxccNegQIKhAB&amp;mstk=AUtExfAfLl9JHMsf3pCvJI6jUQDZv7LHcMQ1XEWeklYrSEQp3t6EJErOS4YgxgXXfh3d25CkiWMS9S7pFmkEJQPw-MW2tYZORKhoeYTBwjoOBKn4NKfDL4rkvXJU6vdt0ChSPxw&amp;csui=3</vt:lpwstr>
      </vt:variant>
      <vt:variant>
        <vt:lpwstr/>
      </vt:variant>
      <vt:variant>
        <vt:i4>2424871</vt:i4>
      </vt:variant>
      <vt:variant>
        <vt:i4>117</vt:i4>
      </vt:variant>
      <vt:variant>
        <vt:i4>0</vt:i4>
      </vt:variant>
      <vt:variant>
        <vt:i4>5</vt:i4>
      </vt:variant>
      <vt:variant>
        <vt:lpwstr>C:\Users\LClarke\AppData\Local\Microsoft\Windows\INetCache\Content.MSO\BA1840CA.xlsx</vt:lpwstr>
      </vt:variant>
      <vt:variant>
        <vt:lpwstr>RANGE!_ftn1</vt:lpwstr>
      </vt:variant>
      <vt:variant>
        <vt:i4>1179710</vt:i4>
      </vt:variant>
      <vt:variant>
        <vt:i4>110</vt:i4>
      </vt:variant>
      <vt:variant>
        <vt:i4>0</vt:i4>
      </vt:variant>
      <vt:variant>
        <vt:i4>5</vt:i4>
      </vt:variant>
      <vt:variant>
        <vt:lpwstr/>
      </vt:variant>
      <vt:variant>
        <vt:lpwstr>_Toc207190247</vt:lpwstr>
      </vt:variant>
      <vt:variant>
        <vt:i4>1179710</vt:i4>
      </vt:variant>
      <vt:variant>
        <vt:i4>104</vt:i4>
      </vt:variant>
      <vt:variant>
        <vt:i4>0</vt:i4>
      </vt:variant>
      <vt:variant>
        <vt:i4>5</vt:i4>
      </vt:variant>
      <vt:variant>
        <vt:lpwstr/>
      </vt:variant>
      <vt:variant>
        <vt:lpwstr>_Toc207190246</vt:lpwstr>
      </vt:variant>
      <vt:variant>
        <vt:i4>1179710</vt:i4>
      </vt:variant>
      <vt:variant>
        <vt:i4>98</vt:i4>
      </vt:variant>
      <vt:variant>
        <vt:i4>0</vt:i4>
      </vt:variant>
      <vt:variant>
        <vt:i4>5</vt:i4>
      </vt:variant>
      <vt:variant>
        <vt:lpwstr/>
      </vt:variant>
      <vt:variant>
        <vt:lpwstr>_Toc207190245</vt:lpwstr>
      </vt:variant>
      <vt:variant>
        <vt:i4>1179710</vt:i4>
      </vt:variant>
      <vt:variant>
        <vt:i4>92</vt:i4>
      </vt:variant>
      <vt:variant>
        <vt:i4>0</vt:i4>
      </vt:variant>
      <vt:variant>
        <vt:i4>5</vt:i4>
      </vt:variant>
      <vt:variant>
        <vt:lpwstr/>
      </vt:variant>
      <vt:variant>
        <vt:lpwstr>_Toc207190244</vt:lpwstr>
      </vt:variant>
      <vt:variant>
        <vt:i4>1179710</vt:i4>
      </vt:variant>
      <vt:variant>
        <vt:i4>86</vt:i4>
      </vt:variant>
      <vt:variant>
        <vt:i4>0</vt:i4>
      </vt:variant>
      <vt:variant>
        <vt:i4>5</vt:i4>
      </vt:variant>
      <vt:variant>
        <vt:lpwstr/>
      </vt:variant>
      <vt:variant>
        <vt:lpwstr>_Toc207190243</vt:lpwstr>
      </vt:variant>
      <vt:variant>
        <vt:i4>1179710</vt:i4>
      </vt:variant>
      <vt:variant>
        <vt:i4>80</vt:i4>
      </vt:variant>
      <vt:variant>
        <vt:i4>0</vt:i4>
      </vt:variant>
      <vt:variant>
        <vt:i4>5</vt:i4>
      </vt:variant>
      <vt:variant>
        <vt:lpwstr/>
      </vt:variant>
      <vt:variant>
        <vt:lpwstr>_Toc207190242</vt:lpwstr>
      </vt:variant>
      <vt:variant>
        <vt:i4>1179710</vt:i4>
      </vt:variant>
      <vt:variant>
        <vt:i4>74</vt:i4>
      </vt:variant>
      <vt:variant>
        <vt:i4>0</vt:i4>
      </vt:variant>
      <vt:variant>
        <vt:i4>5</vt:i4>
      </vt:variant>
      <vt:variant>
        <vt:lpwstr/>
      </vt:variant>
      <vt:variant>
        <vt:lpwstr>_Toc207190241</vt:lpwstr>
      </vt:variant>
      <vt:variant>
        <vt:i4>1179710</vt:i4>
      </vt:variant>
      <vt:variant>
        <vt:i4>68</vt:i4>
      </vt:variant>
      <vt:variant>
        <vt:i4>0</vt:i4>
      </vt:variant>
      <vt:variant>
        <vt:i4>5</vt:i4>
      </vt:variant>
      <vt:variant>
        <vt:lpwstr/>
      </vt:variant>
      <vt:variant>
        <vt:lpwstr>_Toc207190240</vt:lpwstr>
      </vt:variant>
      <vt:variant>
        <vt:i4>1376318</vt:i4>
      </vt:variant>
      <vt:variant>
        <vt:i4>62</vt:i4>
      </vt:variant>
      <vt:variant>
        <vt:i4>0</vt:i4>
      </vt:variant>
      <vt:variant>
        <vt:i4>5</vt:i4>
      </vt:variant>
      <vt:variant>
        <vt:lpwstr/>
      </vt:variant>
      <vt:variant>
        <vt:lpwstr>_Toc207190239</vt:lpwstr>
      </vt:variant>
      <vt:variant>
        <vt:i4>1376318</vt:i4>
      </vt:variant>
      <vt:variant>
        <vt:i4>56</vt:i4>
      </vt:variant>
      <vt:variant>
        <vt:i4>0</vt:i4>
      </vt:variant>
      <vt:variant>
        <vt:i4>5</vt:i4>
      </vt:variant>
      <vt:variant>
        <vt:lpwstr/>
      </vt:variant>
      <vt:variant>
        <vt:lpwstr>_Toc207190238</vt:lpwstr>
      </vt:variant>
      <vt:variant>
        <vt:i4>1376318</vt:i4>
      </vt:variant>
      <vt:variant>
        <vt:i4>50</vt:i4>
      </vt:variant>
      <vt:variant>
        <vt:i4>0</vt:i4>
      </vt:variant>
      <vt:variant>
        <vt:i4>5</vt:i4>
      </vt:variant>
      <vt:variant>
        <vt:lpwstr/>
      </vt:variant>
      <vt:variant>
        <vt:lpwstr>_Toc207190237</vt:lpwstr>
      </vt:variant>
      <vt:variant>
        <vt:i4>1376318</vt:i4>
      </vt:variant>
      <vt:variant>
        <vt:i4>44</vt:i4>
      </vt:variant>
      <vt:variant>
        <vt:i4>0</vt:i4>
      </vt:variant>
      <vt:variant>
        <vt:i4>5</vt:i4>
      </vt:variant>
      <vt:variant>
        <vt:lpwstr/>
      </vt:variant>
      <vt:variant>
        <vt:lpwstr>_Toc207190236</vt:lpwstr>
      </vt:variant>
      <vt:variant>
        <vt:i4>1376318</vt:i4>
      </vt:variant>
      <vt:variant>
        <vt:i4>38</vt:i4>
      </vt:variant>
      <vt:variant>
        <vt:i4>0</vt:i4>
      </vt:variant>
      <vt:variant>
        <vt:i4>5</vt:i4>
      </vt:variant>
      <vt:variant>
        <vt:lpwstr/>
      </vt:variant>
      <vt:variant>
        <vt:lpwstr>_Toc207190235</vt:lpwstr>
      </vt:variant>
      <vt:variant>
        <vt:i4>1376318</vt:i4>
      </vt:variant>
      <vt:variant>
        <vt:i4>32</vt:i4>
      </vt:variant>
      <vt:variant>
        <vt:i4>0</vt:i4>
      </vt:variant>
      <vt:variant>
        <vt:i4>5</vt:i4>
      </vt:variant>
      <vt:variant>
        <vt:lpwstr/>
      </vt:variant>
      <vt:variant>
        <vt:lpwstr>_Toc207190234</vt:lpwstr>
      </vt:variant>
      <vt:variant>
        <vt:i4>1376318</vt:i4>
      </vt:variant>
      <vt:variant>
        <vt:i4>26</vt:i4>
      </vt:variant>
      <vt:variant>
        <vt:i4>0</vt:i4>
      </vt:variant>
      <vt:variant>
        <vt:i4>5</vt:i4>
      </vt:variant>
      <vt:variant>
        <vt:lpwstr/>
      </vt:variant>
      <vt:variant>
        <vt:lpwstr>_Toc207190233</vt:lpwstr>
      </vt:variant>
      <vt:variant>
        <vt:i4>1376318</vt:i4>
      </vt:variant>
      <vt:variant>
        <vt:i4>20</vt:i4>
      </vt:variant>
      <vt:variant>
        <vt:i4>0</vt:i4>
      </vt:variant>
      <vt:variant>
        <vt:i4>5</vt:i4>
      </vt:variant>
      <vt:variant>
        <vt:lpwstr/>
      </vt:variant>
      <vt:variant>
        <vt:lpwstr>_Toc207190232</vt:lpwstr>
      </vt:variant>
      <vt:variant>
        <vt:i4>1376318</vt:i4>
      </vt:variant>
      <vt:variant>
        <vt:i4>14</vt:i4>
      </vt:variant>
      <vt:variant>
        <vt:i4>0</vt:i4>
      </vt:variant>
      <vt:variant>
        <vt:i4>5</vt:i4>
      </vt:variant>
      <vt:variant>
        <vt:lpwstr/>
      </vt:variant>
      <vt:variant>
        <vt:lpwstr>_Toc207190231</vt:lpwstr>
      </vt:variant>
      <vt:variant>
        <vt:i4>1376318</vt:i4>
      </vt:variant>
      <vt:variant>
        <vt:i4>8</vt:i4>
      </vt:variant>
      <vt:variant>
        <vt:i4>0</vt:i4>
      </vt:variant>
      <vt:variant>
        <vt:i4>5</vt:i4>
      </vt:variant>
      <vt:variant>
        <vt:lpwstr/>
      </vt:variant>
      <vt:variant>
        <vt:lpwstr>_Toc207190230</vt:lpwstr>
      </vt:variant>
      <vt:variant>
        <vt:i4>1310782</vt:i4>
      </vt:variant>
      <vt:variant>
        <vt:i4>2</vt:i4>
      </vt:variant>
      <vt:variant>
        <vt:i4>0</vt:i4>
      </vt:variant>
      <vt:variant>
        <vt:i4>5</vt:i4>
      </vt:variant>
      <vt:variant>
        <vt:lpwstr/>
      </vt:variant>
      <vt:variant>
        <vt:lpwstr>_Toc207190229</vt:lpwstr>
      </vt:variant>
      <vt:variant>
        <vt:i4>5308532</vt:i4>
      </vt:variant>
      <vt:variant>
        <vt:i4>3</vt:i4>
      </vt:variant>
      <vt:variant>
        <vt:i4>0</vt:i4>
      </vt:variant>
      <vt:variant>
        <vt:i4>5</vt:i4>
      </vt:variant>
      <vt:variant>
        <vt:lpwstr>https://www.asge.org/docs/default-source/default-document-library/quality-indicators-for-gi-endoscopic-procedures.pdf?sfvrsn=e0d2ea51_0</vt:lpwstr>
      </vt:variant>
      <vt:variant>
        <vt:lpwstr/>
      </vt:variant>
      <vt:variant>
        <vt:i4>3014768</vt:i4>
      </vt:variant>
      <vt:variant>
        <vt:i4>0</vt:i4>
      </vt:variant>
      <vt:variant>
        <vt:i4>0</vt:i4>
      </vt:variant>
      <vt:variant>
        <vt:i4>5</vt:i4>
      </vt:variant>
      <vt:variant>
        <vt:lpwstr>https://www.atriushealth.org/locations/concord</vt:lpwstr>
      </vt:variant>
      <vt:variant>
        <vt:lpwstr/>
      </vt:variant>
      <vt:variant>
        <vt:i4>1966081</vt:i4>
      </vt:variant>
      <vt:variant>
        <vt:i4>96</vt:i4>
      </vt:variant>
      <vt:variant>
        <vt:i4>0</vt:i4>
      </vt:variant>
      <vt:variant>
        <vt:i4>5</vt:i4>
      </vt:variant>
      <vt:variant>
        <vt:lpwstr>https://www.mass.gov/doc/presentation-board-meeting-june-7-2023/download</vt:lpwstr>
      </vt:variant>
      <vt:variant>
        <vt:lpwstr/>
      </vt:variant>
      <vt:variant>
        <vt:i4>5373954</vt:i4>
      </vt:variant>
      <vt:variant>
        <vt:i4>93</vt:i4>
      </vt:variant>
      <vt:variant>
        <vt:i4>0</vt:i4>
      </vt:variant>
      <vt:variant>
        <vt:i4>5</vt:i4>
      </vt:variant>
      <vt:variant>
        <vt:lpwstr>https://masshpc.gov/sites/default/files/DataPoints_ASC_26.pdf</vt:lpwstr>
      </vt:variant>
      <vt:variant>
        <vt:lpwstr/>
      </vt:variant>
      <vt:variant>
        <vt:i4>7536738</vt:i4>
      </vt:variant>
      <vt:variant>
        <vt:i4>90</vt:i4>
      </vt:variant>
      <vt:variant>
        <vt:i4>0</vt:i4>
      </vt:variant>
      <vt:variant>
        <vt:i4>5</vt:i4>
      </vt:variant>
      <vt:variant>
        <vt:lpwstr>https://higherlogicdownload.s3.amazonaws.com/ASCACONNECT/975a33fe-e4b9-41ad-92b4-8f6bbfc25293/UploadedImages/documents/public-relations/kng-health-study-reducing-medicare-costs-by-migrating-volume-from-hopds-to-ascs.pdf</vt:lpwstr>
      </vt:variant>
      <vt:variant>
        <vt:lpwstr/>
      </vt:variant>
      <vt:variant>
        <vt:i4>2031684</vt:i4>
      </vt:variant>
      <vt:variant>
        <vt:i4>87</vt:i4>
      </vt:variant>
      <vt:variant>
        <vt:i4>0</vt:i4>
      </vt:variant>
      <vt:variant>
        <vt:i4>5</vt:i4>
      </vt:variant>
      <vt:variant>
        <vt:lpwstr>https://www.mass.gov/doc/2023-health-care-cost-trends-report/download</vt:lpwstr>
      </vt:variant>
      <vt:variant>
        <vt:lpwstr/>
      </vt:variant>
      <vt:variant>
        <vt:i4>1966081</vt:i4>
      </vt:variant>
      <vt:variant>
        <vt:i4>84</vt:i4>
      </vt:variant>
      <vt:variant>
        <vt:i4>0</vt:i4>
      </vt:variant>
      <vt:variant>
        <vt:i4>5</vt:i4>
      </vt:variant>
      <vt:variant>
        <vt:lpwstr>https://www.mass.gov/doc/presentation-board-meeting-june-7-2023/download</vt:lpwstr>
      </vt:variant>
      <vt:variant>
        <vt:lpwstr/>
      </vt:variant>
      <vt:variant>
        <vt:i4>5373954</vt:i4>
      </vt:variant>
      <vt:variant>
        <vt:i4>81</vt:i4>
      </vt:variant>
      <vt:variant>
        <vt:i4>0</vt:i4>
      </vt:variant>
      <vt:variant>
        <vt:i4>5</vt:i4>
      </vt:variant>
      <vt:variant>
        <vt:lpwstr>https://masshpc.gov/sites/default/files/DataPoints_ASC_26.pdf</vt:lpwstr>
      </vt:variant>
      <vt:variant>
        <vt:lpwstr/>
      </vt:variant>
      <vt:variant>
        <vt:i4>5373954</vt:i4>
      </vt:variant>
      <vt:variant>
        <vt:i4>78</vt:i4>
      </vt:variant>
      <vt:variant>
        <vt:i4>0</vt:i4>
      </vt:variant>
      <vt:variant>
        <vt:i4>5</vt:i4>
      </vt:variant>
      <vt:variant>
        <vt:lpwstr>https://masshpc.gov/sites/default/files/DataPoints_ASC_26.pdf</vt:lpwstr>
      </vt:variant>
      <vt:variant>
        <vt:lpwstr/>
      </vt:variant>
      <vt:variant>
        <vt:i4>5373954</vt:i4>
      </vt:variant>
      <vt:variant>
        <vt:i4>75</vt:i4>
      </vt:variant>
      <vt:variant>
        <vt:i4>0</vt:i4>
      </vt:variant>
      <vt:variant>
        <vt:i4>5</vt:i4>
      </vt:variant>
      <vt:variant>
        <vt:lpwstr>https://masshpc.gov/sites/default/files/DataPoints_ASC_26.pdf</vt:lpwstr>
      </vt:variant>
      <vt:variant>
        <vt:lpwstr/>
      </vt:variant>
      <vt:variant>
        <vt:i4>2424957</vt:i4>
      </vt:variant>
      <vt:variant>
        <vt:i4>72</vt:i4>
      </vt:variant>
      <vt:variant>
        <vt:i4>0</vt:i4>
      </vt:variant>
      <vt:variant>
        <vt:i4>5</vt:i4>
      </vt:variant>
      <vt:variant>
        <vt:lpwstr>https://masshpc.gov/sites/default/files/2024 CTR Chartpack.pdf</vt:lpwstr>
      </vt:variant>
      <vt:variant>
        <vt:lpwstr/>
      </vt:variant>
      <vt:variant>
        <vt:i4>2228349</vt:i4>
      </vt:variant>
      <vt:variant>
        <vt:i4>69</vt:i4>
      </vt:variant>
      <vt:variant>
        <vt:i4>0</vt:i4>
      </vt:variant>
      <vt:variant>
        <vt:i4>5</vt:i4>
      </vt:variant>
      <vt:variant>
        <vt:lpwstr>https://masshpc.gov/sites/default/files/2023 CTR Chartpack.pdf</vt:lpwstr>
      </vt:variant>
      <vt:variant>
        <vt:lpwstr/>
      </vt:variant>
      <vt:variant>
        <vt:i4>5373954</vt:i4>
      </vt:variant>
      <vt:variant>
        <vt:i4>66</vt:i4>
      </vt:variant>
      <vt:variant>
        <vt:i4>0</vt:i4>
      </vt:variant>
      <vt:variant>
        <vt:i4>5</vt:i4>
      </vt:variant>
      <vt:variant>
        <vt:lpwstr>https://masshpc.gov/sites/default/files/DataPoints_ASC_26.pdf</vt:lpwstr>
      </vt:variant>
      <vt:variant>
        <vt:lpwstr/>
      </vt:variant>
      <vt:variant>
        <vt:i4>5373954</vt:i4>
      </vt:variant>
      <vt:variant>
        <vt:i4>63</vt:i4>
      </vt:variant>
      <vt:variant>
        <vt:i4>0</vt:i4>
      </vt:variant>
      <vt:variant>
        <vt:i4>5</vt:i4>
      </vt:variant>
      <vt:variant>
        <vt:lpwstr>https://masshpc.gov/sites/default/files/DataPoints_ASC_26.pdf</vt:lpwstr>
      </vt:variant>
      <vt:variant>
        <vt:lpwstr/>
      </vt:variant>
      <vt:variant>
        <vt:i4>4980811</vt:i4>
      </vt:variant>
      <vt:variant>
        <vt:i4>60</vt:i4>
      </vt:variant>
      <vt:variant>
        <vt:i4>0</vt:i4>
      </vt:variant>
      <vt:variant>
        <vt:i4>5</vt:i4>
      </vt:variant>
      <vt:variant>
        <vt:lpwstr>https://www.mass.gov/info-details/hpc-datapoints-issue-26</vt:lpwstr>
      </vt:variant>
      <vt:variant>
        <vt:lpwstr/>
      </vt:variant>
      <vt:variant>
        <vt:i4>4980811</vt:i4>
      </vt:variant>
      <vt:variant>
        <vt:i4>57</vt:i4>
      </vt:variant>
      <vt:variant>
        <vt:i4>0</vt:i4>
      </vt:variant>
      <vt:variant>
        <vt:i4>5</vt:i4>
      </vt:variant>
      <vt:variant>
        <vt:lpwstr>https://www.mass.gov/info-details/hpc-datapoints-issue-26</vt:lpwstr>
      </vt:variant>
      <vt:variant>
        <vt:lpwstr/>
      </vt:variant>
      <vt:variant>
        <vt:i4>8126502</vt:i4>
      </vt:variant>
      <vt:variant>
        <vt:i4>54</vt:i4>
      </vt:variant>
      <vt:variant>
        <vt:i4>0</vt:i4>
      </vt:variant>
      <vt:variant>
        <vt:i4>5</vt:i4>
      </vt:variant>
      <vt:variant>
        <vt:lpwstr>https://data.census.gov/profile/Massachusetts?g=040XX00US25</vt:lpwstr>
      </vt:variant>
      <vt:variant>
        <vt:lpwstr/>
      </vt:variant>
      <vt:variant>
        <vt:i4>8126502</vt:i4>
      </vt:variant>
      <vt:variant>
        <vt:i4>51</vt:i4>
      </vt:variant>
      <vt:variant>
        <vt:i4>0</vt:i4>
      </vt:variant>
      <vt:variant>
        <vt:i4>5</vt:i4>
      </vt:variant>
      <vt:variant>
        <vt:lpwstr>https://data.census.gov/profile/Massachusetts?g=040XX00US25</vt:lpwstr>
      </vt:variant>
      <vt:variant>
        <vt:lpwstr/>
      </vt:variant>
      <vt:variant>
        <vt:i4>3932269</vt:i4>
      </vt:variant>
      <vt:variant>
        <vt:i4>48</vt:i4>
      </vt:variant>
      <vt:variant>
        <vt:i4>0</vt:i4>
      </vt:variant>
      <vt:variant>
        <vt:i4>5</vt:i4>
      </vt:variant>
      <vt:variant>
        <vt:lpwstr>https://emersonhealth.org/wp-content/uploads/2025/02/2024-Community-Health-Needs-Assessment.pdf</vt:lpwstr>
      </vt:variant>
      <vt:variant>
        <vt:lpwstr/>
      </vt:variant>
      <vt:variant>
        <vt:i4>5963846</vt:i4>
      </vt:variant>
      <vt:variant>
        <vt:i4>45</vt:i4>
      </vt:variant>
      <vt:variant>
        <vt:i4>0</vt:i4>
      </vt:variant>
      <vt:variant>
        <vt:i4>5</vt:i4>
      </vt:variant>
      <vt:variant>
        <vt:lpwstr>https://www.mass.gov/doc/data-report-on-colorectal-cancer-in-massachusetts-november-2020/download</vt:lpwstr>
      </vt:variant>
      <vt:variant>
        <vt:lpwstr/>
      </vt:variant>
      <vt:variant>
        <vt:i4>5242946</vt:i4>
      </vt:variant>
      <vt:variant>
        <vt:i4>42</vt:i4>
      </vt:variant>
      <vt:variant>
        <vt:i4>0</vt:i4>
      </vt:variant>
      <vt:variant>
        <vt:i4>5</vt:i4>
      </vt:variant>
      <vt:variant>
        <vt:lpwstr>https://www.cancer.org/research/acs-research-news/facts-and-figures-2024.html</vt:lpwstr>
      </vt:variant>
      <vt:variant>
        <vt:lpwstr/>
      </vt:variant>
      <vt:variant>
        <vt:i4>5242946</vt:i4>
      </vt:variant>
      <vt:variant>
        <vt:i4>39</vt:i4>
      </vt:variant>
      <vt:variant>
        <vt:i4>0</vt:i4>
      </vt:variant>
      <vt:variant>
        <vt:i4>5</vt:i4>
      </vt:variant>
      <vt:variant>
        <vt:lpwstr>https://www.cancer.org/research/acs-research-news/facts-and-figures-2024.html</vt:lpwstr>
      </vt:variant>
      <vt:variant>
        <vt:lpwstr/>
      </vt:variant>
      <vt:variant>
        <vt:i4>5832717</vt:i4>
      </vt:variant>
      <vt:variant>
        <vt:i4>36</vt:i4>
      </vt:variant>
      <vt:variant>
        <vt:i4>0</vt:i4>
      </vt:variant>
      <vt:variant>
        <vt:i4>5</vt:i4>
      </vt:variant>
      <vt:variant>
        <vt:lpwstr>https://www.cancer.org/content/dam/cancer-org/research/cancer-facts-and-statistics/annual-cancer-facts-and-figures/2025/2025-cancer-facts-and-figures-acs.pdf</vt:lpwstr>
      </vt:variant>
      <vt:variant>
        <vt:lpwstr/>
      </vt:variant>
      <vt:variant>
        <vt:i4>720910</vt:i4>
      </vt:variant>
      <vt:variant>
        <vt:i4>33</vt:i4>
      </vt:variant>
      <vt:variant>
        <vt:i4>0</vt:i4>
      </vt:variant>
      <vt:variant>
        <vt:i4>5</vt:i4>
      </vt:variant>
      <vt:variant>
        <vt:lpwstr>https://www.mass.gov/doc/cancer-incidence-and-mortality-in-massachusetts-2016-2020-statewide-report/download</vt:lpwstr>
      </vt:variant>
      <vt:variant>
        <vt:lpwstr>:~:text=Between%202016%20and%202020%2C%20there,average%20of%2039%2C280%20cases%20yearly.&amp;text=COVID%20and%20cancer%3A&amp;text=Massachusetts%27s%20overall%20cancer%20incidence%20rate,among%20both%20males%20and%20females.</vt:lpwstr>
      </vt:variant>
      <vt:variant>
        <vt:i4>3801132</vt:i4>
      </vt:variant>
      <vt:variant>
        <vt:i4>27</vt:i4>
      </vt:variant>
      <vt:variant>
        <vt:i4>0</vt:i4>
      </vt:variant>
      <vt:variant>
        <vt:i4>5</vt:i4>
      </vt:variant>
      <vt:variant>
        <vt:lpwstr>https://statecancerprofiles.cancer.gov/risk/index.php?topic=colorec&amp;risk=v521&amp;race=00&amp;sex=0&amp;type=risk&amp;sortVariableName=default&amp;sortOrder=default</vt:lpwstr>
      </vt:variant>
      <vt:variant>
        <vt:lpwstr>results</vt:lpwstr>
      </vt:variant>
      <vt:variant>
        <vt:i4>2949132</vt:i4>
      </vt:variant>
      <vt:variant>
        <vt:i4>24</vt:i4>
      </vt:variant>
      <vt:variant>
        <vt:i4>0</vt:i4>
      </vt:variant>
      <vt:variant>
        <vt:i4>5</vt:i4>
      </vt:variant>
      <vt:variant>
        <vt:lpwstr>C:\Users\LClarke\Downloads\NCCRT_Strategic_Plan_March2020.pdf</vt:lpwstr>
      </vt:variant>
      <vt:variant>
        <vt:lpwstr/>
      </vt:variant>
      <vt:variant>
        <vt:i4>3801130</vt:i4>
      </vt:variant>
      <vt:variant>
        <vt:i4>21</vt:i4>
      </vt:variant>
      <vt:variant>
        <vt:i4>0</vt:i4>
      </vt:variant>
      <vt:variant>
        <vt:i4>5</vt:i4>
      </vt:variant>
      <vt:variant>
        <vt:lpwstr>https://www.cancer.org/content/dam/cancer-org/research/cancer-facts-and-statistics/colorectal-cancer-facts-and-figures/colorectal-cancer-facts-and-figures-2023.pdf</vt:lpwstr>
      </vt:variant>
      <vt:variant>
        <vt:lpwstr/>
      </vt:variant>
      <vt:variant>
        <vt:i4>1638427</vt:i4>
      </vt:variant>
      <vt:variant>
        <vt:i4>18</vt:i4>
      </vt:variant>
      <vt:variant>
        <vt:i4>0</vt:i4>
      </vt:variant>
      <vt:variant>
        <vt:i4>5</vt:i4>
      </vt:variant>
      <vt:variant>
        <vt:lpwstr>https://www.cancer.org/cancer/types/colon-rectal-cancer/detection-diagnosis-staging/acs-recommendations.html</vt:lpwstr>
      </vt:variant>
      <vt:variant>
        <vt:lpwstr>:%7E:text=The%20American%20Cancer%20Society%20recommends,if%20they%20do%20not%20have</vt:lpwstr>
      </vt:variant>
      <vt:variant>
        <vt:i4>8192058</vt:i4>
      </vt:variant>
      <vt:variant>
        <vt:i4>15</vt:i4>
      </vt:variant>
      <vt:variant>
        <vt:i4>0</vt:i4>
      </vt:variant>
      <vt:variant>
        <vt:i4>5</vt:i4>
      </vt:variant>
      <vt:variant>
        <vt:lpwstr>https://donahue.umass.edu/business-groups/economic-public-policy-research/massachusetts-population-estimates-program/population-projections</vt:lpwstr>
      </vt:variant>
      <vt:variant>
        <vt:lpwstr/>
      </vt:variant>
      <vt:variant>
        <vt:i4>4194322</vt:i4>
      </vt:variant>
      <vt:variant>
        <vt:i4>12</vt:i4>
      </vt:variant>
      <vt:variant>
        <vt:i4>0</vt:i4>
      </vt:variant>
      <vt:variant>
        <vt:i4>5</vt:i4>
      </vt:variant>
      <vt:variant>
        <vt:lpwstr>https://www.atriushealth.org/about-us</vt:lpwstr>
      </vt:variant>
      <vt:variant>
        <vt:lpwstr/>
      </vt:variant>
      <vt:variant>
        <vt:i4>4915221</vt:i4>
      </vt:variant>
      <vt:variant>
        <vt:i4>9</vt:i4>
      </vt:variant>
      <vt:variant>
        <vt:i4>0</vt:i4>
      </vt:variant>
      <vt:variant>
        <vt:i4>5</vt:i4>
      </vt:variant>
      <vt:variant>
        <vt:lpwstr>https://www.mass.gov/doc/nashoba-valley-health-planning-working-group-report-pdf/download</vt:lpwstr>
      </vt:variant>
      <vt:variant>
        <vt:lpwstr/>
      </vt:variant>
      <vt:variant>
        <vt:i4>4915221</vt:i4>
      </vt:variant>
      <vt:variant>
        <vt:i4>6</vt:i4>
      </vt:variant>
      <vt:variant>
        <vt:i4>0</vt:i4>
      </vt:variant>
      <vt:variant>
        <vt:i4>5</vt:i4>
      </vt:variant>
      <vt:variant>
        <vt:lpwstr>https://www.mass.gov/doc/nashoba-valley-health-planning-working-group-report-pdf/download</vt:lpwstr>
      </vt:variant>
      <vt:variant>
        <vt:lpwstr/>
      </vt:variant>
      <vt:variant>
        <vt:i4>1966100</vt:i4>
      </vt:variant>
      <vt:variant>
        <vt:i4>3</vt:i4>
      </vt:variant>
      <vt:variant>
        <vt:i4>0</vt:i4>
      </vt:variant>
      <vt:variant>
        <vt:i4>5</vt:i4>
      </vt:variant>
      <vt:variant>
        <vt:lpwstr>https://www.beckersasc.com/asc-news/defining-full-utilization-of-an-ambulatory-surgery-center-qaa-with-jim-scarsella-of-anesthesia-staffing-consultants/</vt:lpwstr>
      </vt:variant>
      <vt:variant>
        <vt:lpwstr/>
      </vt:variant>
      <vt:variant>
        <vt:i4>3932269</vt:i4>
      </vt:variant>
      <vt:variant>
        <vt:i4>0</vt:i4>
      </vt:variant>
      <vt:variant>
        <vt:i4>0</vt:i4>
      </vt:variant>
      <vt:variant>
        <vt:i4>5</vt:i4>
      </vt:variant>
      <vt:variant>
        <vt:lpwstr>https://emersonhealth.org/wp-content/uploads/2025/02/2024-Community-Health-Needs-Assessment.pdf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Emerson Endoscopy Staff Report</dc:title>
  <dc:subject/>
  <dc:creator>Lynn</dc:creator>
  <cp:keywords/>
  <cp:lastModifiedBy>Clarke, Lucy (DPH)</cp:lastModifiedBy>
  <cp:revision>2</cp:revision>
  <cp:lastPrinted>2025-09-03T15:23:00Z</cp:lastPrinted>
  <dcterms:created xsi:type="dcterms:W3CDTF">2025-09-05T12:36:00Z</dcterms:created>
  <dcterms:modified xsi:type="dcterms:W3CDTF">2025-09-05T12:36:00Z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Acrobat PDFMaker 17 for Word</vt:lpwstr>
  </property>
  <property fmtid="{D5CDD505-2E9C-101B-9397-08002B2CF9AE}" pid="4" name="LastSaved">
    <vt:filetime>2021-01-08T00:00:00Z</vt:filetime>
  </property>
</Properties>
</file>