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9661" w14:textId="77777777" w:rsidR="001626F0" w:rsidRDefault="001626F0" w:rsidP="00C62459">
      <w:pPr>
        <w:spacing w:after="0" w:line="240" w:lineRule="auto"/>
        <w:rPr>
          <w:b/>
          <w:bCs/>
          <w:sz w:val="24"/>
          <w:szCs w:val="24"/>
        </w:rPr>
      </w:pPr>
    </w:p>
    <w:p w14:paraId="0E27B753" w14:textId="77777777" w:rsidR="001626F0" w:rsidRDefault="001626F0" w:rsidP="00C62459">
      <w:pPr>
        <w:spacing w:after="0" w:line="240" w:lineRule="auto"/>
        <w:rPr>
          <w:b/>
          <w:bCs/>
          <w:sz w:val="24"/>
          <w:szCs w:val="24"/>
        </w:rPr>
      </w:pPr>
    </w:p>
    <w:p w14:paraId="28D9001B" w14:textId="77777777" w:rsidR="001626F0" w:rsidRDefault="001626F0" w:rsidP="00C62459">
      <w:pPr>
        <w:spacing w:after="0" w:line="240" w:lineRule="auto"/>
        <w:rPr>
          <w:b/>
          <w:bCs/>
          <w:sz w:val="24"/>
          <w:szCs w:val="24"/>
        </w:rPr>
      </w:pPr>
    </w:p>
    <w:p w14:paraId="39B36276" w14:textId="77777777" w:rsidR="001626F0" w:rsidRDefault="001626F0" w:rsidP="00C62459">
      <w:pPr>
        <w:spacing w:after="0" w:line="240" w:lineRule="auto"/>
        <w:rPr>
          <w:b/>
          <w:bCs/>
          <w:sz w:val="24"/>
          <w:szCs w:val="24"/>
        </w:rPr>
      </w:pPr>
    </w:p>
    <w:p w14:paraId="5617A8A7" w14:textId="77777777" w:rsidR="001626F0" w:rsidRDefault="001626F0" w:rsidP="00C62459">
      <w:pPr>
        <w:spacing w:after="0" w:line="240" w:lineRule="auto"/>
        <w:rPr>
          <w:b/>
          <w:bCs/>
          <w:sz w:val="24"/>
          <w:szCs w:val="24"/>
        </w:rPr>
      </w:pPr>
    </w:p>
    <w:p w14:paraId="00448350" w14:textId="77777777" w:rsidR="001626F0" w:rsidRDefault="001626F0" w:rsidP="00C62459">
      <w:pPr>
        <w:spacing w:after="0" w:line="240" w:lineRule="auto"/>
        <w:rPr>
          <w:b/>
          <w:bCs/>
          <w:sz w:val="24"/>
          <w:szCs w:val="24"/>
        </w:rPr>
      </w:pPr>
    </w:p>
    <w:p w14:paraId="26E8F1B8" w14:textId="77777777" w:rsidR="001626F0" w:rsidRDefault="001626F0" w:rsidP="00C62459">
      <w:pPr>
        <w:spacing w:after="0" w:line="240" w:lineRule="auto"/>
        <w:rPr>
          <w:b/>
          <w:bCs/>
          <w:sz w:val="24"/>
          <w:szCs w:val="24"/>
        </w:rPr>
      </w:pPr>
    </w:p>
    <w:p w14:paraId="4BF31FCD" w14:textId="77777777" w:rsidR="001626F0" w:rsidRDefault="001626F0" w:rsidP="00C62459">
      <w:pPr>
        <w:spacing w:after="0" w:line="240" w:lineRule="auto"/>
        <w:rPr>
          <w:b/>
          <w:bCs/>
          <w:sz w:val="24"/>
          <w:szCs w:val="24"/>
        </w:rPr>
      </w:pPr>
    </w:p>
    <w:p w14:paraId="3384628B" w14:textId="77777777" w:rsidR="001626F0" w:rsidRDefault="001626F0" w:rsidP="00C62459">
      <w:pPr>
        <w:spacing w:after="0" w:line="240" w:lineRule="auto"/>
        <w:rPr>
          <w:b/>
          <w:bCs/>
          <w:sz w:val="24"/>
          <w:szCs w:val="24"/>
        </w:rPr>
      </w:pPr>
    </w:p>
    <w:p w14:paraId="43A2DAD8" w14:textId="77777777" w:rsidR="001626F0" w:rsidRDefault="001626F0" w:rsidP="00C62459">
      <w:pPr>
        <w:spacing w:after="0" w:line="240" w:lineRule="auto"/>
        <w:rPr>
          <w:b/>
          <w:bCs/>
          <w:sz w:val="24"/>
          <w:szCs w:val="24"/>
        </w:rPr>
      </w:pPr>
    </w:p>
    <w:p w14:paraId="2E379844" w14:textId="77777777" w:rsidR="001626F0" w:rsidRDefault="001626F0" w:rsidP="00C62459">
      <w:pPr>
        <w:spacing w:after="0" w:line="240" w:lineRule="auto"/>
        <w:rPr>
          <w:b/>
          <w:bCs/>
          <w:sz w:val="24"/>
          <w:szCs w:val="24"/>
        </w:rPr>
      </w:pPr>
    </w:p>
    <w:tbl>
      <w:tblPr>
        <w:tblStyle w:val="TableGrid"/>
        <w:tblpPr w:leftFromText="180" w:rightFromText="180" w:vertAnchor="page" w:horzAnchor="margin" w:tblpXSpec="center" w:tblpY="1531"/>
        <w:tblW w:w="9445" w:type="dxa"/>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3685"/>
        <w:gridCol w:w="5760"/>
      </w:tblGrid>
      <w:tr w:rsidR="001626F0" w:rsidRPr="007B1C0B" w14:paraId="1A8FE388" w14:textId="77777777" w:rsidTr="003A5696">
        <w:trPr>
          <w:trHeight w:val="440"/>
          <w:tblHeader/>
          <w:jc w:val="center"/>
        </w:trPr>
        <w:tc>
          <w:tcPr>
            <w:tcW w:w="9445" w:type="dxa"/>
            <w:gridSpan w:val="2"/>
            <w:shd w:val="clear" w:color="auto" w:fill="E5FFFF"/>
            <w:vAlign w:val="center"/>
          </w:tcPr>
          <w:p w14:paraId="11DE6832" w14:textId="77777777" w:rsidR="001B5DC0" w:rsidRPr="0062487B" w:rsidRDefault="001B5DC0" w:rsidP="001B5DC0">
            <w:pPr>
              <w:pStyle w:val="NoSpacing"/>
              <w:ind w:right="540"/>
              <w:contextualSpacing/>
              <w:jc w:val="center"/>
              <w:rPr>
                <w:rFonts w:cstheme="minorHAnsi"/>
                <w:b/>
                <w:sz w:val="24"/>
                <w:szCs w:val="24"/>
              </w:rPr>
            </w:pPr>
            <w:r w:rsidRPr="0062487B">
              <w:rPr>
                <w:rFonts w:cstheme="minorHAnsi"/>
                <w:b/>
                <w:sz w:val="24"/>
                <w:szCs w:val="24"/>
              </w:rPr>
              <w:t>STAFF REPORT TO THE PUBLIC HEALTH COUNCIL</w:t>
            </w:r>
          </w:p>
          <w:p w14:paraId="25D94099" w14:textId="1C50052E" w:rsidR="001626F0" w:rsidRPr="00515206" w:rsidRDefault="001B5DC0" w:rsidP="001B5DC0">
            <w:pPr>
              <w:pStyle w:val="Header"/>
              <w:ind w:right="540"/>
              <w:contextualSpacing/>
              <w:jc w:val="center"/>
              <w:rPr>
                <w:rFonts w:cstheme="minorHAnsi"/>
                <w:b/>
                <w:sz w:val="24"/>
                <w:szCs w:val="24"/>
              </w:rPr>
            </w:pPr>
            <w:r w:rsidRPr="0062487B">
              <w:rPr>
                <w:rFonts w:cstheme="minorHAnsi"/>
                <w:b/>
              </w:rPr>
              <w:t>FOR A DETERMINATION OF NEED</w:t>
            </w:r>
          </w:p>
        </w:tc>
      </w:tr>
      <w:tr w:rsidR="001626F0" w:rsidRPr="007B1C0B" w14:paraId="6303AF95" w14:textId="77777777" w:rsidTr="00E87941">
        <w:trPr>
          <w:trHeight w:val="413"/>
          <w:jc w:val="center"/>
        </w:trPr>
        <w:tc>
          <w:tcPr>
            <w:tcW w:w="3685" w:type="dxa"/>
            <w:shd w:val="clear" w:color="auto" w:fill="auto"/>
            <w:vAlign w:val="center"/>
          </w:tcPr>
          <w:p w14:paraId="1D18A9DB"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Applicant Name </w:t>
            </w:r>
          </w:p>
        </w:tc>
        <w:tc>
          <w:tcPr>
            <w:tcW w:w="5760" w:type="dxa"/>
            <w:shd w:val="clear" w:color="auto" w:fill="auto"/>
            <w:vAlign w:val="center"/>
          </w:tcPr>
          <w:p w14:paraId="5638FB0B" w14:textId="55B12DE3" w:rsidR="001626F0" w:rsidRPr="00E87941" w:rsidRDefault="006833FF" w:rsidP="008A4468">
            <w:pPr>
              <w:ind w:right="540"/>
              <w:contextualSpacing/>
              <w:rPr>
                <w:rFonts w:cstheme="minorHAnsi"/>
                <w:bCs/>
                <w:sz w:val="24"/>
                <w:szCs w:val="24"/>
              </w:rPr>
            </w:pPr>
            <w:r w:rsidRPr="00E87941">
              <w:rPr>
                <w:rFonts w:cstheme="minorHAnsi"/>
                <w:bCs/>
                <w:sz w:val="24"/>
                <w:szCs w:val="24"/>
              </w:rPr>
              <w:t>Encompass Health Corporation</w:t>
            </w:r>
          </w:p>
        </w:tc>
      </w:tr>
      <w:tr w:rsidR="001626F0" w:rsidRPr="007B1C0B" w14:paraId="6933F7CE" w14:textId="77777777" w:rsidTr="00E87941">
        <w:trPr>
          <w:trHeight w:val="357"/>
          <w:jc w:val="center"/>
        </w:trPr>
        <w:tc>
          <w:tcPr>
            <w:tcW w:w="3685" w:type="dxa"/>
            <w:shd w:val="clear" w:color="auto" w:fill="auto"/>
            <w:vAlign w:val="center"/>
          </w:tcPr>
          <w:p w14:paraId="1F73D820"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Applicant Address </w:t>
            </w:r>
          </w:p>
        </w:tc>
        <w:tc>
          <w:tcPr>
            <w:tcW w:w="5760" w:type="dxa"/>
            <w:shd w:val="clear" w:color="auto" w:fill="auto"/>
            <w:vAlign w:val="center"/>
          </w:tcPr>
          <w:p w14:paraId="3A36F3CE" w14:textId="0E8F0526" w:rsidR="001626F0" w:rsidRPr="00E87941" w:rsidRDefault="00676117" w:rsidP="008A4468">
            <w:pPr>
              <w:ind w:right="540"/>
              <w:contextualSpacing/>
              <w:rPr>
                <w:rFonts w:cstheme="minorHAnsi"/>
                <w:sz w:val="24"/>
                <w:szCs w:val="24"/>
                <w:lang w:val="fr-FR"/>
              </w:rPr>
            </w:pPr>
            <w:r w:rsidRPr="00E87941">
              <w:rPr>
                <w:rFonts w:cstheme="minorHAnsi"/>
                <w:sz w:val="24"/>
                <w:szCs w:val="24"/>
              </w:rPr>
              <w:t>9001 Liberty Parkway, Birmingham, AL</w:t>
            </w:r>
            <w:r w:rsidR="003F194B">
              <w:rPr>
                <w:rFonts w:cstheme="minorHAnsi"/>
                <w:sz w:val="24"/>
                <w:szCs w:val="24"/>
              </w:rPr>
              <w:t xml:space="preserve"> </w:t>
            </w:r>
            <w:r w:rsidRPr="00E87941">
              <w:rPr>
                <w:rFonts w:cstheme="minorHAnsi"/>
                <w:sz w:val="24"/>
                <w:szCs w:val="24"/>
              </w:rPr>
              <w:t>35242</w:t>
            </w:r>
          </w:p>
        </w:tc>
      </w:tr>
      <w:tr w:rsidR="001626F0" w:rsidRPr="007B1C0B" w14:paraId="013A7CB1" w14:textId="77777777" w:rsidTr="00E87941">
        <w:trPr>
          <w:trHeight w:val="377"/>
          <w:jc w:val="center"/>
        </w:trPr>
        <w:tc>
          <w:tcPr>
            <w:tcW w:w="3685" w:type="dxa"/>
            <w:shd w:val="clear" w:color="auto" w:fill="auto"/>
            <w:vAlign w:val="center"/>
          </w:tcPr>
          <w:p w14:paraId="09B68F1A" w14:textId="77777777" w:rsidR="001626F0" w:rsidRPr="00515206" w:rsidRDefault="001626F0" w:rsidP="008A4468">
            <w:pPr>
              <w:ind w:right="540"/>
              <w:contextualSpacing/>
              <w:rPr>
                <w:rFonts w:cstheme="minorHAnsi"/>
                <w:sz w:val="24"/>
                <w:szCs w:val="24"/>
              </w:rPr>
            </w:pPr>
            <w:r w:rsidRPr="00515206">
              <w:rPr>
                <w:rFonts w:cstheme="minorHAnsi"/>
                <w:sz w:val="24"/>
                <w:szCs w:val="24"/>
              </w:rPr>
              <w:t>Filing Date</w:t>
            </w:r>
          </w:p>
        </w:tc>
        <w:tc>
          <w:tcPr>
            <w:tcW w:w="5760" w:type="dxa"/>
            <w:shd w:val="clear" w:color="auto" w:fill="auto"/>
            <w:vAlign w:val="center"/>
          </w:tcPr>
          <w:p w14:paraId="3B9C9630" w14:textId="51C9A153" w:rsidR="001626F0" w:rsidRPr="00E87941" w:rsidRDefault="003F194B" w:rsidP="008A4468">
            <w:pPr>
              <w:ind w:right="540"/>
              <w:contextualSpacing/>
              <w:rPr>
                <w:rFonts w:cstheme="minorHAnsi"/>
                <w:sz w:val="24"/>
                <w:szCs w:val="24"/>
              </w:rPr>
            </w:pPr>
            <w:r>
              <w:rPr>
                <w:rFonts w:cstheme="minorHAnsi"/>
                <w:sz w:val="24"/>
                <w:szCs w:val="24"/>
              </w:rPr>
              <w:t>September 27, 2023</w:t>
            </w:r>
          </w:p>
        </w:tc>
      </w:tr>
      <w:tr w:rsidR="001626F0" w:rsidRPr="007B1C0B" w14:paraId="6701CB62" w14:textId="77777777" w:rsidTr="00E87941">
        <w:trPr>
          <w:trHeight w:val="350"/>
          <w:jc w:val="center"/>
        </w:trPr>
        <w:tc>
          <w:tcPr>
            <w:tcW w:w="3685" w:type="dxa"/>
            <w:shd w:val="clear" w:color="auto" w:fill="auto"/>
            <w:vAlign w:val="center"/>
          </w:tcPr>
          <w:p w14:paraId="3BCE5031"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Type of </w:t>
            </w:r>
            <w:proofErr w:type="spellStart"/>
            <w:r w:rsidRPr="00515206">
              <w:rPr>
                <w:rFonts w:cstheme="minorHAnsi"/>
                <w:sz w:val="24"/>
                <w:szCs w:val="24"/>
              </w:rPr>
              <w:t>DoN</w:t>
            </w:r>
            <w:proofErr w:type="spellEnd"/>
            <w:r w:rsidRPr="00515206">
              <w:rPr>
                <w:rFonts w:cstheme="minorHAnsi"/>
                <w:sz w:val="24"/>
                <w:szCs w:val="24"/>
              </w:rPr>
              <w:t xml:space="preserve"> Application</w:t>
            </w:r>
          </w:p>
        </w:tc>
        <w:tc>
          <w:tcPr>
            <w:tcW w:w="5760" w:type="dxa"/>
            <w:shd w:val="clear" w:color="auto" w:fill="auto"/>
            <w:vAlign w:val="center"/>
          </w:tcPr>
          <w:p w14:paraId="74E742FD" w14:textId="5CE2C7EF" w:rsidR="001626F0" w:rsidRPr="00E87941" w:rsidRDefault="00676117" w:rsidP="008A4468">
            <w:pPr>
              <w:ind w:right="-110"/>
              <w:contextualSpacing/>
              <w:rPr>
                <w:rFonts w:cstheme="minorHAnsi"/>
                <w:sz w:val="24"/>
                <w:szCs w:val="24"/>
              </w:rPr>
            </w:pPr>
            <w:r w:rsidRPr="00E87941">
              <w:rPr>
                <w:rFonts w:cstheme="minorHAnsi"/>
                <w:sz w:val="24"/>
                <w:szCs w:val="24"/>
              </w:rPr>
              <w:t>Substantial Capital Expenditure</w:t>
            </w:r>
          </w:p>
        </w:tc>
      </w:tr>
      <w:tr w:rsidR="001626F0" w:rsidRPr="007B1C0B" w14:paraId="613B5F25" w14:textId="77777777" w:rsidTr="00E87941">
        <w:trPr>
          <w:trHeight w:val="350"/>
          <w:jc w:val="center"/>
        </w:trPr>
        <w:tc>
          <w:tcPr>
            <w:tcW w:w="3685" w:type="dxa"/>
            <w:shd w:val="clear" w:color="auto" w:fill="auto"/>
            <w:vAlign w:val="center"/>
          </w:tcPr>
          <w:p w14:paraId="4AE468F6" w14:textId="77777777" w:rsidR="001626F0" w:rsidRPr="00515206" w:rsidRDefault="001626F0" w:rsidP="008A4468">
            <w:pPr>
              <w:ind w:right="540"/>
              <w:contextualSpacing/>
              <w:rPr>
                <w:rFonts w:cstheme="minorHAnsi"/>
                <w:sz w:val="24"/>
                <w:szCs w:val="24"/>
              </w:rPr>
            </w:pPr>
            <w:r w:rsidRPr="00515206">
              <w:rPr>
                <w:rFonts w:cstheme="minorHAnsi"/>
                <w:sz w:val="24"/>
                <w:szCs w:val="24"/>
              </w:rPr>
              <w:t>Total Value</w:t>
            </w:r>
          </w:p>
        </w:tc>
        <w:tc>
          <w:tcPr>
            <w:tcW w:w="5760" w:type="dxa"/>
            <w:shd w:val="clear" w:color="auto" w:fill="auto"/>
            <w:vAlign w:val="center"/>
          </w:tcPr>
          <w:p w14:paraId="379B7099" w14:textId="6C7A3935" w:rsidR="001626F0" w:rsidRPr="00E87941" w:rsidRDefault="00E87941" w:rsidP="008A4468">
            <w:pPr>
              <w:ind w:right="540"/>
              <w:contextualSpacing/>
              <w:rPr>
                <w:rFonts w:cstheme="minorHAnsi"/>
                <w:sz w:val="24"/>
                <w:szCs w:val="24"/>
              </w:rPr>
            </w:pPr>
            <w:r w:rsidRPr="00581CCF">
              <w:rPr>
                <w:rFonts w:cstheme="minorHAnsi"/>
                <w:sz w:val="24"/>
                <w:szCs w:val="24"/>
              </w:rPr>
              <w:t>$5,862,759.00</w:t>
            </w:r>
          </w:p>
        </w:tc>
      </w:tr>
      <w:tr w:rsidR="001626F0" w:rsidRPr="007B1C0B" w14:paraId="03116F04" w14:textId="77777777" w:rsidTr="00E87941">
        <w:trPr>
          <w:trHeight w:val="350"/>
          <w:jc w:val="center"/>
        </w:trPr>
        <w:tc>
          <w:tcPr>
            <w:tcW w:w="3685" w:type="dxa"/>
            <w:shd w:val="clear" w:color="auto" w:fill="auto"/>
            <w:vAlign w:val="center"/>
          </w:tcPr>
          <w:p w14:paraId="3DBDE5CF" w14:textId="77777777" w:rsidR="001626F0" w:rsidRPr="00515206" w:rsidRDefault="001626F0" w:rsidP="008A4468">
            <w:pPr>
              <w:ind w:right="540"/>
              <w:contextualSpacing/>
              <w:rPr>
                <w:rFonts w:cstheme="minorHAnsi"/>
                <w:sz w:val="24"/>
                <w:szCs w:val="24"/>
              </w:rPr>
            </w:pPr>
            <w:r w:rsidRPr="00515206">
              <w:rPr>
                <w:rFonts w:cstheme="minorHAnsi"/>
                <w:sz w:val="24"/>
                <w:szCs w:val="24"/>
              </w:rPr>
              <w:t>Project Number</w:t>
            </w:r>
          </w:p>
        </w:tc>
        <w:tc>
          <w:tcPr>
            <w:tcW w:w="5760" w:type="dxa"/>
            <w:shd w:val="clear" w:color="auto" w:fill="auto"/>
            <w:vAlign w:val="center"/>
          </w:tcPr>
          <w:p w14:paraId="39260819" w14:textId="38B109C5" w:rsidR="001626F0" w:rsidRPr="00E87941" w:rsidRDefault="00E87941" w:rsidP="008A4468">
            <w:pPr>
              <w:ind w:right="540"/>
              <w:contextualSpacing/>
              <w:rPr>
                <w:rFonts w:cstheme="minorHAnsi"/>
                <w:sz w:val="24"/>
                <w:szCs w:val="24"/>
              </w:rPr>
            </w:pPr>
            <w:r w:rsidRPr="00E87941">
              <w:rPr>
                <w:sz w:val="24"/>
                <w:szCs w:val="24"/>
              </w:rPr>
              <w:t>#23050511-HE</w:t>
            </w:r>
          </w:p>
        </w:tc>
      </w:tr>
      <w:tr w:rsidR="001626F0" w:rsidRPr="007B1C0B" w14:paraId="508256C0" w14:textId="77777777" w:rsidTr="00E87941">
        <w:trPr>
          <w:trHeight w:val="350"/>
          <w:jc w:val="center"/>
        </w:trPr>
        <w:tc>
          <w:tcPr>
            <w:tcW w:w="3685" w:type="dxa"/>
            <w:shd w:val="clear" w:color="auto" w:fill="auto"/>
            <w:vAlign w:val="center"/>
          </w:tcPr>
          <w:p w14:paraId="4EDCAE51" w14:textId="77777777" w:rsidR="001626F0" w:rsidRPr="00515206" w:rsidRDefault="001626F0" w:rsidP="008A4468">
            <w:pPr>
              <w:ind w:right="-110"/>
              <w:contextualSpacing/>
              <w:rPr>
                <w:rFonts w:cstheme="minorHAnsi"/>
                <w:sz w:val="24"/>
                <w:szCs w:val="24"/>
              </w:rPr>
            </w:pPr>
            <w:r w:rsidRPr="00515206">
              <w:rPr>
                <w:rFonts w:cstheme="minorHAnsi"/>
                <w:sz w:val="24"/>
                <w:szCs w:val="24"/>
              </w:rPr>
              <w:t>Ten Taxpayer Group</w:t>
            </w:r>
          </w:p>
        </w:tc>
        <w:tc>
          <w:tcPr>
            <w:tcW w:w="5760" w:type="dxa"/>
            <w:shd w:val="clear" w:color="auto" w:fill="auto"/>
            <w:vAlign w:val="center"/>
          </w:tcPr>
          <w:p w14:paraId="0318264F" w14:textId="47509017" w:rsidR="001626F0" w:rsidRPr="00E87941" w:rsidRDefault="00DE35B0" w:rsidP="008A4468">
            <w:pPr>
              <w:ind w:right="540"/>
              <w:contextualSpacing/>
              <w:rPr>
                <w:rFonts w:cstheme="minorHAnsi"/>
                <w:sz w:val="24"/>
                <w:szCs w:val="24"/>
              </w:rPr>
            </w:pPr>
            <w:r>
              <w:rPr>
                <w:rFonts w:cstheme="minorHAnsi"/>
                <w:sz w:val="24"/>
                <w:szCs w:val="24"/>
              </w:rPr>
              <w:t>NONE</w:t>
            </w:r>
          </w:p>
        </w:tc>
      </w:tr>
      <w:tr w:rsidR="001626F0" w:rsidRPr="007B1C0B" w14:paraId="4B7BA0EC" w14:textId="77777777" w:rsidTr="00E87941">
        <w:trPr>
          <w:trHeight w:val="350"/>
          <w:jc w:val="center"/>
        </w:trPr>
        <w:tc>
          <w:tcPr>
            <w:tcW w:w="3685" w:type="dxa"/>
            <w:shd w:val="clear" w:color="auto" w:fill="auto"/>
            <w:vAlign w:val="center"/>
          </w:tcPr>
          <w:p w14:paraId="3346EA7B"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Community Health Initiative </w:t>
            </w:r>
          </w:p>
        </w:tc>
        <w:tc>
          <w:tcPr>
            <w:tcW w:w="5760" w:type="dxa"/>
            <w:shd w:val="clear" w:color="auto" w:fill="auto"/>
            <w:vAlign w:val="center"/>
          </w:tcPr>
          <w:p w14:paraId="429E3C49" w14:textId="1D97BC87" w:rsidR="001626F0" w:rsidRPr="00E87941" w:rsidRDefault="00E87941" w:rsidP="008A4468">
            <w:pPr>
              <w:ind w:right="540"/>
              <w:contextualSpacing/>
              <w:rPr>
                <w:rFonts w:cstheme="minorHAnsi"/>
                <w:sz w:val="24"/>
                <w:szCs w:val="24"/>
              </w:rPr>
            </w:pPr>
            <w:r w:rsidRPr="00E87941">
              <w:rPr>
                <w:rFonts w:cstheme="minorHAnsi"/>
                <w:sz w:val="24"/>
                <w:szCs w:val="24"/>
              </w:rPr>
              <w:t>$293,137.95</w:t>
            </w:r>
            <w:r w:rsidR="004673D0">
              <w:rPr>
                <w:rFonts w:cstheme="minorHAnsi"/>
                <w:sz w:val="24"/>
                <w:szCs w:val="24"/>
              </w:rPr>
              <w:t xml:space="preserve"> (Statewide Fund)</w:t>
            </w:r>
          </w:p>
        </w:tc>
      </w:tr>
      <w:tr w:rsidR="001626F0" w:rsidRPr="007B1C0B" w14:paraId="6BEB37FC" w14:textId="77777777" w:rsidTr="00E87941">
        <w:trPr>
          <w:trHeight w:val="350"/>
          <w:jc w:val="center"/>
        </w:trPr>
        <w:tc>
          <w:tcPr>
            <w:tcW w:w="3685" w:type="dxa"/>
            <w:shd w:val="clear" w:color="auto" w:fill="auto"/>
            <w:vAlign w:val="center"/>
          </w:tcPr>
          <w:p w14:paraId="60D966DB" w14:textId="77777777" w:rsidR="001626F0" w:rsidRPr="00515206" w:rsidRDefault="001626F0" w:rsidP="008A4468">
            <w:pPr>
              <w:ind w:right="540"/>
              <w:contextualSpacing/>
              <w:rPr>
                <w:rFonts w:cstheme="minorHAnsi"/>
                <w:sz w:val="24"/>
                <w:szCs w:val="24"/>
              </w:rPr>
            </w:pPr>
            <w:r w:rsidRPr="00515206">
              <w:rPr>
                <w:rFonts w:cstheme="minorHAnsi"/>
                <w:sz w:val="24"/>
                <w:szCs w:val="24"/>
              </w:rPr>
              <w:t>Staff Recommendation</w:t>
            </w:r>
          </w:p>
        </w:tc>
        <w:tc>
          <w:tcPr>
            <w:tcW w:w="5760" w:type="dxa"/>
            <w:shd w:val="clear" w:color="auto" w:fill="auto"/>
            <w:vAlign w:val="center"/>
          </w:tcPr>
          <w:p w14:paraId="0F4BD9B2" w14:textId="77777777" w:rsidR="001626F0" w:rsidRPr="00E87941" w:rsidRDefault="001626F0" w:rsidP="008A4468">
            <w:pPr>
              <w:ind w:right="540"/>
              <w:contextualSpacing/>
              <w:rPr>
                <w:rFonts w:cstheme="minorHAnsi"/>
                <w:sz w:val="24"/>
                <w:szCs w:val="24"/>
              </w:rPr>
            </w:pPr>
            <w:r w:rsidRPr="00E87941">
              <w:rPr>
                <w:rFonts w:cstheme="minorHAnsi"/>
                <w:sz w:val="24"/>
                <w:szCs w:val="24"/>
              </w:rPr>
              <w:t xml:space="preserve">Approval </w:t>
            </w:r>
          </w:p>
        </w:tc>
      </w:tr>
      <w:tr w:rsidR="001626F0" w:rsidRPr="007B1C0B" w14:paraId="2D494D03" w14:textId="77777777" w:rsidTr="00E87941">
        <w:trPr>
          <w:trHeight w:val="350"/>
          <w:jc w:val="center"/>
        </w:trPr>
        <w:tc>
          <w:tcPr>
            <w:tcW w:w="3685" w:type="dxa"/>
            <w:shd w:val="clear" w:color="auto" w:fill="auto"/>
            <w:vAlign w:val="center"/>
          </w:tcPr>
          <w:p w14:paraId="39CFB2D6" w14:textId="5BB07504" w:rsidR="001626F0" w:rsidRPr="00515206" w:rsidRDefault="009E7FFA" w:rsidP="008A4468">
            <w:pPr>
              <w:ind w:right="540"/>
              <w:contextualSpacing/>
              <w:rPr>
                <w:rFonts w:cstheme="minorHAnsi"/>
                <w:sz w:val="24"/>
                <w:szCs w:val="24"/>
              </w:rPr>
            </w:pPr>
            <w:r>
              <w:rPr>
                <w:rFonts w:cstheme="minorHAnsi"/>
                <w:sz w:val="24"/>
                <w:szCs w:val="24"/>
              </w:rPr>
              <w:t>Public Health Council</w:t>
            </w:r>
          </w:p>
        </w:tc>
        <w:tc>
          <w:tcPr>
            <w:tcW w:w="5760" w:type="dxa"/>
            <w:shd w:val="clear" w:color="auto" w:fill="auto"/>
            <w:vAlign w:val="center"/>
          </w:tcPr>
          <w:p w14:paraId="700C91FB" w14:textId="34E8D267" w:rsidR="001626F0" w:rsidRPr="00E87941" w:rsidRDefault="00F74D33" w:rsidP="008A4468">
            <w:pPr>
              <w:ind w:right="540"/>
              <w:contextualSpacing/>
              <w:rPr>
                <w:rFonts w:cstheme="minorHAnsi"/>
                <w:sz w:val="24"/>
                <w:szCs w:val="24"/>
              </w:rPr>
            </w:pPr>
            <w:r w:rsidRPr="00EA05E0">
              <w:rPr>
                <w:rFonts w:cstheme="minorHAnsi"/>
                <w:sz w:val="24"/>
                <w:szCs w:val="24"/>
              </w:rPr>
              <w:t xml:space="preserve">January </w:t>
            </w:r>
            <w:r w:rsidR="004673D0" w:rsidRPr="00EA05E0">
              <w:rPr>
                <w:rFonts w:cstheme="minorHAnsi"/>
                <w:sz w:val="24"/>
                <w:szCs w:val="24"/>
              </w:rPr>
              <w:t>10</w:t>
            </w:r>
            <w:r w:rsidRPr="00EA05E0">
              <w:rPr>
                <w:rFonts w:cstheme="minorHAnsi"/>
                <w:sz w:val="24"/>
                <w:szCs w:val="24"/>
              </w:rPr>
              <w:t>, 2024</w:t>
            </w:r>
          </w:p>
        </w:tc>
      </w:tr>
      <w:tr w:rsidR="001626F0" w:rsidRPr="007B1C0B" w14:paraId="09748D86" w14:textId="77777777" w:rsidTr="008A4468">
        <w:trPr>
          <w:trHeight w:val="2436"/>
          <w:jc w:val="center"/>
        </w:trPr>
        <w:tc>
          <w:tcPr>
            <w:tcW w:w="9445" w:type="dxa"/>
            <w:gridSpan w:val="2"/>
            <w:shd w:val="clear" w:color="auto" w:fill="auto"/>
            <w:vAlign w:val="center"/>
          </w:tcPr>
          <w:p w14:paraId="701C2542" w14:textId="77777777" w:rsidR="001626F0" w:rsidRDefault="001626F0" w:rsidP="008A4468">
            <w:pPr>
              <w:pStyle w:val="NoSpacing"/>
              <w:ind w:right="540"/>
              <w:contextualSpacing/>
              <w:jc w:val="center"/>
              <w:rPr>
                <w:rFonts w:cstheme="minorHAnsi"/>
                <w:sz w:val="24"/>
                <w:szCs w:val="24"/>
                <w:u w:val="single"/>
              </w:rPr>
            </w:pPr>
          </w:p>
          <w:p w14:paraId="02CE4586" w14:textId="77777777" w:rsidR="001626F0" w:rsidRDefault="001626F0" w:rsidP="008A4468">
            <w:pPr>
              <w:pStyle w:val="NoSpacing"/>
              <w:ind w:right="540"/>
              <w:contextualSpacing/>
              <w:jc w:val="center"/>
              <w:rPr>
                <w:rFonts w:cstheme="minorHAnsi"/>
                <w:sz w:val="24"/>
                <w:szCs w:val="24"/>
                <w:u w:val="single"/>
              </w:rPr>
            </w:pPr>
            <w:r w:rsidRPr="00515206">
              <w:rPr>
                <w:rFonts w:cstheme="minorHAnsi"/>
                <w:sz w:val="24"/>
                <w:szCs w:val="24"/>
                <w:u w:val="single"/>
              </w:rPr>
              <w:t>Project Summary and Regulatory Review</w:t>
            </w:r>
          </w:p>
          <w:p w14:paraId="3E4DD290" w14:textId="77777777" w:rsidR="001626F0" w:rsidRPr="00515206" w:rsidRDefault="001626F0" w:rsidP="008A4468">
            <w:pPr>
              <w:pStyle w:val="NoSpacing"/>
              <w:ind w:right="540"/>
              <w:contextualSpacing/>
              <w:jc w:val="center"/>
              <w:rPr>
                <w:rFonts w:cstheme="minorHAnsi"/>
                <w:sz w:val="24"/>
                <w:szCs w:val="24"/>
              </w:rPr>
            </w:pPr>
          </w:p>
          <w:p w14:paraId="4A93B096" w14:textId="49A5DBB8" w:rsidR="001626F0" w:rsidRDefault="00E87941" w:rsidP="007F0E64">
            <w:pPr>
              <w:pStyle w:val="NoSpacing"/>
              <w:contextualSpacing/>
              <w:rPr>
                <w:rFonts w:cstheme="minorHAnsi"/>
                <w:sz w:val="24"/>
                <w:szCs w:val="24"/>
              </w:rPr>
            </w:pPr>
            <w:r w:rsidRPr="00E87941">
              <w:rPr>
                <w:rFonts w:cstheme="minorHAnsi"/>
                <w:bCs/>
                <w:sz w:val="24"/>
                <w:szCs w:val="24"/>
              </w:rPr>
              <w:t xml:space="preserve">Encompass Health </w:t>
            </w:r>
            <w:r w:rsidRPr="00855AE7">
              <w:rPr>
                <w:rFonts w:cstheme="minorHAnsi"/>
                <w:sz w:val="24"/>
                <w:szCs w:val="24"/>
              </w:rPr>
              <w:t>Corporation</w:t>
            </w:r>
            <w:r w:rsidRPr="00E87941">
              <w:rPr>
                <w:rFonts w:cstheme="minorHAnsi"/>
                <w:sz w:val="24"/>
                <w:szCs w:val="24"/>
              </w:rPr>
              <w:t xml:space="preserve"> </w:t>
            </w:r>
            <w:r w:rsidR="001626F0" w:rsidRPr="001626F0">
              <w:rPr>
                <w:rFonts w:cstheme="minorHAnsi"/>
                <w:sz w:val="24"/>
                <w:szCs w:val="24"/>
              </w:rPr>
              <w:t>(</w:t>
            </w:r>
            <w:r w:rsidR="00C877E4">
              <w:rPr>
                <w:rFonts w:cstheme="minorHAnsi"/>
                <w:sz w:val="24"/>
                <w:szCs w:val="24"/>
              </w:rPr>
              <w:t>“</w:t>
            </w:r>
            <w:r w:rsidR="001626F0" w:rsidRPr="001626F0">
              <w:rPr>
                <w:rFonts w:cstheme="minorHAnsi"/>
                <w:sz w:val="24"/>
                <w:szCs w:val="24"/>
              </w:rPr>
              <w:t>Applicant</w:t>
            </w:r>
            <w:r w:rsidR="00C877E4">
              <w:rPr>
                <w:rFonts w:cstheme="minorHAnsi"/>
                <w:sz w:val="24"/>
                <w:szCs w:val="24"/>
              </w:rPr>
              <w:t>”</w:t>
            </w:r>
            <w:r w:rsidR="001626F0" w:rsidRPr="001626F0">
              <w:rPr>
                <w:rFonts w:cstheme="minorHAnsi"/>
                <w:sz w:val="24"/>
                <w:szCs w:val="24"/>
              </w:rPr>
              <w:t xml:space="preserve">) </w:t>
            </w:r>
            <w:r w:rsidR="00855AE7" w:rsidRPr="00855AE7">
              <w:rPr>
                <w:rFonts w:cstheme="minorHAnsi"/>
                <w:sz w:val="24"/>
                <w:szCs w:val="24"/>
              </w:rPr>
              <w:t>is filing a Notice of Determination of Need with the Department of Public Health for</w:t>
            </w:r>
            <w:r w:rsidR="00855AE7" w:rsidRPr="001626F0">
              <w:rPr>
                <w:rFonts w:cstheme="minorHAnsi"/>
                <w:sz w:val="24"/>
                <w:szCs w:val="24"/>
              </w:rPr>
              <w:t xml:space="preserve"> </w:t>
            </w:r>
            <w:r w:rsidR="001626F0" w:rsidRPr="001626F0">
              <w:rPr>
                <w:rFonts w:cstheme="minorHAnsi"/>
                <w:sz w:val="24"/>
                <w:szCs w:val="24"/>
              </w:rPr>
              <w:t xml:space="preserve">the </w:t>
            </w:r>
            <w:r w:rsidR="001626F0">
              <w:rPr>
                <w:rFonts w:cstheme="minorHAnsi"/>
                <w:sz w:val="24"/>
                <w:szCs w:val="24"/>
              </w:rPr>
              <w:t xml:space="preserve">addition of </w:t>
            </w:r>
            <w:r>
              <w:rPr>
                <w:rFonts w:cstheme="minorHAnsi"/>
                <w:sz w:val="24"/>
                <w:szCs w:val="24"/>
              </w:rPr>
              <w:t xml:space="preserve">17 </w:t>
            </w:r>
            <w:r w:rsidR="007F0E64">
              <w:rPr>
                <w:rFonts w:cstheme="minorHAnsi"/>
                <w:sz w:val="24"/>
                <w:szCs w:val="24"/>
              </w:rPr>
              <w:t xml:space="preserve">rehabilitation </w:t>
            </w:r>
            <w:r>
              <w:rPr>
                <w:rFonts w:cstheme="minorHAnsi"/>
                <w:sz w:val="24"/>
                <w:szCs w:val="24"/>
              </w:rPr>
              <w:t>beds a</w:t>
            </w:r>
            <w:r w:rsidR="001626F0">
              <w:rPr>
                <w:rFonts w:cstheme="minorHAnsi"/>
                <w:sz w:val="24"/>
                <w:szCs w:val="24"/>
              </w:rPr>
              <w:t xml:space="preserve">nd associated renovations </w:t>
            </w:r>
            <w:r>
              <w:rPr>
                <w:rFonts w:cstheme="minorHAnsi"/>
                <w:sz w:val="24"/>
                <w:szCs w:val="24"/>
              </w:rPr>
              <w:t xml:space="preserve">at </w:t>
            </w:r>
            <w:r w:rsidR="007F0E64" w:rsidRPr="007F0E64">
              <w:rPr>
                <w:rFonts w:cstheme="minorHAnsi"/>
                <w:sz w:val="24"/>
                <w:szCs w:val="24"/>
              </w:rPr>
              <w:t>Encompass Health Rehabilitation Hospital of Western Massachusetts, LLC,</w:t>
            </w:r>
            <w:r w:rsidR="001B248B" w:rsidRPr="001B248B">
              <w:rPr>
                <w:rFonts w:cstheme="minorHAnsi"/>
                <w:sz w:val="24"/>
                <w:szCs w:val="24"/>
              </w:rPr>
              <w:t xml:space="preserve"> </w:t>
            </w:r>
            <w:r w:rsidR="006C46DA">
              <w:rPr>
                <w:rFonts w:cstheme="minorHAnsi"/>
                <w:sz w:val="24"/>
                <w:szCs w:val="24"/>
              </w:rPr>
              <w:t xml:space="preserve">a non-acute hospital licensed by the Department, </w:t>
            </w:r>
            <w:r w:rsidR="001B248B" w:rsidRPr="001B248B">
              <w:rPr>
                <w:rFonts w:cstheme="minorHAnsi"/>
                <w:sz w:val="24"/>
                <w:szCs w:val="24"/>
              </w:rPr>
              <w:t xml:space="preserve">located at </w:t>
            </w:r>
            <w:r w:rsidR="007F0E64" w:rsidRPr="007F0E64">
              <w:rPr>
                <w:rFonts w:cstheme="minorHAnsi"/>
                <w:sz w:val="24"/>
                <w:szCs w:val="24"/>
              </w:rPr>
              <w:t>222 State Street</w:t>
            </w:r>
            <w:r w:rsidR="007F0E64">
              <w:rPr>
                <w:rFonts w:cstheme="minorHAnsi"/>
                <w:sz w:val="24"/>
                <w:szCs w:val="24"/>
              </w:rPr>
              <w:t xml:space="preserve">, Ludlow, MA, 01056. </w:t>
            </w:r>
            <w:r w:rsidR="001626F0">
              <w:rPr>
                <w:rFonts w:cstheme="minorHAnsi"/>
                <w:sz w:val="24"/>
                <w:szCs w:val="24"/>
              </w:rPr>
              <w:t>T</w:t>
            </w:r>
            <w:r w:rsidR="001626F0" w:rsidRPr="00FC6BE0">
              <w:rPr>
                <w:rFonts w:cstheme="minorHAnsi"/>
                <w:sz w:val="24"/>
                <w:szCs w:val="24"/>
              </w:rPr>
              <w:t>he capital expenditure for the Proposed Project is</w:t>
            </w:r>
            <w:r w:rsidR="007F0E64">
              <w:rPr>
                <w:rFonts w:cstheme="minorHAnsi"/>
                <w:sz w:val="24"/>
                <w:szCs w:val="24"/>
              </w:rPr>
              <w:t xml:space="preserve"> </w:t>
            </w:r>
            <w:r w:rsidR="007F0E64" w:rsidRPr="00FD7F53">
              <w:rPr>
                <w:rFonts w:cstheme="minorHAnsi"/>
                <w:sz w:val="24"/>
                <w:szCs w:val="24"/>
              </w:rPr>
              <w:t>$5,862,759.00</w:t>
            </w:r>
            <w:r w:rsidR="001626F0" w:rsidRPr="00FC6BE0">
              <w:rPr>
                <w:rFonts w:cstheme="minorHAnsi"/>
                <w:sz w:val="24"/>
                <w:szCs w:val="24"/>
              </w:rPr>
              <w:t>; the Community Health Initiatives (</w:t>
            </w:r>
            <w:r w:rsidR="00C877E4">
              <w:rPr>
                <w:rFonts w:cstheme="minorHAnsi"/>
                <w:sz w:val="24"/>
                <w:szCs w:val="24"/>
              </w:rPr>
              <w:t>“</w:t>
            </w:r>
            <w:r w:rsidR="001626F0" w:rsidRPr="00FC6BE0">
              <w:rPr>
                <w:rFonts w:cstheme="minorHAnsi"/>
                <w:sz w:val="24"/>
                <w:szCs w:val="24"/>
              </w:rPr>
              <w:t>CHI</w:t>
            </w:r>
            <w:r w:rsidR="00C877E4">
              <w:rPr>
                <w:rFonts w:cstheme="minorHAnsi"/>
                <w:sz w:val="24"/>
                <w:szCs w:val="24"/>
              </w:rPr>
              <w:t>”</w:t>
            </w:r>
            <w:r w:rsidR="001626F0" w:rsidRPr="00FC6BE0">
              <w:rPr>
                <w:rFonts w:cstheme="minorHAnsi"/>
                <w:sz w:val="24"/>
                <w:szCs w:val="24"/>
              </w:rPr>
              <w:t>) contribution is</w:t>
            </w:r>
            <w:r w:rsidR="007F0E64">
              <w:rPr>
                <w:rFonts w:cstheme="minorHAnsi"/>
                <w:sz w:val="24"/>
                <w:szCs w:val="24"/>
              </w:rPr>
              <w:t xml:space="preserve"> </w:t>
            </w:r>
            <w:r w:rsidR="007F0E64" w:rsidRPr="00E87941">
              <w:rPr>
                <w:rFonts w:cstheme="minorHAnsi"/>
                <w:sz w:val="24"/>
                <w:szCs w:val="24"/>
              </w:rPr>
              <w:t>$293,137.95</w:t>
            </w:r>
            <w:r w:rsidR="0053477E">
              <w:rPr>
                <w:rFonts w:cstheme="minorHAnsi"/>
                <w:sz w:val="24"/>
                <w:szCs w:val="24"/>
              </w:rPr>
              <w:t xml:space="preserve"> to the </w:t>
            </w:r>
            <w:r w:rsidR="00962E7A">
              <w:rPr>
                <w:rFonts w:cstheme="minorHAnsi"/>
                <w:sz w:val="24"/>
                <w:szCs w:val="24"/>
              </w:rPr>
              <w:t>S</w:t>
            </w:r>
            <w:r w:rsidR="0053477E">
              <w:rPr>
                <w:rFonts w:cstheme="minorHAnsi"/>
                <w:sz w:val="24"/>
                <w:szCs w:val="24"/>
              </w:rPr>
              <w:t xml:space="preserve">tatewide </w:t>
            </w:r>
            <w:r w:rsidR="00267A96">
              <w:rPr>
                <w:rFonts w:cstheme="minorHAnsi"/>
                <w:sz w:val="24"/>
                <w:szCs w:val="24"/>
              </w:rPr>
              <w:t>F</w:t>
            </w:r>
            <w:r w:rsidR="0053477E">
              <w:rPr>
                <w:rFonts w:cstheme="minorHAnsi"/>
                <w:sz w:val="24"/>
                <w:szCs w:val="24"/>
              </w:rPr>
              <w:t>und</w:t>
            </w:r>
            <w:r w:rsidR="008B1871">
              <w:rPr>
                <w:rFonts w:cstheme="minorHAnsi"/>
                <w:sz w:val="24"/>
                <w:szCs w:val="24"/>
              </w:rPr>
              <w:t>.</w:t>
            </w:r>
          </w:p>
          <w:p w14:paraId="1EEA45E8" w14:textId="77777777" w:rsidR="001626F0" w:rsidRDefault="001626F0" w:rsidP="008A4468">
            <w:pPr>
              <w:pStyle w:val="NoSpacing"/>
              <w:contextualSpacing/>
              <w:rPr>
                <w:rFonts w:cstheme="minorHAnsi"/>
                <w:sz w:val="24"/>
                <w:szCs w:val="24"/>
              </w:rPr>
            </w:pPr>
          </w:p>
          <w:p w14:paraId="1C889FD6" w14:textId="56EA4F22" w:rsidR="001626F0" w:rsidRDefault="001626F0" w:rsidP="008A4468">
            <w:pPr>
              <w:pStyle w:val="NoSpacing"/>
              <w:contextualSpacing/>
              <w:rPr>
                <w:rFonts w:cstheme="minorHAnsi"/>
                <w:sz w:val="24"/>
                <w:szCs w:val="24"/>
              </w:rPr>
            </w:pPr>
            <w:r w:rsidRPr="00D63B4A">
              <w:rPr>
                <w:rFonts w:cstheme="minorHAnsi"/>
                <w:sz w:val="24"/>
                <w:szCs w:val="24"/>
              </w:rPr>
              <w:t xml:space="preserve">This </w:t>
            </w:r>
            <w:proofErr w:type="spellStart"/>
            <w:r w:rsidRPr="00D63B4A">
              <w:rPr>
                <w:rFonts w:cstheme="minorHAnsi"/>
                <w:sz w:val="24"/>
                <w:szCs w:val="24"/>
              </w:rPr>
              <w:t>DoN</w:t>
            </w:r>
            <w:proofErr w:type="spellEnd"/>
            <w:r w:rsidRPr="00D63B4A">
              <w:rPr>
                <w:rFonts w:cstheme="minorHAnsi"/>
                <w:sz w:val="24"/>
                <w:szCs w:val="24"/>
              </w:rPr>
              <w:t xml:space="preserve"> application falls within the definition of </w:t>
            </w:r>
            <w:r>
              <w:rPr>
                <w:rFonts w:cstheme="minorHAnsi"/>
                <w:sz w:val="24"/>
                <w:szCs w:val="24"/>
              </w:rPr>
              <w:t>Substantial</w:t>
            </w:r>
            <w:r w:rsidR="007F0E64" w:rsidRPr="007F0E64">
              <w:rPr>
                <w:rFonts w:cstheme="minorHAnsi"/>
                <w:sz w:val="24"/>
                <w:szCs w:val="24"/>
              </w:rPr>
              <w:t xml:space="preserve"> Capital Expenditure</w:t>
            </w:r>
            <w:r w:rsidRPr="00D63B4A">
              <w:rPr>
                <w:rFonts w:cstheme="minorHAnsi"/>
                <w:sz w:val="24"/>
                <w:szCs w:val="24"/>
              </w:rPr>
              <w:t>, which</w:t>
            </w:r>
            <w:r w:rsidR="007F0E64">
              <w:rPr>
                <w:rFonts w:cstheme="minorHAnsi"/>
                <w:sz w:val="24"/>
                <w:szCs w:val="24"/>
              </w:rPr>
              <w:t xml:space="preserve"> is</w:t>
            </w:r>
            <w:r w:rsidRPr="00D63B4A">
              <w:rPr>
                <w:rFonts w:cstheme="minorHAnsi"/>
                <w:sz w:val="24"/>
                <w:szCs w:val="24"/>
              </w:rPr>
              <w:t xml:space="preserve"> reviewed under the </w:t>
            </w:r>
            <w:proofErr w:type="spellStart"/>
            <w:r w:rsidRPr="00D63B4A">
              <w:rPr>
                <w:rFonts w:cstheme="minorHAnsi"/>
                <w:sz w:val="24"/>
                <w:szCs w:val="24"/>
              </w:rPr>
              <w:t>DoN</w:t>
            </w:r>
            <w:proofErr w:type="spellEnd"/>
            <w:r w:rsidRPr="00D63B4A">
              <w:rPr>
                <w:rFonts w:cstheme="minorHAnsi"/>
                <w:sz w:val="24"/>
                <w:szCs w:val="24"/>
              </w:rPr>
              <w:t xml:space="preserve"> regulation 105 CMR 100.000. The Department must determine that need exists for a Proposed Project, </w:t>
            </w:r>
            <w:proofErr w:type="gramStart"/>
            <w:r w:rsidRPr="00D63B4A">
              <w:rPr>
                <w:rFonts w:cstheme="minorHAnsi"/>
                <w:sz w:val="24"/>
                <w:szCs w:val="24"/>
              </w:rPr>
              <w:t>on the basis of</w:t>
            </w:r>
            <w:proofErr w:type="gramEnd"/>
            <w:r w:rsidRPr="00D63B4A">
              <w:rPr>
                <w:rFonts w:cstheme="minorHAnsi"/>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r>
              <w:rPr>
                <w:rFonts w:cstheme="minorHAnsi"/>
                <w:sz w:val="24"/>
                <w:szCs w:val="24"/>
              </w:rPr>
              <w:t>.</w:t>
            </w:r>
            <w:r w:rsidR="00A20DF6">
              <w:rPr>
                <w:rFonts w:cstheme="minorHAnsi"/>
                <w:sz w:val="24"/>
                <w:szCs w:val="24"/>
              </w:rPr>
              <w:t xml:space="preserve"> </w:t>
            </w:r>
          </w:p>
          <w:p w14:paraId="4068A451" w14:textId="77777777" w:rsidR="001626F0" w:rsidRPr="00515206" w:rsidRDefault="001626F0" w:rsidP="008A4468">
            <w:pPr>
              <w:pStyle w:val="NoSpacing"/>
              <w:contextualSpacing/>
              <w:rPr>
                <w:rFonts w:cstheme="minorHAnsi"/>
                <w:sz w:val="24"/>
                <w:szCs w:val="24"/>
              </w:rPr>
            </w:pPr>
          </w:p>
        </w:tc>
      </w:tr>
    </w:tbl>
    <w:p w14:paraId="7D2F9134" w14:textId="59B274CC" w:rsidR="001626F0" w:rsidRPr="00C62459" w:rsidRDefault="001626F0" w:rsidP="00C62459">
      <w:pPr>
        <w:spacing w:after="0" w:line="240" w:lineRule="auto"/>
        <w:rPr>
          <w:b/>
          <w:bCs/>
          <w:sz w:val="24"/>
          <w:szCs w:val="24"/>
        </w:rPr>
        <w:sectPr w:rsidR="001626F0" w:rsidRPr="00C624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sdt>
      <w:sdtPr>
        <w:rPr>
          <w:rFonts w:eastAsiaTheme="minorHAnsi" w:cstheme="minorBidi"/>
          <w:b w:val="0"/>
          <w:color w:val="auto"/>
          <w:sz w:val="22"/>
          <w:szCs w:val="22"/>
        </w:rPr>
        <w:id w:val="1753002011"/>
        <w:docPartObj>
          <w:docPartGallery w:val="Table of Contents"/>
          <w:docPartUnique/>
        </w:docPartObj>
      </w:sdtPr>
      <w:sdtEndPr>
        <w:rPr>
          <w:bCs/>
          <w:noProof/>
          <w:sz w:val="24"/>
          <w:szCs w:val="24"/>
        </w:rPr>
      </w:sdtEndPr>
      <w:sdtContent>
        <w:p w14:paraId="022950C1" w14:textId="45A3B408" w:rsidR="0098316A" w:rsidRDefault="0098316A">
          <w:pPr>
            <w:pStyle w:val="TOCHeading"/>
          </w:pPr>
          <w:r>
            <w:t>Contents</w:t>
          </w:r>
        </w:p>
        <w:p w14:paraId="62ABD5A7" w14:textId="230EF77A" w:rsidR="00C2725E" w:rsidRDefault="0098316A">
          <w:pPr>
            <w:pStyle w:val="TOC1"/>
            <w:tabs>
              <w:tab w:val="right" w:leader="dot" w:pos="9710"/>
            </w:tabs>
            <w:rPr>
              <w:rFonts w:eastAsiaTheme="minorEastAsia"/>
              <w:noProof/>
              <w:kern w:val="2"/>
              <w14:ligatures w14:val="standardContextual"/>
            </w:rPr>
          </w:pPr>
          <w:r w:rsidRPr="00CE334A">
            <w:rPr>
              <w:sz w:val="24"/>
              <w:szCs w:val="24"/>
            </w:rPr>
            <w:fldChar w:fldCharType="begin"/>
          </w:r>
          <w:r w:rsidRPr="00CE334A">
            <w:rPr>
              <w:sz w:val="24"/>
              <w:szCs w:val="24"/>
            </w:rPr>
            <w:instrText xml:space="preserve"> TOC \o "1-3" \h \z \u </w:instrText>
          </w:r>
          <w:r w:rsidRPr="00CE334A">
            <w:rPr>
              <w:sz w:val="24"/>
              <w:szCs w:val="24"/>
            </w:rPr>
            <w:fldChar w:fldCharType="separate"/>
          </w:r>
          <w:hyperlink w:anchor="_Toc151538495" w:history="1">
            <w:r w:rsidR="00C2725E" w:rsidRPr="00DB5D2C">
              <w:rPr>
                <w:rStyle w:val="Hyperlink"/>
                <w:rFonts w:cstheme="minorHAnsi"/>
                <w:noProof/>
              </w:rPr>
              <w:t>Applicant Background and Application Overview</w:t>
            </w:r>
            <w:r w:rsidR="00C2725E">
              <w:rPr>
                <w:noProof/>
                <w:webHidden/>
              </w:rPr>
              <w:tab/>
            </w:r>
            <w:r w:rsidR="00C2725E">
              <w:rPr>
                <w:noProof/>
                <w:webHidden/>
              </w:rPr>
              <w:fldChar w:fldCharType="begin"/>
            </w:r>
            <w:r w:rsidR="00C2725E">
              <w:rPr>
                <w:noProof/>
                <w:webHidden/>
              </w:rPr>
              <w:instrText xml:space="preserve"> PAGEREF _Toc151538495 \h </w:instrText>
            </w:r>
            <w:r w:rsidR="00C2725E">
              <w:rPr>
                <w:noProof/>
                <w:webHidden/>
              </w:rPr>
            </w:r>
            <w:r w:rsidR="00C2725E">
              <w:rPr>
                <w:noProof/>
                <w:webHidden/>
              </w:rPr>
              <w:fldChar w:fldCharType="separate"/>
            </w:r>
            <w:r w:rsidR="00C2725E">
              <w:rPr>
                <w:noProof/>
                <w:webHidden/>
              </w:rPr>
              <w:t>3</w:t>
            </w:r>
            <w:r w:rsidR="00C2725E">
              <w:rPr>
                <w:noProof/>
                <w:webHidden/>
              </w:rPr>
              <w:fldChar w:fldCharType="end"/>
            </w:r>
          </w:hyperlink>
        </w:p>
        <w:p w14:paraId="753050B7" w14:textId="1E25B4D9" w:rsidR="00C2725E" w:rsidRDefault="006149D1">
          <w:pPr>
            <w:pStyle w:val="TOC1"/>
            <w:tabs>
              <w:tab w:val="right" w:leader="dot" w:pos="9710"/>
            </w:tabs>
            <w:rPr>
              <w:rFonts w:eastAsiaTheme="minorEastAsia"/>
              <w:noProof/>
              <w:kern w:val="2"/>
              <w14:ligatures w14:val="standardContextual"/>
            </w:rPr>
          </w:pPr>
          <w:hyperlink w:anchor="_Toc151538496" w:history="1">
            <w:r w:rsidR="00C2725E" w:rsidRPr="00DB5D2C">
              <w:rPr>
                <w:rStyle w:val="Hyperlink"/>
                <w:rFonts w:cstheme="minorHAnsi"/>
                <w:noProof/>
              </w:rPr>
              <w:t>Factor 1</w:t>
            </w:r>
            <w:r w:rsidR="00C2725E">
              <w:rPr>
                <w:noProof/>
                <w:webHidden/>
              </w:rPr>
              <w:tab/>
            </w:r>
            <w:r w:rsidR="00C2725E">
              <w:rPr>
                <w:noProof/>
                <w:webHidden/>
              </w:rPr>
              <w:fldChar w:fldCharType="begin"/>
            </w:r>
            <w:r w:rsidR="00C2725E">
              <w:rPr>
                <w:noProof/>
                <w:webHidden/>
              </w:rPr>
              <w:instrText xml:space="preserve"> PAGEREF _Toc151538496 \h </w:instrText>
            </w:r>
            <w:r w:rsidR="00C2725E">
              <w:rPr>
                <w:noProof/>
                <w:webHidden/>
              </w:rPr>
            </w:r>
            <w:r w:rsidR="00C2725E">
              <w:rPr>
                <w:noProof/>
                <w:webHidden/>
              </w:rPr>
              <w:fldChar w:fldCharType="separate"/>
            </w:r>
            <w:r w:rsidR="00C2725E">
              <w:rPr>
                <w:noProof/>
                <w:webHidden/>
              </w:rPr>
              <w:t>4</w:t>
            </w:r>
            <w:r w:rsidR="00C2725E">
              <w:rPr>
                <w:noProof/>
                <w:webHidden/>
              </w:rPr>
              <w:fldChar w:fldCharType="end"/>
            </w:r>
          </w:hyperlink>
        </w:p>
        <w:p w14:paraId="59956FA5" w14:textId="48B899D9" w:rsidR="00C2725E" w:rsidRDefault="006149D1">
          <w:pPr>
            <w:pStyle w:val="TOC1"/>
            <w:tabs>
              <w:tab w:val="right" w:leader="dot" w:pos="9710"/>
            </w:tabs>
            <w:rPr>
              <w:rFonts w:eastAsiaTheme="minorEastAsia"/>
              <w:noProof/>
              <w:kern w:val="2"/>
              <w14:ligatures w14:val="standardContextual"/>
            </w:rPr>
          </w:pPr>
          <w:hyperlink w:anchor="_Toc151538497" w:history="1">
            <w:r w:rsidR="00C2725E" w:rsidRPr="00DB5D2C">
              <w:rPr>
                <w:rStyle w:val="Hyperlink"/>
                <w:noProof/>
              </w:rPr>
              <w:t>Patient Panel</w:t>
            </w:r>
            <w:r w:rsidR="00C2725E">
              <w:rPr>
                <w:noProof/>
                <w:webHidden/>
              </w:rPr>
              <w:tab/>
            </w:r>
            <w:r w:rsidR="00C2725E">
              <w:rPr>
                <w:noProof/>
                <w:webHidden/>
              </w:rPr>
              <w:fldChar w:fldCharType="begin"/>
            </w:r>
            <w:r w:rsidR="00C2725E">
              <w:rPr>
                <w:noProof/>
                <w:webHidden/>
              </w:rPr>
              <w:instrText xml:space="preserve"> PAGEREF _Toc151538497 \h </w:instrText>
            </w:r>
            <w:r w:rsidR="00C2725E">
              <w:rPr>
                <w:noProof/>
                <w:webHidden/>
              </w:rPr>
            </w:r>
            <w:r w:rsidR="00C2725E">
              <w:rPr>
                <w:noProof/>
                <w:webHidden/>
              </w:rPr>
              <w:fldChar w:fldCharType="separate"/>
            </w:r>
            <w:r w:rsidR="00C2725E">
              <w:rPr>
                <w:noProof/>
                <w:webHidden/>
              </w:rPr>
              <w:t>4</w:t>
            </w:r>
            <w:r w:rsidR="00C2725E">
              <w:rPr>
                <w:noProof/>
                <w:webHidden/>
              </w:rPr>
              <w:fldChar w:fldCharType="end"/>
            </w:r>
          </w:hyperlink>
        </w:p>
        <w:p w14:paraId="54E8EDD3" w14:textId="61CCF9C5" w:rsidR="00C2725E" w:rsidRDefault="006149D1">
          <w:pPr>
            <w:pStyle w:val="TOC1"/>
            <w:tabs>
              <w:tab w:val="right" w:leader="dot" w:pos="9710"/>
            </w:tabs>
            <w:rPr>
              <w:rFonts w:eastAsiaTheme="minorEastAsia"/>
              <w:noProof/>
              <w:kern w:val="2"/>
              <w14:ligatures w14:val="standardContextual"/>
            </w:rPr>
          </w:pPr>
          <w:hyperlink w:anchor="_Toc151538498" w:history="1">
            <w:r w:rsidR="00C2725E" w:rsidRPr="00DB5D2C">
              <w:rPr>
                <w:rStyle w:val="Hyperlink"/>
                <w:noProof/>
              </w:rPr>
              <w:t>Factor 1: a) Patient Panel Need</w:t>
            </w:r>
            <w:r w:rsidR="00C2725E">
              <w:rPr>
                <w:noProof/>
                <w:webHidden/>
              </w:rPr>
              <w:tab/>
            </w:r>
            <w:r w:rsidR="00C2725E">
              <w:rPr>
                <w:noProof/>
                <w:webHidden/>
              </w:rPr>
              <w:fldChar w:fldCharType="begin"/>
            </w:r>
            <w:r w:rsidR="00C2725E">
              <w:rPr>
                <w:noProof/>
                <w:webHidden/>
              </w:rPr>
              <w:instrText xml:space="preserve"> PAGEREF _Toc151538498 \h </w:instrText>
            </w:r>
            <w:r w:rsidR="00C2725E">
              <w:rPr>
                <w:noProof/>
                <w:webHidden/>
              </w:rPr>
            </w:r>
            <w:r w:rsidR="00C2725E">
              <w:rPr>
                <w:noProof/>
                <w:webHidden/>
              </w:rPr>
              <w:fldChar w:fldCharType="separate"/>
            </w:r>
            <w:r w:rsidR="00C2725E">
              <w:rPr>
                <w:noProof/>
                <w:webHidden/>
              </w:rPr>
              <w:t>7</w:t>
            </w:r>
            <w:r w:rsidR="00C2725E">
              <w:rPr>
                <w:noProof/>
                <w:webHidden/>
              </w:rPr>
              <w:fldChar w:fldCharType="end"/>
            </w:r>
          </w:hyperlink>
        </w:p>
        <w:p w14:paraId="06F88C2D" w14:textId="0EB3ED17" w:rsidR="00C2725E" w:rsidRDefault="006149D1">
          <w:pPr>
            <w:pStyle w:val="TOC1"/>
            <w:tabs>
              <w:tab w:val="right" w:leader="dot" w:pos="9710"/>
            </w:tabs>
            <w:rPr>
              <w:rFonts w:eastAsiaTheme="minorEastAsia"/>
              <w:noProof/>
              <w:kern w:val="2"/>
              <w14:ligatures w14:val="standardContextual"/>
            </w:rPr>
          </w:pPr>
          <w:hyperlink w:anchor="_Toc151538499" w:history="1">
            <w:r w:rsidR="00C2725E" w:rsidRPr="00DB5D2C">
              <w:rPr>
                <w:rStyle w:val="Hyperlink"/>
                <w:noProof/>
              </w:rPr>
              <w:t>Factor 1: b) Public Health Value through Improved Health Outcomes and Quality Of Life; Assurances Of Health Equity</w:t>
            </w:r>
            <w:r w:rsidR="00C2725E">
              <w:rPr>
                <w:noProof/>
                <w:webHidden/>
              </w:rPr>
              <w:tab/>
            </w:r>
            <w:r w:rsidR="00C2725E">
              <w:rPr>
                <w:noProof/>
                <w:webHidden/>
              </w:rPr>
              <w:fldChar w:fldCharType="begin"/>
            </w:r>
            <w:r w:rsidR="00C2725E">
              <w:rPr>
                <w:noProof/>
                <w:webHidden/>
              </w:rPr>
              <w:instrText xml:space="preserve"> PAGEREF _Toc151538499 \h </w:instrText>
            </w:r>
            <w:r w:rsidR="00C2725E">
              <w:rPr>
                <w:noProof/>
                <w:webHidden/>
              </w:rPr>
            </w:r>
            <w:r w:rsidR="00C2725E">
              <w:rPr>
                <w:noProof/>
                <w:webHidden/>
              </w:rPr>
              <w:fldChar w:fldCharType="separate"/>
            </w:r>
            <w:r w:rsidR="00C2725E">
              <w:rPr>
                <w:noProof/>
                <w:webHidden/>
              </w:rPr>
              <w:t>11</w:t>
            </w:r>
            <w:r w:rsidR="00C2725E">
              <w:rPr>
                <w:noProof/>
                <w:webHidden/>
              </w:rPr>
              <w:fldChar w:fldCharType="end"/>
            </w:r>
          </w:hyperlink>
        </w:p>
        <w:p w14:paraId="082649A2" w14:textId="52EE92CD" w:rsidR="00C2725E" w:rsidRDefault="006149D1">
          <w:pPr>
            <w:pStyle w:val="TOC1"/>
            <w:tabs>
              <w:tab w:val="right" w:leader="dot" w:pos="9710"/>
            </w:tabs>
            <w:rPr>
              <w:rFonts w:eastAsiaTheme="minorEastAsia"/>
              <w:noProof/>
              <w:kern w:val="2"/>
              <w14:ligatures w14:val="standardContextual"/>
            </w:rPr>
          </w:pPr>
          <w:hyperlink w:anchor="_Toc151538500" w:history="1">
            <w:r w:rsidR="00C2725E" w:rsidRPr="00DB5D2C">
              <w:rPr>
                <w:rStyle w:val="Hyperlink"/>
                <w:noProof/>
              </w:rPr>
              <w:t>Factor 1: c) Efficiency, Continuity of Care, Coordination of Care</w:t>
            </w:r>
            <w:r w:rsidR="00C2725E">
              <w:rPr>
                <w:noProof/>
                <w:webHidden/>
              </w:rPr>
              <w:tab/>
            </w:r>
            <w:r w:rsidR="00C2725E">
              <w:rPr>
                <w:noProof/>
                <w:webHidden/>
              </w:rPr>
              <w:fldChar w:fldCharType="begin"/>
            </w:r>
            <w:r w:rsidR="00C2725E">
              <w:rPr>
                <w:noProof/>
                <w:webHidden/>
              </w:rPr>
              <w:instrText xml:space="preserve"> PAGEREF _Toc151538500 \h </w:instrText>
            </w:r>
            <w:r w:rsidR="00C2725E">
              <w:rPr>
                <w:noProof/>
                <w:webHidden/>
              </w:rPr>
            </w:r>
            <w:r w:rsidR="00C2725E">
              <w:rPr>
                <w:noProof/>
                <w:webHidden/>
              </w:rPr>
              <w:fldChar w:fldCharType="separate"/>
            </w:r>
            <w:r w:rsidR="00C2725E">
              <w:rPr>
                <w:noProof/>
                <w:webHidden/>
              </w:rPr>
              <w:t>14</w:t>
            </w:r>
            <w:r w:rsidR="00C2725E">
              <w:rPr>
                <w:noProof/>
                <w:webHidden/>
              </w:rPr>
              <w:fldChar w:fldCharType="end"/>
            </w:r>
          </w:hyperlink>
        </w:p>
        <w:p w14:paraId="3FE37091" w14:textId="525B6916" w:rsidR="00C2725E" w:rsidRDefault="006149D1">
          <w:pPr>
            <w:pStyle w:val="TOC1"/>
            <w:tabs>
              <w:tab w:val="right" w:leader="dot" w:pos="9710"/>
            </w:tabs>
            <w:rPr>
              <w:rFonts w:eastAsiaTheme="minorEastAsia"/>
              <w:noProof/>
              <w:kern w:val="2"/>
              <w14:ligatures w14:val="standardContextual"/>
            </w:rPr>
          </w:pPr>
          <w:hyperlink w:anchor="_Toc151538501" w:history="1">
            <w:r w:rsidR="00C2725E" w:rsidRPr="00DB5D2C">
              <w:rPr>
                <w:rStyle w:val="Hyperlink"/>
                <w:noProof/>
              </w:rPr>
              <w:t>Factor 1: d) Consultation</w:t>
            </w:r>
            <w:r w:rsidR="00C2725E">
              <w:rPr>
                <w:noProof/>
                <w:webHidden/>
              </w:rPr>
              <w:tab/>
            </w:r>
            <w:r w:rsidR="00C2725E">
              <w:rPr>
                <w:noProof/>
                <w:webHidden/>
              </w:rPr>
              <w:fldChar w:fldCharType="begin"/>
            </w:r>
            <w:r w:rsidR="00C2725E">
              <w:rPr>
                <w:noProof/>
                <w:webHidden/>
              </w:rPr>
              <w:instrText xml:space="preserve"> PAGEREF _Toc151538501 \h </w:instrText>
            </w:r>
            <w:r w:rsidR="00C2725E">
              <w:rPr>
                <w:noProof/>
                <w:webHidden/>
              </w:rPr>
            </w:r>
            <w:r w:rsidR="00C2725E">
              <w:rPr>
                <w:noProof/>
                <w:webHidden/>
              </w:rPr>
              <w:fldChar w:fldCharType="separate"/>
            </w:r>
            <w:r w:rsidR="00C2725E">
              <w:rPr>
                <w:noProof/>
                <w:webHidden/>
              </w:rPr>
              <w:t>15</w:t>
            </w:r>
            <w:r w:rsidR="00C2725E">
              <w:rPr>
                <w:noProof/>
                <w:webHidden/>
              </w:rPr>
              <w:fldChar w:fldCharType="end"/>
            </w:r>
          </w:hyperlink>
        </w:p>
        <w:p w14:paraId="136244AB" w14:textId="32523904" w:rsidR="00C2725E" w:rsidRDefault="006149D1">
          <w:pPr>
            <w:pStyle w:val="TOC1"/>
            <w:tabs>
              <w:tab w:val="right" w:leader="dot" w:pos="9710"/>
            </w:tabs>
            <w:rPr>
              <w:rFonts w:eastAsiaTheme="minorEastAsia"/>
              <w:noProof/>
              <w:kern w:val="2"/>
              <w14:ligatures w14:val="standardContextual"/>
            </w:rPr>
          </w:pPr>
          <w:hyperlink w:anchor="_Toc151538502" w:history="1">
            <w:r w:rsidR="00C2725E" w:rsidRPr="00DB5D2C">
              <w:rPr>
                <w:rStyle w:val="Hyperlink"/>
                <w:noProof/>
              </w:rPr>
              <w:t>Factor 1: e) Evidence of Sound Community Engagement</w:t>
            </w:r>
            <w:r w:rsidR="00C2725E">
              <w:rPr>
                <w:noProof/>
                <w:webHidden/>
              </w:rPr>
              <w:tab/>
            </w:r>
            <w:r w:rsidR="00C2725E">
              <w:rPr>
                <w:noProof/>
                <w:webHidden/>
              </w:rPr>
              <w:fldChar w:fldCharType="begin"/>
            </w:r>
            <w:r w:rsidR="00C2725E">
              <w:rPr>
                <w:noProof/>
                <w:webHidden/>
              </w:rPr>
              <w:instrText xml:space="preserve"> PAGEREF _Toc151538502 \h </w:instrText>
            </w:r>
            <w:r w:rsidR="00C2725E">
              <w:rPr>
                <w:noProof/>
                <w:webHidden/>
              </w:rPr>
            </w:r>
            <w:r w:rsidR="00C2725E">
              <w:rPr>
                <w:noProof/>
                <w:webHidden/>
              </w:rPr>
              <w:fldChar w:fldCharType="separate"/>
            </w:r>
            <w:r w:rsidR="00C2725E">
              <w:rPr>
                <w:noProof/>
                <w:webHidden/>
              </w:rPr>
              <w:t>15</w:t>
            </w:r>
            <w:r w:rsidR="00C2725E">
              <w:rPr>
                <w:noProof/>
                <w:webHidden/>
              </w:rPr>
              <w:fldChar w:fldCharType="end"/>
            </w:r>
          </w:hyperlink>
        </w:p>
        <w:p w14:paraId="3BF10D5E" w14:textId="2A888B40" w:rsidR="00C2725E" w:rsidRDefault="006149D1">
          <w:pPr>
            <w:pStyle w:val="TOC1"/>
            <w:tabs>
              <w:tab w:val="right" w:leader="dot" w:pos="9710"/>
            </w:tabs>
            <w:rPr>
              <w:rFonts w:eastAsiaTheme="minorEastAsia"/>
              <w:noProof/>
              <w:kern w:val="2"/>
              <w14:ligatures w14:val="standardContextual"/>
            </w:rPr>
          </w:pPr>
          <w:hyperlink w:anchor="_Toc151538503" w:history="1">
            <w:r w:rsidR="00C2725E" w:rsidRPr="00DB5D2C">
              <w:rPr>
                <w:rStyle w:val="Hyperlink"/>
                <w:noProof/>
              </w:rPr>
              <w:t>Factor 1: f) Competition On Price, Total Medical Expenses (TME), Costs And Other Measures Of Health Care Spending</w:t>
            </w:r>
            <w:r w:rsidR="00C2725E">
              <w:rPr>
                <w:noProof/>
                <w:webHidden/>
              </w:rPr>
              <w:tab/>
            </w:r>
            <w:r w:rsidR="00C2725E">
              <w:rPr>
                <w:noProof/>
                <w:webHidden/>
              </w:rPr>
              <w:fldChar w:fldCharType="begin"/>
            </w:r>
            <w:r w:rsidR="00C2725E">
              <w:rPr>
                <w:noProof/>
                <w:webHidden/>
              </w:rPr>
              <w:instrText xml:space="preserve"> PAGEREF _Toc151538503 \h </w:instrText>
            </w:r>
            <w:r w:rsidR="00C2725E">
              <w:rPr>
                <w:noProof/>
                <w:webHidden/>
              </w:rPr>
            </w:r>
            <w:r w:rsidR="00C2725E">
              <w:rPr>
                <w:noProof/>
                <w:webHidden/>
              </w:rPr>
              <w:fldChar w:fldCharType="separate"/>
            </w:r>
            <w:r w:rsidR="00C2725E">
              <w:rPr>
                <w:noProof/>
                <w:webHidden/>
              </w:rPr>
              <w:t>16</w:t>
            </w:r>
            <w:r w:rsidR="00C2725E">
              <w:rPr>
                <w:noProof/>
                <w:webHidden/>
              </w:rPr>
              <w:fldChar w:fldCharType="end"/>
            </w:r>
          </w:hyperlink>
        </w:p>
        <w:p w14:paraId="299AA04C" w14:textId="218D134D" w:rsidR="00C2725E" w:rsidRPr="00C2725E" w:rsidRDefault="006149D1" w:rsidP="00C2725E">
          <w:pPr>
            <w:pStyle w:val="TOC2"/>
            <w:rPr>
              <w:rFonts w:eastAsiaTheme="minorEastAsia" w:cstheme="minorBidi"/>
              <w:kern w:val="2"/>
              <w14:ligatures w14:val="standardContextual"/>
            </w:rPr>
          </w:pPr>
          <w:hyperlink w:anchor="_Toc151538504" w:history="1">
            <w:r w:rsidR="00C2725E" w:rsidRPr="00C2725E">
              <w:rPr>
                <w:rStyle w:val="Hyperlink"/>
                <w:b/>
                <w:bCs/>
              </w:rPr>
              <w:t>Summary, FACTOR 1</w:t>
            </w:r>
            <w:r w:rsidR="00C2725E" w:rsidRPr="00C2725E">
              <w:rPr>
                <w:webHidden/>
              </w:rPr>
              <w:tab/>
            </w:r>
            <w:r w:rsidR="00C2725E" w:rsidRPr="00C2725E">
              <w:rPr>
                <w:webHidden/>
              </w:rPr>
              <w:fldChar w:fldCharType="begin"/>
            </w:r>
            <w:r w:rsidR="00C2725E" w:rsidRPr="00C2725E">
              <w:rPr>
                <w:webHidden/>
              </w:rPr>
              <w:instrText xml:space="preserve"> PAGEREF _Toc151538504 \h </w:instrText>
            </w:r>
            <w:r w:rsidR="00C2725E" w:rsidRPr="00C2725E">
              <w:rPr>
                <w:webHidden/>
              </w:rPr>
            </w:r>
            <w:r w:rsidR="00C2725E" w:rsidRPr="00C2725E">
              <w:rPr>
                <w:webHidden/>
              </w:rPr>
              <w:fldChar w:fldCharType="separate"/>
            </w:r>
            <w:r w:rsidR="00C2725E" w:rsidRPr="00C2725E">
              <w:rPr>
                <w:webHidden/>
              </w:rPr>
              <w:t>16</w:t>
            </w:r>
            <w:r w:rsidR="00C2725E" w:rsidRPr="00C2725E">
              <w:rPr>
                <w:webHidden/>
              </w:rPr>
              <w:fldChar w:fldCharType="end"/>
            </w:r>
          </w:hyperlink>
        </w:p>
        <w:p w14:paraId="2C045296" w14:textId="536A7C01" w:rsidR="00C2725E" w:rsidRDefault="006149D1">
          <w:pPr>
            <w:pStyle w:val="TOC1"/>
            <w:tabs>
              <w:tab w:val="right" w:leader="dot" w:pos="9710"/>
            </w:tabs>
            <w:rPr>
              <w:rFonts w:eastAsiaTheme="minorEastAsia"/>
              <w:noProof/>
              <w:kern w:val="2"/>
              <w14:ligatures w14:val="standardContextual"/>
            </w:rPr>
          </w:pPr>
          <w:hyperlink w:anchor="_Toc151538505" w:history="1">
            <w:r w:rsidR="00C2725E" w:rsidRPr="00DB5D2C">
              <w:rPr>
                <w:rStyle w:val="Hyperlink"/>
                <w:noProof/>
              </w:rPr>
              <w:t>Factor 2: Cost Containment, Improved Public Health Outcomes and Delivery System Transformation</w:t>
            </w:r>
            <w:r w:rsidR="00C2725E">
              <w:rPr>
                <w:noProof/>
                <w:webHidden/>
              </w:rPr>
              <w:tab/>
            </w:r>
            <w:r w:rsidR="00C2725E">
              <w:rPr>
                <w:noProof/>
                <w:webHidden/>
              </w:rPr>
              <w:fldChar w:fldCharType="begin"/>
            </w:r>
            <w:r w:rsidR="00C2725E">
              <w:rPr>
                <w:noProof/>
                <w:webHidden/>
              </w:rPr>
              <w:instrText xml:space="preserve"> PAGEREF _Toc151538505 \h </w:instrText>
            </w:r>
            <w:r w:rsidR="00C2725E">
              <w:rPr>
                <w:noProof/>
                <w:webHidden/>
              </w:rPr>
            </w:r>
            <w:r w:rsidR="00C2725E">
              <w:rPr>
                <w:noProof/>
                <w:webHidden/>
              </w:rPr>
              <w:fldChar w:fldCharType="separate"/>
            </w:r>
            <w:r w:rsidR="00C2725E">
              <w:rPr>
                <w:noProof/>
                <w:webHidden/>
              </w:rPr>
              <w:t>17</w:t>
            </w:r>
            <w:r w:rsidR="00C2725E">
              <w:rPr>
                <w:noProof/>
                <w:webHidden/>
              </w:rPr>
              <w:fldChar w:fldCharType="end"/>
            </w:r>
          </w:hyperlink>
        </w:p>
        <w:p w14:paraId="3CE10934" w14:textId="7C95E9CA" w:rsidR="00C2725E" w:rsidRDefault="006149D1">
          <w:pPr>
            <w:pStyle w:val="TOC1"/>
            <w:tabs>
              <w:tab w:val="right" w:leader="dot" w:pos="9710"/>
            </w:tabs>
            <w:rPr>
              <w:rFonts w:eastAsiaTheme="minorEastAsia"/>
              <w:noProof/>
              <w:kern w:val="2"/>
              <w14:ligatures w14:val="standardContextual"/>
            </w:rPr>
          </w:pPr>
          <w:hyperlink w:anchor="_Toc151538506" w:history="1">
            <w:r w:rsidR="00C2725E" w:rsidRPr="00DB5D2C">
              <w:rPr>
                <w:rStyle w:val="Hyperlink"/>
                <w:rFonts w:cstheme="minorHAnsi"/>
                <w:noProof/>
              </w:rPr>
              <w:t>Summary, FACTOR 2</w:t>
            </w:r>
            <w:r w:rsidR="00C2725E">
              <w:rPr>
                <w:noProof/>
                <w:webHidden/>
              </w:rPr>
              <w:tab/>
            </w:r>
            <w:r w:rsidR="00C2725E">
              <w:rPr>
                <w:noProof/>
                <w:webHidden/>
              </w:rPr>
              <w:fldChar w:fldCharType="begin"/>
            </w:r>
            <w:r w:rsidR="00C2725E">
              <w:rPr>
                <w:noProof/>
                <w:webHidden/>
              </w:rPr>
              <w:instrText xml:space="preserve"> PAGEREF _Toc151538506 \h </w:instrText>
            </w:r>
            <w:r w:rsidR="00C2725E">
              <w:rPr>
                <w:noProof/>
                <w:webHidden/>
              </w:rPr>
            </w:r>
            <w:r w:rsidR="00C2725E">
              <w:rPr>
                <w:noProof/>
                <w:webHidden/>
              </w:rPr>
              <w:fldChar w:fldCharType="separate"/>
            </w:r>
            <w:r w:rsidR="00C2725E">
              <w:rPr>
                <w:noProof/>
                <w:webHidden/>
              </w:rPr>
              <w:t>19</w:t>
            </w:r>
            <w:r w:rsidR="00C2725E">
              <w:rPr>
                <w:noProof/>
                <w:webHidden/>
              </w:rPr>
              <w:fldChar w:fldCharType="end"/>
            </w:r>
          </w:hyperlink>
        </w:p>
        <w:p w14:paraId="202AD906" w14:textId="62C363D4" w:rsidR="00C2725E" w:rsidRDefault="006149D1">
          <w:pPr>
            <w:pStyle w:val="TOC1"/>
            <w:tabs>
              <w:tab w:val="right" w:leader="dot" w:pos="9710"/>
            </w:tabs>
            <w:rPr>
              <w:rFonts w:eastAsiaTheme="minorEastAsia"/>
              <w:noProof/>
              <w:kern w:val="2"/>
              <w14:ligatures w14:val="standardContextual"/>
            </w:rPr>
          </w:pPr>
          <w:hyperlink w:anchor="_Toc151538507" w:history="1">
            <w:r w:rsidR="00C2725E" w:rsidRPr="00DB5D2C">
              <w:rPr>
                <w:rStyle w:val="Hyperlink"/>
                <w:noProof/>
              </w:rPr>
              <w:t>Factor 3: Relevant Licensure/Oversight Compliance</w:t>
            </w:r>
            <w:r w:rsidR="00C2725E">
              <w:rPr>
                <w:noProof/>
                <w:webHidden/>
              </w:rPr>
              <w:tab/>
            </w:r>
            <w:r w:rsidR="00C2725E">
              <w:rPr>
                <w:noProof/>
                <w:webHidden/>
              </w:rPr>
              <w:fldChar w:fldCharType="begin"/>
            </w:r>
            <w:r w:rsidR="00C2725E">
              <w:rPr>
                <w:noProof/>
                <w:webHidden/>
              </w:rPr>
              <w:instrText xml:space="preserve"> PAGEREF _Toc151538507 \h </w:instrText>
            </w:r>
            <w:r w:rsidR="00C2725E">
              <w:rPr>
                <w:noProof/>
                <w:webHidden/>
              </w:rPr>
            </w:r>
            <w:r w:rsidR="00C2725E">
              <w:rPr>
                <w:noProof/>
                <w:webHidden/>
              </w:rPr>
              <w:fldChar w:fldCharType="separate"/>
            </w:r>
            <w:r w:rsidR="00C2725E">
              <w:rPr>
                <w:noProof/>
                <w:webHidden/>
              </w:rPr>
              <w:t>19</w:t>
            </w:r>
            <w:r w:rsidR="00C2725E">
              <w:rPr>
                <w:noProof/>
                <w:webHidden/>
              </w:rPr>
              <w:fldChar w:fldCharType="end"/>
            </w:r>
          </w:hyperlink>
        </w:p>
        <w:p w14:paraId="26D47972" w14:textId="5442FE5D" w:rsidR="00C2725E" w:rsidRDefault="006149D1">
          <w:pPr>
            <w:pStyle w:val="TOC1"/>
            <w:tabs>
              <w:tab w:val="right" w:leader="dot" w:pos="9710"/>
            </w:tabs>
            <w:rPr>
              <w:rFonts w:eastAsiaTheme="minorEastAsia"/>
              <w:noProof/>
              <w:kern w:val="2"/>
              <w14:ligatures w14:val="standardContextual"/>
            </w:rPr>
          </w:pPr>
          <w:hyperlink w:anchor="_Toc151538508" w:history="1">
            <w:r w:rsidR="00C2725E" w:rsidRPr="00DB5D2C">
              <w:rPr>
                <w:rStyle w:val="Hyperlink"/>
                <w:noProof/>
              </w:rPr>
              <w:t>Factor 4: Financial Feasibility</w:t>
            </w:r>
            <w:r w:rsidR="00C2725E">
              <w:rPr>
                <w:noProof/>
                <w:webHidden/>
              </w:rPr>
              <w:tab/>
            </w:r>
            <w:r w:rsidR="00C2725E">
              <w:rPr>
                <w:noProof/>
                <w:webHidden/>
              </w:rPr>
              <w:fldChar w:fldCharType="begin"/>
            </w:r>
            <w:r w:rsidR="00C2725E">
              <w:rPr>
                <w:noProof/>
                <w:webHidden/>
              </w:rPr>
              <w:instrText xml:space="preserve"> PAGEREF _Toc151538508 \h </w:instrText>
            </w:r>
            <w:r w:rsidR="00C2725E">
              <w:rPr>
                <w:noProof/>
                <w:webHidden/>
              </w:rPr>
            </w:r>
            <w:r w:rsidR="00C2725E">
              <w:rPr>
                <w:noProof/>
                <w:webHidden/>
              </w:rPr>
              <w:fldChar w:fldCharType="separate"/>
            </w:r>
            <w:r w:rsidR="00C2725E">
              <w:rPr>
                <w:noProof/>
                <w:webHidden/>
              </w:rPr>
              <w:t>19</w:t>
            </w:r>
            <w:r w:rsidR="00C2725E">
              <w:rPr>
                <w:noProof/>
                <w:webHidden/>
              </w:rPr>
              <w:fldChar w:fldCharType="end"/>
            </w:r>
          </w:hyperlink>
        </w:p>
        <w:p w14:paraId="4043E215" w14:textId="235DC41D" w:rsidR="00C2725E" w:rsidRDefault="006149D1">
          <w:pPr>
            <w:pStyle w:val="TOC1"/>
            <w:tabs>
              <w:tab w:val="right" w:leader="dot" w:pos="9710"/>
            </w:tabs>
            <w:rPr>
              <w:rFonts w:eastAsiaTheme="minorEastAsia"/>
              <w:noProof/>
              <w:kern w:val="2"/>
              <w14:ligatures w14:val="standardContextual"/>
            </w:rPr>
          </w:pPr>
          <w:hyperlink w:anchor="_Toc151538509" w:history="1">
            <w:r w:rsidR="00C2725E" w:rsidRPr="00DB5D2C">
              <w:rPr>
                <w:rStyle w:val="Hyperlink"/>
                <w:noProof/>
              </w:rPr>
              <w:t>Factor 5: Assessment of the Proposed Project’s Relative Merit</w:t>
            </w:r>
            <w:r w:rsidR="00C2725E">
              <w:rPr>
                <w:noProof/>
                <w:webHidden/>
              </w:rPr>
              <w:tab/>
            </w:r>
            <w:r w:rsidR="00C2725E">
              <w:rPr>
                <w:noProof/>
                <w:webHidden/>
              </w:rPr>
              <w:fldChar w:fldCharType="begin"/>
            </w:r>
            <w:r w:rsidR="00C2725E">
              <w:rPr>
                <w:noProof/>
                <w:webHidden/>
              </w:rPr>
              <w:instrText xml:space="preserve"> PAGEREF _Toc151538509 \h </w:instrText>
            </w:r>
            <w:r w:rsidR="00C2725E">
              <w:rPr>
                <w:noProof/>
                <w:webHidden/>
              </w:rPr>
            </w:r>
            <w:r w:rsidR="00C2725E">
              <w:rPr>
                <w:noProof/>
                <w:webHidden/>
              </w:rPr>
              <w:fldChar w:fldCharType="separate"/>
            </w:r>
            <w:r w:rsidR="00C2725E">
              <w:rPr>
                <w:noProof/>
                <w:webHidden/>
              </w:rPr>
              <w:t>21</w:t>
            </w:r>
            <w:r w:rsidR="00C2725E">
              <w:rPr>
                <w:noProof/>
                <w:webHidden/>
              </w:rPr>
              <w:fldChar w:fldCharType="end"/>
            </w:r>
          </w:hyperlink>
        </w:p>
        <w:p w14:paraId="0745070A" w14:textId="2F47063B" w:rsidR="00C2725E" w:rsidRDefault="006149D1">
          <w:pPr>
            <w:pStyle w:val="TOC1"/>
            <w:tabs>
              <w:tab w:val="right" w:leader="dot" w:pos="9710"/>
            </w:tabs>
            <w:rPr>
              <w:rFonts w:eastAsiaTheme="minorEastAsia"/>
              <w:noProof/>
              <w:kern w:val="2"/>
              <w14:ligatures w14:val="standardContextual"/>
            </w:rPr>
          </w:pPr>
          <w:hyperlink w:anchor="_Toc151538510" w:history="1">
            <w:r w:rsidR="00C2725E" w:rsidRPr="00DB5D2C">
              <w:rPr>
                <w:rStyle w:val="Hyperlink"/>
                <w:noProof/>
              </w:rPr>
              <w:t>Factor 6: Fulfillment of DPH Community-based Health Initiatives</w:t>
            </w:r>
            <w:r w:rsidR="00C2725E">
              <w:rPr>
                <w:noProof/>
                <w:webHidden/>
              </w:rPr>
              <w:tab/>
            </w:r>
            <w:r w:rsidR="00C2725E">
              <w:rPr>
                <w:noProof/>
                <w:webHidden/>
              </w:rPr>
              <w:fldChar w:fldCharType="begin"/>
            </w:r>
            <w:r w:rsidR="00C2725E">
              <w:rPr>
                <w:noProof/>
                <w:webHidden/>
              </w:rPr>
              <w:instrText xml:space="preserve"> PAGEREF _Toc151538510 \h </w:instrText>
            </w:r>
            <w:r w:rsidR="00C2725E">
              <w:rPr>
                <w:noProof/>
                <w:webHidden/>
              </w:rPr>
            </w:r>
            <w:r w:rsidR="00C2725E">
              <w:rPr>
                <w:noProof/>
                <w:webHidden/>
              </w:rPr>
              <w:fldChar w:fldCharType="separate"/>
            </w:r>
            <w:r w:rsidR="00C2725E">
              <w:rPr>
                <w:noProof/>
                <w:webHidden/>
              </w:rPr>
              <w:t>22</w:t>
            </w:r>
            <w:r w:rsidR="00C2725E">
              <w:rPr>
                <w:noProof/>
                <w:webHidden/>
              </w:rPr>
              <w:fldChar w:fldCharType="end"/>
            </w:r>
          </w:hyperlink>
        </w:p>
        <w:p w14:paraId="7E2BC214" w14:textId="55686BC8" w:rsidR="00C2725E" w:rsidRDefault="006149D1">
          <w:pPr>
            <w:pStyle w:val="TOC1"/>
            <w:tabs>
              <w:tab w:val="right" w:leader="dot" w:pos="9710"/>
            </w:tabs>
            <w:rPr>
              <w:rFonts w:eastAsiaTheme="minorEastAsia"/>
              <w:noProof/>
              <w:kern w:val="2"/>
              <w14:ligatures w14:val="standardContextual"/>
            </w:rPr>
          </w:pPr>
          <w:hyperlink w:anchor="_Toc151538511" w:history="1">
            <w:r w:rsidR="00C2725E" w:rsidRPr="00DB5D2C">
              <w:rPr>
                <w:rStyle w:val="Hyperlink"/>
                <w:noProof/>
              </w:rPr>
              <w:t>Overall Findings and Recommendations</w:t>
            </w:r>
            <w:r w:rsidR="00C2725E">
              <w:rPr>
                <w:noProof/>
                <w:webHidden/>
              </w:rPr>
              <w:tab/>
            </w:r>
            <w:r w:rsidR="00C2725E">
              <w:rPr>
                <w:noProof/>
                <w:webHidden/>
              </w:rPr>
              <w:fldChar w:fldCharType="begin"/>
            </w:r>
            <w:r w:rsidR="00C2725E">
              <w:rPr>
                <w:noProof/>
                <w:webHidden/>
              </w:rPr>
              <w:instrText xml:space="preserve"> PAGEREF _Toc151538511 \h </w:instrText>
            </w:r>
            <w:r w:rsidR="00C2725E">
              <w:rPr>
                <w:noProof/>
                <w:webHidden/>
              </w:rPr>
            </w:r>
            <w:r w:rsidR="00C2725E">
              <w:rPr>
                <w:noProof/>
                <w:webHidden/>
              </w:rPr>
              <w:fldChar w:fldCharType="separate"/>
            </w:r>
            <w:r w:rsidR="00C2725E">
              <w:rPr>
                <w:noProof/>
                <w:webHidden/>
              </w:rPr>
              <w:t>22</w:t>
            </w:r>
            <w:r w:rsidR="00C2725E">
              <w:rPr>
                <w:noProof/>
                <w:webHidden/>
              </w:rPr>
              <w:fldChar w:fldCharType="end"/>
            </w:r>
          </w:hyperlink>
        </w:p>
        <w:p w14:paraId="6FC162FD" w14:textId="3D198E50" w:rsidR="00C2725E" w:rsidRDefault="006149D1">
          <w:pPr>
            <w:pStyle w:val="TOC1"/>
            <w:tabs>
              <w:tab w:val="right" w:leader="dot" w:pos="9710"/>
            </w:tabs>
            <w:rPr>
              <w:rFonts w:eastAsiaTheme="minorEastAsia"/>
              <w:noProof/>
              <w:kern w:val="2"/>
              <w14:ligatures w14:val="standardContextual"/>
            </w:rPr>
          </w:pPr>
          <w:hyperlink w:anchor="_Toc151538512" w:history="1">
            <w:r w:rsidR="00C2725E" w:rsidRPr="00DB5D2C">
              <w:rPr>
                <w:rStyle w:val="Hyperlink"/>
                <w:noProof/>
              </w:rPr>
              <w:t>Conditions to the DoN</w:t>
            </w:r>
            <w:r w:rsidR="00C2725E">
              <w:rPr>
                <w:noProof/>
                <w:webHidden/>
              </w:rPr>
              <w:tab/>
            </w:r>
            <w:r w:rsidR="00C2725E">
              <w:rPr>
                <w:noProof/>
                <w:webHidden/>
              </w:rPr>
              <w:fldChar w:fldCharType="begin"/>
            </w:r>
            <w:r w:rsidR="00C2725E">
              <w:rPr>
                <w:noProof/>
                <w:webHidden/>
              </w:rPr>
              <w:instrText xml:space="preserve"> PAGEREF _Toc151538512 \h </w:instrText>
            </w:r>
            <w:r w:rsidR="00C2725E">
              <w:rPr>
                <w:noProof/>
                <w:webHidden/>
              </w:rPr>
            </w:r>
            <w:r w:rsidR="00C2725E">
              <w:rPr>
                <w:noProof/>
                <w:webHidden/>
              </w:rPr>
              <w:fldChar w:fldCharType="separate"/>
            </w:r>
            <w:r w:rsidR="00C2725E">
              <w:rPr>
                <w:noProof/>
                <w:webHidden/>
              </w:rPr>
              <w:t>22</w:t>
            </w:r>
            <w:r w:rsidR="00C2725E">
              <w:rPr>
                <w:noProof/>
                <w:webHidden/>
              </w:rPr>
              <w:fldChar w:fldCharType="end"/>
            </w:r>
          </w:hyperlink>
        </w:p>
        <w:p w14:paraId="68FF6923" w14:textId="22971CC9" w:rsidR="00C2725E" w:rsidRDefault="006149D1">
          <w:pPr>
            <w:pStyle w:val="TOC1"/>
            <w:tabs>
              <w:tab w:val="right" w:leader="dot" w:pos="9710"/>
            </w:tabs>
            <w:rPr>
              <w:rFonts w:eastAsiaTheme="minorEastAsia"/>
              <w:noProof/>
              <w:kern w:val="2"/>
              <w14:ligatures w14:val="standardContextual"/>
            </w:rPr>
          </w:pPr>
          <w:hyperlink w:anchor="_Toc151538513" w:history="1">
            <w:r w:rsidR="00C2725E" w:rsidRPr="00DB5D2C">
              <w:rPr>
                <w:rStyle w:val="Hyperlink"/>
                <w:noProof/>
              </w:rPr>
              <w:t>Appendix I</w:t>
            </w:r>
            <w:r w:rsidR="00C2725E">
              <w:rPr>
                <w:noProof/>
                <w:webHidden/>
              </w:rPr>
              <w:tab/>
            </w:r>
            <w:r w:rsidR="00C2725E">
              <w:rPr>
                <w:noProof/>
                <w:webHidden/>
              </w:rPr>
              <w:fldChar w:fldCharType="begin"/>
            </w:r>
            <w:r w:rsidR="00C2725E">
              <w:rPr>
                <w:noProof/>
                <w:webHidden/>
              </w:rPr>
              <w:instrText xml:space="preserve"> PAGEREF _Toc151538513 \h </w:instrText>
            </w:r>
            <w:r w:rsidR="00C2725E">
              <w:rPr>
                <w:noProof/>
                <w:webHidden/>
              </w:rPr>
            </w:r>
            <w:r w:rsidR="00C2725E">
              <w:rPr>
                <w:noProof/>
                <w:webHidden/>
              </w:rPr>
              <w:fldChar w:fldCharType="separate"/>
            </w:r>
            <w:r w:rsidR="00C2725E">
              <w:rPr>
                <w:noProof/>
                <w:webHidden/>
              </w:rPr>
              <w:t>23</w:t>
            </w:r>
            <w:r w:rsidR="00C2725E">
              <w:rPr>
                <w:noProof/>
                <w:webHidden/>
              </w:rPr>
              <w:fldChar w:fldCharType="end"/>
            </w:r>
          </w:hyperlink>
        </w:p>
        <w:p w14:paraId="29714CD7" w14:textId="335BEE4B" w:rsidR="00C2725E" w:rsidRDefault="006149D1">
          <w:pPr>
            <w:pStyle w:val="TOC1"/>
            <w:tabs>
              <w:tab w:val="right" w:leader="dot" w:pos="9710"/>
            </w:tabs>
            <w:rPr>
              <w:rFonts w:eastAsiaTheme="minorEastAsia"/>
              <w:noProof/>
              <w:kern w:val="2"/>
              <w14:ligatures w14:val="standardContextual"/>
            </w:rPr>
          </w:pPr>
          <w:hyperlink w:anchor="_Toc151538514" w:history="1">
            <w:r w:rsidR="00C2725E" w:rsidRPr="00DB5D2C">
              <w:rPr>
                <w:rStyle w:val="Hyperlink"/>
                <w:rFonts w:cstheme="minorHAnsi"/>
                <w:iCs/>
                <w:noProof/>
              </w:rPr>
              <w:t>REFERENCES</w:t>
            </w:r>
            <w:r w:rsidR="00C2725E">
              <w:rPr>
                <w:noProof/>
                <w:webHidden/>
              </w:rPr>
              <w:tab/>
            </w:r>
            <w:r w:rsidR="00C2725E">
              <w:rPr>
                <w:noProof/>
                <w:webHidden/>
              </w:rPr>
              <w:fldChar w:fldCharType="begin"/>
            </w:r>
            <w:r w:rsidR="00C2725E">
              <w:rPr>
                <w:noProof/>
                <w:webHidden/>
              </w:rPr>
              <w:instrText xml:space="preserve"> PAGEREF _Toc151538514 \h </w:instrText>
            </w:r>
            <w:r w:rsidR="00C2725E">
              <w:rPr>
                <w:noProof/>
                <w:webHidden/>
              </w:rPr>
            </w:r>
            <w:r w:rsidR="00C2725E">
              <w:rPr>
                <w:noProof/>
                <w:webHidden/>
              </w:rPr>
              <w:fldChar w:fldCharType="separate"/>
            </w:r>
            <w:r w:rsidR="00C2725E">
              <w:rPr>
                <w:noProof/>
                <w:webHidden/>
              </w:rPr>
              <w:t>24</w:t>
            </w:r>
            <w:r w:rsidR="00C2725E">
              <w:rPr>
                <w:noProof/>
                <w:webHidden/>
              </w:rPr>
              <w:fldChar w:fldCharType="end"/>
            </w:r>
          </w:hyperlink>
        </w:p>
        <w:p w14:paraId="060B9E96" w14:textId="7A9DA7DF" w:rsidR="0098316A" w:rsidRPr="00CE334A" w:rsidRDefault="0098316A">
          <w:pPr>
            <w:rPr>
              <w:sz w:val="24"/>
              <w:szCs w:val="24"/>
            </w:rPr>
          </w:pPr>
          <w:r w:rsidRPr="00CE334A">
            <w:rPr>
              <w:b/>
              <w:bCs/>
              <w:noProof/>
              <w:sz w:val="24"/>
              <w:szCs w:val="24"/>
            </w:rPr>
            <w:fldChar w:fldCharType="end"/>
          </w:r>
        </w:p>
      </w:sdtContent>
    </w:sdt>
    <w:p w14:paraId="12C7C6A3" w14:textId="77777777" w:rsidR="00897353" w:rsidRPr="00CE334A" w:rsidRDefault="00897353" w:rsidP="0093651C">
      <w:pPr>
        <w:pStyle w:val="Heading1"/>
      </w:pPr>
    </w:p>
    <w:p w14:paraId="6FEB13CA" w14:textId="77777777" w:rsidR="00897353" w:rsidRPr="00CE334A" w:rsidRDefault="00897353">
      <w:pPr>
        <w:rPr>
          <w:b/>
          <w:bCs/>
        </w:rPr>
      </w:pPr>
    </w:p>
    <w:p w14:paraId="780EAF0C" w14:textId="20A6C8EE" w:rsidR="00897353" w:rsidRPr="00CE334A" w:rsidRDefault="00897353" w:rsidP="00897353">
      <w:pPr>
        <w:spacing w:after="0" w:line="240" w:lineRule="auto"/>
        <w:contextualSpacing/>
        <w:jc w:val="center"/>
        <w:rPr>
          <w:rFonts w:ascii="Garamond" w:eastAsia="Calibri" w:hAnsi="Garamond" w:cs="Times New Roman"/>
        </w:rPr>
      </w:pPr>
    </w:p>
    <w:p w14:paraId="78017998" w14:textId="77777777" w:rsidR="00897353" w:rsidRPr="00CE334A" w:rsidRDefault="00897353" w:rsidP="00897353">
      <w:pPr>
        <w:spacing w:after="0" w:line="240" w:lineRule="auto"/>
        <w:contextualSpacing/>
        <w:rPr>
          <w:rFonts w:ascii="Garamond" w:eastAsia="Calibri" w:hAnsi="Garamond" w:cs="Times New Roman"/>
        </w:rPr>
        <w:sectPr w:rsidR="00897353" w:rsidRPr="00CE334A" w:rsidSect="0098316A">
          <w:endnotePr>
            <w:numFmt w:val="lowerLetter"/>
          </w:endnotePr>
          <w:pgSz w:w="12240" w:h="15840"/>
          <w:pgMar w:top="1440" w:right="1440" w:bottom="1440" w:left="1080" w:header="720" w:footer="720" w:gutter="0"/>
          <w:cols w:space="720"/>
          <w:docGrid w:linePitch="360"/>
        </w:sectPr>
      </w:pPr>
    </w:p>
    <w:p w14:paraId="0C41E10A" w14:textId="478C72C6" w:rsidR="00C375A0" w:rsidRPr="008150F1" w:rsidRDefault="00926528" w:rsidP="008150F1">
      <w:pPr>
        <w:pStyle w:val="Heading1"/>
        <w:spacing w:line="240" w:lineRule="auto"/>
        <w:rPr>
          <w:rFonts w:cstheme="minorHAnsi"/>
        </w:rPr>
      </w:pPr>
      <w:bookmarkStart w:id="0" w:name="_Toc144207765"/>
      <w:bookmarkStart w:id="1" w:name="_Toc151538495"/>
      <w:r w:rsidRPr="00CE334A">
        <w:rPr>
          <w:rFonts w:cstheme="minorHAnsi"/>
        </w:rPr>
        <w:lastRenderedPageBreak/>
        <w:t>Applicant Background and Applica</w:t>
      </w:r>
      <w:r w:rsidRPr="00CB2EB0">
        <w:rPr>
          <w:rFonts w:cstheme="minorHAnsi"/>
        </w:rPr>
        <w:t>tion Overview</w:t>
      </w:r>
      <w:bookmarkEnd w:id="0"/>
      <w:bookmarkEnd w:id="1"/>
    </w:p>
    <w:p w14:paraId="7902CB85" w14:textId="059625EF" w:rsidR="00926528" w:rsidRPr="008150F1" w:rsidRDefault="008150F1" w:rsidP="00C375A0">
      <w:pPr>
        <w:spacing w:after="0" w:line="240" w:lineRule="auto"/>
        <w:rPr>
          <w:b/>
          <w:bCs/>
          <w:sz w:val="24"/>
          <w:szCs w:val="24"/>
        </w:rPr>
      </w:pPr>
      <w:r w:rsidRPr="008150F1">
        <w:rPr>
          <w:b/>
          <w:bCs/>
          <w:sz w:val="24"/>
          <w:szCs w:val="24"/>
        </w:rPr>
        <w:t>Encompass</w:t>
      </w:r>
      <w:r w:rsidR="009E0952">
        <w:rPr>
          <w:b/>
          <w:bCs/>
          <w:sz w:val="24"/>
          <w:szCs w:val="24"/>
        </w:rPr>
        <w:t xml:space="preserve"> Health Corporation</w:t>
      </w:r>
    </w:p>
    <w:p w14:paraId="6E82B3E5" w14:textId="70E24C10" w:rsidR="007F0E64" w:rsidRPr="00F80E65" w:rsidRDefault="007F0E64" w:rsidP="00F80E65">
      <w:pPr>
        <w:pStyle w:val="pf0"/>
        <w:rPr>
          <w:rFonts w:asciiTheme="minorHAnsi" w:hAnsiTheme="minorHAnsi" w:cstheme="minorHAnsi"/>
        </w:rPr>
      </w:pPr>
      <w:proofErr w:type="gramStart"/>
      <w:r w:rsidRPr="00F80E65">
        <w:rPr>
          <w:rFonts w:asciiTheme="minorHAnsi" w:hAnsiTheme="minorHAnsi" w:cstheme="minorHAnsi"/>
        </w:rPr>
        <w:t>Encompass Health Corporation (“Encompass Health”</w:t>
      </w:r>
      <w:r w:rsidR="00F47DD6" w:rsidRPr="00F80E65">
        <w:rPr>
          <w:rFonts w:asciiTheme="minorHAnsi" w:hAnsiTheme="minorHAnsi" w:cstheme="minorHAnsi"/>
        </w:rPr>
        <w:t xml:space="preserve"> or “Applicant”</w:t>
      </w:r>
      <w:r w:rsidRPr="00F80E65">
        <w:rPr>
          <w:rFonts w:asciiTheme="minorHAnsi" w:hAnsiTheme="minorHAnsi" w:cstheme="minorHAnsi"/>
        </w:rPr>
        <w:t>)</w:t>
      </w:r>
      <w:r w:rsidR="005465D7" w:rsidRPr="00F80E65">
        <w:rPr>
          <w:rFonts w:asciiTheme="minorHAnsi" w:hAnsiTheme="minorHAnsi" w:cstheme="minorHAnsi"/>
        </w:rPr>
        <w:t>,</w:t>
      </w:r>
      <w:proofErr w:type="gramEnd"/>
      <w:r w:rsidRPr="00F80E65">
        <w:rPr>
          <w:rFonts w:asciiTheme="minorHAnsi" w:hAnsiTheme="minorHAnsi" w:cstheme="minorHAnsi"/>
        </w:rPr>
        <w:t xml:space="preserve"> </w:t>
      </w:r>
      <w:r w:rsidR="000334BE" w:rsidRPr="00F80E65">
        <w:rPr>
          <w:rFonts w:asciiTheme="minorHAnsi" w:hAnsiTheme="minorHAnsi" w:cstheme="minorHAnsi"/>
        </w:rPr>
        <w:t xml:space="preserve">is </w:t>
      </w:r>
      <w:r w:rsidRPr="00F80E65">
        <w:rPr>
          <w:rFonts w:asciiTheme="minorHAnsi" w:hAnsiTheme="minorHAnsi" w:cstheme="minorHAnsi"/>
          <w:bCs/>
        </w:rPr>
        <w:t xml:space="preserve">a national </w:t>
      </w:r>
      <w:r w:rsidR="00FE2F4D" w:rsidRPr="00F80E65">
        <w:rPr>
          <w:rFonts w:asciiTheme="minorHAnsi" w:hAnsiTheme="minorHAnsi" w:cstheme="minorHAnsi"/>
          <w:bCs/>
        </w:rPr>
        <w:t xml:space="preserve">provider of </w:t>
      </w:r>
      <w:r w:rsidRPr="00F80E65">
        <w:rPr>
          <w:rFonts w:asciiTheme="minorHAnsi" w:hAnsiTheme="minorHAnsi" w:cstheme="minorHAnsi"/>
          <w:bCs/>
        </w:rPr>
        <w:t>inpatient rehabilitation services (</w:t>
      </w:r>
      <w:proofErr w:type="gramStart"/>
      <w:r w:rsidRPr="00F80E65">
        <w:rPr>
          <w:rFonts w:asciiTheme="minorHAnsi" w:hAnsiTheme="minorHAnsi" w:cstheme="minorHAnsi"/>
          <w:bCs/>
        </w:rPr>
        <w:t>“rehab</w:t>
      </w:r>
      <w:proofErr w:type="gramEnd"/>
      <w:r w:rsidRPr="00F80E65">
        <w:rPr>
          <w:rFonts w:asciiTheme="minorHAnsi" w:hAnsiTheme="minorHAnsi" w:cstheme="minorHAnsi"/>
          <w:bCs/>
        </w:rPr>
        <w:t xml:space="preserve">”) with 157 inpatient rehabilitation hospitals in 37 states and Puerto Rico. </w:t>
      </w:r>
      <w:r w:rsidR="002135AD">
        <w:rPr>
          <w:rFonts w:asciiTheme="minorHAnsi" w:hAnsiTheme="minorHAnsi" w:cstheme="minorHAnsi"/>
          <w:bCs/>
        </w:rPr>
        <w:t xml:space="preserve">In Massachusetts, </w:t>
      </w:r>
      <w:r w:rsidR="00F80E65" w:rsidRPr="00F80E65">
        <w:rPr>
          <w:rStyle w:val="cf01"/>
          <w:rFonts w:asciiTheme="minorHAnsi" w:hAnsiTheme="minorHAnsi" w:cstheme="minorHAnsi"/>
          <w:sz w:val="24"/>
          <w:szCs w:val="24"/>
        </w:rPr>
        <w:t xml:space="preserve">Encompass Health wholly owns and operates three facilities and is </w:t>
      </w:r>
      <w:proofErr w:type="gramStart"/>
      <w:r w:rsidR="00F80E65" w:rsidRPr="00F80E65">
        <w:rPr>
          <w:rStyle w:val="cf01"/>
          <w:rFonts w:asciiTheme="minorHAnsi" w:hAnsiTheme="minorHAnsi" w:cstheme="minorHAnsi"/>
          <w:sz w:val="24"/>
          <w:szCs w:val="24"/>
        </w:rPr>
        <w:t>majority</w:t>
      </w:r>
      <w:proofErr w:type="gramEnd"/>
      <w:r w:rsidR="00F80E65" w:rsidRPr="00F80E65">
        <w:rPr>
          <w:rStyle w:val="cf01"/>
          <w:rFonts w:asciiTheme="minorHAnsi" w:hAnsiTheme="minorHAnsi" w:cstheme="minorHAnsi"/>
          <w:sz w:val="24"/>
          <w:szCs w:val="24"/>
        </w:rPr>
        <w:t xml:space="preserve"> owner of a fourth facility</w:t>
      </w:r>
      <w:r w:rsidR="009409B6">
        <w:rPr>
          <w:rStyle w:val="cf01"/>
          <w:rFonts w:asciiTheme="minorHAnsi" w:hAnsiTheme="minorHAnsi" w:cstheme="minorHAnsi"/>
          <w:sz w:val="24"/>
          <w:szCs w:val="24"/>
        </w:rPr>
        <w:t>, all</w:t>
      </w:r>
      <w:r w:rsidR="00F80E65" w:rsidRPr="00F80E65">
        <w:rPr>
          <w:rStyle w:val="cf01"/>
          <w:rFonts w:asciiTheme="minorHAnsi" w:hAnsiTheme="minorHAnsi" w:cstheme="minorHAnsi"/>
          <w:sz w:val="24"/>
          <w:szCs w:val="24"/>
        </w:rPr>
        <w:t xml:space="preserve"> licensed as non-acute hospitals. These hospitals carry the Center for Medicaid Service </w:t>
      </w:r>
      <w:r w:rsidR="00F80E65">
        <w:rPr>
          <w:rStyle w:val="cf01"/>
          <w:rFonts w:asciiTheme="minorHAnsi" w:hAnsiTheme="minorHAnsi" w:cstheme="minorHAnsi"/>
          <w:sz w:val="24"/>
          <w:szCs w:val="24"/>
        </w:rPr>
        <w:t xml:space="preserve">(CMS) </w:t>
      </w:r>
      <w:r w:rsidR="00F80E65" w:rsidRPr="00F80E65">
        <w:rPr>
          <w:rStyle w:val="cf01"/>
          <w:rFonts w:asciiTheme="minorHAnsi" w:hAnsiTheme="minorHAnsi" w:cstheme="minorHAnsi"/>
          <w:sz w:val="24"/>
          <w:szCs w:val="24"/>
        </w:rPr>
        <w:t xml:space="preserve">designation as inpatient rehab facilities (IRF), which are </w:t>
      </w:r>
      <w:r w:rsidR="00F80E65" w:rsidRPr="00F80E65">
        <w:rPr>
          <w:rStyle w:val="cf11"/>
          <w:rFonts w:asciiTheme="minorHAnsi" w:hAnsiTheme="minorHAnsi" w:cstheme="minorHAnsi"/>
          <w:sz w:val="24"/>
          <w:szCs w:val="24"/>
        </w:rPr>
        <w:t>free standing rehabilitation hospitals and rehabilitation units in acute care hospitals that provide an intensive rehabilitation program.</w:t>
      </w:r>
      <w:r w:rsidR="00F80E65" w:rsidRPr="00F80E65">
        <w:rPr>
          <w:rStyle w:val="FootnoteReference"/>
          <w:rFonts w:asciiTheme="minorHAnsi" w:hAnsiTheme="minorHAnsi" w:cstheme="minorHAnsi"/>
        </w:rPr>
        <w:footnoteReference w:id="1"/>
      </w:r>
    </w:p>
    <w:p w14:paraId="2346DAF8" w14:textId="704B2A8B" w:rsidR="006D575C" w:rsidRDefault="006D575C" w:rsidP="00960B5C">
      <w:pPr>
        <w:spacing w:after="0" w:line="240" w:lineRule="auto"/>
        <w:rPr>
          <w:bCs/>
          <w:sz w:val="24"/>
          <w:szCs w:val="24"/>
        </w:rPr>
      </w:pPr>
    </w:p>
    <w:p w14:paraId="7C7B2230" w14:textId="66A625D7" w:rsidR="006D575C" w:rsidRPr="0061319F" w:rsidRDefault="006D575C" w:rsidP="0061319F">
      <w:pPr>
        <w:pStyle w:val="Caption"/>
        <w:spacing w:after="0"/>
        <w:contextualSpacing/>
        <w:jc w:val="center"/>
        <w:rPr>
          <w:rFonts w:cstheme="minorHAnsi"/>
          <w:color w:val="2F5496" w:themeColor="accent1" w:themeShade="BF"/>
          <w:sz w:val="24"/>
          <w:szCs w:val="24"/>
        </w:rPr>
      </w:pPr>
      <w:r w:rsidRPr="0061319F">
        <w:rPr>
          <w:rFonts w:cstheme="minorHAnsi"/>
          <w:color w:val="2F5496" w:themeColor="accent1" w:themeShade="BF"/>
          <w:sz w:val="24"/>
          <w:szCs w:val="24"/>
          <w:u w:val="single"/>
        </w:rPr>
        <w:t>Table 1:</w:t>
      </w:r>
      <w:r w:rsidRPr="0061319F">
        <w:rPr>
          <w:rFonts w:cstheme="minorHAnsi"/>
          <w:color w:val="2F5496" w:themeColor="accent1" w:themeShade="BF"/>
          <w:sz w:val="24"/>
          <w:szCs w:val="24"/>
        </w:rPr>
        <w:t xml:space="preserve"> Encompass </w:t>
      </w:r>
      <w:r w:rsidRPr="009409B6">
        <w:rPr>
          <w:rFonts w:cstheme="minorHAnsi"/>
          <w:color w:val="2F5496" w:themeColor="accent1" w:themeShade="BF"/>
          <w:sz w:val="24"/>
          <w:szCs w:val="24"/>
        </w:rPr>
        <w:t>Rehabilitation</w:t>
      </w:r>
      <w:r w:rsidRPr="0061319F">
        <w:rPr>
          <w:rFonts w:cstheme="minorHAnsi"/>
          <w:color w:val="2F5496" w:themeColor="accent1" w:themeShade="BF"/>
          <w:sz w:val="24"/>
          <w:szCs w:val="24"/>
        </w:rPr>
        <w:t xml:space="preserve"> Hospitals in Massachusetts</w:t>
      </w:r>
    </w:p>
    <w:tbl>
      <w:tblPr>
        <w:tblStyle w:val="GridTable1Light"/>
        <w:tblW w:w="9625" w:type="dxa"/>
        <w:tblLook w:val="04A0" w:firstRow="1" w:lastRow="0" w:firstColumn="1" w:lastColumn="0" w:noHBand="0" w:noVBand="1"/>
      </w:tblPr>
      <w:tblGrid>
        <w:gridCol w:w="5755"/>
        <w:gridCol w:w="1440"/>
        <w:gridCol w:w="2430"/>
      </w:tblGrid>
      <w:tr w:rsidR="006D575C" w:rsidRPr="00DC4892" w14:paraId="789D3EF5" w14:textId="77777777" w:rsidTr="00ED6171">
        <w:trPr>
          <w:cnfStyle w:val="100000000000" w:firstRow="1" w:lastRow="0" w:firstColumn="0" w:lastColumn="0" w:oddVBand="0" w:evenVBand="0" w:oddHBand="0" w:evenHBand="0" w:firstRowFirstColumn="0" w:firstRowLastColumn="0" w:lastRowFirstColumn="0" w:lastRowLastColumn="0"/>
          <w:cantSplit/>
          <w:trHeight w:val="380"/>
          <w:tblHeader/>
        </w:trPr>
        <w:tc>
          <w:tcPr>
            <w:cnfStyle w:val="001000000000" w:firstRow="0" w:lastRow="0" w:firstColumn="1" w:lastColumn="0" w:oddVBand="0" w:evenVBand="0" w:oddHBand="0" w:evenHBand="0" w:firstRowFirstColumn="0" w:firstRowLastColumn="0" w:lastRowFirstColumn="0" w:lastRowLastColumn="0"/>
            <w:tcW w:w="5755" w:type="dxa"/>
            <w:shd w:val="clear" w:color="auto" w:fill="9CC2E5" w:themeFill="accent5" w:themeFillTint="99"/>
            <w:noWrap/>
            <w:hideMark/>
          </w:tcPr>
          <w:p w14:paraId="1ADB73AA" w14:textId="77777777" w:rsidR="006D575C" w:rsidRPr="00AA3A27" w:rsidRDefault="006D575C" w:rsidP="007A7D29">
            <w:pPr>
              <w:ind w:left="-110" w:right="-130"/>
              <w:jc w:val="center"/>
              <w:rPr>
                <w:rFonts w:eastAsia="Times New Roman" w:cstheme="minorHAnsi"/>
                <w:b w:val="0"/>
                <w:bCs w:val="0"/>
                <w:color w:val="000000"/>
                <w:sz w:val="24"/>
                <w:szCs w:val="24"/>
              </w:rPr>
            </w:pPr>
            <w:r w:rsidRPr="00AA3A27">
              <w:rPr>
                <w:rFonts w:eastAsia="Times New Roman" w:cstheme="minorHAnsi"/>
                <w:color w:val="000000"/>
                <w:sz w:val="24"/>
                <w:szCs w:val="24"/>
              </w:rPr>
              <w:t>Name</w:t>
            </w:r>
          </w:p>
        </w:tc>
        <w:tc>
          <w:tcPr>
            <w:tcW w:w="1440" w:type="dxa"/>
            <w:shd w:val="clear" w:color="auto" w:fill="9CC2E5" w:themeFill="accent5" w:themeFillTint="99"/>
            <w:noWrap/>
            <w:hideMark/>
          </w:tcPr>
          <w:p w14:paraId="6FF10DB5" w14:textId="77777777" w:rsidR="006D575C" w:rsidRPr="00AA3A27" w:rsidRDefault="006D575C" w:rsidP="007A7D29">
            <w:pPr>
              <w:ind w:left="-110" w:right="-11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4"/>
                <w:szCs w:val="24"/>
              </w:rPr>
            </w:pPr>
            <w:r w:rsidRPr="00AA3A27">
              <w:rPr>
                <w:rFonts w:eastAsia="Times New Roman" w:cstheme="minorHAnsi"/>
                <w:color w:val="000000"/>
                <w:sz w:val="24"/>
                <w:szCs w:val="24"/>
              </w:rPr>
              <w:t>Licensed Beds</w:t>
            </w:r>
          </w:p>
        </w:tc>
        <w:tc>
          <w:tcPr>
            <w:tcW w:w="2430" w:type="dxa"/>
            <w:shd w:val="clear" w:color="auto" w:fill="9CC2E5" w:themeFill="accent5" w:themeFillTint="99"/>
            <w:noWrap/>
            <w:hideMark/>
          </w:tcPr>
          <w:p w14:paraId="0DA7C780" w14:textId="77777777" w:rsidR="006D575C" w:rsidRPr="00AA3A27" w:rsidRDefault="006D575C" w:rsidP="007A7D29">
            <w:pPr>
              <w:ind w:left="-110" w:right="-11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4"/>
                <w:szCs w:val="24"/>
              </w:rPr>
            </w:pPr>
            <w:r w:rsidRPr="00AA3A27">
              <w:rPr>
                <w:rFonts w:eastAsia="Times New Roman" w:cstheme="minorHAnsi"/>
                <w:color w:val="000000"/>
                <w:sz w:val="24"/>
                <w:szCs w:val="24"/>
              </w:rPr>
              <w:t>Location</w:t>
            </w:r>
          </w:p>
        </w:tc>
      </w:tr>
      <w:tr w:rsidR="006D575C" w:rsidRPr="00DC4892" w14:paraId="75555923" w14:textId="77777777" w:rsidTr="00ED6171">
        <w:trPr>
          <w:cantSplit/>
          <w:trHeight w:val="380"/>
        </w:trPr>
        <w:tc>
          <w:tcPr>
            <w:cnfStyle w:val="001000000000" w:firstRow="0" w:lastRow="0" w:firstColumn="1" w:lastColumn="0" w:oddVBand="0" w:evenVBand="0" w:oddHBand="0" w:evenHBand="0" w:firstRowFirstColumn="0" w:firstRowLastColumn="0" w:lastRowFirstColumn="0" w:lastRowLastColumn="0"/>
            <w:tcW w:w="5755" w:type="dxa"/>
            <w:hideMark/>
          </w:tcPr>
          <w:p w14:paraId="43852574" w14:textId="77777777" w:rsidR="006D575C" w:rsidRPr="00DC4892" w:rsidRDefault="006D575C" w:rsidP="007A7D29">
            <w:pPr>
              <w:ind w:left="-110" w:right="-130"/>
              <w:jc w:val="both"/>
              <w:rPr>
                <w:rFonts w:eastAsia="Times New Roman" w:cstheme="minorHAnsi"/>
                <w:color w:val="000000"/>
                <w:sz w:val="24"/>
                <w:szCs w:val="24"/>
              </w:rPr>
            </w:pPr>
            <w:r w:rsidRPr="00DC4892">
              <w:rPr>
                <w:rFonts w:eastAsia="Times New Roman" w:cstheme="minorHAnsi"/>
                <w:color w:val="000000"/>
                <w:sz w:val="24"/>
                <w:szCs w:val="24"/>
              </w:rPr>
              <w:t xml:space="preserve"> Encompass Health Rehabilitation Hospital of Braintree, </w:t>
            </w:r>
          </w:p>
        </w:tc>
        <w:tc>
          <w:tcPr>
            <w:tcW w:w="1440" w:type="dxa"/>
            <w:noWrap/>
            <w:hideMark/>
          </w:tcPr>
          <w:p w14:paraId="65FAB512" w14:textId="77777777" w:rsidR="006D575C" w:rsidRPr="00DC4892" w:rsidRDefault="006D575C" w:rsidP="007A7D29">
            <w:pPr>
              <w:ind w:right="-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DC4892">
              <w:rPr>
                <w:rFonts w:eastAsia="Times New Roman" w:cstheme="minorHAnsi"/>
                <w:color w:val="000000"/>
                <w:sz w:val="24"/>
                <w:szCs w:val="24"/>
              </w:rPr>
              <w:t>187</w:t>
            </w:r>
          </w:p>
        </w:tc>
        <w:tc>
          <w:tcPr>
            <w:tcW w:w="2430" w:type="dxa"/>
            <w:noWrap/>
            <w:hideMark/>
          </w:tcPr>
          <w:p w14:paraId="5E015CE3" w14:textId="77777777" w:rsidR="006D575C" w:rsidRPr="00DC4892" w:rsidRDefault="006D575C" w:rsidP="007A7D29">
            <w:pPr>
              <w:ind w:left="-110" w:right="-11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DC4892">
              <w:rPr>
                <w:rFonts w:eastAsia="Times New Roman" w:cstheme="minorHAnsi"/>
                <w:color w:val="000000"/>
                <w:sz w:val="24"/>
                <w:szCs w:val="24"/>
              </w:rPr>
              <w:t>Braintree</w:t>
            </w:r>
          </w:p>
        </w:tc>
      </w:tr>
      <w:tr w:rsidR="006D575C" w:rsidRPr="00DC4892" w14:paraId="1D01ED71" w14:textId="77777777" w:rsidTr="00ED6171">
        <w:trPr>
          <w:cantSplit/>
          <w:trHeight w:val="380"/>
        </w:trPr>
        <w:tc>
          <w:tcPr>
            <w:cnfStyle w:val="001000000000" w:firstRow="0" w:lastRow="0" w:firstColumn="1" w:lastColumn="0" w:oddVBand="0" w:evenVBand="0" w:oddHBand="0" w:evenHBand="0" w:firstRowFirstColumn="0" w:firstRowLastColumn="0" w:lastRowFirstColumn="0" w:lastRowLastColumn="0"/>
            <w:tcW w:w="5755" w:type="dxa"/>
            <w:noWrap/>
            <w:hideMark/>
          </w:tcPr>
          <w:p w14:paraId="66498A66" w14:textId="77777777" w:rsidR="006D575C" w:rsidRPr="00DC4892" w:rsidRDefault="006D575C" w:rsidP="007A7D29">
            <w:pPr>
              <w:ind w:left="-110" w:right="-130"/>
              <w:jc w:val="both"/>
              <w:rPr>
                <w:rFonts w:eastAsia="Times New Roman" w:cstheme="minorHAnsi"/>
                <w:color w:val="000000"/>
                <w:sz w:val="24"/>
                <w:szCs w:val="24"/>
              </w:rPr>
            </w:pPr>
            <w:r w:rsidRPr="00DC4892">
              <w:rPr>
                <w:rFonts w:eastAsia="Times New Roman" w:cstheme="minorHAnsi"/>
                <w:color w:val="000000"/>
                <w:sz w:val="24"/>
                <w:szCs w:val="24"/>
              </w:rPr>
              <w:t xml:space="preserve"> Encompass Health Rehabilitation Hospital of New England</w:t>
            </w:r>
          </w:p>
        </w:tc>
        <w:tc>
          <w:tcPr>
            <w:tcW w:w="1440" w:type="dxa"/>
            <w:noWrap/>
            <w:hideMark/>
          </w:tcPr>
          <w:p w14:paraId="2E4F6078" w14:textId="77777777" w:rsidR="006D575C" w:rsidRPr="00DC4892" w:rsidRDefault="006D575C" w:rsidP="007A7D29">
            <w:pPr>
              <w:ind w:right="-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DC4892">
              <w:rPr>
                <w:rFonts w:eastAsia="Times New Roman" w:cstheme="minorHAnsi"/>
                <w:color w:val="000000"/>
                <w:sz w:val="24"/>
                <w:szCs w:val="24"/>
              </w:rPr>
              <w:t>179</w:t>
            </w:r>
          </w:p>
        </w:tc>
        <w:tc>
          <w:tcPr>
            <w:tcW w:w="2430" w:type="dxa"/>
            <w:noWrap/>
            <w:hideMark/>
          </w:tcPr>
          <w:p w14:paraId="3634A746" w14:textId="77777777" w:rsidR="006D575C" w:rsidRPr="00DC4892" w:rsidRDefault="006D575C" w:rsidP="007A7D29">
            <w:pPr>
              <w:ind w:left="-110" w:right="-11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DC4892">
              <w:rPr>
                <w:rFonts w:eastAsia="Times New Roman" w:cstheme="minorHAnsi"/>
                <w:color w:val="000000"/>
                <w:sz w:val="24"/>
                <w:szCs w:val="24"/>
              </w:rPr>
              <w:t>Woburn, Beverly, Lowell</w:t>
            </w:r>
          </w:p>
        </w:tc>
      </w:tr>
      <w:tr w:rsidR="006D575C" w:rsidRPr="00DC4892" w14:paraId="4E5AEB52" w14:textId="77777777" w:rsidTr="00ED6171">
        <w:trPr>
          <w:cantSplit/>
          <w:trHeight w:val="353"/>
        </w:trPr>
        <w:tc>
          <w:tcPr>
            <w:cnfStyle w:val="001000000000" w:firstRow="0" w:lastRow="0" w:firstColumn="1" w:lastColumn="0" w:oddVBand="0" w:evenVBand="0" w:oddHBand="0" w:evenHBand="0" w:firstRowFirstColumn="0" w:firstRowLastColumn="0" w:lastRowFirstColumn="0" w:lastRowLastColumn="0"/>
            <w:tcW w:w="5755" w:type="dxa"/>
            <w:hideMark/>
          </w:tcPr>
          <w:p w14:paraId="6DFEC6B0" w14:textId="77777777" w:rsidR="006D575C" w:rsidRPr="00DC4892" w:rsidRDefault="006D575C" w:rsidP="007A7D29">
            <w:pPr>
              <w:ind w:left="-110" w:right="-130"/>
              <w:rPr>
                <w:rFonts w:eastAsia="Times New Roman" w:cstheme="minorHAnsi"/>
                <w:color w:val="000000"/>
                <w:sz w:val="24"/>
                <w:szCs w:val="24"/>
              </w:rPr>
            </w:pPr>
            <w:r w:rsidRPr="00DC4892">
              <w:rPr>
                <w:rFonts w:eastAsia="Times New Roman" w:cstheme="minorHAnsi"/>
                <w:color w:val="000000"/>
                <w:sz w:val="24"/>
                <w:szCs w:val="24"/>
              </w:rPr>
              <w:t xml:space="preserve"> Encompass Health Rehabilitation Hospital of Western MA </w:t>
            </w:r>
          </w:p>
        </w:tc>
        <w:tc>
          <w:tcPr>
            <w:tcW w:w="1440" w:type="dxa"/>
            <w:noWrap/>
            <w:hideMark/>
          </w:tcPr>
          <w:p w14:paraId="62194872" w14:textId="77777777" w:rsidR="006D575C" w:rsidRPr="00DC4892" w:rsidRDefault="006D575C" w:rsidP="007A7D29">
            <w:pPr>
              <w:ind w:right="-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DC4892">
              <w:rPr>
                <w:rFonts w:eastAsia="Times New Roman" w:cstheme="minorHAnsi"/>
                <w:color w:val="000000"/>
                <w:sz w:val="24"/>
                <w:szCs w:val="24"/>
              </w:rPr>
              <w:t>53</w:t>
            </w:r>
          </w:p>
        </w:tc>
        <w:tc>
          <w:tcPr>
            <w:tcW w:w="2430" w:type="dxa"/>
            <w:noWrap/>
            <w:hideMark/>
          </w:tcPr>
          <w:p w14:paraId="7EFD16A6" w14:textId="77777777" w:rsidR="006D575C" w:rsidRPr="00DC4892" w:rsidRDefault="006D575C" w:rsidP="007A7D29">
            <w:pPr>
              <w:ind w:right="-11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DC4892">
              <w:rPr>
                <w:rFonts w:eastAsia="Times New Roman" w:cstheme="minorHAnsi"/>
                <w:color w:val="000000"/>
                <w:sz w:val="24"/>
                <w:szCs w:val="24"/>
              </w:rPr>
              <w:t>Ludlow</w:t>
            </w:r>
          </w:p>
        </w:tc>
      </w:tr>
      <w:tr w:rsidR="000138BD" w:rsidRPr="00DC4892" w14:paraId="27F6CDF6" w14:textId="77777777" w:rsidTr="00ED6171">
        <w:trPr>
          <w:cantSplit/>
          <w:trHeight w:val="353"/>
        </w:trPr>
        <w:tc>
          <w:tcPr>
            <w:cnfStyle w:val="001000000000" w:firstRow="0" w:lastRow="0" w:firstColumn="1" w:lastColumn="0" w:oddVBand="0" w:evenVBand="0" w:oddHBand="0" w:evenHBand="0" w:firstRowFirstColumn="0" w:firstRowLastColumn="0" w:lastRowFirstColumn="0" w:lastRowLastColumn="0"/>
            <w:tcW w:w="5755" w:type="dxa"/>
          </w:tcPr>
          <w:p w14:paraId="66E6FCC2" w14:textId="3BAA97F9" w:rsidR="000138BD" w:rsidRPr="00DC4892" w:rsidRDefault="000138BD" w:rsidP="007A7D29">
            <w:pPr>
              <w:ind w:left="-110" w:right="-130"/>
              <w:rPr>
                <w:rFonts w:eastAsia="Times New Roman" w:cstheme="minorHAnsi"/>
                <w:color w:val="000000"/>
                <w:sz w:val="24"/>
                <w:szCs w:val="24"/>
              </w:rPr>
            </w:pPr>
            <w:r w:rsidRPr="00AC4DA0">
              <w:rPr>
                <w:rFonts w:cstheme="minorHAnsi"/>
                <w:sz w:val="24"/>
                <w:szCs w:val="24"/>
              </w:rPr>
              <w:t xml:space="preserve"> </w:t>
            </w:r>
            <w:r w:rsidR="00B649F2">
              <w:rPr>
                <w:rFonts w:cstheme="minorHAnsi"/>
                <w:sz w:val="24"/>
                <w:szCs w:val="24"/>
              </w:rPr>
              <w:t xml:space="preserve">New </w:t>
            </w:r>
            <w:r w:rsidRPr="00AC4DA0">
              <w:rPr>
                <w:rFonts w:cstheme="minorHAnsi"/>
                <w:sz w:val="24"/>
                <w:szCs w:val="24"/>
              </w:rPr>
              <w:t>England Rehabilitation Services of Central Massachusetts, Inc., d/b/a Fairlawn Rehabilitation Hospital</w:t>
            </w:r>
            <w:r w:rsidR="000532F0">
              <w:rPr>
                <w:rStyle w:val="FootnoteReference"/>
                <w:rFonts w:cstheme="minorHAnsi"/>
                <w:sz w:val="24"/>
                <w:szCs w:val="24"/>
              </w:rPr>
              <w:footnoteReference w:id="2"/>
            </w:r>
          </w:p>
        </w:tc>
        <w:tc>
          <w:tcPr>
            <w:tcW w:w="1440" w:type="dxa"/>
            <w:noWrap/>
          </w:tcPr>
          <w:p w14:paraId="467B7ED6" w14:textId="5F1C6C08" w:rsidR="000138BD" w:rsidRPr="00DC4892" w:rsidRDefault="00C15487" w:rsidP="007A7D29">
            <w:pPr>
              <w:ind w:right="-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110</w:t>
            </w:r>
          </w:p>
        </w:tc>
        <w:tc>
          <w:tcPr>
            <w:tcW w:w="2430" w:type="dxa"/>
            <w:noWrap/>
          </w:tcPr>
          <w:p w14:paraId="0ABDA1DA" w14:textId="29A894E1" w:rsidR="000138BD" w:rsidRPr="00DC4892" w:rsidRDefault="00C15487" w:rsidP="007A7D29">
            <w:pPr>
              <w:ind w:right="-11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Worcester</w:t>
            </w:r>
          </w:p>
        </w:tc>
      </w:tr>
    </w:tbl>
    <w:p w14:paraId="61BE1137" w14:textId="77777777" w:rsidR="00526ADE" w:rsidRPr="00AC4DA0" w:rsidRDefault="00526ADE" w:rsidP="000532F0">
      <w:pPr>
        <w:pStyle w:val="FootnoteText"/>
        <w:spacing w:after="160"/>
        <w:jc w:val="both"/>
        <w:rPr>
          <w:b/>
          <w:bCs/>
        </w:rPr>
      </w:pPr>
    </w:p>
    <w:p w14:paraId="22C64355" w14:textId="77777777" w:rsidR="00CE3BAA" w:rsidRPr="00CE3BAA" w:rsidRDefault="00CE3BAA" w:rsidP="00D60C87">
      <w:pPr>
        <w:spacing w:after="0" w:line="240" w:lineRule="auto"/>
        <w:rPr>
          <w:b/>
          <w:bCs/>
          <w:sz w:val="24"/>
          <w:szCs w:val="24"/>
        </w:rPr>
      </w:pPr>
      <w:r w:rsidRPr="00CE3BAA">
        <w:rPr>
          <w:rFonts w:cstheme="minorHAnsi"/>
          <w:b/>
          <w:bCs/>
          <w:sz w:val="24"/>
          <w:szCs w:val="24"/>
        </w:rPr>
        <w:t>Encompass Health Rehabilitation Hospital of Western Massachusetts, LLC</w:t>
      </w:r>
      <w:r w:rsidRPr="00CE3BAA">
        <w:rPr>
          <w:b/>
          <w:bCs/>
          <w:sz w:val="24"/>
          <w:szCs w:val="24"/>
        </w:rPr>
        <w:t xml:space="preserve"> </w:t>
      </w:r>
    </w:p>
    <w:p w14:paraId="74A2FEEE" w14:textId="7B75417A" w:rsidR="0024289A" w:rsidRDefault="00CE3BAA" w:rsidP="00785DF3">
      <w:pPr>
        <w:spacing w:after="0" w:line="240" w:lineRule="auto"/>
        <w:rPr>
          <w:bCs/>
          <w:sz w:val="24"/>
          <w:szCs w:val="24"/>
        </w:rPr>
      </w:pPr>
      <w:r w:rsidRPr="007F0E64">
        <w:rPr>
          <w:rFonts w:cstheme="minorHAnsi"/>
          <w:sz w:val="24"/>
          <w:szCs w:val="24"/>
        </w:rPr>
        <w:t>Encompass Health Rehabilitation Hospital of Western Massachusetts, LLC</w:t>
      </w:r>
      <w:r>
        <w:rPr>
          <w:bCs/>
          <w:sz w:val="24"/>
          <w:szCs w:val="24"/>
        </w:rPr>
        <w:t xml:space="preserve"> </w:t>
      </w:r>
      <w:r w:rsidR="00D469E5">
        <w:rPr>
          <w:bCs/>
          <w:sz w:val="24"/>
          <w:szCs w:val="24"/>
        </w:rPr>
        <w:t>(“</w:t>
      </w:r>
      <w:r w:rsidR="00193839">
        <w:rPr>
          <w:bCs/>
          <w:sz w:val="24"/>
          <w:szCs w:val="24"/>
        </w:rPr>
        <w:t>Encompass Western Mass</w:t>
      </w:r>
      <w:r w:rsidR="00D469E5">
        <w:rPr>
          <w:bCs/>
          <w:sz w:val="24"/>
          <w:szCs w:val="24"/>
        </w:rPr>
        <w:t>”)</w:t>
      </w:r>
      <w:r w:rsidR="003227B8" w:rsidRPr="008F6080">
        <w:rPr>
          <w:bCs/>
          <w:sz w:val="24"/>
          <w:szCs w:val="24"/>
        </w:rPr>
        <w:t xml:space="preserve"> is a </w:t>
      </w:r>
      <w:r w:rsidR="006F1413" w:rsidRPr="000334BE">
        <w:rPr>
          <w:bCs/>
          <w:sz w:val="24"/>
          <w:szCs w:val="24"/>
        </w:rPr>
        <w:t>53-bed</w:t>
      </w:r>
      <w:r w:rsidR="003227B8" w:rsidRPr="008F6080">
        <w:rPr>
          <w:bCs/>
          <w:sz w:val="24"/>
          <w:szCs w:val="24"/>
        </w:rPr>
        <w:t xml:space="preserve"> </w:t>
      </w:r>
      <w:r w:rsidR="00031046">
        <w:rPr>
          <w:bCs/>
          <w:sz w:val="24"/>
          <w:szCs w:val="24"/>
        </w:rPr>
        <w:t>facility licensed as a non-acute hospital and designated as an IRF</w:t>
      </w:r>
      <w:r w:rsidR="003227B8" w:rsidRPr="008F6080">
        <w:rPr>
          <w:bCs/>
          <w:sz w:val="24"/>
          <w:szCs w:val="24"/>
        </w:rPr>
        <w:t xml:space="preserve">, </w:t>
      </w:r>
      <w:r w:rsidR="000334BE" w:rsidRPr="008F6080">
        <w:rPr>
          <w:bCs/>
          <w:sz w:val="24"/>
          <w:szCs w:val="24"/>
        </w:rPr>
        <w:t>provid</w:t>
      </w:r>
      <w:r w:rsidR="000334BE" w:rsidRPr="000334BE">
        <w:rPr>
          <w:bCs/>
          <w:sz w:val="24"/>
          <w:szCs w:val="24"/>
        </w:rPr>
        <w:t xml:space="preserve">ing </w:t>
      </w:r>
      <w:r w:rsidR="000334BE" w:rsidRPr="008F6080">
        <w:rPr>
          <w:bCs/>
          <w:sz w:val="24"/>
          <w:szCs w:val="24"/>
        </w:rPr>
        <w:t>intensive</w:t>
      </w:r>
      <w:r w:rsidR="003227B8" w:rsidRPr="008F6080">
        <w:rPr>
          <w:bCs/>
          <w:sz w:val="24"/>
          <w:szCs w:val="24"/>
        </w:rPr>
        <w:t xml:space="preserve"> inpatient rehabilitation therapy to help </w:t>
      </w:r>
      <w:r w:rsidR="003227B8" w:rsidRPr="000334BE">
        <w:rPr>
          <w:bCs/>
          <w:sz w:val="24"/>
          <w:szCs w:val="24"/>
        </w:rPr>
        <w:t>patients</w:t>
      </w:r>
      <w:r w:rsidR="003227B8" w:rsidRPr="008F6080">
        <w:rPr>
          <w:bCs/>
          <w:sz w:val="24"/>
          <w:szCs w:val="24"/>
        </w:rPr>
        <w:t xml:space="preserve"> maximize independence after a life-changing illness or injury.</w:t>
      </w:r>
      <w:r w:rsidR="003227B8" w:rsidRPr="000334BE">
        <w:rPr>
          <w:bCs/>
          <w:sz w:val="24"/>
          <w:szCs w:val="24"/>
        </w:rPr>
        <w:t xml:space="preserve"> The </w:t>
      </w:r>
      <w:r w:rsidR="003227B8" w:rsidRPr="00FE1F53">
        <w:rPr>
          <w:bCs/>
          <w:sz w:val="24"/>
          <w:szCs w:val="24"/>
        </w:rPr>
        <w:t>services address a wide range of diagnoses, including but not limited to the following: stroke; brain injury; neurological conditions; joint replacement; orthopedic; hip fracture; spinal cord injury; amputation; Parkinson’s Disease; Multiple sclerosis; burns; pulmonary/respiratory conditions; and pain management.</w:t>
      </w:r>
      <w:r w:rsidR="003227B8" w:rsidRPr="000334BE">
        <w:rPr>
          <w:bCs/>
          <w:sz w:val="24"/>
          <w:szCs w:val="24"/>
        </w:rPr>
        <w:t xml:space="preserve"> </w:t>
      </w:r>
    </w:p>
    <w:p w14:paraId="42287A01" w14:textId="77777777" w:rsidR="004C25F6" w:rsidRPr="003227B8" w:rsidRDefault="004C25F6" w:rsidP="003227B8">
      <w:pPr>
        <w:spacing w:after="0"/>
      </w:pPr>
    </w:p>
    <w:p w14:paraId="3A682F02" w14:textId="5CAC82E9" w:rsidR="00FE0737" w:rsidRDefault="0024289A" w:rsidP="0024289A">
      <w:pPr>
        <w:spacing w:after="0" w:line="240" w:lineRule="auto"/>
        <w:rPr>
          <w:b/>
          <w:bCs/>
          <w:sz w:val="24"/>
          <w:szCs w:val="24"/>
        </w:rPr>
      </w:pPr>
      <w:r>
        <w:rPr>
          <w:b/>
          <w:bCs/>
          <w:sz w:val="24"/>
          <w:szCs w:val="24"/>
        </w:rPr>
        <w:t>P</w:t>
      </w:r>
      <w:r w:rsidRPr="006B66D0">
        <w:rPr>
          <w:b/>
          <w:bCs/>
          <w:sz w:val="24"/>
          <w:szCs w:val="24"/>
        </w:rPr>
        <w:t>roposed Project</w:t>
      </w:r>
    </w:p>
    <w:p w14:paraId="73514358" w14:textId="572F83A3" w:rsidR="00A0068E" w:rsidRPr="00A0068E" w:rsidRDefault="001B248B" w:rsidP="00A0068E">
      <w:pPr>
        <w:spacing w:after="0" w:line="240" w:lineRule="auto"/>
        <w:rPr>
          <w:sz w:val="24"/>
          <w:szCs w:val="24"/>
        </w:rPr>
      </w:pPr>
      <w:r>
        <w:rPr>
          <w:sz w:val="24"/>
          <w:szCs w:val="24"/>
        </w:rPr>
        <w:t xml:space="preserve">The Applicant </w:t>
      </w:r>
      <w:r w:rsidR="00FE5DFB">
        <w:rPr>
          <w:sz w:val="24"/>
          <w:szCs w:val="24"/>
        </w:rPr>
        <w:t>seeks to add</w:t>
      </w:r>
      <w:r w:rsidR="002F6230">
        <w:rPr>
          <w:sz w:val="24"/>
          <w:szCs w:val="24"/>
        </w:rPr>
        <w:t xml:space="preserve"> </w:t>
      </w:r>
      <w:r w:rsidR="00700B5D">
        <w:rPr>
          <w:sz w:val="24"/>
          <w:szCs w:val="24"/>
        </w:rPr>
        <w:t>17 rehabilitation beds</w:t>
      </w:r>
      <w:r w:rsidR="00961EE2">
        <w:rPr>
          <w:sz w:val="24"/>
          <w:szCs w:val="24"/>
        </w:rPr>
        <w:t xml:space="preserve"> </w:t>
      </w:r>
      <w:r w:rsidR="00700B5D">
        <w:rPr>
          <w:sz w:val="24"/>
          <w:szCs w:val="24"/>
        </w:rPr>
        <w:t xml:space="preserve">to </w:t>
      </w:r>
      <w:r w:rsidR="002F6230">
        <w:rPr>
          <w:sz w:val="24"/>
          <w:szCs w:val="24"/>
        </w:rPr>
        <w:t xml:space="preserve">its </w:t>
      </w:r>
      <w:r w:rsidR="000D25C0">
        <w:rPr>
          <w:sz w:val="24"/>
          <w:szCs w:val="24"/>
        </w:rPr>
        <w:t xml:space="preserve">53 </w:t>
      </w:r>
      <w:r w:rsidR="002F6230">
        <w:rPr>
          <w:sz w:val="24"/>
          <w:szCs w:val="24"/>
        </w:rPr>
        <w:t xml:space="preserve">licensed </w:t>
      </w:r>
      <w:r w:rsidR="000D25C0">
        <w:rPr>
          <w:sz w:val="24"/>
          <w:szCs w:val="24"/>
        </w:rPr>
        <w:t>beds</w:t>
      </w:r>
      <w:r w:rsidR="007503C4">
        <w:rPr>
          <w:sz w:val="24"/>
          <w:szCs w:val="24"/>
        </w:rPr>
        <w:t xml:space="preserve"> </w:t>
      </w:r>
      <w:r w:rsidR="003227B8">
        <w:rPr>
          <w:sz w:val="24"/>
          <w:szCs w:val="24"/>
        </w:rPr>
        <w:t xml:space="preserve">through </w:t>
      </w:r>
      <w:r w:rsidR="00A0068E" w:rsidRPr="00A0068E">
        <w:rPr>
          <w:sz w:val="24"/>
          <w:szCs w:val="24"/>
        </w:rPr>
        <w:t>the build-out and renovation of 7,260 gross square feet of available vacant space at the Hospital</w:t>
      </w:r>
      <w:r w:rsidR="007503C4">
        <w:rPr>
          <w:sz w:val="24"/>
          <w:szCs w:val="24"/>
        </w:rPr>
        <w:t>, bringing the total licensed inpatient rehabilitation beds to 70</w:t>
      </w:r>
      <w:r w:rsidR="00F172E9">
        <w:rPr>
          <w:sz w:val="24"/>
          <w:szCs w:val="24"/>
        </w:rPr>
        <w:t>.</w:t>
      </w:r>
      <w:r w:rsidR="00A0068E" w:rsidRPr="00A0068E">
        <w:rPr>
          <w:sz w:val="24"/>
          <w:szCs w:val="24"/>
        </w:rPr>
        <w:t xml:space="preserve"> </w:t>
      </w:r>
      <w:r w:rsidR="00F172E9">
        <w:rPr>
          <w:sz w:val="24"/>
          <w:szCs w:val="24"/>
        </w:rPr>
        <w:t>The additional</w:t>
      </w:r>
      <w:r w:rsidR="003227B8">
        <w:rPr>
          <w:sz w:val="24"/>
          <w:szCs w:val="24"/>
        </w:rPr>
        <w:t xml:space="preserve"> </w:t>
      </w:r>
      <w:r w:rsidR="00A0068E" w:rsidRPr="00A0068E">
        <w:rPr>
          <w:sz w:val="24"/>
          <w:szCs w:val="24"/>
        </w:rPr>
        <w:t xml:space="preserve">17 </w:t>
      </w:r>
      <w:r w:rsidR="00C05F3B">
        <w:rPr>
          <w:sz w:val="24"/>
          <w:szCs w:val="24"/>
        </w:rPr>
        <w:t xml:space="preserve">beds </w:t>
      </w:r>
      <w:r w:rsidR="00F172E9">
        <w:rPr>
          <w:sz w:val="24"/>
          <w:szCs w:val="24"/>
        </w:rPr>
        <w:t xml:space="preserve">will be </w:t>
      </w:r>
      <w:r w:rsidR="00A0068E" w:rsidRPr="00A0068E">
        <w:rPr>
          <w:sz w:val="24"/>
          <w:szCs w:val="24"/>
        </w:rPr>
        <w:t>private rooms</w:t>
      </w:r>
      <w:r w:rsidR="00A0068E">
        <w:rPr>
          <w:sz w:val="24"/>
          <w:szCs w:val="24"/>
        </w:rPr>
        <w:t xml:space="preserve"> large enough </w:t>
      </w:r>
      <w:r w:rsidR="00A0068E" w:rsidRPr="00A0068E">
        <w:rPr>
          <w:sz w:val="24"/>
          <w:szCs w:val="24"/>
        </w:rPr>
        <w:t>to accommodate caregivers and family members</w:t>
      </w:r>
      <w:r w:rsidR="003227B8">
        <w:rPr>
          <w:sz w:val="24"/>
          <w:szCs w:val="24"/>
        </w:rPr>
        <w:t>,</w:t>
      </w:r>
      <w:r w:rsidR="00A0068E">
        <w:rPr>
          <w:sz w:val="24"/>
          <w:szCs w:val="24"/>
        </w:rPr>
        <w:t xml:space="preserve"> </w:t>
      </w:r>
      <w:r w:rsidR="00A0068E" w:rsidRPr="00A0068E">
        <w:rPr>
          <w:sz w:val="24"/>
          <w:szCs w:val="24"/>
        </w:rPr>
        <w:t xml:space="preserve">each with its own private wheelchair accessible bath. </w:t>
      </w:r>
      <w:r w:rsidR="000532F0">
        <w:rPr>
          <w:sz w:val="24"/>
          <w:szCs w:val="24"/>
        </w:rPr>
        <w:t>The</w:t>
      </w:r>
      <w:r w:rsidR="0035233D">
        <w:rPr>
          <w:sz w:val="24"/>
          <w:szCs w:val="24"/>
        </w:rPr>
        <w:t xml:space="preserve"> Applicant expects no significant changes to its Payer Mix </w:t>
      </w:r>
      <w:proofErr w:type="gramStart"/>
      <w:r w:rsidR="009C2CCF">
        <w:rPr>
          <w:sz w:val="24"/>
          <w:szCs w:val="24"/>
        </w:rPr>
        <w:t xml:space="preserve">as a </w:t>
      </w:r>
      <w:r w:rsidR="009C2CCF">
        <w:rPr>
          <w:sz w:val="24"/>
          <w:szCs w:val="24"/>
        </w:rPr>
        <w:lastRenderedPageBreak/>
        <w:t>result of</w:t>
      </w:r>
      <w:proofErr w:type="gramEnd"/>
      <w:r w:rsidR="009C2CCF">
        <w:rPr>
          <w:sz w:val="24"/>
          <w:szCs w:val="24"/>
        </w:rPr>
        <w:t xml:space="preserve"> the Proposed Project</w:t>
      </w:r>
      <w:r w:rsidR="005F6939">
        <w:rPr>
          <w:sz w:val="24"/>
          <w:szCs w:val="24"/>
        </w:rPr>
        <w:t>.</w:t>
      </w:r>
      <w:r w:rsidR="007E37D1">
        <w:rPr>
          <w:sz w:val="24"/>
          <w:szCs w:val="24"/>
        </w:rPr>
        <w:t xml:space="preserve"> </w:t>
      </w:r>
      <w:r w:rsidR="003227B8">
        <w:rPr>
          <w:sz w:val="24"/>
          <w:szCs w:val="24"/>
        </w:rPr>
        <w:t xml:space="preserve">The Applicant </w:t>
      </w:r>
      <w:r w:rsidR="006A01C2">
        <w:rPr>
          <w:sz w:val="24"/>
          <w:szCs w:val="24"/>
        </w:rPr>
        <w:t>provides data, detailed in the next section, showing</w:t>
      </w:r>
      <w:r w:rsidR="003227B8">
        <w:rPr>
          <w:sz w:val="24"/>
          <w:szCs w:val="24"/>
        </w:rPr>
        <w:t xml:space="preserve"> that</w:t>
      </w:r>
      <w:r w:rsidR="006A1E06" w:rsidRPr="006A1E06">
        <w:rPr>
          <w:rFonts w:ascii="Times New Roman" w:hAnsi="Times New Roman" w:cs="Times New Roman"/>
          <w:sz w:val="24"/>
          <w:szCs w:val="24"/>
        </w:rPr>
        <w:t xml:space="preserve"> </w:t>
      </w:r>
      <w:r w:rsidR="006A1E06">
        <w:rPr>
          <w:rFonts w:ascii="Times New Roman" w:hAnsi="Times New Roman" w:cs="Times New Roman"/>
          <w:sz w:val="24"/>
          <w:szCs w:val="24"/>
        </w:rPr>
        <w:t>t</w:t>
      </w:r>
      <w:r w:rsidR="006A1E06" w:rsidRPr="006A1E06">
        <w:rPr>
          <w:sz w:val="24"/>
          <w:szCs w:val="24"/>
        </w:rPr>
        <w:t>he Hospital has been operating at capacity</w:t>
      </w:r>
      <w:r w:rsidR="00785DF3">
        <w:rPr>
          <w:sz w:val="24"/>
          <w:szCs w:val="24"/>
        </w:rPr>
        <w:t>,</w:t>
      </w:r>
      <w:r w:rsidR="006A1E06" w:rsidRPr="006A1E06">
        <w:rPr>
          <w:sz w:val="24"/>
          <w:szCs w:val="24"/>
        </w:rPr>
        <w:t xml:space="preserve"> and the service area </w:t>
      </w:r>
      <w:r w:rsidR="00785DF3">
        <w:rPr>
          <w:sz w:val="24"/>
          <w:szCs w:val="24"/>
        </w:rPr>
        <w:t>would benefit from</w:t>
      </w:r>
      <w:r w:rsidR="006A1E06" w:rsidRPr="006A1E06">
        <w:rPr>
          <w:sz w:val="24"/>
          <w:szCs w:val="24"/>
        </w:rPr>
        <w:t xml:space="preserve"> access to additional post-acute beds.</w:t>
      </w:r>
      <w:r w:rsidR="003227B8">
        <w:rPr>
          <w:sz w:val="24"/>
          <w:szCs w:val="24"/>
        </w:rPr>
        <w:t xml:space="preserve"> </w:t>
      </w:r>
    </w:p>
    <w:p w14:paraId="101FEAA0" w14:textId="1835FCE1" w:rsidR="00A0068E" w:rsidRDefault="00A0068E" w:rsidP="00F6790E">
      <w:pPr>
        <w:spacing w:after="0" w:line="240" w:lineRule="auto"/>
        <w:rPr>
          <w:sz w:val="24"/>
          <w:szCs w:val="24"/>
        </w:rPr>
      </w:pPr>
    </w:p>
    <w:p w14:paraId="43D7C166" w14:textId="77777777" w:rsidR="006672D1" w:rsidRPr="00DA068D" w:rsidRDefault="006672D1" w:rsidP="006672D1">
      <w:pPr>
        <w:pStyle w:val="Heading1"/>
        <w:spacing w:line="240" w:lineRule="auto"/>
        <w:rPr>
          <w:rFonts w:cstheme="minorHAnsi"/>
        </w:rPr>
      </w:pPr>
      <w:bookmarkStart w:id="2" w:name="_Toc144207766"/>
      <w:bookmarkStart w:id="3" w:name="_Toc151538496"/>
      <w:r w:rsidRPr="00DA068D">
        <w:rPr>
          <w:rFonts w:cstheme="minorHAnsi"/>
        </w:rPr>
        <w:t>Factor 1</w:t>
      </w:r>
      <w:bookmarkEnd w:id="2"/>
      <w:bookmarkEnd w:id="3"/>
      <w:r w:rsidRPr="00DA068D">
        <w:rPr>
          <w:rFonts w:cstheme="minorHAnsi"/>
        </w:rPr>
        <w:t xml:space="preserve"> </w:t>
      </w:r>
    </w:p>
    <w:p w14:paraId="4723352E" w14:textId="171F85F4" w:rsidR="006672D1" w:rsidRDefault="006672D1" w:rsidP="006672D1">
      <w:pPr>
        <w:pStyle w:val="NoSpacing"/>
        <w:contextualSpacing/>
        <w:rPr>
          <w:sz w:val="24"/>
          <w:szCs w:val="24"/>
        </w:rPr>
      </w:pPr>
      <w:r w:rsidRPr="7E2DD4E7">
        <w:rPr>
          <w:sz w:val="24"/>
          <w:szCs w:val="24"/>
        </w:rPr>
        <w:t xml:space="preserve">In this section, we assess if the Applicant has sufficiently addressed Patient Panel need, public </w:t>
      </w:r>
      <w:r w:rsidRPr="00520C0E">
        <w:rPr>
          <w:sz w:val="24"/>
          <w:szCs w:val="24"/>
        </w:rPr>
        <w:t xml:space="preserve">health value, </w:t>
      </w:r>
      <w:proofErr w:type="gramStart"/>
      <w:r w:rsidRPr="00520C0E">
        <w:rPr>
          <w:sz w:val="24"/>
          <w:szCs w:val="24"/>
        </w:rPr>
        <w:t>competitiveness</w:t>
      </w:r>
      <w:proofErr w:type="gramEnd"/>
      <w:r w:rsidRPr="00520C0E">
        <w:rPr>
          <w:sz w:val="24"/>
          <w:szCs w:val="24"/>
        </w:rPr>
        <w:t xml:space="preserve"> and cost containment, as well as community engagement for the expansion of the </w:t>
      </w:r>
      <w:r w:rsidR="00520C0E" w:rsidRPr="00520C0E">
        <w:rPr>
          <w:sz w:val="24"/>
          <w:szCs w:val="24"/>
        </w:rPr>
        <w:t>rehabilitation beds</w:t>
      </w:r>
      <w:r w:rsidRPr="00520C0E">
        <w:rPr>
          <w:sz w:val="24"/>
          <w:szCs w:val="24"/>
        </w:rPr>
        <w:t>.</w:t>
      </w:r>
    </w:p>
    <w:p w14:paraId="6A330F1D" w14:textId="77777777" w:rsidR="006672D1" w:rsidRPr="00F6790E" w:rsidRDefault="006672D1" w:rsidP="00F6790E">
      <w:pPr>
        <w:spacing w:after="0" w:line="240" w:lineRule="auto"/>
        <w:rPr>
          <w:sz w:val="24"/>
          <w:szCs w:val="24"/>
        </w:rPr>
      </w:pPr>
    </w:p>
    <w:p w14:paraId="72606428" w14:textId="4CB0052C" w:rsidR="00513147" w:rsidRPr="00DE39E0" w:rsidRDefault="00D57998" w:rsidP="002B05B4">
      <w:pPr>
        <w:pStyle w:val="Heading1"/>
      </w:pPr>
      <w:bookmarkStart w:id="4" w:name="_Toc151538497"/>
      <w:r w:rsidRPr="001C101D">
        <w:t>Patient Panel</w:t>
      </w:r>
      <w:r w:rsidR="0017637D" w:rsidRPr="001C101D">
        <w:rPr>
          <w:rStyle w:val="FootnoteReference"/>
        </w:rPr>
        <w:footnoteReference w:id="3"/>
      </w:r>
      <w:bookmarkEnd w:id="4"/>
      <w:r w:rsidRPr="002B05B4">
        <w:rPr>
          <w:vertAlign w:val="superscript"/>
        </w:rPr>
        <w:t xml:space="preserve"> </w:t>
      </w:r>
    </w:p>
    <w:p w14:paraId="2A6E4153" w14:textId="7E5D8B6C" w:rsidR="00E76908" w:rsidRDefault="00290E5C" w:rsidP="00290E5C">
      <w:pPr>
        <w:spacing w:after="0" w:line="240" w:lineRule="auto"/>
        <w:rPr>
          <w:sz w:val="24"/>
          <w:szCs w:val="24"/>
        </w:rPr>
      </w:pPr>
      <w:r w:rsidRPr="00290E5C">
        <w:rPr>
          <w:sz w:val="24"/>
          <w:szCs w:val="24"/>
        </w:rPr>
        <w:t xml:space="preserve">Table </w:t>
      </w:r>
      <w:r w:rsidR="0061319F">
        <w:rPr>
          <w:sz w:val="24"/>
          <w:szCs w:val="24"/>
        </w:rPr>
        <w:t>2</w:t>
      </w:r>
      <w:r w:rsidR="00E76908">
        <w:rPr>
          <w:sz w:val="24"/>
          <w:szCs w:val="24"/>
        </w:rPr>
        <w:t xml:space="preserve"> </w:t>
      </w:r>
      <w:r>
        <w:rPr>
          <w:sz w:val="24"/>
          <w:szCs w:val="24"/>
        </w:rPr>
        <w:t xml:space="preserve">below </w:t>
      </w:r>
      <w:r w:rsidRPr="00290E5C">
        <w:rPr>
          <w:sz w:val="24"/>
          <w:szCs w:val="24"/>
        </w:rPr>
        <w:t xml:space="preserve">shows the </w:t>
      </w:r>
      <w:r w:rsidR="009F0522" w:rsidRPr="00290E5C">
        <w:rPr>
          <w:sz w:val="24"/>
          <w:szCs w:val="24"/>
        </w:rPr>
        <w:t xml:space="preserve">Patient Panel </w:t>
      </w:r>
      <w:r w:rsidR="00E76908" w:rsidRPr="00E76908">
        <w:rPr>
          <w:sz w:val="24"/>
          <w:szCs w:val="24"/>
        </w:rPr>
        <w:t xml:space="preserve">for the 36-month period covering </w:t>
      </w:r>
      <w:r w:rsidR="001C101D" w:rsidRPr="001C101D">
        <w:rPr>
          <w:sz w:val="24"/>
          <w:szCs w:val="24"/>
        </w:rPr>
        <w:t xml:space="preserve">Calendar </w:t>
      </w:r>
      <w:r w:rsidR="00096857">
        <w:rPr>
          <w:sz w:val="24"/>
          <w:szCs w:val="24"/>
        </w:rPr>
        <w:t>Year</w:t>
      </w:r>
      <w:r w:rsidR="00CA4721">
        <w:rPr>
          <w:sz w:val="24"/>
          <w:szCs w:val="24"/>
        </w:rPr>
        <w:t xml:space="preserve"> </w:t>
      </w:r>
      <w:r w:rsidR="00096857">
        <w:rPr>
          <w:sz w:val="24"/>
          <w:szCs w:val="24"/>
        </w:rPr>
        <w:t>(“</w:t>
      </w:r>
      <w:r w:rsidR="00520C0E" w:rsidRPr="001C101D">
        <w:rPr>
          <w:sz w:val="24"/>
          <w:szCs w:val="24"/>
        </w:rPr>
        <w:t>C</w:t>
      </w:r>
      <w:r w:rsidR="00E76908" w:rsidRPr="001C101D">
        <w:rPr>
          <w:sz w:val="24"/>
          <w:szCs w:val="24"/>
        </w:rPr>
        <w:t>Y</w:t>
      </w:r>
      <w:r w:rsidR="00096857">
        <w:rPr>
          <w:sz w:val="24"/>
          <w:szCs w:val="24"/>
        </w:rPr>
        <w:t>”)</w:t>
      </w:r>
      <w:r w:rsidR="00E76908" w:rsidRPr="00E76908">
        <w:rPr>
          <w:sz w:val="24"/>
          <w:szCs w:val="24"/>
        </w:rPr>
        <w:t>2020 through</w:t>
      </w:r>
      <w:r w:rsidR="00520C0E">
        <w:rPr>
          <w:sz w:val="24"/>
          <w:szCs w:val="24"/>
        </w:rPr>
        <w:t xml:space="preserve"> </w:t>
      </w:r>
      <w:r w:rsidR="0099746C">
        <w:rPr>
          <w:sz w:val="24"/>
          <w:szCs w:val="24"/>
        </w:rPr>
        <w:t>CY202</w:t>
      </w:r>
      <w:r w:rsidR="002C0C9D">
        <w:rPr>
          <w:sz w:val="24"/>
          <w:szCs w:val="24"/>
        </w:rPr>
        <w:t xml:space="preserve">2. </w:t>
      </w:r>
      <w:r w:rsidR="007C0E02">
        <w:rPr>
          <w:sz w:val="24"/>
          <w:szCs w:val="24"/>
        </w:rPr>
        <w:t>During that timeframe, t</w:t>
      </w:r>
      <w:r w:rsidR="00E76908" w:rsidRPr="00E76908">
        <w:rPr>
          <w:sz w:val="24"/>
          <w:szCs w:val="24"/>
        </w:rPr>
        <w:t xml:space="preserve">he number of </w:t>
      </w:r>
      <w:r w:rsidR="00D56574">
        <w:rPr>
          <w:sz w:val="24"/>
          <w:szCs w:val="24"/>
        </w:rPr>
        <w:t>Encompass Health</w:t>
      </w:r>
      <w:r w:rsidR="00476006">
        <w:rPr>
          <w:sz w:val="24"/>
          <w:szCs w:val="24"/>
        </w:rPr>
        <w:t xml:space="preserve"> - </w:t>
      </w:r>
      <w:r w:rsidR="001323AE">
        <w:rPr>
          <w:sz w:val="24"/>
          <w:szCs w:val="24"/>
        </w:rPr>
        <w:t xml:space="preserve">All MA Hospital </w:t>
      </w:r>
      <w:r w:rsidR="00E76908" w:rsidRPr="00E76908">
        <w:rPr>
          <w:sz w:val="24"/>
          <w:szCs w:val="24"/>
        </w:rPr>
        <w:t xml:space="preserve">patients utilizing services increased </w:t>
      </w:r>
      <w:r w:rsidR="00ED699E">
        <w:rPr>
          <w:sz w:val="24"/>
          <w:szCs w:val="24"/>
        </w:rPr>
        <w:t xml:space="preserve">12.6% </w:t>
      </w:r>
      <w:r w:rsidR="00814C19">
        <w:rPr>
          <w:sz w:val="24"/>
          <w:szCs w:val="24"/>
        </w:rPr>
        <w:t>and Encompass Western Mass</w:t>
      </w:r>
      <w:r w:rsidR="00D24A16">
        <w:rPr>
          <w:sz w:val="24"/>
          <w:szCs w:val="24"/>
        </w:rPr>
        <w:t xml:space="preserve"> patien</w:t>
      </w:r>
      <w:r w:rsidR="00A47C99">
        <w:rPr>
          <w:sz w:val="24"/>
          <w:szCs w:val="24"/>
        </w:rPr>
        <w:t>ts increased by 9.9%</w:t>
      </w:r>
      <w:r w:rsidR="0099746C">
        <w:rPr>
          <w:sz w:val="24"/>
          <w:szCs w:val="24"/>
        </w:rPr>
        <w:t>.</w:t>
      </w:r>
    </w:p>
    <w:p w14:paraId="0674B51F" w14:textId="77777777" w:rsidR="00E76908" w:rsidRDefault="00E76908" w:rsidP="00290E5C">
      <w:pPr>
        <w:spacing w:after="0" w:line="240" w:lineRule="auto"/>
        <w:rPr>
          <w:sz w:val="24"/>
          <w:szCs w:val="24"/>
        </w:rPr>
      </w:pPr>
    </w:p>
    <w:p w14:paraId="2DA7F862" w14:textId="649A14A0" w:rsidR="00E76908" w:rsidRPr="00006E50" w:rsidRDefault="00E76908" w:rsidP="00006E50">
      <w:pPr>
        <w:pStyle w:val="Caption"/>
        <w:spacing w:after="0"/>
        <w:contextualSpacing/>
        <w:jc w:val="center"/>
        <w:rPr>
          <w:rFonts w:cstheme="minorHAnsi"/>
          <w:color w:val="2F5496" w:themeColor="accent1" w:themeShade="BF"/>
          <w:sz w:val="24"/>
          <w:szCs w:val="24"/>
        </w:rPr>
      </w:pPr>
      <w:r w:rsidRPr="00006E50">
        <w:rPr>
          <w:rFonts w:cstheme="minorHAnsi"/>
          <w:color w:val="2F5496" w:themeColor="accent1" w:themeShade="BF"/>
          <w:sz w:val="24"/>
          <w:szCs w:val="24"/>
          <w:u w:val="single"/>
        </w:rPr>
        <w:t xml:space="preserve">Table </w:t>
      </w:r>
      <w:r w:rsidR="0061319F">
        <w:rPr>
          <w:rFonts w:cstheme="minorHAnsi"/>
          <w:color w:val="2F5496" w:themeColor="accent1" w:themeShade="BF"/>
          <w:sz w:val="24"/>
          <w:szCs w:val="24"/>
          <w:u w:val="single"/>
        </w:rPr>
        <w:t>2</w:t>
      </w:r>
      <w:r w:rsidRPr="00006E50">
        <w:rPr>
          <w:rFonts w:cstheme="minorHAnsi"/>
          <w:color w:val="2F5496" w:themeColor="accent1" w:themeShade="BF"/>
          <w:sz w:val="24"/>
          <w:szCs w:val="24"/>
          <w:u w:val="single"/>
        </w:rPr>
        <w:t>:</w:t>
      </w:r>
      <w:r w:rsidRPr="00006E50">
        <w:rPr>
          <w:rFonts w:cstheme="minorHAnsi"/>
          <w:color w:val="2F5496" w:themeColor="accent1" w:themeShade="BF"/>
          <w:sz w:val="24"/>
          <w:szCs w:val="24"/>
        </w:rPr>
        <w:t xml:space="preserve"> </w:t>
      </w:r>
      <w:r w:rsidR="007455B7">
        <w:rPr>
          <w:rFonts w:cstheme="minorHAnsi"/>
          <w:color w:val="2F5496" w:themeColor="accent1" w:themeShade="BF"/>
          <w:sz w:val="24"/>
          <w:szCs w:val="24"/>
        </w:rPr>
        <w:t xml:space="preserve">Overview </w:t>
      </w:r>
      <w:r w:rsidR="007455B7" w:rsidRPr="00654083">
        <w:rPr>
          <w:rFonts w:cstheme="minorHAnsi"/>
          <w:color w:val="2F5496" w:themeColor="accent1" w:themeShade="BF"/>
          <w:sz w:val="24"/>
          <w:szCs w:val="24"/>
        </w:rPr>
        <w:t xml:space="preserve">of </w:t>
      </w:r>
      <w:r w:rsidR="00544D25" w:rsidRPr="00654083">
        <w:rPr>
          <w:rFonts w:cstheme="minorHAnsi"/>
          <w:color w:val="2F5496" w:themeColor="accent1" w:themeShade="BF"/>
          <w:sz w:val="24"/>
          <w:szCs w:val="24"/>
        </w:rPr>
        <w:t xml:space="preserve">Encompass </w:t>
      </w:r>
      <w:r w:rsidR="002F622C" w:rsidRPr="00654083">
        <w:rPr>
          <w:rFonts w:cstheme="minorHAnsi"/>
          <w:color w:val="2F5496" w:themeColor="accent1" w:themeShade="BF"/>
          <w:sz w:val="24"/>
          <w:szCs w:val="24"/>
        </w:rPr>
        <w:t>Health</w:t>
      </w:r>
      <w:r w:rsidR="00544D25" w:rsidRPr="00654083">
        <w:rPr>
          <w:rFonts w:cstheme="minorHAnsi"/>
          <w:color w:val="2F5496" w:themeColor="accent1" w:themeShade="BF"/>
          <w:sz w:val="24"/>
          <w:szCs w:val="24"/>
        </w:rPr>
        <w:t xml:space="preserve"> </w:t>
      </w:r>
      <w:r w:rsidRPr="00654083">
        <w:rPr>
          <w:rFonts w:cstheme="minorHAnsi"/>
          <w:color w:val="2F5496" w:themeColor="accent1" w:themeShade="BF"/>
          <w:sz w:val="24"/>
          <w:szCs w:val="24"/>
        </w:rPr>
        <w:t xml:space="preserve">Patient </w:t>
      </w:r>
      <w:r w:rsidR="00D24A16">
        <w:rPr>
          <w:rFonts w:cstheme="minorHAnsi"/>
          <w:color w:val="2F5496" w:themeColor="accent1" w:themeShade="BF"/>
          <w:sz w:val="24"/>
          <w:szCs w:val="24"/>
        </w:rPr>
        <w:t>Volume</w:t>
      </w:r>
    </w:p>
    <w:tbl>
      <w:tblPr>
        <w:tblStyle w:val="TableGrid"/>
        <w:tblW w:w="9445" w:type="dxa"/>
        <w:tblLook w:val="04A0" w:firstRow="1" w:lastRow="0" w:firstColumn="1" w:lastColumn="0" w:noHBand="0" w:noVBand="1"/>
      </w:tblPr>
      <w:tblGrid>
        <w:gridCol w:w="3865"/>
        <w:gridCol w:w="1350"/>
        <w:gridCol w:w="1260"/>
        <w:gridCol w:w="1350"/>
        <w:gridCol w:w="1620"/>
      </w:tblGrid>
      <w:tr w:rsidR="001D084A" w14:paraId="4CE145FF" w14:textId="77777777" w:rsidTr="00814C19">
        <w:tc>
          <w:tcPr>
            <w:tcW w:w="3865" w:type="dxa"/>
            <w:shd w:val="clear" w:color="auto" w:fill="BDD6EE" w:themeFill="accent5" w:themeFillTint="66"/>
          </w:tcPr>
          <w:p w14:paraId="7CE02080" w14:textId="318CA8D5" w:rsidR="001D084A" w:rsidRPr="008F248F" w:rsidRDefault="001D084A" w:rsidP="008F248F">
            <w:pPr>
              <w:jc w:val="center"/>
              <w:rPr>
                <w:b/>
                <w:sz w:val="24"/>
                <w:szCs w:val="24"/>
              </w:rPr>
            </w:pPr>
            <w:r w:rsidRPr="008F248F">
              <w:rPr>
                <w:b/>
                <w:sz w:val="24"/>
                <w:szCs w:val="24"/>
              </w:rPr>
              <w:t>System/ Hospital</w:t>
            </w:r>
          </w:p>
        </w:tc>
        <w:tc>
          <w:tcPr>
            <w:tcW w:w="1350" w:type="dxa"/>
            <w:shd w:val="clear" w:color="auto" w:fill="BDD6EE" w:themeFill="accent5" w:themeFillTint="66"/>
          </w:tcPr>
          <w:p w14:paraId="3D4BD333" w14:textId="040D29A2" w:rsidR="001D084A" w:rsidRPr="008F248F" w:rsidRDefault="008F248F" w:rsidP="008F248F">
            <w:pPr>
              <w:jc w:val="center"/>
              <w:rPr>
                <w:b/>
                <w:sz w:val="24"/>
                <w:szCs w:val="24"/>
              </w:rPr>
            </w:pPr>
            <w:r w:rsidRPr="008F248F">
              <w:rPr>
                <w:b/>
                <w:sz w:val="24"/>
                <w:szCs w:val="24"/>
              </w:rPr>
              <w:t>CY2020</w:t>
            </w:r>
          </w:p>
        </w:tc>
        <w:tc>
          <w:tcPr>
            <w:tcW w:w="1260" w:type="dxa"/>
            <w:shd w:val="clear" w:color="auto" w:fill="BDD6EE" w:themeFill="accent5" w:themeFillTint="66"/>
          </w:tcPr>
          <w:p w14:paraId="20F21961" w14:textId="2B2D64E4" w:rsidR="001D084A" w:rsidRPr="008F248F" w:rsidRDefault="008F248F" w:rsidP="008F248F">
            <w:pPr>
              <w:jc w:val="center"/>
              <w:rPr>
                <w:b/>
                <w:sz w:val="24"/>
                <w:szCs w:val="24"/>
              </w:rPr>
            </w:pPr>
            <w:r w:rsidRPr="008F248F">
              <w:rPr>
                <w:b/>
                <w:sz w:val="24"/>
                <w:szCs w:val="24"/>
              </w:rPr>
              <w:t>CY2021</w:t>
            </w:r>
          </w:p>
        </w:tc>
        <w:tc>
          <w:tcPr>
            <w:tcW w:w="1350" w:type="dxa"/>
            <w:shd w:val="clear" w:color="auto" w:fill="BDD6EE" w:themeFill="accent5" w:themeFillTint="66"/>
          </w:tcPr>
          <w:p w14:paraId="02C46D84" w14:textId="66135103" w:rsidR="001D084A" w:rsidRPr="008F248F" w:rsidRDefault="008F248F" w:rsidP="008F248F">
            <w:pPr>
              <w:jc w:val="center"/>
              <w:rPr>
                <w:b/>
                <w:sz w:val="24"/>
                <w:szCs w:val="24"/>
              </w:rPr>
            </w:pPr>
            <w:r w:rsidRPr="008F248F">
              <w:rPr>
                <w:b/>
                <w:sz w:val="24"/>
                <w:szCs w:val="24"/>
              </w:rPr>
              <w:t>CY2022</w:t>
            </w:r>
          </w:p>
        </w:tc>
        <w:tc>
          <w:tcPr>
            <w:tcW w:w="1620" w:type="dxa"/>
            <w:shd w:val="clear" w:color="auto" w:fill="BDD6EE" w:themeFill="accent5" w:themeFillTint="66"/>
          </w:tcPr>
          <w:p w14:paraId="44AA1B2C" w14:textId="5E6B1A96" w:rsidR="001D084A" w:rsidRPr="008F248F" w:rsidRDefault="00E7547D" w:rsidP="008F248F">
            <w:pPr>
              <w:jc w:val="center"/>
              <w:rPr>
                <w:b/>
                <w:sz w:val="24"/>
                <w:szCs w:val="24"/>
              </w:rPr>
            </w:pPr>
            <w:r>
              <w:rPr>
                <w:b/>
                <w:sz w:val="24"/>
                <w:szCs w:val="24"/>
              </w:rPr>
              <w:t>% Change</w:t>
            </w:r>
          </w:p>
        </w:tc>
      </w:tr>
      <w:tr w:rsidR="00AA08C7" w14:paraId="4BF14A55" w14:textId="77777777" w:rsidTr="00814C19">
        <w:tc>
          <w:tcPr>
            <w:tcW w:w="3865" w:type="dxa"/>
          </w:tcPr>
          <w:p w14:paraId="7CAAE4BC" w14:textId="27F2558D" w:rsidR="00AA08C7" w:rsidRPr="008F248F" w:rsidRDefault="00AA08C7" w:rsidP="00AA08C7">
            <w:pPr>
              <w:jc w:val="center"/>
              <w:rPr>
                <w:b/>
                <w:sz w:val="24"/>
                <w:szCs w:val="24"/>
              </w:rPr>
            </w:pPr>
            <w:r>
              <w:rPr>
                <w:sz w:val="24"/>
                <w:szCs w:val="24"/>
              </w:rPr>
              <w:t xml:space="preserve">Encompass </w:t>
            </w:r>
            <w:r w:rsidR="00814C19">
              <w:rPr>
                <w:sz w:val="24"/>
                <w:szCs w:val="24"/>
              </w:rPr>
              <w:t>Health – All MA Hospitals</w:t>
            </w:r>
          </w:p>
        </w:tc>
        <w:tc>
          <w:tcPr>
            <w:tcW w:w="1350" w:type="dxa"/>
            <w:vAlign w:val="bottom"/>
          </w:tcPr>
          <w:p w14:paraId="4315FE40" w14:textId="3CC9F47A" w:rsidR="00AA08C7" w:rsidRPr="003E796C" w:rsidRDefault="00AA08C7" w:rsidP="003E796C">
            <w:pPr>
              <w:jc w:val="center"/>
              <w:rPr>
                <w:rFonts w:cstheme="minorHAnsi"/>
                <w:sz w:val="24"/>
                <w:szCs w:val="24"/>
              </w:rPr>
            </w:pPr>
            <w:r w:rsidRPr="003E796C">
              <w:rPr>
                <w:rFonts w:cstheme="minorHAnsi"/>
                <w:color w:val="000000"/>
                <w:sz w:val="24"/>
                <w:szCs w:val="24"/>
              </w:rPr>
              <w:fldChar w:fldCharType="begin"/>
            </w:r>
            <w:r w:rsidRPr="003E796C">
              <w:rPr>
                <w:rFonts w:cstheme="minorHAnsi"/>
                <w:color w:val="000000"/>
                <w:sz w:val="24"/>
                <w:szCs w:val="24"/>
              </w:rPr>
              <w:instrText xml:space="preserve"> =SUM(ABOVE) </w:instrText>
            </w:r>
            <w:r w:rsidRPr="003E796C">
              <w:rPr>
                <w:rFonts w:cstheme="minorHAnsi"/>
                <w:color w:val="000000"/>
                <w:sz w:val="24"/>
                <w:szCs w:val="24"/>
              </w:rPr>
              <w:fldChar w:fldCharType="separate"/>
            </w:r>
            <w:r w:rsidRPr="003E796C">
              <w:rPr>
                <w:rFonts w:cstheme="minorHAnsi"/>
                <w:noProof/>
                <w:color w:val="000000"/>
                <w:sz w:val="24"/>
                <w:szCs w:val="24"/>
              </w:rPr>
              <w:t>6,019</w:t>
            </w:r>
            <w:r w:rsidRPr="003E796C">
              <w:rPr>
                <w:rFonts w:cstheme="minorHAnsi"/>
                <w:color w:val="000000"/>
                <w:sz w:val="24"/>
                <w:szCs w:val="24"/>
              </w:rPr>
              <w:fldChar w:fldCharType="end"/>
            </w:r>
          </w:p>
        </w:tc>
        <w:tc>
          <w:tcPr>
            <w:tcW w:w="1260" w:type="dxa"/>
            <w:vAlign w:val="bottom"/>
          </w:tcPr>
          <w:p w14:paraId="3DC7C421" w14:textId="3590C3A2" w:rsidR="00AA08C7" w:rsidRPr="003E796C" w:rsidRDefault="00AA08C7" w:rsidP="003E796C">
            <w:pPr>
              <w:jc w:val="center"/>
              <w:rPr>
                <w:rFonts w:cstheme="minorHAnsi"/>
                <w:sz w:val="24"/>
                <w:szCs w:val="24"/>
              </w:rPr>
            </w:pPr>
            <w:r w:rsidRPr="003E796C">
              <w:rPr>
                <w:rFonts w:cstheme="minorHAnsi"/>
                <w:color w:val="000000"/>
                <w:sz w:val="24"/>
                <w:szCs w:val="24"/>
              </w:rPr>
              <w:t>6,426</w:t>
            </w:r>
          </w:p>
        </w:tc>
        <w:tc>
          <w:tcPr>
            <w:tcW w:w="1350" w:type="dxa"/>
            <w:vAlign w:val="bottom"/>
          </w:tcPr>
          <w:p w14:paraId="33BBE887" w14:textId="666B8E51" w:rsidR="00AA08C7" w:rsidRPr="003E796C" w:rsidRDefault="00AA08C7" w:rsidP="003E796C">
            <w:pPr>
              <w:jc w:val="center"/>
              <w:rPr>
                <w:rFonts w:cstheme="minorHAnsi"/>
                <w:sz w:val="24"/>
                <w:szCs w:val="24"/>
              </w:rPr>
            </w:pPr>
            <w:r w:rsidRPr="003E796C">
              <w:rPr>
                <w:rFonts w:cstheme="minorHAnsi"/>
                <w:color w:val="000000"/>
                <w:sz w:val="24"/>
                <w:szCs w:val="24"/>
              </w:rPr>
              <w:t>6,777</w:t>
            </w:r>
          </w:p>
        </w:tc>
        <w:tc>
          <w:tcPr>
            <w:tcW w:w="1620" w:type="dxa"/>
          </w:tcPr>
          <w:p w14:paraId="4AD441E8" w14:textId="06D4E7F7" w:rsidR="00AA08C7" w:rsidRPr="003E796C" w:rsidRDefault="006E2879" w:rsidP="003E796C">
            <w:pPr>
              <w:jc w:val="center"/>
              <w:rPr>
                <w:rFonts w:cstheme="minorHAnsi"/>
                <w:sz w:val="24"/>
                <w:szCs w:val="24"/>
              </w:rPr>
            </w:pPr>
            <w:r>
              <w:rPr>
                <w:rFonts w:cstheme="minorHAnsi"/>
                <w:sz w:val="24"/>
                <w:szCs w:val="24"/>
              </w:rPr>
              <w:t>12.6%</w:t>
            </w:r>
          </w:p>
        </w:tc>
      </w:tr>
      <w:tr w:rsidR="003E796C" w14:paraId="6858386D" w14:textId="77777777" w:rsidTr="00814C19">
        <w:tc>
          <w:tcPr>
            <w:tcW w:w="3865" w:type="dxa"/>
          </w:tcPr>
          <w:p w14:paraId="4DF69A29" w14:textId="6415AEBC" w:rsidR="003E796C" w:rsidRDefault="007455B7" w:rsidP="003E796C">
            <w:pPr>
              <w:jc w:val="center"/>
              <w:rPr>
                <w:sz w:val="24"/>
                <w:szCs w:val="24"/>
              </w:rPr>
            </w:pPr>
            <w:r>
              <w:rPr>
                <w:sz w:val="24"/>
                <w:szCs w:val="24"/>
              </w:rPr>
              <w:t>Encompass Western Mass</w:t>
            </w:r>
          </w:p>
        </w:tc>
        <w:tc>
          <w:tcPr>
            <w:tcW w:w="1350" w:type="dxa"/>
            <w:vAlign w:val="bottom"/>
          </w:tcPr>
          <w:p w14:paraId="0884FB9A" w14:textId="1D9A405C" w:rsidR="003E796C" w:rsidRPr="003E796C" w:rsidRDefault="003E796C" w:rsidP="003E796C">
            <w:pPr>
              <w:jc w:val="center"/>
              <w:rPr>
                <w:rFonts w:cstheme="minorHAnsi"/>
                <w:sz w:val="24"/>
                <w:szCs w:val="24"/>
              </w:rPr>
            </w:pPr>
            <w:r w:rsidRPr="003E796C">
              <w:rPr>
                <w:rFonts w:eastAsia="Times New Roman" w:cstheme="minorHAnsi"/>
                <w:color w:val="000000"/>
                <w:sz w:val="24"/>
                <w:szCs w:val="24"/>
              </w:rPr>
              <w:t>1,167</w:t>
            </w:r>
          </w:p>
        </w:tc>
        <w:tc>
          <w:tcPr>
            <w:tcW w:w="1260" w:type="dxa"/>
            <w:vAlign w:val="bottom"/>
          </w:tcPr>
          <w:p w14:paraId="70B4FB37" w14:textId="41A3C5BD" w:rsidR="003E796C" w:rsidRPr="003E796C" w:rsidRDefault="003E796C" w:rsidP="003E796C">
            <w:pPr>
              <w:jc w:val="center"/>
              <w:rPr>
                <w:rFonts w:cstheme="minorHAnsi"/>
                <w:sz w:val="24"/>
                <w:szCs w:val="24"/>
              </w:rPr>
            </w:pPr>
            <w:r w:rsidRPr="003E796C">
              <w:rPr>
                <w:rFonts w:eastAsia="Times New Roman" w:cstheme="minorHAnsi"/>
                <w:color w:val="000000"/>
                <w:sz w:val="24"/>
                <w:szCs w:val="24"/>
              </w:rPr>
              <w:t>1,236</w:t>
            </w:r>
          </w:p>
        </w:tc>
        <w:tc>
          <w:tcPr>
            <w:tcW w:w="1350" w:type="dxa"/>
            <w:vAlign w:val="bottom"/>
          </w:tcPr>
          <w:p w14:paraId="6A1656A1" w14:textId="42E5C5F7" w:rsidR="003E796C" w:rsidRPr="003E796C" w:rsidRDefault="003E796C" w:rsidP="003E796C">
            <w:pPr>
              <w:jc w:val="center"/>
              <w:rPr>
                <w:rFonts w:cstheme="minorHAnsi"/>
                <w:sz w:val="24"/>
                <w:szCs w:val="24"/>
              </w:rPr>
            </w:pPr>
            <w:r w:rsidRPr="003E796C">
              <w:rPr>
                <w:rFonts w:eastAsia="Times New Roman" w:cstheme="minorHAnsi"/>
                <w:color w:val="000000"/>
                <w:sz w:val="24"/>
                <w:szCs w:val="24"/>
              </w:rPr>
              <w:t>1,282</w:t>
            </w:r>
          </w:p>
        </w:tc>
        <w:tc>
          <w:tcPr>
            <w:tcW w:w="1620" w:type="dxa"/>
          </w:tcPr>
          <w:p w14:paraId="76063CD2" w14:textId="308FBEBB" w:rsidR="003E796C" w:rsidRPr="003E796C" w:rsidRDefault="00ED699E" w:rsidP="003E796C">
            <w:pPr>
              <w:jc w:val="center"/>
              <w:rPr>
                <w:rFonts w:cstheme="minorHAnsi"/>
                <w:sz w:val="24"/>
                <w:szCs w:val="24"/>
              </w:rPr>
            </w:pPr>
            <w:r>
              <w:rPr>
                <w:rFonts w:cstheme="minorHAnsi"/>
                <w:sz w:val="24"/>
                <w:szCs w:val="24"/>
              </w:rPr>
              <w:t>9.9%</w:t>
            </w:r>
          </w:p>
        </w:tc>
      </w:tr>
    </w:tbl>
    <w:p w14:paraId="44609371" w14:textId="3D95081C" w:rsidR="006C2ABB" w:rsidRDefault="006C2ABB" w:rsidP="00D24A16">
      <w:pPr>
        <w:spacing w:after="0" w:line="240" w:lineRule="auto"/>
        <w:rPr>
          <w:b/>
          <w:bCs/>
          <w:sz w:val="24"/>
          <w:szCs w:val="24"/>
        </w:rPr>
      </w:pPr>
    </w:p>
    <w:p w14:paraId="1A98193B" w14:textId="1965A79C" w:rsidR="007C0E02" w:rsidRDefault="007C0E02" w:rsidP="007C0E02">
      <w:pPr>
        <w:spacing w:after="0" w:line="240" w:lineRule="auto"/>
        <w:rPr>
          <w:sz w:val="24"/>
          <w:szCs w:val="24"/>
        </w:rPr>
      </w:pPr>
      <w:r>
        <w:rPr>
          <w:sz w:val="24"/>
          <w:szCs w:val="24"/>
        </w:rPr>
        <w:t xml:space="preserve">Table </w:t>
      </w:r>
      <w:r w:rsidR="0061319F">
        <w:rPr>
          <w:sz w:val="24"/>
          <w:szCs w:val="24"/>
        </w:rPr>
        <w:t>3</w:t>
      </w:r>
      <w:r>
        <w:rPr>
          <w:sz w:val="24"/>
          <w:szCs w:val="24"/>
        </w:rPr>
        <w:t xml:space="preserve"> shows the demographic characteristics of</w:t>
      </w:r>
      <w:r w:rsidR="00874FC5">
        <w:rPr>
          <w:sz w:val="24"/>
          <w:szCs w:val="24"/>
        </w:rPr>
        <w:t xml:space="preserve"> </w:t>
      </w:r>
      <w:r w:rsidR="00814C19">
        <w:rPr>
          <w:sz w:val="24"/>
          <w:szCs w:val="24"/>
        </w:rPr>
        <w:t>the Encompass Health Patient Panel</w:t>
      </w:r>
      <w:r>
        <w:rPr>
          <w:sz w:val="24"/>
          <w:szCs w:val="24"/>
        </w:rPr>
        <w:t xml:space="preserve">. </w:t>
      </w:r>
      <w:r w:rsidRPr="007C0E02">
        <w:rPr>
          <w:sz w:val="24"/>
          <w:szCs w:val="24"/>
        </w:rPr>
        <w:t>Staff notes the following observations:</w:t>
      </w:r>
    </w:p>
    <w:p w14:paraId="10059146" w14:textId="77777777" w:rsidR="00DE39E0" w:rsidRPr="007C0E02" w:rsidRDefault="00DE39E0" w:rsidP="007C0E02">
      <w:pPr>
        <w:spacing w:after="0" w:line="240" w:lineRule="auto"/>
        <w:rPr>
          <w:sz w:val="24"/>
          <w:szCs w:val="24"/>
        </w:rPr>
      </w:pPr>
    </w:p>
    <w:p w14:paraId="580CAC32" w14:textId="261F0408" w:rsidR="007C0E02" w:rsidRPr="00404E99" w:rsidRDefault="006F4BC1" w:rsidP="006D54D3">
      <w:pPr>
        <w:pStyle w:val="ListParagraph"/>
        <w:numPr>
          <w:ilvl w:val="0"/>
          <w:numId w:val="1"/>
        </w:numPr>
        <w:spacing w:after="0" w:line="240" w:lineRule="auto"/>
        <w:rPr>
          <w:rFonts w:ascii="Times New Roman" w:hAnsi="Times New Roman" w:cs="Times New Roman"/>
          <w:sz w:val="24"/>
          <w:szCs w:val="24"/>
        </w:rPr>
      </w:pPr>
      <w:r w:rsidRPr="006F4BC1">
        <w:rPr>
          <w:b/>
          <w:bCs/>
          <w:sz w:val="24"/>
          <w:szCs w:val="24"/>
        </w:rPr>
        <w:t>Age-</w:t>
      </w:r>
      <w:r w:rsidRPr="006F4BC1">
        <w:rPr>
          <w:rFonts w:ascii="Times New Roman" w:hAnsi="Times New Roman" w:cs="Times New Roman"/>
          <w:sz w:val="24"/>
          <w:szCs w:val="24"/>
        </w:rPr>
        <w:t xml:space="preserve"> </w:t>
      </w:r>
      <w:proofErr w:type="gramStart"/>
      <w:r w:rsidRPr="006F4BC1">
        <w:rPr>
          <w:rFonts w:cstheme="minorHAnsi"/>
          <w:sz w:val="24"/>
          <w:szCs w:val="24"/>
        </w:rPr>
        <w:t>The vast majority of</w:t>
      </w:r>
      <w:proofErr w:type="gramEnd"/>
      <w:r w:rsidRPr="006F4BC1">
        <w:rPr>
          <w:rFonts w:cstheme="minorHAnsi"/>
          <w:sz w:val="24"/>
          <w:szCs w:val="24"/>
        </w:rPr>
        <w:t xml:space="preserve"> admissions (approximately 70% annually) are for patients ages 65 and over, which the Applicant notes is typical for comprehensive inpatient </w:t>
      </w:r>
      <w:r w:rsidRPr="00404E99">
        <w:rPr>
          <w:rFonts w:cstheme="minorHAnsi"/>
          <w:sz w:val="24"/>
          <w:szCs w:val="24"/>
        </w:rPr>
        <w:t xml:space="preserve">rehabilitation programs generally and for Encompass Health specifically. </w:t>
      </w:r>
    </w:p>
    <w:p w14:paraId="7936EA1B" w14:textId="7971E8E4" w:rsidR="007C0E02" w:rsidRPr="00404E99" w:rsidRDefault="007C0E02" w:rsidP="007C0E02">
      <w:pPr>
        <w:numPr>
          <w:ilvl w:val="0"/>
          <w:numId w:val="1"/>
        </w:numPr>
        <w:spacing w:after="0" w:line="240" w:lineRule="auto"/>
        <w:rPr>
          <w:sz w:val="24"/>
          <w:szCs w:val="24"/>
        </w:rPr>
      </w:pPr>
      <w:r w:rsidRPr="00404E99">
        <w:rPr>
          <w:b/>
          <w:bCs/>
          <w:sz w:val="24"/>
          <w:szCs w:val="24"/>
        </w:rPr>
        <w:t>Race/Ethnicity-</w:t>
      </w:r>
      <w:r w:rsidRPr="00404E99">
        <w:rPr>
          <w:sz w:val="24"/>
          <w:szCs w:val="24"/>
        </w:rPr>
        <w:t xml:space="preserve"> </w:t>
      </w:r>
      <w:r w:rsidR="002A3FE0" w:rsidRPr="00404E99">
        <w:rPr>
          <w:sz w:val="24"/>
          <w:szCs w:val="24"/>
        </w:rPr>
        <w:t>T</w:t>
      </w:r>
      <w:r w:rsidR="00BD0D98" w:rsidRPr="00404E99">
        <w:rPr>
          <w:rFonts w:cstheme="minorHAnsi"/>
          <w:sz w:val="24"/>
          <w:szCs w:val="24"/>
        </w:rPr>
        <w:t xml:space="preserve">he majority </w:t>
      </w:r>
      <w:r w:rsidR="002A3FE0" w:rsidRPr="00404E99">
        <w:rPr>
          <w:rFonts w:cstheme="minorHAnsi"/>
          <w:sz w:val="24"/>
          <w:szCs w:val="24"/>
        </w:rPr>
        <w:t xml:space="preserve">of the Patient Panel </w:t>
      </w:r>
      <w:r w:rsidR="00404E99" w:rsidRPr="00404E99">
        <w:rPr>
          <w:rFonts w:cstheme="minorHAnsi"/>
          <w:sz w:val="24"/>
          <w:szCs w:val="24"/>
        </w:rPr>
        <w:t xml:space="preserve">(~80%) </w:t>
      </w:r>
      <w:r w:rsidR="002A3FE0" w:rsidRPr="00404E99">
        <w:rPr>
          <w:rFonts w:cstheme="minorHAnsi"/>
          <w:sz w:val="24"/>
          <w:szCs w:val="24"/>
        </w:rPr>
        <w:t xml:space="preserve">identifies as </w:t>
      </w:r>
      <w:r w:rsidR="00BD0D98" w:rsidRPr="00404E99">
        <w:rPr>
          <w:rFonts w:cstheme="minorHAnsi"/>
          <w:sz w:val="24"/>
          <w:szCs w:val="24"/>
        </w:rPr>
        <w:t>white.</w:t>
      </w:r>
    </w:p>
    <w:p w14:paraId="2020A7A0" w14:textId="30DFF154" w:rsidR="008C4EFA" w:rsidRPr="001E5BF2" w:rsidRDefault="008C4EFA" w:rsidP="008C4EFA">
      <w:pPr>
        <w:pStyle w:val="ListParagraph"/>
        <w:numPr>
          <w:ilvl w:val="0"/>
          <w:numId w:val="1"/>
        </w:numPr>
        <w:spacing w:after="0" w:line="240" w:lineRule="auto"/>
        <w:rPr>
          <w:sz w:val="24"/>
          <w:szCs w:val="24"/>
        </w:rPr>
      </w:pPr>
      <w:r w:rsidRPr="001E5BF2">
        <w:rPr>
          <w:b/>
          <w:bCs/>
          <w:sz w:val="24"/>
          <w:szCs w:val="24"/>
        </w:rPr>
        <w:t xml:space="preserve">Payer Mix- </w:t>
      </w:r>
      <w:r w:rsidR="001E5BF2">
        <w:rPr>
          <w:rFonts w:cstheme="minorHAnsi"/>
          <w:sz w:val="24"/>
          <w:szCs w:val="24"/>
        </w:rPr>
        <w:t>T</w:t>
      </w:r>
      <w:r w:rsidR="001E5BF2" w:rsidRPr="001E5BF2">
        <w:rPr>
          <w:rFonts w:cstheme="minorHAnsi"/>
          <w:sz w:val="24"/>
          <w:szCs w:val="24"/>
        </w:rPr>
        <w:t>he majority of the Applicant’s patients are enrolled in the Medicare program, either through the traditional Medicare Fee-For-Service (“FFS”) program or Medicare Advantage.</w:t>
      </w:r>
    </w:p>
    <w:p w14:paraId="4727AEEC" w14:textId="4A7C0E6F" w:rsidR="004A5F26" w:rsidRPr="00867928" w:rsidRDefault="007C0E02" w:rsidP="00867928">
      <w:pPr>
        <w:numPr>
          <w:ilvl w:val="0"/>
          <w:numId w:val="1"/>
        </w:numPr>
        <w:spacing w:after="0" w:line="240" w:lineRule="auto"/>
        <w:rPr>
          <w:b/>
          <w:bCs/>
          <w:sz w:val="24"/>
          <w:szCs w:val="24"/>
        </w:rPr>
      </w:pPr>
      <w:r w:rsidRPr="0039533D">
        <w:rPr>
          <w:b/>
          <w:bCs/>
          <w:sz w:val="24"/>
          <w:szCs w:val="24"/>
        </w:rPr>
        <w:t>Patient Origin-</w:t>
      </w:r>
      <w:r w:rsidRPr="0039533D">
        <w:rPr>
          <w:sz w:val="24"/>
          <w:szCs w:val="24"/>
        </w:rPr>
        <w:t xml:space="preserve"> </w:t>
      </w:r>
      <w:r w:rsidR="0039533D" w:rsidRPr="0039533D">
        <w:rPr>
          <w:sz w:val="24"/>
          <w:szCs w:val="24"/>
        </w:rPr>
        <w:t>residents of Middlesex County comprise the largest portion of patients cared for at the Applicant’s IRFs, representing approximately 30% of total admissions each year.</w:t>
      </w:r>
    </w:p>
    <w:p w14:paraId="1ED3390F" w14:textId="77777777" w:rsidR="004A5F26" w:rsidRDefault="004A5F26" w:rsidP="003E5301">
      <w:pPr>
        <w:spacing w:after="0" w:line="240" w:lineRule="auto"/>
        <w:jc w:val="center"/>
        <w:rPr>
          <w:b/>
          <w:bCs/>
          <w:sz w:val="24"/>
          <w:szCs w:val="24"/>
        </w:rPr>
      </w:pPr>
    </w:p>
    <w:p w14:paraId="2A81CCF9" w14:textId="6C2EF936" w:rsidR="0025244D" w:rsidRPr="007C017D" w:rsidRDefault="0025244D" w:rsidP="0025244D">
      <w:pPr>
        <w:pStyle w:val="Caption"/>
        <w:spacing w:after="0"/>
        <w:contextualSpacing/>
        <w:jc w:val="center"/>
        <w:rPr>
          <w:rFonts w:cstheme="minorHAnsi"/>
          <w:color w:val="2F5496" w:themeColor="accent1" w:themeShade="BF"/>
          <w:sz w:val="24"/>
          <w:szCs w:val="24"/>
        </w:rPr>
      </w:pPr>
      <w:r w:rsidRPr="007C017D">
        <w:rPr>
          <w:rFonts w:cstheme="minorHAnsi"/>
          <w:color w:val="2F5496" w:themeColor="accent1" w:themeShade="BF"/>
          <w:sz w:val="24"/>
          <w:szCs w:val="24"/>
          <w:u w:val="single"/>
        </w:rPr>
        <w:t xml:space="preserve">Table </w:t>
      </w:r>
      <w:r w:rsidR="0061319F">
        <w:rPr>
          <w:rFonts w:cstheme="minorHAnsi"/>
          <w:color w:val="2F5496" w:themeColor="accent1" w:themeShade="BF"/>
          <w:sz w:val="24"/>
          <w:szCs w:val="24"/>
          <w:u w:val="single"/>
        </w:rPr>
        <w:t>3</w:t>
      </w:r>
      <w:r w:rsidRPr="007C017D">
        <w:rPr>
          <w:rFonts w:cstheme="minorHAnsi"/>
          <w:color w:val="2F5496" w:themeColor="accent1" w:themeShade="BF"/>
          <w:sz w:val="24"/>
          <w:szCs w:val="24"/>
        </w:rPr>
        <w:t xml:space="preserve">: </w:t>
      </w:r>
      <w:r w:rsidR="00E414BC">
        <w:rPr>
          <w:rFonts w:cstheme="minorHAnsi"/>
          <w:color w:val="2F5496" w:themeColor="accent1" w:themeShade="BF"/>
          <w:sz w:val="24"/>
          <w:szCs w:val="24"/>
        </w:rPr>
        <w:t xml:space="preserve">Encompass Health </w:t>
      </w:r>
      <w:r w:rsidRPr="007C017D">
        <w:rPr>
          <w:rFonts w:cstheme="minorHAnsi"/>
          <w:color w:val="2F5496" w:themeColor="accent1" w:themeShade="BF"/>
          <w:sz w:val="24"/>
          <w:szCs w:val="24"/>
        </w:rPr>
        <w:t xml:space="preserve">Patient </w:t>
      </w:r>
      <w:r>
        <w:rPr>
          <w:rFonts w:cstheme="minorHAnsi"/>
          <w:color w:val="2F5496" w:themeColor="accent1" w:themeShade="BF"/>
          <w:sz w:val="24"/>
          <w:szCs w:val="24"/>
        </w:rPr>
        <w:t xml:space="preserve">Panel </w:t>
      </w:r>
      <w:r w:rsidRPr="007C017D">
        <w:rPr>
          <w:rFonts w:cstheme="minorHAnsi"/>
          <w:color w:val="2F5496" w:themeColor="accent1" w:themeShade="BF"/>
          <w:sz w:val="24"/>
          <w:szCs w:val="24"/>
        </w:rPr>
        <w:t>Demographic Profil</w:t>
      </w:r>
      <w:r>
        <w:rPr>
          <w:rFonts w:cstheme="minorHAnsi"/>
          <w:color w:val="2F5496" w:themeColor="accent1" w:themeShade="BF"/>
          <w:sz w:val="24"/>
          <w:szCs w:val="24"/>
        </w:rPr>
        <w:t>e</w:t>
      </w:r>
    </w:p>
    <w:tbl>
      <w:tblPr>
        <w:tblStyle w:val="TableGrid"/>
        <w:tblW w:w="0" w:type="auto"/>
        <w:jc w:val="center"/>
        <w:tblLook w:val="04A0" w:firstRow="1" w:lastRow="0" w:firstColumn="1" w:lastColumn="0" w:noHBand="0" w:noVBand="1"/>
      </w:tblPr>
      <w:tblGrid>
        <w:gridCol w:w="5215"/>
        <w:gridCol w:w="1980"/>
      </w:tblGrid>
      <w:tr w:rsidR="00814C19" w:rsidRPr="00FA4ED8" w14:paraId="032E63E4" w14:textId="77777777" w:rsidTr="00666CDE">
        <w:trPr>
          <w:cantSplit/>
          <w:trHeight w:val="144"/>
          <w:tblHeader/>
          <w:jc w:val="center"/>
        </w:trPr>
        <w:tc>
          <w:tcPr>
            <w:tcW w:w="5215" w:type="dxa"/>
            <w:tcBorders>
              <w:bottom w:val="single" w:sz="4" w:space="0" w:color="auto"/>
            </w:tcBorders>
            <w:shd w:val="clear" w:color="auto" w:fill="D9E2F3" w:themeFill="accent1" w:themeFillTint="33"/>
          </w:tcPr>
          <w:p w14:paraId="782065BF" w14:textId="77777777" w:rsidR="00814C19" w:rsidRPr="00FA4ED8" w:rsidRDefault="00814C19" w:rsidP="00666CDE">
            <w:pPr>
              <w:rPr>
                <w:rFonts w:cstheme="minorHAnsi"/>
                <w:highlight w:val="yellow"/>
              </w:rPr>
            </w:pPr>
          </w:p>
        </w:tc>
        <w:tc>
          <w:tcPr>
            <w:tcW w:w="1980" w:type="dxa"/>
            <w:tcBorders>
              <w:bottom w:val="single" w:sz="4" w:space="0" w:color="auto"/>
            </w:tcBorders>
            <w:shd w:val="clear" w:color="auto" w:fill="D9E2F3" w:themeFill="accent1" w:themeFillTint="33"/>
          </w:tcPr>
          <w:p w14:paraId="0DEC3F0F" w14:textId="5124C1AC" w:rsidR="00814C19" w:rsidRPr="00EA3646" w:rsidRDefault="00A307F2" w:rsidP="00666CDE">
            <w:pPr>
              <w:jc w:val="center"/>
              <w:rPr>
                <w:rFonts w:eastAsia="Calibri" w:cstheme="minorHAnsi"/>
                <w:b/>
              </w:rPr>
            </w:pPr>
            <w:r>
              <w:rPr>
                <w:rFonts w:eastAsia="Calibri" w:cstheme="minorHAnsi"/>
                <w:b/>
              </w:rPr>
              <w:t>C</w:t>
            </w:r>
            <w:r w:rsidR="00814C19" w:rsidRPr="00EA3646">
              <w:rPr>
                <w:rFonts w:eastAsia="Calibri" w:cstheme="minorHAnsi"/>
                <w:b/>
              </w:rPr>
              <w:t>Y2022 Totals</w:t>
            </w:r>
          </w:p>
        </w:tc>
      </w:tr>
      <w:tr w:rsidR="00814C19" w:rsidRPr="00FA4ED8" w14:paraId="06B5AE0E" w14:textId="77777777" w:rsidTr="00666CDE">
        <w:trPr>
          <w:cantSplit/>
          <w:trHeight w:val="144"/>
          <w:jc w:val="center"/>
        </w:trPr>
        <w:tc>
          <w:tcPr>
            <w:tcW w:w="5215" w:type="dxa"/>
            <w:tcBorders>
              <w:bottom w:val="single" w:sz="4" w:space="0" w:color="auto"/>
            </w:tcBorders>
          </w:tcPr>
          <w:p w14:paraId="25BAE0FF" w14:textId="77777777" w:rsidR="00814C19" w:rsidRPr="00FA4ED8" w:rsidRDefault="00814C19" w:rsidP="00666CDE">
            <w:pPr>
              <w:rPr>
                <w:rFonts w:cstheme="minorHAnsi"/>
                <w:highlight w:val="yellow"/>
              </w:rPr>
            </w:pPr>
            <w:r w:rsidRPr="008F539D">
              <w:rPr>
                <w:rFonts w:eastAsia="Calibri" w:cstheme="minorHAnsi"/>
                <w:b/>
              </w:rPr>
              <w:t>Total Unique Patients</w:t>
            </w:r>
          </w:p>
        </w:tc>
        <w:tc>
          <w:tcPr>
            <w:tcW w:w="1980" w:type="dxa"/>
            <w:tcBorders>
              <w:bottom w:val="single" w:sz="4" w:space="0" w:color="auto"/>
            </w:tcBorders>
          </w:tcPr>
          <w:p w14:paraId="0D564ED7" w14:textId="3D049D43" w:rsidR="00814C19" w:rsidRPr="00FA4ED8" w:rsidRDefault="00814C19" w:rsidP="00666CDE">
            <w:pPr>
              <w:ind w:left="720" w:hanging="557"/>
              <w:contextualSpacing/>
              <w:jc w:val="right"/>
              <w:rPr>
                <w:rFonts w:eastAsia="Calibri" w:cstheme="minorHAnsi"/>
                <w:bCs/>
                <w:highlight w:val="yellow"/>
              </w:rPr>
            </w:pPr>
            <w:r>
              <w:rPr>
                <w:rFonts w:cstheme="minorHAnsi"/>
                <w:b/>
                <w:bCs/>
                <w:color w:val="000000"/>
              </w:rPr>
              <w:t>6,777</w:t>
            </w:r>
          </w:p>
        </w:tc>
      </w:tr>
      <w:tr w:rsidR="00814C19" w:rsidRPr="00FA4ED8" w14:paraId="4F467217" w14:textId="77777777" w:rsidTr="00666CDE">
        <w:trPr>
          <w:cantSplit/>
          <w:trHeight w:val="144"/>
          <w:jc w:val="center"/>
        </w:trPr>
        <w:tc>
          <w:tcPr>
            <w:tcW w:w="5215" w:type="dxa"/>
            <w:tcBorders>
              <w:top w:val="single" w:sz="4" w:space="0" w:color="auto"/>
              <w:left w:val="single" w:sz="4" w:space="0" w:color="auto"/>
              <w:bottom w:val="nil"/>
              <w:right w:val="single" w:sz="4" w:space="0" w:color="auto"/>
            </w:tcBorders>
          </w:tcPr>
          <w:p w14:paraId="02E30F61" w14:textId="77777777" w:rsidR="00814C19" w:rsidRPr="00553838" w:rsidRDefault="00814C19" w:rsidP="00666CDE">
            <w:pPr>
              <w:contextualSpacing/>
              <w:rPr>
                <w:rFonts w:eastAsia="Calibri" w:cstheme="minorHAnsi"/>
                <w:bCs/>
              </w:rPr>
            </w:pPr>
            <w:r w:rsidRPr="00553838">
              <w:rPr>
                <w:rFonts w:eastAsia="Calibri" w:cstheme="minorHAnsi"/>
                <w:b/>
              </w:rPr>
              <w:t>Gender</w:t>
            </w:r>
          </w:p>
        </w:tc>
        <w:tc>
          <w:tcPr>
            <w:tcW w:w="1980" w:type="dxa"/>
            <w:tcBorders>
              <w:top w:val="single" w:sz="4" w:space="0" w:color="auto"/>
              <w:left w:val="single" w:sz="4" w:space="0" w:color="auto"/>
              <w:bottom w:val="nil"/>
              <w:right w:val="single" w:sz="4" w:space="0" w:color="auto"/>
            </w:tcBorders>
          </w:tcPr>
          <w:p w14:paraId="5BD1A9DE" w14:textId="77777777" w:rsidR="00814C19" w:rsidRPr="00553838" w:rsidRDefault="00814C19" w:rsidP="00666CDE">
            <w:pPr>
              <w:contextualSpacing/>
              <w:rPr>
                <w:rFonts w:eastAsia="Calibri" w:cstheme="minorHAnsi"/>
                <w:bCs/>
              </w:rPr>
            </w:pPr>
          </w:p>
        </w:tc>
      </w:tr>
      <w:tr w:rsidR="00814C19" w:rsidRPr="00FA4ED8" w14:paraId="12B49B5B" w14:textId="77777777" w:rsidTr="00666CDE">
        <w:trPr>
          <w:cantSplit/>
          <w:trHeight w:val="144"/>
          <w:jc w:val="center"/>
        </w:trPr>
        <w:tc>
          <w:tcPr>
            <w:tcW w:w="5215" w:type="dxa"/>
            <w:tcBorders>
              <w:top w:val="nil"/>
              <w:left w:val="single" w:sz="4" w:space="0" w:color="auto"/>
              <w:bottom w:val="nil"/>
              <w:right w:val="single" w:sz="4" w:space="0" w:color="auto"/>
            </w:tcBorders>
          </w:tcPr>
          <w:p w14:paraId="5C93AAA7" w14:textId="77777777" w:rsidR="00814C19" w:rsidRPr="00B16E3F" w:rsidRDefault="00814C19" w:rsidP="00666CDE">
            <w:pPr>
              <w:contextualSpacing/>
              <w:rPr>
                <w:rFonts w:eastAsia="Calibri" w:cstheme="minorHAnsi"/>
                <w:b/>
              </w:rPr>
            </w:pPr>
            <w:r w:rsidRPr="00B16E3F">
              <w:rPr>
                <w:rFonts w:eastAsia="Calibri" w:cstheme="minorHAnsi"/>
                <w:bCs/>
              </w:rPr>
              <w:t xml:space="preserve">   Female</w:t>
            </w:r>
          </w:p>
        </w:tc>
        <w:tc>
          <w:tcPr>
            <w:tcW w:w="1980" w:type="dxa"/>
            <w:tcBorders>
              <w:top w:val="nil"/>
              <w:left w:val="single" w:sz="4" w:space="0" w:color="auto"/>
              <w:bottom w:val="nil"/>
              <w:right w:val="single" w:sz="4" w:space="0" w:color="auto"/>
            </w:tcBorders>
          </w:tcPr>
          <w:p w14:paraId="2806C1C1" w14:textId="5D12F292" w:rsidR="00814C19" w:rsidRPr="00553838" w:rsidRDefault="00814C19" w:rsidP="00666CDE">
            <w:pPr>
              <w:ind w:left="720" w:hanging="557"/>
              <w:contextualSpacing/>
              <w:jc w:val="right"/>
              <w:rPr>
                <w:rFonts w:eastAsia="Calibri" w:cstheme="minorHAnsi"/>
                <w:bCs/>
              </w:rPr>
            </w:pPr>
            <w:r>
              <w:rPr>
                <w:rFonts w:cstheme="minorHAnsi"/>
              </w:rPr>
              <w:t>48.4</w:t>
            </w:r>
            <w:r w:rsidRPr="00553838">
              <w:rPr>
                <w:rFonts w:cstheme="minorHAnsi"/>
              </w:rPr>
              <w:t>%</w:t>
            </w:r>
          </w:p>
        </w:tc>
      </w:tr>
      <w:tr w:rsidR="00814C19" w:rsidRPr="00FA4ED8" w14:paraId="7AD98759" w14:textId="77777777" w:rsidTr="00666CDE">
        <w:trPr>
          <w:cantSplit/>
          <w:trHeight w:val="144"/>
          <w:jc w:val="center"/>
        </w:trPr>
        <w:tc>
          <w:tcPr>
            <w:tcW w:w="5215" w:type="dxa"/>
            <w:tcBorders>
              <w:top w:val="nil"/>
              <w:left w:val="single" w:sz="4" w:space="0" w:color="auto"/>
              <w:bottom w:val="nil"/>
              <w:right w:val="single" w:sz="4" w:space="0" w:color="auto"/>
            </w:tcBorders>
          </w:tcPr>
          <w:p w14:paraId="35B89CB2" w14:textId="77777777" w:rsidR="00814C19" w:rsidRPr="00B16E3F" w:rsidRDefault="00814C19" w:rsidP="00666CDE">
            <w:pPr>
              <w:ind w:left="720" w:hanging="557"/>
              <w:contextualSpacing/>
              <w:rPr>
                <w:rFonts w:eastAsia="Calibri" w:cstheme="minorHAnsi"/>
                <w:bCs/>
              </w:rPr>
            </w:pPr>
            <w:r w:rsidRPr="00B16E3F">
              <w:rPr>
                <w:rFonts w:eastAsia="Calibri" w:cstheme="minorHAnsi"/>
                <w:bCs/>
              </w:rPr>
              <w:lastRenderedPageBreak/>
              <w:t>Male</w:t>
            </w:r>
          </w:p>
        </w:tc>
        <w:tc>
          <w:tcPr>
            <w:tcW w:w="1980" w:type="dxa"/>
            <w:tcBorders>
              <w:top w:val="nil"/>
              <w:left w:val="single" w:sz="4" w:space="0" w:color="auto"/>
              <w:bottom w:val="nil"/>
              <w:right w:val="single" w:sz="4" w:space="0" w:color="auto"/>
            </w:tcBorders>
          </w:tcPr>
          <w:p w14:paraId="066019B5" w14:textId="3D81D6F2" w:rsidR="00814C19" w:rsidRPr="00553838" w:rsidRDefault="00814C19" w:rsidP="00666CDE">
            <w:pPr>
              <w:ind w:left="720" w:hanging="557"/>
              <w:contextualSpacing/>
              <w:jc w:val="right"/>
              <w:rPr>
                <w:rFonts w:eastAsia="Calibri" w:cstheme="minorHAnsi"/>
                <w:bCs/>
              </w:rPr>
            </w:pPr>
            <w:r>
              <w:rPr>
                <w:rFonts w:cstheme="minorHAnsi"/>
              </w:rPr>
              <w:t>51.5</w:t>
            </w:r>
            <w:r w:rsidRPr="00553838">
              <w:rPr>
                <w:rFonts w:cstheme="minorHAnsi"/>
              </w:rPr>
              <w:t>%</w:t>
            </w:r>
          </w:p>
        </w:tc>
      </w:tr>
      <w:tr w:rsidR="00814C19" w:rsidRPr="00FA4ED8" w14:paraId="47B7BD9C" w14:textId="77777777" w:rsidTr="002105FA">
        <w:trPr>
          <w:cantSplit/>
          <w:trHeight w:val="144"/>
          <w:jc w:val="center"/>
        </w:trPr>
        <w:tc>
          <w:tcPr>
            <w:tcW w:w="5215" w:type="dxa"/>
            <w:tcBorders>
              <w:top w:val="nil"/>
              <w:left w:val="single" w:sz="4" w:space="0" w:color="auto"/>
              <w:bottom w:val="single" w:sz="4" w:space="0" w:color="auto"/>
              <w:right w:val="single" w:sz="4" w:space="0" w:color="auto"/>
            </w:tcBorders>
          </w:tcPr>
          <w:p w14:paraId="062A4D02" w14:textId="01F4E1C1" w:rsidR="00814C19" w:rsidRPr="00553838" w:rsidRDefault="00814C19" w:rsidP="00666CDE">
            <w:pPr>
              <w:contextualSpacing/>
              <w:rPr>
                <w:rFonts w:eastAsia="Calibri" w:cstheme="minorHAnsi"/>
                <w:bCs/>
              </w:rPr>
            </w:pPr>
            <w:r w:rsidRPr="00553838">
              <w:rPr>
                <w:rFonts w:eastAsia="Calibri" w:cstheme="minorHAnsi"/>
                <w:b/>
              </w:rPr>
              <w:t xml:space="preserve">   Total</w:t>
            </w:r>
          </w:p>
        </w:tc>
        <w:tc>
          <w:tcPr>
            <w:tcW w:w="1980" w:type="dxa"/>
            <w:tcBorders>
              <w:top w:val="nil"/>
              <w:left w:val="single" w:sz="4" w:space="0" w:color="auto"/>
              <w:bottom w:val="single" w:sz="4" w:space="0" w:color="auto"/>
              <w:right w:val="single" w:sz="4" w:space="0" w:color="auto"/>
            </w:tcBorders>
          </w:tcPr>
          <w:p w14:paraId="1FD8F9F4" w14:textId="6DEFE4A0" w:rsidR="00814C19" w:rsidRPr="00553838" w:rsidRDefault="00814C19" w:rsidP="00666CDE">
            <w:pPr>
              <w:ind w:left="720" w:hanging="557"/>
              <w:contextualSpacing/>
              <w:jc w:val="right"/>
              <w:rPr>
                <w:rFonts w:eastAsia="Calibri" w:cstheme="minorHAnsi"/>
                <w:b/>
              </w:rPr>
            </w:pPr>
            <w:r w:rsidRPr="00553838">
              <w:rPr>
                <w:rFonts w:eastAsia="Calibri" w:cstheme="minorHAnsi"/>
                <w:b/>
              </w:rPr>
              <w:t>100.0%</w:t>
            </w:r>
          </w:p>
        </w:tc>
      </w:tr>
      <w:tr w:rsidR="00814C19" w:rsidRPr="00FA4ED8" w14:paraId="4953FFBD" w14:textId="77777777" w:rsidTr="002105FA">
        <w:trPr>
          <w:cantSplit/>
          <w:trHeight w:val="144"/>
          <w:jc w:val="center"/>
        </w:trPr>
        <w:tc>
          <w:tcPr>
            <w:tcW w:w="5215" w:type="dxa"/>
            <w:tcBorders>
              <w:top w:val="single" w:sz="4" w:space="0" w:color="auto"/>
              <w:left w:val="single" w:sz="4" w:space="0" w:color="auto"/>
              <w:bottom w:val="nil"/>
              <w:right w:val="single" w:sz="4" w:space="0" w:color="auto"/>
            </w:tcBorders>
          </w:tcPr>
          <w:p w14:paraId="6EF1DBA4" w14:textId="7BCE2DE6" w:rsidR="00814C19" w:rsidRPr="00553838" w:rsidRDefault="00814C19" w:rsidP="00666CDE">
            <w:pPr>
              <w:ind w:left="520" w:hanging="557"/>
              <w:contextualSpacing/>
              <w:rPr>
                <w:rFonts w:eastAsia="Calibri" w:cstheme="minorHAnsi"/>
                <w:b/>
              </w:rPr>
            </w:pPr>
            <w:r w:rsidRPr="00A666FB">
              <w:rPr>
                <w:rFonts w:eastAsia="Calibri" w:cstheme="minorHAnsi"/>
                <w:b/>
              </w:rPr>
              <w:t>Age</w:t>
            </w:r>
          </w:p>
        </w:tc>
        <w:tc>
          <w:tcPr>
            <w:tcW w:w="1980" w:type="dxa"/>
            <w:tcBorders>
              <w:top w:val="single" w:sz="4" w:space="0" w:color="auto"/>
              <w:left w:val="single" w:sz="4" w:space="0" w:color="auto"/>
              <w:bottom w:val="nil"/>
              <w:right w:val="single" w:sz="4" w:space="0" w:color="auto"/>
            </w:tcBorders>
          </w:tcPr>
          <w:p w14:paraId="4F8417D7" w14:textId="2FC3C764" w:rsidR="00814C19" w:rsidRPr="00553838" w:rsidRDefault="00814C19" w:rsidP="00666CDE">
            <w:pPr>
              <w:ind w:left="520" w:hanging="557"/>
              <w:contextualSpacing/>
              <w:jc w:val="right"/>
              <w:rPr>
                <w:rFonts w:eastAsia="Calibri" w:cstheme="minorHAnsi"/>
                <w:b/>
              </w:rPr>
            </w:pPr>
          </w:p>
        </w:tc>
      </w:tr>
      <w:tr w:rsidR="00814C19" w:rsidRPr="00FA4ED8" w14:paraId="54759A35" w14:textId="77777777" w:rsidTr="002105FA">
        <w:trPr>
          <w:cantSplit/>
          <w:trHeight w:val="144"/>
          <w:jc w:val="center"/>
        </w:trPr>
        <w:tc>
          <w:tcPr>
            <w:tcW w:w="5215" w:type="dxa"/>
            <w:tcBorders>
              <w:top w:val="nil"/>
              <w:left w:val="single" w:sz="4" w:space="0" w:color="auto"/>
              <w:bottom w:val="nil"/>
              <w:right w:val="single" w:sz="4" w:space="0" w:color="auto"/>
            </w:tcBorders>
          </w:tcPr>
          <w:p w14:paraId="3686D5CB" w14:textId="284789D4" w:rsidR="00814C19" w:rsidRPr="00B16E3F" w:rsidRDefault="00814C19" w:rsidP="00DB592C">
            <w:pPr>
              <w:contextualSpacing/>
              <w:rPr>
                <w:rFonts w:eastAsia="Calibri" w:cstheme="minorHAnsi"/>
                <w:bCs/>
              </w:rPr>
            </w:pPr>
            <w:r w:rsidRPr="00B16E3F">
              <w:rPr>
                <w:rFonts w:eastAsia="Calibri" w:cstheme="minorHAnsi"/>
                <w:bCs/>
              </w:rPr>
              <w:t xml:space="preserve">    </w:t>
            </w:r>
            <w:r w:rsidRPr="00B16E3F">
              <w:rPr>
                <w:rFonts w:cstheme="minorHAnsi"/>
              </w:rPr>
              <w:t>&lt; 18 to 34</w:t>
            </w:r>
            <w:r w:rsidRPr="00B16E3F">
              <w:rPr>
                <w:rStyle w:val="FootnoteReference"/>
                <w:rFonts w:cstheme="minorHAnsi"/>
              </w:rPr>
              <w:footnoteReference w:id="4"/>
            </w:r>
          </w:p>
        </w:tc>
        <w:tc>
          <w:tcPr>
            <w:tcW w:w="1980" w:type="dxa"/>
            <w:tcBorders>
              <w:top w:val="nil"/>
              <w:left w:val="single" w:sz="4" w:space="0" w:color="auto"/>
              <w:bottom w:val="nil"/>
              <w:right w:val="single" w:sz="4" w:space="0" w:color="auto"/>
            </w:tcBorders>
            <w:vAlign w:val="bottom"/>
          </w:tcPr>
          <w:p w14:paraId="6DC4A84E" w14:textId="1AC9A0AD" w:rsidR="00814C19" w:rsidRPr="00DB592C" w:rsidRDefault="00814C19" w:rsidP="00DB592C">
            <w:pPr>
              <w:ind w:left="720" w:hanging="557"/>
              <w:contextualSpacing/>
              <w:jc w:val="right"/>
              <w:rPr>
                <w:rFonts w:cstheme="minorHAnsi"/>
              </w:rPr>
            </w:pPr>
            <w:r w:rsidRPr="00DB592C">
              <w:rPr>
                <w:rFonts w:cstheme="minorHAnsi"/>
                <w:color w:val="000000"/>
              </w:rPr>
              <w:t>2.6%</w:t>
            </w:r>
          </w:p>
        </w:tc>
      </w:tr>
      <w:tr w:rsidR="00814C19" w:rsidRPr="00FA4ED8" w14:paraId="54CD47D1" w14:textId="77777777" w:rsidTr="005F602C">
        <w:trPr>
          <w:cantSplit/>
          <w:trHeight w:val="144"/>
          <w:jc w:val="center"/>
        </w:trPr>
        <w:tc>
          <w:tcPr>
            <w:tcW w:w="5215" w:type="dxa"/>
            <w:tcBorders>
              <w:top w:val="nil"/>
              <w:left w:val="single" w:sz="4" w:space="0" w:color="auto"/>
              <w:bottom w:val="nil"/>
              <w:right w:val="single" w:sz="4" w:space="0" w:color="auto"/>
            </w:tcBorders>
          </w:tcPr>
          <w:p w14:paraId="3EA9C111" w14:textId="37FBBCC4" w:rsidR="00814C19" w:rsidRPr="00B16E3F" w:rsidRDefault="00814C19" w:rsidP="00DB592C">
            <w:pPr>
              <w:contextualSpacing/>
              <w:rPr>
                <w:rFonts w:eastAsia="Calibri" w:cstheme="minorHAnsi"/>
                <w:b/>
              </w:rPr>
            </w:pPr>
            <w:r w:rsidRPr="00B16E3F">
              <w:rPr>
                <w:rFonts w:cstheme="minorHAnsi"/>
              </w:rPr>
              <w:t xml:space="preserve">   35 to 49</w:t>
            </w:r>
          </w:p>
        </w:tc>
        <w:tc>
          <w:tcPr>
            <w:tcW w:w="1980" w:type="dxa"/>
            <w:tcBorders>
              <w:top w:val="nil"/>
              <w:left w:val="single" w:sz="4" w:space="0" w:color="auto"/>
              <w:bottom w:val="nil"/>
              <w:right w:val="single" w:sz="4" w:space="0" w:color="auto"/>
            </w:tcBorders>
            <w:vAlign w:val="bottom"/>
          </w:tcPr>
          <w:p w14:paraId="11606C8A" w14:textId="785875EC" w:rsidR="00814C19" w:rsidRPr="00DB592C" w:rsidRDefault="00814C19" w:rsidP="00DB592C">
            <w:pPr>
              <w:ind w:left="720" w:hanging="557"/>
              <w:contextualSpacing/>
              <w:jc w:val="right"/>
              <w:rPr>
                <w:rFonts w:cstheme="minorHAnsi"/>
              </w:rPr>
            </w:pPr>
            <w:r w:rsidRPr="00DB592C">
              <w:rPr>
                <w:rFonts w:cstheme="minorHAnsi"/>
                <w:color w:val="000000"/>
              </w:rPr>
              <w:t>5.3%</w:t>
            </w:r>
          </w:p>
        </w:tc>
      </w:tr>
      <w:tr w:rsidR="00814C19" w:rsidRPr="00FA4ED8" w14:paraId="4D75E54C" w14:textId="77777777" w:rsidTr="005F602C">
        <w:trPr>
          <w:cantSplit/>
          <w:trHeight w:val="144"/>
          <w:jc w:val="center"/>
        </w:trPr>
        <w:tc>
          <w:tcPr>
            <w:tcW w:w="5215" w:type="dxa"/>
            <w:tcBorders>
              <w:top w:val="nil"/>
              <w:left w:val="single" w:sz="4" w:space="0" w:color="auto"/>
              <w:bottom w:val="nil"/>
              <w:right w:val="single" w:sz="4" w:space="0" w:color="auto"/>
            </w:tcBorders>
          </w:tcPr>
          <w:p w14:paraId="6248EDD9" w14:textId="0CEA9CB6" w:rsidR="00814C19" w:rsidRPr="00B16E3F" w:rsidRDefault="00814C19" w:rsidP="00DB592C">
            <w:pPr>
              <w:ind w:left="720" w:hanging="557"/>
              <w:contextualSpacing/>
              <w:rPr>
                <w:rFonts w:eastAsia="Calibri" w:cstheme="minorHAnsi"/>
                <w:bCs/>
              </w:rPr>
            </w:pPr>
            <w:r w:rsidRPr="00B16E3F">
              <w:rPr>
                <w:rFonts w:cstheme="minorHAnsi"/>
              </w:rPr>
              <w:t>50 to 64</w:t>
            </w:r>
          </w:p>
        </w:tc>
        <w:tc>
          <w:tcPr>
            <w:tcW w:w="1980" w:type="dxa"/>
            <w:tcBorders>
              <w:top w:val="nil"/>
              <w:left w:val="single" w:sz="4" w:space="0" w:color="auto"/>
              <w:bottom w:val="nil"/>
              <w:right w:val="single" w:sz="4" w:space="0" w:color="auto"/>
            </w:tcBorders>
            <w:vAlign w:val="bottom"/>
          </w:tcPr>
          <w:p w14:paraId="22D97E44" w14:textId="4100A7F3" w:rsidR="00814C19" w:rsidRPr="00DB592C" w:rsidRDefault="00814C19" w:rsidP="00DB592C">
            <w:pPr>
              <w:ind w:left="720" w:hanging="557"/>
              <w:contextualSpacing/>
              <w:jc w:val="right"/>
              <w:rPr>
                <w:rFonts w:cstheme="minorHAnsi"/>
              </w:rPr>
            </w:pPr>
            <w:r w:rsidRPr="00DB592C">
              <w:rPr>
                <w:rFonts w:cstheme="minorHAnsi"/>
                <w:color w:val="000000"/>
              </w:rPr>
              <w:t>21.4%</w:t>
            </w:r>
          </w:p>
        </w:tc>
      </w:tr>
      <w:tr w:rsidR="00814C19" w:rsidRPr="00FA4ED8" w14:paraId="12C93847" w14:textId="77777777" w:rsidTr="005F602C">
        <w:trPr>
          <w:cantSplit/>
          <w:trHeight w:val="144"/>
          <w:jc w:val="center"/>
        </w:trPr>
        <w:tc>
          <w:tcPr>
            <w:tcW w:w="5215" w:type="dxa"/>
            <w:tcBorders>
              <w:top w:val="nil"/>
              <w:left w:val="single" w:sz="4" w:space="0" w:color="auto"/>
              <w:bottom w:val="nil"/>
              <w:right w:val="single" w:sz="4" w:space="0" w:color="auto"/>
            </w:tcBorders>
          </w:tcPr>
          <w:p w14:paraId="7184B1A0" w14:textId="4EFFC62B" w:rsidR="00814C19" w:rsidRPr="00B16E3F" w:rsidRDefault="00814C19" w:rsidP="00DB592C">
            <w:pPr>
              <w:ind w:left="720" w:hanging="557"/>
              <w:contextualSpacing/>
              <w:rPr>
                <w:rFonts w:eastAsia="Calibri" w:cstheme="minorHAnsi"/>
                <w:bCs/>
              </w:rPr>
            </w:pPr>
            <w:r w:rsidRPr="00B16E3F">
              <w:rPr>
                <w:rFonts w:cstheme="minorHAnsi"/>
              </w:rPr>
              <w:t>65 to 74</w:t>
            </w:r>
          </w:p>
        </w:tc>
        <w:tc>
          <w:tcPr>
            <w:tcW w:w="1980" w:type="dxa"/>
            <w:tcBorders>
              <w:top w:val="nil"/>
              <w:left w:val="single" w:sz="4" w:space="0" w:color="auto"/>
              <w:bottom w:val="nil"/>
              <w:right w:val="single" w:sz="4" w:space="0" w:color="auto"/>
            </w:tcBorders>
            <w:vAlign w:val="bottom"/>
          </w:tcPr>
          <w:p w14:paraId="0A9F3952" w14:textId="6BFF4AFF" w:rsidR="00814C19" w:rsidRPr="00DB592C" w:rsidRDefault="00814C19" w:rsidP="00DB592C">
            <w:pPr>
              <w:ind w:left="720" w:hanging="557"/>
              <w:contextualSpacing/>
              <w:jc w:val="right"/>
              <w:rPr>
                <w:rFonts w:cstheme="minorHAnsi"/>
              </w:rPr>
            </w:pPr>
            <w:r w:rsidRPr="00DB592C">
              <w:rPr>
                <w:rFonts w:cstheme="minorHAnsi"/>
                <w:color w:val="000000"/>
              </w:rPr>
              <w:t>26.1%</w:t>
            </w:r>
          </w:p>
        </w:tc>
      </w:tr>
      <w:tr w:rsidR="00814C19" w:rsidRPr="00FA4ED8" w14:paraId="742F494D" w14:textId="77777777" w:rsidTr="005F602C">
        <w:trPr>
          <w:cantSplit/>
          <w:trHeight w:val="144"/>
          <w:jc w:val="center"/>
        </w:trPr>
        <w:tc>
          <w:tcPr>
            <w:tcW w:w="5215" w:type="dxa"/>
            <w:tcBorders>
              <w:top w:val="nil"/>
              <w:left w:val="single" w:sz="4" w:space="0" w:color="auto"/>
              <w:bottom w:val="nil"/>
              <w:right w:val="single" w:sz="4" w:space="0" w:color="auto"/>
            </w:tcBorders>
          </w:tcPr>
          <w:p w14:paraId="5565C210" w14:textId="79D24D56" w:rsidR="00814C19" w:rsidRPr="00B16E3F" w:rsidRDefault="00814C19" w:rsidP="00DB592C">
            <w:pPr>
              <w:ind w:left="720" w:hanging="557"/>
              <w:contextualSpacing/>
              <w:rPr>
                <w:rFonts w:eastAsia="Calibri" w:cstheme="minorHAnsi"/>
                <w:bCs/>
              </w:rPr>
            </w:pPr>
            <w:r w:rsidRPr="00B16E3F">
              <w:rPr>
                <w:rFonts w:cstheme="minorHAnsi"/>
              </w:rPr>
              <w:t>75 to 84</w:t>
            </w:r>
          </w:p>
        </w:tc>
        <w:tc>
          <w:tcPr>
            <w:tcW w:w="1980" w:type="dxa"/>
            <w:tcBorders>
              <w:top w:val="nil"/>
              <w:left w:val="single" w:sz="4" w:space="0" w:color="auto"/>
              <w:bottom w:val="nil"/>
              <w:right w:val="single" w:sz="4" w:space="0" w:color="auto"/>
            </w:tcBorders>
            <w:vAlign w:val="bottom"/>
          </w:tcPr>
          <w:p w14:paraId="3BD2D00E" w14:textId="0F71DDCA" w:rsidR="00814C19" w:rsidRPr="00DB592C" w:rsidRDefault="00814C19" w:rsidP="00DB592C">
            <w:pPr>
              <w:ind w:left="720" w:hanging="557"/>
              <w:contextualSpacing/>
              <w:jc w:val="right"/>
              <w:rPr>
                <w:rFonts w:cstheme="minorHAnsi"/>
              </w:rPr>
            </w:pPr>
            <w:r w:rsidRPr="00DB592C">
              <w:rPr>
                <w:rFonts w:cstheme="minorHAnsi"/>
                <w:color w:val="000000"/>
              </w:rPr>
              <w:t>29.1%</w:t>
            </w:r>
          </w:p>
        </w:tc>
      </w:tr>
      <w:tr w:rsidR="00814C19" w:rsidRPr="00FA4ED8" w14:paraId="09F583AC" w14:textId="77777777" w:rsidTr="005F602C">
        <w:trPr>
          <w:cantSplit/>
          <w:trHeight w:val="144"/>
          <w:jc w:val="center"/>
        </w:trPr>
        <w:tc>
          <w:tcPr>
            <w:tcW w:w="5215" w:type="dxa"/>
            <w:tcBorders>
              <w:top w:val="nil"/>
              <w:left w:val="single" w:sz="4" w:space="0" w:color="auto"/>
              <w:bottom w:val="nil"/>
              <w:right w:val="single" w:sz="4" w:space="0" w:color="auto"/>
            </w:tcBorders>
          </w:tcPr>
          <w:p w14:paraId="68389B37" w14:textId="6EBCD30D" w:rsidR="00814C19" w:rsidRPr="00B16E3F" w:rsidRDefault="00814C19" w:rsidP="00DB592C">
            <w:pPr>
              <w:ind w:left="720" w:hanging="557"/>
              <w:contextualSpacing/>
              <w:rPr>
                <w:rFonts w:eastAsia="Calibri" w:cstheme="minorHAnsi"/>
                <w:bCs/>
              </w:rPr>
            </w:pPr>
            <w:r w:rsidRPr="00B16E3F">
              <w:rPr>
                <w:rFonts w:cstheme="minorHAnsi"/>
              </w:rPr>
              <w:t>85 and Older</w:t>
            </w:r>
          </w:p>
        </w:tc>
        <w:tc>
          <w:tcPr>
            <w:tcW w:w="1980" w:type="dxa"/>
            <w:tcBorders>
              <w:top w:val="nil"/>
              <w:left w:val="single" w:sz="4" w:space="0" w:color="auto"/>
              <w:bottom w:val="nil"/>
              <w:right w:val="single" w:sz="4" w:space="0" w:color="auto"/>
            </w:tcBorders>
            <w:vAlign w:val="bottom"/>
          </w:tcPr>
          <w:p w14:paraId="5EA78D42" w14:textId="704E6DE4" w:rsidR="00814C19" w:rsidRPr="00DB592C" w:rsidRDefault="00814C19" w:rsidP="00DB592C">
            <w:pPr>
              <w:ind w:left="720" w:hanging="557"/>
              <w:contextualSpacing/>
              <w:jc w:val="right"/>
              <w:rPr>
                <w:rFonts w:cstheme="minorHAnsi"/>
              </w:rPr>
            </w:pPr>
            <w:r w:rsidRPr="00DB592C">
              <w:rPr>
                <w:rFonts w:cstheme="minorHAnsi"/>
                <w:color w:val="000000"/>
              </w:rPr>
              <w:t>15.4%</w:t>
            </w:r>
          </w:p>
        </w:tc>
      </w:tr>
      <w:tr w:rsidR="00814C19" w:rsidRPr="00FA4ED8" w14:paraId="4FC985A2" w14:textId="77777777" w:rsidTr="002105FA">
        <w:trPr>
          <w:cantSplit/>
          <w:trHeight w:val="144"/>
          <w:jc w:val="center"/>
        </w:trPr>
        <w:tc>
          <w:tcPr>
            <w:tcW w:w="5215" w:type="dxa"/>
            <w:tcBorders>
              <w:top w:val="nil"/>
              <w:left w:val="single" w:sz="4" w:space="0" w:color="auto"/>
              <w:bottom w:val="single" w:sz="4" w:space="0" w:color="auto"/>
              <w:right w:val="single" w:sz="4" w:space="0" w:color="auto"/>
            </w:tcBorders>
          </w:tcPr>
          <w:p w14:paraId="3EEA83CE" w14:textId="7ADD1383" w:rsidR="00814C19" w:rsidRPr="00F46039" w:rsidRDefault="00814C19" w:rsidP="00876DDE">
            <w:pPr>
              <w:ind w:left="720" w:hanging="557"/>
              <w:contextualSpacing/>
              <w:rPr>
                <w:rFonts w:eastAsia="Calibri" w:cstheme="minorHAnsi"/>
                <w:bCs/>
              </w:rPr>
            </w:pPr>
            <w:r w:rsidRPr="00A666FB">
              <w:rPr>
                <w:rFonts w:eastAsia="Calibri" w:cstheme="minorHAnsi"/>
                <w:b/>
              </w:rPr>
              <w:t xml:space="preserve">   Total</w:t>
            </w:r>
          </w:p>
        </w:tc>
        <w:tc>
          <w:tcPr>
            <w:tcW w:w="1980" w:type="dxa"/>
            <w:tcBorders>
              <w:top w:val="nil"/>
              <w:left w:val="single" w:sz="4" w:space="0" w:color="auto"/>
              <w:bottom w:val="single" w:sz="4" w:space="0" w:color="auto"/>
              <w:right w:val="single" w:sz="4" w:space="0" w:color="auto"/>
            </w:tcBorders>
          </w:tcPr>
          <w:p w14:paraId="45CF3E97" w14:textId="7A2A82AD" w:rsidR="00814C19" w:rsidRPr="00876DDE" w:rsidRDefault="00814C19" w:rsidP="00876DDE">
            <w:pPr>
              <w:ind w:left="720" w:hanging="557"/>
              <w:contextualSpacing/>
              <w:jc w:val="right"/>
              <w:rPr>
                <w:rFonts w:cstheme="minorHAnsi"/>
              </w:rPr>
            </w:pPr>
            <w:r w:rsidRPr="00720076">
              <w:rPr>
                <w:rFonts w:eastAsia="Calibri" w:cstheme="minorHAnsi"/>
                <w:b/>
              </w:rPr>
              <w:t>100.0%</w:t>
            </w:r>
          </w:p>
        </w:tc>
      </w:tr>
      <w:tr w:rsidR="00814C19" w:rsidRPr="00FA4ED8" w14:paraId="1034486E" w14:textId="77777777" w:rsidTr="002105FA">
        <w:trPr>
          <w:cantSplit/>
          <w:trHeight w:val="144"/>
          <w:jc w:val="center"/>
        </w:trPr>
        <w:tc>
          <w:tcPr>
            <w:tcW w:w="5215" w:type="dxa"/>
            <w:tcBorders>
              <w:top w:val="single" w:sz="4" w:space="0" w:color="auto"/>
              <w:left w:val="single" w:sz="4" w:space="0" w:color="auto"/>
              <w:bottom w:val="nil"/>
              <w:right w:val="single" w:sz="4" w:space="0" w:color="auto"/>
            </w:tcBorders>
          </w:tcPr>
          <w:p w14:paraId="011883C1" w14:textId="59715C2D" w:rsidR="00814C19" w:rsidRPr="00A666FB" w:rsidRDefault="00814C19" w:rsidP="00666CDE">
            <w:pPr>
              <w:ind w:left="520" w:hanging="557"/>
              <w:contextualSpacing/>
              <w:rPr>
                <w:rFonts w:eastAsia="Calibri" w:cstheme="minorHAnsi"/>
                <w:b/>
              </w:rPr>
            </w:pPr>
            <w:r>
              <w:rPr>
                <w:rFonts w:eastAsia="Calibri" w:cstheme="minorHAnsi"/>
                <w:b/>
              </w:rPr>
              <w:t>Race</w:t>
            </w:r>
            <w:r w:rsidR="000B716A">
              <w:rPr>
                <w:rFonts w:eastAsia="Calibri" w:cstheme="minorHAnsi"/>
                <w:b/>
              </w:rPr>
              <w:t>/ Ethnicity</w:t>
            </w:r>
          </w:p>
        </w:tc>
        <w:tc>
          <w:tcPr>
            <w:tcW w:w="1980" w:type="dxa"/>
            <w:tcBorders>
              <w:top w:val="single" w:sz="4" w:space="0" w:color="auto"/>
              <w:left w:val="single" w:sz="4" w:space="0" w:color="auto"/>
              <w:bottom w:val="nil"/>
              <w:right w:val="single" w:sz="4" w:space="0" w:color="auto"/>
            </w:tcBorders>
          </w:tcPr>
          <w:p w14:paraId="248325CF" w14:textId="3A5B010D" w:rsidR="00814C19" w:rsidRPr="00FA4ED8" w:rsidRDefault="00814C19" w:rsidP="00666CDE">
            <w:pPr>
              <w:ind w:left="720" w:hanging="557"/>
              <w:contextualSpacing/>
              <w:jc w:val="right"/>
              <w:rPr>
                <w:rFonts w:eastAsia="Calibri" w:cstheme="minorHAnsi"/>
                <w:b/>
                <w:highlight w:val="yellow"/>
              </w:rPr>
            </w:pPr>
          </w:p>
        </w:tc>
      </w:tr>
      <w:tr w:rsidR="00814C19" w:rsidRPr="00FA4ED8" w14:paraId="126035A3" w14:textId="77777777" w:rsidTr="00904729">
        <w:trPr>
          <w:cantSplit/>
          <w:trHeight w:val="144"/>
          <w:jc w:val="center"/>
        </w:trPr>
        <w:tc>
          <w:tcPr>
            <w:tcW w:w="5215" w:type="dxa"/>
            <w:tcBorders>
              <w:top w:val="nil"/>
              <w:left w:val="single" w:sz="4" w:space="0" w:color="auto"/>
              <w:bottom w:val="nil"/>
              <w:right w:val="single" w:sz="4" w:space="0" w:color="auto"/>
            </w:tcBorders>
            <w:vAlign w:val="bottom"/>
          </w:tcPr>
          <w:p w14:paraId="40CB5351" w14:textId="1C294468" w:rsidR="00814C19" w:rsidRPr="0041207B" w:rsidRDefault="000B716A" w:rsidP="00CF3335">
            <w:pPr>
              <w:contextualSpacing/>
              <w:rPr>
                <w:rFonts w:eastAsia="Calibri" w:cstheme="minorHAnsi"/>
                <w:b/>
              </w:rPr>
            </w:pPr>
            <w:r>
              <w:rPr>
                <w:rFonts w:cstheme="minorHAnsi"/>
                <w:color w:val="000000"/>
              </w:rPr>
              <w:t xml:space="preserve">   </w:t>
            </w:r>
            <w:r w:rsidR="00814C19" w:rsidRPr="0041207B">
              <w:rPr>
                <w:rFonts w:cstheme="minorHAnsi"/>
                <w:color w:val="000000"/>
              </w:rPr>
              <w:t>White</w:t>
            </w:r>
          </w:p>
        </w:tc>
        <w:tc>
          <w:tcPr>
            <w:tcW w:w="1980" w:type="dxa"/>
            <w:tcBorders>
              <w:top w:val="nil"/>
              <w:left w:val="single" w:sz="4" w:space="0" w:color="auto"/>
              <w:bottom w:val="nil"/>
              <w:right w:val="single" w:sz="4" w:space="0" w:color="auto"/>
            </w:tcBorders>
            <w:vAlign w:val="bottom"/>
          </w:tcPr>
          <w:p w14:paraId="53481C79" w14:textId="5F4E93B9" w:rsidR="00814C19" w:rsidRPr="00CF3335" w:rsidRDefault="00814C19" w:rsidP="00FC19EF">
            <w:pPr>
              <w:ind w:left="720" w:hanging="557"/>
              <w:contextualSpacing/>
              <w:jc w:val="right"/>
              <w:rPr>
                <w:rFonts w:cstheme="minorHAnsi"/>
                <w:b/>
                <w:bCs/>
                <w:color w:val="000000"/>
                <w:highlight w:val="yellow"/>
              </w:rPr>
            </w:pPr>
            <w:r w:rsidRPr="00CF3335">
              <w:rPr>
                <w:rFonts w:cstheme="minorHAnsi"/>
                <w:color w:val="000000"/>
              </w:rPr>
              <w:t>79.5%</w:t>
            </w:r>
          </w:p>
        </w:tc>
      </w:tr>
      <w:tr w:rsidR="00814C19" w:rsidRPr="00FA4ED8" w14:paraId="723BC2F8" w14:textId="77777777" w:rsidTr="00904729">
        <w:trPr>
          <w:cantSplit/>
          <w:trHeight w:val="144"/>
          <w:jc w:val="center"/>
        </w:trPr>
        <w:tc>
          <w:tcPr>
            <w:tcW w:w="5215" w:type="dxa"/>
            <w:tcBorders>
              <w:top w:val="nil"/>
              <w:left w:val="single" w:sz="4" w:space="0" w:color="auto"/>
              <w:bottom w:val="nil"/>
              <w:right w:val="single" w:sz="4" w:space="0" w:color="auto"/>
            </w:tcBorders>
            <w:vAlign w:val="bottom"/>
          </w:tcPr>
          <w:p w14:paraId="0FF67BD8" w14:textId="76D44AA2" w:rsidR="00814C19" w:rsidRPr="0041207B" w:rsidRDefault="00814C19" w:rsidP="00CF3335">
            <w:pPr>
              <w:ind w:left="720" w:hanging="557"/>
              <w:contextualSpacing/>
              <w:rPr>
                <w:rFonts w:cstheme="minorHAnsi"/>
                <w:spacing w:val="-2"/>
              </w:rPr>
            </w:pPr>
            <w:r w:rsidRPr="0041207B">
              <w:rPr>
                <w:rFonts w:cstheme="minorHAnsi"/>
                <w:color w:val="000000"/>
              </w:rPr>
              <w:t>Other and Unknown</w:t>
            </w:r>
          </w:p>
        </w:tc>
        <w:tc>
          <w:tcPr>
            <w:tcW w:w="1980" w:type="dxa"/>
            <w:tcBorders>
              <w:top w:val="nil"/>
              <w:left w:val="single" w:sz="4" w:space="0" w:color="auto"/>
              <w:bottom w:val="nil"/>
              <w:right w:val="single" w:sz="4" w:space="0" w:color="auto"/>
            </w:tcBorders>
            <w:vAlign w:val="bottom"/>
          </w:tcPr>
          <w:p w14:paraId="7DF9C7D6" w14:textId="0382E847" w:rsidR="00814C19" w:rsidRPr="00CF3335" w:rsidRDefault="00814C19" w:rsidP="00CF3335">
            <w:pPr>
              <w:ind w:left="720" w:hanging="557"/>
              <w:contextualSpacing/>
              <w:jc w:val="right"/>
              <w:rPr>
                <w:rFonts w:cstheme="minorHAnsi"/>
              </w:rPr>
            </w:pPr>
            <w:r w:rsidRPr="00CF3335">
              <w:rPr>
                <w:rFonts w:cstheme="minorHAnsi"/>
                <w:color w:val="000000"/>
              </w:rPr>
              <w:t>8.3%</w:t>
            </w:r>
          </w:p>
        </w:tc>
      </w:tr>
      <w:tr w:rsidR="00814C19" w:rsidRPr="00FA4ED8" w14:paraId="3601D6DE" w14:textId="77777777" w:rsidTr="00904729">
        <w:trPr>
          <w:cantSplit/>
          <w:trHeight w:val="144"/>
          <w:jc w:val="center"/>
        </w:trPr>
        <w:tc>
          <w:tcPr>
            <w:tcW w:w="5215" w:type="dxa"/>
            <w:tcBorders>
              <w:top w:val="nil"/>
              <w:left w:val="single" w:sz="4" w:space="0" w:color="auto"/>
              <w:bottom w:val="nil"/>
              <w:right w:val="single" w:sz="4" w:space="0" w:color="auto"/>
            </w:tcBorders>
            <w:vAlign w:val="bottom"/>
          </w:tcPr>
          <w:p w14:paraId="3E59C57D" w14:textId="37995CED" w:rsidR="00814C19" w:rsidRPr="0041207B" w:rsidRDefault="00814C19" w:rsidP="00CF3335">
            <w:pPr>
              <w:rPr>
                <w:rFonts w:cstheme="minorHAnsi"/>
                <w:color w:val="000000"/>
              </w:rPr>
            </w:pPr>
            <w:r>
              <w:rPr>
                <w:rFonts w:cstheme="minorHAnsi"/>
                <w:color w:val="000000"/>
              </w:rPr>
              <w:t xml:space="preserve">   </w:t>
            </w:r>
            <w:r w:rsidRPr="0041207B">
              <w:rPr>
                <w:rFonts w:cstheme="minorHAnsi"/>
                <w:color w:val="000000"/>
              </w:rPr>
              <w:t xml:space="preserve">Black or African American/ </w:t>
            </w:r>
          </w:p>
          <w:p w14:paraId="79B3A2CB" w14:textId="14FA15FE" w:rsidR="00814C19" w:rsidRPr="0041207B" w:rsidRDefault="00814C19" w:rsidP="00CF3335">
            <w:pPr>
              <w:ind w:left="720" w:hanging="557"/>
              <w:contextualSpacing/>
              <w:rPr>
                <w:rFonts w:cstheme="minorHAnsi"/>
                <w:color w:val="000000"/>
              </w:rPr>
            </w:pPr>
            <w:r w:rsidRPr="0041207B">
              <w:rPr>
                <w:rFonts w:cstheme="minorHAnsi"/>
                <w:color w:val="000000"/>
              </w:rPr>
              <w:t>Black Hispanic</w:t>
            </w:r>
            <w:r w:rsidRPr="0041207B">
              <w:rPr>
                <w:rStyle w:val="FootnoteReference"/>
                <w:rFonts w:cstheme="minorHAnsi"/>
                <w:color w:val="000000"/>
              </w:rPr>
              <w:footnoteReference w:id="5"/>
            </w:r>
          </w:p>
        </w:tc>
        <w:tc>
          <w:tcPr>
            <w:tcW w:w="1980" w:type="dxa"/>
            <w:tcBorders>
              <w:top w:val="nil"/>
              <w:left w:val="single" w:sz="4" w:space="0" w:color="auto"/>
              <w:bottom w:val="nil"/>
              <w:right w:val="single" w:sz="4" w:space="0" w:color="auto"/>
            </w:tcBorders>
            <w:vAlign w:val="bottom"/>
          </w:tcPr>
          <w:p w14:paraId="7B794BF0" w14:textId="65EB4A00" w:rsidR="00814C19" w:rsidRPr="00CF3335" w:rsidRDefault="00814C19" w:rsidP="00CF3335">
            <w:pPr>
              <w:ind w:left="720" w:hanging="557"/>
              <w:contextualSpacing/>
              <w:jc w:val="right"/>
              <w:rPr>
                <w:rFonts w:cstheme="minorHAnsi"/>
              </w:rPr>
            </w:pPr>
            <w:r w:rsidRPr="00CF3335">
              <w:rPr>
                <w:rFonts w:cstheme="minorHAnsi"/>
                <w:color w:val="000000"/>
              </w:rPr>
              <w:t>7.6%</w:t>
            </w:r>
          </w:p>
        </w:tc>
      </w:tr>
      <w:tr w:rsidR="00814C19" w:rsidRPr="00FA4ED8" w14:paraId="0794838E" w14:textId="77777777" w:rsidTr="00904729">
        <w:trPr>
          <w:cantSplit/>
          <w:trHeight w:val="144"/>
          <w:jc w:val="center"/>
        </w:trPr>
        <w:tc>
          <w:tcPr>
            <w:tcW w:w="5215" w:type="dxa"/>
            <w:tcBorders>
              <w:top w:val="nil"/>
              <w:left w:val="single" w:sz="4" w:space="0" w:color="auto"/>
              <w:bottom w:val="nil"/>
              <w:right w:val="single" w:sz="4" w:space="0" w:color="auto"/>
            </w:tcBorders>
            <w:vAlign w:val="bottom"/>
          </w:tcPr>
          <w:p w14:paraId="7F9CCB66" w14:textId="6801FED9" w:rsidR="00814C19" w:rsidRPr="0041207B" w:rsidRDefault="00814C19" w:rsidP="00CF3335">
            <w:pPr>
              <w:ind w:left="720" w:hanging="557"/>
              <w:contextualSpacing/>
              <w:rPr>
                <w:rFonts w:cstheme="minorHAnsi"/>
                <w:color w:val="000000"/>
              </w:rPr>
            </w:pPr>
            <w:r w:rsidRPr="0041207B">
              <w:rPr>
                <w:rFonts w:cstheme="minorHAnsi"/>
                <w:color w:val="000000"/>
              </w:rPr>
              <w:t>Asian</w:t>
            </w:r>
          </w:p>
        </w:tc>
        <w:tc>
          <w:tcPr>
            <w:tcW w:w="1980" w:type="dxa"/>
            <w:tcBorders>
              <w:top w:val="nil"/>
              <w:left w:val="single" w:sz="4" w:space="0" w:color="auto"/>
              <w:bottom w:val="nil"/>
              <w:right w:val="single" w:sz="4" w:space="0" w:color="auto"/>
            </w:tcBorders>
            <w:vAlign w:val="bottom"/>
          </w:tcPr>
          <w:p w14:paraId="3D341692" w14:textId="4924F080" w:rsidR="00814C19" w:rsidRPr="00CF3335" w:rsidRDefault="00814C19" w:rsidP="00CF3335">
            <w:pPr>
              <w:ind w:left="720" w:hanging="557"/>
              <w:contextualSpacing/>
              <w:jc w:val="right"/>
              <w:rPr>
                <w:rFonts w:cstheme="minorHAnsi"/>
              </w:rPr>
            </w:pPr>
            <w:r w:rsidRPr="00CF3335">
              <w:rPr>
                <w:rFonts w:cstheme="minorHAnsi"/>
                <w:color w:val="000000"/>
              </w:rPr>
              <w:t>2.7%</w:t>
            </w:r>
          </w:p>
        </w:tc>
      </w:tr>
      <w:tr w:rsidR="00814C19" w:rsidRPr="00FA4ED8" w14:paraId="342F5A02" w14:textId="77777777" w:rsidTr="00904729">
        <w:trPr>
          <w:cantSplit/>
          <w:trHeight w:val="144"/>
          <w:jc w:val="center"/>
        </w:trPr>
        <w:tc>
          <w:tcPr>
            <w:tcW w:w="5215" w:type="dxa"/>
            <w:tcBorders>
              <w:top w:val="nil"/>
              <w:left w:val="single" w:sz="4" w:space="0" w:color="auto"/>
              <w:bottom w:val="nil"/>
              <w:right w:val="single" w:sz="4" w:space="0" w:color="auto"/>
            </w:tcBorders>
            <w:vAlign w:val="bottom"/>
          </w:tcPr>
          <w:p w14:paraId="67879F66" w14:textId="5DD9A78E" w:rsidR="00814C19" w:rsidRPr="0041207B" w:rsidRDefault="00814C19" w:rsidP="00CF3335">
            <w:pPr>
              <w:ind w:left="720" w:hanging="557"/>
              <w:contextualSpacing/>
              <w:rPr>
                <w:rFonts w:cstheme="minorHAnsi"/>
                <w:color w:val="000000"/>
              </w:rPr>
            </w:pPr>
            <w:r w:rsidRPr="0041207B">
              <w:rPr>
                <w:rFonts w:cstheme="minorHAnsi"/>
                <w:color w:val="000000"/>
              </w:rPr>
              <w:t>Hispanic or Latino</w:t>
            </w:r>
          </w:p>
        </w:tc>
        <w:tc>
          <w:tcPr>
            <w:tcW w:w="1980" w:type="dxa"/>
            <w:tcBorders>
              <w:top w:val="nil"/>
              <w:left w:val="single" w:sz="4" w:space="0" w:color="auto"/>
              <w:bottom w:val="nil"/>
              <w:right w:val="single" w:sz="4" w:space="0" w:color="auto"/>
            </w:tcBorders>
            <w:vAlign w:val="bottom"/>
          </w:tcPr>
          <w:p w14:paraId="58FAEA77" w14:textId="7AC3EBC6" w:rsidR="00814C19" w:rsidRPr="00CF3335" w:rsidRDefault="00814C19" w:rsidP="00CF3335">
            <w:pPr>
              <w:ind w:left="720" w:hanging="557"/>
              <w:contextualSpacing/>
              <w:jc w:val="right"/>
              <w:rPr>
                <w:rFonts w:cstheme="minorHAnsi"/>
              </w:rPr>
            </w:pPr>
            <w:r w:rsidRPr="00CF3335">
              <w:rPr>
                <w:rFonts w:cstheme="minorHAnsi"/>
                <w:color w:val="000000"/>
              </w:rPr>
              <w:t>1.7%</w:t>
            </w:r>
          </w:p>
        </w:tc>
      </w:tr>
      <w:tr w:rsidR="00814C19" w:rsidRPr="00FA4ED8" w14:paraId="7708551A" w14:textId="77777777" w:rsidTr="00904729">
        <w:trPr>
          <w:cantSplit/>
          <w:trHeight w:val="144"/>
          <w:jc w:val="center"/>
        </w:trPr>
        <w:tc>
          <w:tcPr>
            <w:tcW w:w="5215" w:type="dxa"/>
            <w:tcBorders>
              <w:top w:val="nil"/>
              <w:left w:val="single" w:sz="4" w:space="0" w:color="auto"/>
              <w:bottom w:val="nil"/>
              <w:right w:val="single" w:sz="4" w:space="0" w:color="auto"/>
            </w:tcBorders>
            <w:vAlign w:val="bottom"/>
          </w:tcPr>
          <w:p w14:paraId="179CBD72" w14:textId="03F97C59" w:rsidR="00814C19" w:rsidRPr="0041207B" w:rsidRDefault="00814C19" w:rsidP="00CF3335">
            <w:pPr>
              <w:ind w:left="720" w:hanging="557"/>
              <w:contextualSpacing/>
              <w:rPr>
                <w:rFonts w:cstheme="minorHAnsi"/>
                <w:color w:val="000000"/>
              </w:rPr>
            </w:pPr>
            <w:r w:rsidRPr="0041207B">
              <w:rPr>
                <w:rFonts w:cstheme="minorHAnsi"/>
                <w:color w:val="000000"/>
              </w:rPr>
              <w:t>Biracial/Native American</w:t>
            </w:r>
            <w:r w:rsidRPr="0041207B">
              <w:rPr>
                <w:rStyle w:val="FootnoteReference"/>
                <w:rFonts w:cstheme="minorHAnsi"/>
                <w:color w:val="000000"/>
              </w:rPr>
              <w:footnoteReference w:id="6"/>
            </w:r>
          </w:p>
        </w:tc>
        <w:tc>
          <w:tcPr>
            <w:tcW w:w="1980" w:type="dxa"/>
            <w:tcBorders>
              <w:top w:val="nil"/>
              <w:left w:val="single" w:sz="4" w:space="0" w:color="auto"/>
              <w:bottom w:val="nil"/>
              <w:right w:val="single" w:sz="4" w:space="0" w:color="auto"/>
            </w:tcBorders>
            <w:vAlign w:val="bottom"/>
          </w:tcPr>
          <w:p w14:paraId="731C7329" w14:textId="2B087923" w:rsidR="00814C19" w:rsidRPr="00CF3335" w:rsidRDefault="00814C19" w:rsidP="00CF3335">
            <w:pPr>
              <w:ind w:left="720" w:hanging="557"/>
              <w:contextualSpacing/>
              <w:jc w:val="right"/>
              <w:rPr>
                <w:rFonts w:cstheme="minorHAnsi"/>
              </w:rPr>
            </w:pPr>
            <w:r w:rsidRPr="00CF3335">
              <w:rPr>
                <w:rFonts w:cstheme="minorHAnsi"/>
                <w:color w:val="000000"/>
              </w:rPr>
              <w:t>0.2%</w:t>
            </w:r>
          </w:p>
        </w:tc>
      </w:tr>
      <w:tr w:rsidR="00814C19" w:rsidRPr="00FA4ED8" w14:paraId="7125D56F" w14:textId="77777777" w:rsidTr="00CE7AF2">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15B5C860" w14:textId="156DA69A" w:rsidR="00814C19" w:rsidRPr="00EE08DF" w:rsidRDefault="00814C19" w:rsidP="00666CDE">
            <w:pPr>
              <w:ind w:left="720" w:hanging="557"/>
              <w:contextualSpacing/>
              <w:rPr>
                <w:rFonts w:cstheme="minorHAnsi"/>
                <w:color w:val="000000"/>
              </w:rPr>
            </w:pPr>
            <w:r w:rsidRPr="00E708CE">
              <w:rPr>
                <w:rFonts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79D4BD26" w14:textId="696529B8" w:rsidR="00814C19" w:rsidRPr="00317A17" w:rsidRDefault="00814C19" w:rsidP="00666CDE">
            <w:pPr>
              <w:ind w:left="720" w:hanging="557"/>
              <w:contextualSpacing/>
              <w:jc w:val="right"/>
              <w:rPr>
                <w:rFonts w:cstheme="minorHAnsi"/>
              </w:rPr>
            </w:pPr>
            <w:r w:rsidRPr="00317A17">
              <w:rPr>
                <w:rFonts w:cstheme="minorHAnsi"/>
                <w:b/>
                <w:bCs/>
                <w:color w:val="000000"/>
              </w:rPr>
              <w:t>100.00%</w:t>
            </w:r>
          </w:p>
        </w:tc>
      </w:tr>
      <w:tr w:rsidR="00814C19" w:rsidRPr="00FA4ED8" w14:paraId="568D2565" w14:textId="77777777" w:rsidTr="00CE7AF2">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5379FFEE" w14:textId="1A89054D" w:rsidR="00814C19" w:rsidRPr="00EE08DF" w:rsidRDefault="00814C19" w:rsidP="00B729AE">
            <w:pPr>
              <w:contextualSpacing/>
              <w:rPr>
                <w:rFonts w:cstheme="minorHAnsi"/>
                <w:color w:val="000000"/>
              </w:rPr>
            </w:pPr>
            <w:r w:rsidRPr="00B34883">
              <w:rPr>
                <w:rFonts w:eastAsia="Calibri" w:cstheme="minorHAnsi"/>
                <w:b/>
              </w:rPr>
              <w:t>Payer Mix</w:t>
            </w:r>
          </w:p>
        </w:tc>
        <w:tc>
          <w:tcPr>
            <w:tcW w:w="1980" w:type="dxa"/>
            <w:tcBorders>
              <w:top w:val="single" w:sz="4" w:space="0" w:color="auto"/>
              <w:left w:val="single" w:sz="4" w:space="0" w:color="auto"/>
              <w:bottom w:val="nil"/>
              <w:right w:val="single" w:sz="4" w:space="0" w:color="auto"/>
            </w:tcBorders>
          </w:tcPr>
          <w:p w14:paraId="0A5C2A00" w14:textId="0FD63CC1" w:rsidR="00814C19" w:rsidRPr="00317A17" w:rsidRDefault="00814C19" w:rsidP="00666CDE">
            <w:pPr>
              <w:ind w:left="720" w:hanging="557"/>
              <w:contextualSpacing/>
              <w:jc w:val="right"/>
              <w:rPr>
                <w:rFonts w:cstheme="minorHAnsi"/>
              </w:rPr>
            </w:pPr>
          </w:p>
        </w:tc>
      </w:tr>
      <w:tr w:rsidR="00814C19" w:rsidRPr="00FA4ED8" w14:paraId="24B05433"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7FE06F66" w14:textId="5F661E23" w:rsidR="00814C19" w:rsidRPr="00E90F35" w:rsidRDefault="00814C19" w:rsidP="00414290">
            <w:pPr>
              <w:ind w:left="720" w:hanging="557"/>
              <w:contextualSpacing/>
              <w:rPr>
                <w:rFonts w:cstheme="minorHAnsi"/>
                <w:color w:val="000000"/>
              </w:rPr>
            </w:pPr>
            <w:r w:rsidRPr="00E90F35">
              <w:rPr>
                <w:rFonts w:eastAsia="Times New Roman" w:cstheme="minorHAnsi"/>
                <w:color w:val="000000"/>
              </w:rPr>
              <w:t>Medicare</w:t>
            </w:r>
          </w:p>
        </w:tc>
        <w:tc>
          <w:tcPr>
            <w:tcW w:w="1980" w:type="dxa"/>
            <w:tcBorders>
              <w:top w:val="nil"/>
              <w:left w:val="single" w:sz="4" w:space="0" w:color="auto"/>
              <w:bottom w:val="nil"/>
              <w:right w:val="single" w:sz="4" w:space="0" w:color="auto"/>
            </w:tcBorders>
            <w:vAlign w:val="bottom"/>
          </w:tcPr>
          <w:p w14:paraId="601EA8D8" w14:textId="5FDAA450" w:rsidR="00814C19" w:rsidRPr="00414290" w:rsidRDefault="00814C19" w:rsidP="00414290">
            <w:pPr>
              <w:ind w:left="720" w:hanging="557"/>
              <w:contextualSpacing/>
              <w:jc w:val="right"/>
              <w:rPr>
                <w:rFonts w:cstheme="minorHAnsi"/>
              </w:rPr>
            </w:pPr>
            <w:r w:rsidRPr="00414290">
              <w:rPr>
                <w:rFonts w:eastAsia="Times New Roman" w:cstheme="minorHAnsi"/>
                <w:color w:val="000000"/>
              </w:rPr>
              <w:t>57.9%</w:t>
            </w:r>
          </w:p>
        </w:tc>
      </w:tr>
      <w:tr w:rsidR="00814C19" w:rsidRPr="000F546B" w14:paraId="4214478C"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1B9AE4D9" w14:textId="4D985F42" w:rsidR="00814C19" w:rsidRPr="00E90F35" w:rsidRDefault="00814C19" w:rsidP="00414290">
            <w:pPr>
              <w:ind w:left="720" w:hanging="557"/>
              <w:contextualSpacing/>
              <w:rPr>
                <w:rFonts w:cstheme="minorHAnsi"/>
                <w:b/>
                <w:bCs/>
              </w:rPr>
            </w:pPr>
            <w:r w:rsidRPr="00E90F35">
              <w:rPr>
                <w:rFonts w:eastAsia="Times New Roman" w:cstheme="minorHAnsi"/>
                <w:color w:val="000000"/>
              </w:rPr>
              <w:t>Medicare Advantage</w:t>
            </w:r>
          </w:p>
        </w:tc>
        <w:tc>
          <w:tcPr>
            <w:tcW w:w="1980" w:type="dxa"/>
            <w:tcBorders>
              <w:top w:val="nil"/>
              <w:left w:val="single" w:sz="4" w:space="0" w:color="auto"/>
              <w:bottom w:val="nil"/>
              <w:right w:val="single" w:sz="4" w:space="0" w:color="auto"/>
            </w:tcBorders>
            <w:vAlign w:val="bottom"/>
          </w:tcPr>
          <w:p w14:paraId="204A14C7" w14:textId="2D75A90E" w:rsidR="00814C19" w:rsidRPr="00414290" w:rsidRDefault="00814C19" w:rsidP="00414290">
            <w:pPr>
              <w:jc w:val="right"/>
              <w:rPr>
                <w:rFonts w:cstheme="minorHAnsi"/>
                <w:b/>
                <w:bCs/>
                <w:color w:val="000000"/>
                <w:highlight w:val="yellow"/>
              </w:rPr>
            </w:pPr>
            <w:r w:rsidRPr="00414290">
              <w:rPr>
                <w:rFonts w:eastAsia="Times New Roman" w:cstheme="minorHAnsi"/>
                <w:color w:val="000000"/>
              </w:rPr>
              <w:t>15.0%</w:t>
            </w:r>
          </w:p>
        </w:tc>
      </w:tr>
      <w:tr w:rsidR="00814C19" w:rsidRPr="00FA4ED8" w14:paraId="2A423D6A"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1F09980F" w14:textId="72C24478" w:rsidR="00814C19" w:rsidRPr="00E90F35" w:rsidRDefault="00814C19" w:rsidP="00414290">
            <w:pPr>
              <w:contextualSpacing/>
              <w:rPr>
                <w:rFonts w:eastAsia="Calibri" w:cstheme="minorHAnsi"/>
                <w:b/>
              </w:rPr>
            </w:pPr>
            <w:r w:rsidRPr="00E90F35">
              <w:rPr>
                <w:rFonts w:eastAsia="Times New Roman" w:cstheme="minorHAnsi"/>
                <w:color w:val="000000"/>
              </w:rPr>
              <w:t xml:space="preserve">   Medicaid</w:t>
            </w:r>
          </w:p>
        </w:tc>
        <w:tc>
          <w:tcPr>
            <w:tcW w:w="1980" w:type="dxa"/>
            <w:tcBorders>
              <w:top w:val="nil"/>
              <w:left w:val="single" w:sz="4" w:space="0" w:color="auto"/>
              <w:bottom w:val="nil"/>
              <w:right w:val="single" w:sz="4" w:space="0" w:color="auto"/>
            </w:tcBorders>
            <w:vAlign w:val="bottom"/>
          </w:tcPr>
          <w:p w14:paraId="4E1B34E4" w14:textId="4D1B777E" w:rsidR="00814C19" w:rsidRPr="00414290" w:rsidRDefault="00814C19" w:rsidP="00414290">
            <w:pPr>
              <w:jc w:val="right"/>
              <w:rPr>
                <w:rFonts w:eastAsia="Calibri" w:cstheme="minorHAnsi"/>
                <w:bCs/>
                <w:highlight w:val="yellow"/>
              </w:rPr>
            </w:pPr>
            <w:r w:rsidRPr="00414290">
              <w:rPr>
                <w:rFonts w:eastAsia="Times New Roman" w:cstheme="minorHAnsi"/>
                <w:color w:val="000000"/>
              </w:rPr>
              <w:t>8.9%</w:t>
            </w:r>
          </w:p>
        </w:tc>
      </w:tr>
      <w:tr w:rsidR="00814C19" w:rsidRPr="00FA4ED8" w14:paraId="7A439DEE"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4A3AE532" w14:textId="49C8E60A" w:rsidR="00814C19" w:rsidRPr="00E90F35" w:rsidRDefault="00814C19" w:rsidP="00414290">
            <w:pPr>
              <w:contextualSpacing/>
              <w:rPr>
                <w:rFonts w:eastAsia="Calibri" w:cstheme="minorHAnsi"/>
                <w:b/>
              </w:rPr>
            </w:pPr>
            <w:r w:rsidRPr="00E90F35">
              <w:rPr>
                <w:rFonts w:eastAsia="Times New Roman" w:cstheme="minorHAnsi"/>
                <w:color w:val="000000"/>
              </w:rPr>
              <w:t xml:space="preserve">   HMO/PPO</w:t>
            </w:r>
          </w:p>
        </w:tc>
        <w:tc>
          <w:tcPr>
            <w:tcW w:w="1980" w:type="dxa"/>
            <w:tcBorders>
              <w:top w:val="nil"/>
              <w:left w:val="single" w:sz="4" w:space="0" w:color="auto"/>
              <w:bottom w:val="nil"/>
              <w:right w:val="single" w:sz="4" w:space="0" w:color="auto"/>
            </w:tcBorders>
            <w:vAlign w:val="bottom"/>
          </w:tcPr>
          <w:p w14:paraId="50779943" w14:textId="4925D0AF" w:rsidR="00814C19" w:rsidRPr="00414290" w:rsidRDefault="00814C19" w:rsidP="00414290">
            <w:pPr>
              <w:ind w:left="720" w:hanging="557"/>
              <w:contextualSpacing/>
              <w:jc w:val="right"/>
              <w:rPr>
                <w:rFonts w:cstheme="minorHAnsi"/>
              </w:rPr>
            </w:pPr>
            <w:r w:rsidRPr="00414290">
              <w:rPr>
                <w:rFonts w:eastAsia="Times New Roman" w:cstheme="minorHAnsi"/>
                <w:color w:val="000000"/>
              </w:rPr>
              <w:t>8.7%</w:t>
            </w:r>
          </w:p>
        </w:tc>
      </w:tr>
      <w:tr w:rsidR="00814C19" w:rsidRPr="00FA4ED8" w14:paraId="633284C0"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0F0EACA0" w14:textId="3B17B979" w:rsidR="00814C19" w:rsidRPr="00E90F35" w:rsidRDefault="00814C19" w:rsidP="00414290">
            <w:pPr>
              <w:contextualSpacing/>
              <w:rPr>
                <w:rFonts w:eastAsia="Calibri" w:cstheme="minorHAnsi"/>
                <w:b/>
              </w:rPr>
            </w:pPr>
            <w:r w:rsidRPr="00E90F35">
              <w:rPr>
                <w:rFonts w:eastAsia="Times New Roman" w:cstheme="minorHAnsi"/>
                <w:color w:val="000000"/>
              </w:rPr>
              <w:t xml:space="preserve">   Blue Cross</w:t>
            </w:r>
          </w:p>
        </w:tc>
        <w:tc>
          <w:tcPr>
            <w:tcW w:w="1980" w:type="dxa"/>
            <w:tcBorders>
              <w:top w:val="nil"/>
              <w:left w:val="single" w:sz="4" w:space="0" w:color="auto"/>
              <w:bottom w:val="nil"/>
              <w:right w:val="single" w:sz="4" w:space="0" w:color="auto"/>
            </w:tcBorders>
            <w:vAlign w:val="bottom"/>
          </w:tcPr>
          <w:p w14:paraId="41011EA9" w14:textId="50B6D047" w:rsidR="00814C19" w:rsidRPr="00414290" w:rsidRDefault="00814C19" w:rsidP="00414290">
            <w:pPr>
              <w:ind w:left="720" w:hanging="557"/>
              <w:contextualSpacing/>
              <w:jc w:val="right"/>
              <w:rPr>
                <w:rFonts w:cstheme="minorHAnsi"/>
              </w:rPr>
            </w:pPr>
            <w:r w:rsidRPr="00414290">
              <w:rPr>
                <w:rFonts w:eastAsia="Times New Roman" w:cstheme="minorHAnsi"/>
                <w:color w:val="000000"/>
              </w:rPr>
              <w:t>5.8%</w:t>
            </w:r>
          </w:p>
        </w:tc>
      </w:tr>
      <w:tr w:rsidR="00814C19" w:rsidRPr="00FA4ED8" w14:paraId="50B4816B"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0F352C70" w14:textId="112645DC" w:rsidR="00814C19" w:rsidRPr="00E90F35" w:rsidRDefault="00814C19" w:rsidP="00414290">
            <w:pPr>
              <w:contextualSpacing/>
              <w:rPr>
                <w:rFonts w:cstheme="minorHAnsi"/>
                <w:color w:val="000000" w:themeColor="text1"/>
              </w:rPr>
            </w:pPr>
            <w:r w:rsidRPr="00E90F35">
              <w:rPr>
                <w:rFonts w:eastAsia="Times New Roman" w:cstheme="minorHAnsi"/>
                <w:color w:val="000000"/>
              </w:rPr>
              <w:t xml:space="preserve">   Self-Pay/Other</w:t>
            </w:r>
          </w:p>
        </w:tc>
        <w:tc>
          <w:tcPr>
            <w:tcW w:w="1980" w:type="dxa"/>
            <w:tcBorders>
              <w:top w:val="nil"/>
              <w:left w:val="single" w:sz="4" w:space="0" w:color="auto"/>
              <w:bottom w:val="nil"/>
              <w:right w:val="single" w:sz="4" w:space="0" w:color="auto"/>
            </w:tcBorders>
            <w:vAlign w:val="bottom"/>
          </w:tcPr>
          <w:p w14:paraId="05F6820F" w14:textId="1061265D" w:rsidR="00814C19" w:rsidRPr="00414290" w:rsidRDefault="00814C19" w:rsidP="00414290">
            <w:pPr>
              <w:ind w:left="720" w:hanging="557"/>
              <w:contextualSpacing/>
              <w:jc w:val="right"/>
              <w:rPr>
                <w:rFonts w:cstheme="minorHAnsi"/>
                <w:color w:val="000000" w:themeColor="text1"/>
              </w:rPr>
            </w:pPr>
            <w:r w:rsidRPr="00414290">
              <w:rPr>
                <w:rFonts w:eastAsia="Times New Roman" w:cstheme="minorHAnsi"/>
                <w:color w:val="000000"/>
              </w:rPr>
              <w:t>2.4%</w:t>
            </w:r>
          </w:p>
        </w:tc>
      </w:tr>
      <w:tr w:rsidR="00814C19" w:rsidRPr="00FA4ED8" w14:paraId="0F877AC1"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1ACCEAB2" w14:textId="4FF0DBDF" w:rsidR="00814C19" w:rsidRPr="00E90F35" w:rsidRDefault="00814C19" w:rsidP="00414290">
            <w:pPr>
              <w:contextualSpacing/>
              <w:rPr>
                <w:rFonts w:cstheme="minorHAnsi"/>
                <w:color w:val="000000" w:themeColor="text1"/>
              </w:rPr>
            </w:pPr>
            <w:r w:rsidRPr="00E90F35">
              <w:rPr>
                <w:rFonts w:eastAsia="Times New Roman" w:cstheme="minorHAnsi"/>
                <w:color w:val="000000"/>
              </w:rPr>
              <w:t xml:space="preserve">   Commercial</w:t>
            </w:r>
          </w:p>
        </w:tc>
        <w:tc>
          <w:tcPr>
            <w:tcW w:w="1980" w:type="dxa"/>
            <w:tcBorders>
              <w:top w:val="nil"/>
              <w:left w:val="single" w:sz="4" w:space="0" w:color="auto"/>
              <w:bottom w:val="nil"/>
              <w:right w:val="single" w:sz="4" w:space="0" w:color="auto"/>
            </w:tcBorders>
            <w:vAlign w:val="bottom"/>
          </w:tcPr>
          <w:p w14:paraId="42546942" w14:textId="7A0966D8" w:rsidR="00814C19" w:rsidRPr="00414290" w:rsidRDefault="00814C19" w:rsidP="00414290">
            <w:pPr>
              <w:ind w:left="720" w:hanging="557"/>
              <w:contextualSpacing/>
              <w:jc w:val="right"/>
              <w:rPr>
                <w:rFonts w:cstheme="minorHAnsi"/>
                <w:color w:val="000000" w:themeColor="text1"/>
              </w:rPr>
            </w:pPr>
            <w:r w:rsidRPr="00414290">
              <w:rPr>
                <w:rFonts w:eastAsia="Times New Roman" w:cstheme="minorHAnsi"/>
                <w:color w:val="000000"/>
              </w:rPr>
              <w:t>0.6%</w:t>
            </w:r>
          </w:p>
        </w:tc>
      </w:tr>
      <w:tr w:rsidR="00814C19" w:rsidRPr="00FA4ED8" w14:paraId="19E9A1BD" w14:textId="77777777" w:rsidTr="00020207">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241B9E02" w14:textId="54D3DC3E" w:rsidR="00814C19" w:rsidRPr="00E90F35" w:rsidRDefault="00814C19" w:rsidP="00414290">
            <w:pPr>
              <w:contextualSpacing/>
              <w:rPr>
                <w:rFonts w:eastAsia="Calibri" w:cstheme="minorHAnsi"/>
                <w:b/>
              </w:rPr>
            </w:pPr>
            <w:r w:rsidRPr="00E90F35">
              <w:rPr>
                <w:rFonts w:eastAsia="Times New Roman" w:cstheme="minorHAnsi"/>
                <w:color w:val="000000"/>
              </w:rPr>
              <w:t xml:space="preserve">   Workers Comp</w:t>
            </w:r>
          </w:p>
        </w:tc>
        <w:tc>
          <w:tcPr>
            <w:tcW w:w="1980" w:type="dxa"/>
            <w:tcBorders>
              <w:top w:val="nil"/>
              <w:left w:val="single" w:sz="4" w:space="0" w:color="auto"/>
              <w:bottom w:val="nil"/>
              <w:right w:val="single" w:sz="4" w:space="0" w:color="auto"/>
            </w:tcBorders>
            <w:vAlign w:val="bottom"/>
          </w:tcPr>
          <w:p w14:paraId="5289678D" w14:textId="0F9E72C1" w:rsidR="00814C19" w:rsidRPr="00414290" w:rsidRDefault="00814C19" w:rsidP="00414290">
            <w:pPr>
              <w:ind w:left="720" w:hanging="557"/>
              <w:contextualSpacing/>
              <w:jc w:val="right"/>
              <w:rPr>
                <w:rFonts w:cstheme="minorHAnsi"/>
              </w:rPr>
            </w:pPr>
            <w:r w:rsidRPr="00414290">
              <w:rPr>
                <w:rFonts w:eastAsia="Times New Roman" w:cstheme="minorHAnsi"/>
                <w:color w:val="000000"/>
              </w:rPr>
              <w:t>0.6%</w:t>
            </w:r>
          </w:p>
        </w:tc>
      </w:tr>
      <w:tr w:rsidR="00814C19" w:rsidRPr="00FA4ED8" w14:paraId="120E1650" w14:textId="77777777" w:rsidTr="00F032CE">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32EE7E57" w14:textId="359FF221" w:rsidR="00814C19" w:rsidRPr="00B34883" w:rsidRDefault="00814C19" w:rsidP="00666CDE">
            <w:pPr>
              <w:contextualSpacing/>
              <w:rPr>
                <w:rFonts w:eastAsia="Calibri" w:cstheme="minorHAnsi"/>
                <w:b/>
              </w:rPr>
            </w:pPr>
            <w:r>
              <w:rPr>
                <w:rFonts w:cstheme="minorHAnsi"/>
                <w:b/>
                <w:spacing w:val="-2"/>
              </w:rPr>
              <w:t xml:space="preserve">   </w:t>
            </w:r>
            <w:r w:rsidRPr="00B34883">
              <w:rPr>
                <w:rFonts w:cstheme="minorHAnsi"/>
                <w:b/>
                <w:spacing w:val="-2"/>
              </w:rPr>
              <w:t>Total</w:t>
            </w:r>
          </w:p>
        </w:tc>
        <w:tc>
          <w:tcPr>
            <w:tcW w:w="1980" w:type="dxa"/>
            <w:tcBorders>
              <w:top w:val="nil"/>
              <w:left w:val="single" w:sz="4" w:space="0" w:color="auto"/>
              <w:bottom w:val="single" w:sz="4" w:space="0" w:color="auto"/>
              <w:right w:val="single" w:sz="4" w:space="0" w:color="auto"/>
            </w:tcBorders>
          </w:tcPr>
          <w:p w14:paraId="0271AFAB" w14:textId="5722B4F1" w:rsidR="00814C19" w:rsidRPr="00317174" w:rsidRDefault="00814C19" w:rsidP="00666CDE">
            <w:pPr>
              <w:ind w:left="720" w:hanging="557"/>
              <w:contextualSpacing/>
              <w:jc w:val="right"/>
              <w:rPr>
                <w:rFonts w:cstheme="minorHAnsi"/>
              </w:rPr>
            </w:pPr>
            <w:r w:rsidRPr="00DD1360">
              <w:rPr>
                <w:rFonts w:eastAsia="Calibri" w:cstheme="minorHAnsi"/>
                <w:b/>
              </w:rPr>
              <w:t>100.00%</w:t>
            </w:r>
          </w:p>
        </w:tc>
      </w:tr>
      <w:tr w:rsidR="00814C19" w:rsidRPr="00FA4ED8" w14:paraId="7F11AF72" w14:textId="77777777" w:rsidTr="00F032CE">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417AB2A9" w14:textId="1D0755B7" w:rsidR="00814C19" w:rsidRPr="00B34883" w:rsidRDefault="00814C19" w:rsidP="00666CDE">
            <w:pPr>
              <w:contextualSpacing/>
              <w:rPr>
                <w:rFonts w:eastAsia="Calibri" w:cstheme="minorHAnsi"/>
                <w:b/>
              </w:rPr>
            </w:pPr>
            <w:r>
              <w:rPr>
                <w:rFonts w:eastAsia="Calibri" w:cstheme="minorHAnsi"/>
                <w:b/>
              </w:rPr>
              <w:t>Patient County of Origin</w:t>
            </w:r>
          </w:p>
        </w:tc>
        <w:tc>
          <w:tcPr>
            <w:tcW w:w="1980" w:type="dxa"/>
            <w:tcBorders>
              <w:top w:val="single" w:sz="4" w:space="0" w:color="auto"/>
              <w:left w:val="single" w:sz="4" w:space="0" w:color="auto"/>
              <w:bottom w:val="nil"/>
              <w:right w:val="single" w:sz="4" w:space="0" w:color="auto"/>
            </w:tcBorders>
          </w:tcPr>
          <w:p w14:paraId="1B24CEB2" w14:textId="6FA63046" w:rsidR="00814C19" w:rsidRPr="00317174" w:rsidRDefault="00814C19" w:rsidP="00666CDE">
            <w:pPr>
              <w:ind w:left="720" w:hanging="557"/>
              <w:contextualSpacing/>
              <w:jc w:val="right"/>
              <w:rPr>
                <w:rFonts w:cstheme="minorHAnsi"/>
              </w:rPr>
            </w:pPr>
          </w:p>
        </w:tc>
      </w:tr>
      <w:tr w:rsidR="00814C19" w:rsidRPr="00FA4ED8" w14:paraId="05CDF598"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648498BB" w14:textId="6ADDE9D8" w:rsidR="00814C19" w:rsidRPr="00F032CE" w:rsidRDefault="00814C19" w:rsidP="008C4EFA">
            <w:pPr>
              <w:ind w:left="720" w:hanging="557"/>
              <w:contextualSpacing/>
              <w:rPr>
                <w:rFonts w:eastAsia="Times New Roman" w:cstheme="minorHAnsi"/>
                <w:color w:val="000000"/>
              </w:rPr>
            </w:pPr>
            <w:r w:rsidRPr="00F032CE">
              <w:rPr>
                <w:rFonts w:cstheme="minorHAnsi"/>
                <w:color w:val="000000"/>
              </w:rPr>
              <w:t>Middlesex County</w:t>
            </w:r>
          </w:p>
        </w:tc>
        <w:tc>
          <w:tcPr>
            <w:tcW w:w="1980" w:type="dxa"/>
            <w:tcBorders>
              <w:top w:val="nil"/>
              <w:left w:val="single" w:sz="4" w:space="0" w:color="auto"/>
              <w:bottom w:val="nil"/>
              <w:right w:val="single" w:sz="4" w:space="0" w:color="auto"/>
            </w:tcBorders>
            <w:vAlign w:val="bottom"/>
          </w:tcPr>
          <w:p w14:paraId="4DE42290" w14:textId="44289F78" w:rsidR="00814C19" w:rsidRPr="008C4EFA" w:rsidRDefault="00814C19" w:rsidP="008C4EFA">
            <w:pPr>
              <w:ind w:left="720" w:hanging="557"/>
              <w:contextualSpacing/>
              <w:jc w:val="right"/>
              <w:rPr>
                <w:rFonts w:eastAsia="Times New Roman" w:cstheme="minorHAnsi"/>
                <w:color w:val="000000"/>
              </w:rPr>
            </w:pPr>
            <w:r w:rsidRPr="008C4EFA">
              <w:rPr>
                <w:rFonts w:cstheme="minorHAnsi"/>
                <w:color w:val="000000"/>
              </w:rPr>
              <w:t>30.2%</w:t>
            </w:r>
          </w:p>
        </w:tc>
      </w:tr>
      <w:tr w:rsidR="00814C19" w:rsidRPr="00FA4ED8" w14:paraId="77F450D2"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49537FAA" w14:textId="2936E74D" w:rsidR="00814C19" w:rsidRPr="00F032CE" w:rsidRDefault="00814C19" w:rsidP="008C4EFA">
            <w:pPr>
              <w:contextualSpacing/>
              <w:rPr>
                <w:rFonts w:eastAsia="Calibri" w:cstheme="minorHAnsi"/>
                <w:b/>
              </w:rPr>
            </w:pPr>
            <w:r w:rsidRPr="00F032CE">
              <w:rPr>
                <w:rFonts w:cstheme="minorHAnsi"/>
                <w:color w:val="000000"/>
              </w:rPr>
              <w:t xml:space="preserve">   Hampden County</w:t>
            </w:r>
          </w:p>
        </w:tc>
        <w:tc>
          <w:tcPr>
            <w:tcW w:w="1980" w:type="dxa"/>
            <w:tcBorders>
              <w:top w:val="nil"/>
              <w:left w:val="single" w:sz="4" w:space="0" w:color="auto"/>
              <w:bottom w:val="nil"/>
              <w:right w:val="single" w:sz="4" w:space="0" w:color="auto"/>
            </w:tcBorders>
            <w:vAlign w:val="bottom"/>
          </w:tcPr>
          <w:p w14:paraId="2355867C" w14:textId="657A8B8B" w:rsidR="00814C19" w:rsidRPr="008C4EFA" w:rsidRDefault="00814C19" w:rsidP="008C4EFA">
            <w:pPr>
              <w:ind w:left="720" w:hanging="557"/>
              <w:contextualSpacing/>
              <w:jc w:val="right"/>
              <w:rPr>
                <w:rFonts w:eastAsia="Calibri" w:cstheme="minorHAnsi"/>
                <w:bCs/>
                <w:highlight w:val="yellow"/>
              </w:rPr>
            </w:pPr>
            <w:r w:rsidRPr="008C4EFA">
              <w:rPr>
                <w:rFonts w:cstheme="minorHAnsi"/>
                <w:color w:val="000000"/>
              </w:rPr>
              <w:t>13.0%</w:t>
            </w:r>
          </w:p>
        </w:tc>
      </w:tr>
      <w:tr w:rsidR="00814C19" w:rsidRPr="00FA4ED8" w14:paraId="0636EDCE"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72CD7F92" w14:textId="466E7207" w:rsidR="00814C19" w:rsidRPr="00F032CE" w:rsidRDefault="00814C19" w:rsidP="008C4EFA">
            <w:pPr>
              <w:ind w:left="720" w:hanging="557"/>
              <w:contextualSpacing/>
              <w:rPr>
                <w:rFonts w:cstheme="minorHAnsi"/>
                <w:color w:val="000000"/>
              </w:rPr>
            </w:pPr>
            <w:r w:rsidRPr="00F032CE">
              <w:rPr>
                <w:rFonts w:cstheme="minorHAnsi"/>
                <w:color w:val="000000"/>
              </w:rPr>
              <w:t>Norfolk County</w:t>
            </w:r>
          </w:p>
        </w:tc>
        <w:tc>
          <w:tcPr>
            <w:tcW w:w="1980" w:type="dxa"/>
            <w:tcBorders>
              <w:top w:val="nil"/>
              <w:left w:val="single" w:sz="4" w:space="0" w:color="auto"/>
              <w:bottom w:val="nil"/>
              <w:right w:val="single" w:sz="4" w:space="0" w:color="auto"/>
            </w:tcBorders>
            <w:vAlign w:val="bottom"/>
          </w:tcPr>
          <w:p w14:paraId="50A40AD6" w14:textId="2948423E" w:rsidR="00814C19" w:rsidRPr="008C4EFA" w:rsidRDefault="00814C19" w:rsidP="008C4EFA">
            <w:pPr>
              <w:ind w:left="720" w:hanging="557"/>
              <w:contextualSpacing/>
              <w:jc w:val="right"/>
              <w:rPr>
                <w:rFonts w:cstheme="minorHAnsi"/>
                <w:color w:val="000000"/>
              </w:rPr>
            </w:pPr>
            <w:r w:rsidRPr="008C4EFA">
              <w:rPr>
                <w:rFonts w:cstheme="minorHAnsi"/>
                <w:color w:val="000000"/>
              </w:rPr>
              <w:t>12.3%</w:t>
            </w:r>
          </w:p>
        </w:tc>
      </w:tr>
      <w:tr w:rsidR="00814C19" w:rsidRPr="00FA4ED8" w14:paraId="3D30C469"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620CD4D7" w14:textId="161960A5" w:rsidR="00814C19" w:rsidRPr="00F032CE" w:rsidRDefault="00814C19" w:rsidP="008C4EFA">
            <w:pPr>
              <w:ind w:left="720" w:hanging="557"/>
              <w:contextualSpacing/>
              <w:rPr>
                <w:rFonts w:cstheme="minorHAnsi"/>
                <w:color w:val="000000"/>
              </w:rPr>
            </w:pPr>
            <w:r w:rsidRPr="00F032CE">
              <w:rPr>
                <w:rFonts w:cstheme="minorHAnsi"/>
                <w:color w:val="000000"/>
              </w:rPr>
              <w:t>Essex County</w:t>
            </w:r>
          </w:p>
        </w:tc>
        <w:tc>
          <w:tcPr>
            <w:tcW w:w="1980" w:type="dxa"/>
            <w:tcBorders>
              <w:top w:val="nil"/>
              <w:left w:val="single" w:sz="4" w:space="0" w:color="auto"/>
              <w:bottom w:val="nil"/>
              <w:right w:val="single" w:sz="4" w:space="0" w:color="auto"/>
            </w:tcBorders>
            <w:vAlign w:val="bottom"/>
          </w:tcPr>
          <w:p w14:paraId="214E30FF" w14:textId="542209D5" w:rsidR="00814C19" w:rsidRPr="008C4EFA" w:rsidRDefault="00814C19" w:rsidP="008C4EFA">
            <w:pPr>
              <w:ind w:left="720" w:hanging="557"/>
              <w:contextualSpacing/>
              <w:jc w:val="right"/>
              <w:rPr>
                <w:rFonts w:cstheme="minorHAnsi"/>
                <w:color w:val="000000"/>
              </w:rPr>
            </w:pPr>
            <w:r w:rsidRPr="008C4EFA">
              <w:rPr>
                <w:rFonts w:cstheme="minorHAnsi"/>
                <w:color w:val="000000"/>
              </w:rPr>
              <w:t>10.9%</w:t>
            </w:r>
          </w:p>
        </w:tc>
      </w:tr>
      <w:tr w:rsidR="00814C19" w:rsidRPr="00FA4ED8" w14:paraId="5D7D8032"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554373FB" w14:textId="669D5535" w:rsidR="00814C19" w:rsidRPr="00F032CE" w:rsidRDefault="00814C19" w:rsidP="008C4EFA">
            <w:pPr>
              <w:ind w:left="720" w:hanging="557"/>
              <w:contextualSpacing/>
              <w:rPr>
                <w:rFonts w:cstheme="minorHAnsi"/>
                <w:color w:val="000000"/>
              </w:rPr>
            </w:pPr>
            <w:r w:rsidRPr="00F032CE">
              <w:rPr>
                <w:rFonts w:cstheme="minorHAnsi"/>
                <w:color w:val="000000"/>
              </w:rPr>
              <w:t>Plymouth County</w:t>
            </w:r>
          </w:p>
        </w:tc>
        <w:tc>
          <w:tcPr>
            <w:tcW w:w="1980" w:type="dxa"/>
            <w:tcBorders>
              <w:top w:val="nil"/>
              <w:left w:val="single" w:sz="4" w:space="0" w:color="auto"/>
              <w:bottom w:val="nil"/>
              <w:right w:val="single" w:sz="4" w:space="0" w:color="auto"/>
            </w:tcBorders>
            <w:vAlign w:val="bottom"/>
          </w:tcPr>
          <w:p w14:paraId="17C54059" w14:textId="38E00AE5" w:rsidR="00814C19" w:rsidRPr="008C4EFA" w:rsidRDefault="00814C19" w:rsidP="008C4EFA">
            <w:pPr>
              <w:ind w:left="720" w:hanging="557"/>
              <w:contextualSpacing/>
              <w:jc w:val="right"/>
              <w:rPr>
                <w:rFonts w:cstheme="minorHAnsi"/>
                <w:color w:val="000000"/>
              </w:rPr>
            </w:pPr>
            <w:r w:rsidRPr="008C4EFA">
              <w:rPr>
                <w:rFonts w:cstheme="minorHAnsi"/>
                <w:color w:val="000000"/>
              </w:rPr>
              <w:t>9.3%</w:t>
            </w:r>
          </w:p>
        </w:tc>
      </w:tr>
      <w:tr w:rsidR="00814C19" w:rsidRPr="00FA4ED8" w14:paraId="10D75109"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4001B72D" w14:textId="3CDAC618" w:rsidR="00814C19" w:rsidRPr="00F032CE" w:rsidRDefault="00814C19" w:rsidP="008C4EFA">
            <w:pPr>
              <w:ind w:left="720" w:hanging="557"/>
              <w:contextualSpacing/>
              <w:rPr>
                <w:rFonts w:cstheme="minorHAnsi"/>
                <w:color w:val="000000"/>
              </w:rPr>
            </w:pPr>
            <w:r w:rsidRPr="00F032CE">
              <w:rPr>
                <w:rFonts w:cstheme="minorHAnsi"/>
                <w:color w:val="000000"/>
              </w:rPr>
              <w:t>Suffolk County</w:t>
            </w:r>
          </w:p>
        </w:tc>
        <w:tc>
          <w:tcPr>
            <w:tcW w:w="1980" w:type="dxa"/>
            <w:tcBorders>
              <w:top w:val="nil"/>
              <w:left w:val="single" w:sz="4" w:space="0" w:color="auto"/>
              <w:bottom w:val="nil"/>
              <w:right w:val="single" w:sz="4" w:space="0" w:color="auto"/>
            </w:tcBorders>
            <w:vAlign w:val="bottom"/>
          </w:tcPr>
          <w:p w14:paraId="1CDD1909" w14:textId="060EB6DB" w:rsidR="00814C19" w:rsidRPr="008C4EFA" w:rsidRDefault="00814C19" w:rsidP="008C4EFA">
            <w:pPr>
              <w:ind w:left="720" w:hanging="557"/>
              <w:contextualSpacing/>
              <w:jc w:val="right"/>
              <w:rPr>
                <w:rFonts w:cstheme="minorHAnsi"/>
                <w:color w:val="000000"/>
              </w:rPr>
            </w:pPr>
            <w:r w:rsidRPr="008C4EFA">
              <w:rPr>
                <w:rFonts w:cstheme="minorHAnsi"/>
                <w:color w:val="000000"/>
              </w:rPr>
              <w:t>8.7%</w:t>
            </w:r>
          </w:p>
        </w:tc>
      </w:tr>
      <w:tr w:rsidR="00814C19" w:rsidRPr="00FA4ED8" w14:paraId="19B2CD8F"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2D44C4B7" w14:textId="2FEE5984" w:rsidR="00814C19" w:rsidRPr="00F032CE" w:rsidRDefault="00814C19" w:rsidP="008C4EFA">
            <w:pPr>
              <w:ind w:left="720" w:hanging="557"/>
              <w:contextualSpacing/>
              <w:rPr>
                <w:rFonts w:cstheme="minorHAnsi"/>
                <w:color w:val="000000"/>
              </w:rPr>
            </w:pPr>
            <w:r w:rsidRPr="00F032CE">
              <w:rPr>
                <w:rFonts w:cstheme="minorHAnsi"/>
                <w:color w:val="000000"/>
              </w:rPr>
              <w:t>Hampshire County</w:t>
            </w:r>
          </w:p>
        </w:tc>
        <w:tc>
          <w:tcPr>
            <w:tcW w:w="1980" w:type="dxa"/>
            <w:tcBorders>
              <w:top w:val="nil"/>
              <w:left w:val="single" w:sz="4" w:space="0" w:color="auto"/>
              <w:bottom w:val="nil"/>
              <w:right w:val="single" w:sz="4" w:space="0" w:color="auto"/>
            </w:tcBorders>
            <w:vAlign w:val="bottom"/>
          </w:tcPr>
          <w:p w14:paraId="423B6172" w14:textId="7D89A3DB" w:rsidR="00814C19" w:rsidRPr="008C4EFA" w:rsidRDefault="00814C19" w:rsidP="008C4EFA">
            <w:pPr>
              <w:ind w:left="720" w:hanging="557"/>
              <w:contextualSpacing/>
              <w:jc w:val="right"/>
              <w:rPr>
                <w:rFonts w:cstheme="minorHAnsi"/>
                <w:color w:val="000000"/>
              </w:rPr>
            </w:pPr>
            <w:r w:rsidRPr="008C4EFA">
              <w:rPr>
                <w:rFonts w:cstheme="minorHAnsi"/>
                <w:color w:val="000000"/>
              </w:rPr>
              <w:t>4.0%</w:t>
            </w:r>
          </w:p>
        </w:tc>
      </w:tr>
      <w:tr w:rsidR="00814C19" w:rsidRPr="00FA4ED8" w14:paraId="030822CE"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044DBC8D" w14:textId="65ECEBC7" w:rsidR="00814C19" w:rsidRPr="00F032CE" w:rsidRDefault="00814C19" w:rsidP="008C4EFA">
            <w:pPr>
              <w:ind w:left="720" w:hanging="557"/>
              <w:contextualSpacing/>
              <w:rPr>
                <w:rFonts w:cstheme="minorHAnsi"/>
                <w:color w:val="000000"/>
              </w:rPr>
            </w:pPr>
            <w:r w:rsidRPr="00F032CE">
              <w:rPr>
                <w:rFonts w:cstheme="minorHAnsi"/>
                <w:color w:val="000000"/>
              </w:rPr>
              <w:t>Bristol County</w:t>
            </w:r>
          </w:p>
        </w:tc>
        <w:tc>
          <w:tcPr>
            <w:tcW w:w="1980" w:type="dxa"/>
            <w:tcBorders>
              <w:top w:val="nil"/>
              <w:left w:val="single" w:sz="4" w:space="0" w:color="auto"/>
              <w:bottom w:val="nil"/>
              <w:right w:val="single" w:sz="4" w:space="0" w:color="auto"/>
            </w:tcBorders>
            <w:vAlign w:val="bottom"/>
          </w:tcPr>
          <w:p w14:paraId="35470FFE" w14:textId="24600085" w:rsidR="00814C19" w:rsidRPr="008C4EFA" w:rsidRDefault="00814C19" w:rsidP="008C4EFA">
            <w:pPr>
              <w:ind w:left="720" w:hanging="557"/>
              <w:contextualSpacing/>
              <w:jc w:val="right"/>
              <w:rPr>
                <w:rFonts w:cstheme="minorHAnsi"/>
                <w:color w:val="000000"/>
              </w:rPr>
            </w:pPr>
            <w:r w:rsidRPr="008C4EFA">
              <w:rPr>
                <w:rFonts w:cstheme="minorHAnsi"/>
                <w:color w:val="000000"/>
              </w:rPr>
              <w:t>3.2%</w:t>
            </w:r>
          </w:p>
        </w:tc>
      </w:tr>
      <w:tr w:rsidR="00814C19" w:rsidRPr="00FA4ED8" w14:paraId="17439A7A"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49948D68" w14:textId="4D1E0E6E" w:rsidR="00814C19" w:rsidRPr="00F032CE" w:rsidRDefault="00814C19" w:rsidP="008C4EFA">
            <w:pPr>
              <w:ind w:left="720" w:hanging="557"/>
              <w:contextualSpacing/>
              <w:rPr>
                <w:rFonts w:cstheme="minorHAnsi"/>
                <w:color w:val="000000"/>
              </w:rPr>
            </w:pPr>
            <w:r w:rsidRPr="00F032CE">
              <w:rPr>
                <w:rFonts w:cstheme="minorHAnsi"/>
                <w:color w:val="000000"/>
              </w:rPr>
              <w:t>Unknown</w:t>
            </w:r>
          </w:p>
        </w:tc>
        <w:tc>
          <w:tcPr>
            <w:tcW w:w="1980" w:type="dxa"/>
            <w:tcBorders>
              <w:top w:val="nil"/>
              <w:left w:val="single" w:sz="4" w:space="0" w:color="auto"/>
              <w:bottom w:val="nil"/>
              <w:right w:val="single" w:sz="4" w:space="0" w:color="auto"/>
            </w:tcBorders>
            <w:vAlign w:val="bottom"/>
          </w:tcPr>
          <w:p w14:paraId="6301BA9A" w14:textId="1200C0D1" w:rsidR="00814C19" w:rsidRPr="008C4EFA" w:rsidRDefault="00814C19" w:rsidP="008C4EFA">
            <w:pPr>
              <w:ind w:left="720" w:hanging="557"/>
              <w:contextualSpacing/>
              <w:jc w:val="right"/>
              <w:rPr>
                <w:rFonts w:cstheme="minorHAnsi"/>
                <w:color w:val="000000"/>
              </w:rPr>
            </w:pPr>
            <w:r w:rsidRPr="008C4EFA">
              <w:rPr>
                <w:rFonts w:cstheme="minorHAnsi"/>
                <w:color w:val="000000"/>
              </w:rPr>
              <w:t>1.7%</w:t>
            </w:r>
          </w:p>
        </w:tc>
      </w:tr>
      <w:tr w:rsidR="00814C19" w:rsidRPr="00FA4ED8" w14:paraId="4BCE531F"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6A2BD9E1" w14:textId="151C6356" w:rsidR="00814C19" w:rsidRPr="00F032CE" w:rsidRDefault="00814C19" w:rsidP="008C4EFA">
            <w:pPr>
              <w:ind w:left="720" w:hanging="557"/>
              <w:contextualSpacing/>
              <w:rPr>
                <w:rFonts w:cstheme="minorHAnsi"/>
                <w:color w:val="000000"/>
              </w:rPr>
            </w:pPr>
            <w:r w:rsidRPr="00F032CE">
              <w:rPr>
                <w:rFonts w:cstheme="minorHAnsi"/>
                <w:color w:val="000000"/>
              </w:rPr>
              <w:t>Barnstable County</w:t>
            </w:r>
          </w:p>
        </w:tc>
        <w:tc>
          <w:tcPr>
            <w:tcW w:w="1980" w:type="dxa"/>
            <w:tcBorders>
              <w:top w:val="nil"/>
              <w:left w:val="single" w:sz="4" w:space="0" w:color="auto"/>
              <w:bottom w:val="nil"/>
              <w:right w:val="single" w:sz="4" w:space="0" w:color="auto"/>
            </w:tcBorders>
            <w:vAlign w:val="bottom"/>
          </w:tcPr>
          <w:p w14:paraId="2F52818C" w14:textId="41F1C4E1" w:rsidR="00814C19" w:rsidRPr="008C4EFA" w:rsidRDefault="00814C19" w:rsidP="008C4EFA">
            <w:pPr>
              <w:ind w:left="720" w:hanging="557"/>
              <w:contextualSpacing/>
              <w:jc w:val="right"/>
              <w:rPr>
                <w:rFonts w:cstheme="minorHAnsi"/>
                <w:color w:val="000000"/>
              </w:rPr>
            </w:pPr>
            <w:r w:rsidRPr="008C4EFA">
              <w:rPr>
                <w:rFonts w:cstheme="minorHAnsi"/>
                <w:color w:val="000000"/>
              </w:rPr>
              <w:t>1.4%</w:t>
            </w:r>
          </w:p>
        </w:tc>
      </w:tr>
      <w:tr w:rsidR="00814C19" w:rsidRPr="00FA4ED8" w14:paraId="69050BBF"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4557AC9F" w14:textId="7D1B97C1" w:rsidR="00814C19" w:rsidRPr="00F032CE" w:rsidRDefault="00814C19" w:rsidP="008C4EFA">
            <w:pPr>
              <w:ind w:left="720" w:hanging="557"/>
              <w:contextualSpacing/>
              <w:rPr>
                <w:rFonts w:cstheme="minorHAnsi"/>
                <w:color w:val="000000"/>
              </w:rPr>
            </w:pPr>
            <w:r w:rsidRPr="00F032CE">
              <w:rPr>
                <w:rFonts w:cstheme="minorHAnsi"/>
                <w:color w:val="000000"/>
              </w:rPr>
              <w:t>Franklin County</w:t>
            </w:r>
          </w:p>
        </w:tc>
        <w:tc>
          <w:tcPr>
            <w:tcW w:w="1980" w:type="dxa"/>
            <w:tcBorders>
              <w:top w:val="nil"/>
              <w:left w:val="single" w:sz="4" w:space="0" w:color="auto"/>
              <w:bottom w:val="nil"/>
              <w:right w:val="single" w:sz="4" w:space="0" w:color="auto"/>
            </w:tcBorders>
            <w:vAlign w:val="bottom"/>
          </w:tcPr>
          <w:p w14:paraId="4F8619DD" w14:textId="731AB2FE" w:rsidR="00814C19" w:rsidRPr="008C4EFA" w:rsidRDefault="00814C19" w:rsidP="008C4EFA">
            <w:pPr>
              <w:ind w:left="720" w:hanging="557"/>
              <w:contextualSpacing/>
              <w:jc w:val="right"/>
              <w:rPr>
                <w:rFonts w:cstheme="minorHAnsi"/>
                <w:color w:val="000000"/>
              </w:rPr>
            </w:pPr>
            <w:r w:rsidRPr="008C4EFA">
              <w:rPr>
                <w:rFonts w:cstheme="minorHAnsi"/>
                <w:color w:val="000000"/>
              </w:rPr>
              <w:t>1.3%</w:t>
            </w:r>
          </w:p>
        </w:tc>
      </w:tr>
      <w:tr w:rsidR="00814C19" w:rsidRPr="00FA4ED8" w14:paraId="4FB6A359"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01A09108" w14:textId="2699CC30" w:rsidR="00814C19" w:rsidRPr="00F032CE" w:rsidRDefault="00814C19" w:rsidP="008C4EFA">
            <w:pPr>
              <w:ind w:left="720" w:hanging="557"/>
              <w:contextualSpacing/>
              <w:rPr>
                <w:rFonts w:cstheme="minorHAnsi"/>
                <w:color w:val="000000" w:themeColor="text1"/>
              </w:rPr>
            </w:pPr>
            <w:r w:rsidRPr="00F032CE">
              <w:rPr>
                <w:rFonts w:cstheme="minorHAnsi"/>
                <w:color w:val="000000"/>
              </w:rPr>
              <w:t>Worcester County</w:t>
            </w:r>
          </w:p>
        </w:tc>
        <w:tc>
          <w:tcPr>
            <w:tcW w:w="1980" w:type="dxa"/>
            <w:tcBorders>
              <w:top w:val="nil"/>
              <w:left w:val="single" w:sz="4" w:space="0" w:color="auto"/>
              <w:bottom w:val="nil"/>
              <w:right w:val="single" w:sz="4" w:space="0" w:color="auto"/>
            </w:tcBorders>
            <w:vAlign w:val="bottom"/>
          </w:tcPr>
          <w:p w14:paraId="07E88FF0" w14:textId="6251B082" w:rsidR="00814C19" w:rsidRPr="008C4EFA" w:rsidRDefault="00814C19" w:rsidP="008C4EFA">
            <w:pPr>
              <w:ind w:left="720" w:hanging="557"/>
              <w:contextualSpacing/>
              <w:jc w:val="right"/>
              <w:rPr>
                <w:rFonts w:cstheme="minorHAnsi"/>
                <w:color w:val="000000" w:themeColor="text1"/>
              </w:rPr>
            </w:pPr>
            <w:r w:rsidRPr="008C4EFA">
              <w:rPr>
                <w:rFonts w:cstheme="minorHAnsi"/>
                <w:color w:val="000000"/>
              </w:rPr>
              <w:t>1.3%</w:t>
            </w:r>
          </w:p>
        </w:tc>
      </w:tr>
      <w:tr w:rsidR="00814C19" w:rsidRPr="00FA4ED8" w14:paraId="33DC2128" w14:textId="77777777" w:rsidTr="00E1182D">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2CA57F73" w14:textId="46925B31" w:rsidR="00814C19" w:rsidRPr="00F032CE" w:rsidRDefault="00814C19" w:rsidP="008C4EFA">
            <w:pPr>
              <w:ind w:left="720" w:hanging="557"/>
              <w:contextualSpacing/>
              <w:rPr>
                <w:rFonts w:cstheme="minorHAnsi"/>
                <w:color w:val="000000" w:themeColor="text1"/>
              </w:rPr>
            </w:pPr>
            <w:r w:rsidRPr="00F032CE">
              <w:rPr>
                <w:rFonts w:cstheme="minorHAnsi"/>
                <w:color w:val="000000"/>
              </w:rPr>
              <w:t>Other</w:t>
            </w:r>
            <w:r w:rsidRPr="00F032CE">
              <w:rPr>
                <w:rStyle w:val="FootnoteReference"/>
                <w:rFonts w:cstheme="minorHAnsi"/>
                <w:color w:val="000000"/>
              </w:rPr>
              <w:footnoteReference w:id="7"/>
            </w:r>
          </w:p>
        </w:tc>
        <w:tc>
          <w:tcPr>
            <w:tcW w:w="1980" w:type="dxa"/>
            <w:tcBorders>
              <w:top w:val="nil"/>
              <w:left w:val="single" w:sz="4" w:space="0" w:color="auto"/>
              <w:bottom w:val="nil"/>
              <w:right w:val="single" w:sz="4" w:space="0" w:color="auto"/>
            </w:tcBorders>
            <w:vAlign w:val="bottom"/>
          </w:tcPr>
          <w:p w14:paraId="64172AC1" w14:textId="72ED5D57" w:rsidR="00814C19" w:rsidRPr="008C4EFA" w:rsidRDefault="00814C19" w:rsidP="008C4EFA">
            <w:pPr>
              <w:ind w:left="720" w:hanging="557"/>
              <w:contextualSpacing/>
              <w:jc w:val="right"/>
              <w:rPr>
                <w:rFonts w:cstheme="minorHAnsi"/>
                <w:color w:val="000000" w:themeColor="text1"/>
              </w:rPr>
            </w:pPr>
            <w:r w:rsidRPr="008C4EFA">
              <w:rPr>
                <w:rFonts w:cstheme="minorHAnsi"/>
                <w:color w:val="000000"/>
              </w:rPr>
              <w:t>2.8%</w:t>
            </w:r>
          </w:p>
        </w:tc>
      </w:tr>
      <w:tr w:rsidR="00814C19" w:rsidRPr="00FA4ED8" w14:paraId="302F131A" w14:textId="77777777" w:rsidTr="00E1182D">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1EF0D12D" w14:textId="74E7F875" w:rsidR="00814C19" w:rsidRPr="00B34883" w:rsidRDefault="00814C19" w:rsidP="008C4EFA">
            <w:pPr>
              <w:contextualSpacing/>
              <w:rPr>
                <w:rFonts w:eastAsia="Calibri" w:cstheme="minorHAnsi"/>
                <w:b/>
              </w:rPr>
            </w:pPr>
            <w:r>
              <w:rPr>
                <w:rFonts w:eastAsia="Calibri" w:cstheme="minorHAnsi"/>
                <w:b/>
              </w:rPr>
              <w:lastRenderedPageBreak/>
              <w:t xml:space="preserve">   Total</w:t>
            </w:r>
          </w:p>
        </w:tc>
        <w:tc>
          <w:tcPr>
            <w:tcW w:w="1980" w:type="dxa"/>
            <w:tcBorders>
              <w:top w:val="nil"/>
              <w:left w:val="single" w:sz="4" w:space="0" w:color="auto"/>
              <w:bottom w:val="single" w:sz="4" w:space="0" w:color="auto"/>
              <w:right w:val="single" w:sz="4" w:space="0" w:color="auto"/>
            </w:tcBorders>
            <w:vAlign w:val="bottom"/>
          </w:tcPr>
          <w:p w14:paraId="1795766E" w14:textId="1722C4F3" w:rsidR="00814C19" w:rsidRPr="008C4EFA" w:rsidRDefault="00814C19" w:rsidP="008C4EFA">
            <w:pPr>
              <w:ind w:left="720" w:hanging="557"/>
              <w:contextualSpacing/>
              <w:jc w:val="right"/>
              <w:rPr>
                <w:rFonts w:cstheme="minorHAnsi"/>
                <w:spacing w:val="-5"/>
                <w:highlight w:val="yellow"/>
              </w:rPr>
            </w:pPr>
            <w:r w:rsidRPr="008C4EFA">
              <w:rPr>
                <w:rFonts w:cstheme="minorHAnsi"/>
                <w:b/>
                <w:bCs/>
                <w:color w:val="000000"/>
              </w:rPr>
              <w:t>100.0%</w:t>
            </w:r>
          </w:p>
        </w:tc>
      </w:tr>
    </w:tbl>
    <w:p w14:paraId="4ACB664D" w14:textId="5E80B366" w:rsidR="00730688" w:rsidRPr="00B33957" w:rsidRDefault="00B33957" w:rsidP="003E5301">
      <w:pPr>
        <w:spacing w:after="0" w:line="240" w:lineRule="auto"/>
        <w:jc w:val="center"/>
        <w:rPr>
          <w:rFonts w:cstheme="minorHAnsi"/>
          <w:b/>
          <w:bCs/>
          <w:sz w:val="24"/>
          <w:szCs w:val="24"/>
        </w:rPr>
      </w:pPr>
      <w:r w:rsidRPr="00B33957">
        <w:rPr>
          <w:rFonts w:cstheme="minorHAnsi"/>
          <w:color w:val="000000"/>
        </w:rPr>
        <w:t>Note: Percentage totals may not equal 100% due to rounding.</w:t>
      </w:r>
    </w:p>
    <w:p w14:paraId="20C809FB" w14:textId="7C74B5D9" w:rsidR="00B30C38" w:rsidRDefault="00B30C38" w:rsidP="0059582B">
      <w:pPr>
        <w:spacing w:after="0"/>
      </w:pPr>
    </w:p>
    <w:p w14:paraId="45BCC916" w14:textId="39E845D2" w:rsidR="003C1656" w:rsidRPr="003C1656" w:rsidRDefault="003C1656" w:rsidP="003C1656">
      <w:pPr>
        <w:spacing w:after="0" w:line="240" w:lineRule="auto"/>
        <w:rPr>
          <w:sz w:val="24"/>
          <w:szCs w:val="24"/>
        </w:rPr>
      </w:pPr>
      <w:r w:rsidRPr="003C1656">
        <w:rPr>
          <w:sz w:val="24"/>
          <w:szCs w:val="24"/>
        </w:rPr>
        <w:t xml:space="preserve">Table </w:t>
      </w:r>
      <w:r>
        <w:rPr>
          <w:sz w:val="24"/>
          <w:szCs w:val="24"/>
        </w:rPr>
        <w:t>4</w:t>
      </w:r>
      <w:r w:rsidRPr="003C1656">
        <w:rPr>
          <w:sz w:val="24"/>
          <w:szCs w:val="24"/>
        </w:rPr>
        <w:t xml:space="preserve"> shows the demographic characteristics of Encompass Western Mass, the facility targeted in the Application. Staff notes the following observations:</w:t>
      </w:r>
    </w:p>
    <w:p w14:paraId="767B2B6E" w14:textId="77777777" w:rsidR="003C1656" w:rsidRPr="003C1656" w:rsidRDefault="003C1656" w:rsidP="003C1656">
      <w:pPr>
        <w:spacing w:after="0" w:line="240" w:lineRule="auto"/>
        <w:rPr>
          <w:sz w:val="24"/>
          <w:szCs w:val="24"/>
        </w:rPr>
      </w:pPr>
    </w:p>
    <w:p w14:paraId="6E3E097A" w14:textId="77777777" w:rsidR="003C1656" w:rsidRPr="003C1656" w:rsidRDefault="003C1656" w:rsidP="003C1656">
      <w:pPr>
        <w:numPr>
          <w:ilvl w:val="0"/>
          <w:numId w:val="1"/>
        </w:numPr>
        <w:spacing w:after="0" w:line="240" w:lineRule="auto"/>
        <w:rPr>
          <w:b/>
          <w:bCs/>
          <w:sz w:val="24"/>
          <w:szCs w:val="24"/>
        </w:rPr>
      </w:pPr>
      <w:r w:rsidRPr="003C1656">
        <w:rPr>
          <w:b/>
          <w:bCs/>
          <w:sz w:val="24"/>
          <w:szCs w:val="24"/>
        </w:rPr>
        <w:t>Age-</w:t>
      </w:r>
      <w:r w:rsidRPr="003C1656">
        <w:rPr>
          <w:rFonts w:ascii="Times New Roman" w:hAnsi="Times New Roman" w:cs="Times New Roman"/>
          <w:sz w:val="24"/>
          <w:szCs w:val="24"/>
        </w:rPr>
        <w:t xml:space="preserve"> </w:t>
      </w:r>
      <w:proofErr w:type="gramStart"/>
      <w:r w:rsidRPr="003C1656">
        <w:rPr>
          <w:sz w:val="24"/>
          <w:szCs w:val="24"/>
        </w:rPr>
        <w:t>Similar to</w:t>
      </w:r>
      <w:proofErr w:type="gramEnd"/>
      <w:r w:rsidRPr="003C1656">
        <w:rPr>
          <w:sz w:val="24"/>
          <w:szCs w:val="24"/>
        </w:rPr>
        <w:t xml:space="preserve"> the Applicant, the vast majority of the Hospital’s patients (more than 75% annually) are </w:t>
      </w:r>
      <w:proofErr w:type="gramStart"/>
      <w:r w:rsidRPr="003C1656">
        <w:rPr>
          <w:sz w:val="24"/>
          <w:szCs w:val="24"/>
        </w:rPr>
        <w:t>ages</w:t>
      </w:r>
      <w:proofErr w:type="gramEnd"/>
      <w:r w:rsidRPr="003C1656">
        <w:rPr>
          <w:sz w:val="24"/>
          <w:szCs w:val="24"/>
        </w:rPr>
        <w:t xml:space="preserve"> 65 and over. The Applicant notes that the average age of the Hospital’s patients during the most three recent calendar years was 73.</w:t>
      </w:r>
      <w:r w:rsidRPr="003C1656">
        <w:rPr>
          <w:sz w:val="24"/>
          <w:szCs w:val="24"/>
          <w:vertAlign w:val="superscript"/>
        </w:rPr>
        <w:footnoteReference w:id="8"/>
      </w:r>
      <w:r w:rsidRPr="003C1656">
        <w:rPr>
          <w:sz w:val="24"/>
          <w:szCs w:val="24"/>
        </w:rPr>
        <w:t xml:space="preserve"> </w:t>
      </w:r>
    </w:p>
    <w:p w14:paraId="5CFE8A86" w14:textId="77777777" w:rsidR="003C1656" w:rsidRPr="003C1656" w:rsidRDefault="003C1656" w:rsidP="003C1656">
      <w:pPr>
        <w:numPr>
          <w:ilvl w:val="0"/>
          <w:numId w:val="1"/>
        </w:numPr>
        <w:spacing w:after="0" w:line="240" w:lineRule="auto"/>
        <w:rPr>
          <w:sz w:val="24"/>
          <w:szCs w:val="24"/>
        </w:rPr>
      </w:pPr>
      <w:r w:rsidRPr="003C1656">
        <w:rPr>
          <w:b/>
          <w:bCs/>
          <w:sz w:val="24"/>
          <w:szCs w:val="24"/>
        </w:rPr>
        <w:t>Race/Ethnicity-</w:t>
      </w:r>
      <w:r w:rsidRPr="003C1656">
        <w:rPr>
          <w:sz w:val="24"/>
          <w:szCs w:val="24"/>
        </w:rPr>
        <w:t xml:space="preserve"> </w:t>
      </w:r>
      <w:r w:rsidRPr="003C1656">
        <w:rPr>
          <w:rFonts w:cstheme="minorHAnsi"/>
          <w:sz w:val="24"/>
          <w:szCs w:val="24"/>
        </w:rPr>
        <w:t>The Hospital’s patient population reflects the demographic profile of the Proposed Project’s home county (Hampden), with the majority identifying as white.</w:t>
      </w:r>
    </w:p>
    <w:p w14:paraId="2C15249A" w14:textId="77777777" w:rsidR="003C1656" w:rsidRPr="003C1656" w:rsidRDefault="003C1656" w:rsidP="003C1656">
      <w:pPr>
        <w:numPr>
          <w:ilvl w:val="0"/>
          <w:numId w:val="1"/>
        </w:numPr>
        <w:spacing w:after="0" w:line="240" w:lineRule="auto"/>
        <w:rPr>
          <w:sz w:val="24"/>
          <w:szCs w:val="24"/>
        </w:rPr>
      </w:pPr>
      <w:r w:rsidRPr="003C1656">
        <w:rPr>
          <w:b/>
          <w:bCs/>
          <w:sz w:val="24"/>
          <w:szCs w:val="24"/>
        </w:rPr>
        <w:t xml:space="preserve">Payer Mix- </w:t>
      </w:r>
      <w:r w:rsidRPr="003C1656">
        <w:rPr>
          <w:sz w:val="24"/>
          <w:szCs w:val="24"/>
        </w:rPr>
        <w:t>Over 78% of patients are covered by a type of Medicare insurance.</w:t>
      </w:r>
    </w:p>
    <w:p w14:paraId="4229ED54" w14:textId="77777777" w:rsidR="003C1656" w:rsidRPr="003C1656" w:rsidRDefault="003C1656" w:rsidP="003C1656">
      <w:pPr>
        <w:numPr>
          <w:ilvl w:val="0"/>
          <w:numId w:val="1"/>
        </w:numPr>
        <w:spacing w:after="0" w:line="240" w:lineRule="auto"/>
        <w:contextualSpacing/>
        <w:rPr>
          <w:sz w:val="24"/>
          <w:szCs w:val="24"/>
        </w:rPr>
      </w:pPr>
      <w:r w:rsidRPr="003C1656">
        <w:rPr>
          <w:b/>
          <w:bCs/>
          <w:sz w:val="24"/>
          <w:szCs w:val="24"/>
        </w:rPr>
        <w:t>Patient Origin-</w:t>
      </w:r>
      <w:r w:rsidRPr="003C1656">
        <w:rPr>
          <w:sz w:val="24"/>
          <w:szCs w:val="24"/>
        </w:rPr>
        <w:t xml:space="preserve"> </w:t>
      </w:r>
      <w:r w:rsidRPr="003C1656">
        <w:rPr>
          <w:rFonts w:cstheme="minorHAnsi"/>
          <w:sz w:val="24"/>
          <w:szCs w:val="24"/>
        </w:rPr>
        <w:t>Residents from Hampden and Hampshire counties combined account for approximately 89% of the Hospital’s annual admissions.</w:t>
      </w:r>
    </w:p>
    <w:p w14:paraId="5D8290FF" w14:textId="77777777" w:rsidR="003C1656" w:rsidRPr="003C1656" w:rsidRDefault="003C1656" w:rsidP="003C1656">
      <w:pPr>
        <w:spacing w:after="0" w:line="240" w:lineRule="auto"/>
        <w:jc w:val="center"/>
        <w:rPr>
          <w:b/>
          <w:bCs/>
          <w:sz w:val="24"/>
          <w:szCs w:val="24"/>
        </w:rPr>
      </w:pPr>
    </w:p>
    <w:p w14:paraId="75016C89" w14:textId="77777777" w:rsidR="003C1656" w:rsidRPr="003C1656" w:rsidRDefault="003C1656" w:rsidP="003C1656">
      <w:pPr>
        <w:spacing w:after="0" w:line="240" w:lineRule="auto"/>
        <w:jc w:val="center"/>
        <w:rPr>
          <w:b/>
          <w:bCs/>
          <w:sz w:val="24"/>
          <w:szCs w:val="24"/>
        </w:rPr>
      </w:pPr>
    </w:p>
    <w:p w14:paraId="52ADC52B" w14:textId="7C2DD494" w:rsidR="003C1656" w:rsidRPr="003C1656" w:rsidRDefault="003C1656" w:rsidP="003C1656">
      <w:pPr>
        <w:spacing w:after="0" w:line="240" w:lineRule="auto"/>
        <w:contextualSpacing/>
        <w:jc w:val="center"/>
        <w:rPr>
          <w:rFonts w:cstheme="minorHAnsi"/>
          <w:b/>
          <w:bCs/>
          <w:color w:val="2F5496" w:themeColor="accent1" w:themeShade="BF"/>
          <w:sz w:val="24"/>
          <w:szCs w:val="24"/>
        </w:rPr>
      </w:pPr>
      <w:r w:rsidRPr="003C1656">
        <w:rPr>
          <w:rFonts w:cstheme="minorHAnsi"/>
          <w:b/>
          <w:bCs/>
          <w:color w:val="2F5496" w:themeColor="accent1" w:themeShade="BF"/>
          <w:sz w:val="24"/>
          <w:szCs w:val="24"/>
          <w:u w:val="single"/>
        </w:rPr>
        <w:t xml:space="preserve">Table </w:t>
      </w:r>
      <w:r>
        <w:rPr>
          <w:rFonts w:cstheme="minorHAnsi"/>
          <w:b/>
          <w:bCs/>
          <w:color w:val="2F5496" w:themeColor="accent1" w:themeShade="BF"/>
          <w:sz w:val="24"/>
          <w:szCs w:val="24"/>
          <w:u w:val="single"/>
        </w:rPr>
        <w:t>4</w:t>
      </w:r>
      <w:r w:rsidRPr="003C1656">
        <w:rPr>
          <w:rFonts w:cstheme="minorHAnsi"/>
          <w:b/>
          <w:bCs/>
          <w:color w:val="2F5496" w:themeColor="accent1" w:themeShade="BF"/>
          <w:sz w:val="24"/>
          <w:szCs w:val="24"/>
        </w:rPr>
        <w:t>: Encompass Western Mass Patient Population Demographic Profile</w:t>
      </w:r>
    </w:p>
    <w:tbl>
      <w:tblPr>
        <w:tblStyle w:val="TableGrid1"/>
        <w:tblW w:w="0" w:type="auto"/>
        <w:jc w:val="center"/>
        <w:tblLook w:val="04A0" w:firstRow="1" w:lastRow="0" w:firstColumn="1" w:lastColumn="0" w:noHBand="0" w:noVBand="1"/>
      </w:tblPr>
      <w:tblGrid>
        <w:gridCol w:w="5215"/>
        <w:gridCol w:w="1980"/>
      </w:tblGrid>
      <w:tr w:rsidR="003C1656" w:rsidRPr="003C1656" w14:paraId="09F304C0" w14:textId="77777777" w:rsidTr="00262CC5">
        <w:trPr>
          <w:cantSplit/>
          <w:trHeight w:val="144"/>
          <w:tblHeader/>
          <w:jc w:val="center"/>
        </w:trPr>
        <w:tc>
          <w:tcPr>
            <w:tcW w:w="5215" w:type="dxa"/>
            <w:tcBorders>
              <w:bottom w:val="single" w:sz="4" w:space="0" w:color="auto"/>
            </w:tcBorders>
            <w:shd w:val="clear" w:color="auto" w:fill="D9E2F3" w:themeFill="accent1" w:themeFillTint="33"/>
          </w:tcPr>
          <w:p w14:paraId="6F71F722" w14:textId="77777777" w:rsidR="003C1656" w:rsidRPr="003C1656" w:rsidRDefault="003C1656" w:rsidP="003C1656">
            <w:pPr>
              <w:rPr>
                <w:rFonts w:cstheme="minorHAnsi"/>
                <w:highlight w:val="yellow"/>
              </w:rPr>
            </w:pPr>
          </w:p>
        </w:tc>
        <w:tc>
          <w:tcPr>
            <w:tcW w:w="1980" w:type="dxa"/>
            <w:tcBorders>
              <w:bottom w:val="single" w:sz="4" w:space="0" w:color="auto"/>
            </w:tcBorders>
            <w:shd w:val="clear" w:color="auto" w:fill="D9E2F3" w:themeFill="accent1" w:themeFillTint="33"/>
          </w:tcPr>
          <w:p w14:paraId="0222BE81" w14:textId="77777777" w:rsidR="003C1656" w:rsidRPr="003C1656" w:rsidRDefault="003C1656" w:rsidP="003C1656">
            <w:pPr>
              <w:jc w:val="center"/>
              <w:rPr>
                <w:rFonts w:eastAsia="Calibri" w:cstheme="minorHAnsi"/>
                <w:b/>
              </w:rPr>
            </w:pPr>
            <w:r w:rsidRPr="003C1656">
              <w:rPr>
                <w:rFonts w:eastAsia="Calibri" w:cstheme="minorHAnsi"/>
                <w:b/>
              </w:rPr>
              <w:t>CY2022 Totals</w:t>
            </w:r>
          </w:p>
        </w:tc>
      </w:tr>
      <w:tr w:rsidR="003C1656" w:rsidRPr="003C1656" w14:paraId="2E1F7DA2" w14:textId="77777777" w:rsidTr="00262CC5">
        <w:trPr>
          <w:cantSplit/>
          <w:trHeight w:val="144"/>
          <w:jc w:val="center"/>
        </w:trPr>
        <w:tc>
          <w:tcPr>
            <w:tcW w:w="5215" w:type="dxa"/>
            <w:tcBorders>
              <w:bottom w:val="single" w:sz="4" w:space="0" w:color="auto"/>
            </w:tcBorders>
          </w:tcPr>
          <w:p w14:paraId="4B0A01D5" w14:textId="77777777" w:rsidR="003C1656" w:rsidRPr="003C1656" w:rsidRDefault="003C1656" w:rsidP="003C1656">
            <w:pPr>
              <w:rPr>
                <w:rFonts w:cstheme="minorHAnsi"/>
                <w:highlight w:val="yellow"/>
              </w:rPr>
            </w:pPr>
            <w:r w:rsidRPr="003C1656">
              <w:rPr>
                <w:rFonts w:eastAsia="Calibri" w:cstheme="minorHAnsi"/>
                <w:b/>
              </w:rPr>
              <w:t>Total Unique Patients</w:t>
            </w:r>
          </w:p>
        </w:tc>
        <w:tc>
          <w:tcPr>
            <w:tcW w:w="1980" w:type="dxa"/>
            <w:tcBorders>
              <w:bottom w:val="single" w:sz="4" w:space="0" w:color="auto"/>
            </w:tcBorders>
          </w:tcPr>
          <w:p w14:paraId="59F52F2B" w14:textId="77777777" w:rsidR="003C1656" w:rsidRPr="003C1656" w:rsidRDefault="003C1656" w:rsidP="003C1656">
            <w:pPr>
              <w:ind w:left="720" w:hanging="557"/>
              <w:contextualSpacing/>
              <w:jc w:val="right"/>
              <w:rPr>
                <w:rFonts w:eastAsia="Calibri" w:cstheme="minorHAnsi"/>
                <w:bCs/>
                <w:highlight w:val="yellow"/>
              </w:rPr>
            </w:pPr>
            <w:r w:rsidRPr="003C1656">
              <w:rPr>
                <w:rFonts w:cstheme="minorHAnsi"/>
                <w:b/>
                <w:bCs/>
                <w:color w:val="000000"/>
              </w:rPr>
              <w:t>1,282</w:t>
            </w:r>
          </w:p>
        </w:tc>
      </w:tr>
      <w:tr w:rsidR="003C1656" w:rsidRPr="003C1656" w14:paraId="7DDA9841" w14:textId="77777777" w:rsidTr="00262CC5">
        <w:trPr>
          <w:cantSplit/>
          <w:trHeight w:val="144"/>
          <w:jc w:val="center"/>
        </w:trPr>
        <w:tc>
          <w:tcPr>
            <w:tcW w:w="5215" w:type="dxa"/>
            <w:tcBorders>
              <w:top w:val="single" w:sz="4" w:space="0" w:color="auto"/>
              <w:left w:val="single" w:sz="4" w:space="0" w:color="auto"/>
              <w:bottom w:val="nil"/>
              <w:right w:val="single" w:sz="4" w:space="0" w:color="auto"/>
            </w:tcBorders>
          </w:tcPr>
          <w:p w14:paraId="092370BE" w14:textId="77777777" w:rsidR="003C1656" w:rsidRPr="003C1656" w:rsidRDefault="003C1656" w:rsidP="003C1656">
            <w:pPr>
              <w:contextualSpacing/>
              <w:rPr>
                <w:rFonts w:eastAsia="Calibri" w:cstheme="minorHAnsi"/>
                <w:bCs/>
              </w:rPr>
            </w:pPr>
            <w:r w:rsidRPr="003C1656">
              <w:rPr>
                <w:rFonts w:eastAsia="Calibri" w:cstheme="minorHAnsi"/>
                <w:b/>
              </w:rPr>
              <w:t>Gender</w:t>
            </w:r>
          </w:p>
        </w:tc>
        <w:tc>
          <w:tcPr>
            <w:tcW w:w="1980" w:type="dxa"/>
            <w:tcBorders>
              <w:top w:val="single" w:sz="4" w:space="0" w:color="auto"/>
              <w:left w:val="single" w:sz="4" w:space="0" w:color="auto"/>
              <w:bottom w:val="nil"/>
              <w:right w:val="single" w:sz="4" w:space="0" w:color="auto"/>
            </w:tcBorders>
          </w:tcPr>
          <w:p w14:paraId="2FA8E80A" w14:textId="77777777" w:rsidR="003C1656" w:rsidRPr="003C1656" w:rsidRDefault="003C1656" w:rsidP="003C1656">
            <w:pPr>
              <w:contextualSpacing/>
              <w:rPr>
                <w:rFonts w:eastAsia="Calibri" w:cstheme="minorHAnsi"/>
                <w:bCs/>
              </w:rPr>
            </w:pPr>
          </w:p>
        </w:tc>
      </w:tr>
      <w:tr w:rsidR="003C1656" w:rsidRPr="003C1656" w14:paraId="46AC41E5" w14:textId="77777777" w:rsidTr="00262CC5">
        <w:trPr>
          <w:cantSplit/>
          <w:trHeight w:val="144"/>
          <w:jc w:val="center"/>
        </w:trPr>
        <w:tc>
          <w:tcPr>
            <w:tcW w:w="5215" w:type="dxa"/>
            <w:tcBorders>
              <w:top w:val="nil"/>
              <w:left w:val="single" w:sz="4" w:space="0" w:color="auto"/>
              <w:bottom w:val="nil"/>
              <w:right w:val="single" w:sz="4" w:space="0" w:color="auto"/>
            </w:tcBorders>
          </w:tcPr>
          <w:p w14:paraId="460FE089" w14:textId="77777777" w:rsidR="003C1656" w:rsidRPr="003C1656" w:rsidRDefault="003C1656" w:rsidP="003C1656">
            <w:pPr>
              <w:contextualSpacing/>
              <w:rPr>
                <w:rFonts w:eastAsia="Calibri" w:cstheme="minorHAnsi"/>
                <w:b/>
              </w:rPr>
            </w:pPr>
            <w:r w:rsidRPr="003C1656">
              <w:rPr>
                <w:rFonts w:eastAsia="Calibri" w:cstheme="minorHAnsi"/>
                <w:bCs/>
              </w:rPr>
              <w:t xml:space="preserve">   Female</w:t>
            </w:r>
          </w:p>
        </w:tc>
        <w:tc>
          <w:tcPr>
            <w:tcW w:w="1980" w:type="dxa"/>
            <w:tcBorders>
              <w:top w:val="nil"/>
              <w:left w:val="single" w:sz="4" w:space="0" w:color="auto"/>
              <w:bottom w:val="nil"/>
              <w:right w:val="single" w:sz="4" w:space="0" w:color="auto"/>
            </w:tcBorders>
          </w:tcPr>
          <w:p w14:paraId="6A25C966" w14:textId="77777777" w:rsidR="003C1656" w:rsidRPr="003C1656" w:rsidRDefault="003C1656" w:rsidP="003C1656">
            <w:pPr>
              <w:ind w:left="720" w:hanging="557"/>
              <w:contextualSpacing/>
              <w:jc w:val="right"/>
              <w:rPr>
                <w:rFonts w:eastAsia="Calibri" w:cstheme="minorHAnsi"/>
                <w:bCs/>
              </w:rPr>
            </w:pPr>
            <w:r w:rsidRPr="003C1656">
              <w:rPr>
                <w:rFonts w:cstheme="minorHAnsi"/>
              </w:rPr>
              <w:t>53.1%</w:t>
            </w:r>
          </w:p>
        </w:tc>
      </w:tr>
      <w:tr w:rsidR="003C1656" w:rsidRPr="003C1656" w14:paraId="4CE4A16F" w14:textId="77777777" w:rsidTr="00262CC5">
        <w:trPr>
          <w:cantSplit/>
          <w:trHeight w:val="144"/>
          <w:jc w:val="center"/>
        </w:trPr>
        <w:tc>
          <w:tcPr>
            <w:tcW w:w="5215" w:type="dxa"/>
            <w:tcBorders>
              <w:top w:val="nil"/>
              <w:left w:val="single" w:sz="4" w:space="0" w:color="auto"/>
              <w:bottom w:val="nil"/>
              <w:right w:val="single" w:sz="4" w:space="0" w:color="auto"/>
            </w:tcBorders>
          </w:tcPr>
          <w:p w14:paraId="5968C0FC" w14:textId="77777777" w:rsidR="003C1656" w:rsidRPr="003C1656" w:rsidRDefault="003C1656" w:rsidP="003C1656">
            <w:pPr>
              <w:ind w:left="720" w:hanging="557"/>
              <w:contextualSpacing/>
              <w:rPr>
                <w:rFonts w:eastAsia="Calibri" w:cstheme="minorHAnsi"/>
                <w:bCs/>
              </w:rPr>
            </w:pPr>
            <w:r w:rsidRPr="003C1656">
              <w:rPr>
                <w:rFonts w:eastAsia="Calibri" w:cstheme="minorHAnsi"/>
                <w:bCs/>
              </w:rPr>
              <w:t>Male</w:t>
            </w:r>
          </w:p>
        </w:tc>
        <w:tc>
          <w:tcPr>
            <w:tcW w:w="1980" w:type="dxa"/>
            <w:tcBorders>
              <w:top w:val="nil"/>
              <w:left w:val="single" w:sz="4" w:space="0" w:color="auto"/>
              <w:bottom w:val="nil"/>
              <w:right w:val="single" w:sz="4" w:space="0" w:color="auto"/>
            </w:tcBorders>
          </w:tcPr>
          <w:p w14:paraId="22C078BD" w14:textId="77777777" w:rsidR="003C1656" w:rsidRPr="003C1656" w:rsidRDefault="003C1656" w:rsidP="003C1656">
            <w:pPr>
              <w:ind w:left="720" w:hanging="557"/>
              <w:contextualSpacing/>
              <w:jc w:val="right"/>
              <w:rPr>
                <w:rFonts w:eastAsia="Calibri" w:cstheme="minorHAnsi"/>
                <w:bCs/>
              </w:rPr>
            </w:pPr>
            <w:r w:rsidRPr="003C1656">
              <w:rPr>
                <w:rFonts w:cstheme="minorHAnsi"/>
              </w:rPr>
              <w:t>46.9%</w:t>
            </w:r>
          </w:p>
        </w:tc>
      </w:tr>
      <w:tr w:rsidR="003C1656" w:rsidRPr="003C1656" w14:paraId="7E267347" w14:textId="77777777" w:rsidTr="00262CC5">
        <w:trPr>
          <w:cantSplit/>
          <w:trHeight w:val="144"/>
          <w:jc w:val="center"/>
        </w:trPr>
        <w:tc>
          <w:tcPr>
            <w:tcW w:w="5215" w:type="dxa"/>
            <w:tcBorders>
              <w:top w:val="nil"/>
              <w:left w:val="single" w:sz="4" w:space="0" w:color="auto"/>
              <w:bottom w:val="single" w:sz="4" w:space="0" w:color="auto"/>
              <w:right w:val="single" w:sz="4" w:space="0" w:color="auto"/>
            </w:tcBorders>
          </w:tcPr>
          <w:p w14:paraId="7A11F0B1" w14:textId="77777777" w:rsidR="003C1656" w:rsidRPr="003C1656" w:rsidRDefault="003C1656" w:rsidP="003C1656">
            <w:pPr>
              <w:contextualSpacing/>
              <w:rPr>
                <w:rFonts w:eastAsia="Calibri" w:cstheme="minorHAnsi"/>
                <w:bCs/>
              </w:rPr>
            </w:pPr>
            <w:r w:rsidRPr="003C1656">
              <w:rPr>
                <w:rFonts w:eastAsia="Calibri" w:cstheme="minorHAnsi"/>
                <w:b/>
              </w:rPr>
              <w:t xml:space="preserve">   Total</w:t>
            </w:r>
          </w:p>
        </w:tc>
        <w:tc>
          <w:tcPr>
            <w:tcW w:w="1980" w:type="dxa"/>
            <w:tcBorders>
              <w:top w:val="nil"/>
              <w:left w:val="single" w:sz="4" w:space="0" w:color="auto"/>
              <w:bottom w:val="single" w:sz="4" w:space="0" w:color="auto"/>
              <w:right w:val="single" w:sz="4" w:space="0" w:color="auto"/>
            </w:tcBorders>
          </w:tcPr>
          <w:p w14:paraId="1D4BC08C" w14:textId="77777777" w:rsidR="003C1656" w:rsidRPr="003C1656" w:rsidRDefault="003C1656" w:rsidP="003C1656">
            <w:pPr>
              <w:ind w:left="720" w:hanging="557"/>
              <w:contextualSpacing/>
              <w:jc w:val="right"/>
              <w:rPr>
                <w:rFonts w:eastAsia="Calibri" w:cstheme="minorHAnsi"/>
                <w:b/>
              </w:rPr>
            </w:pPr>
            <w:r w:rsidRPr="003C1656">
              <w:rPr>
                <w:rFonts w:eastAsia="Calibri" w:cstheme="minorHAnsi"/>
                <w:b/>
              </w:rPr>
              <w:t>100.0%</w:t>
            </w:r>
          </w:p>
        </w:tc>
      </w:tr>
      <w:tr w:rsidR="003C1656" w:rsidRPr="003C1656" w14:paraId="25AF40AA" w14:textId="77777777" w:rsidTr="00262CC5">
        <w:trPr>
          <w:cantSplit/>
          <w:trHeight w:val="144"/>
          <w:jc w:val="center"/>
        </w:trPr>
        <w:tc>
          <w:tcPr>
            <w:tcW w:w="5215" w:type="dxa"/>
            <w:tcBorders>
              <w:top w:val="single" w:sz="4" w:space="0" w:color="auto"/>
              <w:left w:val="single" w:sz="4" w:space="0" w:color="auto"/>
              <w:bottom w:val="nil"/>
              <w:right w:val="single" w:sz="4" w:space="0" w:color="auto"/>
            </w:tcBorders>
          </w:tcPr>
          <w:p w14:paraId="24216261" w14:textId="77777777" w:rsidR="003C1656" w:rsidRPr="003C1656" w:rsidRDefault="003C1656" w:rsidP="003C1656">
            <w:pPr>
              <w:ind w:left="520" w:hanging="557"/>
              <w:contextualSpacing/>
              <w:rPr>
                <w:rFonts w:eastAsia="Calibri" w:cstheme="minorHAnsi"/>
                <w:b/>
              </w:rPr>
            </w:pPr>
            <w:r w:rsidRPr="003C1656">
              <w:rPr>
                <w:rFonts w:eastAsia="Calibri" w:cstheme="minorHAnsi"/>
                <w:b/>
              </w:rPr>
              <w:t>Age</w:t>
            </w:r>
          </w:p>
        </w:tc>
        <w:tc>
          <w:tcPr>
            <w:tcW w:w="1980" w:type="dxa"/>
            <w:tcBorders>
              <w:top w:val="single" w:sz="4" w:space="0" w:color="auto"/>
              <w:left w:val="single" w:sz="4" w:space="0" w:color="auto"/>
              <w:bottom w:val="nil"/>
              <w:right w:val="single" w:sz="4" w:space="0" w:color="auto"/>
            </w:tcBorders>
          </w:tcPr>
          <w:p w14:paraId="2FC7F92F" w14:textId="77777777" w:rsidR="003C1656" w:rsidRPr="003C1656" w:rsidRDefault="003C1656" w:rsidP="003C1656">
            <w:pPr>
              <w:ind w:left="520" w:hanging="557"/>
              <w:contextualSpacing/>
              <w:jc w:val="right"/>
              <w:rPr>
                <w:rFonts w:eastAsia="Calibri" w:cstheme="minorHAnsi"/>
                <w:b/>
              </w:rPr>
            </w:pPr>
          </w:p>
        </w:tc>
      </w:tr>
      <w:tr w:rsidR="003C1656" w:rsidRPr="003C1656" w14:paraId="4D4138D6" w14:textId="77777777" w:rsidTr="00262CC5">
        <w:trPr>
          <w:cantSplit/>
          <w:trHeight w:val="144"/>
          <w:jc w:val="center"/>
        </w:trPr>
        <w:tc>
          <w:tcPr>
            <w:tcW w:w="5215" w:type="dxa"/>
            <w:tcBorders>
              <w:top w:val="nil"/>
              <w:left w:val="single" w:sz="4" w:space="0" w:color="auto"/>
              <w:bottom w:val="nil"/>
              <w:right w:val="single" w:sz="4" w:space="0" w:color="auto"/>
            </w:tcBorders>
          </w:tcPr>
          <w:p w14:paraId="4F508343" w14:textId="77777777" w:rsidR="003C1656" w:rsidRPr="003C1656" w:rsidRDefault="003C1656" w:rsidP="003C1656">
            <w:pPr>
              <w:contextualSpacing/>
              <w:rPr>
                <w:rFonts w:eastAsia="Calibri" w:cstheme="minorHAnsi"/>
                <w:bCs/>
              </w:rPr>
            </w:pPr>
            <w:r w:rsidRPr="003C1656">
              <w:rPr>
                <w:rFonts w:eastAsia="Calibri" w:cstheme="minorHAnsi"/>
                <w:bCs/>
              </w:rPr>
              <w:t xml:space="preserve">    </w:t>
            </w:r>
            <w:r w:rsidRPr="003C1656">
              <w:rPr>
                <w:rFonts w:cstheme="minorHAnsi"/>
              </w:rPr>
              <w:t>&lt; 18 to 34</w:t>
            </w:r>
            <w:r w:rsidRPr="003C1656">
              <w:rPr>
                <w:rFonts w:cstheme="minorHAnsi"/>
                <w:vertAlign w:val="superscript"/>
              </w:rPr>
              <w:footnoteReference w:id="9"/>
            </w:r>
          </w:p>
        </w:tc>
        <w:tc>
          <w:tcPr>
            <w:tcW w:w="1980" w:type="dxa"/>
            <w:tcBorders>
              <w:top w:val="nil"/>
              <w:left w:val="single" w:sz="4" w:space="0" w:color="auto"/>
              <w:bottom w:val="nil"/>
              <w:right w:val="single" w:sz="4" w:space="0" w:color="auto"/>
            </w:tcBorders>
            <w:vAlign w:val="bottom"/>
          </w:tcPr>
          <w:p w14:paraId="5EC88272"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3.3%</w:t>
            </w:r>
          </w:p>
        </w:tc>
      </w:tr>
      <w:tr w:rsidR="003C1656" w:rsidRPr="003C1656" w14:paraId="7B41FC0B" w14:textId="77777777" w:rsidTr="00262CC5">
        <w:trPr>
          <w:cantSplit/>
          <w:trHeight w:val="144"/>
          <w:jc w:val="center"/>
        </w:trPr>
        <w:tc>
          <w:tcPr>
            <w:tcW w:w="5215" w:type="dxa"/>
            <w:tcBorders>
              <w:top w:val="nil"/>
              <w:left w:val="single" w:sz="4" w:space="0" w:color="auto"/>
              <w:bottom w:val="nil"/>
              <w:right w:val="single" w:sz="4" w:space="0" w:color="auto"/>
            </w:tcBorders>
          </w:tcPr>
          <w:p w14:paraId="5A2E5962" w14:textId="77777777" w:rsidR="003C1656" w:rsidRPr="003C1656" w:rsidRDefault="003C1656" w:rsidP="003C1656">
            <w:pPr>
              <w:contextualSpacing/>
              <w:rPr>
                <w:rFonts w:eastAsia="Calibri" w:cstheme="minorHAnsi"/>
                <w:b/>
              </w:rPr>
            </w:pPr>
            <w:r w:rsidRPr="003C1656">
              <w:rPr>
                <w:rFonts w:cstheme="minorHAnsi"/>
              </w:rPr>
              <w:t xml:space="preserve">   35 to 49</w:t>
            </w:r>
          </w:p>
        </w:tc>
        <w:tc>
          <w:tcPr>
            <w:tcW w:w="1980" w:type="dxa"/>
            <w:tcBorders>
              <w:top w:val="nil"/>
              <w:left w:val="single" w:sz="4" w:space="0" w:color="auto"/>
              <w:bottom w:val="nil"/>
              <w:right w:val="single" w:sz="4" w:space="0" w:color="auto"/>
            </w:tcBorders>
            <w:vAlign w:val="bottom"/>
          </w:tcPr>
          <w:p w14:paraId="3F27F72B"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4.6%</w:t>
            </w:r>
          </w:p>
        </w:tc>
      </w:tr>
      <w:tr w:rsidR="003C1656" w:rsidRPr="003C1656" w14:paraId="6458DF97" w14:textId="77777777" w:rsidTr="00262CC5">
        <w:trPr>
          <w:cantSplit/>
          <w:trHeight w:val="144"/>
          <w:jc w:val="center"/>
        </w:trPr>
        <w:tc>
          <w:tcPr>
            <w:tcW w:w="5215" w:type="dxa"/>
            <w:tcBorders>
              <w:top w:val="nil"/>
              <w:left w:val="single" w:sz="4" w:space="0" w:color="auto"/>
              <w:bottom w:val="nil"/>
              <w:right w:val="single" w:sz="4" w:space="0" w:color="auto"/>
            </w:tcBorders>
          </w:tcPr>
          <w:p w14:paraId="2D6F2084" w14:textId="77777777" w:rsidR="003C1656" w:rsidRPr="003C1656" w:rsidRDefault="003C1656" w:rsidP="003C1656">
            <w:pPr>
              <w:ind w:left="720" w:hanging="557"/>
              <w:contextualSpacing/>
              <w:rPr>
                <w:rFonts w:eastAsia="Calibri" w:cstheme="minorHAnsi"/>
                <w:bCs/>
              </w:rPr>
            </w:pPr>
            <w:r w:rsidRPr="003C1656">
              <w:rPr>
                <w:rFonts w:cstheme="minorHAnsi"/>
              </w:rPr>
              <w:t>50 to 64</w:t>
            </w:r>
          </w:p>
        </w:tc>
        <w:tc>
          <w:tcPr>
            <w:tcW w:w="1980" w:type="dxa"/>
            <w:tcBorders>
              <w:top w:val="nil"/>
              <w:left w:val="single" w:sz="4" w:space="0" w:color="auto"/>
              <w:bottom w:val="nil"/>
              <w:right w:val="single" w:sz="4" w:space="0" w:color="auto"/>
            </w:tcBorders>
            <w:vAlign w:val="bottom"/>
          </w:tcPr>
          <w:p w14:paraId="1B3F3ECC"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16.7%</w:t>
            </w:r>
          </w:p>
        </w:tc>
      </w:tr>
      <w:tr w:rsidR="003C1656" w:rsidRPr="003C1656" w14:paraId="70300BAA" w14:textId="77777777" w:rsidTr="00262CC5">
        <w:trPr>
          <w:cantSplit/>
          <w:trHeight w:val="144"/>
          <w:jc w:val="center"/>
        </w:trPr>
        <w:tc>
          <w:tcPr>
            <w:tcW w:w="5215" w:type="dxa"/>
            <w:tcBorders>
              <w:top w:val="nil"/>
              <w:left w:val="single" w:sz="4" w:space="0" w:color="auto"/>
              <w:bottom w:val="nil"/>
              <w:right w:val="single" w:sz="4" w:space="0" w:color="auto"/>
            </w:tcBorders>
          </w:tcPr>
          <w:p w14:paraId="408688A2" w14:textId="77777777" w:rsidR="003C1656" w:rsidRPr="003C1656" w:rsidRDefault="003C1656" w:rsidP="003C1656">
            <w:pPr>
              <w:ind w:left="720" w:hanging="557"/>
              <w:contextualSpacing/>
              <w:rPr>
                <w:rFonts w:eastAsia="Calibri" w:cstheme="minorHAnsi"/>
                <w:bCs/>
              </w:rPr>
            </w:pPr>
            <w:r w:rsidRPr="003C1656">
              <w:rPr>
                <w:rFonts w:cstheme="minorHAnsi"/>
              </w:rPr>
              <w:t>65 to 74</w:t>
            </w:r>
          </w:p>
        </w:tc>
        <w:tc>
          <w:tcPr>
            <w:tcW w:w="1980" w:type="dxa"/>
            <w:tcBorders>
              <w:top w:val="nil"/>
              <w:left w:val="single" w:sz="4" w:space="0" w:color="auto"/>
              <w:bottom w:val="nil"/>
              <w:right w:val="single" w:sz="4" w:space="0" w:color="auto"/>
            </w:tcBorders>
            <w:vAlign w:val="bottom"/>
          </w:tcPr>
          <w:p w14:paraId="04349475"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24.2%</w:t>
            </w:r>
          </w:p>
        </w:tc>
      </w:tr>
      <w:tr w:rsidR="003C1656" w:rsidRPr="003C1656" w14:paraId="4980F2F3" w14:textId="77777777" w:rsidTr="00262CC5">
        <w:trPr>
          <w:cantSplit/>
          <w:trHeight w:val="144"/>
          <w:jc w:val="center"/>
        </w:trPr>
        <w:tc>
          <w:tcPr>
            <w:tcW w:w="5215" w:type="dxa"/>
            <w:tcBorders>
              <w:top w:val="nil"/>
              <w:left w:val="single" w:sz="4" w:space="0" w:color="auto"/>
              <w:bottom w:val="nil"/>
              <w:right w:val="single" w:sz="4" w:space="0" w:color="auto"/>
            </w:tcBorders>
          </w:tcPr>
          <w:p w14:paraId="7E3C7DAD" w14:textId="77777777" w:rsidR="003C1656" w:rsidRPr="003C1656" w:rsidRDefault="003C1656" w:rsidP="003C1656">
            <w:pPr>
              <w:ind w:left="720" w:hanging="557"/>
              <w:contextualSpacing/>
              <w:rPr>
                <w:rFonts w:eastAsia="Calibri" w:cstheme="minorHAnsi"/>
                <w:bCs/>
              </w:rPr>
            </w:pPr>
            <w:r w:rsidRPr="003C1656">
              <w:rPr>
                <w:rFonts w:cstheme="minorHAnsi"/>
              </w:rPr>
              <w:t>75 to 84</w:t>
            </w:r>
          </w:p>
        </w:tc>
        <w:tc>
          <w:tcPr>
            <w:tcW w:w="1980" w:type="dxa"/>
            <w:tcBorders>
              <w:top w:val="nil"/>
              <w:left w:val="single" w:sz="4" w:space="0" w:color="auto"/>
              <w:bottom w:val="nil"/>
              <w:right w:val="single" w:sz="4" w:space="0" w:color="auto"/>
            </w:tcBorders>
            <w:vAlign w:val="bottom"/>
          </w:tcPr>
          <w:p w14:paraId="71AE5F0A"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31.0%</w:t>
            </w:r>
          </w:p>
        </w:tc>
      </w:tr>
      <w:tr w:rsidR="003C1656" w:rsidRPr="003C1656" w14:paraId="215F78D6" w14:textId="77777777" w:rsidTr="00262CC5">
        <w:trPr>
          <w:cantSplit/>
          <w:trHeight w:val="144"/>
          <w:jc w:val="center"/>
        </w:trPr>
        <w:tc>
          <w:tcPr>
            <w:tcW w:w="5215" w:type="dxa"/>
            <w:tcBorders>
              <w:top w:val="nil"/>
              <w:left w:val="single" w:sz="4" w:space="0" w:color="auto"/>
              <w:bottom w:val="nil"/>
              <w:right w:val="single" w:sz="4" w:space="0" w:color="auto"/>
            </w:tcBorders>
          </w:tcPr>
          <w:p w14:paraId="72F538E7" w14:textId="77777777" w:rsidR="003C1656" w:rsidRPr="003C1656" w:rsidRDefault="003C1656" w:rsidP="003C1656">
            <w:pPr>
              <w:ind w:left="720" w:hanging="557"/>
              <w:contextualSpacing/>
              <w:rPr>
                <w:rFonts w:eastAsia="Calibri" w:cstheme="minorHAnsi"/>
                <w:bCs/>
              </w:rPr>
            </w:pPr>
            <w:r w:rsidRPr="003C1656">
              <w:rPr>
                <w:rFonts w:cstheme="minorHAnsi"/>
              </w:rPr>
              <w:t>85 and Older</w:t>
            </w:r>
          </w:p>
        </w:tc>
        <w:tc>
          <w:tcPr>
            <w:tcW w:w="1980" w:type="dxa"/>
            <w:tcBorders>
              <w:top w:val="nil"/>
              <w:left w:val="single" w:sz="4" w:space="0" w:color="auto"/>
              <w:bottom w:val="nil"/>
              <w:right w:val="single" w:sz="4" w:space="0" w:color="auto"/>
            </w:tcBorders>
            <w:vAlign w:val="bottom"/>
          </w:tcPr>
          <w:p w14:paraId="4494F3F3"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20.2%</w:t>
            </w:r>
          </w:p>
        </w:tc>
      </w:tr>
      <w:tr w:rsidR="003C1656" w:rsidRPr="003C1656" w14:paraId="0EB7F1B7" w14:textId="77777777" w:rsidTr="00262CC5">
        <w:trPr>
          <w:cantSplit/>
          <w:trHeight w:val="144"/>
          <w:jc w:val="center"/>
        </w:trPr>
        <w:tc>
          <w:tcPr>
            <w:tcW w:w="5215" w:type="dxa"/>
            <w:tcBorders>
              <w:top w:val="nil"/>
              <w:left w:val="single" w:sz="4" w:space="0" w:color="auto"/>
              <w:bottom w:val="single" w:sz="4" w:space="0" w:color="auto"/>
              <w:right w:val="single" w:sz="4" w:space="0" w:color="auto"/>
            </w:tcBorders>
          </w:tcPr>
          <w:p w14:paraId="66AB6F20" w14:textId="77777777" w:rsidR="003C1656" w:rsidRPr="003C1656" w:rsidRDefault="003C1656" w:rsidP="003C1656">
            <w:pPr>
              <w:ind w:left="720" w:hanging="557"/>
              <w:contextualSpacing/>
              <w:rPr>
                <w:rFonts w:eastAsia="Calibri" w:cstheme="minorHAnsi"/>
                <w:bCs/>
              </w:rPr>
            </w:pPr>
            <w:r w:rsidRPr="003C1656">
              <w:rPr>
                <w:rFonts w:eastAsia="Calibri" w:cstheme="minorHAnsi"/>
                <w:b/>
              </w:rPr>
              <w:t xml:space="preserve">   Total</w:t>
            </w:r>
          </w:p>
        </w:tc>
        <w:tc>
          <w:tcPr>
            <w:tcW w:w="1980" w:type="dxa"/>
            <w:tcBorders>
              <w:top w:val="nil"/>
              <w:left w:val="single" w:sz="4" w:space="0" w:color="auto"/>
              <w:bottom w:val="single" w:sz="4" w:space="0" w:color="auto"/>
              <w:right w:val="single" w:sz="4" w:space="0" w:color="auto"/>
            </w:tcBorders>
          </w:tcPr>
          <w:p w14:paraId="59D3001B" w14:textId="77777777" w:rsidR="003C1656" w:rsidRPr="003C1656" w:rsidRDefault="003C1656" w:rsidP="003C1656">
            <w:pPr>
              <w:ind w:left="720" w:hanging="557"/>
              <w:contextualSpacing/>
              <w:jc w:val="right"/>
              <w:rPr>
                <w:rFonts w:cstheme="minorHAnsi"/>
              </w:rPr>
            </w:pPr>
            <w:r w:rsidRPr="003C1656">
              <w:rPr>
                <w:rFonts w:eastAsia="Calibri" w:cstheme="minorHAnsi"/>
                <w:b/>
              </w:rPr>
              <w:t>100.0%</w:t>
            </w:r>
          </w:p>
        </w:tc>
      </w:tr>
      <w:tr w:rsidR="003C1656" w:rsidRPr="003C1656" w14:paraId="6DFED87C" w14:textId="77777777" w:rsidTr="00262CC5">
        <w:trPr>
          <w:cantSplit/>
          <w:trHeight w:val="144"/>
          <w:jc w:val="center"/>
        </w:trPr>
        <w:tc>
          <w:tcPr>
            <w:tcW w:w="5215" w:type="dxa"/>
            <w:tcBorders>
              <w:top w:val="single" w:sz="4" w:space="0" w:color="auto"/>
              <w:left w:val="single" w:sz="4" w:space="0" w:color="auto"/>
              <w:bottom w:val="nil"/>
              <w:right w:val="single" w:sz="4" w:space="0" w:color="auto"/>
            </w:tcBorders>
          </w:tcPr>
          <w:p w14:paraId="41C0AE28" w14:textId="77777777" w:rsidR="003C1656" w:rsidRPr="003C1656" w:rsidRDefault="003C1656" w:rsidP="003C1656">
            <w:pPr>
              <w:ind w:left="520" w:hanging="557"/>
              <w:contextualSpacing/>
              <w:rPr>
                <w:rFonts w:eastAsia="Calibri" w:cstheme="minorHAnsi"/>
                <w:b/>
              </w:rPr>
            </w:pPr>
            <w:r w:rsidRPr="003C1656">
              <w:rPr>
                <w:rFonts w:eastAsia="Calibri" w:cstheme="minorHAnsi"/>
                <w:b/>
              </w:rPr>
              <w:t>Race</w:t>
            </w:r>
          </w:p>
        </w:tc>
        <w:tc>
          <w:tcPr>
            <w:tcW w:w="1980" w:type="dxa"/>
            <w:tcBorders>
              <w:top w:val="single" w:sz="4" w:space="0" w:color="auto"/>
              <w:left w:val="single" w:sz="4" w:space="0" w:color="auto"/>
              <w:bottom w:val="nil"/>
              <w:right w:val="single" w:sz="4" w:space="0" w:color="auto"/>
            </w:tcBorders>
          </w:tcPr>
          <w:p w14:paraId="17E6029C" w14:textId="77777777" w:rsidR="003C1656" w:rsidRPr="003C1656" w:rsidRDefault="003C1656" w:rsidP="003C1656">
            <w:pPr>
              <w:ind w:left="720" w:hanging="557"/>
              <w:contextualSpacing/>
              <w:jc w:val="right"/>
              <w:rPr>
                <w:rFonts w:eastAsia="Calibri" w:cstheme="minorHAnsi"/>
                <w:b/>
                <w:highlight w:val="yellow"/>
              </w:rPr>
            </w:pPr>
          </w:p>
        </w:tc>
      </w:tr>
      <w:tr w:rsidR="003C1656" w:rsidRPr="003C1656" w14:paraId="05AA2E54" w14:textId="77777777" w:rsidTr="00262CC5">
        <w:trPr>
          <w:cantSplit/>
          <w:trHeight w:val="144"/>
          <w:jc w:val="center"/>
        </w:trPr>
        <w:tc>
          <w:tcPr>
            <w:tcW w:w="5215" w:type="dxa"/>
            <w:tcBorders>
              <w:top w:val="nil"/>
              <w:left w:val="single" w:sz="4" w:space="0" w:color="auto"/>
              <w:bottom w:val="nil"/>
              <w:right w:val="single" w:sz="4" w:space="0" w:color="auto"/>
            </w:tcBorders>
            <w:vAlign w:val="bottom"/>
          </w:tcPr>
          <w:p w14:paraId="64C407A1" w14:textId="77777777" w:rsidR="003C1656" w:rsidRPr="003C1656" w:rsidRDefault="003C1656" w:rsidP="003C1656">
            <w:pPr>
              <w:contextualSpacing/>
              <w:rPr>
                <w:rFonts w:eastAsia="Calibri" w:cstheme="minorHAnsi"/>
                <w:b/>
                <w:highlight w:val="yellow"/>
              </w:rPr>
            </w:pPr>
            <w:r w:rsidRPr="003C1656">
              <w:rPr>
                <w:rFonts w:eastAsia="Times New Roman" w:cstheme="minorHAnsi"/>
                <w:color w:val="000000"/>
              </w:rPr>
              <w:t xml:space="preserve">   White</w:t>
            </w:r>
          </w:p>
        </w:tc>
        <w:tc>
          <w:tcPr>
            <w:tcW w:w="1980" w:type="dxa"/>
            <w:tcBorders>
              <w:top w:val="nil"/>
              <w:left w:val="single" w:sz="4" w:space="0" w:color="auto"/>
              <w:bottom w:val="nil"/>
              <w:right w:val="single" w:sz="4" w:space="0" w:color="auto"/>
            </w:tcBorders>
            <w:vAlign w:val="bottom"/>
          </w:tcPr>
          <w:p w14:paraId="4F658B9F" w14:textId="77777777" w:rsidR="003C1656" w:rsidRPr="003C1656" w:rsidRDefault="003C1656" w:rsidP="003C1656">
            <w:pPr>
              <w:ind w:left="720" w:hanging="557"/>
              <w:contextualSpacing/>
              <w:jc w:val="right"/>
              <w:rPr>
                <w:rFonts w:cstheme="minorHAnsi"/>
                <w:b/>
                <w:bCs/>
                <w:color w:val="000000"/>
                <w:highlight w:val="yellow"/>
              </w:rPr>
            </w:pPr>
            <w:r w:rsidRPr="003C1656">
              <w:rPr>
                <w:rFonts w:eastAsia="Times New Roman" w:cstheme="minorHAnsi"/>
                <w:color w:val="000000"/>
              </w:rPr>
              <w:t>91.4%</w:t>
            </w:r>
          </w:p>
        </w:tc>
      </w:tr>
      <w:tr w:rsidR="003C1656" w:rsidRPr="003C1656" w14:paraId="2C219F46" w14:textId="77777777" w:rsidTr="00262CC5">
        <w:trPr>
          <w:cantSplit/>
          <w:trHeight w:val="144"/>
          <w:jc w:val="center"/>
        </w:trPr>
        <w:tc>
          <w:tcPr>
            <w:tcW w:w="5215" w:type="dxa"/>
            <w:tcBorders>
              <w:top w:val="nil"/>
              <w:left w:val="single" w:sz="4" w:space="0" w:color="auto"/>
              <w:bottom w:val="nil"/>
              <w:right w:val="single" w:sz="4" w:space="0" w:color="auto"/>
            </w:tcBorders>
            <w:vAlign w:val="bottom"/>
          </w:tcPr>
          <w:p w14:paraId="6CBFFEA4" w14:textId="77777777" w:rsidR="003C1656" w:rsidRPr="003C1656" w:rsidRDefault="003C1656" w:rsidP="003C1656">
            <w:pPr>
              <w:ind w:left="720" w:hanging="557"/>
              <w:contextualSpacing/>
              <w:rPr>
                <w:rFonts w:cstheme="minorHAnsi"/>
                <w:spacing w:val="-2"/>
                <w:highlight w:val="yellow"/>
              </w:rPr>
            </w:pPr>
            <w:r w:rsidRPr="003C1656">
              <w:rPr>
                <w:rFonts w:eastAsia="Times New Roman" w:cstheme="minorHAnsi"/>
                <w:color w:val="000000"/>
              </w:rPr>
              <w:t>Black or African American/Black Hispanic</w:t>
            </w:r>
            <w:r w:rsidRPr="003C1656">
              <w:rPr>
                <w:rFonts w:eastAsia="Times New Roman" w:cstheme="minorHAnsi"/>
                <w:color w:val="000000"/>
                <w:vertAlign w:val="superscript"/>
              </w:rPr>
              <w:footnoteReference w:id="10"/>
            </w:r>
          </w:p>
        </w:tc>
        <w:tc>
          <w:tcPr>
            <w:tcW w:w="1980" w:type="dxa"/>
            <w:tcBorders>
              <w:top w:val="nil"/>
              <w:left w:val="single" w:sz="4" w:space="0" w:color="auto"/>
              <w:bottom w:val="nil"/>
              <w:right w:val="single" w:sz="4" w:space="0" w:color="auto"/>
            </w:tcBorders>
            <w:vAlign w:val="bottom"/>
          </w:tcPr>
          <w:p w14:paraId="1C98C747"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3.9%</w:t>
            </w:r>
          </w:p>
        </w:tc>
      </w:tr>
      <w:tr w:rsidR="003C1656" w:rsidRPr="003C1656" w14:paraId="708DC6D6" w14:textId="77777777" w:rsidTr="00262CC5">
        <w:trPr>
          <w:cantSplit/>
          <w:trHeight w:val="144"/>
          <w:jc w:val="center"/>
        </w:trPr>
        <w:tc>
          <w:tcPr>
            <w:tcW w:w="5215" w:type="dxa"/>
            <w:tcBorders>
              <w:top w:val="nil"/>
              <w:left w:val="single" w:sz="4" w:space="0" w:color="auto"/>
              <w:bottom w:val="nil"/>
              <w:right w:val="single" w:sz="4" w:space="0" w:color="auto"/>
            </w:tcBorders>
            <w:vAlign w:val="bottom"/>
          </w:tcPr>
          <w:p w14:paraId="20E807EA" w14:textId="77777777" w:rsidR="003C1656" w:rsidRPr="003C1656" w:rsidRDefault="003C1656" w:rsidP="003C1656">
            <w:pPr>
              <w:ind w:left="720" w:hanging="557"/>
              <w:contextualSpacing/>
              <w:rPr>
                <w:rFonts w:cstheme="minorHAnsi"/>
                <w:color w:val="000000"/>
                <w:highlight w:val="yellow"/>
              </w:rPr>
            </w:pPr>
            <w:r w:rsidRPr="003C1656">
              <w:rPr>
                <w:rFonts w:eastAsia="Times New Roman" w:cstheme="minorHAnsi"/>
                <w:color w:val="000000"/>
              </w:rPr>
              <w:t>Hispanic or Latino</w:t>
            </w:r>
            <w:r w:rsidRPr="003C1656">
              <w:rPr>
                <w:rFonts w:eastAsia="Times New Roman" w:cstheme="minorHAnsi"/>
                <w:color w:val="000000"/>
                <w:vertAlign w:val="superscript"/>
              </w:rPr>
              <w:footnoteReference w:id="11"/>
            </w:r>
          </w:p>
        </w:tc>
        <w:tc>
          <w:tcPr>
            <w:tcW w:w="1980" w:type="dxa"/>
            <w:tcBorders>
              <w:top w:val="nil"/>
              <w:left w:val="single" w:sz="4" w:space="0" w:color="auto"/>
              <w:bottom w:val="nil"/>
              <w:right w:val="single" w:sz="4" w:space="0" w:color="auto"/>
            </w:tcBorders>
            <w:vAlign w:val="bottom"/>
          </w:tcPr>
          <w:p w14:paraId="00845A6D"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2.6%</w:t>
            </w:r>
          </w:p>
        </w:tc>
      </w:tr>
      <w:tr w:rsidR="003C1656" w:rsidRPr="003C1656" w14:paraId="5F4C76C2" w14:textId="77777777" w:rsidTr="00262CC5">
        <w:trPr>
          <w:cantSplit/>
          <w:trHeight w:val="144"/>
          <w:jc w:val="center"/>
        </w:trPr>
        <w:tc>
          <w:tcPr>
            <w:tcW w:w="5215" w:type="dxa"/>
            <w:tcBorders>
              <w:top w:val="nil"/>
              <w:left w:val="single" w:sz="4" w:space="0" w:color="auto"/>
              <w:bottom w:val="nil"/>
              <w:right w:val="single" w:sz="4" w:space="0" w:color="auto"/>
            </w:tcBorders>
            <w:vAlign w:val="bottom"/>
          </w:tcPr>
          <w:p w14:paraId="0A11E546" w14:textId="77777777" w:rsidR="003C1656" w:rsidRPr="003C1656" w:rsidRDefault="003C1656" w:rsidP="003C1656">
            <w:pPr>
              <w:ind w:left="720" w:hanging="557"/>
              <w:contextualSpacing/>
              <w:rPr>
                <w:rFonts w:cstheme="minorHAnsi"/>
                <w:color w:val="000000"/>
                <w:highlight w:val="yellow"/>
              </w:rPr>
            </w:pPr>
            <w:r w:rsidRPr="003C1656">
              <w:rPr>
                <w:rFonts w:eastAsia="Times New Roman" w:cstheme="minorHAnsi"/>
                <w:color w:val="000000"/>
              </w:rPr>
              <w:t>Asian/Other/Unknown</w:t>
            </w:r>
            <w:r w:rsidRPr="003C1656">
              <w:rPr>
                <w:rFonts w:eastAsia="Times New Roman" w:cstheme="minorHAnsi"/>
                <w:color w:val="000000"/>
                <w:vertAlign w:val="superscript"/>
              </w:rPr>
              <w:footnoteReference w:id="12"/>
            </w:r>
          </w:p>
        </w:tc>
        <w:tc>
          <w:tcPr>
            <w:tcW w:w="1980" w:type="dxa"/>
            <w:tcBorders>
              <w:top w:val="nil"/>
              <w:left w:val="single" w:sz="4" w:space="0" w:color="auto"/>
              <w:bottom w:val="nil"/>
              <w:right w:val="single" w:sz="4" w:space="0" w:color="auto"/>
            </w:tcBorders>
            <w:vAlign w:val="bottom"/>
          </w:tcPr>
          <w:p w14:paraId="6B95723D"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2.1%</w:t>
            </w:r>
          </w:p>
        </w:tc>
      </w:tr>
      <w:tr w:rsidR="003C1656" w:rsidRPr="003C1656" w14:paraId="25A4FB8C" w14:textId="77777777" w:rsidTr="00262CC5">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1374E033" w14:textId="77777777" w:rsidR="003C1656" w:rsidRPr="003C1656" w:rsidRDefault="003C1656" w:rsidP="003C1656">
            <w:pPr>
              <w:ind w:left="720" w:hanging="557"/>
              <w:contextualSpacing/>
              <w:rPr>
                <w:rFonts w:cstheme="minorHAnsi"/>
                <w:color w:val="000000"/>
              </w:rPr>
            </w:pPr>
            <w:r w:rsidRPr="003C1656">
              <w:rPr>
                <w:rFonts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05C9B157" w14:textId="77777777" w:rsidR="003C1656" w:rsidRPr="003C1656" w:rsidRDefault="003C1656" w:rsidP="003C1656">
            <w:pPr>
              <w:ind w:left="720" w:hanging="557"/>
              <w:contextualSpacing/>
              <w:jc w:val="right"/>
              <w:rPr>
                <w:rFonts w:cstheme="minorHAnsi"/>
              </w:rPr>
            </w:pPr>
            <w:r w:rsidRPr="003C1656">
              <w:rPr>
                <w:rFonts w:cstheme="minorHAnsi"/>
                <w:b/>
                <w:bCs/>
                <w:color w:val="000000"/>
              </w:rPr>
              <w:t>100.00%</w:t>
            </w:r>
          </w:p>
        </w:tc>
      </w:tr>
      <w:tr w:rsidR="003C1656" w:rsidRPr="003C1656" w14:paraId="4DC10EAC" w14:textId="77777777" w:rsidTr="00262CC5">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4552F264" w14:textId="77777777" w:rsidR="003C1656" w:rsidRPr="003C1656" w:rsidRDefault="003C1656" w:rsidP="003C1656">
            <w:pPr>
              <w:contextualSpacing/>
              <w:rPr>
                <w:rFonts w:cstheme="minorHAnsi"/>
                <w:color w:val="000000"/>
              </w:rPr>
            </w:pPr>
            <w:r w:rsidRPr="003C1656">
              <w:rPr>
                <w:rFonts w:eastAsia="Calibri" w:cstheme="minorHAnsi"/>
                <w:b/>
              </w:rPr>
              <w:t>Payer Mix</w:t>
            </w:r>
          </w:p>
        </w:tc>
        <w:tc>
          <w:tcPr>
            <w:tcW w:w="1980" w:type="dxa"/>
            <w:tcBorders>
              <w:top w:val="single" w:sz="4" w:space="0" w:color="auto"/>
              <w:left w:val="single" w:sz="4" w:space="0" w:color="auto"/>
              <w:bottom w:val="nil"/>
              <w:right w:val="single" w:sz="4" w:space="0" w:color="auto"/>
            </w:tcBorders>
          </w:tcPr>
          <w:p w14:paraId="1A29B993" w14:textId="77777777" w:rsidR="003C1656" w:rsidRPr="003C1656" w:rsidRDefault="003C1656" w:rsidP="003C1656">
            <w:pPr>
              <w:ind w:left="720" w:hanging="557"/>
              <w:contextualSpacing/>
              <w:jc w:val="right"/>
              <w:rPr>
                <w:rFonts w:cstheme="minorHAnsi"/>
              </w:rPr>
            </w:pPr>
          </w:p>
        </w:tc>
      </w:tr>
      <w:tr w:rsidR="003C1656" w:rsidRPr="003C1656" w14:paraId="24517656"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025CC743" w14:textId="77777777" w:rsidR="003C1656" w:rsidRPr="003C1656" w:rsidRDefault="003C1656" w:rsidP="003C1656">
            <w:pPr>
              <w:ind w:left="720" w:hanging="557"/>
              <w:contextualSpacing/>
              <w:rPr>
                <w:rFonts w:cstheme="minorHAnsi"/>
                <w:color w:val="000000"/>
                <w:highlight w:val="yellow"/>
              </w:rPr>
            </w:pPr>
            <w:r w:rsidRPr="003C1656">
              <w:rPr>
                <w:rFonts w:eastAsia="Times New Roman" w:cstheme="minorHAnsi"/>
                <w:color w:val="000000"/>
              </w:rPr>
              <w:t xml:space="preserve">Medicare </w:t>
            </w:r>
          </w:p>
        </w:tc>
        <w:tc>
          <w:tcPr>
            <w:tcW w:w="1980" w:type="dxa"/>
            <w:tcBorders>
              <w:top w:val="nil"/>
              <w:left w:val="single" w:sz="4" w:space="0" w:color="auto"/>
              <w:bottom w:val="nil"/>
              <w:right w:val="single" w:sz="4" w:space="0" w:color="auto"/>
            </w:tcBorders>
            <w:vAlign w:val="bottom"/>
          </w:tcPr>
          <w:p w14:paraId="3C550299"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68.3%</w:t>
            </w:r>
          </w:p>
        </w:tc>
      </w:tr>
      <w:tr w:rsidR="003C1656" w:rsidRPr="003C1656" w14:paraId="4B37C122"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6435880C" w14:textId="77777777" w:rsidR="003C1656" w:rsidRPr="003C1656" w:rsidRDefault="003C1656" w:rsidP="003C1656">
            <w:pPr>
              <w:ind w:left="720" w:hanging="557"/>
              <w:contextualSpacing/>
              <w:rPr>
                <w:rFonts w:cstheme="minorHAnsi"/>
                <w:b/>
                <w:bCs/>
                <w:highlight w:val="yellow"/>
              </w:rPr>
            </w:pPr>
            <w:r w:rsidRPr="003C1656">
              <w:rPr>
                <w:rFonts w:eastAsia="Times New Roman" w:cstheme="minorHAnsi"/>
                <w:color w:val="000000"/>
              </w:rPr>
              <w:t>Medicare Advantage</w:t>
            </w:r>
          </w:p>
        </w:tc>
        <w:tc>
          <w:tcPr>
            <w:tcW w:w="1980" w:type="dxa"/>
            <w:tcBorders>
              <w:top w:val="nil"/>
              <w:left w:val="single" w:sz="4" w:space="0" w:color="auto"/>
              <w:bottom w:val="nil"/>
              <w:right w:val="single" w:sz="4" w:space="0" w:color="auto"/>
            </w:tcBorders>
            <w:vAlign w:val="bottom"/>
          </w:tcPr>
          <w:p w14:paraId="74B12726" w14:textId="77777777" w:rsidR="003C1656" w:rsidRPr="003C1656" w:rsidRDefault="003C1656" w:rsidP="003C1656">
            <w:pPr>
              <w:jc w:val="right"/>
              <w:rPr>
                <w:rFonts w:cstheme="minorHAnsi"/>
                <w:b/>
                <w:bCs/>
                <w:color w:val="000000"/>
                <w:highlight w:val="yellow"/>
              </w:rPr>
            </w:pPr>
            <w:r w:rsidRPr="003C1656">
              <w:rPr>
                <w:rFonts w:eastAsia="Times New Roman" w:cstheme="minorHAnsi"/>
                <w:color w:val="000000"/>
              </w:rPr>
              <w:t>10.3%</w:t>
            </w:r>
          </w:p>
        </w:tc>
      </w:tr>
      <w:tr w:rsidR="003C1656" w:rsidRPr="003C1656" w14:paraId="56F5FB1A"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34F91795" w14:textId="77777777" w:rsidR="003C1656" w:rsidRPr="003C1656" w:rsidRDefault="003C1656" w:rsidP="003C1656">
            <w:pPr>
              <w:contextualSpacing/>
              <w:rPr>
                <w:rFonts w:eastAsia="Calibri" w:cstheme="minorHAnsi"/>
                <w:b/>
                <w:highlight w:val="yellow"/>
              </w:rPr>
            </w:pPr>
            <w:r w:rsidRPr="003C1656">
              <w:rPr>
                <w:rFonts w:eastAsia="Times New Roman" w:cstheme="minorHAnsi"/>
                <w:color w:val="000000"/>
              </w:rPr>
              <w:lastRenderedPageBreak/>
              <w:t xml:space="preserve">   HMO/PPO</w:t>
            </w:r>
          </w:p>
        </w:tc>
        <w:tc>
          <w:tcPr>
            <w:tcW w:w="1980" w:type="dxa"/>
            <w:tcBorders>
              <w:top w:val="nil"/>
              <w:left w:val="single" w:sz="4" w:space="0" w:color="auto"/>
              <w:bottom w:val="nil"/>
              <w:right w:val="single" w:sz="4" w:space="0" w:color="auto"/>
            </w:tcBorders>
            <w:vAlign w:val="bottom"/>
          </w:tcPr>
          <w:p w14:paraId="530A8DFD" w14:textId="77777777" w:rsidR="003C1656" w:rsidRPr="003C1656" w:rsidRDefault="003C1656" w:rsidP="003C1656">
            <w:pPr>
              <w:jc w:val="right"/>
              <w:rPr>
                <w:rFonts w:eastAsia="Calibri" w:cstheme="minorHAnsi"/>
                <w:bCs/>
                <w:highlight w:val="yellow"/>
              </w:rPr>
            </w:pPr>
            <w:r w:rsidRPr="003C1656">
              <w:rPr>
                <w:rFonts w:eastAsia="Times New Roman" w:cstheme="minorHAnsi"/>
                <w:color w:val="000000"/>
              </w:rPr>
              <w:t>7.6%</w:t>
            </w:r>
          </w:p>
        </w:tc>
      </w:tr>
      <w:tr w:rsidR="003C1656" w:rsidRPr="003C1656" w14:paraId="402246E4"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35AEE645" w14:textId="77777777" w:rsidR="003C1656" w:rsidRPr="003C1656" w:rsidRDefault="003C1656" w:rsidP="003C1656">
            <w:pPr>
              <w:contextualSpacing/>
              <w:rPr>
                <w:rFonts w:eastAsia="Calibri" w:cstheme="minorHAnsi"/>
                <w:b/>
                <w:highlight w:val="yellow"/>
              </w:rPr>
            </w:pPr>
            <w:r w:rsidRPr="003C1656">
              <w:rPr>
                <w:rFonts w:eastAsia="Times New Roman" w:cstheme="minorHAnsi"/>
                <w:color w:val="000000"/>
              </w:rPr>
              <w:t xml:space="preserve">   Medicaid</w:t>
            </w:r>
          </w:p>
        </w:tc>
        <w:tc>
          <w:tcPr>
            <w:tcW w:w="1980" w:type="dxa"/>
            <w:tcBorders>
              <w:top w:val="nil"/>
              <w:left w:val="single" w:sz="4" w:space="0" w:color="auto"/>
              <w:bottom w:val="nil"/>
              <w:right w:val="single" w:sz="4" w:space="0" w:color="auto"/>
            </w:tcBorders>
            <w:vAlign w:val="bottom"/>
          </w:tcPr>
          <w:p w14:paraId="11C4A608" w14:textId="77777777" w:rsidR="003C1656" w:rsidRPr="003C1656" w:rsidRDefault="003C1656" w:rsidP="003C1656">
            <w:pPr>
              <w:ind w:left="720" w:hanging="557"/>
              <w:contextualSpacing/>
              <w:jc w:val="right"/>
              <w:rPr>
                <w:rFonts w:cstheme="minorHAnsi"/>
                <w:highlight w:val="yellow"/>
              </w:rPr>
            </w:pPr>
            <w:r w:rsidRPr="003C1656">
              <w:rPr>
                <w:rFonts w:eastAsia="Times New Roman" w:cstheme="minorHAnsi"/>
                <w:color w:val="000000"/>
              </w:rPr>
              <w:t>6.9%</w:t>
            </w:r>
          </w:p>
        </w:tc>
      </w:tr>
      <w:tr w:rsidR="003C1656" w:rsidRPr="003C1656" w14:paraId="432C3399"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7E066554" w14:textId="77777777" w:rsidR="003C1656" w:rsidRPr="003C1656" w:rsidRDefault="003C1656" w:rsidP="003C1656">
            <w:pPr>
              <w:contextualSpacing/>
              <w:rPr>
                <w:rFonts w:eastAsia="Calibri" w:cstheme="minorHAnsi"/>
                <w:b/>
                <w:highlight w:val="yellow"/>
              </w:rPr>
            </w:pPr>
            <w:r w:rsidRPr="003C1656">
              <w:rPr>
                <w:rFonts w:eastAsia="Times New Roman" w:cstheme="minorHAnsi"/>
                <w:color w:val="000000"/>
              </w:rPr>
              <w:t xml:space="preserve">   Other</w:t>
            </w:r>
            <w:r w:rsidRPr="003C1656">
              <w:rPr>
                <w:rFonts w:eastAsia="Times New Roman" w:cstheme="minorHAnsi"/>
                <w:color w:val="000000"/>
                <w:vertAlign w:val="superscript"/>
              </w:rPr>
              <w:footnoteReference w:id="13"/>
            </w:r>
          </w:p>
        </w:tc>
        <w:tc>
          <w:tcPr>
            <w:tcW w:w="1980" w:type="dxa"/>
            <w:tcBorders>
              <w:top w:val="nil"/>
              <w:left w:val="single" w:sz="4" w:space="0" w:color="auto"/>
              <w:bottom w:val="nil"/>
              <w:right w:val="single" w:sz="4" w:space="0" w:color="auto"/>
            </w:tcBorders>
            <w:vAlign w:val="center"/>
          </w:tcPr>
          <w:p w14:paraId="566A32D0" w14:textId="77777777" w:rsidR="003C1656" w:rsidRPr="003C1656" w:rsidRDefault="003C1656" w:rsidP="003C1656">
            <w:pPr>
              <w:ind w:left="720" w:hanging="557"/>
              <w:contextualSpacing/>
              <w:jc w:val="right"/>
              <w:rPr>
                <w:rFonts w:cstheme="minorHAnsi"/>
                <w:highlight w:val="yellow"/>
              </w:rPr>
            </w:pPr>
            <w:r w:rsidRPr="003C1656">
              <w:rPr>
                <w:rFonts w:cstheme="minorHAnsi"/>
                <w:color w:val="000000"/>
              </w:rPr>
              <w:t>3.74%</w:t>
            </w:r>
          </w:p>
        </w:tc>
      </w:tr>
      <w:tr w:rsidR="003C1656" w:rsidRPr="003C1656" w14:paraId="49A92BF7"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11C44CDA" w14:textId="77777777" w:rsidR="003C1656" w:rsidRPr="003C1656" w:rsidRDefault="003C1656" w:rsidP="003C1656">
            <w:pPr>
              <w:contextualSpacing/>
              <w:rPr>
                <w:rFonts w:cstheme="minorHAnsi"/>
                <w:color w:val="000000" w:themeColor="text1"/>
                <w:highlight w:val="yellow"/>
              </w:rPr>
            </w:pPr>
            <w:r w:rsidRPr="003C1656">
              <w:rPr>
                <w:rFonts w:eastAsia="Times New Roman" w:cstheme="minorHAnsi"/>
                <w:color w:val="000000"/>
              </w:rPr>
              <w:t xml:space="preserve">   Blue Cross</w:t>
            </w:r>
            <w:r w:rsidRPr="003C1656">
              <w:rPr>
                <w:rFonts w:eastAsia="Times New Roman" w:cstheme="minorHAnsi"/>
                <w:color w:val="000000"/>
                <w:vertAlign w:val="superscript"/>
              </w:rPr>
              <w:footnoteReference w:id="14"/>
            </w:r>
          </w:p>
        </w:tc>
        <w:tc>
          <w:tcPr>
            <w:tcW w:w="1980" w:type="dxa"/>
            <w:tcBorders>
              <w:top w:val="nil"/>
              <w:left w:val="single" w:sz="4" w:space="0" w:color="auto"/>
              <w:bottom w:val="nil"/>
              <w:right w:val="single" w:sz="4" w:space="0" w:color="auto"/>
            </w:tcBorders>
            <w:vAlign w:val="bottom"/>
          </w:tcPr>
          <w:p w14:paraId="32C4F9A0" w14:textId="77777777" w:rsidR="003C1656" w:rsidRPr="003C1656" w:rsidRDefault="003C1656" w:rsidP="003C1656">
            <w:pPr>
              <w:ind w:left="720" w:hanging="557"/>
              <w:contextualSpacing/>
              <w:jc w:val="right"/>
              <w:rPr>
                <w:rFonts w:cstheme="minorHAnsi"/>
                <w:color w:val="000000" w:themeColor="text1"/>
                <w:highlight w:val="yellow"/>
              </w:rPr>
            </w:pPr>
            <w:r w:rsidRPr="003C1656">
              <w:rPr>
                <w:rFonts w:eastAsia="Times New Roman" w:cstheme="minorHAnsi"/>
                <w:color w:val="000000"/>
              </w:rPr>
              <w:t>3.0%</w:t>
            </w:r>
          </w:p>
        </w:tc>
      </w:tr>
      <w:tr w:rsidR="003C1656" w:rsidRPr="003C1656" w14:paraId="42B4621B" w14:textId="77777777" w:rsidTr="00262CC5">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7A088F73" w14:textId="77777777" w:rsidR="003C1656" w:rsidRPr="003C1656" w:rsidRDefault="003C1656" w:rsidP="003C1656">
            <w:pPr>
              <w:contextualSpacing/>
              <w:rPr>
                <w:rFonts w:eastAsia="Calibri" w:cstheme="minorHAnsi"/>
                <w:b/>
              </w:rPr>
            </w:pPr>
            <w:r w:rsidRPr="003C1656">
              <w:rPr>
                <w:rFonts w:cstheme="minorHAnsi"/>
                <w:b/>
                <w:spacing w:val="-2"/>
              </w:rPr>
              <w:t xml:space="preserve">   Total</w:t>
            </w:r>
          </w:p>
        </w:tc>
        <w:tc>
          <w:tcPr>
            <w:tcW w:w="1980" w:type="dxa"/>
            <w:tcBorders>
              <w:top w:val="nil"/>
              <w:left w:val="single" w:sz="4" w:space="0" w:color="auto"/>
              <w:bottom w:val="single" w:sz="4" w:space="0" w:color="auto"/>
              <w:right w:val="single" w:sz="4" w:space="0" w:color="auto"/>
            </w:tcBorders>
          </w:tcPr>
          <w:p w14:paraId="35741E1F" w14:textId="77777777" w:rsidR="003C1656" w:rsidRPr="003C1656" w:rsidRDefault="003C1656" w:rsidP="003C1656">
            <w:pPr>
              <w:ind w:left="720" w:hanging="557"/>
              <w:contextualSpacing/>
              <w:jc w:val="right"/>
              <w:rPr>
                <w:rFonts w:cstheme="minorHAnsi"/>
              </w:rPr>
            </w:pPr>
            <w:r w:rsidRPr="003C1656">
              <w:rPr>
                <w:rFonts w:eastAsia="Calibri" w:cstheme="minorHAnsi"/>
                <w:b/>
              </w:rPr>
              <w:t>100.00%</w:t>
            </w:r>
          </w:p>
        </w:tc>
      </w:tr>
      <w:tr w:rsidR="003C1656" w:rsidRPr="003C1656" w14:paraId="1B30FD00" w14:textId="77777777" w:rsidTr="00262CC5">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1D246D4B" w14:textId="77777777" w:rsidR="003C1656" w:rsidRPr="003C1656" w:rsidRDefault="003C1656" w:rsidP="003C1656">
            <w:pPr>
              <w:contextualSpacing/>
              <w:rPr>
                <w:rFonts w:eastAsia="Calibri" w:cstheme="minorHAnsi"/>
                <w:b/>
              </w:rPr>
            </w:pPr>
            <w:r w:rsidRPr="003C1656">
              <w:rPr>
                <w:rFonts w:eastAsia="Calibri" w:cstheme="minorHAnsi"/>
                <w:b/>
              </w:rPr>
              <w:t>Patient County of Origin</w:t>
            </w:r>
          </w:p>
        </w:tc>
        <w:tc>
          <w:tcPr>
            <w:tcW w:w="1980" w:type="dxa"/>
            <w:tcBorders>
              <w:top w:val="single" w:sz="4" w:space="0" w:color="auto"/>
              <w:left w:val="single" w:sz="4" w:space="0" w:color="auto"/>
              <w:bottom w:val="nil"/>
              <w:right w:val="single" w:sz="4" w:space="0" w:color="auto"/>
            </w:tcBorders>
          </w:tcPr>
          <w:p w14:paraId="198194AA" w14:textId="77777777" w:rsidR="003C1656" w:rsidRPr="003C1656" w:rsidRDefault="003C1656" w:rsidP="003C1656">
            <w:pPr>
              <w:ind w:left="720" w:hanging="557"/>
              <w:contextualSpacing/>
              <w:jc w:val="right"/>
              <w:rPr>
                <w:rFonts w:cstheme="minorHAnsi"/>
              </w:rPr>
            </w:pPr>
          </w:p>
        </w:tc>
      </w:tr>
      <w:tr w:rsidR="003C1656" w:rsidRPr="003C1656" w14:paraId="44DA019B"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4166A82A" w14:textId="77777777" w:rsidR="003C1656" w:rsidRPr="003C1656" w:rsidRDefault="003C1656" w:rsidP="003C1656">
            <w:pPr>
              <w:ind w:left="720" w:hanging="557"/>
              <w:contextualSpacing/>
              <w:rPr>
                <w:rFonts w:eastAsia="Times New Roman" w:cstheme="minorHAnsi"/>
                <w:color w:val="000000"/>
              </w:rPr>
            </w:pPr>
            <w:r w:rsidRPr="003C1656">
              <w:rPr>
                <w:rFonts w:eastAsia="Times New Roman" w:cstheme="minorHAnsi"/>
                <w:color w:val="000000"/>
              </w:rPr>
              <w:t>Hampden</w:t>
            </w:r>
          </w:p>
        </w:tc>
        <w:tc>
          <w:tcPr>
            <w:tcW w:w="1980" w:type="dxa"/>
            <w:tcBorders>
              <w:top w:val="nil"/>
              <w:left w:val="single" w:sz="4" w:space="0" w:color="auto"/>
              <w:bottom w:val="nil"/>
              <w:right w:val="single" w:sz="4" w:space="0" w:color="auto"/>
            </w:tcBorders>
            <w:vAlign w:val="bottom"/>
          </w:tcPr>
          <w:p w14:paraId="1A4E31D2" w14:textId="77777777" w:rsidR="003C1656" w:rsidRPr="003C1656" w:rsidRDefault="003C1656" w:rsidP="003C1656">
            <w:pPr>
              <w:ind w:left="720" w:hanging="557"/>
              <w:contextualSpacing/>
              <w:jc w:val="right"/>
              <w:rPr>
                <w:rFonts w:eastAsia="Times New Roman" w:cstheme="minorHAnsi"/>
                <w:color w:val="000000"/>
              </w:rPr>
            </w:pPr>
            <w:r w:rsidRPr="003C1656">
              <w:rPr>
                <w:rFonts w:eastAsia="Times New Roman" w:cstheme="minorHAnsi"/>
                <w:color w:val="000000"/>
              </w:rPr>
              <w:t>68.1%</w:t>
            </w:r>
          </w:p>
        </w:tc>
      </w:tr>
      <w:tr w:rsidR="003C1656" w:rsidRPr="003C1656" w14:paraId="37812F6E"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7A7C799C" w14:textId="77777777" w:rsidR="003C1656" w:rsidRPr="003C1656" w:rsidRDefault="003C1656" w:rsidP="003C1656">
            <w:pPr>
              <w:contextualSpacing/>
              <w:rPr>
                <w:rFonts w:eastAsia="Calibri" w:cstheme="minorHAnsi"/>
                <w:b/>
              </w:rPr>
            </w:pPr>
            <w:r w:rsidRPr="003C1656">
              <w:rPr>
                <w:rFonts w:eastAsia="Times New Roman" w:cstheme="minorHAnsi"/>
                <w:color w:val="000000"/>
              </w:rPr>
              <w:t xml:space="preserve">   Hampshire</w:t>
            </w:r>
          </w:p>
        </w:tc>
        <w:tc>
          <w:tcPr>
            <w:tcW w:w="1980" w:type="dxa"/>
            <w:tcBorders>
              <w:top w:val="nil"/>
              <w:left w:val="single" w:sz="4" w:space="0" w:color="auto"/>
              <w:bottom w:val="nil"/>
              <w:right w:val="single" w:sz="4" w:space="0" w:color="auto"/>
            </w:tcBorders>
            <w:vAlign w:val="bottom"/>
          </w:tcPr>
          <w:p w14:paraId="145261DE" w14:textId="77777777" w:rsidR="003C1656" w:rsidRPr="003C1656" w:rsidRDefault="003C1656" w:rsidP="003C1656">
            <w:pPr>
              <w:ind w:left="720" w:hanging="557"/>
              <w:contextualSpacing/>
              <w:jc w:val="right"/>
              <w:rPr>
                <w:rFonts w:eastAsia="Calibri" w:cstheme="minorHAnsi"/>
                <w:bCs/>
                <w:highlight w:val="yellow"/>
              </w:rPr>
            </w:pPr>
            <w:r w:rsidRPr="003C1656">
              <w:rPr>
                <w:rFonts w:eastAsia="Times New Roman" w:cstheme="minorHAnsi"/>
                <w:color w:val="000000"/>
              </w:rPr>
              <w:t>20.8%</w:t>
            </w:r>
          </w:p>
        </w:tc>
      </w:tr>
      <w:tr w:rsidR="003C1656" w:rsidRPr="003C1656" w14:paraId="2BEC75E4"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7205681F" w14:textId="77777777" w:rsidR="003C1656" w:rsidRPr="003C1656" w:rsidRDefault="003C1656" w:rsidP="003C1656">
            <w:pPr>
              <w:ind w:left="720" w:hanging="557"/>
              <w:contextualSpacing/>
              <w:rPr>
                <w:rFonts w:cstheme="minorHAnsi"/>
                <w:color w:val="000000"/>
              </w:rPr>
            </w:pPr>
            <w:r w:rsidRPr="003C1656">
              <w:rPr>
                <w:rFonts w:eastAsia="Times New Roman" w:cstheme="minorHAnsi"/>
                <w:color w:val="000000"/>
              </w:rPr>
              <w:t>Franklin</w:t>
            </w:r>
          </w:p>
        </w:tc>
        <w:tc>
          <w:tcPr>
            <w:tcW w:w="1980" w:type="dxa"/>
            <w:tcBorders>
              <w:top w:val="nil"/>
              <w:left w:val="single" w:sz="4" w:space="0" w:color="auto"/>
              <w:bottom w:val="nil"/>
              <w:right w:val="single" w:sz="4" w:space="0" w:color="auto"/>
            </w:tcBorders>
            <w:vAlign w:val="bottom"/>
          </w:tcPr>
          <w:p w14:paraId="5478734F" w14:textId="77777777" w:rsidR="003C1656" w:rsidRPr="003C1656" w:rsidRDefault="003C1656" w:rsidP="003C1656">
            <w:pPr>
              <w:ind w:left="720" w:hanging="557"/>
              <w:contextualSpacing/>
              <w:jc w:val="right"/>
              <w:rPr>
                <w:rFonts w:cstheme="minorHAnsi"/>
                <w:color w:val="000000"/>
              </w:rPr>
            </w:pPr>
            <w:r w:rsidRPr="003C1656">
              <w:rPr>
                <w:rFonts w:eastAsia="Times New Roman" w:cstheme="minorHAnsi"/>
                <w:color w:val="000000"/>
              </w:rPr>
              <w:t>6.3%</w:t>
            </w:r>
          </w:p>
        </w:tc>
      </w:tr>
      <w:tr w:rsidR="003C1656" w:rsidRPr="003C1656" w14:paraId="255E7CD6"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29737DA7" w14:textId="77777777" w:rsidR="003C1656" w:rsidRPr="003C1656" w:rsidRDefault="003C1656" w:rsidP="003C1656">
            <w:pPr>
              <w:ind w:left="720" w:hanging="557"/>
              <w:contextualSpacing/>
              <w:rPr>
                <w:rFonts w:cstheme="minorHAnsi"/>
                <w:color w:val="000000"/>
              </w:rPr>
            </w:pPr>
            <w:r w:rsidRPr="003C1656">
              <w:rPr>
                <w:rFonts w:eastAsia="Times New Roman" w:cstheme="minorHAnsi"/>
                <w:color w:val="000000"/>
              </w:rPr>
              <w:t>Out of State</w:t>
            </w:r>
          </w:p>
        </w:tc>
        <w:tc>
          <w:tcPr>
            <w:tcW w:w="1980" w:type="dxa"/>
            <w:tcBorders>
              <w:top w:val="nil"/>
              <w:left w:val="single" w:sz="4" w:space="0" w:color="auto"/>
              <w:bottom w:val="nil"/>
              <w:right w:val="single" w:sz="4" w:space="0" w:color="auto"/>
            </w:tcBorders>
            <w:vAlign w:val="bottom"/>
          </w:tcPr>
          <w:p w14:paraId="4EA830A1" w14:textId="77777777" w:rsidR="003C1656" w:rsidRPr="003C1656" w:rsidRDefault="003C1656" w:rsidP="003C1656">
            <w:pPr>
              <w:ind w:left="720" w:hanging="557"/>
              <w:contextualSpacing/>
              <w:jc w:val="right"/>
              <w:rPr>
                <w:rFonts w:cstheme="minorHAnsi"/>
                <w:color w:val="000000"/>
              </w:rPr>
            </w:pPr>
            <w:r w:rsidRPr="003C1656">
              <w:rPr>
                <w:rFonts w:eastAsia="Times New Roman" w:cstheme="minorHAnsi"/>
                <w:color w:val="000000"/>
              </w:rPr>
              <w:t>1.9%</w:t>
            </w:r>
          </w:p>
        </w:tc>
      </w:tr>
      <w:tr w:rsidR="003C1656" w:rsidRPr="003C1656" w14:paraId="15F45154"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34E7EA3F" w14:textId="77777777" w:rsidR="003C1656" w:rsidRPr="003C1656" w:rsidRDefault="003C1656" w:rsidP="003C1656">
            <w:pPr>
              <w:ind w:left="720" w:hanging="557"/>
              <w:contextualSpacing/>
              <w:rPr>
                <w:rFonts w:cstheme="minorHAnsi"/>
                <w:color w:val="000000"/>
              </w:rPr>
            </w:pPr>
            <w:r w:rsidRPr="003C1656">
              <w:rPr>
                <w:rFonts w:eastAsia="Times New Roman" w:cstheme="minorHAnsi"/>
                <w:color w:val="000000"/>
              </w:rPr>
              <w:t>Worcester</w:t>
            </w:r>
          </w:p>
        </w:tc>
        <w:tc>
          <w:tcPr>
            <w:tcW w:w="1980" w:type="dxa"/>
            <w:tcBorders>
              <w:top w:val="nil"/>
              <w:left w:val="single" w:sz="4" w:space="0" w:color="auto"/>
              <w:bottom w:val="nil"/>
              <w:right w:val="single" w:sz="4" w:space="0" w:color="auto"/>
            </w:tcBorders>
            <w:vAlign w:val="bottom"/>
          </w:tcPr>
          <w:p w14:paraId="401237D2" w14:textId="77777777" w:rsidR="003C1656" w:rsidRPr="003C1656" w:rsidRDefault="003C1656" w:rsidP="003C1656">
            <w:pPr>
              <w:ind w:left="720" w:hanging="557"/>
              <w:contextualSpacing/>
              <w:jc w:val="right"/>
              <w:rPr>
                <w:rFonts w:cstheme="minorHAnsi"/>
                <w:color w:val="000000"/>
              </w:rPr>
            </w:pPr>
            <w:r w:rsidRPr="003C1656">
              <w:rPr>
                <w:rFonts w:eastAsia="Times New Roman" w:cstheme="minorHAnsi"/>
                <w:color w:val="000000"/>
              </w:rPr>
              <w:t>1.2%</w:t>
            </w:r>
          </w:p>
        </w:tc>
      </w:tr>
      <w:tr w:rsidR="003C1656" w:rsidRPr="003C1656" w14:paraId="77191099" w14:textId="77777777" w:rsidTr="00262CC5">
        <w:trPr>
          <w:cantSplit/>
          <w:trHeight w:val="144"/>
          <w:jc w:val="center"/>
        </w:trPr>
        <w:tc>
          <w:tcPr>
            <w:tcW w:w="5215" w:type="dxa"/>
            <w:tcBorders>
              <w:top w:val="nil"/>
              <w:left w:val="single" w:sz="4" w:space="0" w:color="auto"/>
              <w:bottom w:val="nil"/>
              <w:right w:val="single" w:sz="4" w:space="0" w:color="auto"/>
            </w:tcBorders>
            <w:shd w:val="clear" w:color="auto" w:fill="auto"/>
            <w:vAlign w:val="bottom"/>
          </w:tcPr>
          <w:p w14:paraId="58E0B56B" w14:textId="77777777" w:rsidR="003C1656" w:rsidRPr="003C1656" w:rsidRDefault="003C1656" w:rsidP="003C1656">
            <w:pPr>
              <w:ind w:left="720" w:hanging="557"/>
              <w:contextualSpacing/>
              <w:rPr>
                <w:rFonts w:cstheme="minorHAnsi"/>
                <w:color w:val="000000"/>
              </w:rPr>
            </w:pPr>
            <w:r w:rsidRPr="003C1656">
              <w:rPr>
                <w:rFonts w:eastAsia="Times New Roman" w:cstheme="minorHAnsi"/>
                <w:color w:val="000000"/>
              </w:rPr>
              <w:t>Other</w:t>
            </w:r>
            <w:r w:rsidRPr="003C1656">
              <w:rPr>
                <w:rFonts w:eastAsia="Times New Roman" w:cstheme="minorHAnsi"/>
                <w:color w:val="000000"/>
                <w:vertAlign w:val="superscript"/>
              </w:rPr>
              <w:footnoteReference w:id="15"/>
            </w:r>
          </w:p>
        </w:tc>
        <w:tc>
          <w:tcPr>
            <w:tcW w:w="1980" w:type="dxa"/>
            <w:tcBorders>
              <w:top w:val="nil"/>
              <w:left w:val="single" w:sz="4" w:space="0" w:color="auto"/>
              <w:bottom w:val="nil"/>
              <w:right w:val="single" w:sz="4" w:space="0" w:color="auto"/>
            </w:tcBorders>
            <w:vAlign w:val="bottom"/>
          </w:tcPr>
          <w:p w14:paraId="3F9CA2A9" w14:textId="77777777" w:rsidR="003C1656" w:rsidRPr="003C1656" w:rsidRDefault="003C1656" w:rsidP="003C1656">
            <w:pPr>
              <w:ind w:left="720" w:hanging="557"/>
              <w:contextualSpacing/>
              <w:jc w:val="right"/>
              <w:rPr>
                <w:rFonts w:cstheme="minorHAnsi"/>
                <w:color w:val="000000"/>
              </w:rPr>
            </w:pPr>
            <w:r w:rsidRPr="003C1656">
              <w:rPr>
                <w:rFonts w:eastAsia="Times New Roman" w:cstheme="minorHAnsi"/>
                <w:color w:val="000000"/>
              </w:rPr>
              <w:t>1.7%</w:t>
            </w:r>
          </w:p>
        </w:tc>
      </w:tr>
      <w:tr w:rsidR="003C1656" w:rsidRPr="003C1656" w14:paraId="1A0B48FE" w14:textId="77777777" w:rsidTr="00262CC5">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179EAA4E" w14:textId="77777777" w:rsidR="003C1656" w:rsidRPr="003C1656" w:rsidRDefault="003C1656" w:rsidP="003C1656">
            <w:pPr>
              <w:contextualSpacing/>
              <w:rPr>
                <w:rFonts w:eastAsia="Calibri" w:cstheme="minorHAnsi"/>
                <w:b/>
              </w:rPr>
            </w:pPr>
            <w:r w:rsidRPr="003C1656">
              <w:rPr>
                <w:rFonts w:eastAsia="Calibri" w:cstheme="minorHAnsi"/>
                <w:b/>
              </w:rPr>
              <w:t xml:space="preserve">   Total</w:t>
            </w:r>
          </w:p>
        </w:tc>
        <w:tc>
          <w:tcPr>
            <w:tcW w:w="1980" w:type="dxa"/>
            <w:tcBorders>
              <w:top w:val="nil"/>
              <w:left w:val="single" w:sz="4" w:space="0" w:color="auto"/>
              <w:bottom w:val="single" w:sz="4" w:space="0" w:color="auto"/>
              <w:right w:val="single" w:sz="4" w:space="0" w:color="auto"/>
            </w:tcBorders>
            <w:vAlign w:val="bottom"/>
          </w:tcPr>
          <w:p w14:paraId="3CF83B64" w14:textId="77777777" w:rsidR="003C1656" w:rsidRPr="003C1656" w:rsidRDefault="003C1656" w:rsidP="003C1656">
            <w:pPr>
              <w:ind w:left="720" w:hanging="557"/>
              <w:contextualSpacing/>
              <w:jc w:val="right"/>
              <w:rPr>
                <w:rFonts w:cstheme="minorHAnsi"/>
                <w:spacing w:val="-5"/>
                <w:highlight w:val="yellow"/>
              </w:rPr>
            </w:pPr>
            <w:r w:rsidRPr="003C1656">
              <w:rPr>
                <w:rFonts w:cstheme="minorHAnsi"/>
                <w:b/>
                <w:bCs/>
                <w:color w:val="000000"/>
              </w:rPr>
              <w:t>100.0%</w:t>
            </w:r>
          </w:p>
        </w:tc>
      </w:tr>
    </w:tbl>
    <w:p w14:paraId="3DFBEDB3" w14:textId="77777777" w:rsidR="003C1656" w:rsidRPr="003C1656" w:rsidRDefault="003C1656" w:rsidP="003C1656">
      <w:pPr>
        <w:spacing w:after="0"/>
      </w:pPr>
    </w:p>
    <w:p w14:paraId="24714C41" w14:textId="77777777" w:rsidR="003C1656" w:rsidRDefault="003C1656" w:rsidP="0059582B">
      <w:pPr>
        <w:spacing w:after="0"/>
      </w:pPr>
    </w:p>
    <w:p w14:paraId="7CB25DC3" w14:textId="252294CA" w:rsidR="003E1CDA" w:rsidRPr="0093651C" w:rsidRDefault="003E1CDA" w:rsidP="002B05B4">
      <w:pPr>
        <w:pStyle w:val="Heading1"/>
      </w:pPr>
      <w:bookmarkStart w:id="5" w:name="_Toc151538498"/>
      <w:r w:rsidRPr="0093651C">
        <w:t>Factor 1: a) Patient Panel Need</w:t>
      </w:r>
      <w:bookmarkEnd w:id="5"/>
    </w:p>
    <w:p w14:paraId="7BFA4A99" w14:textId="2AF562BF" w:rsidR="00684D63" w:rsidRPr="003535E8" w:rsidRDefault="003535E8" w:rsidP="00D276EB">
      <w:pPr>
        <w:contextualSpacing/>
        <w:rPr>
          <w:rFonts w:eastAsia="Calibri" w:cstheme="minorHAnsi"/>
        </w:rPr>
      </w:pPr>
      <w:r w:rsidRPr="003535E8">
        <w:rPr>
          <w:sz w:val="24"/>
          <w:szCs w:val="24"/>
        </w:rPr>
        <w:t>In this section, staff assesses if the Applicant has sufficiently addressed Patient Panel need for the Proposed Project.</w:t>
      </w:r>
      <w:r w:rsidRPr="003A54FA">
        <w:rPr>
          <w:rFonts w:eastAsia="Calibri" w:cstheme="minorHAnsi"/>
        </w:rPr>
        <w:t xml:space="preserve"> </w:t>
      </w:r>
      <w:r w:rsidR="00684D63" w:rsidRPr="003E1CDA">
        <w:rPr>
          <w:sz w:val="24"/>
          <w:szCs w:val="24"/>
        </w:rPr>
        <w:t xml:space="preserve">The Applicant attributes Patient Panel need for </w:t>
      </w:r>
      <w:r w:rsidR="00684D63">
        <w:rPr>
          <w:sz w:val="24"/>
          <w:szCs w:val="24"/>
        </w:rPr>
        <w:t xml:space="preserve">the Proposed Project </w:t>
      </w:r>
      <w:r w:rsidR="00684D63" w:rsidRPr="003E1CDA">
        <w:rPr>
          <w:sz w:val="24"/>
          <w:szCs w:val="24"/>
        </w:rPr>
        <w:t>to the following:</w:t>
      </w:r>
    </w:p>
    <w:p w14:paraId="6638E698" w14:textId="77777777" w:rsidR="00575025" w:rsidRDefault="00575025" w:rsidP="00575025">
      <w:pPr>
        <w:spacing w:after="0"/>
      </w:pPr>
    </w:p>
    <w:p w14:paraId="2FF33B9C" w14:textId="2BF90DB3" w:rsidR="00575025" w:rsidRPr="00575025" w:rsidRDefault="00575025" w:rsidP="00575025">
      <w:pPr>
        <w:pStyle w:val="ListParagraph"/>
        <w:numPr>
          <w:ilvl w:val="0"/>
          <w:numId w:val="21"/>
        </w:numPr>
        <w:spacing w:after="0"/>
        <w:rPr>
          <w:rFonts w:cstheme="minorHAnsi"/>
          <w:sz w:val="24"/>
          <w:szCs w:val="24"/>
        </w:rPr>
      </w:pPr>
      <w:r w:rsidRPr="00575025">
        <w:rPr>
          <w:rFonts w:cstheme="minorHAnsi"/>
          <w:sz w:val="24"/>
          <w:szCs w:val="24"/>
        </w:rPr>
        <w:t>High Occupancy Rate</w:t>
      </w:r>
    </w:p>
    <w:p w14:paraId="21429E80" w14:textId="44DE5EDD" w:rsidR="00575025" w:rsidRDefault="00287860" w:rsidP="00575025">
      <w:pPr>
        <w:pStyle w:val="ListParagraph"/>
        <w:numPr>
          <w:ilvl w:val="0"/>
          <w:numId w:val="21"/>
        </w:numPr>
        <w:spacing w:after="0"/>
        <w:rPr>
          <w:rFonts w:cstheme="minorHAnsi"/>
          <w:sz w:val="24"/>
          <w:szCs w:val="24"/>
        </w:rPr>
      </w:pPr>
      <w:r>
        <w:rPr>
          <w:rFonts w:cstheme="minorHAnsi"/>
          <w:sz w:val="24"/>
          <w:szCs w:val="24"/>
        </w:rPr>
        <w:t>Projected Increases in 65+ Population</w:t>
      </w:r>
    </w:p>
    <w:p w14:paraId="21EA1AD4" w14:textId="7EC30A81" w:rsidR="00152F46" w:rsidRPr="00575025" w:rsidRDefault="00E1281F" w:rsidP="00575025">
      <w:pPr>
        <w:pStyle w:val="ListParagraph"/>
        <w:numPr>
          <w:ilvl w:val="0"/>
          <w:numId w:val="21"/>
        </w:numPr>
        <w:spacing w:after="0"/>
        <w:rPr>
          <w:rFonts w:cstheme="minorHAnsi"/>
          <w:sz w:val="24"/>
          <w:szCs w:val="24"/>
        </w:rPr>
      </w:pPr>
      <w:r>
        <w:rPr>
          <w:rFonts w:cstheme="minorHAnsi"/>
          <w:sz w:val="24"/>
          <w:szCs w:val="24"/>
        </w:rPr>
        <w:t xml:space="preserve">Importance of </w:t>
      </w:r>
      <w:r w:rsidR="0070326E">
        <w:rPr>
          <w:rFonts w:cstheme="minorHAnsi"/>
          <w:sz w:val="24"/>
          <w:szCs w:val="24"/>
        </w:rPr>
        <w:t xml:space="preserve">Proximity of Care for </w:t>
      </w:r>
      <w:r>
        <w:rPr>
          <w:rFonts w:cstheme="minorHAnsi"/>
          <w:sz w:val="24"/>
          <w:szCs w:val="24"/>
        </w:rPr>
        <w:t>Family Participation</w:t>
      </w:r>
    </w:p>
    <w:p w14:paraId="5F9F8DCD" w14:textId="77777777" w:rsidR="00575025" w:rsidRPr="00DC05D6" w:rsidRDefault="00575025" w:rsidP="00575025">
      <w:pPr>
        <w:spacing w:after="0"/>
        <w:rPr>
          <w:rFonts w:cstheme="minorHAnsi"/>
          <w:i/>
          <w:iCs/>
          <w:sz w:val="24"/>
          <w:szCs w:val="24"/>
        </w:rPr>
      </w:pPr>
    </w:p>
    <w:p w14:paraId="070FD55B" w14:textId="55B0B63D" w:rsidR="00575025" w:rsidRPr="00DC05D6" w:rsidRDefault="00575025" w:rsidP="00DC05D6">
      <w:pPr>
        <w:pStyle w:val="ListParagraph"/>
        <w:numPr>
          <w:ilvl w:val="0"/>
          <w:numId w:val="42"/>
        </w:numPr>
        <w:spacing w:after="0"/>
        <w:rPr>
          <w:rFonts w:cstheme="minorHAnsi"/>
          <w:i/>
          <w:iCs/>
          <w:sz w:val="24"/>
          <w:szCs w:val="24"/>
        </w:rPr>
      </w:pPr>
      <w:r w:rsidRPr="00DC05D6">
        <w:rPr>
          <w:rFonts w:cstheme="minorHAnsi"/>
          <w:b/>
          <w:bCs/>
          <w:i/>
          <w:iCs/>
          <w:sz w:val="24"/>
          <w:szCs w:val="24"/>
        </w:rPr>
        <w:t>The Hospital Operates at a High Occupancy Rat</w:t>
      </w:r>
      <w:r w:rsidR="00DC05D6">
        <w:rPr>
          <w:rFonts w:cstheme="minorHAnsi"/>
          <w:b/>
          <w:bCs/>
          <w:i/>
          <w:iCs/>
          <w:sz w:val="24"/>
          <w:szCs w:val="24"/>
        </w:rPr>
        <w:t>e</w:t>
      </w:r>
    </w:p>
    <w:p w14:paraId="0578BC69" w14:textId="2A8C546B" w:rsidR="00575025" w:rsidRPr="00575025" w:rsidRDefault="00575025" w:rsidP="00575025">
      <w:pPr>
        <w:spacing w:after="0"/>
        <w:rPr>
          <w:rFonts w:cstheme="minorHAnsi"/>
          <w:sz w:val="24"/>
          <w:szCs w:val="24"/>
        </w:rPr>
      </w:pPr>
      <w:r w:rsidRPr="00575025">
        <w:rPr>
          <w:rFonts w:cstheme="minorHAnsi"/>
          <w:sz w:val="24"/>
          <w:szCs w:val="24"/>
        </w:rPr>
        <w:t>Patients in need of comprehensive inpatient rehabilitation services in Western Massachusetts rely on Encompass Western Mass to provide that level of care, as demonstrated by the Hospital’s increasingly high occupancy rate</w:t>
      </w:r>
      <w:r w:rsidR="00CA29E6">
        <w:rPr>
          <w:rFonts w:cstheme="minorHAnsi"/>
          <w:sz w:val="24"/>
          <w:szCs w:val="24"/>
        </w:rPr>
        <w:t xml:space="preserve"> detailed in Table 5</w:t>
      </w:r>
      <w:r w:rsidRPr="00575025">
        <w:rPr>
          <w:rFonts w:cstheme="minorHAnsi"/>
          <w:sz w:val="24"/>
          <w:szCs w:val="24"/>
        </w:rPr>
        <w:t xml:space="preserve">. </w:t>
      </w:r>
      <w:r w:rsidR="00D41570">
        <w:rPr>
          <w:rFonts w:cstheme="minorHAnsi"/>
          <w:sz w:val="24"/>
          <w:szCs w:val="24"/>
        </w:rPr>
        <w:t xml:space="preserve">The Applicant notes that </w:t>
      </w:r>
      <w:r w:rsidR="00CA29E6">
        <w:rPr>
          <w:rFonts w:cstheme="minorHAnsi"/>
          <w:sz w:val="24"/>
          <w:szCs w:val="24"/>
        </w:rPr>
        <w:t xml:space="preserve">all 53 </w:t>
      </w:r>
      <w:r w:rsidR="007E6F5D">
        <w:rPr>
          <w:rFonts w:cstheme="minorHAnsi"/>
          <w:sz w:val="24"/>
          <w:szCs w:val="24"/>
        </w:rPr>
        <w:t xml:space="preserve">licensed </w:t>
      </w:r>
      <w:r w:rsidR="00CA29E6">
        <w:rPr>
          <w:rFonts w:cstheme="minorHAnsi"/>
          <w:sz w:val="24"/>
          <w:szCs w:val="24"/>
        </w:rPr>
        <w:t>beds are staffed</w:t>
      </w:r>
      <w:r w:rsidR="0038600E">
        <w:rPr>
          <w:rFonts w:cstheme="minorHAnsi"/>
          <w:sz w:val="24"/>
          <w:szCs w:val="24"/>
        </w:rPr>
        <w:t>.</w:t>
      </w:r>
    </w:p>
    <w:p w14:paraId="03E0AC0A" w14:textId="77777777" w:rsidR="00575025" w:rsidRPr="00575025" w:rsidRDefault="00575025" w:rsidP="00575025">
      <w:pPr>
        <w:spacing w:after="0"/>
        <w:rPr>
          <w:rFonts w:cstheme="minorHAnsi"/>
          <w:sz w:val="24"/>
          <w:szCs w:val="24"/>
        </w:rPr>
      </w:pPr>
    </w:p>
    <w:p w14:paraId="5D34AF55" w14:textId="2E8FABC3" w:rsidR="00575025" w:rsidRPr="00497CC6" w:rsidRDefault="00575025" w:rsidP="00497CC6">
      <w:pPr>
        <w:pStyle w:val="Caption"/>
        <w:spacing w:after="0"/>
        <w:contextualSpacing/>
        <w:jc w:val="center"/>
        <w:rPr>
          <w:rFonts w:cstheme="minorHAnsi"/>
          <w:color w:val="2F5496" w:themeColor="accent1" w:themeShade="BF"/>
          <w:sz w:val="24"/>
          <w:szCs w:val="24"/>
        </w:rPr>
      </w:pPr>
      <w:r w:rsidRPr="00497CC6">
        <w:rPr>
          <w:rFonts w:cstheme="minorHAnsi"/>
          <w:color w:val="2F5496" w:themeColor="accent1" w:themeShade="BF"/>
          <w:sz w:val="24"/>
          <w:szCs w:val="24"/>
          <w:u w:val="single"/>
        </w:rPr>
        <w:t xml:space="preserve">Table </w:t>
      </w:r>
      <w:r w:rsidR="0061319F">
        <w:rPr>
          <w:rFonts w:cstheme="minorHAnsi"/>
          <w:color w:val="2F5496" w:themeColor="accent1" w:themeShade="BF"/>
          <w:sz w:val="24"/>
          <w:szCs w:val="24"/>
          <w:u w:val="single"/>
        </w:rPr>
        <w:t>5</w:t>
      </w:r>
      <w:r w:rsidRPr="00497CC6">
        <w:rPr>
          <w:rFonts w:cstheme="minorHAnsi"/>
          <w:color w:val="2F5496" w:themeColor="accent1" w:themeShade="BF"/>
          <w:sz w:val="24"/>
          <w:szCs w:val="24"/>
        </w:rPr>
        <w:t xml:space="preserve"> – Encompass Western Massachusetts’ Utilization</w:t>
      </w:r>
      <w:r w:rsidR="00FE6F83">
        <w:rPr>
          <w:rStyle w:val="FootnoteReference"/>
          <w:rFonts w:cstheme="minorHAnsi"/>
          <w:color w:val="2F5496" w:themeColor="accent1" w:themeShade="BF"/>
          <w:sz w:val="24"/>
          <w:szCs w:val="24"/>
        </w:rPr>
        <w:footnoteReference w:id="16"/>
      </w:r>
    </w:p>
    <w:tbl>
      <w:tblPr>
        <w:tblStyle w:val="TableGrid"/>
        <w:tblW w:w="9630" w:type="dxa"/>
        <w:tblInd w:w="-5" w:type="dxa"/>
        <w:tblLook w:val="04A0" w:firstRow="1" w:lastRow="0" w:firstColumn="1" w:lastColumn="0" w:noHBand="0" w:noVBand="1"/>
      </w:tblPr>
      <w:tblGrid>
        <w:gridCol w:w="2880"/>
        <w:gridCol w:w="990"/>
        <w:gridCol w:w="1080"/>
        <w:gridCol w:w="1080"/>
        <w:gridCol w:w="1260"/>
        <w:gridCol w:w="1080"/>
        <w:gridCol w:w="1260"/>
      </w:tblGrid>
      <w:tr w:rsidR="00575025" w:rsidRPr="00575025" w14:paraId="1457D6D6" w14:textId="77777777" w:rsidTr="003455E1">
        <w:trPr>
          <w:cantSplit/>
          <w:tblHeader/>
        </w:trPr>
        <w:tc>
          <w:tcPr>
            <w:tcW w:w="2880" w:type="dxa"/>
            <w:shd w:val="clear" w:color="auto" w:fill="BDD6EE" w:themeFill="accent5" w:themeFillTint="66"/>
            <w:vAlign w:val="bottom"/>
          </w:tcPr>
          <w:p w14:paraId="49373675"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Utilization Statistic</w:t>
            </w:r>
          </w:p>
        </w:tc>
        <w:tc>
          <w:tcPr>
            <w:tcW w:w="990" w:type="dxa"/>
            <w:shd w:val="clear" w:color="auto" w:fill="BDD6EE" w:themeFill="accent5" w:themeFillTint="66"/>
            <w:vAlign w:val="bottom"/>
          </w:tcPr>
          <w:p w14:paraId="6630F387"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CY17</w:t>
            </w:r>
          </w:p>
        </w:tc>
        <w:tc>
          <w:tcPr>
            <w:tcW w:w="1080" w:type="dxa"/>
            <w:shd w:val="clear" w:color="auto" w:fill="BDD6EE" w:themeFill="accent5" w:themeFillTint="66"/>
            <w:vAlign w:val="bottom"/>
          </w:tcPr>
          <w:p w14:paraId="7EFB77C0"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CY18</w:t>
            </w:r>
          </w:p>
        </w:tc>
        <w:tc>
          <w:tcPr>
            <w:tcW w:w="1080" w:type="dxa"/>
            <w:shd w:val="clear" w:color="auto" w:fill="BDD6EE" w:themeFill="accent5" w:themeFillTint="66"/>
            <w:vAlign w:val="bottom"/>
          </w:tcPr>
          <w:p w14:paraId="102E0EAB"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CY19</w:t>
            </w:r>
          </w:p>
        </w:tc>
        <w:tc>
          <w:tcPr>
            <w:tcW w:w="1260" w:type="dxa"/>
            <w:shd w:val="clear" w:color="auto" w:fill="BDD6EE" w:themeFill="accent5" w:themeFillTint="66"/>
            <w:vAlign w:val="bottom"/>
          </w:tcPr>
          <w:p w14:paraId="51F56ACB"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CY20</w:t>
            </w:r>
          </w:p>
        </w:tc>
        <w:tc>
          <w:tcPr>
            <w:tcW w:w="1080" w:type="dxa"/>
            <w:shd w:val="clear" w:color="auto" w:fill="BDD6EE" w:themeFill="accent5" w:themeFillTint="66"/>
            <w:vAlign w:val="bottom"/>
          </w:tcPr>
          <w:p w14:paraId="4F0EE22F"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CY21</w:t>
            </w:r>
          </w:p>
        </w:tc>
        <w:tc>
          <w:tcPr>
            <w:tcW w:w="1260" w:type="dxa"/>
            <w:shd w:val="clear" w:color="auto" w:fill="BDD6EE" w:themeFill="accent5" w:themeFillTint="66"/>
            <w:vAlign w:val="bottom"/>
          </w:tcPr>
          <w:p w14:paraId="09080942"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CY22</w:t>
            </w:r>
          </w:p>
        </w:tc>
      </w:tr>
      <w:tr w:rsidR="00575025" w:rsidRPr="00575025" w14:paraId="686AF69D" w14:textId="77777777" w:rsidTr="003455E1">
        <w:trPr>
          <w:cantSplit/>
        </w:trPr>
        <w:tc>
          <w:tcPr>
            <w:tcW w:w="2880" w:type="dxa"/>
            <w:vAlign w:val="bottom"/>
          </w:tcPr>
          <w:p w14:paraId="08D98984" w14:textId="77777777" w:rsidR="00575025" w:rsidRPr="00575025" w:rsidRDefault="00575025" w:rsidP="005B484F">
            <w:pPr>
              <w:spacing w:line="259" w:lineRule="auto"/>
              <w:rPr>
                <w:rFonts w:cstheme="minorHAnsi"/>
                <w:sz w:val="24"/>
                <w:szCs w:val="24"/>
              </w:rPr>
            </w:pPr>
            <w:r w:rsidRPr="00575025">
              <w:rPr>
                <w:rFonts w:cstheme="minorHAnsi"/>
                <w:sz w:val="24"/>
                <w:szCs w:val="24"/>
              </w:rPr>
              <w:t>Patient Days</w:t>
            </w:r>
          </w:p>
        </w:tc>
        <w:tc>
          <w:tcPr>
            <w:tcW w:w="990" w:type="dxa"/>
            <w:vAlign w:val="bottom"/>
          </w:tcPr>
          <w:p w14:paraId="1C7D4228" w14:textId="77777777" w:rsidR="00575025" w:rsidRPr="00575025" w:rsidRDefault="00575025" w:rsidP="005B484F">
            <w:pPr>
              <w:spacing w:line="259" w:lineRule="auto"/>
              <w:rPr>
                <w:rFonts w:cstheme="minorHAnsi"/>
                <w:sz w:val="24"/>
                <w:szCs w:val="24"/>
              </w:rPr>
            </w:pPr>
            <w:r w:rsidRPr="00575025">
              <w:rPr>
                <w:rFonts w:cstheme="minorHAnsi"/>
                <w:sz w:val="24"/>
                <w:szCs w:val="24"/>
              </w:rPr>
              <w:t>17,274</w:t>
            </w:r>
          </w:p>
        </w:tc>
        <w:tc>
          <w:tcPr>
            <w:tcW w:w="1080" w:type="dxa"/>
            <w:vAlign w:val="bottom"/>
          </w:tcPr>
          <w:p w14:paraId="0C5FAAA9" w14:textId="77777777" w:rsidR="00575025" w:rsidRPr="00575025" w:rsidRDefault="00575025" w:rsidP="005B484F">
            <w:pPr>
              <w:spacing w:line="259" w:lineRule="auto"/>
              <w:rPr>
                <w:rFonts w:cstheme="minorHAnsi"/>
                <w:sz w:val="24"/>
                <w:szCs w:val="24"/>
              </w:rPr>
            </w:pPr>
            <w:r w:rsidRPr="00575025">
              <w:rPr>
                <w:rFonts w:cstheme="minorHAnsi"/>
                <w:sz w:val="24"/>
                <w:szCs w:val="24"/>
              </w:rPr>
              <w:t>17,287</w:t>
            </w:r>
          </w:p>
        </w:tc>
        <w:tc>
          <w:tcPr>
            <w:tcW w:w="1080" w:type="dxa"/>
            <w:vAlign w:val="bottom"/>
          </w:tcPr>
          <w:p w14:paraId="4D22DCBA" w14:textId="77777777" w:rsidR="00575025" w:rsidRPr="00575025" w:rsidRDefault="00575025" w:rsidP="005B484F">
            <w:pPr>
              <w:spacing w:line="259" w:lineRule="auto"/>
              <w:rPr>
                <w:rFonts w:cstheme="minorHAnsi"/>
                <w:sz w:val="24"/>
                <w:szCs w:val="24"/>
              </w:rPr>
            </w:pPr>
            <w:r w:rsidRPr="00575025">
              <w:rPr>
                <w:rFonts w:cstheme="minorHAnsi"/>
                <w:sz w:val="24"/>
                <w:szCs w:val="24"/>
              </w:rPr>
              <w:t>17,788</w:t>
            </w:r>
          </w:p>
        </w:tc>
        <w:tc>
          <w:tcPr>
            <w:tcW w:w="1260" w:type="dxa"/>
            <w:vAlign w:val="bottom"/>
          </w:tcPr>
          <w:p w14:paraId="4D7AA269" w14:textId="77777777" w:rsidR="00575025" w:rsidRPr="00575025" w:rsidRDefault="00575025" w:rsidP="005B484F">
            <w:pPr>
              <w:spacing w:line="259" w:lineRule="auto"/>
              <w:rPr>
                <w:rFonts w:cstheme="minorHAnsi"/>
                <w:sz w:val="24"/>
                <w:szCs w:val="24"/>
              </w:rPr>
            </w:pPr>
            <w:r w:rsidRPr="00575025">
              <w:rPr>
                <w:rFonts w:cstheme="minorHAnsi"/>
                <w:sz w:val="24"/>
                <w:szCs w:val="24"/>
              </w:rPr>
              <w:t>17,574</w:t>
            </w:r>
          </w:p>
        </w:tc>
        <w:tc>
          <w:tcPr>
            <w:tcW w:w="1080" w:type="dxa"/>
            <w:vAlign w:val="bottom"/>
          </w:tcPr>
          <w:p w14:paraId="74B583FD" w14:textId="77777777" w:rsidR="00575025" w:rsidRPr="00575025" w:rsidRDefault="00575025" w:rsidP="005B484F">
            <w:pPr>
              <w:spacing w:line="259" w:lineRule="auto"/>
              <w:rPr>
                <w:rFonts w:cstheme="minorHAnsi"/>
                <w:sz w:val="24"/>
                <w:szCs w:val="24"/>
              </w:rPr>
            </w:pPr>
            <w:r w:rsidRPr="00575025">
              <w:rPr>
                <w:rFonts w:cstheme="minorHAnsi"/>
                <w:sz w:val="24"/>
                <w:szCs w:val="24"/>
              </w:rPr>
              <w:t>18,161</w:t>
            </w:r>
          </w:p>
        </w:tc>
        <w:tc>
          <w:tcPr>
            <w:tcW w:w="1260" w:type="dxa"/>
            <w:vAlign w:val="bottom"/>
          </w:tcPr>
          <w:p w14:paraId="729565B0" w14:textId="77777777" w:rsidR="00575025" w:rsidRPr="00575025" w:rsidRDefault="00575025" w:rsidP="005B484F">
            <w:pPr>
              <w:spacing w:line="259" w:lineRule="auto"/>
              <w:rPr>
                <w:rFonts w:cstheme="minorHAnsi"/>
                <w:sz w:val="24"/>
                <w:szCs w:val="24"/>
              </w:rPr>
            </w:pPr>
            <w:r w:rsidRPr="00575025">
              <w:rPr>
                <w:rFonts w:cstheme="minorHAnsi"/>
                <w:sz w:val="24"/>
                <w:szCs w:val="24"/>
              </w:rPr>
              <w:t>18,327</w:t>
            </w:r>
          </w:p>
        </w:tc>
      </w:tr>
      <w:tr w:rsidR="00575025" w:rsidRPr="00575025" w14:paraId="5BF4D48E" w14:textId="77777777" w:rsidTr="003455E1">
        <w:trPr>
          <w:cantSplit/>
        </w:trPr>
        <w:tc>
          <w:tcPr>
            <w:tcW w:w="2880" w:type="dxa"/>
            <w:vAlign w:val="bottom"/>
          </w:tcPr>
          <w:p w14:paraId="6A83D19B" w14:textId="77777777" w:rsidR="00575025" w:rsidRPr="00575025" w:rsidRDefault="00575025" w:rsidP="005B484F">
            <w:pPr>
              <w:spacing w:line="259" w:lineRule="auto"/>
              <w:rPr>
                <w:rFonts w:cstheme="minorHAnsi"/>
                <w:sz w:val="24"/>
                <w:szCs w:val="24"/>
              </w:rPr>
            </w:pPr>
            <w:r w:rsidRPr="00575025">
              <w:rPr>
                <w:rFonts w:cstheme="minorHAnsi"/>
                <w:sz w:val="24"/>
                <w:szCs w:val="24"/>
              </w:rPr>
              <w:t>Discharges</w:t>
            </w:r>
          </w:p>
        </w:tc>
        <w:tc>
          <w:tcPr>
            <w:tcW w:w="990" w:type="dxa"/>
            <w:vAlign w:val="bottom"/>
          </w:tcPr>
          <w:p w14:paraId="5E0D08B7" w14:textId="77777777" w:rsidR="00575025" w:rsidRPr="00575025" w:rsidRDefault="00575025" w:rsidP="005B484F">
            <w:pPr>
              <w:spacing w:line="259" w:lineRule="auto"/>
              <w:rPr>
                <w:rFonts w:cstheme="minorHAnsi"/>
                <w:sz w:val="24"/>
                <w:szCs w:val="24"/>
              </w:rPr>
            </w:pPr>
            <w:r w:rsidRPr="00575025">
              <w:rPr>
                <w:rFonts w:cstheme="minorHAnsi"/>
                <w:sz w:val="24"/>
                <w:szCs w:val="24"/>
              </w:rPr>
              <w:t>1,277</w:t>
            </w:r>
          </w:p>
        </w:tc>
        <w:tc>
          <w:tcPr>
            <w:tcW w:w="1080" w:type="dxa"/>
            <w:vAlign w:val="bottom"/>
          </w:tcPr>
          <w:p w14:paraId="3514336A" w14:textId="77777777" w:rsidR="00575025" w:rsidRPr="00575025" w:rsidRDefault="00575025" w:rsidP="005B484F">
            <w:pPr>
              <w:spacing w:line="259" w:lineRule="auto"/>
              <w:rPr>
                <w:rFonts w:cstheme="minorHAnsi"/>
                <w:sz w:val="24"/>
                <w:szCs w:val="24"/>
              </w:rPr>
            </w:pPr>
            <w:r w:rsidRPr="00575025">
              <w:rPr>
                <w:rFonts w:cstheme="minorHAnsi"/>
                <w:sz w:val="24"/>
                <w:szCs w:val="24"/>
              </w:rPr>
              <w:t>1,314</w:t>
            </w:r>
          </w:p>
        </w:tc>
        <w:tc>
          <w:tcPr>
            <w:tcW w:w="1080" w:type="dxa"/>
            <w:vAlign w:val="bottom"/>
          </w:tcPr>
          <w:p w14:paraId="630548AA" w14:textId="77777777" w:rsidR="00575025" w:rsidRPr="00575025" w:rsidRDefault="00575025" w:rsidP="005B484F">
            <w:pPr>
              <w:spacing w:line="259" w:lineRule="auto"/>
              <w:rPr>
                <w:rFonts w:cstheme="minorHAnsi"/>
                <w:sz w:val="24"/>
                <w:szCs w:val="24"/>
              </w:rPr>
            </w:pPr>
            <w:r w:rsidRPr="00575025">
              <w:rPr>
                <w:rFonts w:cstheme="minorHAnsi"/>
                <w:sz w:val="24"/>
                <w:szCs w:val="24"/>
              </w:rPr>
              <w:t>1,364</w:t>
            </w:r>
          </w:p>
        </w:tc>
        <w:tc>
          <w:tcPr>
            <w:tcW w:w="1260" w:type="dxa"/>
            <w:vAlign w:val="bottom"/>
          </w:tcPr>
          <w:p w14:paraId="5CC195D2" w14:textId="77777777" w:rsidR="00575025" w:rsidRPr="00575025" w:rsidRDefault="00575025" w:rsidP="005B484F">
            <w:pPr>
              <w:spacing w:line="259" w:lineRule="auto"/>
              <w:rPr>
                <w:rFonts w:cstheme="minorHAnsi"/>
                <w:sz w:val="24"/>
                <w:szCs w:val="24"/>
              </w:rPr>
            </w:pPr>
            <w:r w:rsidRPr="00575025">
              <w:rPr>
                <w:rFonts w:cstheme="minorHAnsi"/>
                <w:sz w:val="24"/>
                <w:szCs w:val="24"/>
              </w:rPr>
              <w:t>1,303</w:t>
            </w:r>
          </w:p>
        </w:tc>
        <w:tc>
          <w:tcPr>
            <w:tcW w:w="1080" w:type="dxa"/>
            <w:vAlign w:val="bottom"/>
          </w:tcPr>
          <w:p w14:paraId="099D80FE" w14:textId="77777777" w:rsidR="00575025" w:rsidRPr="00575025" w:rsidRDefault="00575025" w:rsidP="005B484F">
            <w:pPr>
              <w:spacing w:line="259" w:lineRule="auto"/>
              <w:rPr>
                <w:rFonts w:cstheme="minorHAnsi"/>
                <w:sz w:val="24"/>
                <w:szCs w:val="24"/>
              </w:rPr>
            </w:pPr>
            <w:r w:rsidRPr="00575025">
              <w:rPr>
                <w:rFonts w:cstheme="minorHAnsi"/>
                <w:sz w:val="24"/>
                <w:szCs w:val="24"/>
              </w:rPr>
              <w:t>1,393</w:t>
            </w:r>
          </w:p>
        </w:tc>
        <w:tc>
          <w:tcPr>
            <w:tcW w:w="1260" w:type="dxa"/>
            <w:vAlign w:val="bottom"/>
          </w:tcPr>
          <w:p w14:paraId="7A6A52BB" w14:textId="77777777" w:rsidR="00575025" w:rsidRPr="00575025" w:rsidRDefault="00575025" w:rsidP="005B484F">
            <w:pPr>
              <w:spacing w:line="259" w:lineRule="auto"/>
              <w:rPr>
                <w:rFonts w:cstheme="minorHAnsi"/>
                <w:sz w:val="24"/>
                <w:szCs w:val="24"/>
              </w:rPr>
            </w:pPr>
            <w:r w:rsidRPr="00575025">
              <w:rPr>
                <w:rFonts w:cstheme="minorHAnsi"/>
                <w:sz w:val="24"/>
                <w:szCs w:val="24"/>
              </w:rPr>
              <w:t>1,440</w:t>
            </w:r>
          </w:p>
        </w:tc>
      </w:tr>
      <w:tr w:rsidR="00575025" w:rsidRPr="00575025" w14:paraId="1F52825B" w14:textId="77777777" w:rsidTr="003455E1">
        <w:trPr>
          <w:cantSplit/>
        </w:trPr>
        <w:tc>
          <w:tcPr>
            <w:tcW w:w="2880" w:type="dxa"/>
            <w:vAlign w:val="bottom"/>
          </w:tcPr>
          <w:p w14:paraId="5A8B38E8" w14:textId="77777777" w:rsidR="00575025" w:rsidRPr="00575025" w:rsidRDefault="00575025" w:rsidP="005B484F">
            <w:pPr>
              <w:spacing w:line="259" w:lineRule="auto"/>
              <w:rPr>
                <w:rFonts w:cstheme="minorHAnsi"/>
                <w:sz w:val="24"/>
                <w:szCs w:val="24"/>
              </w:rPr>
            </w:pPr>
            <w:r w:rsidRPr="00575025">
              <w:rPr>
                <w:rFonts w:cstheme="minorHAnsi"/>
                <w:sz w:val="24"/>
                <w:szCs w:val="24"/>
              </w:rPr>
              <w:t>Avg. Length of Stay</w:t>
            </w:r>
          </w:p>
        </w:tc>
        <w:tc>
          <w:tcPr>
            <w:tcW w:w="990" w:type="dxa"/>
            <w:vAlign w:val="bottom"/>
          </w:tcPr>
          <w:p w14:paraId="2A12F6A5" w14:textId="77777777" w:rsidR="00575025" w:rsidRPr="00575025" w:rsidRDefault="00575025" w:rsidP="005B484F">
            <w:pPr>
              <w:spacing w:line="259" w:lineRule="auto"/>
              <w:rPr>
                <w:rFonts w:cstheme="minorHAnsi"/>
                <w:sz w:val="24"/>
                <w:szCs w:val="24"/>
              </w:rPr>
            </w:pPr>
            <w:r w:rsidRPr="00575025">
              <w:rPr>
                <w:rFonts w:cstheme="minorHAnsi"/>
                <w:sz w:val="24"/>
                <w:szCs w:val="24"/>
              </w:rPr>
              <w:t>13.5</w:t>
            </w:r>
          </w:p>
        </w:tc>
        <w:tc>
          <w:tcPr>
            <w:tcW w:w="1080" w:type="dxa"/>
            <w:vAlign w:val="bottom"/>
          </w:tcPr>
          <w:p w14:paraId="348CF408" w14:textId="77777777" w:rsidR="00575025" w:rsidRPr="00575025" w:rsidRDefault="00575025" w:rsidP="005B484F">
            <w:pPr>
              <w:spacing w:line="259" w:lineRule="auto"/>
              <w:rPr>
                <w:rFonts w:cstheme="minorHAnsi"/>
                <w:sz w:val="24"/>
                <w:szCs w:val="24"/>
              </w:rPr>
            </w:pPr>
            <w:r w:rsidRPr="00575025">
              <w:rPr>
                <w:rFonts w:cstheme="minorHAnsi"/>
                <w:sz w:val="24"/>
                <w:szCs w:val="24"/>
              </w:rPr>
              <w:t>13.2</w:t>
            </w:r>
          </w:p>
        </w:tc>
        <w:tc>
          <w:tcPr>
            <w:tcW w:w="1080" w:type="dxa"/>
            <w:vAlign w:val="bottom"/>
          </w:tcPr>
          <w:p w14:paraId="1E7A9373" w14:textId="77777777" w:rsidR="00575025" w:rsidRPr="00575025" w:rsidRDefault="00575025" w:rsidP="005B484F">
            <w:pPr>
              <w:spacing w:line="259" w:lineRule="auto"/>
              <w:rPr>
                <w:rFonts w:cstheme="minorHAnsi"/>
                <w:sz w:val="24"/>
                <w:szCs w:val="24"/>
              </w:rPr>
            </w:pPr>
            <w:r w:rsidRPr="00575025">
              <w:rPr>
                <w:rFonts w:cstheme="minorHAnsi"/>
                <w:sz w:val="24"/>
                <w:szCs w:val="24"/>
              </w:rPr>
              <w:t>13.0</w:t>
            </w:r>
          </w:p>
        </w:tc>
        <w:tc>
          <w:tcPr>
            <w:tcW w:w="1260" w:type="dxa"/>
            <w:vAlign w:val="bottom"/>
          </w:tcPr>
          <w:p w14:paraId="5F7773A0" w14:textId="77777777" w:rsidR="00575025" w:rsidRPr="00575025" w:rsidRDefault="00575025" w:rsidP="005B484F">
            <w:pPr>
              <w:spacing w:line="259" w:lineRule="auto"/>
              <w:rPr>
                <w:rFonts w:cstheme="minorHAnsi"/>
                <w:sz w:val="24"/>
                <w:szCs w:val="24"/>
              </w:rPr>
            </w:pPr>
            <w:r w:rsidRPr="00575025">
              <w:rPr>
                <w:rFonts w:cstheme="minorHAnsi"/>
                <w:sz w:val="24"/>
                <w:szCs w:val="24"/>
              </w:rPr>
              <w:t>13.5</w:t>
            </w:r>
          </w:p>
        </w:tc>
        <w:tc>
          <w:tcPr>
            <w:tcW w:w="1080" w:type="dxa"/>
            <w:vAlign w:val="bottom"/>
          </w:tcPr>
          <w:p w14:paraId="049B9A98" w14:textId="77777777" w:rsidR="00575025" w:rsidRPr="00575025" w:rsidRDefault="00575025" w:rsidP="005B484F">
            <w:pPr>
              <w:spacing w:line="259" w:lineRule="auto"/>
              <w:rPr>
                <w:rFonts w:cstheme="minorHAnsi"/>
                <w:sz w:val="24"/>
                <w:szCs w:val="24"/>
              </w:rPr>
            </w:pPr>
            <w:r w:rsidRPr="00575025">
              <w:rPr>
                <w:rFonts w:cstheme="minorHAnsi"/>
                <w:sz w:val="24"/>
                <w:szCs w:val="24"/>
              </w:rPr>
              <w:t>13.0</w:t>
            </w:r>
          </w:p>
        </w:tc>
        <w:tc>
          <w:tcPr>
            <w:tcW w:w="1260" w:type="dxa"/>
            <w:vAlign w:val="bottom"/>
          </w:tcPr>
          <w:p w14:paraId="6086680C" w14:textId="77777777" w:rsidR="00575025" w:rsidRPr="00575025" w:rsidRDefault="00575025" w:rsidP="005B484F">
            <w:pPr>
              <w:spacing w:line="259" w:lineRule="auto"/>
              <w:rPr>
                <w:rFonts w:cstheme="minorHAnsi"/>
                <w:sz w:val="24"/>
                <w:szCs w:val="24"/>
              </w:rPr>
            </w:pPr>
            <w:r w:rsidRPr="00575025">
              <w:rPr>
                <w:rFonts w:cstheme="minorHAnsi"/>
                <w:sz w:val="24"/>
                <w:szCs w:val="24"/>
              </w:rPr>
              <w:t>12.7</w:t>
            </w:r>
          </w:p>
        </w:tc>
      </w:tr>
      <w:tr w:rsidR="00575025" w:rsidRPr="00575025" w14:paraId="327BFC28" w14:textId="77777777" w:rsidTr="003455E1">
        <w:trPr>
          <w:cantSplit/>
        </w:trPr>
        <w:tc>
          <w:tcPr>
            <w:tcW w:w="2880" w:type="dxa"/>
            <w:vAlign w:val="bottom"/>
          </w:tcPr>
          <w:p w14:paraId="3B5FA969" w14:textId="77777777" w:rsidR="00575025" w:rsidRPr="00575025" w:rsidRDefault="00575025" w:rsidP="005B484F">
            <w:pPr>
              <w:spacing w:line="259" w:lineRule="auto"/>
              <w:rPr>
                <w:rFonts w:cstheme="minorHAnsi"/>
                <w:sz w:val="24"/>
                <w:szCs w:val="24"/>
              </w:rPr>
            </w:pPr>
            <w:r w:rsidRPr="00575025">
              <w:rPr>
                <w:rFonts w:cstheme="minorHAnsi"/>
                <w:sz w:val="24"/>
                <w:szCs w:val="24"/>
              </w:rPr>
              <w:t>Licensed Beds</w:t>
            </w:r>
          </w:p>
        </w:tc>
        <w:tc>
          <w:tcPr>
            <w:tcW w:w="990" w:type="dxa"/>
            <w:vAlign w:val="bottom"/>
          </w:tcPr>
          <w:p w14:paraId="5FF2FE81" w14:textId="77777777" w:rsidR="00575025" w:rsidRPr="00575025" w:rsidRDefault="00575025" w:rsidP="005B484F">
            <w:pPr>
              <w:spacing w:line="259" w:lineRule="auto"/>
              <w:rPr>
                <w:rFonts w:cstheme="minorHAnsi"/>
                <w:sz w:val="24"/>
                <w:szCs w:val="24"/>
              </w:rPr>
            </w:pPr>
            <w:r w:rsidRPr="00575025">
              <w:rPr>
                <w:rFonts w:cstheme="minorHAnsi"/>
                <w:sz w:val="24"/>
                <w:szCs w:val="24"/>
              </w:rPr>
              <w:t>53</w:t>
            </w:r>
          </w:p>
        </w:tc>
        <w:tc>
          <w:tcPr>
            <w:tcW w:w="1080" w:type="dxa"/>
            <w:vAlign w:val="bottom"/>
          </w:tcPr>
          <w:p w14:paraId="081A8125" w14:textId="77777777" w:rsidR="00575025" w:rsidRPr="00575025" w:rsidRDefault="00575025" w:rsidP="005B484F">
            <w:pPr>
              <w:spacing w:line="259" w:lineRule="auto"/>
              <w:rPr>
                <w:rFonts w:cstheme="minorHAnsi"/>
                <w:sz w:val="24"/>
                <w:szCs w:val="24"/>
              </w:rPr>
            </w:pPr>
            <w:r w:rsidRPr="00575025">
              <w:rPr>
                <w:rFonts w:cstheme="minorHAnsi"/>
                <w:sz w:val="24"/>
                <w:szCs w:val="24"/>
              </w:rPr>
              <w:t>53</w:t>
            </w:r>
          </w:p>
        </w:tc>
        <w:tc>
          <w:tcPr>
            <w:tcW w:w="1080" w:type="dxa"/>
            <w:vAlign w:val="bottom"/>
          </w:tcPr>
          <w:p w14:paraId="7BD91997" w14:textId="77777777" w:rsidR="00575025" w:rsidRPr="00575025" w:rsidRDefault="00575025" w:rsidP="005B484F">
            <w:pPr>
              <w:spacing w:line="259" w:lineRule="auto"/>
              <w:rPr>
                <w:rFonts w:cstheme="minorHAnsi"/>
                <w:sz w:val="24"/>
                <w:szCs w:val="24"/>
              </w:rPr>
            </w:pPr>
            <w:r w:rsidRPr="00575025">
              <w:rPr>
                <w:rFonts w:cstheme="minorHAnsi"/>
                <w:sz w:val="24"/>
                <w:szCs w:val="24"/>
              </w:rPr>
              <w:t>53</w:t>
            </w:r>
          </w:p>
        </w:tc>
        <w:tc>
          <w:tcPr>
            <w:tcW w:w="1260" w:type="dxa"/>
            <w:vAlign w:val="bottom"/>
          </w:tcPr>
          <w:p w14:paraId="52B7BC0D" w14:textId="77777777" w:rsidR="00575025" w:rsidRPr="00575025" w:rsidRDefault="00575025" w:rsidP="005B484F">
            <w:pPr>
              <w:spacing w:line="259" w:lineRule="auto"/>
              <w:rPr>
                <w:rFonts w:cstheme="minorHAnsi"/>
                <w:sz w:val="24"/>
                <w:szCs w:val="24"/>
              </w:rPr>
            </w:pPr>
            <w:r w:rsidRPr="00575025">
              <w:rPr>
                <w:rFonts w:cstheme="minorHAnsi"/>
                <w:sz w:val="24"/>
                <w:szCs w:val="24"/>
              </w:rPr>
              <w:t>53</w:t>
            </w:r>
          </w:p>
        </w:tc>
        <w:tc>
          <w:tcPr>
            <w:tcW w:w="1080" w:type="dxa"/>
            <w:vAlign w:val="bottom"/>
          </w:tcPr>
          <w:p w14:paraId="6DB624D9" w14:textId="77777777" w:rsidR="00575025" w:rsidRPr="00575025" w:rsidRDefault="00575025" w:rsidP="005B484F">
            <w:pPr>
              <w:spacing w:line="259" w:lineRule="auto"/>
              <w:rPr>
                <w:rFonts w:cstheme="minorHAnsi"/>
                <w:sz w:val="24"/>
                <w:szCs w:val="24"/>
              </w:rPr>
            </w:pPr>
            <w:r w:rsidRPr="00575025">
              <w:rPr>
                <w:rFonts w:cstheme="minorHAnsi"/>
                <w:sz w:val="24"/>
                <w:szCs w:val="24"/>
              </w:rPr>
              <w:t>53</w:t>
            </w:r>
          </w:p>
        </w:tc>
        <w:tc>
          <w:tcPr>
            <w:tcW w:w="1260" w:type="dxa"/>
            <w:vAlign w:val="bottom"/>
          </w:tcPr>
          <w:p w14:paraId="7FB088C5" w14:textId="77777777" w:rsidR="00575025" w:rsidRPr="00575025" w:rsidRDefault="00575025" w:rsidP="005B484F">
            <w:pPr>
              <w:spacing w:line="259" w:lineRule="auto"/>
              <w:rPr>
                <w:rFonts w:cstheme="minorHAnsi"/>
                <w:sz w:val="24"/>
                <w:szCs w:val="24"/>
              </w:rPr>
            </w:pPr>
            <w:r w:rsidRPr="00575025">
              <w:rPr>
                <w:rFonts w:cstheme="minorHAnsi"/>
                <w:sz w:val="24"/>
                <w:szCs w:val="24"/>
              </w:rPr>
              <w:t>53</w:t>
            </w:r>
          </w:p>
        </w:tc>
      </w:tr>
      <w:tr w:rsidR="00575025" w:rsidRPr="00575025" w14:paraId="5A7362CB" w14:textId="77777777" w:rsidTr="003455E1">
        <w:trPr>
          <w:cantSplit/>
        </w:trPr>
        <w:tc>
          <w:tcPr>
            <w:tcW w:w="2880" w:type="dxa"/>
            <w:vAlign w:val="bottom"/>
          </w:tcPr>
          <w:p w14:paraId="5985577B" w14:textId="77777777" w:rsidR="00575025" w:rsidRPr="00575025" w:rsidRDefault="00575025" w:rsidP="005B484F">
            <w:pPr>
              <w:spacing w:line="259" w:lineRule="auto"/>
              <w:rPr>
                <w:rFonts w:cstheme="minorHAnsi"/>
                <w:sz w:val="24"/>
                <w:szCs w:val="24"/>
              </w:rPr>
            </w:pPr>
            <w:r w:rsidRPr="00575025">
              <w:rPr>
                <w:rFonts w:cstheme="minorHAnsi"/>
                <w:sz w:val="24"/>
                <w:szCs w:val="24"/>
              </w:rPr>
              <w:t>Average Daily Census</w:t>
            </w:r>
          </w:p>
        </w:tc>
        <w:tc>
          <w:tcPr>
            <w:tcW w:w="990" w:type="dxa"/>
            <w:vAlign w:val="bottom"/>
          </w:tcPr>
          <w:p w14:paraId="6B79F86D" w14:textId="77777777" w:rsidR="00575025" w:rsidRPr="00575025" w:rsidRDefault="00575025" w:rsidP="005B484F">
            <w:pPr>
              <w:spacing w:line="259" w:lineRule="auto"/>
              <w:rPr>
                <w:rFonts w:cstheme="minorHAnsi"/>
                <w:sz w:val="24"/>
                <w:szCs w:val="24"/>
              </w:rPr>
            </w:pPr>
            <w:r w:rsidRPr="00575025">
              <w:rPr>
                <w:rFonts w:cstheme="minorHAnsi"/>
                <w:sz w:val="24"/>
                <w:szCs w:val="24"/>
              </w:rPr>
              <w:t>47.3</w:t>
            </w:r>
          </w:p>
        </w:tc>
        <w:tc>
          <w:tcPr>
            <w:tcW w:w="1080" w:type="dxa"/>
            <w:vAlign w:val="bottom"/>
          </w:tcPr>
          <w:p w14:paraId="413C5945" w14:textId="77777777" w:rsidR="00575025" w:rsidRPr="00575025" w:rsidRDefault="00575025" w:rsidP="005B484F">
            <w:pPr>
              <w:spacing w:line="259" w:lineRule="auto"/>
              <w:rPr>
                <w:rFonts w:cstheme="minorHAnsi"/>
                <w:sz w:val="24"/>
                <w:szCs w:val="24"/>
              </w:rPr>
            </w:pPr>
            <w:r w:rsidRPr="00575025">
              <w:rPr>
                <w:rFonts w:cstheme="minorHAnsi"/>
                <w:sz w:val="24"/>
                <w:szCs w:val="24"/>
              </w:rPr>
              <w:t>47.4</w:t>
            </w:r>
          </w:p>
        </w:tc>
        <w:tc>
          <w:tcPr>
            <w:tcW w:w="1080" w:type="dxa"/>
            <w:vAlign w:val="bottom"/>
          </w:tcPr>
          <w:p w14:paraId="433986A8" w14:textId="77777777" w:rsidR="00575025" w:rsidRPr="00575025" w:rsidRDefault="00575025" w:rsidP="005B484F">
            <w:pPr>
              <w:spacing w:line="259" w:lineRule="auto"/>
              <w:rPr>
                <w:rFonts w:cstheme="minorHAnsi"/>
                <w:sz w:val="24"/>
                <w:szCs w:val="24"/>
              </w:rPr>
            </w:pPr>
            <w:r w:rsidRPr="00575025">
              <w:rPr>
                <w:rFonts w:cstheme="minorHAnsi"/>
                <w:sz w:val="24"/>
                <w:szCs w:val="24"/>
              </w:rPr>
              <w:t>48.7</w:t>
            </w:r>
          </w:p>
        </w:tc>
        <w:tc>
          <w:tcPr>
            <w:tcW w:w="1260" w:type="dxa"/>
            <w:vAlign w:val="bottom"/>
          </w:tcPr>
          <w:p w14:paraId="10EFA5AA" w14:textId="77777777" w:rsidR="00575025" w:rsidRPr="00575025" w:rsidRDefault="00575025" w:rsidP="005B484F">
            <w:pPr>
              <w:spacing w:line="259" w:lineRule="auto"/>
              <w:rPr>
                <w:rFonts w:cstheme="minorHAnsi"/>
                <w:sz w:val="24"/>
                <w:szCs w:val="24"/>
              </w:rPr>
            </w:pPr>
            <w:r w:rsidRPr="00575025">
              <w:rPr>
                <w:rFonts w:cstheme="minorHAnsi"/>
                <w:sz w:val="24"/>
                <w:szCs w:val="24"/>
              </w:rPr>
              <w:t>48.0</w:t>
            </w:r>
          </w:p>
        </w:tc>
        <w:tc>
          <w:tcPr>
            <w:tcW w:w="1080" w:type="dxa"/>
            <w:vAlign w:val="bottom"/>
          </w:tcPr>
          <w:p w14:paraId="54B31AF0" w14:textId="77777777" w:rsidR="00575025" w:rsidRPr="00575025" w:rsidRDefault="00575025" w:rsidP="005B484F">
            <w:pPr>
              <w:spacing w:line="259" w:lineRule="auto"/>
              <w:rPr>
                <w:rFonts w:cstheme="minorHAnsi"/>
                <w:sz w:val="24"/>
                <w:szCs w:val="24"/>
              </w:rPr>
            </w:pPr>
            <w:r w:rsidRPr="00575025">
              <w:rPr>
                <w:rFonts w:cstheme="minorHAnsi"/>
                <w:sz w:val="24"/>
                <w:szCs w:val="24"/>
              </w:rPr>
              <w:t>49.8</w:t>
            </w:r>
          </w:p>
        </w:tc>
        <w:tc>
          <w:tcPr>
            <w:tcW w:w="1260" w:type="dxa"/>
            <w:vAlign w:val="bottom"/>
          </w:tcPr>
          <w:p w14:paraId="761D3B28" w14:textId="77777777" w:rsidR="00575025" w:rsidRPr="00575025" w:rsidRDefault="00575025" w:rsidP="005B484F">
            <w:pPr>
              <w:spacing w:line="259" w:lineRule="auto"/>
              <w:rPr>
                <w:rFonts w:cstheme="minorHAnsi"/>
                <w:sz w:val="24"/>
                <w:szCs w:val="24"/>
              </w:rPr>
            </w:pPr>
            <w:r w:rsidRPr="00575025">
              <w:rPr>
                <w:rFonts w:cstheme="minorHAnsi"/>
                <w:sz w:val="24"/>
                <w:szCs w:val="24"/>
              </w:rPr>
              <w:t>50.2</w:t>
            </w:r>
          </w:p>
        </w:tc>
      </w:tr>
      <w:tr w:rsidR="00575025" w:rsidRPr="00575025" w14:paraId="05AA061A" w14:textId="77777777" w:rsidTr="003455E1">
        <w:trPr>
          <w:cantSplit/>
        </w:trPr>
        <w:tc>
          <w:tcPr>
            <w:tcW w:w="2880" w:type="dxa"/>
            <w:vAlign w:val="bottom"/>
          </w:tcPr>
          <w:p w14:paraId="17A1E9EE"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lastRenderedPageBreak/>
              <w:t>Occupancy</w:t>
            </w:r>
          </w:p>
        </w:tc>
        <w:tc>
          <w:tcPr>
            <w:tcW w:w="990" w:type="dxa"/>
            <w:vAlign w:val="bottom"/>
          </w:tcPr>
          <w:p w14:paraId="3997FD51"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89.3%</w:t>
            </w:r>
          </w:p>
        </w:tc>
        <w:tc>
          <w:tcPr>
            <w:tcW w:w="1080" w:type="dxa"/>
            <w:vAlign w:val="bottom"/>
          </w:tcPr>
          <w:p w14:paraId="16DDEC90"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89.4%</w:t>
            </w:r>
          </w:p>
        </w:tc>
        <w:tc>
          <w:tcPr>
            <w:tcW w:w="1080" w:type="dxa"/>
            <w:vAlign w:val="bottom"/>
          </w:tcPr>
          <w:p w14:paraId="5AC90583"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92.0%</w:t>
            </w:r>
          </w:p>
        </w:tc>
        <w:tc>
          <w:tcPr>
            <w:tcW w:w="1260" w:type="dxa"/>
            <w:vAlign w:val="bottom"/>
          </w:tcPr>
          <w:p w14:paraId="6CE54B14"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90.6%</w:t>
            </w:r>
          </w:p>
        </w:tc>
        <w:tc>
          <w:tcPr>
            <w:tcW w:w="1080" w:type="dxa"/>
            <w:vAlign w:val="bottom"/>
          </w:tcPr>
          <w:p w14:paraId="337E2BF6"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93.9%</w:t>
            </w:r>
          </w:p>
        </w:tc>
        <w:tc>
          <w:tcPr>
            <w:tcW w:w="1260" w:type="dxa"/>
            <w:vAlign w:val="bottom"/>
          </w:tcPr>
          <w:p w14:paraId="0A695336"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94.7%</w:t>
            </w:r>
          </w:p>
        </w:tc>
      </w:tr>
    </w:tbl>
    <w:p w14:paraId="5B57CA86" w14:textId="77777777" w:rsidR="00575025" w:rsidRPr="00575025" w:rsidRDefault="00575025" w:rsidP="00575025">
      <w:pPr>
        <w:spacing w:after="0"/>
        <w:rPr>
          <w:rFonts w:cstheme="minorHAnsi"/>
          <w:sz w:val="24"/>
          <w:szCs w:val="24"/>
        </w:rPr>
      </w:pPr>
    </w:p>
    <w:p w14:paraId="52015C35" w14:textId="03087C35" w:rsidR="00575025" w:rsidRPr="00637364" w:rsidRDefault="00575025" w:rsidP="00637364">
      <w:pPr>
        <w:pStyle w:val="xxmsolistparagraph"/>
        <w:ind w:left="0"/>
        <w:rPr>
          <w:rFonts w:eastAsia="Times New Roman"/>
          <w:sz w:val="24"/>
          <w:szCs w:val="24"/>
        </w:rPr>
      </w:pPr>
      <w:r w:rsidRPr="002742C0">
        <w:rPr>
          <w:rFonts w:cstheme="minorHAnsi"/>
          <w:sz w:val="24"/>
          <w:szCs w:val="24"/>
        </w:rPr>
        <w:t>As shown above, the Hospital is operating at virtual capacity, with 50.2 patients daily on average in its 53-bed facility, resulting in an average annual occupancy of 94.7% in CY</w:t>
      </w:r>
      <w:r w:rsidR="004F430F" w:rsidRPr="002742C0">
        <w:rPr>
          <w:rFonts w:cstheme="minorHAnsi"/>
          <w:sz w:val="24"/>
          <w:szCs w:val="24"/>
        </w:rPr>
        <w:t>20</w:t>
      </w:r>
      <w:r w:rsidRPr="002742C0">
        <w:rPr>
          <w:rFonts w:cstheme="minorHAnsi"/>
          <w:sz w:val="24"/>
          <w:szCs w:val="24"/>
        </w:rPr>
        <w:t>22</w:t>
      </w:r>
      <w:r w:rsidR="00B936F9" w:rsidRPr="002742C0">
        <w:rPr>
          <w:rFonts w:cstheme="minorHAnsi"/>
          <w:sz w:val="24"/>
          <w:szCs w:val="24"/>
        </w:rPr>
        <w:t xml:space="preserve">. </w:t>
      </w:r>
      <w:r w:rsidRPr="002742C0">
        <w:rPr>
          <w:rFonts w:cstheme="minorHAnsi"/>
          <w:sz w:val="24"/>
          <w:szCs w:val="24"/>
        </w:rPr>
        <w:t>The Hospital’s CY</w:t>
      </w:r>
      <w:r w:rsidR="004F430F" w:rsidRPr="002742C0">
        <w:rPr>
          <w:rFonts w:cstheme="minorHAnsi"/>
          <w:sz w:val="24"/>
          <w:szCs w:val="24"/>
        </w:rPr>
        <w:t>20</w:t>
      </w:r>
      <w:r w:rsidRPr="002742C0">
        <w:rPr>
          <w:rFonts w:cstheme="minorHAnsi"/>
          <w:sz w:val="24"/>
          <w:szCs w:val="24"/>
        </w:rPr>
        <w:t xml:space="preserve">22 patient day volume </w:t>
      </w:r>
      <w:r w:rsidR="007741A0" w:rsidRPr="002742C0">
        <w:rPr>
          <w:rFonts w:cstheme="minorHAnsi"/>
          <w:sz w:val="24"/>
          <w:szCs w:val="24"/>
        </w:rPr>
        <w:t xml:space="preserve">increased </w:t>
      </w:r>
      <w:r w:rsidRPr="002742C0">
        <w:rPr>
          <w:rFonts w:cstheme="minorHAnsi"/>
          <w:sz w:val="24"/>
          <w:szCs w:val="24"/>
        </w:rPr>
        <w:t>6.1% over the Hospital’s CY</w:t>
      </w:r>
      <w:r w:rsidR="004F430F" w:rsidRPr="002742C0">
        <w:rPr>
          <w:rFonts w:cstheme="minorHAnsi"/>
          <w:sz w:val="24"/>
          <w:szCs w:val="24"/>
        </w:rPr>
        <w:t>20</w:t>
      </w:r>
      <w:r w:rsidRPr="002742C0">
        <w:rPr>
          <w:rFonts w:cstheme="minorHAnsi"/>
          <w:sz w:val="24"/>
          <w:szCs w:val="24"/>
        </w:rPr>
        <w:t>17</w:t>
      </w:r>
      <w:r w:rsidR="007741A0" w:rsidRPr="002742C0">
        <w:rPr>
          <w:rFonts w:cstheme="minorHAnsi"/>
          <w:sz w:val="24"/>
          <w:szCs w:val="24"/>
        </w:rPr>
        <w:t xml:space="preserve"> volume</w:t>
      </w:r>
      <w:r w:rsidRPr="002742C0">
        <w:rPr>
          <w:rFonts w:cstheme="minorHAnsi"/>
          <w:sz w:val="24"/>
          <w:szCs w:val="24"/>
        </w:rPr>
        <w:t xml:space="preserve">. Notably, both patient days and discharges have increased every year between 2017 and 2022, </w:t>
      </w:r>
      <w:proofErr w:type="gramStart"/>
      <w:r w:rsidRPr="002742C0">
        <w:rPr>
          <w:rFonts w:cstheme="minorHAnsi"/>
          <w:sz w:val="24"/>
          <w:szCs w:val="24"/>
        </w:rPr>
        <w:t>with the exception of</w:t>
      </w:r>
      <w:proofErr w:type="gramEnd"/>
      <w:r w:rsidRPr="002742C0">
        <w:rPr>
          <w:rFonts w:cstheme="minorHAnsi"/>
          <w:sz w:val="24"/>
          <w:szCs w:val="24"/>
        </w:rPr>
        <w:t xml:space="preserve"> a slight decrease in 2020 due to the impact of COVID-19. Even during that year, the Hospital was highly utilized, with an average annual occupancy of 90.6% in 2020. </w:t>
      </w:r>
      <w:r w:rsidR="002742C0" w:rsidRPr="002742C0">
        <w:rPr>
          <w:rFonts w:eastAsia="Times New Roman"/>
          <w:sz w:val="24"/>
          <w:szCs w:val="24"/>
        </w:rPr>
        <w:t xml:space="preserve">When the Hospital experiences high occupancy, patient admissions </w:t>
      </w:r>
      <w:proofErr w:type="gramStart"/>
      <w:r w:rsidR="007E6F5D">
        <w:rPr>
          <w:rFonts w:eastAsia="Times New Roman"/>
          <w:sz w:val="24"/>
          <w:szCs w:val="24"/>
        </w:rPr>
        <w:t>experiences</w:t>
      </w:r>
      <w:proofErr w:type="gramEnd"/>
      <w:r w:rsidR="007E6F5D">
        <w:rPr>
          <w:rFonts w:eastAsia="Times New Roman"/>
          <w:sz w:val="24"/>
          <w:szCs w:val="24"/>
        </w:rPr>
        <w:t xml:space="preserve"> the most notable impact</w:t>
      </w:r>
      <w:r w:rsidR="00340E88">
        <w:rPr>
          <w:rFonts w:eastAsia="Times New Roman"/>
          <w:sz w:val="24"/>
          <w:szCs w:val="24"/>
        </w:rPr>
        <w:t xml:space="preserve">, with </w:t>
      </w:r>
      <w:r w:rsidR="004A67BF">
        <w:rPr>
          <w:rFonts w:eastAsia="Times New Roman"/>
          <w:sz w:val="24"/>
          <w:szCs w:val="24"/>
        </w:rPr>
        <w:t xml:space="preserve">acute hospital </w:t>
      </w:r>
      <w:r w:rsidR="002742C0" w:rsidRPr="002742C0">
        <w:rPr>
          <w:rFonts w:eastAsia="Times New Roman"/>
          <w:sz w:val="24"/>
          <w:szCs w:val="24"/>
        </w:rPr>
        <w:t xml:space="preserve">patients </w:t>
      </w:r>
      <w:r w:rsidR="004A67BF">
        <w:rPr>
          <w:rFonts w:eastAsia="Times New Roman"/>
          <w:sz w:val="24"/>
          <w:szCs w:val="24"/>
        </w:rPr>
        <w:t>experiencing delays in being</w:t>
      </w:r>
      <w:r w:rsidR="002742C0" w:rsidRPr="002742C0">
        <w:rPr>
          <w:rFonts w:eastAsia="Times New Roman"/>
          <w:sz w:val="24"/>
          <w:szCs w:val="24"/>
        </w:rPr>
        <w:t xml:space="preserve"> discharged from a med</w:t>
      </w:r>
      <w:r w:rsidR="004A67BF">
        <w:rPr>
          <w:rFonts w:eastAsia="Times New Roman"/>
          <w:sz w:val="24"/>
          <w:szCs w:val="24"/>
        </w:rPr>
        <w:t>ical</w:t>
      </w:r>
      <w:r w:rsidR="002742C0" w:rsidRPr="002742C0">
        <w:rPr>
          <w:rFonts w:eastAsia="Times New Roman"/>
          <w:sz w:val="24"/>
          <w:szCs w:val="24"/>
        </w:rPr>
        <w:t>/surg</w:t>
      </w:r>
      <w:r w:rsidR="004A67BF">
        <w:rPr>
          <w:rFonts w:eastAsia="Times New Roman"/>
          <w:sz w:val="24"/>
          <w:szCs w:val="24"/>
        </w:rPr>
        <w:t>ical</w:t>
      </w:r>
      <w:r w:rsidR="002742C0" w:rsidRPr="002742C0">
        <w:rPr>
          <w:rFonts w:eastAsia="Times New Roman"/>
          <w:sz w:val="24"/>
          <w:szCs w:val="24"/>
        </w:rPr>
        <w:t xml:space="preserve"> stay. </w:t>
      </w:r>
      <w:proofErr w:type="gramStart"/>
      <w:r w:rsidR="002742C0" w:rsidRPr="002742C0">
        <w:rPr>
          <w:rFonts w:eastAsia="Times New Roman"/>
          <w:sz w:val="24"/>
          <w:szCs w:val="24"/>
        </w:rPr>
        <w:t>In order to</w:t>
      </w:r>
      <w:proofErr w:type="gramEnd"/>
      <w:r w:rsidR="002742C0" w:rsidRPr="002742C0">
        <w:rPr>
          <w:rFonts w:eastAsia="Times New Roman"/>
          <w:sz w:val="24"/>
          <w:szCs w:val="24"/>
        </w:rPr>
        <w:t xml:space="preserve"> maintain the ability to admit patients</w:t>
      </w:r>
      <w:r w:rsidR="002742C0">
        <w:rPr>
          <w:rFonts w:eastAsia="Times New Roman"/>
          <w:sz w:val="24"/>
          <w:szCs w:val="24"/>
        </w:rPr>
        <w:t xml:space="preserve"> </w:t>
      </w:r>
      <w:r w:rsidR="008530BB">
        <w:rPr>
          <w:rFonts w:eastAsia="Times New Roman"/>
          <w:sz w:val="24"/>
          <w:szCs w:val="24"/>
        </w:rPr>
        <w:t>with the lowest amount of wait time between referral and admission</w:t>
      </w:r>
      <w:r w:rsidR="002742C0" w:rsidRPr="002742C0">
        <w:rPr>
          <w:rFonts w:eastAsia="Times New Roman"/>
          <w:sz w:val="24"/>
          <w:szCs w:val="24"/>
        </w:rPr>
        <w:t>, the Hospital must maintain occupancy levels below 90%. Research shows that relatively efficient IRFs, those with “lower (better) rates of hospitalization and higher (better) rates of successful discharge to the community”, maintain an average occupancy of 72.8%</w:t>
      </w:r>
      <w:r w:rsidR="008530BB">
        <w:rPr>
          <w:rFonts w:eastAsia="Times New Roman"/>
          <w:sz w:val="24"/>
          <w:szCs w:val="24"/>
        </w:rPr>
        <w:t>.</w:t>
      </w:r>
      <w:r w:rsidR="008530BB">
        <w:rPr>
          <w:rStyle w:val="EndnoteReference"/>
          <w:rFonts w:eastAsia="Times New Roman"/>
          <w:sz w:val="24"/>
          <w:szCs w:val="24"/>
        </w:rPr>
        <w:endnoteReference w:id="1"/>
      </w:r>
      <w:r w:rsidR="008530BB">
        <w:rPr>
          <w:rFonts w:eastAsia="Times New Roman"/>
          <w:sz w:val="24"/>
          <w:szCs w:val="24"/>
        </w:rPr>
        <w:t xml:space="preserve"> </w:t>
      </w:r>
      <w:r w:rsidR="00FF5203">
        <w:rPr>
          <w:rFonts w:eastAsia="Times New Roman"/>
          <w:sz w:val="24"/>
          <w:szCs w:val="24"/>
        </w:rPr>
        <w:t xml:space="preserve">An occupancy rate lower than the current </w:t>
      </w:r>
      <w:r w:rsidR="00637364">
        <w:rPr>
          <w:rFonts w:eastAsia="Times New Roman"/>
          <w:sz w:val="24"/>
          <w:szCs w:val="24"/>
        </w:rPr>
        <w:t>rate</w:t>
      </w:r>
      <w:r w:rsidR="00FF5203">
        <w:rPr>
          <w:rFonts w:eastAsia="Times New Roman"/>
          <w:sz w:val="24"/>
          <w:szCs w:val="24"/>
        </w:rPr>
        <w:t xml:space="preserve"> will ensure </w:t>
      </w:r>
      <w:r w:rsidR="002742C0" w:rsidRPr="002742C0">
        <w:rPr>
          <w:rFonts w:eastAsia="Times New Roman"/>
          <w:sz w:val="24"/>
          <w:szCs w:val="24"/>
        </w:rPr>
        <w:t>a bed is available</w:t>
      </w:r>
      <w:r w:rsidR="004A67BF">
        <w:rPr>
          <w:rFonts w:eastAsia="Times New Roman"/>
          <w:sz w:val="24"/>
          <w:szCs w:val="24"/>
        </w:rPr>
        <w:t>,</w:t>
      </w:r>
      <w:r w:rsidR="00637364">
        <w:rPr>
          <w:rFonts w:eastAsia="Times New Roman"/>
          <w:sz w:val="24"/>
          <w:szCs w:val="24"/>
        </w:rPr>
        <w:t xml:space="preserve"> and is</w:t>
      </w:r>
      <w:r w:rsidR="002742C0" w:rsidRPr="002742C0">
        <w:rPr>
          <w:rFonts w:eastAsia="Times New Roman"/>
          <w:sz w:val="24"/>
          <w:szCs w:val="24"/>
        </w:rPr>
        <w:t xml:space="preserve"> able to be turned over between patients</w:t>
      </w:r>
      <w:r w:rsidR="001608FC">
        <w:rPr>
          <w:rFonts w:eastAsia="Times New Roman"/>
          <w:sz w:val="24"/>
          <w:szCs w:val="24"/>
        </w:rPr>
        <w:t>,</w:t>
      </w:r>
      <w:r w:rsidR="002742C0" w:rsidRPr="002742C0">
        <w:rPr>
          <w:rFonts w:eastAsia="Times New Roman"/>
          <w:sz w:val="24"/>
          <w:szCs w:val="24"/>
        </w:rPr>
        <w:t xml:space="preserve"> without negatively impacting the timing of the patient’s discharge from the acute hospital. This in turn improves the acute hospital’s ability to admit patients from their emergency department. Occupancy levels below 90% ensure the hospital </w:t>
      </w:r>
      <w:proofErr w:type="gramStart"/>
      <w:r w:rsidR="002742C0" w:rsidRPr="002742C0">
        <w:rPr>
          <w:rFonts w:eastAsia="Times New Roman"/>
          <w:sz w:val="24"/>
          <w:szCs w:val="24"/>
        </w:rPr>
        <w:t>is able to</w:t>
      </w:r>
      <w:proofErr w:type="gramEnd"/>
      <w:r w:rsidR="002742C0" w:rsidRPr="002742C0">
        <w:rPr>
          <w:rFonts w:eastAsia="Times New Roman"/>
          <w:sz w:val="24"/>
          <w:szCs w:val="24"/>
        </w:rPr>
        <w:t xml:space="preserve"> maintain an ideal patient flow to best serve its patients. </w:t>
      </w:r>
    </w:p>
    <w:p w14:paraId="193B3BD1" w14:textId="77777777" w:rsidR="00575025" w:rsidRPr="00575025" w:rsidRDefault="00575025" w:rsidP="00575025">
      <w:pPr>
        <w:spacing w:after="0"/>
        <w:rPr>
          <w:rFonts w:cstheme="minorHAnsi"/>
          <w:sz w:val="24"/>
          <w:szCs w:val="24"/>
        </w:rPr>
      </w:pPr>
    </w:p>
    <w:p w14:paraId="133B95D5" w14:textId="6AB6ACF9" w:rsidR="00575025" w:rsidRPr="008F32AD" w:rsidRDefault="00575025" w:rsidP="008F32AD">
      <w:r w:rsidRPr="003C1CDB">
        <w:rPr>
          <w:rStyle w:val="cf01"/>
          <w:rFonts w:asciiTheme="minorHAnsi" w:hAnsiTheme="minorHAnsi" w:cstheme="minorHAnsi"/>
          <w:sz w:val="24"/>
          <w:szCs w:val="24"/>
        </w:rPr>
        <w:t>The Hospital expects the need for its specialized services to continue to increase consistent with historical trends</w:t>
      </w:r>
      <w:r w:rsidR="003630B6" w:rsidRPr="003C1CDB">
        <w:rPr>
          <w:rStyle w:val="cf01"/>
          <w:rFonts w:asciiTheme="minorHAnsi" w:hAnsiTheme="minorHAnsi" w:cstheme="minorHAnsi"/>
          <w:sz w:val="24"/>
          <w:szCs w:val="24"/>
        </w:rPr>
        <w:t>, which demonstrates a need for added capacity</w:t>
      </w:r>
      <w:r w:rsidR="00075E7A" w:rsidRPr="003C1CDB">
        <w:rPr>
          <w:rStyle w:val="cf01"/>
          <w:rFonts w:asciiTheme="minorHAnsi" w:hAnsiTheme="minorHAnsi" w:cstheme="minorHAnsi"/>
          <w:sz w:val="24"/>
          <w:szCs w:val="24"/>
        </w:rPr>
        <w:t xml:space="preserve">. </w:t>
      </w:r>
      <w:r w:rsidR="000E3B11" w:rsidRPr="003C1CDB">
        <w:rPr>
          <w:rStyle w:val="cf01"/>
          <w:rFonts w:asciiTheme="minorHAnsi" w:hAnsiTheme="minorHAnsi" w:cstheme="minorHAnsi"/>
          <w:sz w:val="24"/>
          <w:szCs w:val="24"/>
        </w:rPr>
        <w:t xml:space="preserve">The Applicant notes that </w:t>
      </w:r>
      <w:r w:rsidR="00FC7CB2" w:rsidRPr="003C1CDB">
        <w:rPr>
          <w:rStyle w:val="cf01"/>
          <w:rFonts w:asciiTheme="minorHAnsi" w:hAnsiTheme="minorHAnsi" w:cstheme="minorHAnsi"/>
          <w:sz w:val="24"/>
          <w:szCs w:val="24"/>
        </w:rPr>
        <w:t xml:space="preserve">the </w:t>
      </w:r>
      <w:r w:rsidR="000E3B11" w:rsidRPr="003C1CDB">
        <w:rPr>
          <w:rStyle w:val="cf01"/>
          <w:rFonts w:asciiTheme="minorHAnsi" w:hAnsiTheme="minorHAnsi" w:cstheme="minorHAnsi"/>
          <w:sz w:val="24"/>
          <w:szCs w:val="24"/>
        </w:rPr>
        <w:t xml:space="preserve">17 </w:t>
      </w:r>
      <w:r w:rsidR="004538A0" w:rsidRPr="003C1CDB">
        <w:rPr>
          <w:rStyle w:val="cf01"/>
          <w:rFonts w:asciiTheme="minorHAnsi" w:hAnsiTheme="minorHAnsi" w:cstheme="minorHAnsi"/>
          <w:sz w:val="24"/>
          <w:szCs w:val="24"/>
        </w:rPr>
        <w:t xml:space="preserve">private rooms </w:t>
      </w:r>
      <w:r w:rsidR="00FC7CB2" w:rsidRPr="003C1CDB">
        <w:rPr>
          <w:rStyle w:val="cf01"/>
          <w:rFonts w:asciiTheme="minorHAnsi" w:hAnsiTheme="minorHAnsi" w:cstheme="minorHAnsi"/>
          <w:sz w:val="24"/>
          <w:szCs w:val="24"/>
        </w:rPr>
        <w:t xml:space="preserve">will </w:t>
      </w:r>
      <w:r w:rsidR="00646267" w:rsidRPr="003C1CDB">
        <w:rPr>
          <w:rStyle w:val="cf01"/>
          <w:rFonts w:asciiTheme="minorHAnsi" w:hAnsiTheme="minorHAnsi" w:cstheme="minorHAnsi"/>
          <w:sz w:val="24"/>
          <w:szCs w:val="24"/>
        </w:rPr>
        <w:t>fit into</w:t>
      </w:r>
      <w:r w:rsidR="004538A0" w:rsidRPr="003C1CDB">
        <w:rPr>
          <w:rStyle w:val="cf01"/>
          <w:rFonts w:asciiTheme="minorHAnsi" w:hAnsiTheme="minorHAnsi" w:cstheme="minorHAnsi"/>
          <w:sz w:val="24"/>
          <w:szCs w:val="24"/>
        </w:rPr>
        <w:t xml:space="preserve"> the existing shell space of the </w:t>
      </w:r>
      <w:proofErr w:type="gramStart"/>
      <w:r w:rsidR="004538A0" w:rsidRPr="003C1CDB">
        <w:rPr>
          <w:rStyle w:val="cf01"/>
          <w:rFonts w:asciiTheme="minorHAnsi" w:hAnsiTheme="minorHAnsi" w:cstheme="minorHAnsi"/>
          <w:sz w:val="24"/>
          <w:szCs w:val="24"/>
        </w:rPr>
        <w:t>facility</w:t>
      </w:r>
      <w:proofErr w:type="gramEnd"/>
      <w:r w:rsidR="004538A0" w:rsidRPr="003C1CDB">
        <w:rPr>
          <w:rStyle w:val="cf01"/>
          <w:rFonts w:asciiTheme="minorHAnsi" w:hAnsiTheme="minorHAnsi" w:cstheme="minorHAnsi"/>
          <w:sz w:val="24"/>
          <w:szCs w:val="24"/>
        </w:rPr>
        <w:t xml:space="preserve"> and </w:t>
      </w:r>
      <w:r w:rsidR="00646267" w:rsidRPr="003C1CDB">
        <w:rPr>
          <w:rStyle w:val="cf01"/>
          <w:rFonts w:asciiTheme="minorHAnsi" w:hAnsiTheme="minorHAnsi" w:cstheme="minorHAnsi"/>
          <w:sz w:val="24"/>
          <w:szCs w:val="24"/>
        </w:rPr>
        <w:t xml:space="preserve">they will </w:t>
      </w:r>
      <w:r w:rsidR="004538A0" w:rsidRPr="003C1CDB">
        <w:rPr>
          <w:rStyle w:val="cf01"/>
          <w:rFonts w:asciiTheme="minorHAnsi" w:hAnsiTheme="minorHAnsi" w:cstheme="minorHAnsi"/>
          <w:sz w:val="24"/>
          <w:szCs w:val="24"/>
        </w:rPr>
        <w:t xml:space="preserve">be supported by the existing ancillary and support </w:t>
      </w:r>
      <w:r w:rsidR="004538A0" w:rsidRPr="008F32AD">
        <w:rPr>
          <w:rStyle w:val="cf01"/>
          <w:rFonts w:asciiTheme="minorHAnsi" w:hAnsiTheme="minorHAnsi" w:cstheme="minorHAnsi"/>
          <w:sz w:val="24"/>
          <w:szCs w:val="24"/>
        </w:rPr>
        <w:t xml:space="preserve">services. </w:t>
      </w:r>
      <w:r w:rsidR="003C1CDB" w:rsidRPr="008F32AD">
        <w:rPr>
          <w:rStyle w:val="cf01"/>
          <w:rFonts w:asciiTheme="minorHAnsi" w:hAnsiTheme="minorHAnsi" w:cstheme="minorHAnsi"/>
          <w:sz w:val="24"/>
          <w:szCs w:val="24"/>
        </w:rPr>
        <w:t xml:space="preserve">The </w:t>
      </w:r>
      <w:r w:rsidR="008F32AD" w:rsidRPr="008F32AD">
        <w:rPr>
          <w:rStyle w:val="cf01"/>
          <w:rFonts w:asciiTheme="minorHAnsi" w:hAnsiTheme="minorHAnsi" w:cstheme="minorHAnsi"/>
          <w:sz w:val="24"/>
          <w:szCs w:val="24"/>
        </w:rPr>
        <w:t xml:space="preserve">Applicant states that </w:t>
      </w:r>
      <w:r w:rsidR="003C1CDB" w:rsidRPr="008F32AD">
        <w:rPr>
          <w:rStyle w:val="cf01"/>
          <w:rFonts w:asciiTheme="minorHAnsi" w:hAnsiTheme="minorHAnsi" w:cstheme="minorHAnsi"/>
          <w:sz w:val="24"/>
          <w:szCs w:val="24"/>
        </w:rPr>
        <w:t xml:space="preserve">proposed beds will be </w:t>
      </w:r>
      <w:r w:rsidR="000E076B" w:rsidRPr="008F32AD">
        <w:rPr>
          <w:rStyle w:val="cf01"/>
          <w:rFonts w:asciiTheme="minorHAnsi" w:hAnsiTheme="minorHAnsi" w:cstheme="minorHAnsi"/>
          <w:sz w:val="24"/>
          <w:szCs w:val="24"/>
        </w:rPr>
        <w:t>all be immediately</w:t>
      </w:r>
      <w:r w:rsidR="008F32AD" w:rsidRPr="008F32AD">
        <w:rPr>
          <w:rStyle w:val="cf01"/>
          <w:rFonts w:asciiTheme="minorHAnsi" w:hAnsiTheme="minorHAnsi" w:cstheme="minorHAnsi"/>
          <w:sz w:val="24"/>
          <w:szCs w:val="24"/>
        </w:rPr>
        <w:t xml:space="preserve"> </w:t>
      </w:r>
      <w:r w:rsidR="008F32AD" w:rsidRPr="008F32AD">
        <w:rPr>
          <w:sz w:val="24"/>
          <w:szCs w:val="24"/>
        </w:rPr>
        <w:t xml:space="preserve">staffed and available for use </w:t>
      </w:r>
      <w:r w:rsidR="00507F78">
        <w:rPr>
          <w:sz w:val="24"/>
          <w:szCs w:val="24"/>
        </w:rPr>
        <w:t>upon completion of</w:t>
      </w:r>
      <w:r w:rsidR="008F32AD" w:rsidRPr="008F32AD">
        <w:rPr>
          <w:sz w:val="24"/>
          <w:szCs w:val="24"/>
        </w:rPr>
        <w:t xml:space="preserve"> the Proposed Project.</w:t>
      </w:r>
      <w:r w:rsidR="008F32AD">
        <w:rPr>
          <w:sz w:val="24"/>
          <w:szCs w:val="24"/>
        </w:rPr>
        <w:t xml:space="preserve"> S</w:t>
      </w:r>
      <w:r w:rsidR="003C1CDB" w:rsidRPr="003C1CDB">
        <w:rPr>
          <w:rStyle w:val="cf01"/>
          <w:rFonts w:asciiTheme="minorHAnsi" w:hAnsiTheme="minorHAnsi" w:cstheme="minorHAnsi"/>
          <w:sz w:val="24"/>
          <w:szCs w:val="24"/>
        </w:rPr>
        <w:t>taff will primarily be direct patient caregivers such as Registered Nurses</w:t>
      </w:r>
      <w:r w:rsidR="001608FC">
        <w:rPr>
          <w:rStyle w:val="cf01"/>
          <w:rFonts w:asciiTheme="minorHAnsi" w:hAnsiTheme="minorHAnsi" w:cstheme="minorHAnsi"/>
          <w:sz w:val="24"/>
          <w:szCs w:val="24"/>
        </w:rPr>
        <w:t xml:space="preserve">, Physical Therapy, </w:t>
      </w:r>
      <w:r w:rsidR="001608FC" w:rsidRPr="008F32AD">
        <w:rPr>
          <w:rStyle w:val="cf01"/>
          <w:rFonts w:asciiTheme="minorHAnsi" w:hAnsiTheme="minorHAnsi" w:cstheme="minorHAnsi"/>
          <w:sz w:val="24"/>
          <w:szCs w:val="24"/>
        </w:rPr>
        <w:t>Occupational Therapy</w:t>
      </w:r>
      <w:r w:rsidR="00EC0676" w:rsidRPr="008F32AD">
        <w:rPr>
          <w:rStyle w:val="cf01"/>
          <w:rFonts w:asciiTheme="minorHAnsi" w:hAnsiTheme="minorHAnsi" w:cstheme="minorHAnsi"/>
          <w:sz w:val="24"/>
          <w:szCs w:val="24"/>
        </w:rPr>
        <w:t xml:space="preserve">, and </w:t>
      </w:r>
      <w:r w:rsidR="001608FC" w:rsidRPr="008F32AD">
        <w:rPr>
          <w:rStyle w:val="cf01"/>
          <w:rFonts w:asciiTheme="minorHAnsi" w:hAnsiTheme="minorHAnsi" w:cstheme="minorHAnsi"/>
          <w:sz w:val="24"/>
          <w:szCs w:val="24"/>
        </w:rPr>
        <w:t>Speech Therapy</w:t>
      </w:r>
      <w:r w:rsidR="003C1CDB" w:rsidRPr="008F32AD">
        <w:rPr>
          <w:rStyle w:val="cf01"/>
          <w:rFonts w:asciiTheme="minorHAnsi" w:hAnsiTheme="minorHAnsi" w:cstheme="minorHAnsi"/>
          <w:sz w:val="24"/>
          <w:szCs w:val="24"/>
        </w:rPr>
        <w:t xml:space="preserve"> staff.</w:t>
      </w:r>
      <w:r w:rsidR="0061053D" w:rsidRPr="008F32AD">
        <w:rPr>
          <w:rStyle w:val="cf01"/>
          <w:rFonts w:asciiTheme="minorHAnsi" w:hAnsiTheme="minorHAnsi" w:cstheme="minorHAnsi"/>
          <w:sz w:val="24"/>
          <w:szCs w:val="24"/>
        </w:rPr>
        <w:t xml:space="preserve"> </w:t>
      </w:r>
      <w:r w:rsidR="000E3B11" w:rsidRPr="008F32AD">
        <w:rPr>
          <w:rStyle w:val="cf01"/>
          <w:rFonts w:asciiTheme="minorHAnsi" w:hAnsiTheme="minorHAnsi" w:cstheme="minorHAnsi"/>
          <w:sz w:val="24"/>
          <w:szCs w:val="24"/>
        </w:rPr>
        <w:t>The addition</w:t>
      </w:r>
      <w:r w:rsidR="00086B6A" w:rsidRPr="008F32AD">
        <w:rPr>
          <w:rStyle w:val="cf01"/>
          <w:rFonts w:asciiTheme="minorHAnsi" w:hAnsiTheme="minorHAnsi" w:cstheme="minorHAnsi"/>
          <w:sz w:val="24"/>
          <w:szCs w:val="24"/>
        </w:rPr>
        <w:t xml:space="preserve"> of</w:t>
      </w:r>
      <w:r w:rsidR="000E3B11" w:rsidRPr="008F32AD">
        <w:rPr>
          <w:rStyle w:val="cf01"/>
          <w:rFonts w:asciiTheme="minorHAnsi" w:hAnsiTheme="minorHAnsi" w:cstheme="minorHAnsi"/>
          <w:sz w:val="24"/>
          <w:szCs w:val="24"/>
        </w:rPr>
        <w:t xml:space="preserve"> beds is </w:t>
      </w:r>
      <w:r w:rsidR="00011AA2" w:rsidRPr="008F32AD">
        <w:rPr>
          <w:rStyle w:val="cf01"/>
          <w:rFonts w:asciiTheme="minorHAnsi" w:hAnsiTheme="minorHAnsi" w:cstheme="minorHAnsi"/>
          <w:sz w:val="24"/>
          <w:szCs w:val="24"/>
        </w:rPr>
        <w:t>expected to lower the</w:t>
      </w:r>
      <w:r w:rsidR="00160F24" w:rsidRPr="008F32AD">
        <w:rPr>
          <w:rStyle w:val="cf01"/>
          <w:rFonts w:asciiTheme="minorHAnsi" w:hAnsiTheme="minorHAnsi" w:cstheme="minorHAnsi"/>
          <w:sz w:val="24"/>
          <w:szCs w:val="24"/>
        </w:rPr>
        <w:t xml:space="preserve"> occupancy from its current rate of 94.7%, </w:t>
      </w:r>
      <w:r w:rsidR="00086B6A" w:rsidRPr="008F32AD">
        <w:rPr>
          <w:rStyle w:val="cf01"/>
          <w:rFonts w:asciiTheme="minorHAnsi" w:hAnsiTheme="minorHAnsi" w:cstheme="minorHAnsi"/>
          <w:sz w:val="24"/>
          <w:szCs w:val="24"/>
        </w:rPr>
        <w:t>to a more manageable rate</w:t>
      </w:r>
      <w:r w:rsidR="00CF12FA" w:rsidRPr="008F32AD">
        <w:rPr>
          <w:rStyle w:val="cf01"/>
          <w:rFonts w:asciiTheme="minorHAnsi" w:hAnsiTheme="minorHAnsi" w:cstheme="minorHAnsi"/>
          <w:sz w:val="24"/>
          <w:szCs w:val="24"/>
        </w:rPr>
        <w:t xml:space="preserve"> in the 80% range. This</w:t>
      </w:r>
      <w:r w:rsidR="00597244" w:rsidRPr="008F32AD">
        <w:rPr>
          <w:rStyle w:val="cf01"/>
          <w:rFonts w:asciiTheme="minorHAnsi" w:hAnsiTheme="minorHAnsi" w:cstheme="minorHAnsi"/>
          <w:sz w:val="24"/>
          <w:szCs w:val="24"/>
        </w:rPr>
        <w:t xml:space="preserve"> will </w:t>
      </w:r>
      <w:r w:rsidR="00661A1A" w:rsidRPr="008F32AD">
        <w:rPr>
          <w:rFonts w:cstheme="minorHAnsi"/>
          <w:color w:val="211D1E"/>
          <w:sz w:val="24"/>
          <w:szCs w:val="24"/>
        </w:rPr>
        <w:t xml:space="preserve">provide a </w:t>
      </w:r>
      <w:r w:rsidR="00F75943" w:rsidRPr="008F32AD">
        <w:rPr>
          <w:rFonts w:cstheme="minorHAnsi"/>
          <w:color w:val="212121"/>
          <w:sz w:val="24"/>
          <w:szCs w:val="24"/>
          <w:shd w:val="clear" w:color="auto" w:fill="FFFFFF"/>
        </w:rPr>
        <w:t xml:space="preserve">safety margin to deal with fluctuations in the arrival of patients </w:t>
      </w:r>
      <w:r w:rsidR="00661A1A" w:rsidRPr="008F32AD">
        <w:rPr>
          <w:rFonts w:cstheme="minorHAnsi"/>
          <w:color w:val="212121"/>
          <w:sz w:val="24"/>
          <w:szCs w:val="24"/>
          <w:shd w:val="clear" w:color="auto" w:fill="FFFFFF"/>
        </w:rPr>
        <w:t xml:space="preserve">and </w:t>
      </w:r>
      <w:proofErr w:type="gramStart"/>
      <w:r w:rsidR="00F75943" w:rsidRPr="008F32AD">
        <w:rPr>
          <w:rFonts w:cstheme="minorHAnsi"/>
          <w:color w:val="212121"/>
          <w:sz w:val="24"/>
          <w:szCs w:val="24"/>
          <w:shd w:val="clear" w:color="auto" w:fill="FFFFFF"/>
        </w:rPr>
        <w:t>eliminates</w:t>
      </w:r>
      <w:proofErr w:type="gramEnd"/>
      <w:r w:rsidR="00F75943" w:rsidRPr="008F32AD">
        <w:rPr>
          <w:rFonts w:cstheme="minorHAnsi"/>
          <w:color w:val="212121"/>
          <w:sz w:val="24"/>
          <w:szCs w:val="24"/>
          <w:shd w:val="clear" w:color="auto" w:fill="FFFFFF"/>
        </w:rPr>
        <w:t xml:space="preserve"> or minimizes the cost of delaying admission.</w:t>
      </w:r>
      <w:r w:rsidR="00422853" w:rsidRPr="008F32AD">
        <w:rPr>
          <w:rFonts w:ascii="Lora" w:hAnsi="Lora" w:cs="Lora"/>
          <w:color w:val="211D1E"/>
          <w:sz w:val="24"/>
          <w:szCs w:val="24"/>
        </w:rPr>
        <w:t xml:space="preserve"> </w:t>
      </w:r>
      <w:r w:rsidR="00562A90" w:rsidRPr="008F32AD">
        <w:rPr>
          <w:rFonts w:cstheme="minorHAnsi"/>
          <w:sz w:val="24"/>
          <w:szCs w:val="24"/>
        </w:rPr>
        <w:t xml:space="preserve">Table </w:t>
      </w:r>
      <w:r w:rsidR="0061319F" w:rsidRPr="008F32AD">
        <w:rPr>
          <w:rFonts w:cstheme="minorHAnsi"/>
          <w:sz w:val="24"/>
          <w:szCs w:val="24"/>
        </w:rPr>
        <w:t>6</w:t>
      </w:r>
      <w:r w:rsidRPr="008F32AD">
        <w:rPr>
          <w:rFonts w:cstheme="minorHAnsi"/>
          <w:sz w:val="24"/>
          <w:szCs w:val="24"/>
        </w:rPr>
        <w:t xml:space="preserve"> demonstrate</w:t>
      </w:r>
      <w:r w:rsidR="00562A90" w:rsidRPr="008F32AD">
        <w:rPr>
          <w:rFonts w:cstheme="minorHAnsi"/>
          <w:sz w:val="24"/>
          <w:szCs w:val="24"/>
        </w:rPr>
        <w:t>s</w:t>
      </w:r>
      <w:r w:rsidRPr="008F32AD">
        <w:rPr>
          <w:rFonts w:cstheme="minorHAnsi"/>
          <w:sz w:val="24"/>
          <w:szCs w:val="24"/>
        </w:rPr>
        <w:t xml:space="preserve"> </w:t>
      </w:r>
      <w:r w:rsidR="00661A1A" w:rsidRPr="008F32AD">
        <w:rPr>
          <w:rFonts w:cstheme="minorHAnsi"/>
          <w:sz w:val="24"/>
          <w:szCs w:val="24"/>
        </w:rPr>
        <w:t>th</w:t>
      </w:r>
      <w:r w:rsidR="0061053D" w:rsidRPr="008F32AD">
        <w:rPr>
          <w:rFonts w:cstheme="minorHAnsi"/>
          <w:sz w:val="24"/>
          <w:szCs w:val="24"/>
        </w:rPr>
        <w:t>e</w:t>
      </w:r>
      <w:r w:rsidR="00661A1A" w:rsidRPr="008F32AD">
        <w:rPr>
          <w:rFonts w:cstheme="minorHAnsi"/>
          <w:sz w:val="24"/>
          <w:szCs w:val="24"/>
        </w:rPr>
        <w:t xml:space="preserve"> </w:t>
      </w:r>
      <w:r w:rsidR="00562A90" w:rsidRPr="008F32AD">
        <w:rPr>
          <w:rFonts w:cstheme="minorHAnsi"/>
          <w:sz w:val="24"/>
          <w:szCs w:val="24"/>
        </w:rPr>
        <w:t>projected utilization upon completion of the Proposed Project</w:t>
      </w:r>
      <w:r w:rsidR="00524D65" w:rsidRPr="008F32AD">
        <w:rPr>
          <w:rFonts w:cstheme="minorHAnsi"/>
          <w:sz w:val="24"/>
          <w:szCs w:val="24"/>
        </w:rPr>
        <w:t>.</w:t>
      </w:r>
    </w:p>
    <w:p w14:paraId="7466850B" w14:textId="77777777" w:rsidR="00A86E69" w:rsidRPr="0061319F" w:rsidRDefault="00A86E69" w:rsidP="0061319F">
      <w:pPr>
        <w:pStyle w:val="Default"/>
        <w:rPr>
          <w:rFonts w:ascii="Lora" w:hAnsi="Lora" w:cs="Lora"/>
        </w:rPr>
      </w:pPr>
    </w:p>
    <w:p w14:paraId="6FEFCBD7" w14:textId="3B59F8FF" w:rsidR="00575025" w:rsidRPr="004F430F" w:rsidRDefault="00575025" w:rsidP="004F430F">
      <w:pPr>
        <w:pStyle w:val="Caption"/>
        <w:spacing w:after="0"/>
        <w:contextualSpacing/>
        <w:jc w:val="center"/>
        <w:rPr>
          <w:rFonts w:cstheme="minorHAnsi"/>
          <w:color w:val="2F5496" w:themeColor="accent1" w:themeShade="BF"/>
          <w:sz w:val="24"/>
          <w:szCs w:val="24"/>
        </w:rPr>
      </w:pPr>
      <w:r w:rsidRPr="004F430F">
        <w:rPr>
          <w:rFonts w:cstheme="minorHAnsi"/>
          <w:color w:val="2F5496" w:themeColor="accent1" w:themeShade="BF"/>
          <w:sz w:val="24"/>
          <w:szCs w:val="24"/>
          <w:u w:val="single"/>
        </w:rPr>
        <w:t xml:space="preserve">Table </w:t>
      </w:r>
      <w:r w:rsidR="0061319F">
        <w:rPr>
          <w:rFonts w:cstheme="minorHAnsi"/>
          <w:color w:val="2F5496" w:themeColor="accent1" w:themeShade="BF"/>
          <w:sz w:val="24"/>
          <w:szCs w:val="24"/>
          <w:u w:val="single"/>
        </w:rPr>
        <w:t>6</w:t>
      </w:r>
      <w:r w:rsidRPr="004F430F">
        <w:rPr>
          <w:rFonts w:cstheme="minorHAnsi"/>
          <w:color w:val="2F5496" w:themeColor="accent1" w:themeShade="BF"/>
          <w:sz w:val="24"/>
          <w:szCs w:val="24"/>
        </w:rPr>
        <w:t xml:space="preserve"> – Encompass Western Massachusetts’ Projected Utilizatio</w:t>
      </w:r>
      <w:r w:rsidR="00CB3A0A">
        <w:rPr>
          <w:rFonts w:cstheme="minorHAnsi"/>
          <w:color w:val="2F5496" w:themeColor="accent1" w:themeShade="BF"/>
          <w:sz w:val="24"/>
          <w:szCs w:val="24"/>
        </w:rPr>
        <w:t>n</w:t>
      </w:r>
      <w:r w:rsidR="0061319F">
        <w:rPr>
          <w:rStyle w:val="FootnoteReference"/>
          <w:rFonts w:cstheme="minorHAnsi"/>
          <w:color w:val="2F5496" w:themeColor="accent1" w:themeShade="BF"/>
          <w:sz w:val="24"/>
          <w:szCs w:val="24"/>
        </w:rPr>
        <w:footnoteReference w:id="17"/>
      </w:r>
    </w:p>
    <w:tbl>
      <w:tblPr>
        <w:tblStyle w:val="TableGrid"/>
        <w:tblW w:w="9090" w:type="dxa"/>
        <w:tblInd w:w="-5" w:type="dxa"/>
        <w:tblLook w:val="04A0" w:firstRow="1" w:lastRow="0" w:firstColumn="1" w:lastColumn="0" w:noHBand="0" w:noVBand="1"/>
      </w:tblPr>
      <w:tblGrid>
        <w:gridCol w:w="2790"/>
        <w:gridCol w:w="1260"/>
        <w:gridCol w:w="1260"/>
        <w:gridCol w:w="1350"/>
        <w:gridCol w:w="1170"/>
        <w:gridCol w:w="1260"/>
      </w:tblGrid>
      <w:tr w:rsidR="00575025" w:rsidRPr="00575025" w14:paraId="00F2291D" w14:textId="77777777" w:rsidTr="003455E1">
        <w:trPr>
          <w:cantSplit/>
          <w:tblHeader/>
        </w:trPr>
        <w:tc>
          <w:tcPr>
            <w:tcW w:w="2790" w:type="dxa"/>
            <w:shd w:val="clear" w:color="auto" w:fill="BDD6EE" w:themeFill="accent5" w:themeFillTint="66"/>
            <w:vAlign w:val="bottom"/>
          </w:tcPr>
          <w:p w14:paraId="5D6BF189"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Utilization Statistic</w:t>
            </w:r>
          </w:p>
        </w:tc>
        <w:tc>
          <w:tcPr>
            <w:tcW w:w="1260" w:type="dxa"/>
            <w:shd w:val="clear" w:color="auto" w:fill="BDD6EE" w:themeFill="accent5" w:themeFillTint="66"/>
            <w:vAlign w:val="bottom"/>
          </w:tcPr>
          <w:p w14:paraId="111E0D7B" w14:textId="042414FD" w:rsidR="00575025" w:rsidRPr="00575025" w:rsidRDefault="00575025" w:rsidP="005B484F">
            <w:pPr>
              <w:spacing w:line="259" w:lineRule="auto"/>
              <w:rPr>
                <w:rFonts w:cstheme="minorHAnsi"/>
                <w:sz w:val="24"/>
                <w:szCs w:val="24"/>
              </w:rPr>
            </w:pPr>
            <w:r w:rsidRPr="00575025">
              <w:rPr>
                <w:rFonts w:cstheme="minorHAnsi"/>
                <w:b/>
                <w:bCs/>
                <w:sz w:val="24"/>
                <w:szCs w:val="24"/>
              </w:rPr>
              <w:t>CY</w:t>
            </w:r>
            <w:r w:rsidR="00A31E4B">
              <w:rPr>
                <w:rFonts w:cstheme="minorHAnsi"/>
                <w:b/>
                <w:bCs/>
                <w:sz w:val="24"/>
                <w:szCs w:val="24"/>
              </w:rPr>
              <w:t>20</w:t>
            </w:r>
            <w:r w:rsidRPr="00575025">
              <w:rPr>
                <w:rFonts w:cstheme="minorHAnsi"/>
                <w:b/>
                <w:bCs/>
                <w:sz w:val="24"/>
                <w:szCs w:val="24"/>
              </w:rPr>
              <w:t>25 (Year 1)</w:t>
            </w:r>
          </w:p>
        </w:tc>
        <w:tc>
          <w:tcPr>
            <w:tcW w:w="1260" w:type="dxa"/>
            <w:shd w:val="clear" w:color="auto" w:fill="BDD6EE" w:themeFill="accent5" w:themeFillTint="66"/>
            <w:vAlign w:val="bottom"/>
          </w:tcPr>
          <w:p w14:paraId="48F7F310" w14:textId="519C0557" w:rsidR="00575025" w:rsidRPr="00575025" w:rsidRDefault="00575025" w:rsidP="005B484F">
            <w:pPr>
              <w:spacing w:line="259" w:lineRule="auto"/>
              <w:rPr>
                <w:rFonts w:cstheme="minorHAnsi"/>
                <w:sz w:val="24"/>
                <w:szCs w:val="24"/>
              </w:rPr>
            </w:pPr>
            <w:r w:rsidRPr="00575025">
              <w:rPr>
                <w:rFonts w:cstheme="minorHAnsi"/>
                <w:b/>
                <w:bCs/>
                <w:sz w:val="24"/>
                <w:szCs w:val="24"/>
              </w:rPr>
              <w:t>CY</w:t>
            </w:r>
            <w:r w:rsidR="00A31E4B">
              <w:rPr>
                <w:rFonts w:cstheme="minorHAnsi"/>
                <w:b/>
                <w:bCs/>
                <w:sz w:val="24"/>
                <w:szCs w:val="24"/>
              </w:rPr>
              <w:t>20</w:t>
            </w:r>
            <w:r w:rsidRPr="00575025">
              <w:rPr>
                <w:rFonts w:cstheme="minorHAnsi"/>
                <w:b/>
                <w:bCs/>
                <w:sz w:val="24"/>
                <w:szCs w:val="24"/>
              </w:rPr>
              <w:t>26 (Year 2)</w:t>
            </w:r>
          </w:p>
        </w:tc>
        <w:tc>
          <w:tcPr>
            <w:tcW w:w="1350" w:type="dxa"/>
            <w:shd w:val="clear" w:color="auto" w:fill="BDD6EE" w:themeFill="accent5" w:themeFillTint="66"/>
            <w:vAlign w:val="bottom"/>
          </w:tcPr>
          <w:p w14:paraId="6B347C4F" w14:textId="495CCB9A" w:rsidR="00575025" w:rsidRPr="00575025" w:rsidRDefault="00575025" w:rsidP="005B484F">
            <w:pPr>
              <w:spacing w:line="259" w:lineRule="auto"/>
              <w:rPr>
                <w:rFonts w:cstheme="minorHAnsi"/>
                <w:b/>
                <w:bCs/>
                <w:sz w:val="24"/>
                <w:szCs w:val="24"/>
              </w:rPr>
            </w:pPr>
            <w:r w:rsidRPr="00575025">
              <w:rPr>
                <w:rFonts w:cstheme="minorHAnsi"/>
                <w:b/>
                <w:bCs/>
                <w:sz w:val="24"/>
                <w:szCs w:val="24"/>
              </w:rPr>
              <w:t>CY</w:t>
            </w:r>
            <w:r w:rsidR="00A31E4B">
              <w:rPr>
                <w:rFonts w:cstheme="minorHAnsi"/>
                <w:b/>
                <w:bCs/>
                <w:sz w:val="24"/>
                <w:szCs w:val="24"/>
              </w:rPr>
              <w:t>20</w:t>
            </w:r>
            <w:r w:rsidRPr="00575025">
              <w:rPr>
                <w:rFonts w:cstheme="minorHAnsi"/>
                <w:b/>
                <w:bCs/>
                <w:sz w:val="24"/>
                <w:szCs w:val="24"/>
              </w:rPr>
              <w:t>27</w:t>
            </w:r>
          </w:p>
          <w:p w14:paraId="5791D830"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(Year 3)</w:t>
            </w:r>
          </w:p>
        </w:tc>
        <w:tc>
          <w:tcPr>
            <w:tcW w:w="1170" w:type="dxa"/>
            <w:shd w:val="clear" w:color="auto" w:fill="BDD6EE" w:themeFill="accent5" w:themeFillTint="66"/>
            <w:vAlign w:val="bottom"/>
          </w:tcPr>
          <w:p w14:paraId="111F7C16" w14:textId="5F879104" w:rsidR="00575025" w:rsidRPr="00575025" w:rsidRDefault="00575025" w:rsidP="005B484F">
            <w:pPr>
              <w:spacing w:line="259" w:lineRule="auto"/>
              <w:rPr>
                <w:rFonts w:cstheme="minorHAnsi"/>
                <w:b/>
                <w:bCs/>
                <w:sz w:val="24"/>
                <w:szCs w:val="24"/>
              </w:rPr>
            </w:pPr>
            <w:r w:rsidRPr="00575025">
              <w:rPr>
                <w:rFonts w:cstheme="minorHAnsi"/>
                <w:b/>
                <w:bCs/>
                <w:sz w:val="24"/>
                <w:szCs w:val="24"/>
              </w:rPr>
              <w:t>CY</w:t>
            </w:r>
            <w:r w:rsidR="00A31E4B">
              <w:rPr>
                <w:rFonts w:cstheme="minorHAnsi"/>
                <w:b/>
                <w:bCs/>
                <w:sz w:val="24"/>
                <w:szCs w:val="24"/>
              </w:rPr>
              <w:t>20</w:t>
            </w:r>
            <w:r w:rsidRPr="00575025">
              <w:rPr>
                <w:rFonts w:cstheme="minorHAnsi"/>
                <w:b/>
                <w:bCs/>
                <w:sz w:val="24"/>
                <w:szCs w:val="24"/>
              </w:rPr>
              <w:t>28</w:t>
            </w:r>
          </w:p>
          <w:p w14:paraId="7FE818E0" w14:textId="194FCBA5" w:rsidR="00575025" w:rsidRPr="00575025" w:rsidRDefault="00575025" w:rsidP="005B484F">
            <w:pPr>
              <w:spacing w:line="259" w:lineRule="auto"/>
              <w:rPr>
                <w:rFonts w:cstheme="minorHAnsi"/>
                <w:sz w:val="24"/>
                <w:szCs w:val="24"/>
              </w:rPr>
            </w:pPr>
            <w:r w:rsidRPr="00575025">
              <w:rPr>
                <w:rFonts w:cstheme="minorHAnsi"/>
                <w:b/>
                <w:bCs/>
                <w:sz w:val="24"/>
                <w:szCs w:val="24"/>
              </w:rPr>
              <w:t>(Year 4)</w:t>
            </w:r>
            <w:r w:rsidR="00FE6F83">
              <w:rPr>
                <w:rStyle w:val="FootnoteReference"/>
                <w:rFonts w:cstheme="minorHAnsi"/>
                <w:b/>
                <w:bCs/>
                <w:sz w:val="24"/>
                <w:szCs w:val="24"/>
              </w:rPr>
              <w:footnoteReference w:id="18"/>
            </w:r>
          </w:p>
        </w:tc>
        <w:tc>
          <w:tcPr>
            <w:tcW w:w="1260" w:type="dxa"/>
            <w:shd w:val="clear" w:color="auto" w:fill="BDD6EE" w:themeFill="accent5" w:themeFillTint="66"/>
            <w:vAlign w:val="bottom"/>
          </w:tcPr>
          <w:p w14:paraId="060F551F" w14:textId="348AAEEB" w:rsidR="00575025" w:rsidRPr="00575025" w:rsidRDefault="00575025" w:rsidP="005B484F">
            <w:pPr>
              <w:spacing w:line="259" w:lineRule="auto"/>
              <w:rPr>
                <w:rFonts w:cstheme="minorHAnsi"/>
                <w:b/>
                <w:bCs/>
                <w:sz w:val="24"/>
                <w:szCs w:val="24"/>
              </w:rPr>
            </w:pPr>
            <w:r w:rsidRPr="00575025">
              <w:rPr>
                <w:rFonts w:cstheme="minorHAnsi"/>
                <w:b/>
                <w:bCs/>
                <w:sz w:val="24"/>
                <w:szCs w:val="24"/>
              </w:rPr>
              <w:t>CY</w:t>
            </w:r>
            <w:r w:rsidR="00A31E4B">
              <w:rPr>
                <w:rFonts w:cstheme="minorHAnsi"/>
                <w:b/>
                <w:bCs/>
                <w:sz w:val="24"/>
                <w:szCs w:val="24"/>
              </w:rPr>
              <w:t>20</w:t>
            </w:r>
            <w:r w:rsidRPr="00575025">
              <w:rPr>
                <w:rFonts w:cstheme="minorHAnsi"/>
                <w:b/>
                <w:bCs/>
                <w:sz w:val="24"/>
                <w:szCs w:val="24"/>
              </w:rPr>
              <w:t>29</w:t>
            </w:r>
          </w:p>
          <w:p w14:paraId="15413099"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(Year 5)</w:t>
            </w:r>
          </w:p>
        </w:tc>
      </w:tr>
      <w:tr w:rsidR="00575025" w:rsidRPr="00575025" w14:paraId="2457C069" w14:textId="77777777" w:rsidTr="003455E1">
        <w:trPr>
          <w:cantSplit/>
        </w:trPr>
        <w:tc>
          <w:tcPr>
            <w:tcW w:w="2790" w:type="dxa"/>
            <w:vAlign w:val="bottom"/>
          </w:tcPr>
          <w:p w14:paraId="651FF49B" w14:textId="77777777" w:rsidR="00575025" w:rsidRPr="00575025" w:rsidRDefault="00575025" w:rsidP="005B484F">
            <w:pPr>
              <w:spacing w:line="259" w:lineRule="auto"/>
              <w:rPr>
                <w:rFonts w:cstheme="minorHAnsi"/>
                <w:sz w:val="24"/>
                <w:szCs w:val="24"/>
              </w:rPr>
            </w:pPr>
            <w:r w:rsidRPr="00575025">
              <w:rPr>
                <w:rFonts w:cstheme="minorHAnsi"/>
                <w:sz w:val="24"/>
                <w:szCs w:val="24"/>
              </w:rPr>
              <w:t>Patient Days</w:t>
            </w:r>
          </w:p>
        </w:tc>
        <w:tc>
          <w:tcPr>
            <w:tcW w:w="1260" w:type="dxa"/>
            <w:vAlign w:val="bottom"/>
          </w:tcPr>
          <w:p w14:paraId="15F7CB8F" w14:textId="0B263B4F" w:rsidR="00575025" w:rsidRPr="00575025" w:rsidRDefault="00575025" w:rsidP="00FE6F83">
            <w:pPr>
              <w:spacing w:line="259" w:lineRule="auto"/>
              <w:jc w:val="center"/>
              <w:rPr>
                <w:rFonts w:cstheme="minorHAnsi"/>
                <w:sz w:val="24"/>
                <w:szCs w:val="24"/>
              </w:rPr>
            </w:pPr>
            <w:r w:rsidRPr="00575025">
              <w:rPr>
                <w:rFonts w:cstheme="minorHAnsi"/>
                <w:sz w:val="24"/>
                <w:szCs w:val="24"/>
              </w:rPr>
              <w:t>20,047</w:t>
            </w:r>
          </w:p>
        </w:tc>
        <w:tc>
          <w:tcPr>
            <w:tcW w:w="1260" w:type="dxa"/>
            <w:vAlign w:val="bottom"/>
          </w:tcPr>
          <w:p w14:paraId="5E48E572" w14:textId="165ACD0A" w:rsidR="00575025" w:rsidRPr="00575025" w:rsidRDefault="00575025" w:rsidP="00FE6F83">
            <w:pPr>
              <w:spacing w:line="259" w:lineRule="auto"/>
              <w:jc w:val="center"/>
              <w:rPr>
                <w:rFonts w:cstheme="minorHAnsi"/>
                <w:sz w:val="24"/>
                <w:szCs w:val="24"/>
              </w:rPr>
            </w:pPr>
            <w:r w:rsidRPr="00575025">
              <w:rPr>
                <w:rFonts w:cstheme="minorHAnsi"/>
                <w:sz w:val="24"/>
                <w:szCs w:val="24"/>
              </w:rPr>
              <w:t>20,416</w:t>
            </w:r>
          </w:p>
        </w:tc>
        <w:tc>
          <w:tcPr>
            <w:tcW w:w="1350" w:type="dxa"/>
            <w:vAlign w:val="bottom"/>
          </w:tcPr>
          <w:p w14:paraId="2D971E9B"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20,772</w:t>
            </w:r>
          </w:p>
        </w:tc>
        <w:tc>
          <w:tcPr>
            <w:tcW w:w="1170" w:type="dxa"/>
            <w:vAlign w:val="bottom"/>
          </w:tcPr>
          <w:p w14:paraId="197DF222" w14:textId="1829D4E9" w:rsidR="00575025" w:rsidRPr="00575025" w:rsidRDefault="00575025" w:rsidP="00FE6F83">
            <w:pPr>
              <w:spacing w:line="259" w:lineRule="auto"/>
              <w:jc w:val="center"/>
              <w:rPr>
                <w:rFonts w:cstheme="minorHAnsi"/>
                <w:sz w:val="24"/>
                <w:szCs w:val="24"/>
              </w:rPr>
            </w:pPr>
            <w:r w:rsidRPr="00575025">
              <w:rPr>
                <w:rFonts w:cstheme="minorHAnsi"/>
                <w:sz w:val="24"/>
                <w:szCs w:val="24"/>
              </w:rPr>
              <w:t>21,141</w:t>
            </w:r>
          </w:p>
        </w:tc>
        <w:tc>
          <w:tcPr>
            <w:tcW w:w="1260" w:type="dxa"/>
            <w:vAlign w:val="bottom"/>
          </w:tcPr>
          <w:p w14:paraId="0FBEC351" w14:textId="150A7B78" w:rsidR="00575025" w:rsidRPr="00575025" w:rsidRDefault="00575025" w:rsidP="00FE6F83">
            <w:pPr>
              <w:spacing w:line="259" w:lineRule="auto"/>
              <w:jc w:val="center"/>
              <w:rPr>
                <w:rFonts w:cstheme="minorHAnsi"/>
                <w:sz w:val="24"/>
                <w:szCs w:val="24"/>
              </w:rPr>
            </w:pPr>
            <w:r w:rsidRPr="00575025">
              <w:rPr>
                <w:rFonts w:cstheme="minorHAnsi"/>
                <w:sz w:val="24"/>
                <w:szCs w:val="24"/>
              </w:rPr>
              <w:t>21,141</w:t>
            </w:r>
          </w:p>
        </w:tc>
      </w:tr>
      <w:tr w:rsidR="00575025" w:rsidRPr="00575025" w14:paraId="426B925D" w14:textId="77777777" w:rsidTr="003455E1">
        <w:trPr>
          <w:cantSplit/>
        </w:trPr>
        <w:tc>
          <w:tcPr>
            <w:tcW w:w="2790" w:type="dxa"/>
            <w:vAlign w:val="bottom"/>
          </w:tcPr>
          <w:p w14:paraId="557D48A5" w14:textId="77777777" w:rsidR="00575025" w:rsidRPr="00575025" w:rsidRDefault="00575025" w:rsidP="005B484F">
            <w:pPr>
              <w:spacing w:line="259" w:lineRule="auto"/>
              <w:rPr>
                <w:rFonts w:cstheme="minorHAnsi"/>
                <w:sz w:val="24"/>
                <w:szCs w:val="24"/>
              </w:rPr>
            </w:pPr>
            <w:r w:rsidRPr="00575025">
              <w:rPr>
                <w:rFonts w:cstheme="minorHAnsi"/>
                <w:sz w:val="24"/>
                <w:szCs w:val="24"/>
              </w:rPr>
              <w:lastRenderedPageBreak/>
              <w:t>Discharges</w:t>
            </w:r>
          </w:p>
        </w:tc>
        <w:tc>
          <w:tcPr>
            <w:tcW w:w="1260" w:type="dxa"/>
            <w:vAlign w:val="bottom"/>
          </w:tcPr>
          <w:p w14:paraId="4258CD3D" w14:textId="0B1E9FDE" w:rsidR="00575025" w:rsidRPr="00575025" w:rsidRDefault="00575025" w:rsidP="00FE6F83">
            <w:pPr>
              <w:spacing w:line="259" w:lineRule="auto"/>
              <w:jc w:val="center"/>
              <w:rPr>
                <w:rFonts w:cstheme="minorHAnsi"/>
                <w:sz w:val="24"/>
                <w:szCs w:val="24"/>
              </w:rPr>
            </w:pPr>
            <w:r w:rsidRPr="00575025">
              <w:rPr>
                <w:rFonts w:cstheme="minorHAnsi"/>
                <w:sz w:val="24"/>
                <w:szCs w:val="24"/>
              </w:rPr>
              <w:t>1,575</w:t>
            </w:r>
          </w:p>
        </w:tc>
        <w:tc>
          <w:tcPr>
            <w:tcW w:w="1260" w:type="dxa"/>
            <w:vAlign w:val="bottom"/>
          </w:tcPr>
          <w:p w14:paraId="63C67B31" w14:textId="4747322C" w:rsidR="00575025" w:rsidRPr="00575025" w:rsidRDefault="00575025" w:rsidP="00FE6F83">
            <w:pPr>
              <w:spacing w:line="259" w:lineRule="auto"/>
              <w:jc w:val="center"/>
              <w:rPr>
                <w:rFonts w:cstheme="minorHAnsi"/>
                <w:sz w:val="24"/>
                <w:szCs w:val="24"/>
              </w:rPr>
            </w:pPr>
            <w:r w:rsidRPr="00575025">
              <w:rPr>
                <w:rFonts w:cstheme="minorHAnsi"/>
                <w:sz w:val="24"/>
                <w:szCs w:val="24"/>
              </w:rPr>
              <w:t>1,604</w:t>
            </w:r>
          </w:p>
        </w:tc>
        <w:tc>
          <w:tcPr>
            <w:tcW w:w="1350" w:type="dxa"/>
            <w:vAlign w:val="bottom"/>
          </w:tcPr>
          <w:p w14:paraId="5071056E" w14:textId="2A7C2C30" w:rsidR="00575025" w:rsidRPr="00575025" w:rsidRDefault="00575025" w:rsidP="00FE6F83">
            <w:pPr>
              <w:spacing w:line="259" w:lineRule="auto"/>
              <w:jc w:val="center"/>
              <w:rPr>
                <w:rFonts w:cstheme="minorHAnsi"/>
                <w:sz w:val="24"/>
                <w:szCs w:val="24"/>
              </w:rPr>
            </w:pPr>
            <w:r w:rsidRPr="00575025">
              <w:rPr>
                <w:rFonts w:cstheme="minorHAnsi"/>
                <w:sz w:val="24"/>
                <w:szCs w:val="24"/>
              </w:rPr>
              <w:t>1,632</w:t>
            </w:r>
          </w:p>
        </w:tc>
        <w:tc>
          <w:tcPr>
            <w:tcW w:w="1170" w:type="dxa"/>
            <w:vAlign w:val="bottom"/>
          </w:tcPr>
          <w:p w14:paraId="1AEA25C1" w14:textId="41C07CBB" w:rsidR="00575025" w:rsidRPr="00575025" w:rsidRDefault="00575025" w:rsidP="00FE6F83">
            <w:pPr>
              <w:spacing w:line="259" w:lineRule="auto"/>
              <w:jc w:val="center"/>
              <w:rPr>
                <w:rFonts w:cstheme="minorHAnsi"/>
                <w:sz w:val="24"/>
                <w:szCs w:val="24"/>
              </w:rPr>
            </w:pPr>
            <w:r w:rsidRPr="00575025">
              <w:rPr>
                <w:rFonts w:cstheme="minorHAnsi"/>
                <w:sz w:val="24"/>
                <w:szCs w:val="24"/>
              </w:rPr>
              <w:t>1,661</w:t>
            </w:r>
          </w:p>
        </w:tc>
        <w:tc>
          <w:tcPr>
            <w:tcW w:w="1260" w:type="dxa"/>
            <w:vAlign w:val="bottom"/>
          </w:tcPr>
          <w:p w14:paraId="23B719F5" w14:textId="4A0FD97F" w:rsidR="00575025" w:rsidRPr="00575025" w:rsidRDefault="00575025" w:rsidP="00FE6F83">
            <w:pPr>
              <w:spacing w:line="259" w:lineRule="auto"/>
              <w:jc w:val="center"/>
              <w:rPr>
                <w:rFonts w:cstheme="minorHAnsi"/>
                <w:sz w:val="24"/>
                <w:szCs w:val="24"/>
              </w:rPr>
            </w:pPr>
            <w:r w:rsidRPr="00575025">
              <w:rPr>
                <w:rFonts w:cstheme="minorHAnsi"/>
                <w:sz w:val="24"/>
                <w:szCs w:val="24"/>
              </w:rPr>
              <w:t>1,661</w:t>
            </w:r>
          </w:p>
        </w:tc>
      </w:tr>
      <w:tr w:rsidR="00575025" w:rsidRPr="00575025" w14:paraId="4D06D031" w14:textId="77777777" w:rsidTr="003455E1">
        <w:trPr>
          <w:cantSplit/>
        </w:trPr>
        <w:tc>
          <w:tcPr>
            <w:tcW w:w="2790" w:type="dxa"/>
            <w:vAlign w:val="bottom"/>
          </w:tcPr>
          <w:p w14:paraId="33DAC2C4" w14:textId="77777777" w:rsidR="00575025" w:rsidRPr="00575025" w:rsidRDefault="00575025" w:rsidP="005B484F">
            <w:pPr>
              <w:spacing w:line="259" w:lineRule="auto"/>
              <w:rPr>
                <w:rFonts w:cstheme="minorHAnsi"/>
                <w:sz w:val="24"/>
                <w:szCs w:val="24"/>
              </w:rPr>
            </w:pPr>
            <w:r w:rsidRPr="00575025">
              <w:rPr>
                <w:rFonts w:cstheme="minorHAnsi"/>
                <w:sz w:val="24"/>
                <w:szCs w:val="24"/>
              </w:rPr>
              <w:t>Avg. Length of Stay</w:t>
            </w:r>
          </w:p>
        </w:tc>
        <w:tc>
          <w:tcPr>
            <w:tcW w:w="1260" w:type="dxa"/>
            <w:vAlign w:val="bottom"/>
          </w:tcPr>
          <w:p w14:paraId="6A6EAFE5" w14:textId="742F0B55" w:rsidR="00575025" w:rsidRPr="00575025" w:rsidRDefault="00575025" w:rsidP="00FE6F83">
            <w:pPr>
              <w:spacing w:line="259" w:lineRule="auto"/>
              <w:jc w:val="center"/>
              <w:rPr>
                <w:rFonts w:cstheme="minorHAnsi"/>
                <w:sz w:val="24"/>
                <w:szCs w:val="24"/>
              </w:rPr>
            </w:pPr>
            <w:r w:rsidRPr="00575025">
              <w:rPr>
                <w:rFonts w:cstheme="minorHAnsi"/>
                <w:sz w:val="24"/>
                <w:szCs w:val="24"/>
              </w:rPr>
              <w:t>12.7</w:t>
            </w:r>
          </w:p>
        </w:tc>
        <w:tc>
          <w:tcPr>
            <w:tcW w:w="1260" w:type="dxa"/>
            <w:vAlign w:val="bottom"/>
          </w:tcPr>
          <w:p w14:paraId="335EC41A" w14:textId="6B3EE923" w:rsidR="00575025" w:rsidRPr="00575025" w:rsidRDefault="00575025" w:rsidP="00FE6F83">
            <w:pPr>
              <w:spacing w:line="259" w:lineRule="auto"/>
              <w:jc w:val="center"/>
              <w:rPr>
                <w:rFonts w:cstheme="minorHAnsi"/>
                <w:sz w:val="24"/>
                <w:szCs w:val="24"/>
              </w:rPr>
            </w:pPr>
            <w:r w:rsidRPr="00575025">
              <w:rPr>
                <w:rFonts w:cstheme="minorHAnsi"/>
                <w:sz w:val="24"/>
                <w:szCs w:val="24"/>
              </w:rPr>
              <w:t>12.7</w:t>
            </w:r>
          </w:p>
        </w:tc>
        <w:tc>
          <w:tcPr>
            <w:tcW w:w="1350" w:type="dxa"/>
            <w:vAlign w:val="bottom"/>
          </w:tcPr>
          <w:p w14:paraId="5595E01A"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12.7</w:t>
            </w:r>
          </w:p>
        </w:tc>
        <w:tc>
          <w:tcPr>
            <w:tcW w:w="1170" w:type="dxa"/>
            <w:vAlign w:val="bottom"/>
          </w:tcPr>
          <w:p w14:paraId="71C32A4C"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12.7</w:t>
            </w:r>
          </w:p>
        </w:tc>
        <w:tc>
          <w:tcPr>
            <w:tcW w:w="1260" w:type="dxa"/>
            <w:vAlign w:val="bottom"/>
          </w:tcPr>
          <w:p w14:paraId="673A922E"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12.7</w:t>
            </w:r>
          </w:p>
        </w:tc>
      </w:tr>
      <w:tr w:rsidR="00575025" w:rsidRPr="00575025" w14:paraId="07210A22" w14:textId="77777777" w:rsidTr="003455E1">
        <w:trPr>
          <w:cantSplit/>
        </w:trPr>
        <w:tc>
          <w:tcPr>
            <w:tcW w:w="2790" w:type="dxa"/>
            <w:vAlign w:val="bottom"/>
          </w:tcPr>
          <w:p w14:paraId="196DCDB5" w14:textId="77777777" w:rsidR="00575025" w:rsidRPr="00575025" w:rsidRDefault="00575025" w:rsidP="005B484F">
            <w:pPr>
              <w:spacing w:line="259" w:lineRule="auto"/>
              <w:rPr>
                <w:rFonts w:cstheme="minorHAnsi"/>
                <w:sz w:val="24"/>
                <w:szCs w:val="24"/>
              </w:rPr>
            </w:pPr>
            <w:r w:rsidRPr="00575025">
              <w:rPr>
                <w:rFonts w:cstheme="minorHAnsi"/>
                <w:sz w:val="24"/>
                <w:szCs w:val="24"/>
              </w:rPr>
              <w:t>Licensed Beds</w:t>
            </w:r>
          </w:p>
        </w:tc>
        <w:tc>
          <w:tcPr>
            <w:tcW w:w="1260" w:type="dxa"/>
            <w:vAlign w:val="bottom"/>
          </w:tcPr>
          <w:p w14:paraId="24794D6E"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70</w:t>
            </w:r>
          </w:p>
        </w:tc>
        <w:tc>
          <w:tcPr>
            <w:tcW w:w="1260" w:type="dxa"/>
            <w:vAlign w:val="bottom"/>
          </w:tcPr>
          <w:p w14:paraId="5C9C4309"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70</w:t>
            </w:r>
          </w:p>
        </w:tc>
        <w:tc>
          <w:tcPr>
            <w:tcW w:w="1350" w:type="dxa"/>
            <w:vAlign w:val="bottom"/>
          </w:tcPr>
          <w:p w14:paraId="71C49472"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70</w:t>
            </w:r>
          </w:p>
        </w:tc>
        <w:tc>
          <w:tcPr>
            <w:tcW w:w="1170" w:type="dxa"/>
            <w:vAlign w:val="bottom"/>
          </w:tcPr>
          <w:p w14:paraId="1D7FD400"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70</w:t>
            </w:r>
          </w:p>
        </w:tc>
        <w:tc>
          <w:tcPr>
            <w:tcW w:w="1260" w:type="dxa"/>
            <w:vAlign w:val="bottom"/>
          </w:tcPr>
          <w:p w14:paraId="4BF4BDC5"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70</w:t>
            </w:r>
          </w:p>
        </w:tc>
      </w:tr>
      <w:tr w:rsidR="00575025" w:rsidRPr="00575025" w14:paraId="3BA67F2B" w14:textId="77777777" w:rsidTr="003455E1">
        <w:trPr>
          <w:cantSplit/>
        </w:trPr>
        <w:tc>
          <w:tcPr>
            <w:tcW w:w="2790" w:type="dxa"/>
            <w:vAlign w:val="bottom"/>
          </w:tcPr>
          <w:p w14:paraId="198E6C7B" w14:textId="77777777" w:rsidR="00575025" w:rsidRPr="00575025" w:rsidRDefault="00575025" w:rsidP="005B484F">
            <w:pPr>
              <w:spacing w:line="259" w:lineRule="auto"/>
              <w:rPr>
                <w:rFonts w:cstheme="minorHAnsi"/>
                <w:sz w:val="24"/>
                <w:szCs w:val="24"/>
              </w:rPr>
            </w:pPr>
            <w:r w:rsidRPr="00575025">
              <w:rPr>
                <w:rFonts w:cstheme="minorHAnsi"/>
                <w:sz w:val="24"/>
                <w:szCs w:val="24"/>
              </w:rPr>
              <w:t>Average Daily Census</w:t>
            </w:r>
          </w:p>
        </w:tc>
        <w:tc>
          <w:tcPr>
            <w:tcW w:w="1260" w:type="dxa"/>
            <w:vAlign w:val="bottom"/>
          </w:tcPr>
          <w:p w14:paraId="07E47205"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54.9</w:t>
            </w:r>
          </w:p>
        </w:tc>
        <w:tc>
          <w:tcPr>
            <w:tcW w:w="1260" w:type="dxa"/>
            <w:vAlign w:val="bottom"/>
          </w:tcPr>
          <w:p w14:paraId="61F6DA4B"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55.9</w:t>
            </w:r>
          </w:p>
        </w:tc>
        <w:tc>
          <w:tcPr>
            <w:tcW w:w="1350" w:type="dxa"/>
            <w:vAlign w:val="bottom"/>
          </w:tcPr>
          <w:p w14:paraId="56215D17"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56.9</w:t>
            </w:r>
          </w:p>
        </w:tc>
        <w:tc>
          <w:tcPr>
            <w:tcW w:w="1170" w:type="dxa"/>
            <w:vAlign w:val="bottom"/>
          </w:tcPr>
          <w:p w14:paraId="58FD2022"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57.8</w:t>
            </w:r>
          </w:p>
        </w:tc>
        <w:tc>
          <w:tcPr>
            <w:tcW w:w="1260" w:type="dxa"/>
            <w:vAlign w:val="bottom"/>
          </w:tcPr>
          <w:p w14:paraId="01C69DF5" w14:textId="77777777" w:rsidR="00575025" w:rsidRPr="00575025" w:rsidRDefault="00575025" w:rsidP="00FE6F83">
            <w:pPr>
              <w:spacing w:line="259" w:lineRule="auto"/>
              <w:jc w:val="center"/>
              <w:rPr>
                <w:rFonts w:cstheme="minorHAnsi"/>
                <w:sz w:val="24"/>
                <w:szCs w:val="24"/>
              </w:rPr>
            </w:pPr>
            <w:r w:rsidRPr="00575025">
              <w:rPr>
                <w:rFonts w:cstheme="minorHAnsi"/>
                <w:sz w:val="24"/>
                <w:szCs w:val="24"/>
              </w:rPr>
              <w:t>57.9</w:t>
            </w:r>
          </w:p>
        </w:tc>
      </w:tr>
      <w:tr w:rsidR="00575025" w:rsidRPr="00575025" w14:paraId="205CB014" w14:textId="77777777" w:rsidTr="003455E1">
        <w:trPr>
          <w:cantSplit/>
        </w:trPr>
        <w:tc>
          <w:tcPr>
            <w:tcW w:w="2790" w:type="dxa"/>
            <w:vAlign w:val="bottom"/>
          </w:tcPr>
          <w:p w14:paraId="7D69732E" w14:textId="77777777" w:rsidR="00575025" w:rsidRPr="00FE6F83" w:rsidRDefault="00575025" w:rsidP="005B484F">
            <w:pPr>
              <w:spacing w:line="259" w:lineRule="auto"/>
              <w:rPr>
                <w:rFonts w:cstheme="minorHAnsi"/>
                <w:b/>
                <w:bCs/>
                <w:sz w:val="24"/>
                <w:szCs w:val="24"/>
              </w:rPr>
            </w:pPr>
            <w:r w:rsidRPr="00FE6F83">
              <w:rPr>
                <w:rFonts w:cstheme="minorHAnsi"/>
                <w:b/>
                <w:bCs/>
                <w:sz w:val="24"/>
                <w:szCs w:val="24"/>
              </w:rPr>
              <w:t>Occupancy</w:t>
            </w:r>
          </w:p>
        </w:tc>
        <w:tc>
          <w:tcPr>
            <w:tcW w:w="1260" w:type="dxa"/>
            <w:vAlign w:val="bottom"/>
          </w:tcPr>
          <w:p w14:paraId="5174A565" w14:textId="77777777" w:rsidR="00575025" w:rsidRPr="00FE6F83" w:rsidRDefault="00575025" w:rsidP="00FE6F83">
            <w:pPr>
              <w:spacing w:line="259" w:lineRule="auto"/>
              <w:jc w:val="center"/>
              <w:rPr>
                <w:rFonts w:cstheme="minorHAnsi"/>
                <w:b/>
                <w:bCs/>
                <w:sz w:val="24"/>
                <w:szCs w:val="24"/>
              </w:rPr>
            </w:pPr>
            <w:r w:rsidRPr="00FE6F83">
              <w:rPr>
                <w:rFonts w:cstheme="minorHAnsi"/>
                <w:b/>
                <w:bCs/>
                <w:sz w:val="24"/>
                <w:szCs w:val="24"/>
              </w:rPr>
              <w:t>78.5%</w:t>
            </w:r>
          </w:p>
        </w:tc>
        <w:tc>
          <w:tcPr>
            <w:tcW w:w="1260" w:type="dxa"/>
            <w:vAlign w:val="bottom"/>
          </w:tcPr>
          <w:p w14:paraId="02F9ECEF" w14:textId="77777777" w:rsidR="00575025" w:rsidRPr="00FE6F83" w:rsidRDefault="00575025" w:rsidP="00FE6F83">
            <w:pPr>
              <w:spacing w:line="259" w:lineRule="auto"/>
              <w:jc w:val="center"/>
              <w:rPr>
                <w:rFonts w:cstheme="minorHAnsi"/>
                <w:b/>
                <w:bCs/>
                <w:sz w:val="24"/>
                <w:szCs w:val="24"/>
              </w:rPr>
            </w:pPr>
            <w:r w:rsidRPr="00FE6F83">
              <w:rPr>
                <w:rFonts w:cstheme="minorHAnsi"/>
                <w:b/>
                <w:bCs/>
                <w:sz w:val="24"/>
                <w:szCs w:val="24"/>
              </w:rPr>
              <w:t>79.9%</w:t>
            </w:r>
          </w:p>
        </w:tc>
        <w:tc>
          <w:tcPr>
            <w:tcW w:w="1350" w:type="dxa"/>
            <w:vAlign w:val="bottom"/>
          </w:tcPr>
          <w:p w14:paraId="49034D1D" w14:textId="77777777" w:rsidR="00575025" w:rsidRPr="00FE6F83" w:rsidRDefault="00575025" w:rsidP="00FE6F83">
            <w:pPr>
              <w:spacing w:line="259" w:lineRule="auto"/>
              <w:jc w:val="center"/>
              <w:rPr>
                <w:rFonts w:cstheme="minorHAnsi"/>
                <w:b/>
                <w:bCs/>
                <w:sz w:val="24"/>
                <w:szCs w:val="24"/>
              </w:rPr>
            </w:pPr>
            <w:r w:rsidRPr="00FE6F83">
              <w:rPr>
                <w:rFonts w:cstheme="minorHAnsi"/>
                <w:b/>
                <w:bCs/>
                <w:sz w:val="24"/>
                <w:szCs w:val="24"/>
              </w:rPr>
              <w:t>81.3%</w:t>
            </w:r>
          </w:p>
        </w:tc>
        <w:tc>
          <w:tcPr>
            <w:tcW w:w="1170" w:type="dxa"/>
            <w:vAlign w:val="bottom"/>
          </w:tcPr>
          <w:p w14:paraId="1EB22589" w14:textId="77777777" w:rsidR="00575025" w:rsidRPr="00FE6F83" w:rsidRDefault="00575025" w:rsidP="00FE6F83">
            <w:pPr>
              <w:spacing w:line="259" w:lineRule="auto"/>
              <w:jc w:val="center"/>
              <w:rPr>
                <w:rFonts w:cstheme="minorHAnsi"/>
                <w:b/>
                <w:bCs/>
                <w:sz w:val="24"/>
                <w:szCs w:val="24"/>
              </w:rPr>
            </w:pPr>
            <w:r w:rsidRPr="00FE6F83">
              <w:rPr>
                <w:rFonts w:cstheme="minorHAnsi"/>
                <w:b/>
                <w:bCs/>
                <w:sz w:val="24"/>
                <w:szCs w:val="24"/>
              </w:rPr>
              <w:t>82.5%</w:t>
            </w:r>
          </w:p>
        </w:tc>
        <w:tc>
          <w:tcPr>
            <w:tcW w:w="1260" w:type="dxa"/>
            <w:vAlign w:val="bottom"/>
          </w:tcPr>
          <w:p w14:paraId="3356B4A3" w14:textId="77777777" w:rsidR="00575025" w:rsidRPr="00FE6F83" w:rsidRDefault="00575025" w:rsidP="00FE6F83">
            <w:pPr>
              <w:spacing w:line="259" w:lineRule="auto"/>
              <w:jc w:val="center"/>
              <w:rPr>
                <w:rFonts w:cstheme="minorHAnsi"/>
                <w:b/>
                <w:bCs/>
                <w:sz w:val="24"/>
                <w:szCs w:val="24"/>
              </w:rPr>
            </w:pPr>
            <w:r w:rsidRPr="00FE6F83">
              <w:rPr>
                <w:rFonts w:cstheme="minorHAnsi"/>
                <w:b/>
                <w:bCs/>
                <w:sz w:val="24"/>
                <w:szCs w:val="24"/>
              </w:rPr>
              <w:t>82.7%</w:t>
            </w:r>
          </w:p>
        </w:tc>
      </w:tr>
    </w:tbl>
    <w:p w14:paraId="6ABFE78A" w14:textId="77777777" w:rsidR="00575025" w:rsidRPr="00575025" w:rsidRDefault="00575025" w:rsidP="00575025">
      <w:pPr>
        <w:spacing w:after="0"/>
        <w:rPr>
          <w:rFonts w:cstheme="minorHAnsi"/>
          <w:sz w:val="24"/>
          <w:szCs w:val="24"/>
        </w:rPr>
      </w:pPr>
    </w:p>
    <w:p w14:paraId="5F228075" w14:textId="1E65A616" w:rsidR="00575025" w:rsidRPr="00575025" w:rsidRDefault="00575025" w:rsidP="00575025">
      <w:pPr>
        <w:spacing w:after="0"/>
        <w:rPr>
          <w:rFonts w:cstheme="minorHAnsi"/>
          <w:sz w:val="24"/>
          <w:szCs w:val="24"/>
        </w:rPr>
      </w:pPr>
      <w:r w:rsidRPr="00575025">
        <w:rPr>
          <w:rFonts w:cstheme="minorHAnsi"/>
          <w:sz w:val="24"/>
          <w:szCs w:val="24"/>
        </w:rPr>
        <w:t xml:space="preserve">Without the Proposed Project, patients in need of intensive inpatient rehabilitative and restorative care would either be delayed in receiving that care, be forced to receive a lower level of care (such as at a skilled nursing facility or home health services), need to seek care further from home, or forego needed rehabilitation services altogether. </w:t>
      </w:r>
      <w:r w:rsidR="0050520C">
        <w:rPr>
          <w:rFonts w:cstheme="minorHAnsi"/>
          <w:sz w:val="24"/>
          <w:szCs w:val="24"/>
        </w:rPr>
        <w:t>The Applicant notes that n</w:t>
      </w:r>
      <w:r w:rsidRPr="00575025">
        <w:rPr>
          <w:rFonts w:cstheme="minorHAnsi"/>
          <w:sz w:val="24"/>
          <w:szCs w:val="24"/>
        </w:rPr>
        <w:t xml:space="preserve">one of those options are optimal for patient care and outcomes. </w:t>
      </w:r>
    </w:p>
    <w:p w14:paraId="49A6F4DA" w14:textId="56CC21A2" w:rsidR="00575025" w:rsidRPr="00423B5C" w:rsidRDefault="00575025" w:rsidP="00575025">
      <w:pPr>
        <w:spacing w:after="0"/>
        <w:rPr>
          <w:rFonts w:cstheme="minorHAnsi"/>
          <w:i/>
          <w:iCs/>
          <w:sz w:val="24"/>
          <w:szCs w:val="24"/>
        </w:rPr>
      </w:pPr>
    </w:p>
    <w:p w14:paraId="0E21979A" w14:textId="77777777" w:rsidR="00423B5C" w:rsidRPr="00423B5C" w:rsidRDefault="00575025" w:rsidP="0087547D">
      <w:pPr>
        <w:pStyle w:val="ListParagraph"/>
        <w:numPr>
          <w:ilvl w:val="0"/>
          <w:numId w:val="28"/>
        </w:numPr>
        <w:spacing w:after="0"/>
        <w:rPr>
          <w:rFonts w:cstheme="minorHAnsi"/>
          <w:i/>
          <w:iCs/>
          <w:sz w:val="24"/>
          <w:szCs w:val="24"/>
        </w:rPr>
      </w:pPr>
      <w:r w:rsidRPr="00423B5C">
        <w:rPr>
          <w:rFonts w:cstheme="minorHAnsi"/>
          <w:b/>
          <w:bCs/>
          <w:i/>
          <w:iCs/>
          <w:sz w:val="24"/>
          <w:szCs w:val="24"/>
        </w:rPr>
        <w:t>P</w:t>
      </w:r>
      <w:r w:rsidR="00287860" w:rsidRPr="00423B5C">
        <w:rPr>
          <w:rFonts w:cstheme="minorHAnsi"/>
          <w:b/>
          <w:bCs/>
          <w:i/>
          <w:iCs/>
          <w:sz w:val="24"/>
          <w:szCs w:val="24"/>
        </w:rPr>
        <w:t>rojected Increases in 65+ Population</w:t>
      </w:r>
    </w:p>
    <w:p w14:paraId="046DC968" w14:textId="7C0EEC46" w:rsidR="00575025" w:rsidRPr="00423B5C" w:rsidRDefault="00575025" w:rsidP="00423B5C">
      <w:pPr>
        <w:spacing w:after="0"/>
        <w:rPr>
          <w:rFonts w:cstheme="minorHAnsi"/>
          <w:sz w:val="24"/>
          <w:szCs w:val="24"/>
        </w:rPr>
      </w:pPr>
      <w:r w:rsidRPr="00423B5C">
        <w:rPr>
          <w:rFonts w:cstheme="minorHAnsi"/>
          <w:sz w:val="24"/>
          <w:szCs w:val="24"/>
        </w:rPr>
        <w:t xml:space="preserve">The largest proportion of the population that requires inpatient rehabilitation services are individuals ages 65 and over, as </w:t>
      </w:r>
      <w:r w:rsidR="007E2082" w:rsidRPr="00423B5C">
        <w:rPr>
          <w:rFonts w:cstheme="minorHAnsi"/>
          <w:sz w:val="24"/>
          <w:szCs w:val="24"/>
        </w:rPr>
        <w:t xml:space="preserve">previously </w:t>
      </w:r>
      <w:r w:rsidRPr="00423B5C">
        <w:rPr>
          <w:rFonts w:cstheme="minorHAnsi"/>
          <w:sz w:val="24"/>
          <w:szCs w:val="24"/>
        </w:rPr>
        <w:t xml:space="preserve">demonstrated </w:t>
      </w:r>
      <w:r w:rsidR="007E2082" w:rsidRPr="00423B5C">
        <w:rPr>
          <w:rFonts w:cstheme="minorHAnsi"/>
          <w:sz w:val="24"/>
          <w:szCs w:val="24"/>
        </w:rPr>
        <w:t>in</w:t>
      </w:r>
      <w:r w:rsidRPr="00423B5C">
        <w:rPr>
          <w:rFonts w:cstheme="minorHAnsi"/>
          <w:sz w:val="24"/>
          <w:szCs w:val="24"/>
        </w:rPr>
        <w:t xml:space="preserve"> </w:t>
      </w:r>
      <w:r w:rsidR="00080BAC">
        <w:rPr>
          <w:rFonts w:cstheme="minorHAnsi"/>
          <w:sz w:val="24"/>
          <w:szCs w:val="24"/>
        </w:rPr>
        <w:t>Patient Panel data</w:t>
      </w:r>
      <w:r w:rsidRPr="00423B5C">
        <w:rPr>
          <w:rFonts w:cstheme="minorHAnsi"/>
          <w:sz w:val="24"/>
          <w:szCs w:val="24"/>
        </w:rPr>
        <w:t xml:space="preserve">. As shown below, Hampden and Hampshire counties </w:t>
      </w:r>
      <w:r w:rsidR="00A725E2">
        <w:rPr>
          <w:rFonts w:cstheme="minorHAnsi"/>
          <w:sz w:val="24"/>
          <w:szCs w:val="24"/>
        </w:rPr>
        <w:t xml:space="preserve">(the main counties served by Encompass Western Mass) </w:t>
      </w:r>
      <w:r w:rsidR="00DF6AC8" w:rsidRPr="00423B5C">
        <w:rPr>
          <w:rFonts w:cstheme="minorHAnsi"/>
          <w:sz w:val="24"/>
          <w:szCs w:val="24"/>
        </w:rPr>
        <w:t>are</w:t>
      </w:r>
      <w:r w:rsidR="004E3E85" w:rsidRPr="00423B5C">
        <w:rPr>
          <w:rFonts w:cstheme="minorHAnsi"/>
          <w:sz w:val="24"/>
          <w:szCs w:val="24"/>
        </w:rPr>
        <w:t xml:space="preserve"> projected </w:t>
      </w:r>
      <w:r w:rsidR="00DF6AC8" w:rsidRPr="00423B5C">
        <w:rPr>
          <w:rFonts w:cstheme="minorHAnsi"/>
          <w:sz w:val="24"/>
          <w:szCs w:val="24"/>
        </w:rPr>
        <w:t>to experience</w:t>
      </w:r>
      <w:r w:rsidR="0094361C" w:rsidRPr="00423B5C">
        <w:rPr>
          <w:rFonts w:cstheme="minorHAnsi"/>
          <w:sz w:val="24"/>
          <w:szCs w:val="24"/>
        </w:rPr>
        <w:t xml:space="preserve"> a </w:t>
      </w:r>
      <w:r w:rsidRPr="00423B5C">
        <w:rPr>
          <w:rFonts w:cstheme="minorHAnsi"/>
          <w:sz w:val="24"/>
          <w:szCs w:val="24"/>
        </w:rPr>
        <w:t>16.7% increase in the senior population between 2025 and 2035. Consequently, the senior population is projected to comprise a larger portion of the total population in 2035 (23.6%) than in 2025 (20.6%).</w:t>
      </w:r>
      <w:r w:rsidR="00DF6AC8" w:rsidRPr="00423B5C">
        <w:rPr>
          <w:rFonts w:cstheme="minorHAnsi"/>
          <w:sz w:val="24"/>
          <w:szCs w:val="24"/>
        </w:rPr>
        <w:t xml:space="preserve"> </w:t>
      </w:r>
      <w:r w:rsidRPr="00423B5C">
        <w:rPr>
          <w:rFonts w:cstheme="minorHAnsi"/>
          <w:sz w:val="24"/>
          <w:szCs w:val="24"/>
        </w:rPr>
        <w:t xml:space="preserve">The addition of 17 beds at Encompass Western Mass will ensure that the comprehensive inpatient rehabilitation needs of the large and increasing senior population can continue to be met close to home. </w:t>
      </w:r>
    </w:p>
    <w:p w14:paraId="02D44CB0" w14:textId="77777777" w:rsidR="00575025" w:rsidRPr="00575025" w:rsidRDefault="00575025" w:rsidP="00575025">
      <w:pPr>
        <w:spacing w:after="0"/>
        <w:rPr>
          <w:rFonts w:cstheme="minorHAnsi"/>
          <w:sz w:val="24"/>
          <w:szCs w:val="24"/>
        </w:rPr>
      </w:pPr>
    </w:p>
    <w:p w14:paraId="258EAE5E" w14:textId="381F784B" w:rsidR="00414636" w:rsidRPr="001E17E4" w:rsidRDefault="00575025" w:rsidP="001E17E4">
      <w:pPr>
        <w:pStyle w:val="Caption"/>
        <w:spacing w:after="0"/>
        <w:contextualSpacing/>
        <w:jc w:val="center"/>
        <w:rPr>
          <w:rFonts w:cstheme="minorHAnsi"/>
          <w:color w:val="2F5496" w:themeColor="accent1" w:themeShade="BF"/>
          <w:sz w:val="24"/>
          <w:szCs w:val="24"/>
        </w:rPr>
      </w:pPr>
      <w:r w:rsidRPr="001E17E4">
        <w:rPr>
          <w:rFonts w:cstheme="minorHAnsi"/>
          <w:color w:val="2F5496" w:themeColor="accent1" w:themeShade="BF"/>
          <w:sz w:val="24"/>
          <w:szCs w:val="24"/>
          <w:u w:val="single"/>
        </w:rPr>
        <w:t xml:space="preserve">Table </w:t>
      </w:r>
      <w:r w:rsidR="0061319F">
        <w:rPr>
          <w:rFonts w:cstheme="minorHAnsi"/>
          <w:color w:val="2F5496" w:themeColor="accent1" w:themeShade="BF"/>
          <w:sz w:val="24"/>
          <w:szCs w:val="24"/>
          <w:u w:val="single"/>
        </w:rPr>
        <w:t>7</w:t>
      </w:r>
      <w:r w:rsidRPr="001E17E4">
        <w:rPr>
          <w:rFonts w:cstheme="minorHAnsi"/>
          <w:color w:val="2F5496" w:themeColor="accent1" w:themeShade="BF"/>
          <w:sz w:val="24"/>
          <w:szCs w:val="24"/>
        </w:rPr>
        <w:t xml:space="preserve"> –</w:t>
      </w:r>
      <w:r w:rsidR="00A82591">
        <w:rPr>
          <w:rFonts w:cstheme="minorHAnsi"/>
          <w:color w:val="2F5496" w:themeColor="accent1" w:themeShade="BF"/>
          <w:sz w:val="24"/>
          <w:szCs w:val="24"/>
        </w:rPr>
        <w:t xml:space="preserve">Age </w:t>
      </w:r>
      <w:r w:rsidR="00B812D8">
        <w:rPr>
          <w:rFonts w:cstheme="minorHAnsi"/>
          <w:color w:val="2F5496" w:themeColor="accent1" w:themeShade="BF"/>
          <w:sz w:val="24"/>
          <w:szCs w:val="24"/>
        </w:rPr>
        <w:t>65+ Population Projections</w:t>
      </w:r>
      <w:r w:rsidR="00423B5C">
        <w:rPr>
          <w:rFonts w:cstheme="minorHAnsi"/>
          <w:color w:val="2F5496" w:themeColor="accent1" w:themeShade="BF"/>
          <w:sz w:val="24"/>
          <w:szCs w:val="24"/>
        </w:rPr>
        <w:t xml:space="preserve"> </w:t>
      </w:r>
      <w:proofErr w:type="gramStart"/>
      <w:r w:rsidR="00423B5C">
        <w:rPr>
          <w:rFonts w:cstheme="minorHAnsi"/>
          <w:color w:val="2F5496" w:themeColor="accent1" w:themeShade="BF"/>
          <w:sz w:val="24"/>
          <w:szCs w:val="24"/>
        </w:rPr>
        <w:t>By</w:t>
      </w:r>
      <w:proofErr w:type="gramEnd"/>
      <w:r w:rsidR="00423B5C">
        <w:rPr>
          <w:rFonts w:cstheme="minorHAnsi"/>
          <w:color w:val="2F5496" w:themeColor="accent1" w:themeShade="BF"/>
          <w:sz w:val="24"/>
          <w:szCs w:val="24"/>
        </w:rPr>
        <w:t xml:space="preserve"> County</w:t>
      </w:r>
      <w:r w:rsidR="00414636">
        <w:rPr>
          <w:rStyle w:val="EndnoteReference"/>
          <w:rFonts w:cstheme="minorHAnsi"/>
          <w:color w:val="2F5496" w:themeColor="accent1" w:themeShade="BF"/>
          <w:sz w:val="24"/>
          <w:szCs w:val="24"/>
        </w:rPr>
        <w:endnoteReference w:id="2"/>
      </w:r>
    </w:p>
    <w:tbl>
      <w:tblPr>
        <w:tblStyle w:val="TableGrid"/>
        <w:tblW w:w="0" w:type="auto"/>
        <w:jc w:val="center"/>
        <w:tblLook w:val="04A0" w:firstRow="1" w:lastRow="0" w:firstColumn="1" w:lastColumn="0" w:noHBand="0" w:noVBand="1"/>
      </w:tblPr>
      <w:tblGrid>
        <w:gridCol w:w="2430"/>
        <w:gridCol w:w="1080"/>
        <w:gridCol w:w="1260"/>
        <w:gridCol w:w="1170"/>
        <w:gridCol w:w="1573"/>
      </w:tblGrid>
      <w:tr w:rsidR="00575025" w:rsidRPr="00575025" w14:paraId="1DB86DDE" w14:textId="77777777" w:rsidTr="00E4012B">
        <w:trPr>
          <w:cantSplit/>
          <w:tblHeader/>
          <w:jc w:val="center"/>
        </w:trPr>
        <w:tc>
          <w:tcPr>
            <w:tcW w:w="2430" w:type="dxa"/>
            <w:shd w:val="clear" w:color="auto" w:fill="BDD6EE" w:themeFill="accent5" w:themeFillTint="66"/>
            <w:vAlign w:val="bottom"/>
          </w:tcPr>
          <w:p w14:paraId="6DC408FD"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 xml:space="preserve"> County </w:t>
            </w:r>
          </w:p>
        </w:tc>
        <w:tc>
          <w:tcPr>
            <w:tcW w:w="1080" w:type="dxa"/>
            <w:shd w:val="clear" w:color="auto" w:fill="BDD6EE" w:themeFill="accent5" w:themeFillTint="66"/>
            <w:vAlign w:val="bottom"/>
          </w:tcPr>
          <w:p w14:paraId="1499D5A3"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2025</w:t>
            </w:r>
          </w:p>
        </w:tc>
        <w:tc>
          <w:tcPr>
            <w:tcW w:w="1260" w:type="dxa"/>
            <w:shd w:val="clear" w:color="auto" w:fill="BDD6EE" w:themeFill="accent5" w:themeFillTint="66"/>
            <w:vAlign w:val="bottom"/>
          </w:tcPr>
          <w:p w14:paraId="6CA58E47"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2030</w:t>
            </w:r>
          </w:p>
        </w:tc>
        <w:tc>
          <w:tcPr>
            <w:tcW w:w="1170" w:type="dxa"/>
            <w:shd w:val="clear" w:color="auto" w:fill="BDD6EE" w:themeFill="accent5" w:themeFillTint="66"/>
            <w:vAlign w:val="bottom"/>
          </w:tcPr>
          <w:p w14:paraId="26501F3F"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2035</w:t>
            </w:r>
          </w:p>
        </w:tc>
        <w:tc>
          <w:tcPr>
            <w:tcW w:w="1573" w:type="dxa"/>
            <w:shd w:val="clear" w:color="auto" w:fill="BDD6EE" w:themeFill="accent5" w:themeFillTint="66"/>
            <w:vAlign w:val="bottom"/>
          </w:tcPr>
          <w:p w14:paraId="6ACB8BA0"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 Change, 2025-35</w:t>
            </w:r>
          </w:p>
        </w:tc>
      </w:tr>
      <w:tr w:rsidR="00575025" w:rsidRPr="00575025" w14:paraId="6F74CFA1" w14:textId="77777777" w:rsidTr="00E4012B">
        <w:trPr>
          <w:cantSplit/>
          <w:jc w:val="center"/>
        </w:trPr>
        <w:tc>
          <w:tcPr>
            <w:tcW w:w="2430" w:type="dxa"/>
            <w:vAlign w:val="bottom"/>
          </w:tcPr>
          <w:p w14:paraId="475B9120" w14:textId="77777777" w:rsidR="00575025" w:rsidRPr="00575025" w:rsidRDefault="00575025" w:rsidP="005B484F">
            <w:pPr>
              <w:spacing w:line="259" w:lineRule="auto"/>
              <w:rPr>
                <w:rFonts w:cstheme="minorHAnsi"/>
                <w:sz w:val="24"/>
                <w:szCs w:val="24"/>
              </w:rPr>
            </w:pPr>
            <w:r w:rsidRPr="00575025">
              <w:rPr>
                <w:rFonts w:cstheme="minorHAnsi"/>
                <w:sz w:val="24"/>
                <w:szCs w:val="24"/>
              </w:rPr>
              <w:t xml:space="preserve"> Hampden </w:t>
            </w:r>
          </w:p>
        </w:tc>
        <w:tc>
          <w:tcPr>
            <w:tcW w:w="1080" w:type="dxa"/>
            <w:vAlign w:val="bottom"/>
          </w:tcPr>
          <w:p w14:paraId="1EDB4A4D" w14:textId="78DB9B15" w:rsidR="00575025" w:rsidRPr="00575025" w:rsidRDefault="00575025" w:rsidP="001E17E4">
            <w:pPr>
              <w:spacing w:line="259" w:lineRule="auto"/>
              <w:jc w:val="center"/>
              <w:rPr>
                <w:rFonts w:cstheme="minorHAnsi"/>
                <w:sz w:val="24"/>
                <w:szCs w:val="24"/>
              </w:rPr>
            </w:pPr>
            <w:r w:rsidRPr="00575025">
              <w:rPr>
                <w:rFonts w:cstheme="minorHAnsi"/>
                <w:sz w:val="24"/>
                <w:szCs w:val="24"/>
              </w:rPr>
              <w:t>95,637</w:t>
            </w:r>
          </w:p>
        </w:tc>
        <w:tc>
          <w:tcPr>
            <w:tcW w:w="1260" w:type="dxa"/>
            <w:vAlign w:val="bottom"/>
          </w:tcPr>
          <w:p w14:paraId="5DBE1EFF" w14:textId="7F446E0E" w:rsidR="00575025" w:rsidRPr="00575025" w:rsidRDefault="00575025" w:rsidP="001E17E4">
            <w:pPr>
              <w:spacing w:line="259" w:lineRule="auto"/>
              <w:jc w:val="center"/>
              <w:rPr>
                <w:rFonts w:cstheme="minorHAnsi"/>
                <w:sz w:val="24"/>
                <w:szCs w:val="24"/>
              </w:rPr>
            </w:pPr>
            <w:r w:rsidRPr="00575025">
              <w:rPr>
                <w:rFonts w:cstheme="minorHAnsi"/>
                <w:sz w:val="24"/>
                <w:szCs w:val="24"/>
              </w:rPr>
              <w:t>105,674</w:t>
            </w:r>
          </w:p>
        </w:tc>
        <w:tc>
          <w:tcPr>
            <w:tcW w:w="1170" w:type="dxa"/>
            <w:vAlign w:val="bottom"/>
          </w:tcPr>
          <w:p w14:paraId="61B81139" w14:textId="30B90187" w:rsidR="00575025" w:rsidRPr="00575025" w:rsidRDefault="00575025" w:rsidP="001E17E4">
            <w:pPr>
              <w:spacing w:line="259" w:lineRule="auto"/>
              <w:jc w:val="center"/>
              <w:rPr>
                <w:rFonts w:cstheme="minorHAnsi"/>
                <w:sz w:val="24"/>
                <w:szCs w:val="24"/>
              </w:rPr>
            </w:pPr>
            <w:r w:rsidRPr="00575025">
              <w:rPr>
                <w:rFonts w:cstheme="minorHAnsi"/>
                <w:sz w:val="24"/>
                <w:szCs w:val="24"/>
              </w:rPr>
              <w:t>111,180</w:t>
            </w:r>
          </w:p>
        </w:tc>
        <w:tc>
          <w:tcPr>
            <w:tcW w:w="1573" w:type="dxa"/>
            <w:vAlign w:val="bottom"/>
          </w:tcPr>
          <w:p w14:paraId="6D79A9D2" w14:textId="77777777" w:rsidR="00575025" w:rsidRPr="00575025" w:rsidRDefault="00575025" w:rsidP="001E17E4">
            <w:pPr>
              <w:spacing w:line="259" w:lineRule="auto"/>
              <w:jc w:val="center"/>
              <w:rPr>
                <w:rFonts w:cstheme="minorHAnsi"/>
                <w:sz w:val="24"/>
                <w:szCs w:val="24"/>
              </w:rPr>
            </w:pPr>
            <w:r w:rsidRPr="00575025">
              <w:rPr>
                <w:rFonts w:cstheme="minorHAnsi"/>
                <w:sz w:val="24"/>
                <w:szCs w:val="24"/>
              </w:rPr>
              <w:t>16.3%</w:t>
            </w:r>
          </w:p>
        </w:tc>
      </w:tr>
      <w:tr w:rsidR="00575025" w:rsidRPr="00575025" w14:paraId="2563DA5D" w14:textId="77777777" w:rsidTr="00E4012B">
        <w:trPr>
          <w:cantSplit/>
          <w:jc w:val="center"/>
        </w:trPr>
        <w:tc>
          <w:tcPr>
            <w:tcW w:w="2430" w:type="dxa"/>
            <w:vAlign w:val="bottom"/>
          </w:tcPr>
          <w:p w14:paraId="6F4E3485" w14:textId="77777777" w:rsidR="00575025" w:rsidRPr="00575025" w:rsidRDefault="00575025" w:rsidP="005B484F">
            <w:pPr>
              <w:spacing w:line="259" w:lineRule="auto"/>
              <w:rPr>
                <w:rFonts w:cstheme="minorHAnsi"/>
                <w:sz w:val="24"/>
                <w:szCs w:val="24"/>
              </w:rPr>
            </w:pPr>
            <w:r w:rsidRPr="00575025">
              <w:rPr>
                <w:rFonts w:cstheme="minorHAnsi"/>
                <w:sz w:val="24"/>
                <w:szCs w:val="24"/>
              </w:rPr>
              <w:t xml:space="preserve"> Hampshire </w:t>
            </w:r>
          </w:p>
        </w:tc>
        <w:tc>
          <w:tcPr>
            <w:tcW w:w="1080" w:type="dxa"/>
            <w:vAlign w:val="bottom"/>
          </w:tcPr>
          <w:p w14:paraId="2641B4D9" w14:textId="707DF292" w:rsidR="00575025" w:rsidRPr="00575025" w:rsidRDefault="00575025" w:rsidP="001E17E4">
            <w:pPr>
              <w:spacing w:line="259" w:lineRule="auto"/>
              <w:jc w:val="center"/>
              <w:rPr>
                <w:rFonts w:cstheme="minorHAnsi"/>
                <w:sz w:val="24"/>
                <w:szCs w:val="24"/>
              </w:rPr>
            </w:pPr>
            <w:r w:rsidRPr="00575025">
              <w:rPr>
                <w:rFonts w:cstheme="minorHAnsi"/>
                <w:sz w:val="24"/>
                <w:szCs w:val="24"/>
              </w:rPr>
              <w:t>36,174</w:t>
            </w:r>
          </w:p>
        </w:tc>
        <w:tc>
          <w:tcPr>
            <w:tcW w:w="1260" w:type="dxa"/>
            <w:vAlign w:val="bottom"/>
          </w:tcPr>
          <w:p w14:paraId="41C3BD47" w14:textId="7ED7B0BC" w:rsidR="00575025" w:rsidRPr="00575025" w:rsidRDefault="00575025" w:rsidP="001E17E4">
            <w:pPr>
              <w:spacing w:line="259" w:lineRule="auto"/>
              <w:jc w:val="center"/>
              <w:rPr>
                <w:rFonts w:cstheme="minorHAnsi"/>
                <w:sz w:val="24"/>
                <w:szCs w:val="24"/>
              </w:rPr>
            </w:pPr>
            <w:r w:rsidRPr="00575025">
              <w:rPr>
                <w:rFonts w:cstheme="minorHAnsi"/>
                <w:sz w:val="24"/>
                <w:szCs w:val="24"/>
              </w:rPr>
              <w:t>40,774</w:t>
            </w:r>
          </w:p>
        </w:tc>
        <w:tc>
          <w:tcPr>
            <w:tcW w:w="1170" w:type="dxa"/>
            <w:vAlign w:val="bottom"/>
          </w:tcPr>
          <w:p w14:paraId="0D411B79" w14:textId="39E90C0B" w:rsidR="00575025" w:rsidRPr="00575025" w:rsidRDefault="00575025" w:rsidP="001E17E4">
            <w:pPr>
              <w:spacing w:line="259" w:lineRule="auto"/>
              <w:jc w:val="center"/>
              <w:rPr>
                <w:rFonts w:cstheme="minorHAnsi"/>
                <w:sz w:val="24"/>
                <w:szCs w:val="24"/>
              </w:rPr>
            </w:pPr>
            <w:r w:rsidRPr="00575025">
              <w:rPr>
                <w:rFonts w:cstheme="minorHAnsi"/>
                <w:sz w:val="24"/>
                <w:szCs w:val="24"/>
              </w:rPr>
              <w:t>42,697</w:t>
            </w:r>
          </w:p>
        </w:tc>
        <w:tc>
          <w:tcPr>
            <w:tcW w:w="1573" w:type="dxa"/>
            <w:vAlign w:val="bottom"/>
          </w:tcPr>
          <w:p w14:paraId="15C799CC" w14:textId="77777777" w:rsidR="00575025" w:rsidRPr="00575025" w:rsidRDefault="00575025" w:rsidP="001E17E4">
            <w:pPr>
              <w:spacing w:line="259" w:lineRule="auto"/>
              <w:jc w:val="center"/>
              <w:rPr>
                <w:rFonts w:cstheme="minorHAnsi"/>
                <w:sz w:val="24"/>
                <w:szCs w:val="24"/>
              </w:rPr>
            </w:pPr>
            <w:r w:rsidRPr="00575025">
              <w:rPr>
                <w:rFonts w:cstheme="minorHAnsi"/>
                <w:sz w:val="24"/>
                <w:szCs w:val="24"/>
              </w:rPr>
              <w:t>18.0%</w:t>
            </w:r>
          </w:p>
        </w:tc>
      </w:tr>
      <w:tr w:rsidR="00575025" w:rsidRPr="00575025" w14:paraId="594DFD03" w14:textId="77777777" w:rsidTr="00E4012B">
        <w:trPr>
          <w:cantSplit/>
          <w:jc w:val="center"/>
        </w:trPr>
        <w:tc>
          <w:tcPr>
            <w:tcW w:w="2430" w:type="dxa"/>
            <w:vAlign w:val="bottom"/>
          </w:tcPr>
          <w:p w14:paraId="02BCDE8E"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 xml:space="preserve"> Total </w:t>
            </w:r>
          </w:p>
        </w:tc>
        <w:tc>
          <w:tcPr>
            <w:tcW w:w="1080" w:type="dxa"/>
            <w:vAlign w:val="bottom"/>
          </w:tcPr>
          <w:p w14:paraId="22B2ACFA" w14:textId="0F721A4E" w:rsidR="00575025" w:rsidRPr="00575025" w:rsidRDefault="00575025" w:rsidP="001E17E4">
            <w:pPr>
              <w:spacing w:line="259" w:lineRule="auto"/>
              <w:jc w:val="center"/>
              <w:rPr>
                <w:rFonts w:cstheme="minorHAnsi"/>
                <w:sz w:val="24"/>
                <w:szCs w:val="24"/>
              </w:rPr>
            </w:pPr>
            <w:r w:rsidRPr="00575025">
              <w:rPr>
                <w:rFonts w:cstheme="minorHAnsi"/>
                <w:b/>
                <w:bCs/>
                <w:sz w:val="24"/>
                <w:szCs w:val="24"/>
              </w:rPr>
              <w:t>131,811</w:t>
            </w:r>
          </w:p>
        </w:tc>
        <w:tc>
          <w:tcPr>
            <w:tcW w:w="1260" w:type="dxa"/>
            <w:vAlign w:val="bottom"/>
          </w:tcPr>
          <w:p w14:paraId="3BA2BFED" w14:textId="589E9A69" w:rsidR="00575025" w:rsidRPr="00575025" w:rsidRDefault="00575025" w:rsidP="001E17E4">
            <w:pPr>
              <w:spacing w:line="259" w:lineRule="auto"/>
              <w:jc w:val="center"/>
              <w:rPr>
                <w:rFonts w:cstheme="minorHAnsi"/>
                <w:sz w:val="24"/>
                <w:szCs w:val="24"/>
              </w:rPr>
            </w:pPr>
            <w:r w:rsidRPr="00575025">
              <w:rPr>
                <w:rFonts w:cstheme="minorHAnsi"/>
                <w:b/>
                <w:bCs/>
                <w:sz w:val="24"/>
                <w:szCs w:val="24"/>
              </w:rPr>
              <w:t>146,448</w:t>
            </w:r>
          </w:p>
        </w:tc>
        <w:tc>
          <w:tcPr>
            <w:tcW w:w="1170" w:type="dxa"/>
            <w:vAlign w:val="bottom"/>
          </w:tcPr>
          <w:p w14:paraId="6DA9AE0D" w14:textId="4641B0D4" w:rsidR="00575025" w:rsidRPr="00575025" w:rsidRDefault="00575025" w:rsidP="001E17E4">
            <w:pPr>
              <w:spacing w:line="259" w:lineRule="auto"/>
              <w:jc w:val="center"/>
              <w:rPr>
                <w:rFonts w:cstheme="minorHAnsi"/>
                <w:sz w:val="24"/>
                <w:szCs w:val="24"/>
              </w:rPr>
            </w:pPr>
            <w:r w:rsidRPr="00575025">
              <w:rPr>
                <w:rFonts w:cstheme="minorHAnsi"/>
                <w:b/>
                <w:bCs/>
                <w:sz w:val="24"/>
                <w:szCs w:val="24"/>
              </w:rPr>
              <w:t>153,877</w:t>
            </w:r>
          </w:p>
        </w:tc>
        <w:tc>
          <w:tcPr>
            <w:tcW w:w="1573" w:type="dxa"/>
            <w:vAlign w:val="bottom"/>
          </w:tcPr>
          <w:p w14:paraId="21872974"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16.7%</w:t>
            </w:r>
          </w:p>
        </w:tc>
      </w:tr>
      <w:tr w:rsidR="00575025" w:rsidRPr="00575025" w14:paraId="3EBEE69E" w14:textId="77777777" w:rsidTr="00E4012B">
        <w:trPr>
          <w:cantSplit/>
          <w:jc w:val="center"/>
        </w:trPr>
        <w:tc>
          <w:tcPr>
            <w:tcW w:w="2430" w:type="dxa"/>
            <w:vAlign w:val="bottom"/>
          </w:tcPr>
          <w:p w14:paraId="1FF04CEF" w14:textId="77777777" w:rsidR="00575025" w:rsidRPr="00575025" w:rsidRDefault="00575025" w:rsidP="005B484F">
            <w:pPr>
              <w:spacing w:line="259" w:lineRule="auto"/>
              <w:rPr>
                <w:rFonts w:cstheme="minorHAnsi"/>
                <w:sz w:val="24"/>
                <w:szCs w:val="24"/>
              </w:rPr>
            </w:pPr>
            <w:r w:rsidRPr="00575025">
              <w:rPr>
                <w:rFonts w:cstheme="minorHAnsi"/>
                <w:b/>
                <w:bCs/>
                <w:sz w:val="24"/>
                <w:szCs w:val="24"/>
              </w:rPr>
              <w:t xml:space="preserve"> 65+ as a Percent of Total Population </w:t>
            </w:r>
          </w:p>
        </w:tc>
        <w:tc>
          <w:tcPr>
            <w:tcW w:w="1080" w:type="dxa"/>
            <w:vAlign w:val="bottom"/>
          </w:tcPr>
          <w:p w14:paraId="60C4356E"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20.6%</w:t>
            </w:r>
          </w:p>
        </w:tc>
        <w:tc>
          <w:tcPr>
            <w:tcW w:w="1260" w:type="dxa"/>
            <w:vAlign w:val="bottom"/>
          </w:tcPr>
          <w:p w14:paraId="6242972C"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22.6%</w:t>
            </w:r>
          </w:p>
        </w:tc>
        <w:tc>
          <w:tcPr>
            <w:tcW w:w="1170" w:type="dxa"/>
            <w:vAlign w:val="bottom"/>
          </w:tcPr>
          <w:p w14:paraId="2FAE6780"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23.6%</w:t>
            </w:r>
          </w:p>
        </w:tc>
        <w:tc>
          <w:tcPr>
            <w:tcW w:w="1573" w:type="dxa"/>
            <w:vAlign w:val="bottom"/>
          </w:tcPr>
          <w:p w14:paraId="50C55E49" w14:textId="77777777" w:rsidR="00575025" w:rsidRPr="00575025" w:rsidRDefault="00575025" w:rsidP="001E17E4">
            <w:pPr>
              <w:spacing w:line="259" w:lineRule="auto"/>
              <w:jc w:val="center"/>
              <w:rPr>
                <w:rFonts w:cstheme="minorHAnsi"/>
                <w:sz w:val="24"/>
                <w:szCs w:val="24"/>
              </w:rPr>
            </w:pPr>
            <w:r w:rsidRPr="00575025">
              <w:rPr>
                <w:rFonts w:cstheme="minorHAnsi"/>
                <w:b/>
                <w:bCs/>
                <w:sz w:val="24"/>
                <w:szCs w:val="24"/>
              </w:rPr>
              <w:t>N/A</w:t>
            </w:r>
          </w:p>
        </w:tc>
      </w:tr>
    </w:tbl>
    <w:p w14:paraId="6E3E3E7D" w14:textId="77777777" w:rsidR="00267A96" w:rsidRPr="00267A96" w:rsidRDefault="00267A96" w:rsidP="00267A96">
      <w:pPr>
        <w:spacing w:after="0"/>
        <w:ind w:left="360"/>
        <w:rPr>
          <w:rFonts w:cstheme="minorHAnsi"/>
          <w:b/>
          <w:bCs/>
          <w:i/>
          <w:iCs/>
          <w:sz w:val="24"/>
          <w:szCs w:val="24"/>
        </w:rPr>
      </w:pPr>
    </w:p>
    <w:p w14:paraId="3AA4B38B" w14:textId="5DD923C6" w:rsidR="00036AB0" w:rsidRPr="00036AB0" w:rsidRDefault="00E1281F" w:rsidP="00036AB0">
      <w:pPr>
        <w:pStyle w:val="ListParagraph"/>
        <w:numPr>
          <w:ilvl w:val="0"/>
          <w:numId w:val="28"/>
        </w:numPr>
        <w:spacing w:after="0"/>
        <w:rPr>
          <w:rFonts w:cstheme="minorHAnsi"/>
          <w:b/>
          <w:bCs/>
          <w:i/>
          <w:iCs/>
          <w:sz w:val="24"/>
          <w:szCs w:val="24"/>
        </w:rPr>
      </w:pPr>
      <w:r>
        <w:rPr>
          <w:rFonts w:cstheme="minorHAnsi"/>
          <w:b/>
          <w:bCs/>
          <w:i/>
          <w:iCs/>
          <w:sz w:val="24"/>
          <w:szCs w:val="24"/>
        </w:rPr>
        <w:t xml:space="preserve">Importance of </w:t>
      </w:r>
      <w:r w:rsidR="00036AB0" w:rsidRPr="00036AB0">
        <w:rPr>
          <w:rFonts w:cstheme="minorHAnsi"/>
          <w:b/>
          <w:bCs/>
          <w:i/>
          <w:iCs/>
          <w:sz w:val="24"/>
          <w:szCs w:val="24"/>
        </w:rPr>
        <w:t xml:space="preserve">Proximity of Care for </w:t>
      </w:r>
      <w:r>
        <w:rPr>
          <w:rFonts w:cstheme="minorHAnsi"/>
          <w:b/>
          <w:bCs/>
          <w:i/>
          <w:iCs/>
          <w:sz w:val="24"/>
          <w:szCs w:val="24"/>
        </w:rPr>
        <w:t>Family Participation</w:t>
      </w:r>
    </w:p>
    <w:p w14:paraId="561CB3D1" w14:textId="7106AC22" w:rsidR="00802F78" w:rsidRPr="00575025" w:rsidRDefault="00575025" w:rsidP="00F16681">
      <w:pPr>
        <w:spacing w:after="0"/>
        <w:rPr>
          <w:rFonts w:cstheme="minorHAnsi"/>
          <w:sz w:val="24"/>
          <w:szCs w:val="24"/>
        </w:rPr>
      </w:pPr>
      <w:r w:rsidRPr="00575025">
        <w:rPr>
          <w:rFonts w:cstheme="minorHAnsi"/>
          <w:sz w:val="24"/>
          <w:szCs w:val="24"/>
        </w:rPr>
        <w:t xml:space="preserve">The ability for an IRF patient to receive care close to home is important because direct and active involvement by family and caregivers is a critical component of the patient’s nearly two-week intensive inpatient recovery and rehabilitation process. </w:t>
      </w:r>
      <w:r w:rsidR="008A1DA1" w:rsidRPr="00575025">
        <w:rPr>
          <w:rFonts w:cstheme="minorHAnsi"/>
          <w:sz w:val="24"/>
          <w:szCs w:val="24"/>
        </w:rPr>
        <w:t>The goal of a patient’s family</w:t>
      </w:r>
      <w:r w:rsidR="008A1DA1">
        <w:rPr>
          <w:rFonts w:cstheme="minorHAnsi"/>
          <w:sz w:val="24"/>
          <w:szCs w:val="24"/>
        </w:rPr>
        <w:t xml:space="preserve"> and caregiver </w:t>
      </w:r>
      <w:r w:rsidR="008A1DA1" w:rsidRPr="00575025">
        <w:rPr>
          <w:rFonts w:cstheme="minorHAnsi"/>
          <w:sz w:val="24"/>
          <w:szCs w:val="24"/>
        </w:rPr>
        <w:t xml:space="preserve">participation is to ensure a safe discharge home for the patient by providing the patient and his/her family with the knowledge and skills to adjust their lifestyle to meet the patient’s functional and cognitive capabilities when the patient returns home from the IRF. </w:t>
      </w:r>
    </w:p>
    <w:p w14:paraId="26CEA151" w14:textId="62B727D0" w:rsidR="008A1DA1" w:rsidRPr="00575025" w:rsidRDefault="008A1DA1" w:rsidP="008A1DA1">
      <w:pPr>
        <w:spacing w:after="0"/>
        <w:rPr>
          <w:rFonts w:cstheme="minorHAnsi"/>
          <w:sz w:val="24"/>
          <w:szCs w:val="24"/>
        </w:rPr>
      </w:pPr>
    </w:p>
    <w:p w14:paraId="579BCCC5" w14:textId="1F2601AC" w:rsidR="00381D21" w:rsidRPr="00381D21" w:rsidRDefault="00011642" w:rsidP="00381D21">
      <w:pPr>
        <w:spacing w:after="0"/>
        <w:rPr>
          <w:rFonts w:cstheme="minorHAnsi"/>
          <w:sz w:val="24"/>
          <w:szCs w:val="24"/>
        </w:rPr>
      </w:pPr>
      <w:r>
        <w:rPr>
          <w:rFonts w:cstheme="minorHAnsi"/>
          <w:sz w:val="24"/>
          <w:szCs w:val="24"/>
        </w:rPr>
        <w:t xml:space="preserve">Without </w:t>
      </w:r>
      <w:proofErr w:type="gramStart"/>
      <w:r w:rsidR="00575025" w:rsidRPr="00575025">
        <w:rPr>
          <w:rFonts w:cstheme="minorHAnsi"/>
          <w:sz w:val="24"/>
          <w:szCs w:val="24"/>
        </w:rPr>
        <w:t>a sufficient number of</w:t>
      </w:r>
      <w:proofErr w:type="gramEnd"/>
      <w:r w:rsidR="00575025" w:rsidRPr="00575025">
        <w:rPr>
          <w:rFonts w:cstheme="minorHAnsi"/>
          <w:sz w:val="24"/>
          <w:szCs w:val="24"/>
        </w:rPr>
        <w:t xml:space="preserve"> beds at Encompass Western Mass, patients </w:t>
      </w:r>
      <w:r w:rsidR="00B50292">
        <w:rPr>
          <w:rFonts w:cstheme="minorHAnsi"/>
          <w:sz w:val="24"/>
          <w:szCs w:val="24"/>
        </w:rPr>
        <w:t>must</w:t>
      </w:r>
      <w:r w:rsidR="00575025" w:rsidRPr="00575025">
        <w:rPr>
          <w:rFonts w:cstheme="minorHAnsi"/>
          <w:sz w:val="24"/>
          <w:szCs w:val="24"/>
        </w:rPr>
        <w:t xml:space="preserve"> travel outside of their local community to receive care for the wide array of complex medical conditions treated at the Hospital</w:t>
      </w:r>
      <w:r w:rsidR="00A96AEE">
        <w:rPr>
          <w:rFonts w:cstheme="minorHAnsi"/>
          <w:sz w:val="24"/>
          <w:szCs w:val="24"/>
        </w:rPr>
        <w:t xml:space="preserve">. </w:t>
      </w:r>
      <w:r w:rsidR="00C323B6">
        <w:rPr>
          <w:rFonts w:cstheme="minorHAnsi"/>
          <w:sz w:val="24"/>
          <w:szCs w:val="24"/>
        </w:rPr>
        <w:t>This</w:t>
      </w:r>
      <w:r w:rsidR="00C323B6" w:rsidRPr="00575025">
        <w:rPr>
          <w:rFonts w:cstheme="minorHAnsi"/>
          <w:sz w:val="24"/>
          <w:szCs w:val="24"/>
        </w:rPr>
        <w:t xml:space="preserve"> would create hardship on patients’ families and caregivers, including the senior population which comprises the vast majority of IRF patients.</w:t>
      </w:r>
      <w:r w:rsidR="00C323B6">
        <w:rPr>
          <w:rFonts w:cstheme="minorHAnsi"/>
          <w:sz w:val="24"/>
          <w:szCs w:val="24"/>
        </w:rPr>
        <w:t xml:space="preserve"> The table below shows the distances</w:t>
      </w:r>
      <w:r w:rsidR="008F629D">
        <w:rPr>
          <w:rFonts w:cstheme="minorHAnsi"/>
          <w:sz w:val="24"/>
          <w:szCs w:val="24"/>
        </w:rPr>
        <w:t xml:space="preserve"> from </w:t>
      </w:r>
      <w:r w:rsidR="003E12E7">
        <w:rPr>
          <w:rFonts w:cstheme="minorHAnsi"/>
          <w:sz w:val="24"/>
          <w:szCs w:val="24"/>
        </w:rPr>
        <w:t xml:space="preserve">Encompass </w:t>
      </w:r>
      <w:r w:rsidR="008F629D">
        <w:rPr>
          <w:rFonts w:cstheme="minorHAnsi"/>
          <w:sz w:val="24"/>
          <w:szCs w:val="24"/>
        </w:rPr>
        <w:t xml:space="preserve">Western Mass to other </w:t>
      </w:r>
      <w:r w:rsidR="00E2628E">
        <w:rPr>
          <w:rFonts w:cstheme="minorHAnsi"/>
          <w:sz w:val="24"/>
          <w:szCs w:val="24"/>
        </w:rPr>
        <w:t xml:space="preserve">Encompass Hospitals providing </w:t>
      </w:r>
      <w:r w:rsidR="00C63D6B">
        <w:rPr>
          <w:rFonts w:cstheme="minorHAnsi"/>
          <w:sz w:val="24"/>
          <w:szCs w:val="24"/>
        </w:rPr>
        <w:t>equivalent services</w:t>
      </w:r>
      <w:r w:rsidR="00381D21" w:rsidRPr="00381D21">
        <w:rPr>
          <w:rFonts w:cstheme="minorHAnsi"/>
          <w:sz w:val="24"/>
          <w:szCs w:val="24"/>
        </w:rPr>
        <w:t xml:space="preserve">. </w:t>
      </w:r>
    </w:p>
    <w:p w14:paraId="0F0B7B55" w14:textId="77777777" w:rsidR="00381D21" w:rsidRDefault="00381D21" w:rsidP="00381D21">
      <w:pPr>
        <w:rPr>
          <w:rFonts w:ascii="Times New Roman" w:hAnsi="Times New Roman" w:cs="Times New Roman"/>
          <w:b/>
          <w:bCs/>
          <w:sz w:val="24"/>
          <w:szCs w:val="24"/>
        </w:rPr>
      </w:pPr>
    </w:p>
    <w:p w14:paraId="46873695" w14:textId="4737E2D1" w:rsidR="00381D21" w:rsidRPr="00381D21" w:rsidRDefault="00381D21" w:rsidP="00EE1D2A">
      <w:pPr>
        <w:jc w:val="center"/>
        <w:rPr>
          <w:rFonts w:cstheme="minorHAnsi"/>
          <w:b/>
          <w:bCs/>
          <w:sz w:val="24"/>
          <w:szCs w:val="24"/>
        </w:rPr>
      </w:pPr>
      <w:r w:rsidRPr="00EE1D2A">
        <w:rPr>
          <w:rFonts w:cstheme="minorHAnsi"/>
          <w:b/>
          <w:bCs/>
          <w:color w:val="2F5496" w:themeColor="accent1" w:themeShade="BF"/>
          <w:sz w:val="24"/>
          <w:szCs w:val="24"/>
          <w:u w:val="single"/>
        </w:rPr>
        <w:t>Table</w:t>
      </w:r>
      <w:r w:rsidR="00EE1D2A" w:rsidRPr="00EE1D2A">
        <w:rPr>
          <w:rFonts w:cstheme="minorHAnsi"/>
          <w:b/>
          <w:bCs/>
          <w:color w:val="2F5496" w:themeColor="accent1" w:themeShade="BF"/>
          <w:sz w:val="24"/>
          <w:szCs w:val="24"/>
          <w:u w:val="single"/>
        </w:rPr>
        <w:t xml:space="preserve"> 8</w:t>
      </w:r>
      <w:r w:rsidRPr="00EE1D2A">
        <w:rPr>
          <w:rFonts w:cstheme="minorHAnsi"/>
          <w:b/>
          <w:bCs/>
          <w:color w:val="2F5496" w:themeColor="accent1" w:themeShade="BF"/>
          <w:sz w:val="24"/>
          <w:szCs w:val="24"/>
          <w:u w:val="single"/>
        </w:rPr>
        <w:t>:</w:t>
      </w:r>
      <w:r w:rsidRPr="00EE1D2A">
        <w:rPr>
          <w:rFonts w:cstheme="minorHAnsi"/>
          <w:b/>
          <w:bCs/>
          <w:color w:val="2F5496" w:themeColor="accent1" w:themeShade="BF"/>
          <w:sz w:val="24"/>
          <w:szCs w:val="24"/>
        </w:rPr>
        <w:t xml:space="preserve"> Distances from Encompass Western Mass to Other Encompass</w:t>
      </w:r>
      <w:r w:rsidR="00EE1D2A">
        <w:rPr>
          <w:rFonts w:cstheme="minorHAnsi"/>
          <w:b/>
          <w:bCs/>
          <w:color w:val="2F5496" w:themeColor="accent1" w:themeShade="BF"/>
          <w:sz w:val="24"/>
          <w:szCs w:val="24"/>
        </w:rPr>
        <w:t xml:space="preserve"> </w:t>
      </w:r>
      <w:r w:rsidRPr="00EE1D2A">
        <w:rPr>
          <w:rFonts w:cstheme="minorHAnsi"/>
          <w:b/>
          <w:bCs/>
          <w:color w:val="2F5496" w:themeColor="accent1" w:themeShade="BF"/>
          <w:sz w:val="24"/>
          <w:szCs w:val="24"/>
        </w:rPr>
        <w:t>MA Facilities</w:t>
      </w:r>
      <w:r w:rsidRPr="00EE1D2A">
        <w:rPr>
          <w:rStyle w:val="FootnoteReference"/>
          <w:rFonts w:cstheme="minorHAnsi"/>
          <w:b/>
          <w:bCs/>
          <w:color w:val="1F4E79" w:themeColor="accent5" w:themeShade="80"/>
          <w:sz w:val="24"/>
          <w:szCs w:val="24"/>
        </w:rPr>
        <w:footnoteReference w:id="19"/>
      </w:r>
    </w:p>
    <w:tbl>
      <w:tblPr>
        <w:tblStyle w:val="TableGrid"/>
        <w:tblW w:w="10255" w:type="dxa"/>
        <w:tblLook w:val="04A0" w:firstRow="1" w:lastRow="0" w:firstColumn="1" w:lastColumn="0" w:noHBand="0" w:noVBand="1"/>
      </w:tblPr>
      <w:tblGrid>
        <w:gridCol w:w="5215"/>
        <w:gridCol w:w="1620"/>
        <w:gridCol w:w="1620"/>
        <w:gridCol w:w="1800"/>
      </w:tblGrid>
      <w:tr w:rsidR="00381D21" w:rsidRPr="00381D21" w14:paraId="7A29D53E" w14:textId="77777777" w:rsidTr="00E4012B">
        <w:trPr>
          <w:cantSplit/>
          <w:trHeight w:val="440"/>
          <w:tblHeader/>
        </w:trPr>
        <w:tc>
          <w:tcPr>
            <w:tcW w:w="5215" w:type="dxa"/>
            <w:shd w:val="clear" w:color="auto" w:fill="9CC2E5" w:themeFill="accent5" w:themeFillTint="99"/>
            <w:vAlign w:val="center"/>
          </w:tcPr>
          <w:p w14:paraId="4C45CFA4" w14:textId="77777777" w:rsidR="00381D21" w:rsidRPr="00381D21" w:rsidRDefault="00381D21" w:rsidP="00EE1D2A">
            <w:pPr>
              <w:spacing w:line="259" w:lineRule="auto"/>
              <w:jc w:val="center"/>
              <w:rPr>
                <w:rFonts w:cstheme="minorHAnsi"/>
                <w:b/>
                <w:bCs/>
                <w:sz w:val="24"/>
                <w:szCs w:val="24"/>
              </w:rPr>
            </w:pPr>
            <w:r w:rsidRPr="00381D21">
              <w:rPr>
                <w:rFonts w:cstheme="minorHAnsi"/>
                <w:b/>
                <w:bCs/>
                <w:sz w:val="24"/>
                <w:szCs w:val="24"/>
              </w:rPr>
              <w:t>Encompass Rehab Hospital</w:t>
            </w:r>
          </w:p>
        </w:tc>
        <w:tc>
          <w:tcPr>
            <w:tcW w:w="1620" w:type="dxa"/>
            <w:shd w:val="clear" w:color="auto" w:fill="9CC2E5" w:themeFill="accent5" w:themeFillTint="99"/>
            <w:vAlign w:val="center"/>
          </w:tcPr>
          <w:p w14:paraId="2D3B946E" w14:textId="77777777" w:rsidR="00381D21" w:rsidRPr="00381D21" w:rsidRDefault="00381D21" w:rsidP="00EE1D2A">
            <w:pPr>
              <w:spacing w:line="259" w:lineRule="auto"/>
              <w:jc w:val="center"/>
              <w:rPr>
                <w:rFonts w:cstheme="minorHAnsi"/>
                <w:b/>
                <w:bCs/>
                <w:sz w:val="24"/>
                <w:szCs w:val="24"/>
              </w:rPr>
            </w:pPr>
            <w:r w:rsidRPr="00381D21">
              <w:rPr>
                <w:rFonts w:cstheme="minorHAnsi"/>
                <w:b/>
                <w:bCs/>
                <w:sz w:val="24"/>
                <w:szCs w:val="24"/>
              </w:rPr>
              <w:t>Main Campus</w:t>
            </w:r>
          </w:p>
        </w:tc>
        <w:tc>
          <w:tcPr>
            <w:tcW w:w="1620" w:type="dxa"/>
            <w:shd w:val="clear" w:color="auto" w:fill="9CC2E5" w:themeFill="accent5" w:themeFillTint="99"/>
            <w:vAlign w:val="center"/>
          </w:tcPr>
          <w:p w14:paraId="61BA0F3C" w14:textId="77777777" w:rsidR="00381D21" w:rsidRPr="00381D21" w:rsidRDefault="00381D21" w:rsidP="00EE1D2A">
            <w:pPr>
              <w:spacing w:line="259" w:lineRule="auto"/>
              <w:jc w:val="center"/>
              <w:rPr>
                <w:rFonts w:cstheme="minorHAnsi"/>
                <w:b/>
                <w:bCs/>
                <w:sz w:val="24"/>
                <w:szCs w:val="24"/>
              </w:rPr>
            </w:pPr>
            <w:r w:rsidRPr="00381D21">
              <w:rPr>
                <w:rFonts w:cstheme="minorHAnsi"/>
                <w:b/>
                <w:bCs/>
                <w:sz w:val="24"/>
                <w:szCs w:val="24"/>
              </w:rPr>
              <w:t>Driving Distance</w:t>
            </w:r>
          </w:p>
        </w:tc>
        <w:tc>
          <w:tcPr>
            <w:tcW w:w="1800" w:type="dxa"/>
            <w:shd w:val="clear" w:color="auto" w:fill="9CC2E5" w:themeFill="accent5" w:themeFillTint="99"/>
            <w:vAlign w:val="center"/>
          </w:tcPr>
          <w:p w14:paraId="39E75161" w14:textId="77777777" w:rsidR="00381D21" w:rsidRPr="00381D21" w:rsidRDefault="00381D21" w:rsidP="00EE1D2A">
            <w:pPr>
              <w:spacing w:line="259" w:lineRule="auto"/>
              <w:jc w:val="center"/>
              <w:rPr>
                <w:rFonts w:cstheme="minorHAnsi"/>
                <w:b/>
                <w:bCs/>
                <w:sz w:val="24"/>
                <w:szCs w:val="24"/>
              </w:rPr>
            </w:pPr>
            <w:r w:rsidRPr="00381D21">
              <w:rPr>
                <w:rFonts w:cstheme="minorHAnsi"/>
                <w:b/>
                <w:bCs/>
                <w:sz w:val="24"/>
                <w:szCs w:val="24"/>
              </w:rPr>
              <w:t>Time</w:t>
            </w:r>
          </w:p>
        </w:tc>
      </w:tr>
      <w:tr w:rsidR="00381D21" w:rsidRPr="00381D21" w14:paraId="335A6003" w14:textId="77777777" w:rsidTr="00E4012B">
        <w:trPr>
          <w:cantSplit/>
          <w:trHeight w:val="386"/>
        </w:trPr>
        <w:tc>
          <w:tcPr>
            <w:tcW w:w="5215" w:type="dxa"/>
            <w:vAlign w:val="center"/>
          </w:tcPr>
          <w:p w14:paraId="31E6B804" w14:textId="77777777" w:rsidR="00381D21" w:rsidRPr="00381D21" w:rsidRDefault="00381D21" w:rsidP="00823678">
            <w:pPr>
              <w:rPr>
                <w:rFonts w:cstheme="minorHAnsi"/>
                <w:sz w:val="24"/>
                <w:szCs w:val="24"/>
              </w:rPr>
            </w:pPr>
            <w:r w:rsidRPr="00381D21">
              <w:rPr>
                <w:rFonts w:cstheme="minorHAnsi"/>
                <w:sz w:val="24"/>
                <w:szCs w:val="24"/>
              </w:rPr>
              <w:t>Fairlawn Rehabilitation Hospital</w:t>
            </w:r>
          </w:p>
        </w:tc>
        <w:tc>
          <w:tcPr>
            <w:tcW w:w="1620" w:type="dxa"/>
            <w:vAlign w:val="center"/>
          </w:tcPr>
          <w:p w14:paraId="7B2E3B1B" w14:textId="77777777" w:rsidR="00381D21" w:rsidRPr="00381D21" w:rsidRDefault="00381D21" w:rsidP="00823678">
            <w:pPr>
              <w:rPr>
                <w:rFonts w:cstheme="minorHAnsi"/>
                <w:sz w:val="24"/>
                <w:szCs w:val="24"/>
              </w:rPr>
            </w:pPr>
            <w:r w:rsidRPr="00381D21">
              <w:rPr>
                <w:rFonts w:cstheme="minorHAnsi"/>
                <w:sz w:val="24"/>
                <w:szCs w:val="24"/>
              </w:rPr>
              <w:t>Worcester</w:t>
            </w:r>
          </w:p>
        </w:tc>
        <w:tc>
          <w:tcPr>
            <w:tcW w:w="1620" w:type="dxa"/>
            <w:vAlign w:val="center"/>
          </w:tcPr>
          <w:p w14:paraId="379E69DA" w14:textId="77777777" w:rsidR="00381D21" w:rsidRPr="00381D21" w:rsidRDefault="00381D21" w:rsidP="00823678">
            <w:pPr>
              <w:rPr>
                <w:rFonts w:cstheme="minorHAnsi"/>
                <w:sz w:val="24"/>
                <w:szCs w:val="24"/>
              </w:rPr>
            </w:pPr>
            <w:r w:rsidRPr="00381D21">
              <w:rPr>
                <w:rFonts w:cstheme="minorHAnsi"/>
                <w:sz w:val="24"/>
                <w:szCs w:val="24"/>
              </w:rPr>
              <w:t>44.7 miles</w:t>
            </w:r>
          </w:p>
        </w:tc>
        <w:tc>
          <w:tcPr>
            <w:tcW w:w="1800" w:type="dxa"/>
            <w:vAlign w:val="center"/>
          </w:tcPr>
          <w:p w14:paraId="534FB187" w14:textId="77777777" w:rsidR="00381D21" w:rsidRPr="00381D21" w:rsidRDefault="00381D21" w:rsidP="00823678">
            <w:pPr>
              <w:rPr>
                <w:rFonts w:cstheme="minorHAnsi"/>
                <w:sz w:val="24"/>
                <w:szCs w:val="24"/>
              </w:rPr>
            </w:pPr>
            <w:r w:rsidRPr="00381D21">
              <w:rPr>
                <w:rFonts w:cstheme="minorHAnsi"/>
                <w:sz w:val="24"/>
                <w:szCs w:val="24"/>
              </w:rPr>
              <w:t>53 minutes</w:t>
            </w:r>
          </w:p>
        </w:tc>
      </w:tr>
      <w:tr w:rsidR="00381D21" w:rsidRPr="00381D21" w14:paraId="1F8A0293" w14:textId="77777777" w:rsidTr="00E4012B">
        <w:trPr>
          <w:cantSplit/>
          <w:trHeight w:val="350"/>
        </w:trPr>
        <w:tc>
          <w:tcPr>
            <w:tcW w:w="5215" w:type="dxa"/>
            <w:vAlign w:val="center"/>
          </w:tcPr>
          <w:p w14:paraId="2D221002" w14:textId="77777777" w:rsidR="00381D21" w:rsidRPr="00381D21" w:rsidRDefault="00381D21" w:rsidP="00823678">
            <w:pPr>
              <w:rPr>
                <w:rFonts w:cstheme="minorHAnsi"/>
                <w:b/>
                <w:bCs/>
                <w:sz w:val="24"/>
                <w:szCs w:val="24"/>
              </w:rPr>
            </w:pPr>
            <w:r w:rsidRPr="00381D21">
              <w:rPr>
                <w:rFonts w:cstheme="minorHAnsi"/>
                <w:sz w:val="24"/>
                <w:szCs w:val="24"/>
              </w:rPr>
              <w:t>Encompass Health Rehab Hospital of New England</w:t>
            </w:r>
          </w:p>
        </w:tc>
        <w:tc>
          <w:tcPr>
            <w:tcW w:w="1620" w:type="dxa"/>
            <w:vAlign w:val="center"/>
          </w:tcPr>
          <w:p w14:paraId="0ECCEA0E" w14:textId="77777777" w:rsidR="00381D21" w:rsidRPr="00381D21" w:rsidRDefault="00381D21" w:rsidP="00823678">
            <w:pPr>
              <w:rPr>
                <w:rFonts w:cstheme="minorHAnsi"/>
                <w:sz w:val="24"/>
                <w:szCs w:val="24"/>
              </w:rPr>
            </w:pPr>
            <w:r w:rsidRPr="00381D21">
              <w:rPr>
                <w:rFonts w:cstheme="minorHAnsi"/>
                <w:sz w:val="24"/>
                <w:szCs w:val="24"/>
              </w:rPr>
              <w:t>Woburn</w:t>
            </w:r>
          </w:p>
        </w:tc>
        <w:tc>
          <w:tcPr>
            <w:tcW w:w="1620" w:type="dxa"/>
            <w:vAlign w:val="center"/>
          </w:tcPr>
          <w:p w14:paraId="663BDFF1" w14:textId="77777777" w:rsidR="00381D21" w:rsidRPr="00381D21" w:rsidRDefault="00381D21" w:rsidP="00823678">
            <w:pPr>
              <w:rPr>
                <w:rFonts w:cstheme="minorHAnsi"/>
                <w:sz w:val="24"/>
                <w:szCs w:val="24"/>
              </w:rPr>
            </w:pPr>
            <w:r w:rsidRPr="00381D21">
              <w:rPr>
                <w:rFonts w:cstheme="minorHAnsi"/>
                <w:sz w:val="24"/>
                <w:szCs w:val="24"/>
              </w:rPr>
              <w:t>85.0 miles</w:t>
            </w:r>
          </w:p>
        </w:tc>
        <w:tc>
          <w:tcPr>
            <w:tcW w:w="1800" w:type="dxa"/>
            <w:vAlign w:val="center"/>
          </w:tcPr>
          <w:p w14:paraId="220B1DFC" w14:textId="77777777" w:rsidR="00381D21" w:rsidRPr="00381D21" w:rsidRDefault="00381D21" w:rsidP="00823678">
            <w:pPr>
              <w:rPr>
                <w:rFonts w:cstheme="minorHAnsi"/>
                <w:sz w:val="24"/>
                <w:szCs w:val="24"/>
              </w:rPr>
            </w:pPr>
            <w:r w:rsidRPr="00381D21">
              <w:rPr>
                <w:rFonts w:cstheme="minorHAnsi"/>
                <w:sz w:val="24"/>
                <w:szCs w:val="24"/>
              </w:rPr>
              <w:t>1 hour, 28 min</w:t>
            </w:r>
          </w:p>
        </w:tc>
      </w:tr>
      <w:tr w:rsidR="00381D21" w:rsidRPr="00381D21" w14:paraId="0FCB4562" w14:textId="77777777" w:rsidTr="00E4012B">
        <w:trPr>
          <w:cantSplit/>
          <w:trHeight w:val="350"/>
        </w:trPr>
        <w:tc>
          <w:tcPr>
            <w:tcW w:w="5215" w:type="dxa"/>
            <w:vAlign w:val="center"/>
          </w:tcPr>
          <w:p w14:paraId="0C917375" w14:textId="77777777" w:rsidR="00381D21" w:rsidRPr="00381D21" w:rsidRDefault="00381D21" w:rsidP="00823678">
            <w:pPr>
              <w:rPr>
                <w:rFonts w:cstheme="minorHAnsi"/>
                <w:b/>
                <w:bCs/>
                <w:sz w:val="24"/>
                <w:szCs w:val="24"/>
              </w:rPr>
            </w:pPr>
            <w:r w:rsidRPr="00381D21">
              <w:rPr>
                <w:rFonts w:cstheme="minorHAnsi"/>
                <w:sz w:val="24"/>
                <w:szCs w:val="24"/>
              </w:rPr>
              <w:t>Encompass Health Rehab Hospital of Braintree</w:t>
            </w:r>
          </w:p>
        </w:tc>
        <w:tc>
          <w:tcPr>
            <w:tcW w:w="1620" w:type="dxa"/>
            <w:vAlign w:val="center"/>
          </w:tcPr>
          <w:p w14:paraId="43070FDE" w14:textId="77777777" w:rsidR="00381D21" w:rsidRPr="00381D21" w:rsidRDefault="00381D21" w:rsidP="00823678">
            <w:pPr>
              <w:rPr>
                <w:rFonts w:cstheme="minorHAnsi"/>
                <w:sz w:val="24"/>
                <w:szCs w:val="24"/>
              </w:rPr>
            </w:pPr>
            <w:r w:rsidRPr="00381D21">
              <w:rPr>
                <w:rFonts w:cstheme="minorHAnsi"/>
                <w:sz w:val="24"/>
                <w:szCs w:val="24"/>
              </w:rPr>
              <w:t>Braintree</w:t>
            </w:r>
          </w:p>
        </w:tc>
        <w:tc>
          <w:tcPr>
            <w:tcW w:w="1620" w:type="dxa"/>
            <w:vAlign w:val="center"/>
          </w:tcPr>
          <w:p w14:paraId="00F8929E" w14:textId="77777777" w:rsidR="00381D21" w:rsidRPr="00381D21" w:rsidRDefault="00381D21" w:rsidP="00381D21">
            <w:pPr>
              <w:pStyle w:val="ListParagraph"/>
              <w:numPr>
                <w:ilvl w:val="1"/>
                <w:numId w:val="44"/>
              </w:numPr>
              <w:rPr>
                <w:rFonts w:cstheme="minorHAnsi"/>
                <w:sz w:val="24"/>
                <w:szCs w:val="24"/>
              </w:rPr>
            </w:pPr>
            <w:r w:rsidRPr="00381D21">
              <w:rPr>
                <w:rFonts w:cstheme="minorHAnsi"/>
                <w:sz w:val="24"/>
                <w:szCs w:val="24"/>
              </w:rPr>
              <w:t>miles</w:t>
            </w:r>
          </w:p>
        </w:tc>
        <w:tc>
          <w:tcPr>
            <w:tcW w:w="1800" w:type="dxa"/>
            <w:vAlign w:val="center"/>
          </w:tcPr>
          <w:p w14:paraId="5B1D5824" w14:textId="77777777" w:rsidR="00381D21" w:rsidRPr="00381D21" w:rsidRDefault="00381D21" w:rsidP="00823678">
            <w:pPr>
              <w:rPr>
                <w:rFonts w:cstheme="minorHAnsi"/>
                <w:sz w:val="24"/>
                <w:szCs w:val="24"/>
              </w:rPr>
            </w:pPr>
            <w:r w:rsidRPr="00381D21">
              <w:rPr>
                <w:rFonts w:cstheme="minorHAnsi"/>
                <w:sz w:val="24"/>
                <w:szCs w:val="24"/>
              </w:rPr>
              <w:t>1 hour, 29 min</w:t>
            </w:r>
          </w:p>
        </w:tc>
      </w:tr>
    </w:tbl>
    <w:p w14:paraId="68C515E3" w14:textId="73C751E0" w:rsidR="00381D21" w:rsidRDefault="00381D21" w:rsidP="00575025">
      <w:pPr>
        <w:spacing w:after="0"/>
        <w:rPr>
          <w:rFonts w:cstheme="minorHAnsi"/>
          <w:sz w:val="24"/>
          <w:szCs w:val="24"/>
        </w:rPr>
      </w:pPr>
    </w:p>
    <w:p w14:paraId="5344DB6D" w14:textId="1DBBFBCD" w:rsidR="00CE7B5E" w:rsidRDefault="00892057" w:rsidP="0086541A">
      <w:pPr>
        <w:spacing w:after="0"/>
        <w:rPr>
          <w:rFonts w:cstheme="minorHAnsi"/>
          <w:sz w:val="24"/>
          <w:szCs w:val="24"/>
        </w:rPr>
      </w:pPr>
      <w:r>
        <w:rPr>
          <w:rFonts w:cstheme="minorHAnsi"/>
          <w:sz w:val="24"/>
          <w:szCs w:val="24"/>
        </w:rPr>
        <w:t>The Applicant explains tha</w:t>
      </w:r>
      <w:r w:rsidR="004F6E2A">
        <w:rPr>
          <w:rFonts w:cstheme="minorHAnsi"/>
          <w:sz w:val="24"/>
          <w:szCs w:val="24"/>
        </w:rPr>
        <w:t>t while</w:t>
      </w:r>
      <w:r w:rsidR="00CE7B5E" w:rsidRPr="00892057">
        <w:rPr>
          <w:rFonts w:cstheme="minorHAnsi"/>
          <w:sz w:val="24"/>
          <w:szCs w:val="24"/>
        </w:rPr>
        <w:t xml:space="preserve"> there may be geographically closer options for patients in need of IRF services, </w:t>
      </w:r>
      <w:r w:rsidR="004F6E2A" w:rsidRPr="00892057">
        <w:rPr>
          <w:rFonts w:cstheme="minorHAnsi"/>
          <w:sz w:val="24"/>
          <w:szCs w:val="24"/>
        </w:rPr>
        <w:t>the nearest IRF options are units of acute care hospitals and therefore serve a more limited number of patients annually</w:t>
      </w:r>
      <w:r w:rsidR="00C63D6B">
        <w:rPr>
          <w:rFonts w:cstheme="minorHAnsi"/>
          <w:sz w:val="24"/>
          <w:szCs w:val="24"/>
        </w:rPr>
        <w:t>,</w:t>
      </w:r>
      <w:r w:rsidR="00CE7B5E" w:rsidRPr="00892057">
        <w:rPr>
          <w:rFonts w:cstheme="minorHAnsi"/>
          <w:sz w:val="24"/>
          <w:szCs w:val="24"/>
        </w:rPr>
        <w:t xml:space="preserve"> predominantly car</w:t>
      </w:r>
      <w:r w:rsidR="00C63D6B">
        <w:rPr>
          <w:rFonts w:cstheme="minorHAnsi"/>
          <w:sz w:val="24"/>
          <w:szCs w:val="24"/>
        </w:rPr>
        <w:t>ing</w:t>
      </w:r>
      <w:r w:rsidR="00CE7B5E" w:rsidRPr="00892057">
        <w:rPr>
          <w:rFonts w:cstheme="minorHAnsi"/>
          <w:sz w:val="24"/>
          <w:szCs w:val="24"/>
        </w:rPr>
        <w:t xml:space="preserve"> for stroke and orthopedic patients.</w:t>
      </w:r>
      <w:r w:rsidR="0086541A">
        <w:rPr>
          <w:rFonts w:cstheme="minorHAnsi"/>
          <w:sz w:val="24"/>
          <w:szCs w:val="24"/>
        </w:rPr>
        <w:t xml:space="preserve"> </w:t>
      </w:r>
      <w:r w:rsidR="001A20A3">
        <w:rPr>
          <w:rFonts w:cstheme="minorHAnsi"/>
          <w:sz w:val="24"/>
          <w:szCs w:val="24"/>
        </w:rPr>
        <w:t xml:space="preserve">As detailed in Table 9, </w:t>
      </w:r>
      <w:r w:rsidR="0086541A">
        <w:rPr>
          <w:rFonts w:cstheme="minorHAnsi"/>
          <w:sz w:val="24"/>
          <w:szCs w:val="24"/>
        </w:rPr>
        <w:t xml:space="preserve">Encompass Western Mass </w:t>
      </w:r>
      <w:r w:rsidR="00D20C9E">
        <w:rPr>
          <w:rFonts w:cstheme="minorHAnsi"/>
          <w:sz w:val="24"/>
          <w:szCs w:val="24"/>
        </w:rPr>
        <w:t>regularly</w:t>
      </w:r>
      <w:r w:rsidR="0086541A">
        <w:rPr>
          <w:rFonts w:cstheme="minorHAnsi"/>
          <w:sz w:val="24"/>
          <w:szCs w:val="24"/>
        </w:rPr>
        <w:t xml:space="preserve"> provide</w:t>
      </w:r>
      <w:r w:rsidR="00D20C9E">
        <w:rPr>
          <w:rFonts w:cstheme="minorHAnsi"/>
          <w:sz w:val="24"/>
          <w:szCs w:val="24"/>
        </w:rPr>
        <w:t>s</w:t>
      </w:r>
      <w:r w:rsidR="0086541A">
        <w:rPr>
          <w:rFonts w:cstheme="minorHAnsi"/>
          <w:sz w:val="24"/>
          <w:szCs w:val="24"/>
        </w:rPr>
        <w:t xml:space="preserve"> a wider array of services than the local IRF units in acute care hospitals.</w:t>
      </w:r>
    </w:p>
    <w:p w14:paraId="3079D015" w14:textId="77777777" w:rsidR="0086541A" w:rsidRPr="0086541A" w:rsidRDefault="0086541A" w:rsidP="0086541A">
      <w:pPr>
        <w:spacing w:after="0"/>
        <w:rPr>
          <w:rFonts w:cstheme="minorHAnsi"/>
          <w:sz w:val="24"/>
          <w:szCs w:val="24"/>
        </w:rPr>
      </w:pPr>
    </w:p>
    <w:p w14:paraId="13A2C209" w14:textId="04A29BF3" w:rsidR="00B84B50" w:rsidRPr="00EE1D2A" w:rsidRDefault="00CE7B5E" w:rsidP="00EE1D2A">
      <w:pPr>
        <w:jc w:val="center"/>
        <w:rPr>
          <w:rFonts w:cstheme="minorHAnsi"/>
          <w:b/>
          <w:bCs/>
          <w:color w:val="2F5496" w:themeColor="accent1" w:themeShade="BF"/>
          <w:sz w:val="24"/>
          <w:szCs w:val="24"/>
        </w:rPr>
      </w:pPr>
      <w:r w:rsidRPr="00FF2B29">
        <w:rPr>
          <w:rFonts w:cstheme="minorHAnsi"/>
          <w:b/>
          <w:bCs/>
          <w:color w:val="2F5496" w:themeColor="accent1" w:themeShade="BF"/>
          <w:u w:val="single"/>
        </w:rPr>
        <w:t xml:space="preserve">Table </w:t>
      </w:r>
      <w:r w:rsidR="00EE1D2A" w:rsidRPr="00FF2B29">
        <w:rPr>
          <w:rFonts w:cstheme="minorHAnsi"/>
          <w:b/>
          <w:bCs/>
          <w:color w:val="2F5496" w:themeColor="accent1" w:themeShade="BF"/>
          <w:u w:val="single"/>
        </w:rPr>
        <w:t>9</w:t>
      </w:r>
      <w:r w:rsidRPr="00FF2B29">
        <w:rPr>
          <w:rFonts w:cstheme="minorHAnsi"/>
          <w:b/>
          <w:bCs/>
          <w:color w:val="2F5496" w:themeColor="accent1" w:themeShade="BF"/>
          <w:u w:val="single"/>
        </w:rPr>
        <w:t>:</w:t>
      </w:r>
      <w:r w:rsidRPr="00FF2B29">
        <w:rPr>
          <w:rFonts w:cstheme="minorHAnsi"/>
          <w:b/>
          <w:bCs/>
          <w:color w:val="2F5496" w:themeColor="accent1" w:themeShade="BF"/>
        </w:rPr>
        <w:t xml:space="preserve"> </w:t>
      </w:r>
      <w:r w:rsidR="006940FA" w:rsidRPr="00FF2B29">
        <w:rPr>
          <w:rFonts w:cstheme="minorHAnsi"/>
          <w:b/>
          <w:bCs/>
          <w:color w:val="2F5496" w:themeColor="accent1" w:themeShade="BF"/>
        </w:rPr>
        <w:t xml:space="preserve">Comparison of </w:t>
      </w:r>
      <w:r w:rsidR="00FF2B29" w:rsidRPr="00FF2B29">
        <w:rPr>
          <w:rFonts w:cstheme="minorHAnsi"/>
          <w:b/>
          <w:bCs/>
          <w:color w:val="2F5496" w:themeColor="accent1" w:themeShade="BF"/>
        </w:rPr>
        <w:t xml:space="preserve">Number of </w:t>
      </w:r>
      <w:r w:rsidR="00296863" w:rsidRPr="00FF2B29">
        <w:rPr>
          <w:rFonts w:cstheme="minorHAnsi"/>
          <w:b/>
          <w:bCs/>
          <w:color w:val="2F5496" w:themeColor="accent1" w:themeShade="BF"/>
        </w:rPr>
        <w:t xml:space="preserve">Conditions Treated </w:t>
      </w:r>
      <w:r w:rsidR="009E521D" w:rsidRPr="00FF2B29">
        <w:rPr>
          <w:rFonts w:cstheme="minorHAnsi"/>
          <w:b/>
          <w:bCs/>
          <w:color w:val="2F5496" w:themeColor="accent1" w:themeShade="BF"/>
        </w:rPr>
        <w:t xml:space="preserve">at </w:t>
      </w:r>
      <w:r w:rsidR="006940FA" w:rsidRPr="00FF2B29">
        <w:rPr>
          <w:rFonts w:cstheme="minorHAnsi"/>
          <w:b/>
          <w:bCs/>
          <w:color w:val="2F5496" w:themeColor="accent1" w:themeShade="BF"/>
        </w:rPr>
        <w:t>Western Mass IRF Units</w:t>
      </w:r>
      <w:r w:rsidR="008D14EA" w:rsidRPr="00FF2B29">
        <w:rPr>
          <w:rFonts w:cstheme="minorHAnsi"/>
          <w:b/>
          <w:bCs/>
          <w:color w:val="2F5496" w:themeColor="accent1" w:themeShade="BF"/>
        </w:rPr>
        <w:t xml:space="preserve"> </w:t>
      </w:r>
      <w:proofErr w:type="gramStart"/>
      <w:r w:rsidR="008D14EA" w:rsidRPr="00FF2B29">
        <w:rPr>
          <w:rFonts w:cstheme="minorHAnsi"/>
          <w:b/>
          <w:bCs/>
          <w:color w:val="2F5496" w:themeColor="accent1" w:themeShade="BF"/>
        </w:rPr>
        <w:t>In</w:t>
      </w:r>
      <w:proofErr w:type="gramEnd"/>
      <w:r w:rsidR="008D14EA" w:rsidRPr="00FF2B29">
        <w:rPr>
          <w:rFonts w:cstheme="minorHAnsi"/>
          <w:b/>
          <w:bCs/>
          <w:color w:val="2F5496" w:themeColor="accent1" w:themeShade="BF"/>
        </w:rPr>
        <w:t xml:space="preserve"> The Last Year</w:t>
      </w:r>
      <w:r w:rsidR="00B84B50" w:rsidRPr="00EE1D2A">
        <w:rPr>
          <w:rStyle w:val="FootnoteReference"/>
          <w:rFonts w:cstheme="minorHAnsi"/>
          <w:b/>
          <w:bCs/>
          <w:color w:val="1F4E79" w:themeColor="accent5" w:themeShade="80"/>
          <w:sz w:val="24"/>
          <w:szCs w:val="24"/>
        </w:rPr>
        <w:endnoteReference w:id="3"/>
      </w:r>
    </w:p>
    <w:tbl>
      <w:tblPr>
        <w:tblStyle w:val="TableGridLight"/>
        <w:tblW w:w="10165" w:type="dxa"/>
        <w:tblLayout w:type="fixed"/>
        <w:tblLook w:val="04A0" w:firstRow="1" w:lastRow="0" w:firstColumn="1" w:lastColumn="0" w:noHBand="0" w:noVBand="1"/>
      </w:tblPr>
      <w:tblGrid>
        <w:gridCol w:w="5395"/>
        <w:gridCol w:w="1590"/>
        <w:gridCol w:w="1590"/>
        <w:gridCol w:w="1590"/>
      </w:tblGrid>
      <w:tr w:rsidR="00CE7B5E" w:rsidRPr="008D14EA" w14:paraId="022D0E35" w14:textId="77777777" w:rsidTr="00E4012B">
        <w:trPr>
          <w:cantSplit/>
          <w:trHeight w:val="894"/>
          <w:tblHeader/>
        </w:trPr>
        <w:tc>
          <w:tcPr>
            <w:tcW w:w="5395" w:type="dxa"/>
            <w:shd w:val="clear" w:color="auto" w:fill="9CC2E5" w:themeFill="accent5" w:themeFillTint="99"/>
            <w:hideMark/>
          </w:tcPr>
          <w:p w14:paraId="65FA9A26" w14:textId="77777777" w:rsidR="00CE7B5E" w:rsidRPr="00EE1D2A" w:rsidRDefault="00CE7B5E" w:rsidP="00EE1D2A">
            <w:pPr>
              <w:spacing w:line="259" w:lineRule="auto"/>
              <w:jc w:val="center"/>
              <w:rPr>
                <w:rFonts w:cstheme="minorHAnsi"/>
                <w:b/>
                <w:bCs/>
                <w:sz w:val="24"/>
                <w:szCs w:val="24"/>
              </w:rPr>
            </w:pPr>
            <w:r w:rsidRPr="00EE1D2A">
              <w:rPr>
                <w:rFonts w:cstheme="minorHAnsi"/>
                <w:b/>
                <w:bCs/>
                <w:sz w:val="24"/>
                <w:szCs w:val="24"/>
              </w:rPr>
              <w:t>Conditions Treated</w:t>
            </w:r>
          </w:p>
        </w:tc>
        <w:tc>
          <w:tcPr>
            <w:tcW w:w="1590" w:type="dxa"/>
            <w:shd w:val="clear" w:color="auto" w:fill="9CC2E5" w:themeFill="accent5" w:themeFillTint="99"/>
            <w:hideMark/>
          </w:tcPr>
          <w:p w14:paraId="59F89D90" w14:textId="77777777" w:rsidR="00CE7B5E" w:rsidRPr="00EE1D2A" w:rsidRDefault="00CE7B5E" w:rsidP="00EE1D2A">
            <w:pPr>
              <w:spacing w:line="259" w:lineRule="auto"/>
              <w:jc w:val="center"/>
              <w:rPr>
                <w:rFonts w:cstheme="minorHAnsi"/>
                <w:b/>
                <w:bCs/>
                <w:sz w:val="24"/>
                <w:szCs w:val="24"/>
              </w:rPr>
            </w:pPr>
            <w:r w:rsidRPr="00EE1D2A">
              <w:rPr>
                <w:rFonts w:cstheme="minorHAnsi"/>
                <w:b/>
                <w:bCs/>
                <w:sz w:val="24"/>
                <w:szCs w:val="24"/>
              </w:rPr>
              <w:t>Weldon Center for Rehab</w:t>
            </w:r>
          </w:p>
        </w:tc>
        <w:tc>
          <w:tcPr>
            <w:tcW w:w="1590" w:type="dxa"/>
            <w:shd w:val="clear" w:color="auto" w:fill="9CC2E5" w:themeFill="accent5" w:themeFillTint="99"/>
            <w:hideMark/>
          </w:tcPr>
          <w:p w14:paraId="31C17D86" w14:textId="77777777" w:rsidR="00CE7B5E" w:rsidRPr="00EE1D2A" w:rsidRDefault="00CE7B5E" w:rsidP="00EE1D2A">
            <w:pPr>
              <w:spacing w:line="259" w:lineRule="auto"/>
              <w:jc w:val="center"/>
              <w:rPr>
                <w:rFonts w:cstheme="minorHAnsi"/>
                <w:b/>
                <w:bCs/>
                <w:sz w:val="24"/>
                <w:szCs w:val="24"/>
              </w:rPr>
            </w:pPr>
            <w:r w:rsidRPr="00EE1D2A">
              <w:rPr>
                <w:rFonts w:cstheme="minorHAnsi"/>
                <w:b/>
                <w:bCs/>
                <w:sz w:val="24"/>
                <w:szCs w:val="24"/>
              </w:rPr>
              <w:t>Noble Hospital</w:t>
            </w:r>
          </w:p>
        </w:tc>
        <w:tc>
          <w:tcPr>
            <w:tcW w:w="1590" w:type="dxa"/>
            <w:shd w:val="clear" w:color="auto" w:fill="9CC2E5" w:themeFill="accent5" w:themeFillTint="99"/>
          </w:tcPr>
          <w:p w14:paraId="66F939D8" w14:textId="77777777" w:rsidR="00CE7B5E" w:rsidRPr="00EE1D2A" w:rsidRDefault="00CE7B5E" w:rsidP="00EE1D2A">
            <w:pPr>
              <w:spacing w:line="259" w:lineRule="auto"/>
              <w:jc w:val="center"/>
              <w:rPr>
                <w:rFonts w:cstheme="minorHAnsi"/>
                <w:b/>
                <w:bCs/>
                <w:sz w:val="24"/>
                <w:szCs w:val="24"/>
              </w:rPr>
            </w:pPr>
            <w:r w:rsidRPr="00EE1D2A">
              <w:rPr>
                <w:rFonts w:cstheme="minorHAnsi"/>
                <w:b/>
                <w:bCs/>
                <w:sz w:val="24"/>
                <w:szCs w:val="24"/>
              </w:rPr>
              <w:t>Encompass Western Mass</w:t>
            </w:r>
          </w:p>
        </w:tc>
      </w:tr>
      <w:tr w:rsidR="00CE7B5E" w:rsidRPr="008D14EA" w14:paraId="1FB96394" w14:textId="77777777" w:rsidTr="00E4012B">
        <w:trPr>
          <w:cantSplit/>
          <w:trHeight w:val="212"/>
        </w:trPr>
        <w:tc>
          <w:tcPr>
            <w:tcW w:w="5395" w:type="dxa"/>
          </w:tcPr>
          <w:p w14:paraId="1586A89A"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Stroke</w:t>
            </w:r>
          </w:p>
        </w:tc>
        <w:tc>
          <w:tcPr>
            <w:tcW w:w="1590" w:type="dxa"/>
            <w:noWrap/>
          </w:tcPr>
          <w:p w14:paraId="69FEC8E7"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84</w:t>
            </w:r>
          </w:p>
        </w:tc>
        <w:tc>
          <w:tcPr>
            <w:tcW w:w="1590" w:type="dxa"/>
            <w:noWrap/>
          </w:tcPr>
          <w:p w14:paraId="6E6E3628"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53</w:t>
            </w:r>
          </w:p>
        </w:tc>
        <w:tc>
          <w:tcPr>
            <w:tcW w:w="1590" w:type="dxa"/>
          </w:tcPr>
          <w:p w14:paraId="1520A07C"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184</w:t>
            </w:r>
          </w:p>
        </w:tc>
      </w:tr>
      <w:tr w:rsidR="00CE7B5E" w:rsidRPr="008D14EA" w14:paraId="4B7AE13C" w14:textId="77777777" w:rsidTr="00E4012B">
        <w:trPr>
          <w:cantSplit/>
          <w:trHeight w:val="212"/>
        </w:trPr>
        <w:tc>
          <w:tcPr>
            <w:tcW w:w="5395" w:type="dxa"/>
          </w:tcPr>
          <w:p w14:paraId="262DF6E4"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Hip or knee replacement, amputation or other bone or joint condition</w:t>
            </w:r>
          </w:p>
        </w:tc>
        <w:tc>
          <w:tcPr>
            <w:tcW w:w="1590" w:type="dxa"/>
            <w:noWrap/>
          </w:tcPr>
          <w:p w14:paraId="4C653F4D"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38</w:t>
            </w:r>
          </w:p>
        </w:tc>
        <w:tc>
          <w:tcPr>
            <w:tcW w:w="1590" w:type="dxa"/>
            <w:noWrap/>
          </w:tcPr>
          <w:p w14:paraId="633A48D5"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27</w:t>
            </w:r>
          </w:p>
        </w:tc>
        <w:tc>
          <w:tcPr>
            <w:tcW w:w="1590" w:type="dxa"/>
          </w:tcPr>
          <w:p w14:paraId="4E0907BE"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279</w:t>
            </w:r>
          </w:p>
        </w:tc>
      </w:tr>
      <w:tr w:rsidR="00CE7B5E" w:rsidRPr="008D14EA" w14:paraId="1C396965" w14:textId="77777777" w:rsidTr="00E4012B">
        <w:trPr>
          <w:cantSplit/>
          <w:trHeight w:val="212"/>
        </w:trPr>
        <w:tc>
          <w:tcPr>
            <w:tcW w:w="5395" w:type="dxa"/>
          </w:tcPr>
          <w:p w14:paraId="441F9323"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Hip or femur fracture</w:t>
            </w:r>
          </w:p>
        </w:tc>
        <w:tc>
          <w:tcPr>
            <w:tcW w:w="1590" w:type="dxa"/>
            <w:noWrap/>
          </w:tcPr>
          <w:p w14:paraId="0A5C857A"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22</w:t>
            </w:r>
          </w:p>
        </w:tc>
        <w:tc>
          <w:tcPr>
            <w:tcW w:w="1590" w:type="dxa"/>
            <w:noWrap/>
          </w:tcPr>
          <w:p w14:paraId="1A79520B"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31</w:t>
            </w:r>
          </w:p>
        </w:tc>
        <w:tc>
          <w:tcPr>
            <w:tcW w:w="1590" w:type="dxa"/>
          </w:tcPr>
          <w:p w14:paraId="3B4D36BB"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118</w:t>
            </w:r>
          </w:p>
        </w:tc>
      </w:tr>
      <w:tr w:rsidR="00CE7B5E" w:rsidRPr="008D14EA" w14:paraId="0CDFB6C3" w14:textId="77777777" w:rsidTr="00E4012B">
        <w:trPr>
          <w:cantSplit/>
          <w:trHeight w:val="212"/>
        </w:trPr>
        <w:tc>
          <w:tcPr>
            <w:tcW w:w="5395" w:type="dxa"/>
          </w:tcPr>
          <w:p w14:paraId="618D09C7"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Brain injury (traumatic)</w:t>
            </w:r>
          </w:p>
        </w:tc>
        <w:tc>
          <w:tcPr>
            <w:tcW w:w="1590" w:type="dxa"/>
            <w:noWrap/>
          </w:tcPr>
          <w:p w14:paraId="7ABCF912"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17</w:t>
            </w:r>
          </w:p>
        </w:tc>
        <w:tc>
          <w:tcPr>
            <w:tcW w:w="1590" w:type="dxa"/>
            <w:noWrap/>
          </w:tcPr>
          <w:p w14:paraId="3EAC2951"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13</w:t>
            </w:r>
          </w:p>
        </w:tc>
        <w:tc>
          <w:tcPr>
            <w:tcW w:w="1590" w:type="dxa"/>
          </w:tcPr>
          <w:p w14:paraId="6DB9D2FA"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49</w:t>
            </w:r>
          </w:p>
        </w:tc>
      </w:tr>
      <w:tr w:rsidR="00CE7B5E" w:rsidRPr="008D14EA" w14:paraId="7D6AC3E5" w14:textId="77777777" w:rsidTr="00E4012B">
        <w:trPr>
          <w:cantSplit/>
          <w:trHeight w:val="212"/>
        </w:trPr>
        <w:tc>
          <w:tcPr>
            <w:tcW w:w="5395" w:type="dxa"/>
          </w:tcPr>
          <w:p w14:paraId="7D7306B7"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Nervous system disorder (excluding stroke)</w:t>
            </w:r>
          </w:p>
        </w:tc>
        <w:tc>
          <w:tcPr>
            <w:tcW w:w="1590" w:type="dxa"/>
            <w:noWrap/>
          </w:tcPr>
          <w:p w14:paraId="40D59D4E" w14:textId="77777777" w:rsidR="00CE7B5E" w:rsidRPr="008D14EA" w:rsidRDefault="00CE7B5E" w:rsidP="00823678">
            <w:pPr>
              <w:contextualSpacing/>
              <w:jc w:val="center"/>
              <w:rPr>
                <w:rFonts w:eastAsia="Times New Roman" w:cstheme="minorHAnsi"/>
                <w:color w:val="000000"/>
                <w:sz w:val="24"/>
                <w:szCs w:val="24"/>
              </w:rPr>
            </w:pPr>
            <w:r w:rsidRPr="008D14EA">
              <w:rPr>
                <w:rFonts w:cstheme="minorHAnsi"/>
                <w:color w:val="000000"/>
                <w:sz w:val="24"/>
                <w:szCs w:val="24"/>
              </w:rPr>
              <w:t>14</w:t>
            </w:r>
          </w:p>
        </w:tc>
        <w:tc>
          <w:tcPr>
            <w:tcW w:w="1590" w:type="dxa"/>
            <w:noWrap/>
          </w:tcPr>
          <w:p w14:paraId="5E0098DE" w14:textId="77777777" w:rsidR="00CE7B5E" w:rsidRPr="008D14EA" w:rsidRDefault="00CE7B5E" w:rsidP="00823678">
            <w:pPr>
              <w:contextualSpacing/>
              <w:jc w:val="center"/>
              <w:rPr>
                <w:rFonts w:eastAsia="Times New Roman" w:cstheme="minorHAnsi"/>
                <w:color w:val="000000"/>
                <w:sz w:val="24"/>
                <w:szCs w:val="24"/>
              </w:rPr>
            </w:pPr>
            <w:r w:rsidRPr="008D14EA">
              <w:rPr>
                <w:rFonts w:cstheme="minorHAnsi"/>
                <w:color w:val="000000"/>
                <w:sz w:val="24"/>
                <w:szCs w:val="24"/>
              </w:rPr>
              <w:t>11</w:t>
            </w:r>
          </w:p>
        </w:tc>
        <w:tc>
          <w:tcPr>
            <w:tcW w:w="1590" w:type="dxa"/>
          </w:tcPr>
          <w:p w14:paraId="57F56D31"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143</w:t>
            </w:r>
          </w:p>
        </w:tc>
      </w:tr>
      <w:tr w:rsidR="00CE7B5E" w:rsidRPr="008D14EA" w14:paraId="518E7941" w14:textId="77777777" w:rsidTr="00E4012B">
        <w:trPr>
          <w:cantSplit/>
          <w:trHeight w:val="212"/>
        </w:trPr>
        <w:tc>
          <w:tcPr>
            <w:tcW w:w="5395" w:type="dxa"/>
          </w:tcPr>
          <w:p w14:paraId="03EA12E5"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Spinal cord disease or condition (non-traumatic)</w:t>
            </w:r>
          </w:p>
        </w:tc>
        <w:tc>
          <w:tcPr>
            <w:tcW w:w="1590" w:type="dxa"/>
            <w:noWrap/>
          </w:tcPr>
          <w:p w14:paraId="45E3817B" w14:textId="77777777" w:rsidR="00CE7B5E" w:rsidRPr="008D14EA" w:rsidRDefault="00CE7B5E" w:rsidP="00823678">
            <w:pPr>
              <w:contextualSpacing/>
              <w:jc w:val="center"/>
              <w:rPr>
                <w:rFonts w:eastAsia="Times New Roman" w:cstheme="minorHAnsi"/>
                <w:color w:val="000000"/>
                <w:sz w:val="24"/>
                <w:szCs w:val="24"/>
              </w:rPr>
            </w:pPr>
            <w:r w:rsidRPr="008D14EA">
              <w:rPr>
                <w:rFonts w:cstheme="minorHAnsi"/>
                <w:color w:val="000000"/>
                <w:sz w:val="24"/>
                <w:szCs w:val="24"/>
              </w:rPr>
              <w:t>14</w:t>
            </w:r>
          </w:p>
        </w:tc>
        <w:tc>
          <w:tcPr>
            <w:tcW w:w="1590" w:type="dxa"/>
            <w:noWrap/>
          </w:tcPr>
          <w:p w14:paraId="43EB1E8E" w14:textId="77777777" w:rsidR="00CE7B5E" w:rsidRPr="008D14EA" w:rsidRDefault="00CE7B5E" w:rsidP="00823678">
            <w:pPr>
              <w:contextualSpacing/>
              <w:jc w:val="center"/>
              <w:rPr>
                <w:rFonts w:eastAsia="Times New Roman" w:cstheme="minorHAnsi"/>
                <w:color w:val="000000"/>
                <w:sz w:val="24"/>
                <w:szCs w:val="24"/>
              </w:rPr>
            </w:pPr>
            <w:r w:rsidRPr="008D14EA">
              <w:rPr>
                <w:rFonts w:cstheme="minorHAnsi"/>
                <w:color w:val="000000"/>
                <w:sz w:val="24"/>
                <w:szCs w:val="24"/>
              </w:rPr>
              <w:t>&lt;11</w:t>
            </w:r>
          </w:p>
        </w:tc>
        <w:tc>
          <w:tcPr>
            <w:tcW w:w="1590" w:type="dxa"/>
          </w:tcPr>
          <w:p w14:paraId="2E000361"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22</w:t>
            </w:r>
          </w:p>
        </w:tc>
      </w:tr>
      <w:tr w:rsidR="00CE7B5E" w:rsidRPr="008D14EA" w14:paraId="711CC98C" w14:textId="77777777" w:rsidTr="00E4012B">
        <w:trPr>
          <w:cantSplit/>
          <w:trHeight w:val="212"/>
        </w:trPr>
        <w:tc>
          <w:tcPr>
            <w:tcW w:w="5395" w:type="dxa"/>
          </w:tcPr>
          <w:p w14:paraId="61CE845C"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Brain disease or conditions (non-traumatic)</w:t>
            </w:r>
          </w:p>
        </w:tc>
        <w:tc>
          <w:tcPr>
            <w:tcW w:w="1590" w:type="dxa"/>
            <w:noWrap/>
          </w:tcPr>
          <w:p w14:paraId="4AB89DC8"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&lt;11</w:t>
            </w:r>
          </w:p>
        </w:tc>
        <w:tc>
          <w:tcPr>
            <w:tcW w:w="1590" w:type="dxa"/>
            <w:noWrap/>
          </w:tcPr>
          <w:p w14:paraId="2789CBC3"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&lt;11</w:t>
            </w:r>
          </w:p>
        </w:tc>
        <w:tc>
          <w:tcPr>
            <w:tcW w:w="1590" w:type="dxa"/>
          </w:tcPr>
          <w:p w14:paraId="6C5AC3F7"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70</w:t>
            </w:r>
          </w:p>
        </w:tc>
      </w:tr>
      <w:tr w:rsidR="00CE7B5E" w:rsidRPr="008D14EA" w14:paraId="1ED31770" w14:textId="77777777" w:rsidTr="00E4012B">
        <w:trPr>
          <w:cantSplit/>
          <w:trHeight w:val="212"/>
        </w:trPr>
        <w:tc>
          <w:tcPr>
            <w:tcW w:w="5395" w:type="dxa"/>
          </w:tcPr>
          <w:p w14:paraId="786CF292"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Spinal cord injury (traumatic)</w:t>
            </w:r>
          </w:p>
        </w:tc>
        <w:tc>
          <w:tcPr>
            <w:tcW w:w="1590" w:type="dxa"/>
            <w:noWrap/>
          </w:tcPr>
          <w:p w14:paraId="06A2CED7"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&lt;11</w:t>
            </w:r>
          </w:p>
        </w:tc>
        <w:tc>
          <w:tcPr>
            <w:tcW w:w="1590" w:type="dxa"/>
            <w:noWrap/>
          </w:tcPr>
          <w:p w14:paraId="2EE5D510"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&lt;11</w:t>
            </w:r>
          </w:p>
        </w:tc>
        <w:tc>
          <w:tcPr>
            <w:tcW w:w="1590" w:type="dxa"/>
          </w:tcPr>
          <w:p w14:paraId="422BA12D"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&lt;11</w:t>
            </w:r>
          </w:p>
        </w:tc>
      </w:tr>
      <w:tr w:rsidR="00CE7B5E" w:rsidRPr="008D14EA" w14:paraId="7CF1A9B5" w14:textId="77777777" w:rsidTr="00E4012B">
        <w:trPr>
          <w:cantSplit/>
          <w:trHeight w:val="212"/>
        </w:trPr>
        <w:tc>
          <w:tcPr>
            <w:tcW w:w="5395" w:type="dxa"/>
          </w:tcPr>
          <w:p w14:paraId="2336E03B" w14:textId="77777777" w:rsidR="00CE7B5E" w:rsidRPr="008D14EA" w:rsidRDefault="00CE7B5E" w:rsidP="00823678">
            <w:pPr>
              <w:contextualSpacing/>
              <w:jc w:val="right"/>
              <w:rPr>
                <w:rFonts w:eastAsia="Times New Roman" w:cstheme="minorHAnsi"/>
                <w:color w:val="000000"/>
                <w:sz w:val="24"/>
                <w:szCs w:val="24"/>
              </w:rPr>
            </w:pPr>
            <w:r w:rsidRPr="008D14EA">
              <w:rPr>
                <w:rFonts w:eastAsia="Times New Roman" w:cstheme="minorHAnsi"/>
                <w:color w:val="000000"/>
                <w:sz w:val="24"/>
                <w:szCs w:val="24"/>
              </w:rPr>
              <w:t>All Other Conditions</w:t>
            </w:r>
          </w:p>
        </w:tc>
        <w:tc>
          <w:tcPr>
            <w:tcW w:w="1590" w:type="dxa"/>
            <w:noWrap/>
          </w:tcPr>
          <w:p w14:paraId="0B450849"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37</w:t>
            </w:r>
          </w:p>
        </w:tc>
        <w:tc>
          <w:tcPr>
            <w:tcW w:w="1590" w:type="dxa"/>
            <w:noWrap/>
          </w:tcPr>
          <w:p w14:paraId="725B8B9E"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55</w:t>
            </w:r>
          </w:p>
        </w:tc>
        <w:tc>
          <w:tcPr>
            <w:tcW w:w="1590" w:type="dxa"/>
          </w:tcPr>
          <w:p w14:paraId="3D0827F5" w14:textId="77777777" w:rsidR="00CE7B5E" w:rsidRPr="008D14EA" w:rsidRDefault="00CE7B5E" w:rsidP="00823678">
            <w:pPr>
              <w:contextualSpacing/>
              <w:jc w:val="center"/>
              <w:rPr>
                <w:rFonts w:cstheme="minorHAnsi"/>
                <w:color w:val="000000"/>
                <w:sz w:val="24"/>
                <w:szCs w:val="24"/>
              </w:rPr>
            </w:pPr>
            <w:r w:rsidRPr="008D14EA">
              <w:rPr>
                <w:rFonts w:cstheme="minorHAnsi"/>
                <w:color w:val="000000"/>
                <w:sz w:val="24"/>
                <w:szCs w:val="24"/>
              </w:rPr>
              <w:t>318</w:t>
            </w:r>
          </w:p>
        </w:tc>
      </w:tr>
      <w:tr w:rsidR="00CE7B5E" w:rsidRPr="008D14EA" w14:paraId="233E3CB1" w14:textId="77777777" w:rsidTr="00E4012B">
        <w:trPr>
          <w:cantSplit/>
          <w:trHeight w:val="212"/>
        </w:trPr>
        <w:tc>
          <w:tcPr>
            <w:tcW w:w="5395" w:type="dxa"/>
            <w:hideMark/>
          </w:tcPr>
          <w:p w14:paraId="5E087E70" w14:textId="77777777" w:rsidR="00CE7B5E" w:rsidRPr="008D14EA" w:rsidRDefault="00CE7B5E" w:rsidP="00823678">
            <w:pPr>
              <w:contextualSpacing/>
              <w:jc w:val="right"/>
              <w:rPr>
                <w:rFonts w:eastAsia="Times New Roman" w:cstheme="minorHAnsi"/>
                <w:b/>
                <w:bCs/>
                <w:color w:val="000000"/>
                <w:sz w:val="24"/>
                <w:szCs w:val="24"/>
              </w:rPr>
            </w:pPr>
            <w:r w:rsidRPr="008D14EA">
              <w:rPr>
                <w:rFonts w:eastAsia="Times New Roman" w:cstheme="minorHAnsi"/>
                <w:b/>
                <w:bCs/>
                <w:color w:val="000000"/>
                <w:sz w:val="24"/>
                <w:szCs w:val="24"/>
              </w:rPr>
              <w:t>Total</w:t>
            </w:r>
          </w:p>
        </w:tc>
        <w:tc>
          <w:tcPr>
            <w:tcW w:w="1590" w:type="dxa"/>
            <w:noWrap/>
            <w:hideMark/>
          </w:tcPr>
          <w:p w14:paraId="06E767EE" w14:textId="77777777" w:rsidR="00CE7B5E" w:rsidRPr="008D14EA" w:rsidRDefault="00CE7B5E" w:rsidP="00823678">
            <w:pPr>
              <w:contextualSpacing/>
              <w:jc w:val="center"/>
              <w:rPr>
                <w:rFonts w:eastAsia="Times New Roman" w:cstheme="minorHAnsi"/>
                <w:b/>
                <w:bCs/>
                <w:color w:val="000000"/>
                <w:sz w:val="24"/>
                <w:szCs w:val="24"/>
              </w:rPr>
            </w:pPr>
            <w:r w:rsidRPr="008D14EA">
              <w:rPr>
                <w:rFonts w:cstheme="minorHAnsi"/>
                <w:b/>
                <w:bCs/>
                <w:color w:val="000000"/>
                <w:sz w:val="24"/>
                <w:szCs w:val="24"/>
              </w:rPr>
              <w:t>246</w:t>
            </w:r>
          </w:p>
        </w:tc>
        <w:tc>
          <w:tcPr>
            <w:tcW w:w="1590" w:type="dxa"/>
            <w:noWrap/>
            <w:hideMark/>
          </w:tcPr>
          <w:p w14:paraId="768AD5BF" w14:textId="77777777" w:rsidR="00CE7B5E" w:rsidRPr="008D14EA" w:rsidRDefault="00CE7B5E" w:rsidP="00823678">
            <w:pPr>
              <w:contextualSpacing/>
              <w:jc w:val="center"/>
              <w:rPr>
                <w:rFonts w:eastAsia="Times New Roman" w:cstheme="minorHAnsi"/>
                <w:b/>
                <w:bCs/>
                <w:color w:val="000000"/>
                <w:sz w:val="24"/>
                <w:szCs w:val="24"/>
              </w:rPr>
            </w:pPr>
            <w:r w:rsidRPr="008D14EA">
              <w:rPr>
                <w:rFonts w:cstheme="minorHAnsi"/>
                <w:b/>
                <w:bCs/>
                <w:color w:val="000000"/>
                <w:sz w:val="24"/>
                <w:szCs w:val="24"/>
              </w:rPr>
              <w:t>220</w:t>
            </w:r>
          </w:p>
        </w:tc>
        <w:tc>
          <w:tcPr>
            <w:tcW w:w="1590" w:type="dxa"/>
          </w:tcPr>
          <w:p w14:paraId="4736FABF" w14:textId="77777777" w:rsidR="00CE7B5E" w:rsidRPr="008D14EA" w:rsidRDefault="00CE7B5E" w:rsidP="00823678">
            <w:pPr>
              <w:contextualSpacing/>
              <w:jc w:val="center"/>
              <w:rPr>
                <w:rFonts w:cstheme="minorHAnsi"/>
                <w:b/>
                <w:bCs/>
                <w:color w:val="000000"/>
                <w:sz w:val="24"/>
                <w:szCs w:val="24"/>
              </w:rPr>
            </w:pPr>
            <w:r w:rsidRPr="008D14EA">
              <w:rPr>
                <w:rFonts w:cstheme="minorHAnsi"/>
                <w:b/>
                <w:bCs/>
                <w:color w:val="000000"/>
                <w:sz w:val="24"/>
                <w:szCs w:val="24"/>
              </w:rPr>
              <w:t>1,193</w:t>
            </w:r>
          </w:p>
        </w:tc>
      </w:tr>
    </w:tbl>
    <w:p w14:paraId="5F659897" w14:textId="77777777" w:rsidR="00381D21" w:rsidRDefault="00381D21" w:rsidP="00575025">
      <w:pPr>
        <w:spacing w:after="0"/>
        <w:rPr>
          <w:rFonts w:cstheme="minorHAnsi"/>
          <w:sz w:val="24"/>
          <w:szCs w:val="24"/>
        </w:rPr>
      </w:pPr>
    </w:p>
    <w:p w14:paraId="58AA92C0" w14:textId="5CEC56F1" w:rsidR="00575025" w:rsidRPr="00575025" w:rsidRDefault="003E30AC" w:rsidP="00575025">
      <w:pPr>
        <w:spacing w:after="0"/>
        <w:rPr>
          <w:rFonts w:cstheme="minorHAnsi"/>
          <w:sz w:val="24"/>
          <w:szCs w:val="24"/>
        </w:rPr>
      </w:pPr>
      <w:r>
        <w:rPr>
          <w:rFonts w:cstheme="minorHAnsi"/>
          <w:sz w:val="24"/>
          <w:szCs w:val="24"/>
        </w:rPr>
        <w:lastRenderedPageBreak/>
        <w:t xml:space="preserve">The </w:t>
      </w:r>
      <w:r w:rsidR="00575025" w:rsidRPr="00575025">
        <w:rPr>
          <w:rFonts w:cstheme="minorHAnsi"/>
          <w:sz w:val="24"/>
          <w:szCs w:val="24"/>
        </w:rPr>
        <w:t xml:space="preserve">ability of family members to actively and consistently participate in </w:t>
      </w:r>
      <w:r w:rsidR="006F1413" w:rsidRPr="00575025">
        <w:rPr>
          <w:rFonts w:cstheme="minorHAnsi"/>
          <w:sz w:val="24"/>
          <w:szCs w:val="24"/>
        </w:rPr>
        <w:t>a</w:t>
      </w:r>
      <w:r w:rsidR="00575025" w:rsidRPr="00575025">
        <w:rPr>
          <w:rFonts w:cstheme="minorHAnsi"/>
          <w:sz w:val="24"/>
          <w:szCs w:val="24"/>
        </w:rPr>
        <w:t xml:space="preserve"> </w:t>
      </w:r>
      <w:r w:rsidR="00E8308C">
        <w:rPr>
          <w:rFonts w:cstheme="minorHAnsi"/>
          <w:sz w:val="24"/>
          <w:szCs w:val="24"/>
        </w:rPr>
        <w:t>patient’s r</w:t>
      </w:r>
      <w:r w:rsidR="00575025" w:rsidRPr="00575025">
        <w:rPr>
          <w:rFonts w:cstheme="minorHAnsi"/>
          <w:sz w:val="24"/>
          <w:szCs w:val="24"/>
        </w:rPr>
        <w:t xml:space="preserve">ehabilitation </w:t>
      </w:r>
      <w:r w:rsidR="00E8308C">
        <w:rPr>
          <w:rFonts w:cstheme="minorHAnsi"/>
          <w:sz w:val="24"/>
          <w:szCs w:val="24"/>
        </w:rPr>
        <w:t>s</w:t>
      </w:r>
      <w:r w:rsidR="00575025" w:rsidRPr="00575025">
        <w:rPr>
          <w:rFonts w:cstheme="minorHAnsi"/>
          <w:sz w:val="24"/>
          <w:szCs w:val="24"/>
        </w:rPr>
        <w:t xml:space="preserve">ervices and recovery process is critically important to the patient’s return to his/her highest level of functioning and independence. As the aging population in Western Massachusetts continues to grow, the proposed 17-bed addition will ensure that patients in need of IRF services can continue to receive that intensive level of care close to home. </w:t>
      </w:r>
    </w:p>
    <w:p w14:paraId="28E8D26F" w14:textId="77777777" w:rsidR="00D276EB" w:rsidRPr="00D276EB" w:rsidRDefault="00D276EB" w:rsidP="00D276EB">
      <w:pPr>
        <w:spacing w:after="0" w:line="240" w:lineRule="auto"/>
        <w:rPr>
          <w:sz w:val="24"/>
          <w:szCs w:val="24"/>
        </w:rPr>
      </w:pPr>
    </w:p>
    <w:p w14:paraId="7616FFA7" w14:textId="77777777" w:rsidR="00D276EB" w:rsidRPr="00D276EB" w:rsidRDefault="00D276EB" w:rsidP="00D276EB">
      <w:pPr>
        <w:spacing w:after="0" w:line="240" w:lineRule="auto"/>
        <w:rPr>
          <w:b/>
          <w:bCs/>
          <w:i/>
          <w:iCs/>
          <w:sz w:val="24"/>
          <w:szCs w:val="24"/>
        </w:rPr>
      </w:pPr>
      <w:r w:rsidRPr="00D276EB">
        <w:rPr>
          <w:b/>
          <w:bCs/>
          <w:i/>
          <w:iCs/>
          <w:sz w:val="24"/>
          <w:szCs w:val="24"/>
        </w:rPr>
        <w:t>Analysis</w:t>
      </w:r>
    </w:p>
    <w:p w14:paraId="6EAA697C" w14:textId="207E2AB5" w:rsidR="006B437E" w:rsidRDefault="006C52C8" w:rsidP="005E2209">
      <w:pPr>
        <w:rPr>
          <w:rFonts w:eastAsia="Calibri" w:cstheme="minorHAnsi"/>
          <w:sz w:val="24"/>
          <w:szCs w:val="24"/>
        </w:rPr>
      </w:pPr>
      <w:r w:rsidRPr="006F7A01">
        <w:rPr>
          <w:rFonts w:eastAsia="Calibri" w:cstheme="minorHAnsi"/>
          <w:sz w:val="24"/>
          <w:szCs w:val="24"/>
        </w:rPr>
        <w:t xml:space="preserve">Staff finds that the Applicant has demonstrated sufficient need for additional private IRF inpatient beds at </w:t>
      </w:r>
      <w:r>
        <w:rPr>
          <w:rFonts w:eastAsia="Calibri" w:cstheme="minorHAnsi"/>
          <w:sz w:val="24"/>
          <w:szCs w:val="24"/>
        </w:rPr>
        <w:t>Encompass Western Mass</w:t>
      </w:r>
      <w:r w:rsidRPr="006F7A01">
        <w:rPr>
          <w:rFonts w:eastAsia="Calibri" w:cstheme="minorHAnsi"/>
          <w:sz w:val="24"/>
          <w:szCs w:val="24"/>
        </w:rPr>
        <w:t xml:space="preserve"> to </w:t>
      </w:r>
      <w:r>
        <w:rPr>
          <w:rFonts w:eastAsia="Calibri" w:cstheme="minorHAnsi"/>
          <w:sz w:val="24"/>
          <w:szCs w:val="24"/>
        </w:rPr>
        <w:t xml:space="preserve">address the </w:t>
      </w:r>
      <w:r w:rsidR="00D1042B">
        <w:rPr>
          <w:rFonts w:eastAsia="Calibri" w:cstheme="minorHAnsi"/>
          <w:sz w:val="24"/>
          <w:szCs w:val="24"/>
        </w:rPr>
        <w:t>consistently high occupancy rate and projected growth in demand for services.</w:t>
      </w:r>
      <w:r w:rsidRPr="006F7A01">
        <w:rPr>
          <w:rFonts w:eastAsia="Calibri" w:cstheme="minorHAnsi"/>
          <w:sz w:val="24"/>
          <w:szCs w:val="24"/>
        </w:rPr>
        <w:t xml:space="preserve"> </w:t>
      </w:r>
      <w:r w:rsidR="00D1042B">
        <w:rPr>
          <w:rFonts w:eastAsia="Calibri" w:cstheme="minorHAnsi"/>
          <w:sz w:val="24"/>
          <w:szCs w:val="24"/>
        </w:rPr>
        <w:t>The</w:t>
      </w:r>
      <w:r w:rsidRPr="00AA6A10">
        <w:rPr>
          <w:rFonts w:eastAsia="Calibri" w:cstheme="minorHAnsi"/>
          <w:sz w:val="24"/>
          <w:szCs w:val="24"/>
        </w:rPr>
        <w:t xml:space="preserve"> Proposed Project will the Applicant to meet the current and future demand of aging population and their families in the appropriate settin</w:t>
      </w:r>
      <w:r w:rsidR="001A20A3">
        <w:rPr>
          <w:rFonts w:eastAsia="Calibri" w:cstheme="minorHAnsi"/>
          <w:sz w:val="24"/>
          <w:szCs w:val="24"/>
        </w:rPr>
        <w:t>g</w:t>
      </w:r>
      <w:r w:rsidR="006B437E">
        <w:rPr>
          <w:rFonts w:eastAsia="Calibri" w:cstheme="minorHAnsi"/>
          <w:sz w:val="24"/>
          <w:szCs w:val="24"/>
        </w:rPr>
        <w:t xml:space="preserve"> close to home</w:t>
      </w:r>
      <w:r w:rsidRPr="00AA6A10">
        <w:rPr>
          <w:rFonts w:eastAsia="Calibri" w:cstheme="minorHAnsi"/>
          <w:sz w:val="24"/>
          <w:szCs w:val="24"/>
        </w:rPr>
        <w:t xml:space="preserve">. </w:t>
      </w:r>
      <w:r w:rsidR="007C5B2D" w:rsidRPr="007C5B2D">
        <w:rPr>
          <w:rFonts w:eastAsia="Calibri" w:cstheme="minorHAnsi"/>
          <w:sz w:val="24"/>
          <w:szCs w:val="24"/>
        </w:rPr>
        <w:t xml:space="preserve">Further, Staff inquired how the Applicant will ensure adequate staffing to ensure the success of the Proposed Project to meet the needs of its </w:t>
      </w:r>
      <w:r w:rsidR="007C5B2D">
        <w:rPr>
          <w:rFonts w:eastAsia="Calibri" w:cstheme="minorHAnsi"/>
          <w:sz w:val="24"/>
          <w:szCs w:val="24"/>
        </w:rPr>
        <w:t>P</w:t>
      </w:r>
      <w:r w:rsidR="007C5B2D" w:rsidRPr="007C5B2D">
        <w:rPr>
          <w:rFonts w:eastAsia="Calibri" w:cstheme="minorHAnsi"/>
          <w:sz w:val="24"/>
          <w:szCs w:val="24"/>
        </w:rPr>
        <w:t xml:space="preserve">atient </w:t>
      </w:r>
      <w:r w:rsidR="007C5B2D">
        <w:rPr>
          <w:rFonts w:eastAsia="Calibri" w:cstheme="minorHAnsi"/>
          <w:sz w:val="24"/>
          <w:szCs w:val="24"/>
        </w:rPr>
        <w:t>P</w:t>
      </w:r>
      <w:r w:rsidR="007C5B2D" w:rsidRPr="007C5B2D">
        <w:rPr>
          <w:rFonts w:eastAsia="Calibri" w:cstheme="minorHAnsi"/>
          <w:sz w:val="24"/>
          <w:szCs w:val="24"/>
        </w:rPr>
        <w:t xml:space="preserve">anel. The Hospital confirmed its commitment to investing in the healthcare workforce through recruitment efforts, </w:t>
      </w:r>
      <w:r w:rsidR="001E2C67">
        <w:rPr>
          <w:rFonts w:eastAsia="Calibri" w:cstheme="minorHAnsi"/>
          <w:sz w:val="24"/>
          <w:szCs w:val="24"/>
        </w:rPr>
        <w:t xml:space="preserve">and </w:t>
      </w:r>
      <w:r w:rsidR="007C5B2D" w:rsidRPr="007C5B2D">
        <w:rPr>
          <w:rFonts w:eastAsia="Calibri" w:cstheme="minorHAnsi"/>
          <w:sz w:val="24"/>
          <w:szCs w:val="24"/>
        </w:rPr>
        <w:t xml:space="preserve">by coordinating with </w:t>
      </w:r>
      <w:proofErr w:type="gramStart"/>
      <w:r w:rsidR="0096085D">
        <w:rPr>
          <w:rFonts w:eastAsia="Calibri" w:cstheme="minorHAnsi"/>
          <w:sz w:val="24"/>
          <w:szCs w:val="24"/>
        </w:rPr>
        <w:t>a number of</w:t>
      </w:r>
      <w:proofErr w:type="gramEnd"/>
      <w:r w:rsidR="0096085D">
        <w:rPr>
          <w:rFonts w:eastAsia="Calibri" w:cstheme="minorHAnsi"/>
          <w:sz w:val="24"/>
          <w:szCs w:val="24"/>
        </w:rPr>
        <w:t xml:space="preserve"> local </w:t>
      </w:r>
      <w:r w:rsidR="007C5B2D" w:rsidRPr="007C5B2D">
        <w:rPr>
          <w:rFonts w:eastAsia="Calibri" w:cstheme="minorHAnsi"/>
          <w:sz w:val="24"/>
          <w:szCs w:val="24"/>
        </w:rPr>
        <w:t xml:space="preserve">educational </w:t>
      </w:r>
      <w:r w:rsidR="001E2C67">
        <w:rPr>
          <w:rFonts w:eastAsia="Calibri" w:cstheme="minorHAnsi"/>
          <w:sz w:val="24"/>
          <w:szCs w:val="24"/>
        </w:rPr>
        <w:t>institutions</w:t>
      </w:r>
      <w:r w:rsidR="00DC1D35">
        <w:rPr>
          <w:rFonts w:eastAsia="Calibri" w:cstheme="minorHAnsi"/>
          <w:sz w:val="24"/>
          <w:szCs w:val="24"/>
        </w:rPr>
        <w:t xml:space="preserve"> and national </w:t>
      </w:r>
      <w:r w:rsidR="00767BB5">
        <w:rPr>
          <w:rFonts w:eastAsia="Calibri" w:cstheme="minorHAnsi"/>
          <w:sz w:val="24"/>
          <w:szCs w:val="24"/>
        </w:rPr>
        <w:t>associations</w:t>
      </w:r>
      <w:r w:rsidR="00767BB5">
        <w:rPr>
          <w:rStyle w:val="FootnoteReference"/>
          <w:rFonts w:eastAsia="Calibri" w:cstheme="minorHAnsi"/>
          <w:sz w:val="24"/>
          <w:szCs w:val="24"/>
        </w:rPr>
        <w:footnoteReference w:id="20"/>
      </w:r>
      <w:r w:rsidR="0096085D">
        <w:rPr>
          <w:rFonts w:eastAsia="Calibri" w:cstheme="minorHAnsi"/>
          <w:sz w:val="24"/>
          <w:szCs w:val="24"/>
        </w:rPr>
        <w:t xml:space="preserve"> to target skilled rehab talent</w:t>
      </w:r>
      <w:r w:rsidR="00BB67B6">
        <w:rPr>
          <w:rFonts w:eastAsia="Calibri" w:cstheme="minorHAnsi"/>
          <w:sz w:val="24"/>
          <w:szCs w:val="24"/>
        </w:rPr>
        <w:t xml:space="preserve"> for employment opportunities</w:t>
      </w:r>
      <w:r w:rsidR="007C5B2D" w:rsidRPr="007C5B2D">
        <w:rPr>
          <w:rFonts w:eastAsia="Calibri" w:cstheme="minorHAnsi"/>
          <w:sz w:val="24"/>
          <w:szCs w:val="24"/>
        </w:rPr>
        <w:t xml:space="preserve">. </w:t>
      </w:r>
      <w:r w:rsidR="0096085D">
        <w:rPr>
          <w:rFonts w:eastAsia="Calibri" w:cstheme="minorHAnsi"/>
          <w:sz w:val="24"/>
          <w:szCs w:val="24"/>
        </w:rPr>
        <w:t xml:space="preserve">As </w:t>
      </w:r>
      <w:r w:rsidR="005E2209" w:rsidRPr="005E2209">
        <w:rPr>
          <w:rFonts w:eastAsia="Calibri" w:cstheme="minorHAnsi"/>
          <w:sz w:val="24"/>
          <w:szCs w:val="24"/>
        </w:rPr>
        <w:t>a result, Staff finds that the Proposed Project meets the requirements of Factor 1a.</w:t>
      </w:r>
    </w:p>
    <w:p w14:paraId="605AA552" w14:textId="77777777" w:rsidR="001135C3" w:rsidRPr="001135C3" w:rsidRDefault="001135C3" w:rsidP="005E2209">
      <w:pPr>
        <w:rPr>
          <w:rFonts w:eastAsia="Calibri" w:cstheme="minorHAnsi"/>
          <w:sz w:val="24"/>
          <w:szCs w:val="24"/>
        </w:rPr>
      </w:pPr>
    </w:p>
    <w:p w14:paraId="55B52D9C" w14:textId="76D37FEB" w:rsidR="003E1CDA" w:rsidRDefault="007D6615" w:rsidP="002B05B4">
      <w:pPr>
        <w:pStyle w:val="Heading1"/>
      </w:pPr>
      <w:bookmarkStart w:id="6" w:name="_Toc151538499"/>
      <w:r>
        <w:t>F</w:t>
      </w:r>
      <w:r w:rsidR="003E1CDA" w:rsidRPr="003E1CDA">
        <w:t>actor 1: b) Public Health Value</w:t>
      </w:r>
      <w:r w:rsidR="006F12E9">
        <w:t xml:space="preserve"> through</w:t>
      </w:r>
      <w:r w:rsidR="003E1CDA" w:rsidRPr="003E1CDA">
        <w:t xml:space="preserve"> Improved Health Outcomes </w:t>
      </w:r>
      <w:r w:rsidR="007D602B" w:rsidRPr="003E1CDA">
        <w:t>and</w:t>
      </w:r>
      <w:r w:rsidR="003E1CDA" w:rsidRPr="003E1CDA">
        <w:t xml:space="preserve"> Quality </w:t>
      </w:r>
      <w:proofErr w:type="gramStart"/>
      <w:r w:rsidR="003E1CDA" w:rsidRPr="003E1CDA">
        <w:t>Of</w:t>
      </w:r>
      <w:proofErr w:type="gramEnd"/>
      <w:r w:rsidR="003E1CDA" w:rsidRPr="003E1CDA">
        <w:t xml:space="preserve"> Life; Assurances Of Health Equity</w:t>
      </w:r>
      <w:bookmarkEnd w:id="6"/>
    </w:p>
    <w:p w14:paraId="2128ACF9" w14:textId="1A9D9AA2" w:rsidR="003568F4" w:rsidRPr="0002054A" w:rsidRDefault="00477A2E" w:rsidP="00477A2E">
      <w:pPr>
        <w:autoSpaceDE w:val="0"/>
        <w:autoSpaceDN w:val="0"/>
        <w:adjustRightInd w:val="0"/>
        <w:rPr>
          <w:rFonts w:cstheme="minorHAnsi"/>
          <w:color w:val="000000"/>
          <w:sz w:val="24"/>
          <w:szCs w:val="24"/>
        </w:rPr>
      </w:pPr>
      <w:r w:rsidRPr="0002054A">
        <w:rPr>
          <w:rFonts w:cstheme="minorHAnsi"/>
          <w:color w:val="000000"/>
          <w:sz w:val="24"/>
          <w:szCs w:val="24"/>
        </w:rPr>
        <w:t>In</w:t>
      </w:r>
      <w:r w:rsidRPr="0002054A">
        <w:rPr>
          <w:rFonts w:cstheme="minorHAnsi"/>
          <w:sz w:val="24"/>
          <w:szCs w:val="24"/>
        </w:rPr>
        <w:t xml:space="preserve"> this section</w:t>
      </w:r>
      <w:r w:rsidR="006B437E">
        <w:rPr>
          <w:rFonts w:cstheme="minorHAnsi"/>
          <w:sz w:val="24"/>
          <w:szCs w:val="24"/>
        </w:rPr>
        <w:t>,</w:t>
      </w:r>
      <w:r w:rsidRPr="0002054A">
        <w:rPr>
          <w:rFonts w:cstheme="minorHAnsi"/>
          <w:sz w:val="24"/>
          <w:szCs w:val="24"/>
        </w:rPr>
        <w:t xml:space="preserve"> staff will assess if the Proposed Project </w:t>
      </w:r>
      <w:r w:rsidRPr="0002054A">
        <w:rPr>
          <w:rFonts w:cstheme="minorHAnsi"/>
          <w:color w:val="000000"/>
          <w:sz w:val="24"/>
          <w:szCs w:val="24"/>
        </w:rPr>
        <w:t xml:space="preserve">adds measurable public health value in terms of improved health outcomes and quality of life for the Applicant’s existing Patient Panel, while providing reasonable assurances of health equity. </w:t>
      </w:r>
    </w:p>
    <w:p w14:paraId="4A8C41CF" w14:textId="2CB20374" w:rsidR="005259F8" w:rsidRDefault="004B6352" w:rsidP="0002054A">
      <w:pPr>
        <w:spacing w:before="240" w:after="0"/>
        <w:rPr>
          <w:sz w:val="24"/>
          <w:szCs w:val="24"/>
        </w:rPr>
      </w:pPr>
      <w:r>
        <w:rPr>
          <w:b/>
          <w:bCs/>
          <w:sz w:val="24"/>
          <w:szCs w:val="24"/>
        </w:rPr>
        <w:t>Health</w:t>
      </w:r>
      <w:r w:rsidR="005259F8" w:rsidRPr="005259F8">
        <w:rPr>
          <w:b/>
          <w:bCs/>
          <w:sz w:val="24"/>
          <w:szCs w:val="24"/>
        </w:rPr>
        <w:t xml:space="preserve"> outcomes and quality of life</w:t>
      </w:r>
    </w:p>
    <w:p w14:paraId="48EB6A6F" w14:textId="5813F8F8" w:rsidR="003568F4" w:rsidRDefault="003568F4" w:rsidP="0002054A">
      <w:pPr>
        <w:pStyle w:val="BodyText"/>
        <w:widowControl/>
        <w:spacing w:before="0"/>
        <w:ind w:left="14"/>
        <w:rPr>
          <w:rFonts w:asciiTheme="minorHAnsi" w:hAnsiTheme="minorHAnsi" w:cstheme="minorHAnsi"/>
          <w:bCs/>
          <w:kern w:val="2"/>
          <w:sz w:val="24"/>
          <w:szCs w:val="24"/>
        </w:rPr>
      </w:pPr>
      <w:r w:rsidRPr="0002054A">
        <w:rPr>
          <w:rFonts w:asciiTheme="minorHAnsi" w:hAnsiTheme="minorHAnsi" w:cstheme="minorHAnsi"/>
          <w:bCs/>
          <w:kern w:val="2"/>
          <w:sz w:val="24"/>
          <w:szCs w:val="24"/>
        </w:rPr>
        <w:t>The Proposed Project addresses the Patient Panel’s need for additional intensive physical rehabilitation beds through renovation and build-out of existing vacant space at a</w:t>
      </w:r>
      <w:r w:rsidR="00B03039">
        <w:rPr>
          <w:rFonts w:asciiTheme="minorHAnsi" w:hAnsiTheme="minorHAnsi" w:cstheme="minorHAnsi"/>
          <w:bCs/>
          <w:kern w:val="2"/>
          <w:sz w:val="24"/>
          <w:szCs w:val="24"/>
        </w:rPr>
        <w:t xml:space="preserve">n </w:t>
      </w:r>
      <w:r w:rsidRPr="0002054A">
        <w:rPr>
          <w:rFonts w:asciiTheme="minorHAnsi" w:hAnsiTheme="minorHAnsi" w:cstheme="minorHAnsi"/>
          <w:bCs/>
          <w:kern w:val="2"/>
          <w:sz w:val="24"/>
          <w:szCs w:val="24"/>
        </w:rPr>
        <w:t xml:space="preserve">IRF in Western Massachusetts. </w:t>
      </w:r>
      <w:r w:rsidR="00C61DB4" w:rsidRPr="0002054A">
        <w:rPr>
          <w:rFonts w:asciiTheme="minorHAnsi" w:hAnsiTheme="minorHAnsi" w:cstheme="minorHAnsi"/>
          <w:bCs/>
          <w:kern w:val="2"/>
          <w:sz w:val="24"/>
          <w:szCs w:val="24"/>
        </w:rPr>
        <w:t xml:space="preserve">The Applicant </w:t>
      </w:r>
      <w:r w:rsidR="00462BE3" w:rsidRPr="0002054A">
        <w:rPr>
          <w:rFonts w:asciiTheme="minorHAnsi" w:hAnsiTheme="minorHAnsi" w:cstheme="minorHAnsi"/>
          <w:bCs/>
          <w:kern w:val="2"/>
          <w:sz w:val="24"/>
          <w:szCs w:val="24"/>
        </w:rPr>
        <w:t>highlights th</w:t>
      </w:r>
      <w:r w:rsidR="00CD1361" w:rsidRPr="0002054A">
        <w:rPr>
          <w:rFonts w:asciiTheme="minorHAnsi" w:hAnsiTheme="minorHAnsi" w:cstheme="minorHAnsi"/>
          <w:bCs/>
          <w:kern w:val="2"/>
          <w:sz w:val="24"/>
          <w:szCs w:val="24"/>
        </w:rPr>
        <w:t xml:space="preserve">e </w:t>
      </w:r>
      <w:r w:rsidR="00101354" w:rsidRPr="0002054A">
        <w:rPr>
          <w:rFonts w:asciiTheme="minorHAnsi" w:hAnsiTheme="minorHAnsi" w:cstheme="minorHAnsi"/>
          <w:bCs/>
          <w:kern w:val="2"/>
          <w:sz w:val="24"/>
          <w:szCs w:val="24"/>
        </w:rPr>
        <w:t xml:space="preserve">improved outcomes associated with </w:t>
      </w:r>
      <w:r w:rsidR="00CD1361" w:rsidRPr="0002054A">
        <w:rPr>
          <w:rFonts w:asciiTheme="minorHAnsi" w:hAnsiTheme="minorHAnsi" w:cstheme="minorHAnsi"/>
          <w:bCs/>
          <w:kern w:val="2"/>
          <w:sz w:val="24"/>
          <w:szCs w:val="24"/>
        </w:rPr>
        <w:t>1) access to IRF level of care and 2) private rooms</w:t>
      </w:r>
      <w:r w:rsidR="00101354" w:rsidRPr="0002054A">
        <w:rPr>
          <w:rFonts w:asciiTheme="minorHAnsi" w:hAnsiTheme="minorHAnsi" w:cstheme="minorHAnsi"/>
          <w:bCs/>
          <w:kern w:val="2"/>
          <w:sz w:val="24"/>
          <w:szCs w:val="24"/>
        </w:rPr>
        <w:t>.</w:t>
      </w:r>
    </w:p>
    <w:p w14:paraId="75AFB8B1" w14:textId="77777777" w:rsidR="00931426" w:rsidRPr="0002054A" w:rsidRDefault="00931426" w:rsidP="0002054A">
      <w:pPr>
        <w:pStyle w:val="BodyText"/>
        <w:widowControl/>
        <w:spacing w:before="0"/>
        <w:ind w:left="14"/>
        <w:rPr>
          <w:rFonts w:asciiTheme="minorHAnsi" w:hAnsiTheme="minorHAnsi" w:cstheme="minorHAnsi"/>
          <w:bCs/>
          <w:kern w:val="2"/>
          <w:sz w:val="24"/>
          <w:szCs w:val="24"/>
        </w:rPr>
      </w:pPr>
    </w:p>
    <w:p w14:paraId="72F00901" w14:textId="77777777" w:rsidR="00E53A48" w:rsidRPr="008844B9" w:rsidRDefault="00101354" w:rsidP="00E53A48">
      <w:pPr>
        <w:pStyle w:val="ListParagraph"/>
        <w:widowControl w:val="0"/>
        <w:numPr>
          <w:ilvl w:val="0"/>
          <w:numId w:val="35"/>
        </w:numPr>
        <w:spacing w:after="0" w:line="240" w:lineRule="auto"/>
        <w:rPr>
          <w:rFonts w:cstheme="minorHAnsi"/>
          <w:b/>
          <w:i/>
          <w:iCs/>
          <w:kern w:val="2"/>
          <w:sz w:val="24"/>
          <w:szCs w:val="24"/>
        </w:rPr>
      </w:pPr>
      <w:r w:rsidRPr="008844B9">
        <w:rPr>
          <w:rFonts w:cstheme="minorHAnsi"/>
          <w:b/>
          <w:i/>
          <w:iCs/>
          <w:kern w:val="2"/>
          <w:sz w:val="24"/>
          <w:szCs w:val="24"/>
        </w:rPr>
        <w:t>Access to IRF Level of Care</w:t>
      </w:r>
    </w:p>
    <w:p w14:paraId="746E09A4" w14:textId="65DC6489" w:rsidR="006E69E7" w:rsidRPr="00BB6503" w:rsidRDefault="0091192F" w:rsidP="00BB6503">
      <w:pPr>
        <w:widowControl w:val="0"/>
        <w:spacing w:after="0" w:line="240" w:lineRule="auto"/>
        <w:ind w:left="360"/>
        <w:rPr>
          <w:rFonts w:cstheme="minorHAnsi"/>
          <w:bCs/>
          <w:kern w:val="2"/>
          <w:sz w:val="24"/>
          <w:szCs w:val="24"/>
        </w:rPr>
      </w:pPr>
      <w:r>
        <w:rPr>
          <w:rFonts w:cstheme="minorHAnsi"/>
          <w:bCs/>
          <w:kern w:val="2"/>
          <w:sz w:val="24"/>
          <w:szCs w:val="24"/>
        </w:rPr>
        <w:t xml:space="preserve">As </w:t>
      </w:r>
      <w:r w:rsidR="00A718B6">
        <w:rPr>
          <w:rFonts w:cstheme="minorHAnsi"/>
          <w:bCs/>
          <w:kern w:val="2"/>
          <w:sz w:val="24"/>
          <w:szCs w:val="24"/>
        </w:rPr>
        <w:t>detailed in Table 9 above</w:t>
      </w:r>
      <w:r>
        <w:rPr>
          <w:rFonts w:cstheme="minorHAnsi"/>
          <w:bCs/>
          <w:kern w:val="2"/>
          <w:sz w:val="24"/>
          <w:szCs w:val="24"/>
        </w:rPr>
        <w:t>, Western Massachusetts has a limited</w:t>
      </w:r>
      <w:r w:rsidR="00A718B6">
        <w:rPr>
          <w:rFonts w:cstheme="minorHAnsi"/>
          <w:bCs/>
          <w:kern w:val="2"/>
          <w:sz w:val="24"/>
          <w:szCs w:val="24"/>
        </w:rPr>
        <w:t xml:space="preserve"> number of </w:t>
      </w:r>
      <w:r w:rsidR="00FA5A21">
        <w:rPr>
          <w:rFonts w:cstheme="minorHAnsi"/>
          <w:bCs/>
          <w:kern w:val="2"/>
          <w:sz w:val="24"/>
          <w:szCs w:val="24"/>
        </w:rPr>
        <w:t>IRF units</w:t>
      </w:r>
      <w:r w:rsidR="00A718B6">
        <w:rPr>
          <w:rFonts w:cstheme="minorHAnsi"/>
          <w:bCs/>
          <w:kern w:val="2"/>
          <w:sz w:val="24"/>
          <w:szCs w:val="24"/>
        </w:rPr>
        <w:t xml:space="preserve"> available</w:t>
      </w:r>
      <w:r w:rsidR="00FA5A21">
        <w:rPr>
          <w:rFonts w:cstheme="minorHAnsi"/>
          <w:bCs/>
          <w:kern w:val="2"/>
          <w:sz w:val="24"/>
          <w:szCs w:val="24"/>
        </w:rPr>
        <w:t xml:space="preserve"> </w:t>
      </w:r>
      <w:r w:rsidR="001135C3">
        <w:rPr>
          <w:rFonts w:cstheme="minorHAnsi"/>
          <w:bCs/>
          <w:kern w:val="2"/>
          <w:sz w:val="24"/>
          <w:szCs w:val="24"/>
        </w:rPr>
        <w:t>to its residents</w:t>
      </w:r>
      <w:r w:rsidR="00A718B6">
        <w:rPr>
          <w:rFonts w:cstheme="minorHAnsi"/>
          <w:bCs/>
          <w:kern w:val="2"/>
          <w:sz w:val="24"/>
          <w:szCs w:val="24"/>
        </w:rPr>
        <w:t xml:space="preserve">. </w:t>
      </w:r>
      <w:r w:rsidR="00101354" w:rsidRPr="00E53A48">
        <w:rPr>
          <w:rFonts w:cstheme="minorHAnsi"/>
          <w:bCs/>
          <w:kern w:val="2"/>
          <w:sz w:val="24"/>
          <w:szCs w:val="24"/>
        </w:rPr>
        <w:t>When i</w:t>
      </w:r>
      <w:r w:rsidR="00C56791" w:rsidRPr="00E53A48">
        <w:rPr>
          <w:rFonts w:cstheme="minorHAnsi"/>
          <w:bCs/>
          <w:kern w:val="2"/>
          <w:sz w:val="24"/>
          <w:szCs w:val="24"/>
        </w:rPr>
        <w:t xml:space="preserve">npatient rehabilitation services are </w:t>
      </w:r>
      <w:r w:rsidR="00101354" w:rsidRPr="00E53A48">
        <w:rPr>
          <w:rFonts w:cstheme="minorHAnsi"/>
          <w:bCs/>
          <w:kern w:val="2"/>
          <w:sz w:val="24"/>
          <w:szCs w:val="24"/>
        </w:rPr>
        <w:t>necessary, the</w:t>
      </w:r>
      <w:r w:rsidR="0002054A" w:rsidRPr="00E53A48">
        <w:rPr>
          <w:rFonts w:cstheme="minorHAnsi"/>
          <w:bCs/>
          <w:kern w:val="2"/>
          <w:sz w:val="24"/>
          <w:szCs w:val="24"/>
        </w:rPr>
        <w:t xml:space="preserve">y </w:t>
      </w:r>
      <w:r w:rsidR="00FA57A2">
        <w:rPr>
          <w:rFonts w:cstheme="minorHAnsi"/>
          <w:bCs/>
          <w:kern w:val="2"/>
          <w:sz w:val="24"/>
          <w:szCs w:val="24"/>
        </w:rPr>
        <w:t xml:space="preserve">are </w:t>
      </w:r>
      <w:r w:rsidR="00C56791" w:rsidRPr="00E53A48">
        <w:rPr>
          <w:rFonts w:cstheme="minorHAnsi"/>
          <w:bCs/>
          <w:kern w:val="2"/>
          <w:sz w:val="24"/>
          <w:szCs w:val="24"/>
        </w:rPr>
        <w:t xml:space="preserve">typically provided in </w:t>
      </w:r>
      <w:r w:rsidR="000120BB" w:rsidRPr="00E53A48">
        <w:rPr>
          <w:rFonts w:cstheme="minorHAnsi"/>
          <w:bCs/>
          <w:kern w:val="2"/>
          <w:sz w:val="24"/>
          <w:szCs w:val="24"/>
        </w:rPr>
        <w:t xml:space="preserve">either </w:t>
      </w:r>
      <w:r w:rsidR="00C56791" w:rsidRPr="00E53A48">
        <w:rPr>
          <w:rFonts w:cstheme="minorHAnsi"/>
          <w:bCs/>
          <w:kern w:val="2"/>
          <w:sz w:val="24"/>
          <w:szCs w:val="24"/>
        </w:rPr>
        <w:t xml:space="preserve">an IRF or in a </w:t>
      </w:r>
      <w:r w:rsidR="00C56791" w:rsidRPr="00E53A48">
        <w:rPr>
          <w:rFonts w:eastAsia="Times New Roman" w:cstheme="minorHAnsi"/>
          <w:sz w:val="24"/>
          <w:szCs w:val="24"/>
        </w:rPr>
        <w:t>skilled nursing facility (“SNF”).</w:t>
      </w:r>
      <w:r w:rsidR="00E0532E" w:rsidRPr="00E53A48">
        <w:rPr>
          <w:rFonts w:eastAsia="Times New Roman" w:cstheme="minorHAnsi"/>
          <w:sz w:val="24"/>
          <w:szCs w:val="24"/>
        </w:rPr>
        <w:t xml:space="preserve"> There are </w:t>
      </w:r>
      <w:proofErr w:type="gramStart"/>
      <w:r w:rsidR="00E0532E" w:rsidRPr="00E53A48">
        <w:rPr>
          <w:rFonts w:eastAsia="Times New Roman" w:cstheme="minorHAnsi"/>
          <w:sz w:val="24"/>
          <w:szCs w:val="24"/>
        </w:rPr>
        <w:t>a number of</w:t>
      </w:r>
      <w:proofErr w:type="gramEnd"/>
      <w:r w:rsidR="00E0532E" w:rsidRPr="00E53A48">
        <w:rPr>
          <w:rFonts w:eastAsia="Times New Roman" w:cstheme="minorHAnsi"/>
          <w:sz w:val="24"/>
          <w:szCs w:val="24"/>
        </w:rPr>
        <w:t xml:space="preserve"> differences in the scope of services that must be provided in each setting, with </w:t>
      </w:r>
      <w:r w:rsidR="00E0532E" w:rsidRPr="00E53A48">
        <w:rPr>
          <w:rFonts w:cstheme="minorHAnsi"/>
          <w:bCs/>
          <w:kern w:val="2"/>
          <w:sz w:val="24"/>
          <w:szCs w:val="24"/>
        </w:rPr>
        <w:t>inpatient rehab in a SNF</w:t>
      </w:r>
      <w:r w:rsidR="00E0532E" w:rsidRPr="00E53A48">
        <w:rPr>
          <w:rFonts w:eastAsia="Times New Roman" w:cstheme="minorHAnsi"/>
          <w:sz w:val="24"/>
          <w:szCs w:val="24"/>
        </w:rPr>
        <w:t xml:space="preserve"> being considered less intensive post-acute care services.</w:t>
      </w:r>
      <w:r w:rsidR="0002054A" w:rsidRPr="0002054A">
        <w:rPr>
          <w:rStyle w:val="EndnoteReference"/>
          <w:rFonts w:eastAsia="Times New Roman" w:cstheme="minorHAnsi"/>
          <w:sz w:val="24"/>
          <w:szCs w:val="24"/>
        </w:rPr>
        <w:endnoteReference w:id="4"/>
      </w:r>
      <w:r w:rsidR="00E0532E" w:rsidRPr="00E53A48">
        <w:rPr>
          <w:rFonts w:eastAsia="Times New Roman" w:cstheme="minorHAnsi"/>
          <w:sz w:val="24"/>
          <w:szCs w:val="24"/>
        </w:rPr>
        <w:t xml:space="preserve"> </w:t>
      </w:r>
      <w:r w:rsidR="006964BF" w:rsidRPr="00E53A48">
        <w:rPr>
          <w:rFonts w:eastAsia="Times New Roman" w:cstheme="minorHAnsi"/>
          <w:sz w:val="24"/>
          <w:szCs w:val="24"/>
        </w:rPr>
        <w:t xml:space="preserve">The Applicant notes that IRFs </w:t>
      </w:r>
      <w:r w:rsidR="00C16CD6" w:rsidRPr="00E53A48">
        <w:rPr>
          <w:rFonts w:eastAsia="Times New Roman" w:cstheme="minorHAnsi"/>
          <w:sz w:val="24"/>
          <w:szCs w:val="24"/>
        </w:rPr>
        <w:t>must provide a</w:t>
      </w:r>
      <w:r w:rsidR="005B138B" w:rsidRPr="00E53A48">
        <w:rPr>
          <w:rFonts w:eastAsia="Times New Roman" w:cstheme="minorHAnsi"/>
          <w:sz w:val="24"/>
          <w:szCs w:val="24"/>
        </w:rPr>
        <w:t xml:space="preserve"> higher number of therapy hours per day tha</w:t>
      </w:r>
      <w:r w:rsidR="00C16CD6" w:rsidRPr="00E53A48">
        <w:rPr>
          <w:rFonts w:eastAsia="Times New Roman" w:cstheme="minorHAnsi"/>
          <w:sz w:val="24"/>
          <w:szCs w:val="24"/>
        </w:rPr>
        <w:t>n</w:t>
      </w:r>
      <w:r w:rsidR="005B138B" w:rsidRPr="00E53A48">
        <w:rPr>
          <w:rFonts w:eastAsia="Times New Roman" w:cstheme="minorHAnsi"/>
          <w:sz w:val="24"/>
          <w:szCs w:val="24"/>
        </w:rPr>
        <w:t xml:space="preserve"> a patient receives in a SNF</w:t>
      </w:r>
      <w:r w:rsidR="00C16CD6" w:rsidRPr="00E53A48">
        <w:rPr>
          <w:rFonts w:eastAsia="Times New Roman" w:cstheme="minorHAnsi"/>
          <w:sz w:val="24"/>
          <w:szCs w:val="24"/>
        </w:rPr>
        <w:t>.</w:t>
      </w:r>
      <w:r w:rsidR="005B138B" w:rsidRPr="00E53A48">
        <w:rPr>
          <w:rFonts w:eastAsia="Times New Roman" w:cstheme="minorHAnsi"/>
          <w:sz w:val="24"/>
          <w:szCs w:val="24"/>
        </w:rPr>
        <w:t xml:space="preserve"> </w:t>
      </w:r>
      <w:r w:rsidR="006B7563" w:rsidRPr="00E53A48">
        <w:rPr>
          <w:rFonts w:eastAsia="Times New Roman" w:cstheme="minorHAnsi"/>
          <w:sz w:val="24"/>
          <w:szCs w:val="24"/>
        </w:rPr>
        <w:t xml:space="preserve">The Applicant also highlights that </w:t>
      </w:r>
      <w:r w:rsidR="00332628" w:rsidRPr="00E53A48">
        <w:rPr>
          <w:rFonts w:eastAsia="Times New Roman" w:cstheme="minorHAnsi"/>
          <w:sz w:val="24"/>
          <w:szCs w:val="24"/>
        </w:rPr>
        <w:t>IRF’s require the</w:t>
      </w:r>
      <w:r w:rsidR="005B138B" w:rsidRPr="00E53A48">
        <w:rPr>
          <w:rFonts w:eastAsia="Times New Roman" w:cstheme="minorHAnsi"/>
          <w:sz w:val="24"/>
          <w:szCs w:val="24"/>
        </w:rPr>
        <w:t xml:space="preserve"> involvement and </w:t>
      </w:r>
      <w:r w:rsidR="005B138B" w:rsidRPr="00E53A48">
        <w:rPr>
          <w:rFonts w:eastAsia="Times New Roman" w:cstheme="minorHAnsi"/>
          <w:sz w:val="24"/>
          <w:szCs w:val="24"/>
        </w:rPr>
        <w:lastRenderedPageBreak/>
        <w:t>direction of a physician leading the multidisciplinary team.</w:t>
      </w:r>
      <w:r w:rsidR="00DF0C54" w:rsidRPr="00E53A48">
        <w:rPr>
          <w:rFonts w:eastAsia="Times New Roman" w:cstheme="minorHAnsi"/>
          <w:sz w:val="24"/>
          <w:szCs w:val="24"/>
        </w:rPr>
        <w:t xml:space="preserve"> </w:t>
      </w:r>
      <w:r w:rsidR="00793A50" w:rsidRPr="00E53A48">
        <w:rPr>
          <w:rFonts w:eastAsia="Times New Roman" w:cstheme="minorHAnsi"/>
          <w:sz w:val="24"/>
          <w:szCs w:val="24"/>
        </w:rPr>
        <w:t xml:space="preserve">These factors </w:t>
      </w:r>
      <w:r w:rsidR="00FE2432" w:rsidRPr="00E53A48">
        <w:rPr>
          <w:rFonts w:eastAsia="Times New Roman" w:cstheme="minorHAnsi"/>
          <w:sz w:val="24"/>
          <w:szCs w:val="24"/>
        </w:rPr>
        <w:t>culminate in t</w:t>
      </w:r>
      <w:r w:rsidR="00DF0C54" w:rsidRPr="00E53A48">
        <w:rPr>
          <w:rFonts w:eastAsia="Times New Roman" w:cstheme="minorHAnsi"/>
          <w:sz w:val="24"/>
          <w:szCs w:val="24"/>
        </w:rPr>
        <w:t>he national average discharge rates</w:t>
      </w:r>
      <w:r w:rsidR="00E1255F" w:rsidRPr="00E53A48">
        <w:rPr>
          <w:rFonts w:eastAsia="Times New Roman" w:cstheme="minorHAnsi"/>
          <w:sz w:val="24"/>
          <w:szCs w:val="24"/>
        </w:rPr>
        <w:t xml:space="preserve"> showing that</w:t>
      </w:r>
      <w:r w:rsidR="00DF0C54" w:rsidRPr="00E53A48">
        <w:rPr>
          <w:rFonts w:eastAsia="Times New Roman" w:cstheme="minorHAnsi"/>
          <w:sz w:val="24"/>
          <w:szCs w:val="24"/>
        </w:rPr>
        <w:t xml:space="preserve"> rehab hospitals return a significantly higher percentage of patients to the community compared to nursing homes.</w:t>
      </w:r>
      <w:r w:rsidR="00E0041A" w:rsidRPr="003A2FB2">
        <w:rPr>
          <w:rStyle w:val="EndnoteReference"/>
          <w:rFonts w:eastAsia="Times New Roman" w:cstheme="minorHAnsi"/>
          <w:sz w:val="24"/>
          <w:szCs w:val="24"/>
        </w:rPr>
        <w:endnoteReference w:id="5"/>
      </w:r>
      <w:r w:rsidR="00A14A3A" w:rsidRPr="00E53A48">
        <w:rPr>
          <w:rFonts w:eastAsia="Times New Roman" w:cstheme="minorHAnsi"/>
          <w:sz w:val="24"/>
          <w:szCs w:val="24"/>
        </w:rPr>
        <w:t xml:space="preserve"> </w:t>
      </w:r>
      <w:r w:rsidR="002F6474" w:rsidRPr="00E53A48">
        <w:rPr>
          <w:rFonts w:eastAsia="Times New Roman" w:cstheme="minorHAnsi"/>
          <w:bCs/>
          <w:sz w:val="24"/>
          <w:szCs w:val="24"/>
        </w:rPr>
        <w:t>To illustrate the importance of adding</w:t>
      </w:r>
      <w:r w:rsidR="002D1A9B" w:rsidRPr="00E53A48">
        <w:rPr>
          <w:rFonts w:eastAsia="Times New Roman" w:cstheme="minorHAnsi"/>
          <w:bCs/>
          <w:sz w:val="24"/>
          <w:szCs w:val="24"/>
        </w:rPr>
        <w:t xml:space="preserve"> capacity for IRF services for the Patient Panel, the Applicant noted </w:t>
      </w:r>
      <w:r w:rsidR="009A4794" w:rsidRPr="00E53A48">
        <w:rPr>
          <w:rFonts w:eastAsia="Times New Roman" w:cstheme="minorHAnsi"/>
          <w:bCs/>
          <w:sz w:val="24"/>
          <w:szCs w:val="24"/>
        </w:rPr>
        <w:t xml:space="preserve">research studies </w:t>
      </w:r>
      <w:r w:rsidR="001100E5" w:rsidRPr="00E53A48">
        <w:rPr>
          <w:rFonts w:eastAsia="Times New Roman" w:cstheme="minorHAnsi"/>
          <w:bCs/>
          <w:sz w:val="24"/>
          <w:szCs w:val="24"/>
        </w:rPr>
        <w:t xml:space="preserve">which conclude that </w:t>
      </w:r>
      <w:r w:rsidR="00A87914" w:rsidRPr="00E53A48">
        <w:rPr>
          <w:rFonts w:eastAsia="Times New Roman" w:cstheme="minorHAnsi"/>
          <w:bCs/>
          <w:sz w:val="24"/>
          <w:szCs w:val="24"/>
        </w:rPr>
        <w:t xml:space="preserve">post-acute care </w:t>
      </w:r>
      <w:r w:rsidR="004670A0">
        <w:rPr>
          <w:rFonts w:eastAsia="Times New Roman" w:cstheme="minorHAnsi"/>
          <w:bCs/>
          <w:sz w:val="24"/>
          <w:szCs w:val="24"/>
        </w:rPr>
        <w:t xml:space="preserve">in </w:t>
      </w:r>
      <w:r w:rsidR="001100E5" w:rsidRPr="00E53A48">
        <w:rPr>
          <w:rFonts w:eastAsia="Times New Roman" w:cstheme="minorHAnsi"/>
          <w:bCs/>
          <w:sz w:val="24"/>
          <w:szCs w:val="24"/>
        </w:rPr>
        <w:t xml:space="preserve">IRF </w:t>
      </w:r>
      <w:r w:rsidR="00FF45ED" w:rsidRPr="00E53A48">
        <w:rPr>
          <w:rFonts w:eastAsia="Times New Roman" w:cstheme="minorHAnsi"/>
          <w:bCs/>
          <w:sz w:val="24"/>
          <w:szCs w:val="24"/>
        </w:rPr>
        <w:t>settings lead</w:t>
      </w:r>
      <w:r w:rsidR="00A87914" w:rsidRPr="00E53A48">
        <w:rPr>
          <w:rFonts w:eastAsia="Times New Roman" w:cstheme="minorHAnsi"/>
          <w:bCs/>
          <w:sz w:val="24"/>
          <w:szCs w:val="24"/>
        </w:rPr>
        <w:t>s</w:t>
      </w:r>
      <w:r w:rsidR="00FF45ED" w:rsidRPr="00E53A48">
        <w:rPr>
          <w:rFonts w:eastAsia="Times New Roman" w:cstheme="minorHAnsi"/>
          <w:bCs/>
          <w:sz w:val="24"/>
          <w:szCs w:val="24"/>
        </w:rPr>
        <w:t xml:space="preserve"> </w:t>
      </w:r>
      <w:r w:rsidR="009E28BD" w:rsidRPr="00E53A48">
        <w:rPr>
          <w:rFonts w:eastAsia="Times New Roman" w:cstheme="minorHAnsi"/>
          <w:bCs/>
          <w:sz w:val="24"/>
          <w:szCs w:val="24"/>
        </w:rPr>
        <w:t xml:space="preserve">to lower </w:t>
      </w:r>
      <w:r w:rsidR="00994AF2" w:rsidRPr="00E53A48">
        <w:rPr>
          <w:rFonts w:eastAsia="Times New Roman" w:cstheme="minorHAnsi"/>
          <w:bCs/>
          <w:sz w:val="24"/>
          <w:szCs w:val="24"/>
        </w:rPr>
        <w:t xml:space="preserve">patient </w:t>
      </w:r>
      <w:r w:rsidR="009E28BD" w:rsidRPr="00E53A48">
        <w:rPr>
          <w:rFonts w:eastAsia="Times New Roman" w:cstheme="minorHAnsi"/>
          <w:bCs/>
          <w:sz w:val="24"/>
          <w:szCs w:val="24"/>
        </w:rPr>
        <w:t>mortality, fewer readmissions</w:t>
      </w:r>
      <w:r w:rsidR="00A87914" w:rsidRPr="00E53A48">
        <w:rPr>
          <w:rFonts w:eastAsia="Times New Roman" w:cstheme="minorHAnsi"/>
          <w:bCs/>
          <w:sz w:val="24"/>
          <w:szCs w:val="24"/>
        </w:rPr>
        <w:t>,</w:t>
      </w:r>
      <w:r w:rsidR="009E28BD" w:rsidRPr="00E53A48">
        <w:rPr>
          <w:rFonts w:eastAsia="Times New Roman" w:cstheme="minorHAnsi"/>
          <w:bCs/>
          <w:sz w:val="24"/>
          <w:szCs w:val="24"/>
        </w:rPr>
        <w:t xml:space="preserve"> and </w:t>
      </w:r>
      <w:r w:rsidR="00A87914" w:rsidRPr="00E53A48">
        <w:rPr>
          <w:rFonts w:eastAsia="Times New Roman" w:cstheme="minorHAnsi"/>
          <w:bCs/>
          <w:sz w:val="24"/>
          <w:szCs w:val="24"/>
        </w:rPr>
        <w:t xml:space="preserve">fewer </w:t>
      </w:r>
      <w:r w:rsidR="009E28BD" w:rsidRPr="00E53A48">
        <w:rPr>
          <w:rFonts w:eastAsia="Times New Roman" w:cstheme="minorHAnsi"/>
          <w:bCs/>
          <w:sz w:val="24"/>
          <w:szCs w:val="24"/>
        </w:rPr>
        <w:t>ER visits</w:t>
      </w:r>
      <w:r w:rsidR="00A87914" w:rsidRPr="00E53A48">
        <w:rPr>
          <w:rFonts w:eastAsia="Times New Roman" w:cstheme="minorHAnsi"/>
          <w:bCs/>
          <w:sz w:val="24"/>
          <w:szCs w:val="24"/>
        </w:rPr>
        <w:t>.</w:t>
      </w:r>
      <w:r w:rsidR="003A2FB2" w:rsidRPr="00555BB5">
        <w:rPr>
          <w:rStyle w:val="EndnoteReference"/>
          <w:rFonts w:eastAsia="Times New Roman" w:cstheme="minorHAnsi"/>
          <w:bCs/>
          <w:sz w:val="24"/>
          <w:szCs w:val="24"/>
        </w:rPr>
        <w:endnoteReference w:id="6"/>
      </w:r>
      <w:r w:rsidR="00787727" w:rsidRPr="00E53A48">
        <w:rPr>
          <w:rFonts w:eastAsia="Times New Roman" w:cstheme="minorHAnsi"/>
          <w:bCs/>
          <w:sz w:val="24"/>
          <w:szCs w:val="24"/>
          <w:vertAlign w:val="superscript"/>
        </w:rPr>
        <w:t>,</w:t>
      </w:r>
      <w:r w:rsidR="00787727">
        <w:rPr>
          <w:rStyle w:val="EndnoteReference"/>
          <w:rFonts w:eastAsia="Times New Roman" w:cstheme="minorHAnsi"/>
          <w:bCs/>
          <w:sz w:val="24"/>
          <w:szCs w:val="24"/>
        </w:rPr>
        <w:endnoteReference w:id="7"/>
      </w:r>
      <w:r w:rsidR="00A14A3A" w:rsidRPr="00E53A48">
        <w:rPr>
          <w:rFonts w:eastAsia="Times New Roman" w:cstheme="minorHAnsi"/>
          <w:bCs/>
          <w:sz w:val="24"/>
          <w:szCs w:val="24"/>
        </w:rPr>
        <w:t xml:space="preserve"> </w:t>
      </w:r>
      <w:r w:rsidR="00546F7D" w:rsidRPr="00E53A48">
        <w:rPr>
          <w:rFonts w:eastAsia="Times New Roman" w:cstheme="minorHAnsi"/>
          <w:sz w:val="24"/>
          <w:szCs w:val="24"/>
        </w:rPr>
        <w:t xml:space="preserve">The studies also noted </w:t>
      </w:r>
      <w:r w:rsidR="009237B4" w:rsidRPr="00E53A48">
        <w:rPr>
          <w:rFonts w:eastAsia="Times New Roman" w:cstheme="minorHAnsi"/>
          <w:sz w:val="24"/>
          <w:szCs w:val="24"/>
        </w:rPr>
        <w:t>improved functional outcomes of injured patients</w:t>
      </w:r>
      <w:r w:rsidR="006D51EB">
        <w:rPr>
          <w:rStyle w:val="EndnoteReference"/>
          <w:rFonts w:eastAsia="Times New Roman" w:cstheme="minorHAnsi"/>
          <w:sz w:val="24"/>
          <w:szCs w:val="24"/>
        </w:rPr>
        <w:endnoteReference w:id="8"/>
      </w:r>
      <w:r w:rsidR="00546F7D" w:rsidRPr="00E53A48">
        <w:rPr>
          <w:rFonts w:eastAsia="Times New Roman" w:cstheme="minorHAnsi"/>
          <w:sz w:val="24"/>
          <w:szCs w:val="24"/>
        </w:rPr>
        <w:t xml:space="preserve">, </w:t>
      </w:r>
      <w:r w:rsidR="0081076A">
        <w:rPr>
          <w:rFonts w:eastAsia="Times New Roman" w:cstheme="minorHAnsi"/>
          <w:sz w:val="24"/>
          <w:szCs w:val="24"/>
        </w:rPr>
        <w:t xml:space="preserve">as well as </w:t>
      </w:r>
      <w:r w:rsidR="00143612" w:rsidRPr="00E53A48">
        <w:rPr>
          <w:rFonts w:eastAsia="Times New Roman" w:cstheme="minorHAnsi"/>
          <w:sz w:val="24"/>
          <w:szCs w:val="24"/>
        </w:rPr>
        <w:t xml:space="preserve">substantially improved physical mobility and self-care function </w:t>
      </w:r>
      <w:r w:rsidR="00E7238C" w:rsidRPr="00E53A48">
        <w:rPr>
          <w:rFonts w:eastAsia="Times New Roman" w:cstheme="minorHAnsi"/>
          <w:sz w:val="24"/>
          <w:szCs w:val="24"/>
        </w:rPr>
        <w:t xml:space="preserve">for stroke patients </w:t>
      </w:r>
      <w:r w:rsidR="00143612" w:rsidRPr="00E53A48">
        <w:rPr>
          <w:rFonts w:eastAsia="Times New Roman" w:cstheme="minorHAnsi"/>
          <w:sz w:val="24"/>
          <w:szCs w:val="24"/>
        </w:rPr>
        <w:t>compared with rehabilitation in SNFs.</w:t>
      </w:r>
      <w:r w:rsidR="0061097D" w:rsidRPr="00555BB5">
        <w:rPr>
          <w:rStyle w:val="EndnoteReference"/>
          <w:rFonts w:eastAsia="Times New Roman" w:cstheme="minorHAnsi"/>
          <w:sz w:val="24"/>
          <w:szCs w:val="24"/>
        </w:rPr>
        <w:endnoteReference w:id="9"/>
      </w:r>
      <w:r w:rsidR="00555BB5" w:rsidRPr="00E53A48">
        <w:rPr>
          <w:rFonts w:eastAsia="Times New Roman" w:cstheme="minorHAnsi"/>
          <w:sz w:val="24"/>
          <w:szCs w:val="24"/>
        </w:rPr>
        <w:t xml:space="preserve"> The consistent findings in the referenced research are that patients receiving post-acute care in a comprehensive and intensive IRF setting while recovering from an acute injury or stroke display higher levels of functionality and reduced disabilities than patients receiving services in other post-acute care environments, including SNFs.</w:t>
      </w:r>
    </w:p>
    <w:p w14:paraId="78EC83BA" w14:textId="51FE37FE" w:rsidR="006E69E7" w:rsidRDefault="006E69E7" w:rsidP="00BA3196">
      <w:pPr>
        <w:widowControl w:val="0"/>
        <w:spacing w:after="0" w:line="240" w:lineRule="auto"/>
        <w:rPr>
          <w:rFonts w:eastAsia="Times New Roman" w:cstheme="minorHAnsi"/>
          <w:bCs/>
          <w:sz w:val="24"/>
          <w:szCs w:val="24"/>
        </w:rPr>
      </w:pPr>
    </w:p>
    <w:p w14:paraId="3DE67ACB" w14:textId="286507A9" w:rsidR="00C179EA" w:rsidRPr="008844B9" w:rsidRDefault="00E1255F" w:rsidP="00C179EA">
      <w:pPr>
        <w:pStyle w:val="ListParagraph"/>
        <w:widowControl w:val="0"/>
        <w:numPr>
          <w:ilvl w:val="0"/>
          <w:numId w:val="35"/>
        </w:numPr>
        <w:spacing w:after="0" w:line="240" w:lineRule="auto"/>
        <w:rPr>
          <w:rFonts w:eastAsia="Times New Roman" w:cstheme="minorHAnsi"/>
          <w:b/>
          <w:i/>
          <w:iCs/>
          <w:sz w:val="24"/>
          <w:szCs w:val="24"/>
        </w:rPr>
      </w:pPr>
      <w:r w:rsidRPr="008844B9">
        <w:rPr>
          <w:rFonts w:eastAsia="Times New Roman" w:cstheme="minorHAnsi"/>
          <w:b/>
          <w:i/>
          <w:iCs/>
          <w:sz w:val="24"/>
          <w:szCs w:val="24"/>
        </w:rPr>
        <w:t>Private Rooms</w:t>
      </w:r>
    </w:p>
    <w:p w14:paraId="59AC7AAF" w14:textId="3CCFA067" w:rsidR="003568F4" w:rsidRDefault="004D0B05" w:rsidP="00EA2BCE">
      <w:pPr>
        <w:spacing w:after="0" w:line="240" w:lineRule="auto"/>
        <w:ind w:left="360" w:right="720"/>
        <w:rPr>
          <w:rFonts w:cstheme="minorHAnsi"/>
          <w:sz w:val="24"/>
          <w:szCs w:val="24"/>
        </w:rPr>
      </w:pPr>
      <w:r w:rsidRPr="00E33439">
        <w:rPr>
          <w:rFonts w:cstheme="minorHAnsi"/>
          <w:bCs/>
          <w:kern w:val="2"/>
          <w:sz w:val="24"/>
          <w:szCs w:val="24"/>
        </w:rPr>
        <w:t>In addition to adding capacity for inpatient rehabilitation services in the IRF setting, t</w:t>
      </w:r>
      <w:r w:rsidR="00597489" w:rsidRPr="00E33439">
        <w:rPr>
          <w:rFonts w:cstheme="minorHAnsi"/>
          <w:bCs/>
          <w:kern w:val="2"/>
          <w:sz w:val="24"/>
          <w:szCs w:val="24"/>
        </w:rPr>
        <w:t xml:space="preserve">he Proposed Project will provide </w:t>
      </w:r>
      <w:r w:rsidR="00664D5B" w:rsidRPr="00E33439">
        <w:rPr>
          <w:rFonts w:cstheme="minorHAnsi"/>
          <w:bCs/>
          <w:kern w:val="2"/>
          <w:sz w:val="24"/>
          <w:szCs w:val="24"/>
        </w:rPr>
        <w:t>the Patient Panel</w:t>
      </w:r>
      <w:r w:rsidR="00C179EA" w:rsidRPr="00E33439">
        <w:rPr>
          <w:rFonts w:cstheme="minorHAnsi"/>
          <w:bCs/>
          <w:kern w:val="2"/>
          <w:sz w:val="24"/>
          <w:szCs w:val="24"/>
        </w:rPr>
        <w:t xml:space="preserve"> with additional</w:t>
      </w:r>
      <w:r w:rsidR="00597489" w:rsidRPr="00E33439">
        <w:rPr>
          <w:rFonts w:cstheme="minorHAnsi"/>
          <w:bCs/>
          <w:kern w:val="2"/>
          <w:sz w:val="24"/>
          <w:szCs w:val="24"/>
        </w:rPr>
        <w:t xml:space="preserve"> private rooms</w:t>
      </w:r>
      <w:r w:rsidR="00BC6828">
        <w:rPr>
          <w:rFonts w:cstheme="minorHAnsi"/>
          <w:bCs/>
          <w:kern w:val="2"/>
          <w:sz w:val="24"/>
          <w:szCs w:val="24"/>
        </w:rPr>
        <w:t xml:space="preserve"> for care</w:t>
      </w:r>
      <w:r w:rsidR="00597489" w:rsidRPr="00E33439">
        <w:rPr>
          <w:rFonts w:cstheme="minorHAnsi"/>
          <w:bCs/>
          <w:kern w:val="2"/>
          <w:sz w:val="24"/>
          <w:szCs w:val="24"/>
        </w:rPr>
        <w:t xml:space="preserve">. </w:t>
      </w:r>
      <w:r w:rsidR="009524A5" w:rsidRPr="00E33439">
        <w:rPr>
          <w:rFonts w:cstheme="minorHAnsi"/>
          <w:bCs/>
          <w:kern w:val="2"/>
          <w:sz w:val="24"/>
          <w:szCs w:val="24"/>
        </w:rPr>
        <w:t xml:space="preserve">The Applicant cites several studies highlighting the </w:t>
      </w:r>
      <w:r w:rsidR="00B13D97" w:rsidRPr="00E33439">
        <w:rPr>
          <w:rFonts w:cstheme="minorHAnsi"/>
          <w:bCs/>
          <w:kern w:val="2"/>
          <w:sz w:val="24"/>
          <w:szCs w:val="24"/>
        </w:rPr>
        <w:t xml:space="preserve">benefits and improved health outcomes associated with private rooms for post-acute care. </w:t>
      </w:r>
      <w:r w:rsidR="00B370DC" w:rsidRPr="00E33439">
        <w:rPr>
          <w:rFonts w:cstheme="minorHAnsi"/>
          <w:sz w:val="24"/>
          <w:szCs w:val="24"/>
        </w:rPr>
        <w:t xml:space="preserve">The studies </w:t>
      </w:r>
      <w:r w:rsidR="00DB0143" w:rsidRPr="00E33439">
        <w:rPr>
          <w:rFonts w:cstheme="minorHAnsi"/>
          <w:sz w:val="24"/>
          <w:szCs w:val="24"/>
        </w:rPr>
        <w:t xml:space="preserve">conclude that private rooms can result in </w:t>
      </w:r>
      <w:r w:rsidR="0031406A" w:rsidRPr="00E33439">
        <w:rPr>
          <w:rFonts w:cstheme="minorHAnsi"/>
          <w:sz w:val="24"/>
          <w:szCs w:val="24"/>
        </w:rPr>
        <w:t xml:space="preserve">a reduction in </w:t>
      </w:r>
      <w:r w:rsidR="00E33439" w:rsidRPr="00E33439">
        <w:rPr>
          <w:rFonts w:cstheme="minorHAnsi"/>
          <w:sz w:val="24"/>
          <w:szCs w:val="24"/>
        </w:rPr>
        <w:t xml:space="preserve">the spread of infection and </w:t>
      </w:r>
      <w:r w:rsidR="00DB0143" w:rsidRPr="00E33439">
        <w:rPr>
          <w:rFonts w:cstheme="minorHAnsi"/>
          <w:sz w:val="24"/>
          <w:szCs w:val="24"/>
        </w:rPr>
        <w:t>substantial savings compared to open-bay rooms by avoiding costs associated with nosocomial infections</w:t>
      </w:r>
      <w:r w:rsidR="00A113A1" w:rsidRPr="00E33439">
        <w:rPr>
          <w:rFonts w:cstheme="minorHAnsi"/>
          <w:sz w:val="24"/>
          <w:szCs w:val="24"/>
        </w:rPr>
        <w:t>.</w:t>
      </w:r>
      <w:r w:rsidR="00710875" w:rsidRPr="00E33439">
        <w:rPr>
          <w:rStyle w:val="EndnoteReference"/>
          <w:rFonts w:cstheme="minorHAnsi"/>
          <w:sz w:val="24"/>
          <w:szCs w:val="24"/>
        </w:rPr>
        <w:endnoteReference w:id="10"/>
      </w:r>
      <w:r w:rsidR="0031406A" w:rsidRPr="00E33439">
        <w:rPr>
          <w:rStyle w:val="EndnoteReference"/>
          <w:rFonts w:cstheme="minorHAnsi"/>
          <w:sz w:val="24"/>
          <w:szCs w:val="24"/>
        </w:rPr>
        <w:t>,</w:t>
      </w:r>
      <w:r w:rsidR="0031406A" w:rsidRPr="00E33439">
        <w:rPr>
          <w:rStyle w:val="EndnoteReference"/>
          <w:rFonts w:cstheme="minorHAnsi"/>
          <w:sz w:val="24"/>
          <w:szCs w:val="24"/>
        </w:rPr>
        <w:endnoteReference w:id="11"/>
      </w:r>
      <w:r w:rsidR="00696DA2" w:rsidRPr="00E33439">
        <w:rPr>
          <w:rFonts w:cstheme="minorHAnsi"/>
          <w:sz w:val="24"/>
          <w:szCs w:val="24"/>
        </w:rPr>
        <w:t xml:space="preserve"> </w:t>
      </w:r>
      <w:r w:rsidR="001D5868">
        <w:rPr>
          <w:rFonts w:cstheme="minorHAnsi"/>
          <w:sz w:val="24"/>
          <w:szCs w:val="24"/>
        </w:rPr>
        <w:t xml:space="preserve">Research also suggests that private rooms can enhance the quality of life for </w:t>
      </w:r>
      <w:r w:rsidR="004D74BE">
        <w:rPr>
          <w:rFonts w:cstheme="minorHAnsi"/>
          <w:sz w:val="24"/>
          <w:szCs w:val="24"/>
        </w:rPr>
        <w:t xml:space="preserve">patients in terms of </w:t>
      </w:r>
      <w:r w:rsidR="00696DA2" w:rsidRPr="00E33439">
        <w:rPr>
          <w:rFonts w:cstheme="minorHAnsi"/>
          <w:sz w:val="24"/>
          <w:szCs w:val="24"/>
        </w:rPr>
        <w:t>safety, dignity, privacy and ensuring patient-centered care.</w:t>
      </w:r>
      <w:r w:rsidR="00304569" w:rsidRPr="00E33439">
        <w:rPr>
          <w:rStyle w:val="EndnoteReference"/>
          <w:rFonts w:cstheme="minorHAnsi"/>
          <w:sz w:val="24"/>
          <w:szCs w:val="24"/>
        </w:rPr>
        <w:endnoteReference w:id="12"/>
      </w:r>
      <w:r w:rsidR="005271BF" w:rsidRPr="00E33439">
        <w:rPr>
          <w:rFonts w:cstheme="minorHAnsi"/>
          <w:sz w:val="24"/>
          <w:szCs w:val="24"/>
        </w:rPr>
        <w:t xml:space="preserve"> </w:t>
      </w:r>
      <w:r w:rsidR="00BC6828">
        <w:rPr>
          <w:rFonts w:cstheme="minorHAnsi"/>
          <w:sz w:val="24"/>
          <w:szCs w:val="24"/>
        </w:rPr>
        <w:t>Private</w:t>
      </w:r>
      <w:r w:rsidR="005271BF" w:rsidRPr="00E33439">
        <w:rPr>
          <w:rFonts w:cstheme="minorHAnsi"/>
          <w:sz w:val="24"/>
          <w:szCs w:val="24"/>
        </w:rPr>
        <w:t xml:space="preserve"> patient rooms </w:t>
      </w:r>
      <w:r w:rsidR="00BC6828">
        <w:rPr>
          <w:rFonts w:cstheme="minorHAnsi"/>
          <w:sz w:val="24"/>
          <w:szCs w:val="24"/>
        </w:rPr>
        <w:t xml:space="preserve">appear to </w:t>
      </w:r>
      <w:r w:rsidR="005271BF" w:rsidRPr="00E33439">
        <w:rPr>
          <w:rFonts w:cstheme="minorHAnsi"/>
          <w:sz w:val="24"/>
          <w:szCs w:val="24"/>
        </w:rPr>
        <w:t>enhance the patient healing environment</w:t>
      </w:r>
      <w:r w:rsidR="00BC6828">
        <w:rPr>
          <w:rFonts w:cstheme="minorHAnsi"/>
          <w:sz w:val="24"/>
          <w:szCs w:val="24"/>
        </w:rPr>
        <w:t xml:space="preserve"> through</w:t>
      </w:r>
      <w:r w:rsidR="005271BF" w:rsidRPr="00E33439">
        <w:rPr>
          <w:rFonts w:cstheme="minorHAnsi"/>
          <w:sz w:val="24"/>
          <w:szCs w:val="24"/>
        </w:rPr>
        <w:t xml:space="preserve"> noise reduction, fewer sleep disturbances</w:t>
      </w:r>
      <w:r w:rsidR="00BC6828">
        <w:rPr>
          <w:rFonts w:cstheme="minorHAnsi"/>
          <w:sz w:val="24"/>
          <w:szCs w:val="24"/>
        </w:rPr>
        <w:t>,</w:t>
      </w:r>
      <w:r w:rsidR="005271BF" w:rsidRPr="00E33439">
        <w:rPr>
          <w:rFonts w:cstheme="minorHAnsi"/>
          <w:sz w:val="24"/>
          <w:szCs w:val="24"/>
        </w:rPr>
        <w:t xml:space="preserve"> </w:t>
      </w:r>
      <w:r w:rsidR="00BC6828">
        <w:rPr>
          <w:rFonts w:cstheme="minorHAnsi"/>
          <w:sz w:val="24"/>
          <w:szCs w:val="24"/>
        </w:rPr>
        <w:t xml:space="preserve">and </w:t>
      </w:r>
      <w:r w:rsidR="005271BF" w:rsidRPr="00E33439">
        <w:rPr>
          <w:rFonts w:cstheme="minorHAnsi"/>
          <w:sz w:val="24"/>
          <w:szCs w:val="24"/>
        </w:rPr>
        <w:t>a significant reduction in overall stress during their stay</w:t>
      </w:r>
      <w:r w:rsidR="00BC6828">
        <w:rPr>
          <w:rFonts w:cstheme="minorHAnsi"/>
          <w:sz w:val="24"/>
          <w:szCs w:val="24"/>
        </w:rPr>
        <w:t>, which result in improved patient satisfaction</w:t>
      </w:r>
      <w:r w:rsidR="005271BF" w:rsidRPr="00E33439">
        <w:rPr>
          <w:rFonts w:cstheme="minorHAnsi"/>
          <w:sz w:val="24"/>
          <w:szCs w:val="24"/>
        </w:rPr>
        <w:t>.</w:t>
      </w:r>
      <w:r w:rsidR="00405580" w:rsidRPr="00E33439">
        <w:rPr>
          <w:rStyle w:val="EndnoteReference"/>
          <w:rFonts w:cstheme="minorHAnsi"/>
          <w:sz w:val="24"/>
          <w:szCs w:val="24"/>
        </w:rPr>
        <w:endnoteReference w:id="13"/>
      </w:r>
      <w:r w:rsidR="00D60AA1">
        <w:rPr>
          <w:rFonts w:cstheme="minorHAnsi"/>
          <w:sz w:val="24"/>
          <w:szCs w:val="24"/>
        </w:rPr>
        <w:t xml:space="preserve"> </w:t>
      </w:r>
    </w:p>
    <w:p w14:paraId="023B6913" w14:textId="499EE6C1" w:rsidR="00EA2BCE" w:rsidRDefault="00B107F8" w:rsidP="00B107F8">
      <w:pPr>
        <w:tabs>
          <w:tab w:val="left" w:pos="2073"/>
        </w:tabs>
        <w:spacing w:after="0" w:line="240" w:lineRule="auto"/>
        <w:ind w:left="360" w:right="720"/>
        <w:rPr>
          <w:rFonts w:cstheme="minorHAnsi"/>
          <w:sz w:val="24"/>
          <w:szCs w:val="24"/>
        </w:rPr>
      </w:pPr>
      <w:r>
        <w:rPr>
          <w:rFonts w:cstheme="minorHAnsi"/>
          <w:sz w:val="24"/>
          <w:szCs w:val="24"/>
        </w:rPr>
        <w:tab/>
      </w:r>
    </w:p>
    <w:p w14:paraId="70074471" w14:textId="331E7DF1" w:rsidR="00B107F8" w:rsidRDefault="006C4E66" w:rsidP="006C4E66">
      <w:pPr>
        <w:rPr>
          <w:rFonts w:cstheme="minorHAnsi"/>
          <w:sz w:val="24"/>
          <w:szCs w:val="24"/>
        </w:rPr>
      </w:pPr>
      <w:r w:rsidRPr="006C4E66">
        <w:rPr>
          <w:rFonts w:cstheme="minorHAnsi"/>
          <w:sz w:val="24"/>
          <w:szCs w:val="24"/>
        </w:rPr>
        <w:t xml:space="preserve">To assess the impact of the Proposed Project, the Applicant </w:t>
      </w:r>
      <w:r>
        <w:rPr>
          <w:rFonts w:cstheme="minorHAnsi"/>
          <w:sz w:val="24"/>
          <w:szCs w:val="24"/>
        </w:rPr>
        <w:t xml:space="preserve">proposed </w:t>
      </w:r>
      <w:r w:rsidRPr="006C4E66">
        <w:rPr>
          <w:rFonts w:cstheme="minorHAnsi"/>
          <w:sz w:val="24"/>
          <w:szCs w:val="24"/>
        </w:rPr>
        <w:t xml:space="preserve">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70ACFC28" w14:textId="77777777" w:rsidR="00B107F8" w:rsidRPr="00EA2BCE" w:rsidRDefault="00B107F8" w:rsidP="00B107F8">
      <w:pPr>
        <w:tabs>
          <w:tab w:val="left" w:pos="2073"/>
        </w:tabs>
        <w:spacing w:after="0" w:line="240" w:lineRule="auto"/>
        <w:ind w:left="360" w:right="720"/>
        <w:rPr>
          <w:rFonts w:cstheme="minorHAnsi"/>
          <w:sz w:val="24"/>
          <w:szCs w:val="24"/>
        </w:rPr>
      </w:pPr>
    </w:p>
    <w:p w14:paraId="79C2F9BE" w14:textId="2886DB9A" w:rsidR="00E45334" w:rsidRPr="00E70046" w:rsidRDefault="00E45334" w:rsidP="00B107F8">
      <w:pPr>
        <w:spacing w:after="0"/>
        <w:rPr>
          <w:rFonts w:cstheme="minorHAnsi"/>
          <w:b/>
          <w:i/>
        </w:rPr>
      </w:pPr>
      <w:r w:rsidRPr="00E70046">
        <w:rPr>
          <w:rFonts w:cstheme="minorHAnsi"/>
          <w:b/>
          <w:i/>
        </w:rPr>
        <w:t>Analysis: Public Health Value</w:t>
      </w:r>
      <w:r w:rsidR="00955295">
        <w:rPr>
          <w:rFonts w:cstheme="minorHAnsi"/>
          <w:b/>
          <w:i/>
        </w:rPr>
        <w:t>:</w:t>
      </w:r>
      <w:r w:rsidRPr="00E70046">
        <w:rPr>
          <w:rFonts w:cstheme="minorHAnsi"/>
          <w:b/>
          <w:i/>
        </w:rPr>
        <w:t xml:space="preserve"> Health Outcomes and Quality of Life</w:t>
      </w:r>
    </w:p>
    <w:p w14:paraId="26F38E8D" w14:textId="27669247" w:rsidR="00A151C6" w:rsidRPr="00A151C6" w:rsidRDefault="00A151C6" w:rsidP="00B107F8">
      <w:pPr>
        <w:spacing w:after="0"/>
        <w:rPr>
          <w:rFonts w:cstheme="minorHAnsi"/>
          <w:bCs/>
          <w:sz w:val="24"/>
          <w:szCs w:val="24"/>
        </w:rPr>
      </w:pPr>
      <w:r w:rsidRPr="00A151C6">
        <w:rPr>
          <w:rFonts w:cstheme="minorHAnsi"/>
          <w:bCs/>
          <w:sz w:val="24"/>
          <w:szCs w:val="24"/>
        </w:rPr>
        <w:t xml:space="preserve">Staff finds that </w:t>
      </w:r>
      <w:r>
        <w:rPr>
          <w:rFonts w:cstheme="minorHAnsi"/>
          <w:bCs/>
          <w:sz w:val="24"/>
          <w:szCs w:val="24"/>
        </w:rPr>
        <w:t xml:space="preserve">adding capacity </w:t>
      </w:r>
      <w:r w:rsidR="002545A8">
        <w:rPr>
          <w:rFonts w:cstheme="minorHAnsi"/>
          <w:bCs/>
          <w:sz w:val="24"/>
          <w:szCs w:val="24"/>
        </w:rPr>
        <w:t>for IRF service h</w:t>
      </w:r>
      <w:r w:rsidRPr="00A151C6">
        <w:rPr>
          <w:rFonts w:cstheme="minorHAnsi"/>
          <w:bCs/>
          <w:sz w:val="24"/>
          <w:szCs w:val="24"/>
        </w:rPr>
        <w:t>as the potential to improve health outcomes for the Patient Panel and the greater community.</w:t>
      </w:r>
      <w:r w:rsidRPr="00A151C6">
        <w:rPr>
          <w:rFonts w:cstheme="minorHAnsi"/>
          <w:sz w:val="24"/>
          <w:szCs w:val="24"/>
        </w:rPr>
        <w:t xml:space="preserve"> The literature suggests that </w:t>
      </w:r>
      <w:r w:rsidR="002545A8">
        <w:rPr>
          <w:rFonts w:cstheme="minorHAnsi"/>
          <w:sz w:val="24"/>
          <w:szCs w:val="24"/>
        </w:rPr>
        <w:t xml:space="preserve">IRF’s </w:t>
      </w:r>
      <w:r w:rsidR="00866CE5">
        <w:rPr>
          <w:rFonts w:cstheme="minorHAnsi"/>
          <w:sz w:val="24"/>
          <w:szCs w:val="24"/>
        </w:rPr>
        <w:t xml:space="preserve">provide more rehab services than </w:t>
      </w:r>
      <w:r w:rsidR="0067623E">
        <w:rPr>
          <w:rFonts w:cstheme="minorHAnsi"/>
          <w:sz w:val="24"/>
          <w:szCs w:val="24"/>
        </w:rPr>
        <w:t>the SNF setting</w:t>
      </w:r>
      <w:r w:rsidR="004B56DA">
        <w:rPr>
          <w:rFonts w:cstheme="minorHAnsi"/>
          <w:sz w:val="24"/>
          <w:szCs w:val="24"/>
        </w:rPr>
        <w:t>,</w:t>
      </w:r>
      <w:r w:rsidR="0067623E">
        <w:rPr>
          <w:rFonts w:cstheme="minorHAnsi"/>
          <w:sz w:val="24"/>
          <w:szCs w:val="24"/>
        </w:rPr>
        <w:t xml:space="preserve"> and IRF patients generally experience better treatment outcomes</w:t>
      </w:r>
      <w:r w:rsidRPr="00A151C6">
        <w:rPr>
          <w:rFonts w:cstheme="minorHAnsi"/>
          <w:sz w:val="24"/>
          <w:szCs w:val="24"/>
        </w:rPr>
        <w:t xml:space="preserve">. </w:t>
      </w:r>
      <w:r w:rsidR="00356D23">
        <w:rPr>
          <w:rFonts w:cstheme="minorHAnsi"/>
          <w:sz w:val="24"/>
          <w:szCs w:val="24"/>
        </w:rPr>
        <w:t xml:space="preserve">The ability to provide these services in private patient rooms further enhances </w:t>
      </w:r>
      <w:r w:rsidR="0083342A">
        <w:rPr>
          <w:rFonts w:cstheme="minorHAnsi"/>
          <w:sz w:val="24"/>
          <w:szCs w:val="24"/>
        </w:rPr>
        <w:t xml:space="preserve">patient outcomes through improved infection control and </w:t>
      </w:r>
      <w:r w:rsidR="00955295">
        <w:rPr>
          <w:rFonts w:cstheme="minorHAnsi"/>
          <w:sz w:val="24"/>
          <w:szCs w:val="24"/>
        </w:rPr>
        <w:t>an environment conducive to healing</w:t>
      </w:r>
      <w:r w:rsidRPr="00A151C6">
        <w:rPr>
          <w:rFonts w:cstheme="minorHAnsi"/>
          <w:sz w:val="24"/>
          <w:szCs w:val="24"/>
        </w:rPr>
        <w:t>. As a result, Staff finds that the Applicant meets the requirements of the Public Health Value: Health Outcomes</w:t>
      </w:r>
      <w:r w:rsidR="004B6352">
        <w:rPr>
          <w:rFonts w:cstheme="minorHAnsi"/>
          <w:sz w:val="24"/>
          <w:szCs w:val="24"/>
        </w:rPr>
        <w:t xml:space="preserve"> and Quality of Life</w:t>
      </w:r>
      <w:r w:rsidRPr="00A151C6">
        <w:rPr>
          <w:rFonts w:cstheme="minorHAnsi"/>
          <w:sz w:val="24"/>
          <w:szCs w:val="24"/>
        </w:rPr>
        <w:t xml:space="preserve"> part of Factor 1b.</w:t>
      </w:r>
    </w:p>
    <w:p w14:paraId="27240D88" w14:textId="77777777" w:rsidR="006C4E66" w:rsidRDefault="006C4E66" w:rsidP="003E1CDA">
      <w:pPr>
        <w:spacing w:line="240" w:lineRule="auto"/>
        <w:rPr>
          <w:rFonts w:cstheme="minorHAnsi"/>
          <w:sz w:val="24"/>
          <w:szCs w:val="24"/>
        </w:rPr>
      </w:pPr>
    </w:p>
    <w:p w14:paraId="49E69667" w14:textId="2ADACE2B" w:rsidR="003E1CDA" w:rsidRDefault="003E1CDA" w:rsidP="006C4E66">
      <w:pPr>
        <w:spacing w:after="0" w:line="240" w:lineRule="auto"/>
        <w:rPr>
          <w:b/>
          <w:bCs/>
          <w:i/>
          <w:iCs/>
          <w:sz w:val="24"/>
          <w:szCs w:val="24"/>
        </w:rPr>
      </w:pPr>
      <w:r w:rsidRPr="003E1CDA">
        <w:rPr>
          <w:b/>
          <w:bCs/>
          <w:i/>
          <w:iCs/>
          <w:sz w:val="24"/>
          <w:szCs w:val="24"/>
        </w:rPr>
        <w:t>Health Equity and Social Determinants of Health (SDOH)</w:t>
      </w:r>
    </w:p>
    <w:p w14:paraId="3E062C93" w14:textId="044970AE" w:rsidR="003D4FB2" w:rsidRDefault="003D4FB2" w:rsidP="006C4E66">
      <w:pPr>
        <w:spacing w:after="0" w:line="240" w:lineRule="auto"/>
        <w:rPr>
          <w:rFonts w:cstheme="minorHAnsi"/>
          <w:sz w:val="24"/>
          <w:szCs w:val="24"/>
        </w:rPr>
      </w:pPr>
      <w:r w:rsidRPr="00E91B31">
        <w:rPr>
          <w:rFonts w:cstheme="minorHAnsi"/>
          <w:sz w:val="24"/>
          <w:szCs w:val="24"/>
        </w:rPr>
        <w:lastRenderedPageBreak/>
        <w:t xml:space="preserve">The Applicant </w:t>
      </w:r>
      <w:r w:rsidR="006C4E66">
        <w:rPr>
          <w:rFonts w:cstheme="minorHAnsi"/>
          <w:sz w:val="24"/>
          <w:szCs w:val="24"/>
        </w:rPr>
        <w:t>asserts</w:t>
      </w:r>
      <w:r w:rsidRPr="00E91B31">
        <w:rPr>
          <w:rFonts w:cstheme="minorHAnsi"/>
          <w:sz w:val="24"/>
          <w:szCs w:val="24"/>
        </w:rPr>
        <w:t xml:space="preserve"> that the Proposed Project will work to reduce health inequity through i</w:t>
      </w:r>
      <w:r w:rsidR="002F4F5B" w:rsidRPr="00E91B31">
        <w:rPr>
          <w:rFonts w:cstheme="minorHAnsi"/>
          <w:sz w:val="24"/>
          <w:szCs w:val="24"/>
        </w:rPr>
        <w:t xml:space="preserve">ncreasing </w:t>
      </w:r>
      <w:r w:rsidRPr="00E91B31">
        <w:rPr>
          <w:rFonts w:cstheme="minorHAnsi"/>
          <w:sz w:val="24"/>
          <w:szCs w:val="24"/>
        </w:rPr>
        <w:t xml:space="preserve">access to </w:t>
      </w:r>
      <w:r w:rsidR="00E91B31" w:rsidRPr="00E91B31">
        <w:rPr>
          <w:rFonts w:cstheme="minorHAnsi"/>
          <w:sz w:val="24"/>
          <w:szCs w:val="24"/>
        </w:rPr>
        <w:t>IRF services</w:t>
      </w:r>
      <w:r w:rsidRPr="00E91B31">
        <w:rPr>
          <w:rFonts w:cstheme="minorHAnsi"/>
          <w:sz w:val="24"/>
          <w:szCs w:val="24"/>
        </w:rPr>
        <w:t xml:space="preserve"> to all members of </w:t>
      </w:r>
      <w:r w:rsidR="00E91B31" w:rsidRPr="00E91B31">
        <w:rPr>
          <w:rFonts w:cstheme="minorHAnsi"/>
          <w:sz w:val="24"/>
          <w:szCs w:val="24"/>
        </w:rPr>
        <w:t>Encompass Western Mass</w:t>
      </w:r>
      <w:r w:rsidRPr="00E91B31">
        <w:rPr>
          <w:rFonts w:cstheme="minorHAnsi"/>
          <w:sz w:val="24"/>
          <w:szCs w:val="24"/>
        </w:rPr>
        <w:t>’s community. Th</w:t>
      </w:r>
      <w:r w:rsidR="00F8381A" w:rsidRPr="00E91B31">
        <w:rPr>
          <w:rFonts w:cstheme="minorHAnsi"/>
          <w:sz w:val="24"/>
          <w:szCs w:val="24"/>
        </w:rPr>
        <w:t>e</w:t>
      </w:r>
      <w:r w:rsidR="00F8381A" w:rsidRPr="00FC228A">
        <w:rPr>
          <w:rFonts w:cstheme="minorHAnsi"/>
          <w:sz w:val="24"/>
          <w:szCs w:val="24"/>
        </w:rPr>
        <w:t xml:space="preserve"> Applicant states that the Hospital </w:t>
      </w:r>
      <w:r w:rsidR="00EC70D7" w:rsidRPr="00FC228A">
        <w:rPr>
          <w:rFonts w:cstheme="minorHAnsi"/>
          <w:sz w:val="24"/>
          <w:szCs w:val="24"/>
        </w:rPr>
        <w:t xml:space="preserve">does not discriminate </w:t>
      </w:r>
      <w:proofErr w:type="gramStart"/>
      <w:r w:rsidR="00EC70D7" w:rsidRPr="00FC228A">
        <w:rPr>
          <w:rFonts w:cstheme="minorHAnsi"/>
          <w:sz w:val="24"/>
          <w:szCs w:val="24"/>
        </w:rPr>
        <w:t>on the basis of</w:t>
      </w:r>
      <w:proofErr w:type="gramEnd"/>
      <w:r w:rsidR="00EC70D7" w:rsidRPr="00FC228A">
        <w:rPr>
          <w:rFonts w:cstheme="minorHAnsi"/>
          <w:sz w:val="24"/>
          <w:szCs w:val="24"/>
        </w:rPr>
        <w:t xml:space="preserve"> race, color, national origin, sex, age, or disability in the delivery of healthcare to its patients. </w:t>
      </w:r>
      <w:r w:rsidR="00F8381A" w:rsidRPr="00FC228A">
        <w:rPr>
          <w:rFonts w:cstheme="minorHAnsi"/>
          <w:sz w:val="24"/>
          <w:szCs w:val="24"/>
        </w:rPr>
        <w:t>The Applicant highlighted that</w:t>
      </w:r>
      <w:r w:rsidR="00EC70D7" w:rsidRPr="00FC228A">
        <w:rPr>
          <w:rFonts w:cstheme="minorHAnsi"/>
          <w:sz w:val="24"/>
          <w:szCs w:val="24"/>
        </w:rPr>
        <w:t xml:space="preserve"> Encompass Health </w:t>
      </w:r>
      <w:r w:rsidR="00E91B31">
        <w:rPr>
          <w:rFonts w:cstheme="minorHAnsi"/>
          <w:sz w:val="24"/>
          <w:szCs w:val="24"/>
        </w:rPr>
        <w:t xml:space="preserve">implemented its </w:t>
      </w:r>
      <w:r w:rsidR="00E91B31" w:rsidRPr="00FC228A">
        <w:rPr>
          <w:rFonts w:cstheme="minorHAnsi"/>
          <w:sz w:val="24"/>
          <w:szCs w:val="24"/>
        </w:rPr>
        <w:t xml:space="preserve">Inclusion and Diversity Program </w:t>
      </w:r>
      <w:r w:rsidR="00845B24">
        <w:rPr>
          <w:rFonts w:cstheme="minorHAnsi"/>
          <w:sz w:val="24"/>
          <w:szCs w:val="24"/>
        </w:rPr>
        <w:t xml:space="preserve">back </w:t>
      </w:r>
      <w:r w:rsidR="00E91B31">
        <w:rPr>
          <w:rFonts w:cstheme="minorHAnsi"/>
          <w:sz w:val="24"/>
          <w:szCs w:val="24"/>
        </w:rPr>
        <w:t>in</w:t>
      </w:r>
      <w:r w:rsidR="00E91B31" w:rsidRPr="00FC228A">
        <w:rPr>
          <w:rFonts w:cstheme="minorHAnsi"/>
          <w:sz w:val="24"/>
          <w:szCs w:val="24"/>
        </w:rPr>
        <w:t xml:space="preserve"> 2008 to address both community and workplace needs</w:t>
      </w:r>
      <w:r w:rsidR="00DE1403">
        <w:rPr>
          <w:rFonts w:cstheme="minorHAnsi"/>
          <w:sz w:val="24"/>
          <w:szCs w:val="24"/>
        </w:rPr>
        <w:t xml:space="preserve">. </w:t>
      </w:r>
      <w:r w:rsidR="005B5747">
        <w:rPr>
          <w:rFonts w:cstheme="minorHAnsi"/>
          <w:sz w:val="24"/>
          <w:szCs w:val="24"/>
        </w:rPr>
        <w:t>Encompass</w:t>
      </w:r>
      <w:r w:rsidR="00E91B31" w:rsidRPr="00FC228A">
        <w:rPr>
          <w:rFonts w:cstheme="minorHAnsi"/>
          <w:sz w:val="24"/>
          <w:szCs w:val="24"/>
        </w:rPr>
        <w:t xml:space="preserve"> </w:t>
      </w:r>
      <w:r w:rsidR="00EC70D7" w:rsidRPr="00FC228A">
        <w:rPr>
          <w:rFonts w:cstheme="minorHAnsi"/>
          <w:sz w:val="24"/>
          <w:szCs w:val="24"/>
        </w:rPr>
        <w:t xml:space="preserve">operates in diverse communities across the nation and </w:t>
      </w:r>
      <w:r w:rsidR="00DE1403">
        <w:rPr>
          <w:rFonts w:cstheme="minorHAnsi"/>
          <w:sz w:val="24"/>
          <w:szCs w:val="24"/>
        </w:rPr>
        <w:t>stated its</w:t>
      </w:r>
      <w:r w:rsidR="00EC70D7" w:rsidRPr="00FC228A">
        <w:rPr>
          <w:rFonts w:cstheme="minorHAnsi"/>
          <w:sz w:val="24"/>
          <w:szCs w:val="24"/>
        </w:rPr>
        <w:t xml:space="preserve"> commit</w:t>
      </w:r>
      <w:r w:rsidR="00DE1403">
        <w:rPr>
          <w:rFonts w:cstheme="minorHAnsi"/>
          <w:sz w:val="24"/>
          <w:szCs w:val="24"/>
        </w:rPr>
        <w:t>ment</w:t>
      </w:r>
      <w:r w:rsidR="00EC70D7" w:rsidRPr="00FC228A">
        <w:rPr>
          <w:rFonts w:cstheme="minorHAnsi"/>
          <w:sz w:val="24"/>
          <w:szCs w:val="24"/>
        </w:rPr>
        <w:t xml:space="preserve"> to ensuring that inclusion and diversity are incorporated into day-to-day business practices at all levels within the organization and its affiliated hospital facilities, including at the Hospital. </w:t>
      </w:r>
      <w:r w:rsidR="00164D50" w:rsidRPr="00164D50">
        <w:rPr>
          <w:rFonts w:cstheme="minorHAnsi"/>
          <w:sz w:val="24"/>
          <w:szCs w:val="24"/>
        </w:rPr>
        <w:t xml:space="preserve">Encompass </w:t>
      </w:r>
      <w:r w:rsidRPr="00164D50">
        <w:rPr>
          <w:rFonts w:cstheme="minorHAnsi"/>
          <w:sz w:val="24"/>
          <w:szCs w:val="24"/>
        </w:rPr>
        <w:t xml:space="preserve">has ongoing efforts in </w:t>
      </w:r>
      <w:r w:rsidR="006C4E66">
        <w:rPr>
          <w:rFonts w:cstheme="minorHAnsi"/>
          <w:sz w:val="24"/>
          <w:szCs w:val="24"/>
        </w:rPr>
        <w:t>the following area</w:t>
      </w:r>
      <w:r w:rsidR="00AC3BBB">
        <w:rPr>
          <w:rFonts w:cstheme="minorHAnsi"/>
          <w:sz w:val="24"/>
          <w:szCs w:val="24"/>
        </w:rPr>
        <w:t>s</w:t>
      </w:r>
      <w:r w:rsidR="006C4E66">
        <w:rPr>
          <w:rFonts w:cstheme="minorHAnsi"/>
          <w:sz w:val="24"/>
          <w:szCs w:val="24"/>
        </w:rPr>
        <w:t xml:space="preserve"> to</w:t>
      </w:r>
      <w:r w:rsidRPr="00164D50">
        <w:rPr>
          <w:rFonts w:cstheme="minorHAnsi"/>
          <w:sz w:val="24"/>
          <w:szCs w:val="24"/>
        </w:rPr>
        <w:t xml:space="preserve"> facilitate equitable access to its services</w:t>
      </w:r>
      <w:r w:rsidR="00AC3BBB">
        <w:rPr>
          <w:rFonts w:cstheme="minorHAnsi"/>
          <w:sz w:val="24"/>
          <w:szCs w:val="24"/>
        </w:rPr>
        <w:t>:</w:t>
      </w:r>
    </w:p>
    <w:p w14:paraId="75763ED4" w14:textId="77777777" w:rsidR="00E02E7E" w:rsidRPr="006C4E66" w:rsidRDefault="00E02E7E" w:rsidP="00E02E7E">
      <w:pPr>
        <w:spacing w:after="0" w:line="240" w:lineRule="auto"/>
        <w:jc w:val="both"/>
        <w:rPr>
          <w:rFonts w:cstheme="minorHAnsi"/>
          <w:sz w:val="24"/>
          <w:szCs w:val="24"/>
        </w:rPr>
      </w:pPr>
    </w:p>
    <w:p w14:paraId="54554719" w14:textId="77777777" w:rsidR="00E02E7E" w:rsidRPr="006C4E66" w:rsidRDefault="00E02E7E" w:rsidP="00E02E7E">
      <w:pPr>
        <w:spacing w:after="0" w:line="240" w:lineRule="auto"/>
        <w:jc w:val="both"/>
        <w:rPr>
          <w:rFonts w:cstheme="minorHAnsi"/>
          <w:b/>
          <w:bCs/>
          <w:i/>
          <w:iCs/>
          <w:sz w:val="24"/>
          <w:szCs w:val="24"/>
        </w:rPr>
      </w:pPr>
      <w:r w:rsidRPr="006C4E66">
        <w:rPr>
          <w:rFonts w:cstheme="minorHAnsi"/>
          <w:b/>
          <w:bCs/>
          <w:i/>
          <w:iCs/>
          <w:sz w:val="24"/>
          <w:szCs w:val="24"/>
        </w:rPr>
        <w:t>1) Provision of Quality Care that is Responsive to the Diversity of the Community</w:t>
      </w:r>
    </w:p>
    <w:p w14:paraId="66955C20" w14:textId="30EEF847" w:rsidR="00E02E7E" w:rsidRPr="007D0585" w:rsidRDefault="00E02E7E" w:rsidP="00432070">
      <w:pPr>
        <w:pStyle w:val="ListParagraph"/>
        <w:numPr>
          <w:ilvl w:val="0"/>
          <w:numId w:val="36"/>
        </w:numPr>
        <w:spacing w:after="0" w:line="240" w:lineRule="auto"/>
        <w:rPr>
          <w:rFonts w:cstheme="minorHAnsi"/>
          <w:sz w:val="24"/>
          <w:szCs w:val="24"/>
        </w:rPr>
      </w:pPr>
      <w:r w:rsidRPr="007D0585">
        <w:rPr>
          <w:rFonts w:cstheme="minorHAnsi"/>
          <w:sz w:val="24"/>
          <w:szCs w:val="24"/>
        </w:rPr>
        <w:t>Cultivating relationships with community organizations that can assist in improving the workforce and health needs of the diverse communities served.</w:t>
      </w:r>
    </w:p>
    <w:p w14:paraId="0AFC33DC" w14:textId="77777777" w:rsidR="00E02E7E" w:rsidRPr="006C4E66" w:rsidRDefault="00E02E7E" w:rsidP="00432070">
      <w:pPr>
        <w:numPr>
          <w:ilvl w:val="0"/>
          <w:numId w:val="36"/>
        </w:numPr>
        <w:spacing w:after="0" w:line="240" w:lineRule="auto"/>
        <w:contextualSpacing/>
        <w:rPr>
          <w:rFonts w:cstheme="minorHAnsi"/>
          <w:sz w:val="24"/>
          <w:szCs w:val="24"/>
        </w:rPr>
      </w:pPr>
      <w:r w:rsidRPr="006C4E66">
        <w:rPr>
          <w:rFonts w:cstheme="minorHAnsi"/>
          <w:sz w:val="24"/>
          <w:szCs w:val="24"/>
        </w:rPr>
        <w:t>Developing a diversity calendar to promote monthly multicultural observances.</w:t>
      </w:r>
    </w:p>
    <w:p w14:paraId="085E388C" w14:textId="77777777" w:rsidR="00E02E7E" w:rsidRPr="006C4E66" w:rsidRDefault="00E02E7E" w:rsidP="00E02E7E">
      <w:pPr>
        <w:spacing w:after="0" w:line="240" w:lineRule="auto"/>
        <w:jc w:val="both"/>
        <w:rPr>
          <w:rFonts w:cstheme="minorHAnsi"/>
          <w:sz w:val="24"/>
          <w:szCs w:val="24"/>
        </w:rPr>
      </w:pPr>
    </w:p>
    <w:p w14:paraId="21ABFA20" w14:textId="77777777" w:rsidR="00E02E7E" w:rsidRPr="006C4E66" w:rsidRDefault="00E02E7E" w:rsidP="00E02E7E">
      <w:pPr>
        <w:spacing w:after="0" w:line="240" w:lineRule="auto"/>
        <w:jc w:val="both"/>
        <w:rPr>
          <w:rFonts w:cstheme="minorHAnsi"/>
          <w:b/>
          <w:bCs/>
          <w:i/>
          <w:iCs/>
          <w:sz w:val="24"/>
          <w:szCs w:val="24"/>
        </w:rPr>
      </w:pPr>
      <w:r w:rsidRPr="006C4E66">
        <w:rPr>
          <w:rFonts w:cstheme="minorHAnsi"/>
          <w:b/>
          <w:bCs/>
          <w:i/>
          <w:iCs/>
          <w:sz w:val="24"/>
          <w:szCs w:val="24"/>
        </w:rPr>
        <w:t>2) Governance, Leadership and Workforce</w:t>
      </w:r>
    </w:p>
    <w:p w14:paraId="5DA757FE" w14:textId="77777777" w:rsidR="00E02E7E" w:rsidRPr="006C4E66" w:rsidRDefault="00E02E7E" w:rsidP="00432070">
      <w:pPr>
        <w:numPr>
          <w:ilvl w:val="0"/>
          <w:numId w:val="37"/>
        </w:numPr>
        <w:spacing w:after="0" w:line="240" w:lineRule="auto"/>
        <w:contextualSpacing/>
        <w:rPr>
          <w:rFonts w:cstheme="minorHAnsi"/>
          <w:sz w:val="24"/>
          <w:szCs w:val="24"/>
        </w:rPr>
      </w:pPr>
      <w:r w:rsidRPr="006C4E66">
        <w:rPr>
          <w:rFonts w:cstheme="minorHAnsi"/>
          <w:sz w:val="24"/>
          <w:szCs w:val="24"/>
        </w:rPr>
        <w:t>Recognizing the importance of diversity and seeking to employ individuals of all backgrounds.</w:t>
      </w:r>
    </w:p>
    <w:p w14:paraId="77E79837" w14:textId="74FE7D6E" w:rsidR="00E02E7E" w:rsidRPr="006C4E66" w:rsidRDefault="00E02E7E" w:rsidP="00432070">
      <w:pPr>
        <w:numPr>
          <w:ilvl w:val="0"/>
          <w:numId w:val="37"/>
        </w:numPr>
        <w:spacing w:after="0" w:line="240" w:lineRule="auto"/>
        <w:contextualSpacing/>
        <w:rPr>
          <w:rFonts w:cstheme="minorHAnsi"/>
          <w:sz w:val="24"/>
          <w:szCs w:val="24"/>
        </w:rPr>
      </w:pPr>
      <w:r w:rsidRPr="006C4E66">
        <w:rPr>
          <w:rFonts w:cstheme="minorHAnsi"/>
          <w:sz w:val="24"/>
          <w:szCs w:val="24"/>
        </w:rPr>
        <w:t xml:space="preserve">Attracting, </w:t>
      </w:r>
      <w:r w:rsidR="004D2665" w:rsidRPr="006C4E66">
        <w:rPr>
          <w:rFonts w:cstheme="minorHAnsi"/>
          <w:sz w:val="24"/>
          <w:szCs w:val="24"/>
        </w:rPr>
        <w:t>developing,</w:t>
      </w:r>
      <w:r w:rsidRPr="006C4E66">
        <w:rPr>
          <w:rFonts w:cstheme="minorHAnsi"/>
          <w:sz w:val="24"/>
          <w:szCs w:val="24"/>
        </w:rPr>
        <w:t xml:space="preserve"> and retaining a uniquely talented workforce which fosters an open and inclusive work environment and is knowledgeable and responsive to the diverse communities of the patients served.</w:t>
      </w:r>
    </w:p>
    <w:p w14:paraId="0AC77A3C" w14:textId="77777777" w:rsidR="00E02E7E" w:rsidRPr="006C4E66" w:rsidRDefault="00E02E7E" w:rsidP="00432070">
      <w:pPr>
        <w:numPr>
          <w:ilvl w:val="0"/>
          <w:numId w:val="37"/>
        </w:numPr>
        <w:spacing w:after="0" w:line="240" w:lineRule="auto"/>
        <w:contextualSpacing/>
        <w:rPr>
          <w:rFonts w:cstheme="minorHAnsi"/>
          <w:sz w:val="24"/>
          <w:szCs w:val="24"/>
        </w:rPr>
      </w:pPr>
      <w:r w:rsidRPr="006C4E66">
        <w:rPr>
          <w:rFonts w:cstheme="minorHAnsi"/>
          <w:sz w:val="24"/>
          <w:szCs w:val="24"/>
        </w:rPr>
        <w:t xml:space="preserve">Launching ‘Aware for Care’ campaign, including resources to develop and enhance culturally competent knowledge and skills among hospital staff. </w:t>
      </w:r>
    </w:p>
    <w:p w14:paraId="21A8F3D7" w14:textId="77777777" w:rsidR="00E02E7E" w:rsidRPr="006C4E66" w:rsidRDefault="00E02E7E" w:rsidP="00432070">
      <w:pPr>
        <w:numPr>
          <w:ilvl w:val="0"/>
          <w:numId w:val="37"/>
        </w:numPr>
        <w:spacing w:after="0" w:line="240" w:lineRule="auto"/>
        <w:contextualSpacing/>
        <w:rPr>
          <w:rFonts w:cstheme="minorHAnsi"/>
          <w:sz w:val="24"/>
          <w:szCs w:val="24"/>
        </w:rPr>
      </w:pPr>
      <w:r w:rsidRPr="006C4E66">
        <w:rPr>
          <w:rFonts w:cstheme="minorHAnsi"/>
          <w:sz w:val="24"/>
          <w:szCs w:val="24"/>
        </w:rPr>
        <w:t>Creation of the quarterly Inclusion &amp; Diversity Digest newsletter.</w:t>
      </w:r>
    </w:p>
    <w:p w14:paraId="699F40BE" w14:textId="77777777" w:rsidR="00E02E7E" w:rsidRPr="006C4E66" w:rsidRDefault="00E02E7E" w:rsidP="00432070">
      <w:pPr>
        <w:numPr>
          <w:ilvl w:val="0"/>
          <w:numId w:val="37"/>
        </w:numPr>
        <w:spacing w:after="0" w:line="240" w:lineRule="auto"/>
        <w:contextualSpacing/>
        <w:rPr>
          <w:rFonts w:cstheme="minorHAnsi"/>
          <w:sz w:val="24"/>
          <w:szCs w:val="24"/>
        </w:rPr>
      </w:pPr>
      <w:r w:rsidRPr="006C4E66">
        <w:rPr>
          <w:rFonts w:cstheme="minorHAnsi"/>
          <w:sz w:val="24"/>
          <w:szCs w:val="24"/>
        </w:rPr>
        <w:t>Mandatory diversity awareness training for all employees annually and at time of hire.</w:t>
      </w:r>
    </w:p>
    <w:p w14:paraId="1D83975C" w14:textId="77777777" w:rsidR="00E02E7E" w:rsidRPr="006C4E66" w:rsidRDefault="00E02E7E" w:rsidP="00E02E7E">
      <w:pPr>
        <w:spacing w:after="0" w:line="240" w:lineRule="auto"/>
        <w:jc w:val="both"/>
        <w:rPr>
          <w:rFonts w:cstheme="minorHAnsi"/>
          <w:sz w:val="24"/>
          <w:szCs w:val="24"/>
        </w:rPr>
      </w:pPr>
    </w:p>
    <w:p w14:paraId="5C527232" w14:textId="77777777" w:rsidR="00E02E7E" w:rsidRPr="001E5732" w:rsidRDefault="00E02E7E" w:rsidP="00E02E7E">
      <w:pPr>
        <w:spacing w:after="0" w:line="240" w:lineRule="auto"/>
        <w:jc w:val="both"/>
        <w:rPr>
          <w:rFonts w:cstheme="minorHAnsi"/>
          <w:b/>
          <w:bCs/>
          <w:i/>
          <w:iCs/>
          <w:sz w:val="24"/>
          <w:szCs w:val="24"/>
        </w:rPr>
      </w:pPr>
      <w:r w:rsidRPr="001E5732">
        <w:rPr>
          <w:rFonts w:cstheme="minorHAnsi"/>
          <w:b/>
          <w:bCs/>
          <w:i/>
          <w:iCs/>
          <w:sz w:val="24"/>
          <w:szCs w:val="24"/>
        </w:rPr>
        <w:t>3) Communication and Language Assistance</w:t>
      </w:r>
    </w:p>
    <w:p w14:paraId="61F3D6D5" w14:textId="7D351B54" w:rsidR="00E02E7E" w:rsidRPr="00B66A08" w:rsidRDefault="00E02E7E" w:rsidP="00432070">
      <w:pPr>
        <w:numPr>
          <w:ilvl w:val="0"/>
          <w:numId w:val="38"/>
        </w:numPr>
        <w:spacing w:after="0" w:line="240" w:lineRule="auto"/>
        <w:contextualSpacing/>
        <w:rPr>
          <w:rFonts w:cstheme="minorHAnsi"/>
          <w:sz w:val="24"/>
          <w:szCs w:val="24"/>
        </w:rPr>
      </w:pPr>
      <w:r w:rsidRPr="001E5732">
        <w:rPr>
          <w:rFonts w:cstheme="minorHAnsi"/>
          <w:sz w:val="24"/>
          <w:szCs w:val="24"/>
        </w:rPr>
        <w:t xml:space="preserve">Providing free language services to community members whose primary language is not </w:t>
      </w:r>
      <w:r w:rsidRPr="00B66A08">
        <w:rPr>
          <w:rFonts w:cstheme="minorHAnsi"/>
          <w:sz w:val="24"/>
          <w:szCs w:val="24"/>
        </w:rPr>
        <w:t xml:space="preserve">English, </w:t>
      </w:r>
      <w:r w:rsidR="00432070" w:rsidRPr="00B66A08">
        <w:rPr>
          <w:rFonts w:cstheme="minorHAnsi"/>
          <w:sz w:val="24"/>
          <w:szCs w:val="24"/>
        </w:rPr>
        <w:t>through</w:t>
      </w:r>
      <w:r w:rsidRPr="00B66A08">
        <w:rPr>
          <w:rFonts w:cstheme="minorHAnsi"/>
          <w:sz w:val="24"/>
          <w:szCs w:val="24"/>
        </w:rPr>
        <w:t xml:space="preserve"> qualified interpreters</w:t>
      </w:r>
      <w:r w:rsidR="00280E03" w:rsidRPr="00B66A08">
        <w:rPr>
          <w:rFonts w:cstheme="minorHAnsi"/>
          <w:sz w:val="24"/>
          <w:szCs w:val="24"/>
        </w:rPr>
        <w:t xml:space="preserve"> </w:t>
      </w:r>
      <w:r w:rsidR="001E5732" w:rsidRPr="00B66A08">
        <w:rPr>
          <w:rFonts w:cstheme="minorHAnsi"/>
          <w:sz w:val="24"/>
          <w:szCs w:val="24"/>
        </w:rPr>
        <w:t>from two contracted providers</w:t>
      </w:r>
      <w:r w:rsidRPr="00B66A08">
        <w:rPr>
          <w:rFonts w:cstheme="minorHAnsi"/>
          <w:sz w:val="24"/>
          <w:szCs w:val="24"/>
        </w:rPr>
        <w:t>.</w:t>
      </w:r>
    </w:p>
    <w:p w14:paraId="62858E15" w14:textId="1C49EDA6" w:rsidR="00E02E7E" w:rsidRPr="00B66A08" w:rsidRDefault="00E02E7E" w:rsidP="00432070">
      <w:pPr>
        <w:numPr>
          <w:ilvl w:val="0"/>
          <w:numId w:val="38"/>
        </w:numPr>
        <w:spacing w:after="0" w:line="240" w:lineRule="auto"/>
        <w:contextualSpacing/>
        <w:rPr>
          <w:rFonts w:cstheme="minorHAnsi"/>
          <w:sz w:val="24"/>
          <w:szCs w:val="24"/>
        </w:rPr>
      </w:pPr>
      <w:r w:rsidRPr="00B66A08">
        <w:rPr>
          <w:rFonts w:cstheme="minorHAnsi"/>
          <w:sz w:val="24"/>
          <w:szCs w:val="24"/>
        </w:rPr>
        <w:t xml:space="preserve">Providing patient care information written in </w:t>
      </w:r>
      <w:r w:rsidR="00B66A08" w:rsidRPr="00B66A08">
        <w:rPr>
          <w:rFonts w:cstheme="minorHAnsi"/>
          <w:sz w:val="24"/>
          <w:szCs w:val="24"/>
        </w:rPr>
        <w:t>English and Spanish.</w:t>
      </w:r>
    </w:p>
    <w:p w14:paraId="38A89A44" w14:textId="77777777" w:rsidR="00E02E7E" w:rsidRPr="00AD6A26" w:rsidRDefault="00E02E7E" w:rsidP="00432070">
      <w:pPr>
        <w:numPr>
          <w:ilvl w:val="0"/>
          <w:numId w:val="38"/>
        </w:numPr>
        <w:spacing w:after="0" w:line="240" w:lineRule="auto"/>
        <w:contextualSpacing/>
        <w:rPr>
          <w:rFonts w:cstheme="minorHAnsi"/>
          <w:sz w:val="24"/>
          <w:szCs w:val="24"/>
        </w:rPr>
      </w:pPr>
      <w:r w:rsidRPr="00AD6A26">
        <w:rPr>
          <w:rFonts w:cstheme="minorHAnsi"/>
          <w:sz w:val="24"/>
          <w:szCs w:val="24"/>
        </w:rPr>
        <w:t>Implementation of technology to enhance communication.</w:t>
      </w:r>
    </w:p>
    <w:p w14:paraId="3732E5FD" w14:textId="741CBDA8" w:rsidR="00E02E7E" w:rsidRDefault="00E02E7E" w:rsidP="00432070">
      <w:pPr>
        <w:numPr>
          <w:ilvl w:val="0"/>
          <w:numId w:val="38"/>
        </w:numPr>
        <w:spacing w:after="0" w:line="240" w:lineRule="auto"/>
        <w:contextualSpacing/>
        <w:rPr>
          <w:rFonts w:cstheme="minorHAnsi"/>
          <w:sz w:val="24"/>
          <w:szCs w:val="24"/>
        </w:rPr>
      </w:pPr>
      <w:r w:rsidRPr="00AD6A26">
        <w:rPr>
          <w:rFonts w:cstheme="minorHAnsi"/>
          <w:sz w:val="24"/>
          <w:szCs w:val="24"/>
        </w:rPr>
        <w:t xml:space="preserve">“Stratus” video language translation assistance system, which </w:t>
      </w:r>
      <w:proofErr w:type="gramStart"/>
      <w:r w:rsidRPr="00AD6A26">
        <w:rPr>
          <w:rFonts w:cstheme="minorHAnsi"/>
          <w:sz w:val="24"/>
          <w:szCs w:val="24"/>
        </w:rPr>
        <w:t>provides assistance</w:t>
      </w:r>
      <w:proofErr w:type="gramEnd"/>
      <w:r w:rsidRPr="00AD6A26">
        <w:rPr>
          <w:rFonts w:cstheme="minorHAnsi"/>
          <w:sz w:val="24"/>
          <w:szCs w:val="24"/>
        </w:rPr>
        <w:t xml:space="preserve"> in 18 languages.</w:t>
      </w:r>
    </w:p>
    <w:p w14:paraId="56EC3577" w14:textId="6C33E5AA" w:rsidR="004C1CA7" w:rsidRPr="004C1CA7" w:rsidRDefault="004C1CA7" w:rsidP="00432070">
      <w:pPr>
        <w:numPr>
          <w:ilvl w:val="0"/>
          <w:numId w:val="38"/>
        </w:numPr>
        <w:spacing w:after="0" w:line="240" w:lineRule="auto"/>
        <w:contextualSpacing/>
        <w:rPr>
          <w:rFonts w:cstheme="minorHAnsi"/>
          <w:sz w:val="24"/>
          <w:szCs w:val="24"/>
        </w:rPr>
      </w:pPr>
      <w:r w:rsidRPr="004C1CA7">
        <w:rPr>
          <w:rFonts w:cstheme="minorHAnsi"/>
          <w:sz w:val="24"/>
          <w:szCs w:val="24"/>
        </w:rPr>
        <w:t>Provi</w:t>
      </w:r>
      <w:r>
        <w:rPr>
          <w:rFonts w:cstheme="minorHAnsi"/>
          <w:sz w:val="24"/>
          <w:szCs w:val="24"/>
        </w:rPr>
        <w:t>ding</w:t>
      </w:r>
      <w:r w:rsidRPr="004C1CA7">
        <w:rPr>
          <w:rFonts w:cstheme="minorHAnsi"/>
          <w:sz w:val="24"/>
          <w:szCs w:val="24"/>
        </w:rPr>
        <w:t xml:space="preserve"> American Sign Language (“ASL”) interpretation services available 24 hours a day, 7 days a week. ASL services may be in-person or remote depending on the service provider, patient preference, and availability. </w:t>
      </w:r>
    </w:p>
    <w:p w14:paraId="2716DE3D" w14:textId="65C0DDF6" w:rsidR="004C1CA7" w:rsidRPr="004C1CA7" w:rsidRDefault="004C1CA7" w:rsidP="00432070">
      <w:pPr>
        <w:numPr>
          <w:ilvl w:val="0"/>
          <w:numId w:val="38"/>
        </w:numPr>
        <w:spacing w:after="0" w:line="240" w:lineRule="auto"/>
        <w:contextualSpacing/>
        <w:rPr>
          <w:rFonts w:cstheme="minorHAnsi"/>
          <w:sz w:val="24"/>
          <w:szCs w:val="24"/>
        </w:rPr>
      </w:pPr>
      <w:r w:rsidRPr="004C1CA7">
        <w:rPr>
          <w:rFonts w:cstheme="minorHAnsi"/>
          <w:sz w:val="24"/>
          <w:szCs w:val="24"/>
        </w:rPr>
        <w:t xml:space="preserve">The Hospital places magnets on the doors of deaf and hard-of-hearing patients to serve as a visual reminder to Hospital staff that the patient may need accommodation for communication. </w:t>
      </w:r>
    </w:p>
    <w:p w14:paraId="0DA4C454" w14:textId="3457CB16" w:rsidR="00AD6A26" w:rsidRPr="00AD6A26" w:rsidRDefault="004C1CA7" w:rsidP="00432070">
      <w:pPr>
        <w:numPr>
          <w:ilvl w:val="0"/>
          <w:numId w:val="38"/>
        </w:numPr>
        <w:spacing w:after="0" w:line="240" w:lineRule="auto"/>
        <w:contextualSpacing/>
        <w:rPr>
          <w:rFonts w:cstheme="minorHAnsi"/>
          <w:sz w:val="24"/>
          <w:szCs w:val="24"/>
        </w:rPr>
      </w:pPr>
      <w:r w:rsidRPr="004C1CA7">
        <w:rPr>
          <w:rFonts w:cstheme="minorHAnsi"/>
          <w:sz w:val="24"/>
          <w:szCs w:val="24"/>
        </w:rPr>
        <w:t xml:space="preserve"> Hospital staff members use clear face masks/shields to enable </w:t>
      </w:r>
      <w:proofErr w:type="gramStart"/>
      <w:r w:rsidRPr="004C1CA7">
        <w:rPr>
          <w:rFonts w:cstheme="minorHAnsi"/>
          <w:sz w:val="24"/>
          <w:szCs w:val="24"/>
        </w:rPr>
        <w:t>a deaf</w:t>
      </w:r>
      <w:proofErr w:type="gramEnd"/>
      <w:r w:rsidRPr="004C1CA7">
        <w:rPr>
          <w:rFonts w:cstheme="minorHAnsi"/>
          <w:sz w:val="24"/>
          <w:szCs w:val="24"/>
        </w:rPr>
        <w:t xml:space="preserve"> and hard of hearing patients to better observe facial expressions.</w:t>
      </w:r>
    </w:p>
    <w:p w14:paraId="36ADF919" w14:textId="77777777" w:rsidR="00E02E7E" w:rsidRPr="006C4E66" w:rsidRDefault="00E02E7E" w:rsidP="00E02E7E">
      <w:pPr>
        <w:spacing w:after="0" w:line="240" w:lineRule="auto"/>
        <w:jc w:val="both"/>
        <w:rPr>
          <w:rFonts w:cstheme="minorHAnsi"/>
          <w:sz w:val="24"/>
          <w:szCs w:val="24"/>
        </w:rPr>
      </w:pPr>
    </w:p>
    <w:p w14:paraId="4B39F3EC" w14:textId="77777777" w:rsidR="00E02E7E" w:rsidRPr="006C4E66" w:rsidRDefault="00E02E7E" w:rsidP="00E02E7E">
      <w:pPr>
        <w:spacing w:after="0" w:line="240" w:lineRule="auto"/>
        <w:jc w:val="both"/>
        <w:rPr>
          <w:rFonts w:cstheme="minorHAnsi"/>
          <w:b/>
          <w:bCs/>
          <w:i/>
          <w:iCs/>
          <w:sz w:val="24"/>
          <w:szCs w:val="24"/>
        </w:rPr>
      </w:pPr>
      <w:r w:rsidRPr="006C4E66">
        <w:rPr>
          <w:rFonts w:cstheme="minorHAnsi"/>
          <w:b/>
          <w:bCs/>
          <w:i/>
          <w:iCs/>
          <w:sz w:val="24"/>
          <w:szCs w:val="24"/>
        </w:rPr>
        <w:t>4) Engagement, Continuous Improvement and Accountability</w:t>
      </w:r>
    </w:p>
    <w:p w14:paraId="094F7549" w14:textId="77777777" w:rsidR="00E02E7E" w:rsidRPr="006C4E66" w:rsidRDefault="00E02E7E" w:rsidP="00432070">
      <w:pPr>
        <w:numPr>
          <w:ilvl w:val="0"/>
          <w:numId w:val="39"/>
        </w:numPr>
        <w:spacing w:after="0" w:line="240" w:lineRule="auto"/>
        <w:contextualSpacing/>
        <w:rPr>
          <w:rFonts w:cstheme="minorHAnsi"/>
          <w:sz w:val="24"/>
          <w:szCs w:val="24"/>
        </w:rPr>
      </w:pPr>
      <w:r w:rsidRPr="006C4E66">
        <w:rPr>
          <w:rFonts w:cstheme="minorHAnsi"/>
          <w:sz w:val="24"/>
          <w:szCs w:val="24"/>
        </w:rPr>
        <w:lastRenderedPageBreak/>
        <w:t>Partnering with diverse organizations with shared common goals.</w:t>
      </w:r>
    </w:p>
    <w:p w14:paraId="48532F1C" w14:textId="77777777" w:rsidR="00E02E7E" w:rsidRPr="006C4E66" w:rsidRDefault="00E02E7E" w:rsidP="00432070">
      <w:pPr>
        <w:numPr>
          <w:ilvl w:val="0"/>
          <w:numId w:val="39"/>
        </w:numPr>
        <w:spacing w:after="0" w:line="240" w:lineRule="auto"/>
        <w:contextualSpacing/>
        <w:rPr>
          <w:rFonts w:cstheme="minorHAnsi"/>
          <w:sz w:val="24"/>
          <w:szCs w:val="24"/>
        </w:rPr>
      </w:pPr>
      <w:r w:rsidRPr="006C4E66">
        <w:rPr>
          <w:rFonts w:cstheme="minorHAnsi"/>
          <w:sz w:val="24"/>
          <w:szCs w:val="24"/>
        </w:rPr>
        <w:t xml:space="preserve">Culturally competent patient care assessment </w:t>
      </w:r>
      <w:proofErr w:type="gramStart"/>
      <w:r w:rsidRPr="006C4E66">
        <w:rPr>
          <w:rFonts w:cstheme="minorHAnsi"/>
          <w:sz w:val="24"/>
          <w:szCs w:val="24"/>
        </w:rPr>
        <w:t>includes</w:t>
      </w:r>
      <w:proofErr w:type="gramEnd"/>
      <w:r w:rsidRPr="006C4E66">
        <w:rPr>
          <w:rFonts w:cstheme="minorHAnsi"/>
          <w:sz w:val="24"/>
          <w:szCs w:val="24"/>
        </w:rPr>
        <w:t xml:space="preserve"> as part of the Employee Engagement Survey.</w:t>
      </w:r>
    </w:p>
    <w:p w14:paraId="3A432ADA" w14:textId="77777777" w:rsidR="00E02E7E" w:rsidRPr="006C4E66" w:rsidRDefault="00E02E7E" w:rsidP="00432070">
      <w:pPr>
        <w:numPr>
          <w:ilvl w:val="0"/>
          <w:numId w:val="39"/>
        </w:numPr>
        <w:spacing w:after="0" w:line="240" w:lineRule="auto"/>
        <w:contextualSpacing/>
        <w:rPr>
          <w:rFonts w:cstheme="minorHAnsi"/>
          <w:sz w:val="24"/>
          <w:szCs w:val="24"/>
        </w:rPr>
      </w:pPr>
      <w:r w:rsidRPr="006C4E66">
        <w:rPr>
          <w:rFonts w:cstheme="minorHAnsi"/>
          <w:sz w:val="24"/>
          <w:szCs w:val="24"/>
        </w:rPr>
        <w:t>Publication of Diversity Annual Report.</w:t>
      </w:r>
    </w:p>
    <w:p w14:paraId="23F9B7A0" w14:textId="77777777" w:rsidR="003D4FB2" w:rsidRDefault="003D4FB2" w:rsidP="003E1CDA">
      <w:pPr>
        <w:spacing w:line="240" w:lineRule="auto"/>
        <w:rPr>
          <w:b/>
          <w:bCs/>
          <w:i/>
          <w:iCs/>
          <w:sz w:val="24"/>
          <w:szCs w:val="24"/>
        </w:rPr>
      </w:pPr>
    </w:p>
    <w:p w14:paraId="60787DF4" w14:textId="77777777" w:rsidR="003A6616" w:rsidRPr="002D0142" w:rsidRDefault="003A6616" w:rsidP="003A6616">
      <w:pPr>
        <w:contextualSpacing/>
        <w:rPr>
          <w:rFonts w:cstheme="minorHAnsi"/>
          <w:b/>
          <w:i/>
        </w:rPr>
      </w:pPr>
      <w:r w:rsidRPr="002D0142">
        <w:rPr>
          <w:rFonts w:cstheme="minorHAnsi"/>
          <w:b/>
          <w:i/>
        </w:rPr>
        <w:t xml:space="preserve">Analysis: Health Equity and </w:t>
      </w:r>
      <w:proofErr w:type="spellStart"/>
      <w:r w:rsidRPr="002D0142">
        <w:rPr>
          <w:rFonts w:cstheme="minorHAnsi"/>
          <w:b/>
          <w:i/>
        </w:rPr>
        <w:t>SDoH</w:t>
      </w:r>
      <w:proofErr w:type="spellEnd"/>
    </w:p>
    <w:p w14:paraId="2CB2810D" w14:textId="7B0381FD" w:rsidR="00A12A13" w:rsidRPr="00A12A13" w:rsidRDefault="00A12A13" w:rsidP="00A12A13">
      <w:pPr>
        <w:rPr>
          <w:rFonts w:cstheme="minorHAnsi"/>
          <w:sz w:val="24"/>
          <w:szCs w:val="24"/>
        </w:rPr>
      </w:pPr>
      <w:r w:rsidRPr="00A000FF">
        <w:rPr>
          <w:rFonts w:cstheme="minorHAnsi"/>
          <w:sz w:val="24"/>
          <w:szCs w:val="24"/>
        </w:rPr>
        <w:t xml:space="preserve">The Applicant demonstrates </w:t>
      </w:r>
      <w:r w:rsidR="002429B2" w:rsidRPr="00A000FF">
        <w:rPr>
          <w:rFonts w:cstheme="minorHAnsi"/>
          <w:sz w:val="24"/>
          <w:szCs w:val="24"/>
        </w:rPr>
        <w:t xml:space="preserve">a commitment to </w:t>
      </w:r>
      <w:r w:rsidRPr="00A000FF">
        <w:rPr>
          <w:rFonts w:cstheme="minorHAnsi"/>
          <w:sz w:val="24"/>
          <w:szCs w:val="24"/>
        </w:rPr>
        <w:t xml:space="preserve">achieve health equity </w:t>
      </w:r>
      <w:r w:rsidR="00A000FF" w:rsidRPr="00A000FF">
        <w:rPr>
          <w:rFonts w:cstheme="minorHAnsi"/>
          <w:sz w:val="24"/>
          <w:szCs w:val="24"/>
        </w:rPr>
        <w:t>by incorporating equity into its business practices a</w:t>
      </w:r>
      <w:r w:rsidR="005B5747">
        <w:rPr>
          <w:rFonts w:cstheme="minorHAnsi"/>
          <w:sz w:val="24"/>
          <w:szCs w:val="24"/>
        </w:rPr>
        <w:t>t</w:t>
      </w:r>
      <w:r w:rsidR="00A000FF" w:rsidRPr="00A000FF">
        <w:rPr>
          <w:rFonts w:cstheme="minorHAnsi"/>
          <w:sz w:val="24"/>
          <w:szCs w:val="24"/>
        </w:rPr>
        <w:t xml:space="preserve"> all organizational levels</w:t>
      </w:r>
      <w:r w:rsidRPr="00A000FF">
        <w:rPr>
          <w:rFonts w:cstheme="minorHAnsi"/>
          <w:sz w:val="24"/>
          <w:szCs w:val="24"/>
        </w:rPr>
        <w:t>. Staff</w:t>
      </w:r>
      <w:r w:rsidRPr="002429B2">
        <w:rPr>
          <w:rFonts w:cstheme="minorHAnsi"/>
          <w:sz w:val="24"/>
          <w:szCs w:val="24"/>
        </w:rPr>
        <w:t xml:space="preserve"> finds that the Applicant has sufficiently outlined </w:t>
      </w:r>
      <w:r w:rsidR="002429B2" w:rsidRPr="002429B2">
        <w:rPr>
          <w:rFonts w:cstheme="minorHAnsi"/>
          <w:sz w:val="24"/>
          <w:szCs w:val="24"/>
        </w:rPr>
        <w:t xml:space="preserve">long standing and </w:t>
      </w:r>
      <w:r w:rsidRPr="002429B2">
        <w:rPr>
          <w:rFonts w:cstheme="minorHAnsi"/>
          <w:sz w:val="24"/>
          <w:szCs w:val="24"/>
        </w:rPr>
        <w:t>ongoing efforts to</w:t>
      </w:r>
      <w:r w:rsidR="00BB1028">
        <w:rPr>
          <w:rFonts w:cstheme="minorHAnsi"/>
          <w:sz w:val="24"/>
          <w:szCs w:val="24"/>
        </w:rPr>
        <w:t>ward health equity</w:t>
      </w:r>
      <w:r w:rsidRPr="002429B2">
        <w:rPr>
          <w:rFonts w:cstheme="minorHAnsi"/>
          <w:sz w:val="24"/>
          <w:szCs w:val="24"/>
        </w:rPr>
        <w:t>. As a result, Staff finds that the Applicant meets the requirements of the Public Health Value: Health Equity part of Factor 1b.</w:t>
      </w:r>
    </w:p>
    <w:p w14:paraId="228842D4" w14:textId="77777777" w:rsidR="003A6616" w:rsidRDefault="003A6616" w:rsidP="003E1CDA">
      <w:pPr>
        <w:spacing w:line="240" w:lineRule="auto"/>
        <w:rPr>
          <w:sz w:val="24"/>
          <w:szCs w:val="24"/>
        </w:rPr>
      </w:pPr>
    </w:p>
    <w:p w14:paraId="41ED1AEB" w14:textId="5898B75C" w:rsidR="003E1CDA" w:rsidRPr="00376AD5" w:rsidRDefault="003E1CDA" w:rsidP="002B05B4">
      <w:pPr>
        <w:pStyle w:val="Heading1"/>
      </w:pPr>
      <w:bookmarkStart w:id="7" w:name="_Toc151538500"/>
      <w:r w:rsidRPr="003E1CDA">
        <w:t>Factor 1: c) Efficiency, Continuity of Care, Coordination of Care</w:t>
      </w:r>
      <w:bookmarkEnd w:id="7"/>
    </w:p>
    <w:p w14:paraId="32F45B2D" w14:textId="50DC9E49" w:rsidR="007C2FC0" w:rsidRPr="00C070A0" w:rsidRDefault="00C67247" w:rsidP="007C2FC0">
      <w:pPr>
        <w:spacing w:after="0" w:line="240" w:lineRule="auto"/>
        <w:jc w:val="both"/>
        <w:rPr>
          <w:rFonts w:cstheme="minorHAnsi"/>
          <w:sz w:val="24"/>
          <w:szCs w:val="24"/>
        </w:rPr>
      </w:pPr>
      <w:r>
        <w:rPr>
          <w:bCs/>
          <w:sz w:val="24"/>
          <w:szCs w:val="24"/>
        </w:rPr>
        <w:t>The Applicant asserts t</w:t>
      </w:r>
      <w:r w:rsidRPr="00C67247">
        <w:rPr>
          <w:bCs/>
          <w:sz w:val="24"/>
          <w:szCs w:val="24"/>
        </w:rPr>
        <w:t xml:space="preserve">he </w:t>
      </w:r>
      <w:r w:rsidR="003D4E85">
        <w:rPr>
          <w:bCs/>
          <w:sz w:val="24"/>
          <w:szCs w:val="24"/>
        </w:rPr>
        <w:t>Hosp</w:t>
      </w:r>
      <w:r w:rsidR="003C718B">
        <w:rPr>
          <w:bCs/>
          <w:sz w:val="24"/>
          <w:szCs w:val="24"/>
        </w:rPr>
        <w:t>it</w:t>
      </w:r>
      <w:r w:rsidR="003D4E85">
        <w:rPr>
          <w:bCs/>
          <w:sz w:val="24"/>
          <w:szCs w:val="24"/>
        </w:rPr>
        <w:t>al</w:t>
      </w:r>
      <w:r w:rsidRPr="00C67247">
        <w:rPr>
          <w:bCs/>
          <w:sz w:val="24"/>
          <w:szCs w:val="24"/>
        </w:rPr>
        <w:t xml:space="preserve"> ensure</w:t>
      </w:r>
      <w:r w:rsidR="003D4E85">
        <w:rPr>
          <w:bCs/>
          <w:sz w:val="24"/>
          <w:szCs w:val="24"/>
        </w:rPr>
        <w:t>s</w:t>
      </w:r>
      <w:r w:rsidRPr="00C67247">
        <w:rPr>
          <w:bCs/>
          <w:sz w:val="24"/>
          <w:szCs w:val="24"/>
        </w:rPr>
        <w:t xml:space="preserve"> continuity of care, improved </w:t>
      </w:r>
      <w:r w:rsidR="003A5696" w:rsidRPr="00C67247">
        <w:rPr>
          <w:bCs/>
          <w:sz w:val="24"/>
          <w:szCs w:val="24"/>
        </w:rPr>
        <w:t xml:space="preserve">health </w:t>
      </w:r>
      <w:r w:rsidR="003A5696">
        <w:rPr>
          <w:bCs/>
          <w:sz w:val="24"/>
          <w:szCs w:val="24"/>
        </w:rPr>
        <w:t>outcomes</w:t>
      </w:r>
      <w:r w:rsidRPr="00C67247">
        <w:rPr>
          <w:bCs/>
          <w:sz w:val="24"/>
          <w:szCs w:val="24"/>
        </w:rPr>
        <w:t>, and enhanced quality of lif</w:t>
      </w:r>
      <w:r w:rsidR="00043B60">
        <w:rPr>
          <w:bCs/>
          <w:sz w:val="24"/>
          <w:szCs w:val="24"/>
        </w:rPr>
        <w:t>e through</w:t>
      </w:r>
      <w:r w:rsidR="006A4A62">
        <w:rPr>
          <w:bCs/>
          <w:sz w:val="24"/>
          <w:szCs w:val="24"/>
        </w:rPr>
        <w:t xml:space="preserve"> its</w:t>
      </w:r>
      <w:r w:rsidR="00043B60">
        <w:rPr>
          <w:bCs/>
          <w:sz w:val="24"/>
          <w:szCs w:val="24"/>
        </w:rPr>
        <w:t xml:space="preserve"> 1) </w:t>
      </w:r>
      <w:r w:rsidR="00223374">
        <w:rPr>
          <w:bCs/>
          <w:sz w:val="24"/>
          <w:szCs w:val="24"/>
        </w:rPr>
        <w:t>Care Management Program, 2)</w:t>
      </w:r>
      <w:r w:rsidR="003C718B">
        <w:rPr>
          <w:bCs/>
          <w:sz w:val="24"/>
          <w:szCs w:val="24"/>
        </w:rPr>
        <w:t xml:space="preserve"> </w:t>
      </w:r>
      <w:r w:rsidR="00223374">
        <w:rPr>
          <w:bCs/>
          <w:sz w:val="24"/>
          <w:szCs w:val="24"/>
        </w:rPr>
        <w:t>Open Medical Staff Model</w:t>
      </w:r>
      <w:r w:rsidR="003C718B">
        <w:rPr>
          <w:bCs/>
          <w:sz w:val="24"/>
          <w:szCs w:val="24"/>
        </w:rPr>
        <w:t>,</w:t>
      </w:r>
      <w:r w:rsidR="00223374">
        <w:rPr>
          <w:bCs/>
          <w:sz w:val="24"/>
          <w:szCs w:val="24"/>
        </w:rPr>
        <w:t xml:space="preserve"> </w:t>
      </w:r>
      <w:r w:rsidR="00223374" w:rsidRPr="00C070A0">
        <w:rPr>
          <w:rFonts w:cstheme="minorHAnsi"/>
          <w:bCs/>
          <w:sz w:val="24"/>
          <w:szCs w:val="24"/>
        </w:rPr>
        <w:t>and 3)</w:t>
      </w:r>
      <w:r w:rsidR="003D4E85" w:rsidRPr="00C070A0">
        <w:rPr>
          <w:rFonts w:cstheme="minorHAnsi"/>
          <w:bCs/>
          <w:sz w:val="24"/>
          <w:szCs w:val="24"/>
        </w:rPr>
        <w:t xml:space="preserve"> Technology. The </w:t>
      </w:r>
      <w:r w:rsidR="003C718B" w:rsidRPr="00C070A0">
        <w:rPr>
          <w:rFonts w:cstheme="minorHAnsi"/>
          <w:bCs/>
          <w:sz w:val="24"/>
          <w:szCs w:val="24"/>
        </w:rPr>
        <w:t xml:space="preserve">Applicant states that </w:t>
      </w:r>
      <w:r w:rsidR="003D4E85" w:rsidRPr="00C070A0">
        <w:rPr>
          <w:rFonts w:cstheme="minorHAnsi"/>
          <w:bCs/>
          <w:sz w:val="24"/>
          <w:szCs w:val="24"/>
        </w:rPr>
        <w:t xml:space="preserve">Proposed Project will add the additional capacity to bring this system of care to </w:t>
      </w:r>
      <w:r w:rsidR="003C718B" w:rsidRPr="00C070A0">
        <w:rPr>
          <w:rFonts w:cstheme="minorHAnsi"/>
          <w:bCs/>
          <w:sz w:val="24"/>
          <w:szCs w:val="24"/>
        </w:rPr>
        <w:t xml:space="preserve">more patients </w:t>
      </w:r>
      <w:r w:rsidR="006A4A62">
        <w:rPr>
          <w:rFonts w:cstheme="minorHAnsi"/>
          <w:bCs/>
          <w:sz w:val="24"/>
          <w:szCs w:val="24"/>
        </w:rPr>
        <w:t>in Western Mass</w:t>
      </w:r>
      <w:r w:rsidR="003C718B" w:rsidRPr="00C070A0">
        <w:rPr>
          <w:rFonts w:cstheme="minorHAnsi"/>
          <w:bCs/>
          <w:sz w:val="24"/>
          <w:szCs w:val="24"/>
        </w:rPr>
        <w:t>.</w:t>
      </w:r>
    </w:p>
    <w:p w14:paraId="6ADC84CA" w14:textId="00145AD2" w:rsidR="00B50189" w:rsidRPr="00C070A0" w:rsidRDefault="00B50189" w:rsidP="007C2FC0">
      <w:pPr>
        <w:spacing w:after="0" w:line="240" w:lineRule="auto"/>
        <w:jc w:val="both"/>
        <w:rPr>
          <w:rFonts w:cstheme="minorHAnsi"/>
          <w:sz w:val="24"/>
          <w:szCs w:val="24"/>
        </w:rPr>
      </w:pPr>
    </w:p>
    <w:p w14:paraId="27ECD6F3" w14:textId="3A0D5FB6" w:rsidR="003C718B" w:rsidRPr="005B06AF" w:rsidRDefault="003C718B" w:rsidP="003C718B">
      <w:pPr>
        <w:pStyle w:val="ListParagraph"/>
        <w:numPr>
          <w:ilvl w:val="0"/>
          <w:numId w:val="40"/>
        </w:numPr>
        <w:spacing w:after="0" w:line="240" w:lineRule="auto"/>
        <w:jc w:val="both"/>
        <w:rPr>
          <w:rFonts w:cstheme="minorHAnsi"/>
          <w:b/>
          <w:bCs/>
          <w:i/>
          <w:iCs/>
          <w:sz w:val="24"/>
          <w:szCs w:val="24"/>
        </w:rPr>
      </w:pPr>
      <w:r w:rsidRPr="005B06AF">
        <w:rPr>
          <w:rFonts w:cstheme="minorHAnsi"/>
          <w:b/>
          <w:bCs/>
          <w:i/>
          <w:iCs/>
          <w:sz w:val="24"/>
          <w:szCs w:val="24"/>
        </w:rPr>
        <w:t>Care Management Program</w:t>
      </w:r>
    </w:p>
    <w:p w14:paraId="21B5E146" w14:textId="12E484EC" w:rsidR="00C070A0" w:rsidRDefault="003C718B" w:rsidP="00C070A0">
      <w:pPr>
        <w:spacing w:after="0"/>
        <w:rPr>
          <w:rFonts w:eastAsia="Calibri" w:cstheme="minorHAnsi"/>
          <w:sz w:val="24"/>
          <w:szCs w:val="24"/>
        </w:rPr>
      </w:pPr>
      <w:r w:rsidRPr="00C070A0">
        <w:rPr>
          <w:rFonts w:eastAsia="Calibri" w:cstheme="minorHAnsi"/>
          <w:sz w:val="24"/>
          <w:szCs w:val="24"/>
        </w:rPr>
        <w:t xml:space="preserve">Encompass </w:t>
      </w:r>
      <w:r w:rsidR="006065DD" w:rsidRPr="00C070A0">
        <w:rPr>
          <w:rFonts w:eastAsia="Calibri" w:cstheme="minorHAnsi"/>
          <w:sz w:val="24"/>
          <w:szCs w:val="24"/>
        </w:rPr>
        <w:t>has a</w:t>
      </w:r>
      <w:r w:rsidR="00B50189" w:rsidRPr="00C070A0">
        <w:rPr>
          <w:rFonts w:eastAsia="Calibri" w:cstheme="minorHAnsi"/>
          <w:sz w:val="24"/>
          <w:szCs w:val="24"/>
        </w:rPr>
        <w:t xml:space="preserve"> </w:t>
      </w:r>
      <w:r w:rsidR="006065DD" w:rsidRPr="00C070A0">
        <w:rPr>
          <w:rFonts w:eastAsia="Calibri" w:cstheme="minorHAnsi"/>
          <w:sz w:val="24"/>
          <w:szCs w:val="24"/>
        </w:rPr>
        <w:t>C</w:t>
      </w:r>
      <w:r w:rsidR="00B50189" w:rsidRPr="00C070A0">
        <w:rPr>
          <w:rFonts w:eastAsia="Calibri" w:cstheme="minorHAnsi"/>
          <w:sz w:val="24"/>
          <w:szCs w:val="24"/>
        </w:rPr>
        <w:t xml:space="preserve">are </w:t>
      </w:r>
      <w:r w:rsidR="006065DD" w:rsidRPr="00C070A0">
        <w:rPr>
          <w:rFonts w:eastAsia="Calibri" w:cstheme="minorHAnsi"/>
          <w:sz w:val="24"/>
          <w:szCs w:val="24"/>
        </w:rPr>
        <w:t>M</w:t>
      </w:r>
      <w:r w:rsidR="00B50189" w:rsidRPr="00C070A0">
        <w:rPr>
          <w:rFonts w:eastAsia="Calibri" w:cstheme="minorHAnsi"/>
          <w:sz w:val="24"/>
          <w:szCs w:val="24"/>
        </w:rPr>
        <w:t xml:space="preserve">anagement </w:t>
      </w:r>
      <w:r w:rsidR="006065DD" w:rsidRPr="00C070A0">
        <w:rPr>
          <w:rFonts w:eastAsia="Calibri" w:cstheme="minorHAnsi"/>
          <w:sz w:val="24"/>
          <w:szCs w:val="24"/>
        </w:rPr>
        <w:t>P</w:t>
      </w:r>
      <w:r w:rsidR="00B50189" w:rsidRPr="00C070A0">
        <w:rPr>
          <w:rFonts w:eastAsia="Calibri" w:cstheme="minorHAnsi"/>
          <w:sz w:val="24"/>
          <w:szCs w:val="24"/>
        </w:rPr>
        <w:t>rogram that focuses on promoting effective communication and coordination across care settings to ensure a smooth transition from hospital to community and seamless integration of services. All patients have a case manage</w:t>
      </w:r>
      <w:r w:rsidR="00FA3ACB" w:rsidRPr="00C070A0">
        <w:rPr>
          <w:rFonts w:eastAsia="Calibri" w:cstheme="minorHAnsi"/>
          <w:sz w:val="24"/>
          <w:szCs w:val="24"/>
        </w:rPr>
        <w:t xml:space="preserve">r </w:t>
      </w:r>
      <w:r w:rsidR="00B50189" w:rsidRPr="00C070A0">
        <w:rPr>
          <w:rFonts w:eastAsia="Calibri" w:cstheme="minorHAnsi"/>
          <w:sz w:val="24"/>
          <w:szCs w:val="24"/>
        </w:rPr>
        <w:t>to provide care coordination and social services while the patient is in the hospital</w:t>
      </w:r>
      <w:r w:rsidR="00FA3ACB" w:rsidRPr="00C070A0">
        <w:rPr>
          <w:rFonts w:eastAsia="Calibri" w:cstheme="minorHAnsi"/>
          <w:sz w:val="24"/>
          <w:szCs w:val="24"/>
        </w:rPr>
        <w:t xml:space="preserve"> as well as </w:t>
      </w:r>
      <w:r w:rsidR="00F463DA" w:rsidRPr="00C070A0">
        <w:rPr>
          <w:rFonts w:eastAsia="Calibri" w:cstheme="minorHAnsi"/>
          <w:sz w:val="24"/>
          <w:szCs w:val="24"/>
        </w:rPr>
        <w:t xml:space="preserve">coordination </w:t>
      </w:r>
      <w:r w:rsidR="00B50189" w:rsidRPr="00C070A0">
        <w:rPr>
          <w:rFonts w:eastAsia="Calibri" w:cstheme="minorHAnsi"/>
          <w:sz w:val="24"/>
          <w:szCs w:val="24"/>
        </w:rPr>
        <w:t xml:space="preserve">of services for the patient post-discharge. </w:t>
      </w:r>
      <w:r w:rsidR="007E038E" w:rsidRPr="00C070A0">
        <w:rPr>
          <w:rFonts w:eastAsia="Calibri" w:cstheme="minorHAnsi"/>
          <w:sz w:val="24"/>
          <w:szCs w:val="24"/>
        </w:rPr>
        <w:t>At the time of discharge, the case managers confirm that all necessary medical follow-up appointments</w:t>
      </w:r>
      <w:r w:rsidR="00F463DA" w:rsidRPr="00C070A0">
        <w:rPr>
          <w:rFonts w:eastAsia="Calibri" w:cstheme="minorHAnsi"/>
          <w:sz w:val="24"/>
          <w:szCs w:val="24"/>
        </w:rPr>
        <w:t>, established any post-discharge care services</w:t>
      </w:r>
      <w:r w:rsidR="00713463" w:rsidRPr="00C070A0">
        <w:rPr>
          <w:rFonts w:eastAsia="Calibri" w:cstheme="minorHAnsi"/>
          <w:sz w:val="24"/>
          <w:szCs w:val="24"/>
        </w:rPr>
        <w:t>, and</w:t>
      </w:r>
      <w:r w:rsidR="007E038E" w:rsidRPr="00C070A0">
        <w:rPr>
          <w:rFonts w:eastAsia="Calibri" w:cstheme="minorHAnsi"/>
          <w:sz w:val="24"/>
          <w:szCs w:val="24"/>
        </w:rPr>
        <w:t xml:space="preserve"> sends necessary medical information regarding the patient’s rehabilitation stay to the </w:t>
      </w:r>
      <w:r w:rsidR="00713463" w:rsidRPr="00C070A0">
        <w:rPr>
          <w:rFonts w:eastAsia="Calibri" w:cstheme="minorHAnsi"/>
          <w:sz w:val="24"/>
          <w:szCs w:val="24"/>
        </w:rPr>
        <w:t xml:space="preserve">patient’s </w:t>
      </w:r>
      <w:r w:rsidR="007E038E" w:rsidRPr="00C070A0">
        <w:rPr>
          <w:rFonts w:eastAsia="Calibri" w:cstheme="minorHAnsi"/>
          <w:sz w:val="24"/>
          <w:szCs w:val="24"/>
        </w:rPr>
        <w:t>community physicia</w:t>
      </w:r>
      <w:r w:rsidR="00713463" w:rsidRPr="00C070A0">
        <w:rPr>
          <w:rFonts w:eastAsia="Calibri" w:cstheme="minorHAnsi"/>
          <w:sz w:val="24"/>
          <w:szCs w:val="24"/>
        </w:rPr>
        <w:t>n</w:t>
      </w:r>
      <w:r w:rsidR="007E038E" w:rsidRPr="00C070A0">
        <w:rPr>
          <w:rFonts w:eastAsia="Calibri" w:cstheme="minorHAnsi"/>
          <w:sz w:val="24"/>
          <w:szCs w:val="24"/>
        </w:rPr>
        <w:t>.</w:t>
      </w:r>
    </w:p>
    <w:p w14:paraId="3C37CADB" w14:textId="77777777" w:rsidR="00C070A0" w:rsidRPr="00C070A0" w:rsidRDefault="00C070A0" w:rsidP="00C070A0">
      <w:pPr>
        <w:spacing w:after="0"/>
        <w:rPr>
          <w:rFonts w:eastAsia="Calibri" w:cstheme="minorHAnsi"/>
          <w:sz w:val="24"/>
          <w:szCs w:val="24"/>
        </w:rPr>
      </w:pPr>
    </w:p>
    <w:p w14:paraId="637FF612" w14:textId="0F3D3144" w:rsidR="0007476F" w:rsidRPr="005B06AF" w:rsidRDefault="00376764" w:rsidP="00C070A0">
      <w:pPr>
        <w:pStyle w:val="ListParagraph"/>
        <w:numPr>
          <w:ilvl w:val="0"/>
          <w:numId w:val="40"/>
        </w:numPr>
        <w:spacing w:after="0" w:line="240" w:lineRule="auto"/>
        <w:jc w:val="both"/>
        <w:rPr>
          <w:rFonts w:cstheme="minorHAnsi"/>
          <w:b/>
          <w:bCs/>
          <w:i/>
          <w:iCs/>
          <w:sz w:val="24"/>
          <w:szCs w:val="24"/>
        </w:rPr>
      </w:pPr>
      <w:r w:rsidRPr="005B06AF">
        <w:rPr>
          <w:rFonts w:cstheme="minorHAnsi"/>
          <w:b/>
          <w:bCs/>
          <w:i/>
          <w:iCs/>
          <w:sz w:val="24"/>
          <w:szCs w:val="24"/>
        </w:rPr>
        <w:t>Open Medical Staff Model</w:t>
      </w:r>
    </w:p>
    <w:p w14:paraId="285F8D42" w14:textId="23B48884" w:rsidR="0007476F" w:rsidRPr="00C070A0" w:rsidRDefault="00376764" w:rsidP="007D3A35">
      <w:pPr>
        <w:spacing w:after="0" w:line="240" w:lineRule="auto"/>
        <w:rPr>
          <w:rFonts w:cstheme="minorHAnsi"/>
          <w:sz w:val="24"/>
          <w:szCs w:val="24"/>
        </w:rPr>
      </w:pPr>
      <w:r w:rsidRPr="00C070A0">
        <w:rPr>
          <w:rFonts w:cstheme="minorHAnsi"/>
          <w:sz w:val="24"/>
          <w:szCs w:val="24"/>
        </w:rPr>
        <w:t>The H</w:t>
      </w:r>
      <w:r w:rsidR="0007476F" w:rsidRPr="00C070A0">
        <w:rPr>
          <w:rFonts w:cstheme="minorHAnsi"/>
          <w:sz w:val="24"/>
          <w:szCs w:val="24"/>
        </w:rPr>
        <w:t xml:space="preserve">ospital’s </w:t>
      </w:r>
      <w:r w:rsidR="007D3A35" w:rsidRPr="00C070A0">
        <w:rPr>
          <w:rFonts w:cstheme="minorHAnsi"/>
          <w:sz w:val="24"/>
          <w:szCs w:val="24"/>
        </w:rPr>
        <w:t>O</w:t>
      </w:r>
      <w:r w:rsidR="0007476F" w:rsidRPr="00C070A0">
        <w:rPr>
          <w:rFonts w:cstheme="minorHAnsi"/>
          <w:sz w:val="24"/>
          <w:szCs w:val="24"/>
        </w:rPr>
        <w:t xml:space="preserve">pen </w:t>
      </w:r>
      <w:r w:rsidR="007D3A35" w:rsidRPr="00C070A0">
        <w:rPr>
          <w:rFonts w:cstheme="minorHAnsi"/>
          <w:sz w:val="24"/>
          <w:szCs w:val="24"/>
        </w:rPr>
        <w:t>M</w:t>
      </w:r>
      <w:r w:rsidR="0007476F" w:rsidRPr="00C070A0">
        <w:rPr>
          <w:rFonts w:cstheme="minorHAnsi"/>
          <w:sz w:val="24"/>
          <w:szCs w:val="24"/>
        </w:rPr>
        <w:t xml:space="preserve">edical </w:t>
      </w:r>
      <w:r w:rsidR="007D3A35" w:rsidRPr="00C070A0">
        <w:rPr>
          <w:rFonts w:cstheme="minorHAnsi"/>
          <w:sz w:val="24"/>
          <w:szCs w:val="24"/>
        </w:rPr>
        <w:t>S</w:t>
      </w:r>
      <w:r w:rsidR="0007476F" w:rsidRPr="00C070A0">
        <w:rPr>
          <w:rFonts w:cstheme="minorHAnsi"/>
          <w:sz w:val="24"/>
          <w:szCs w:val="24"/>
        </w:rPr>
        <w:t xml:space="preserve">taff </w:t>
      </w:r>
      <w:r w:rsidR="007D3A35" w:rsidRPr="00C070A0">
        <w:rPr>
          <w:rFonts w:cstheme="minorHAnsi"/>
          <w:sz w:val="24"/>
          <w:szCs w:val="24"/>
        </w:rPr>
        <w:t>M</w:t>
      </w:r>
      <w:r w:rsidR="0007476F" w:rsidRPr="00C070A0">
        <w:rPr>
          <w:rFonts w:cstheme="minorHAnsi"/>
          <w:sz w:val="24"/>
          <w:szCs w:val="24"/>
        </w:rPr>
        <w:t xml:space="preserve">odel ensures that community-based physicians </w:t>
      </w:r>
      <w:proofErr w:type="gramStart"/>
      <w:r w:rsidR="0007476F" w:rsidRPr="00C070A0">
        <w:rPr>
          <w:rFonts w:cstheme="minorHAnsi"/>
          <w:sz w:val="24"/>
          <w:szCs w:val="24"/>
        </w:rPr>
        <w:t xml:space="preserve">are </w:t>
      </w:r>
      <w:r w:rsidR="008A201D" w:rsidRPr="00C070A0">
        <w:rPr>
          <w:rFonts w:cstheme="minorHAnsi"/>
          <w:sz w:val="24"/>
          <w:szCs w:val="24"/>
        </w:rPr>
        <w:t>able</w:t>
      </w:r>
      <w:r w:rsidR="0007476F" w:rsidRPr="00C070A0">
        <w:rPr>
          <w:rFonts w:cstheme="minorHAnsi"/>
          <w:sz w:val="24"/>
          <w:szCs w:val="24"/>
        </w:rPr>
        <w:t xml:space="preserve"> to</w:t>
      </w:r>
      <w:proofErr w:type="gramEnd"/>
      <w:r w:rsidR="0007476F" w:rsidRPr="00C070A0">
        <w:rPr>
          <w:rFonts w:cstheme="minorHAnsi"/>
          <w:sz w:val="24"/>
          <w:szCs w:val="24"/>
        </w:rPr>
        <w:t xml:space="preserve"> care for patients’ medical needs alongside </w:t>
      </w:r>
      <w:r w:rsidR="008A201D" w:rsidRPr="00C070A0">
        <w:rPr>
          <w:rFonts w:cstheme="minorHAnsi"/>
          <w:sz w:val="24"/>
          <w:szCs w:val="24"/>
        </w:rPr>
        <w:t>rehab staff</w:t>
      </w:r>
      <w:r w:rsidR="0007476F" w:rsidRPr="00C070A0">
        <w:rPr>
          <w:rFonts w:cstheme="minorHAnsi"/>
          <w:sz w:val="24"/>
          <w:szCs w:val="24"/>
        </w:rPr>
        <w:t xml:space="preserve">. The </w:t>
      </w:r>
      <w:r w:rsidR="00664FC5" w:rsidRPr="00C070A0">
        <w:rPr>
          <w:rFonts w:cstheme="minorHAnsi"/>
          <w:sz w:val="24"/>
          <w:szCs w:val="24"/>
        </w:rPr>
        <w:t>Hospital</w:t>
      </w:r>
      <w:r w:rsidR="0007476F" w:rsidRPr="00C070A0">
        <w:rPr>
          <w:rFonts w:cstheme="minorHAnsi"/>
          <w:sz w:val="24"/>
          <w:szCs w:val="24"/>
        </w:rPr>
        <w:t xml:space="preserve"> works with community-based internal medicine physicians, and other specialties to ensure that inpatients have access to medical specialists as needed during their inpatient stay. </w:t>
      </w:r>
      <w:r w:rsidR="00A624E5" w:rsidRPr="00C070A0">
        <w:rPr>
          <w:rFonts w:cstheme="minorHAnsi"/>
          <w:sz w:val="24"/>
          <w:szCs w:val="24"/>
        </w:rPr>
        <w:t xml:space="preserve">Employing this </w:t>
      </w:r>
      <w:r w:rsidR="0007476F" w:rsidRPr="00C070A0">
        <w:rPr>
          <w:rFonts w:cstheme="minorHAnsi"/>
          <w:sz w:val="24"/>
          <w:szCs w:val="24"/>
        </w:rPr>
        <w:t xml:space="preserve">model </w:t>
      </w:r>
      <w:r w:rsidR="00A624E5" w:rsidRPr="00C070A0">
        <w:rPr>
          <w:rFonts w:cstheme="minorHAnsi"/>
          <w:sz w:val="24"/>
          <w:szCs w:val="24"/>
        </w:rPr>
        <w:t>as well as</w:t>
      </w:r>
      <w:r w:rsidR="0007476F" w:rsidRPr="00C070A0">
        <w:rPr>
          <w:rFonts w:cstheme="minorHAnsi"/>
          <w:sz w:val="24"/>
          <w:szCs w:val="24"/>
        </w:rPr>
        <w:t xml:space="preserve"> direct communication </w:t>
      </w:r>
      <w:r w:rsidR="00A624E5" w:rsidRPr="00C070A0">
        <w:rPr>
          <w:rFonts w:cstheme="minorHAnsi"/>
          <w:sz w:val="24"/>
          <w:szCs w:val="24"/>
        </w:rPr>
        <w:t>with</w:t>
      </w:r>
      <w:r w:rsidR="0007476F" w:rsidRPr="00C070A0">
        <w:rPr>
          <w:rFonts w:cstheme="minorHAnsi"/>
          <w:sz w:val="24"/>
          <w:szCs w:val="24"/>
        </w:rPr>
        <w:t xml:space="preserve"> community-based physicians means that patients return to their primary and specialty care physicians upon discharge with no interruption or gap in care, thus improving the coordination of patient care.</w:t>
      </w:r>
    </w:p>
    <w:p w14:paraId="74BAF504" w14:textId="4C9BB1FF" w:rsidR="0007476F" w:rsidRPr="00C070A0" w:rsidRDefault="0007476F" w:rsidP="0007476F">
      <w:pPr>
        <w:spacing w:after="0"/>
        <w:jc w:val="both"/>
        <w:rPr>
          <w:rFonts w:cstheme="minorHAnsi"/>
          <w:sz w:val="24"/>
          <w:szCs w:val="24"/>
        </w:rPr>
      </w:pPr>
    </w:p>
    <w:p w14:paraId="0C0857B6" w14:textId="7C9FCFB3" w:rsidR="00D416B5" w:rsidRPr="005B06AF" w:rsidRDefault="00D416B5" w:rsidP="00D416B5">
      <w:pPr>
        <w:pStyle w:val="ListParagraph"/>
        <w:numPr>
          <w:ilvl w:val="0"/>
          <w:numId w:val="40"/>
        </w:numPr>
        <w:spacing w:after="0"/>
        <w:jc w:val="both"/>
        <w:rPr>
          <w:rFonts w:cstheme="minorHAnsi"/>
          <w:b/>
          <w:bCs/>
          <w:i/>
          <w:iCs/>
          <w:sz w:val="24"/>
          <w:szCs w:val="24"/>
        </w:rPr>
      </w:pPr>
      <w:r w:rsidRPr="005B06AF">
        <w:rPr>
          <w:rFonts w:cstheme="minorHAnsi"/>
          <w:b/>
          <w:bCs/>
          <w:i/>
          <w:iCs/>
          <w:sz w:val="24"/>
          <w:szCs w:val="24"/>
        </w:rPr>
        <w:t>Tech</w:t>
      </w:r>
      <w:r w:rsidR="00C070A0" w:rsidRPr="005B06AF">
        <w:rPr>
          <w:rFonts w:cstheme="minorHAnsi"/>
          <w:b/>
          <w:bCs/>
          <w:i/>
          <w:iCs/>
          <w:sz w:val="24"/>
          <w:szCs w:val="24"/>
        </w:rPr>
        <w:t>n</w:t>
      </w:r>
      <w:r w:rsidRPr="005B06AF">
        <w:rPr>
          <w:rFonts w:cstheme="minorHAnsi"/>
          <w:b/>
          <w:bCs/>
          <w:i/>
          <w:iCs/>
          <w:sz w:val="24"/>
          <w:szCs w:val="24"/>
        </w:rPr>
        <w:t>ology</w:t>
      </w:r>
    </w:p>
    <w:p w14:paraId="0CDE42A6" w14:textId="6F384EF0" w:rsidR="00C67247" w:rsidRDefault="0007476F" w:rsidP="00F45407">
      <w:pPr>
        <w:spacing w:after="0" w:line="240" w:lineRule="auto"/>
        <w:rPr>
          <w:rFonts w:cstheme="minorHAnsi"/>
          <w:sz w:val="24"/>
          <w:szCs w:val="24"/>
        </w:rPr>
      </w:pPr>
      <w:r w:rsidRPr="00C070A0">
        <w:rPr>
          <w:rFonts w:cstheme="minorHAnsi"/>
          <w:sz w:val="24"/>
          <w:szCs w:val="24"/>
        </w:rPr>
        <w:t>The Applicant also utilizes technology to facilitate communications with community-based providers. Care collaboration is enabled through</w:t>
      </w:r>
      <w:r w:rsidR="006F032B">
        <w:rPr>
          <w:rFonts w:cstheme="minorHAnsi"/>
          <w:sz w:val="24"/>
          <w:szCs w:val="24"/>
        </w:rPr>
        <w:t xml:space="preserve"> a secure, web-based portal called</w:t>
      </w:r>
      <w:r w:rsidRPr="00C070A0">
        <w:rPr>
          <w:rFonts w:cstheme="minorHAnsi"/>
          <w:sz w:val="24"/>
          <w:szCs w:val="24"/>
        </w:rPr>
        <w:t xml:space="preserve"> Encompass </w:t>
      </w:r>
      <w:r w:rsidRPr="00C070A0">
        <w:rPr>
          <w:rFonts w:cstheme="minorHAnsi"/>
          <w:sz w:val="24"/>
          <w:szCs w:val="24"/>
        </w:rPr>
        <w:lastRenderedPageBreak/>
        <w:t>Health Connection</w:t>
      </w:r>
      <w:r w:rsidR="006F032B">
        <w:rPr>
          <w:rFonts w:cstheme="minorHAnsi"/>
          <w:sz w:val="24"/>
          <w:szCs w:val="24"/>
        </w:rPr>
        <w:t>.</w:t>
      </w:r>
      <w:r w:rsidRPr="00C070A0">
        <w:rPr>
          <w:rFonts w:cstheme="minorHAnsi"/>
          <w:sz w:val="24"/>
          <w:szCs w:val="24"/>
        </w:rPr>
        <w:t xml:space="preserve"> </w:t>
      </w:r>
      <w:r w:rsidR="006F032B">
        <w:rPr>
          <w:rFonts w:cstheme="minorHAnsi"/>
          <w:sz w:val="24"/>
          <w:szCs w:val="24"/>
        </w:rPr>
        <w:t>This portal</w:t>
      </w:r>
      <w:r w:rsidRPr="00C070A0">
        <w:rPr>
          <w:rFonts w:cstheme="minorHAnsi"/>
          <w:sz w:val="24"/>
          <w:szCs w:val="24"/>
        </w:rPr>
        <w:t xml:space="preserve"> allows physicians and clinical care teams to review patient diagnoses, orders, </w:t>
      </w:r>
      <w:r w:rsidR="004D2665" w:rsidRPr="00C070A0">
        <w:rPr>
          <w:rFonts w:cstheme="minorHAnsi"/>
          <w:sz w:val="24"/>
          <w:szCs w:val="24"/>
        </w:rPr>
        <w:t>medications,</w:t>
      </w:r>
      <w:r w:rsidRPr="00C070A0">
        <w:rPr>
          <w:rFonts w:cstheme="minorHAnsi"/>
          <w:sz w:val="24"/>
          <w:szCs w:val="24"/>
        </w:rPr>
        <w:t xml:space="preserve"> and overall </w:t>
      </w:r>
      <w:r w:rsidR="00EB1E8F">
        <w:rPr>
          <w:rFonts w:cstheme="minorHAnsi"/>
          <w:sz w:val="24"/>
          <w:szCs w:val="24"/>
        </w:rPr>
        <w:t xml:space="preserve">patient </w:t>
      </w:r>
      <w:r w:rsidRPr="00C070A0">
        <w:rPr>
          <w:rFonts w:cstheme="minorHAnsi"/>
          <w:sz w:val="24"/>
          <w:szCs w:val="24"/>
        </w:rPr>
        <w:t>progress.</w:t>
      </w:r>
      <w:r w:rsidR="00235731" w:rsidRPr="00C070A0">
        <w:rPr>
          <w:rFonts w:cstheme="minorHAnsi"/>
          <w:sz w:val="24"/>
          <w:szCs w:val="24"/>
        </w:rPr>
        <w:t xml:space="preserve"> </w:t>
      </w:r>
    </w:p>
    <w:p w14:paraId="5E392FF1" w14:textId="77777777" w:rsidR="00F45407" w:rsidRPr="00F45407" w:rsidRDefault="00F45407" w:rsidP="00F45407">
      <w:pPr>
        <w:spacing w:after="0" w:line="240" w:lineRule="auto"/>
        <w:rPr>
          <w:rFonts w:cstheme="minorHAnsi"/>
          <w:sz w:val="24"/>
          <w:szCs w:val="24"/>
        </w:rPr>
      </w:pPr>
    </w:p>
    <w:p w14:paraId="7CE10DB2" w14:textId="73563019" w:rsidR="00C67247" w:rsidRPr="000D0E88" w:rsidRDefault="00C67247" w:rsidP="00656FAD">
      <w:pPr>
        <w:spacing w:after="0"/>
        <w:rPr>
          <w:b/>
          <w:bCs/>
          <w:i/>
          <w:iCs/>
          <w:color w:val="FF0000"/>
        </w:rPr>
      </w:pPr>
      <w:r w:rsidRPr="000D0E88">
        <w:rPr>
          <w:b/>
          <w:bCs/>
          <w:i/>
          <w:iCs/>
        </w:rPr>
        <w:t>A</w:t>
      </w:r>
      <w:r w:rsidR="00656FAD">
        <w:rPr>
          <w:b/>
          <w:bCs/>
          <w:i/>
          <w:iCs/>
        </w:rPr>
        <w:t>nalysis</w:t>
      </w:r>
    </w:p>
    <w:p w14:paraId="288D8350" w14:textId="3DD9E6E8" w:rsidR="00C87188" w:rsidRPr="005B06AF" w:rsidRDefault="000325FE" w:rsidP="00656FAD">
      <w:pPr>
        <w:autoSpaceDE w:val="0"/>
        <w:autoSpaceDN w:val="0"/>
        <w:adjustRightInd w:val="0"/>
        <w:spacing w:after="0"/>
        <w:rPr>
          <w:rFonts w:ascii="Calibri" w:hAnsi="Calibri" w:cs="Calibri"/>
          <w:color w:val="FF0000"/>
          <w:sz w:val="24"/>
          <w:szCs w:val="24"/>
        </w:rPr>
      </w:pPr>
      <w:r w:rsidRPr="005B06AF">
        <w:rPr>
          <w:sz w:val="24"/>
          <w:szCs w:val="24"/>
        </w:rPr>
        <w:t xml:space="preserve">Staff </w:t>
      </w:r>
      <w:r w:rsidR="00BA0CD7" w:rsidRPr="005B06AF">
        <w:rPr>
          <w:sz w:val="24"/>
          <w:szCs w:val="24"/>
        </w:rPr>
        <w:t xml:space="preserve">finds </w:t>
      </w:r>
      <w:r w:rsidR="00BA0CD7" w:rsidRPr="005B06AF">
        <w:rPr>
          <w:rFonts w:ascii="Calibri" w:hAnsi="Calibri" w:cs="Calibri"/>
          <w:color w:val="000000"/>
          <w:sz w:val="24"/>
          <w:szCs w:val="24"/>
        </w:rPr>
        <w:t xml:space="preserve">that the Applicant’s </w:t>
      </w:r>
      <w:r w:rsidR="00482026" w:rsidRPr="005B06AF">
        <w:rPr>
          <w:rFonts w:ascii="Calibri" w:hAnsi="Calibri" w:cs="Calibri"/>
          <w:color w:val="000000"/>
          <w:sz w:val="24"/>
          <w:szCs w:val="24"/>
        </w:rPr>
        <w:t xml:space="preserve">Care Coordination Program and Open Medical Staff Model </w:t>
      </w:r>
      <w:r w:rsidR="00BA0CD7" w:rsidRPr="005B06AF">
        <w:rPr>
          <w:rFonts w:ascii="Calibri" w:hAnsi="Calibri" w:cs="Calibri"/>
          <w:color w:val="000000"/>
          <w:sz w:val="24"/>
          <w:szCs w:val="24"/>
        </w:rPr>
        <w:t>will contribute positively to efficiency, continuity, and coordination of care.</w:t>
      </w:r>
      <w:r w:rsidR="00C87188" w:rsidRPr="005B06AF">
        <w:rPr>
          <w:rFonts w:ascii="Calibri" w:hAnsi="Calibri" w:cs="Calibri"/>
          <w:color w:val="000000"/>
          <w:sz w:val="24"/>
          <w:szCs w:val="24"/>
        </w:rPr>
        <w:t xml:space="preserve"> </w:t>
      </w:r>
      <w:r w:rsidR="00482026" w:rsidRPr="005B06AF">
        <w:rPr>
          <w:rFonts w:ascii="Calibri" w:hAnsi="Calibri" w:cs="Calibri"/>
          <w:color w:val="000000"/>
          <w:sz w:val="24"/>
          <w:szCs w:val="24"/>
        </w:rPr>
        <w:t>The</w:t>
      </w:r>
      <w:r w:rsidR="000B215A" w:rsidRPr="005B06AF">
        <w:rPr>
          <w:rFonts w:ascii="Calibri" w:hAnsi="Calibri" w:cs="Calibri"/>
          <w:color w:val="000000"/>
          <w:sz w:val="24"/>
          <w:szCs w:val="24"/>
        </w:rPr>
        <w:t xml:space="preserve">se methods reduce the likelihood of a gap in service with the </w:t>
      </w:r>
      <w:r w:rsidR="006F1413" w:rsidRPr="005B06AF">
        <w:rPr>
          <w:rFonts w:ascii="Calibri" w:hAnsi="Calibri" w:cs="Calibri"/>
          <w:color w:val="000000"/>
          <w:sz w:val="24"/>
          <w:szCs w:val="24"/>
        </w:rPr>
        <w:t>patient’s</w:t>
      </w:r>
      <w:r w:rsidR="000B215A" w:rsidRPr="005B06AF">
        <w:rPr>
          <w:rFonts w:ascii="Calibri" w:hAnsi="Calibri" w:cs="Calibri"/>
          <w:color w:val="000000"/>
          <w:sz w:val="24"/>
          <w:szCs w:val="24"/>
        </w:rPr>
        <w:t xml:space="preserve"> community</w:t>
      </w:r>
      <w:r w:rsidR="005B06AF">
        <w:rPr>
          <w:rFonts w:ascii="Calibri" w:hAnsi="Calibri" w:cs="Calibri"/>
          <w:color w:val="000000"/>
          <w:sz w:val="24"/>
          <w:szCs w:val="24"/>
        </w:rPr>
        <w:t>-</w:t>
      </w:r>
      <w:r w:rsidR="000B215A" w:rsidRPr="005B06AF">
        <w:rPr>
          <w:rFonts w:ascii="Calibri" w:hAnsi="Calibri" w:cs="Calibri"/>
          <w:color w:val="000000"/>
          <w:sz w:val="24"/>
          <w:szCs w:val="24"/>
        </w:rPr>
        <w:t xml:space="preserve">based providers. </w:t>
      </w:r>
      <w:r w:rsidR="000B215A" w:rsidRPr="005B06AF">
        <w:rPr>
          <w:rFonts w:cstheme="minorHAnsi"/>
          <w:sz w:val="24"/>
          <w:szCs w:val="24"/>
        </w:rPr>
        <w:t xml:space="preserve">Encompass’s secure, web-based portal also </w:t>
      </w:r>
      <w:r w:rsidR="00C87188" w:rsidRPr="005B06AF">
        <w:rPr>
          <w:rFonts w:cstheme="minorHAnsi"/>
          <w:sz w:val="24"/>
          <w:szCs w:val="24"/>
        </w:rPr>
        <w:t xml:space="preserve">supports communication between the physician, </w:t>
      </w:r>
      <w:r w:rsidR="000B215A" w:rsidRPr="005B06AF">
        <w:rPr>
          <w:rFonts w:cstheme="minorHAnsi"/>
          <w:sz w:val="24"/>
          <w:szCs w:val="24"/>
        </w:rPr>
        <w:t xml:space="preserve">specialists, </w:t>
      </w:r>
      <w:r w:rsidR="00C87188" w:rsidRPr="005B06AF">
        <w:rPr>
          <w:rFonts w:cstheme="minorHAnsi"/>
          <w:sz w:val="24"/>
          <w:szCs w:val="24"/>
        </w:rPr>
        <w:t>and all care team members</w:t>
      </w:r>
      <w:r w:rsidR="00C441D6" w:rsidRPr="005B06AF">
        <w:rPr>
          <w:rFonts w:cstheme="minorHAnsi"/>
          <w:sz w:val="24"/>
          <w:szCs w:val="24"/>
        </w:rPr>
        <w:t xml:space="preserve">, which </w:t>
      </w:r>
      <w:r w:rsidR="00C87188" w:rsidRPr="005B06AF">
        <w:rPr>
          <w:rFonts w:cstheme="minorHAnsi"/>
          <w:sz w:val="24"/>
          <w:szCs w:val="24"/>
        </w:rPr>
        <w:t>can foster better collaboration</w:t>
      </w:r>
      <w:r w:rsidR="00952935" w:rsidRPr="005B06AF">
        <w:rPr>
          <w:rFonts w:cstheme="minorHAnsi"/>
          <w:sz w:val="24"/>
          <w:szCs w:val="24"/>
        </w:rPr>
        <w:t xml:space="preserve"> and continuity of care</w:t>
      </w:r>
      <w:r w:rsidR="00C87188" w:rsidRPr="005B06AF">
        <w:rPr>
          <w:rFonts w:cstheme="minorHAnsi"/>
          <w:sz w:val="24"/>
          <w:szCs w:val="24"/>
        </w:rPr>
        <w:t>. As a result, Staff finds that the Proposed Project meets the requirements of Factor 1c</w:t>
      </w:r>
      <w:r w:rsidR="005B06AF">
        <w:rPr>
          <w:rFonts w:cstheme="minorHAnsi"/>
          <w:sz w:val="24"/>
          <w:szCs w:val="24"/>
        </w:rPr>
        <w:t>.</w:t>
      </w:r>
    </w:p>
    <w:p w14:paraId="691B5040" w14:textId="57F36608" w:rsidR="004A5F26" w:rsidRDefault="004A5F26" w:rsidP="004A5F26">
      <w:pPr>
        <w:spacing w:line="240" w:lineRule="auto"/>
        <w:rPr>
          <w:sz w:val="24"/>
          <w:szCs w:val="24"/>
        </w:rPr>
      </w:pPr>
    </w:p>
    <w:p w14:paraId="57E2886E" w14:textId="5DA7694D" w:rsidR="004A5F26" w:rsidRPr="003E1CDA" w:rsidRDefault="004A5F26" w:rsidP="004A5F26">
      <w:pPr>
        <w:pStyle w:val="Heading1"/>
      </w:pPr>
      <w:bookmarkStart w:id="8" w:name="_Toc151538501"/>
      <w:r w:rsidRPr="003E1CDA">
        <w:t>Factor 1: d) Consultation</w:t>
      </w:r>
      <w:bookmarkEnd w:id="8"/>
    </w:p>
    <w:p w14:paraId="55E98F5A" w14:textId="77777777" w:rsidR="00EF6D82" w:rsidRPr="00EF6D82" w:rsidRDefault="00EF6D82" w:rsidP="00EF6D82">
      <w:pPr>
        <w:autoSpaceDE w:val="0"/>
        <w:autoSpaceDN w:val="0"/>
        <w:adjustRightInd w:val="0"/>
        <w:spacing w:after="0"/>
        <w:rPr>
          <w:rFonts w:cstheme="minorHAnsi"/>
          <w:sz w:val="24"/>
          <w:szCs w:val="24"/>
        </w:rPr>
      </w:pPr>
      <w:r w:rsidRPr="00EF6D82">
        <w:rPr>
          <w:rFonts w:cstheme="minorHAnsi"/>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077BABD1" w14:textId="77777777" w:rsidR="00B74C6F" w:rsidRPr="00B74C6F" w:rsidRDefault="00B74C6F" w:rsidP="00A40EEF">
      <w:pPr>
        <w:autoSpaceDE w:val="0"/>
        <w:autoSpaceDN w:val="0"/>
        <w:adjustRightInd w:val="0"/>
        <w:rPr>
          <w:rStyle w:val="Heading1Char"/>
          <w:rFonts w:eastAsiaTheme="minorHAnsi" w:cstheme="minorHAnsi"/>
          <w:b w:val="0"/>
          <w:color w:val="000000"/>
          <w:sz w:val="24"/>
          <w:szCs w:val="24"/>
        </w:rPr>
      </w:pPr>
    </w:p>
    <w:p w14:paraId="5B905C39" w14:textId="624EB39B" w:rsidR="00B700D1" w:rsidRPr="00B44DD3" w:rsidRDefault="003E1CDA" w:rsidP="00B44DD3">
      <w:pPr>
        <w:pStyle w:val="Heading1"/>
      </w:pPr>
      <w:bookmarkStart w:id="9" w:name="_Toc151538502"/>
      <w:r w:rsidRPr="003E1CDA">
        <w:t>Factor 1: e) Evidence of Sound Community Engagement</w:t>
      </w:r>
      <w:bookmarkEnd w:id="9"/>
    </w:p>
    <w:p w14:paraId="1E6DE275" w14:textId="264E0A48" w:rsidR="008D7CB9" w:rsidRDefault="003E1CDA" w:rsidP="008D7CB9">
      <w:pPr>
        <w:spacing w:after="0" w:line="240" w:lineRule="auto"/>
        <w:rPr>
          <w:sz w:val="24"/>
          <w:szCs w:val="24"/>
        </w:rPr>
      </w:pPr>
      <w:r w:rsidRPr="003E1CDA">
        <w:rPr>
          <w:sz w:val="24"/>
          <w:szCs w:val="24"/>
        </w:rPr>
        <w:t>The Department’s Guideline</w:t>
      </w:r>
      <w:r w:rsidRPr="003E1CDA">
        <w:rPr>
          <w:sz w:val="24"/>
          <w:szCs w:val="24"/>
          <w:vertAlign w:val="superscript"/>
        </w:rPr>
        <w:footnoteReference w:id="21"/>
      </w:r>
      <w:r w:rsidRPr="003E1CDA">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3E1CDA">
        <w:rPr>
          <w:sz w:val="24"/>
          <w:szCs w:val="24"/>
          <w:vertAlign w:val="superscript"/>
        </w:rPr>
        <w:footnoteReference w:id="22"/>
      </w:r>
      <w:bookmarkStart w:id="10" w:name="_Hlk140505850"/>
    </w:p>
    <w:p w14:paraId="1AED331E" w14:textId="77777777" w:rsidR="008D7CB9" w:rsidRPr="008D7CB9" w:rsidRDefault="008D7CB9" w:rsidP="008D7CB9">
      <w:pPr>
        <w:spacing w:after="0" w:line="240" w:lineRule="auto"/>
        <w:rPr>
          <w:sz w:val="24"/>
          <w:szCs w:val="24"/>
        </w:rPr>
      </w:pPr>
    </w:p>
    <w:p w14:paraId="662B319A" w14:textId="181529A9" w:rsidR="002052AB" w:rsidRPr="008D7CB9" w:rsidRDefault="002052AB" w:rsidP="008D7CB9">
      <w:pPr>
        <w:spacing w:after="0" w:line="240" w:lineRule="auto"/>
        <w:rPr>
          <w:sz w:val="24"/>
          <w:szCs w:val="24"/>
        </w:rPr>
      </w:pPr>
      <w:r w:rsidRPr="008D7CB9">
        <w:rPr>
          <w:sz w:val="24"/>
          <w:szCs w:val="24"/>
        </w:rPr>
        <w:t>The Applicant presented the Proposed Project presented to the following groups:</w:t>
      </w:r>
    </w:p>
    <w:p w14:paraId="431BC4BD" w14:textId="350B7A81" w:rsidR="002052AB" w:rsidRDefault="002052AB" w:rsidP="002052AB">
      <w:pPr>
        <w:pStyle w:val="ListParagraph"/>
        <w:numPr>
          <w:ilvl w:val="0"/>
          <w:numId w:val="33"/>
        </w:numPr>
        <w:spacing w:after="0" w:line="240" w:lineRule="auto"/>
        <w:jc w:val="both"/>
        <w:rPr>
          <w:rFonts w:eastAsia="Arial" w:cstheme="minorHAnsi"/>
          <w:sz w:val="24"/>
          <w:szCs w:val="24"/>
        </w:rPr>
      </w:pPr>
      <w:r w:rsidRPr="005F43E5">
        <w:rPr>
          <w:rFonts w:eastAsia="Arial" w:cstheme="minorHAnsi"/>
          <w:sz w:val="24"/>
          <w:szCs w:val="24"/>
        </w:rPr>
        <w:t>Hospital’s Patient and Family Advisory Committee</w:t>
      </w:r>
      <w:r w:rsidR="008D7CB9">
        <w:rPr>
          <w:rFonts w:eastAsia="Arial" w:cstheme="minorHAnsi"/>
          <w:sz w:val="24"/>
          <w:szCs w:val="24"/>
        </w:rPr>
        <w:t xml:space="preserve"> (“PFAC”)</w:t>
      </w:r>
    </w:p>
    <w:p w14:paraId="63426FE0" w14:textId="644EB00D" w:rsidR="008D7CB9" w:rsidRPr="008D7CB9" w:rsidRDefault="00DD6183" w:rsidP="008D7CB9">
      <w:pPr>
        <w:pStyle w:val="ListParagraph"/>
        <w:numPr>
          <w:ilvl w:val="0"/>
          <w:numId w:val="33"/>
        </w:numPr>
        <w:spacing w:after="0" w:line="240" w:lineRule="auto"/>
        <w:jc w:val="both"/>
        <w:rPr>
          <w:rFonts w:eastAsia="Arial" w:cstheme="minorHAnsi"/>
          <w:sz w:val="24"/>
          <w:szCs w:val="24"/>
        </w:rPr>
      </w:pPr>
      <w:r>
        <w:rPr>
          <w:rFonts w:eastAsia="Arial" w:cstheme="minorHAnsi"/>
          <w:sz w:val="24"/>
          <w:szCs w:val="24"/>
        </w:rPr>
        <w:t xml:space="preserve">Western Mass </w:t>
      </w:r>
      <w:r w:rsidR="008D7CB9" w:rsidRPr="000E56C2">
        <w:rPr>
          <w:rFonts w:eastAsia="Arial" w:cstheme="minorHAnsi"/>
          <w:sz w:val="24"/>
          <w:szCs w:val="24"/>
        </w:rPr>
        <w:t xml:space="preserve">Community </w:t>
      </w:r>
    </w:p>
    <w:p w14:paraId="1B575F01" w14:textId="77777777" w:rsidR="002052AB" w:rsidRPr="003F696D" w:rsidRDefault="002052AB" w:rsidP="002052AB">
      <w:pPr>
        <w:jc w:val="both"/>
        <w:rPr>
          <w:rFonts w:eastAsia="Arial" w:cstheme="minorHAnsi"/>
          <w:kern w:val="2"/>
          <w:highlight w:val="yellow"/>
        </w:rPr>
      </w:pPr>
    </w:p>
    <w:p w14:paraId="01E462C3" w14:textId="0EFA8848" w:rsidR="002052AB" w:rsidRPr="00DE7081" w:rsidRDefault="002052AB" w:rsidP="002052AB">
      <w:pPr>
        <w:jc w:val="both"/>
        <w:rPr>
          <w:rFonts w:eastAsia="Arial" w:cstheme="minorHAnsi"/>
          <w:kern w:val="2"/>
          <w:sz w:val="24"/>
          <w:szCs w:val="24"/>
        </w:rPr>
      </w:pPr>
      <w:r w:rsidRPr="00DE7081">
        <w:rPr>
          <w:rFonts w:eastAsia="Arial" w:cstheme="minorHAnsi"/>
          <w:kern w:val="2"/>
          <w:sz w:val="24"/>
          <w:szCs w:val="24"/>
        </w:rPr>
        <w:t xml:space="preserve">During each of the presentations described below, attendees were educated on the Applicant’s Proposed Project </w:t>
      </w:r>
      <w:r w:rsidR="00004699">
        <w:rPr>
          <w:rFonts w:eastAsia="Arial" w:cstheme="minorHAnsi"/>
          <w:kern w:val="2"/>
          <w:sz w:val="24"/>
          <w:szCs w:val="24"/>
        </w:rPr>
        <w:t>and the Determination of Need process</w:t>
      </w:r>
      <w:r w:rsidRPr="00DE7081">
        <w:rPr>
          <w:rFonts w:eastAsia="Arial" w:cstheme="minorHAnsi"/>
          <w:kern w:val="2"/>
          <w:sz w:val="24"/>
          <w:szCs w:val="24"/>
        </w:rPr>
        <w:t xml:space="preserve">. Following the presentation, attendees were able to share feedback and ask the presenters questions. </w:t>
      </w:r>
    </w:p>
    <w:p w14:paraId="701FC6C3" w14:textId="2B55F204" w:rsidR="006674E1" w:rsidRPr="00E90538" w:rsidRDefault="005670A8" w:rsidP="00740EDA">
      <w:pPr>
        <w:pStyle w:val="Default"/>
        <w:numPr>
          <w:ilvl w:val="0"/>
          <w:numId w:val="34"/>
        </w:numPr>
        <w:rPr>
          <w:rFonts w:asciiTheme="minorHAnsi" w:hAnsiTheme="minorHAnsi" w:cstheme="minorHAnsi"/>
        </w:rPr>
      </w:pPr>
      <w:r w:rsidRPr="00E90538">
        <w:rPr>
          <w:rFonts w:asciiTheme="minorHAnsi" w:eastAsia="Arial" w:hAnsiTheme="minorHAnsi" w:cstheme="minorHAnsi"/>
          <w:b/>
          <w:bCs/>
        </w:rPr>
        <w:t>Hospital’s Patient and Family Advisory Committee (PFAC)</w:t>
      </w:r>
      <w:r w:rsidRPr="00E90538">
        <w:rPr>
          <w:rFonts w:asciiTheme="minorHAnsi" w:eastAsia="Arial" w:hAnsiTheme="minorHAnsi" w:cstheme="minorHAnsi"/>
          <w:b/>
          <w:bCs/>
          <w:kern w:val="2"/>
        </w:rPr>
        <w:t xml:space="preserve">: </w:t>
      </w:r>
      <w:r w:rsidR="006674E1" w:rsidRPr="00E90538">
        <w:rPr>
          <w:rFonts w:asciiTheme="minorHAnsi" w:eastAsia="Arial" w:hAnsiTheme="minorHAnsi" w:cstheme="minorHAnsi"/>
          <w:kern w:val="2"/>
        </w:rPr>
        <w:t xml:space="preserve">The Proposed Project was presented to the PFAC in May 2023. The presentation was attended by five (5) PFAC staff and </w:t>
      </w:r>
      <w:r w:rsidR="00E90538" w:rsidRPr="00E90538">
        <w:rPr>
          <w:rFonts w:asciiTheme="minorHAnsi" w:eastAsia="Arial" w:hAnsiTheme="minorHAnsi" w:cstheme="minorHAnsi"/>
          <w:kern w:val="2"/>
        </w:rPr>
        <w:t>three (3) non-staff</w:t>
      </w:r>
      <w:r w:rsidR="006674E1" w:rsidRPr="00E90538">
        <w:rPr>
          <w:rFonts w:asciiTheme="minorHAnsi" w:eastAsia="Arial" w:hAnsiTheme="minorHAnsi" w:cstheme="minorHAnsi"/>
          <w:kern w:val="2"/>
        </w:rPr>
        <w:t xml:space="preserve"> </w:t>
      </w:r>
      <w:r w:rsidR="006674E1" w:rsidRPr="00740EDA">
        <w:rPr>
          <w:rFonts w:asciiTheme="minorHAnsi" w:eastAsia="Arial" w:hAnsiTheme="minorHAnsi" w:cstheme="minorHAnsi"/>
          <w:kern w:val="2"/>
        </w:rPr>
        <w:t>attendees. PFAC members did not have any feedback or questions for the presenters.</w:t>
      </w:r>
    </w:p>
    <w:p w14:paraId="380F9558" w14:textId="6C61D2E3" w:rsidR="00233D71" w:rsidRPr="00740EDA" w:rsidRDefault="00233D71" w:rsidP="00740EDA">
      <w:pPr>
        <w:pStyle w:val="ListParagraph"/>
        <w:numPr>
          <w:ilvl w:val="0"/>
          <w:numId w:val="34"/>
        </w:numPr>
        <w:spacing w:after="0" w:line="240" w:lineRule="auto"/>
        <w:rPr>
          <w:rFonts w:ascii="Times New Roman" w:hAnsi="Times New Roman" w:cs="Times New Roman"/>
          <w:sz w:val="24"/>
          <w:szCs w:val="24"/>
        </w:rPr>
      </w:pPr>
      <w:r w:rsidRPr="00740EDA">
        <w:rPr>
          <w:rFonts w:cstheme="minorHAnsi"/>
          <w:b/>
          <w:bCs/>
          <w:sz w:val="24"/>
          <w:szCs w:val="24"/>
        </w:rPr>
        <w:t>Presentation to the Community in September 2023.</w:t>
      </w:r>
      <w:r w:rsidR="00E90538" w:rsidRPr="00740EDA">
        <w:rPr>
          <w:rFonts w:cstheme="minorHAnsi"/>
          <w:b/>
          <w:bCs/>
          <w:sz w:val="24"/>
          <w:szCs w:val="24"/>
        </w:rPr>
        <w:t xml:space="preserve"> </w:t>
      </w:r>
      <w:bookmarkEnd w:id="10"/>
      <w:r w:rsidR="00393690" w:rsidRPr="00740EDA">
        <w:rPr>
          <w:rFonts w:eastAsia="Arial" w:cstheme="minorHAnsi"/>
          <w:kern w:val="2"/>
          <w:sz w:val="24"/>
          <w:szCs w:val="24"/>
        </w:rPr>
        <w:t>The applicant hosted a virtual community engagement meeting on September 7, 2023</w:t>
      </w:r>
      <w:r w:rsidR="00BF35CC">
        <w:rPr>
          <w:rFonts w:eastAsia="Arial" w:cstheme="minorHAnsi"/>
          <w:kern w:val="2"/>
          <w:sz w:val="24"/>
          <w:szCs w:val="24"/>
        </w:rPr>
        <w:t>.</w:t>
      </w:r>
      <w:r w:rsidR="00740EDA">
        <w:rPr>
          <w:rFonts w:eastAsia="Arial" w:cstheme="minorHAnsi"/>
          <w:kern w:val="2"/>
          <w:sz w:val="24"/>
          <w:szCs w:val="24"/>
        </w:rPr>
        <w:t xml:space="preserve"> </w:t>
      </w:r>
      <w:r w:rsidR="00740EDA" w:rsidRPr="00740EDA">
        <w:rPr>
          <w:rFonts w:eastAsia="Arial" w:cstheme="minorHAnsi"/>
          <w:kern w:val="2"/>
          <w:sz w:val="24"/>
          <w:szCs w:val="24"/>
        </w:rPr>
        <w:t xml:space="preserve">The meeting was advertised on </w:t>
      </w:r>
      <w:r w:rsidR="00740EDA" w:rsidRPr="00740EDA">
        <w:rPr>
          <w:rFonts w:eastAsia="Arial" w:cstheme="minorHAnsi"/>
          <w:kern w:val="2"/>
          <w:sz w:val="24"/>
          <w:szCs w:val="24"/>
        </w:rPr>
        <w:lastRenderedPageBreak/>
        <w:t>the hospital’s website for 1 week</w:t>
      </w:r>
      <w:r w:rsidR="00393690" w:rsidRPr="00740EDA">
        <w:rPr>
          <w:rFonts w:eastAsia="Arial" w:cstheme="minorHAnsi"/>
          <w:kern w:val="2"/>
          <w:sz w:val="24"/>
          <w:szCs w:val="24"/>
        </w:rPr>
        <w:t>.</w:t>
      </w:r>
      <w:r w:rsidR="00FD0453" w:rsidRPr="00740EDA">
        <w:rPr>
          <w:rFonts w:eastAsia="Arial" w:cstheme="minorHAnsi"/>
          <w:kern w:val="2"/>
          <w:sz w:val="24"/>
          <w:szCs w:val="24"/>
        </w:rPr>
        <w:t xml:space="preserve"> </w:t>
      </w:r>
      <w:r w:rsidR="00393690" w:rsidRPr="00740EDA">
        <w:rPr>
          <w:rFonts w:eastAsia="Arial" w:cstheme="minorHAnsi"/>
          <w:kern w:val="2"/>
          <w:sz w:val="24"/>
          <w:szCs w:val="24"/>
        </w:rPr>
        <w:t>No community members attended</w:t>
      </w:r>
      <w:r w:rsidR="00C16731">
        <w:rPr>
          <w:rFonts w:eastAsia="Arial" w:cstheme="minorHAnsi"/>
          <w:kern w:val="2"/>
          <w:sz w:val="24"/>
          <w:szCs w:val="24"/>
        </w:rPr>
        <w:t>, resulting in no feedback or discussion from the community</w:t>
      </w:r>
      <w:r w:rsidR="00393690" w:rsidRPr="00740EDA">
        <w:rPr>
          <w:rFonts w:eastAsia="Arial" w:cstheme="minorHAnsi"/>
          <w:kern w:val="2"/>
          <w:sz w:val="24"/>
          <w:szCs w:val="24"/>
        </w:rPr>
        <w:t xml:space="preserve">. </w:t>
      </w:r>
    </w:p>
    <w:p w14:paraId="01A433D5" w14:textId="77777777" w:rsidR="00233D71" w:rsidRPr="00233D71" w:rsidRDefault="00233D71" w:rsidP="00233D71">
      <w:pPr>
        <w:spacing w:after="0" w:line="240" w:lineRule="auto"/>
        <w:rPr>
          <w:b/>
          <w:bCs/>
          <w:i/>
          <w:iCs/>
          <w:sz w:val="24"/>
          <w:szCs w:val="24"/>
        </w:rPr>
      </w:pPr>
    </w:p>
    <w:p w14:paraId="351C8F1D" w14:textId="48E12DBB" w:rsidR="003E1CDA" w:rsidRPr="00233D71" w:rsidRDefault="003E1CDA" w:rsidP="00233D71">
      <w:pPr>
        <w:spacing w:after="0" w:line="240" w:lineRule="auto"/>
        <w:rPr>
          <w:b/>
          <w:bCs/>
          <w:i/>
          <w:iCs/>
          <w:sz w:val="24"/>
          <w:szCs w:val="24"/>
        </w:rPr>
      </w:pPr>
      <w:r w:rsidRPr="00233D71">
        <w:rPr>
          <w:b/>
          <w:bCs/>
          <w:i/>
          <w:iCs/>
          <w:sz w:val="24"/>
          <w:szCs w:val="24"/>
        </w:rPr>
        <w:t xml:space="preserve">Analysis </w:t>
      </w:r>
    </w:p>
    <w:p w14:paraId="4F343094" w14:textId="7FE45149" w:rsidR="003E1CDA" w:rsidRDefault="003E1CDA" w:rsidP="003A5696">
      <w:pPr>
        <w:spacing w:after="0" w:line="240" w:lineRule="auto"/>
        <w:rPr>
          <w:sz w:val="24"/>
          <w:szCs w:val="24"/>
        </w:rPr>
      </w:pPr>
      <w:r w:rsidRPr="003E1CDA">
        <w:rPr>
          <w:sz w:val="24"/>
          <w:szCs w:val="24"/>
        </w:rPr>
        <w:t>Staff finds that the</w:t>
      </w:r>
      <w:r w:rsidR="005B68F6" w:rsidRPr="005B68F6">
        <w:rPr>
          <w:sz w:val="24"/>
          <w:szCs w:val="24"/>
        </w:rPr>
        <w:t xml:space="preserve"> Applicant sought to engage the community to elicit feedback from patients and families regarding the Proposed Project</w:t>
      </w:r>
      <w:r w:rsidR="005B68F6">
        <w:rPr>
          <w:sz w:val="24"/>
          <w:szCs w:val="24"/>
        </w:rPr>
        <w:t xml:space="preserve"> and thereby the </w:t>
      </w:r>
      <w:r w:rsidRPr="003E1CDA">
        <w:rPr>
          <w:sz w:val="24"/>
          <w:szCs w:val="24"/>
        </w:rPr>
        <w:t xml:space="preserve">Applicant </w:t>
      </w:r>
      <w:r w:rsidR="005B68F6">
        <w:rPr>
          <w:sz w:val="24"/>
          <w:szCs w:val="24"/>
        </w:rPr>
        <w:t xml:space="preserve">has </w:t>
      </w:r>
      <w:r w:rsidRPr="003E1CDA">
        <w:rPr>
          <w:sz w:val="24"/>
          <w:szCs w:val="24"/>
        </w:rPr>
        <w:t>met the minimum required community engagement standard of Consult in the planning phase of the Proposed Project.</w:t>
      </w:r>
    </w:p>
    <w:p w14:paraId="750F636A" w14:textId="77777777" w:rsidR="00C16731" w:rsidRPr="003A5696" w:rsidRDefault="00C16731" w:rsidP="003A5696">
      <w:pPr>
        <w:spacing w:after="0" w:line="240" w:lineRule="auto"/>
        <w:rPr>
          <w:sz w:val="24"/>
          <w:szCs w:val="24"/>
        </w:rPr>
      </w:pPr>
    </w:p>
    <w:p w14:paraId="75C893D6" w14:textId="76DB5DBC" w:rsidR="00F3518F" w:rsidRPr="00F3518F" w:rsidRDefault="003E1CDA" w:rsidP="00E90538">
      <w:pPr>
        <w:pStyle w:val="Heading1"/>
      </w:pPr>
      <w:bookmarkStart w:id="11" w:name="_Toc151538503"/>
      <w:r w:rsidRPr="003E1CDA">
        <w:t xml:space="preserve">Factor 1: f) Competition </w:t>
      </w:r>
      <w:proofErr w:type="gramStart"/>
      <w:r w:rsidRPr="003E1CDA">
        <w:t>On</w:t>
      </w:r>
      <w:proofErr w:type="gramEnd"/>
      <w:r w:rsidRPr="003E1CDA">
        <w:t xml:space="preserve"> Price, Total Medical Expenses (TME), Costs And Other Measures Of Health Care Spending</w:t>
      </w:r>
      <w:bookmarkEnd w:id="11"/>
      <w:r w:rsidR="009C6041">
        <w:t xml:space="preserve"> </w:t>
      </w:r>
    </w:p>
    <w:p w14:paraId="324A2AC7" w14:textId="651CF317" w:rsidR="00655AC6" w:rsidRDefault="00655AC6" w:rsidP="003A5696">
      <w:pPr>
        <w:spacing w:after="0" w:line="240" w:lineRule="auto"/>
        <w:rPr>
          <w:sz w:val="24"/>
          <w:szCs w:val="24"/>
        </w:rPr>
      </w:pPr>
      <w:r w:rsidRPr="00B269B1">
        <w:rPr>
          <w:sz w:val="24"/>
          <w:szCs w:val="24"/>
        </w:rPr>
        <w:t xml:space="preserve">The Applicant asserts that the Proposed Project will not have an adverse effect on competition in the Massachusetts healthcare market based on price, TME, provider costs, or other recognized measures of healthcare spending </w:t>
      </w:r>
      <w:r w:rsidR="00805068">
        <w:rPr>
          <w:sz w:val="24"/>
          <w:szCs w:val="24"/>
        </w:rPr>
        <w:t>based on the following</w:t>
      </w:r>
      <w:r w:rsidR="00EA27CF">
        <w:rPr>
          <w:sz w:val="24"/>
          <w:szCs w:val="24"/>
        </w:rPr>
        <w:t>:</w:t>
      </w:r>
    </w:p>
    <w:p w14:paraId="1F5ED548" w14:textId="031D203D" w:rsidR="00A07EF4" w:rsidRPr="001B6B2C" w:rsidRDefault="00A07EF4" w:rsidP="003A5696">
      <w:pPr>
        <w:spacing w:after="0" w:line="240" w:lineRule="auto"/>
        <w:rPr>
          <w:sz w:val="24"/>
          <w:szCs w:val="24"/>
        </w:rPr>
      </w:pPr>
    </w:p>
    <w:p w14:paraId="57A8960C" w14:textId="1B9981BD" w:rsidR="001B6B2C" w:rsidRPr="001B6B2C" w:rsidRDefault="001B6B2C" w:rsidP="001B6B2C">
      <w:pPr>
        <w:pStyle w:val="ListParagraph"/>
        <w:numPr>
          <w:ilvl w:val="0"/>
          <w:numId w:val="41"/>
        </w:numPr>
        <w:spacing w:before="240" w:after="0" w:line="240" w:lineRule="auto"/>
        <w:rPr>
          <w:rFonts w:eastAsia="Times New Roman" w:cstheme="minorHAnsi"/>
          <w:color w:val="000000"/>
          <w:sz w:val="24"/>
          <w:szCs w:val="24"/>
        </w:rPr>
      </w:pPr>
      <w:r>
        <w:rPr>
          <w:rFonts w:eastAsia="Times New Roman" w:cstheme="minorHAnsi"/>
          <w:color w:val="000000"/>
          <w:sz w:val="24"/>
          <w:szCs w:val="24"/>
        </w:rPr>
        <w:t>T</w:t>
      </w:r>
      <w:r w:rsidRPr="001B6B2C">
        <w:rPr>
          <w:rFonts w:cstheme="minorHAnsi"/>
          <w:sz w:val="24"/>
          <w:szCs w:val="24"/>
        </w:rPr>
        <w:t>he Hospital is a cost-effective provider of inpatient rehabilitative care. This is demonstrated by lower Medicare payments to Encompass Health, on average, for patients with a comparable acuity at other IRF providers</w:t>
      </w:r>
      <w:r w:rsidR="00756F0E">
        <w:rPr>
          <w:rFonts w:cstheme="minorHAnsi"/>
          <w:sz w:val="24"/>
          <w:szCs w:val="24"/>
        </w:rPr>
        <w:t xml:space="preserve"> (detailed in Factor 2)</w:t>
      </w:r>
      <w:r w:rsidRPr="001B6B2C">
        <w:rPr>
          <w:rFonts w:cstheme="minorHAnsi"/>
          <w:sz w:val="24"/>
          <w:szCs w:val="24"/>
        </w:rPr>
        <w:t>. The Applicant notes</w:t>
      </w:r>
      <w:r w:rsidR="00C16731">
        <w:rPr>
          <w:rFonts w:cstheme="minorHAnsi"/>
          <w:sz w:val="24"/>
          <w:szCs w:val="24"/>
        </w:rPr>
        <w:t xml:space="preserve"> that</w:t>
      </w:r>
      <w:r w:rsidRPr="001B6B2C">
        <w:rPr>
          <w:rFonts w:cstheme="minorHAnsi"/>
          <w:sz w:val="24"/>
          <w:szCs w:val="24"/>
        </w:rPr>
        <w:t xml:space="preserve"> upon completion of the Proposed Project, t</w:t>
      </w:r>
      <w:r w:rsidRPr="001B6B2C">
        <w:rPr>
          <w:rFonts w:eastAsia="Times New Roman" w:cstheme="minorHAnsi"/>
          <w:color w:val="000000"/>
          <w:sz w:val="24"/>
          <w:szCs w:val="24"/>
        </w:rPr>
        <w:t>he Hospital’s prices will not increase as a result.</w:t>
      </w:r>
    </w:p>
    <w:p w14:paraId="4DB09AB5" w14:textId="0F0E13D4" w:rsidR="001B6B2C" w:rsidRPr="001B6B2C" w:rsidRDefault="001B6B2C" w:rsidP="001B6B2C">
      <w:pPr>
        <w:pStyle w:val="ListParagraph"/>
        <w:numPr>
          <w:ilvl w:val="0"/>
          <w:numId w:val="41"/>
        </w:numPr>
        <w:spacing w:after="240" w:line="240" w:lineRule="auto"/>
        <w:textAlignment w:val="baseline"/>
        <w:rPr>
          <w:rFonts w:eastAsia="Times New Roman" w:cstheme="minorHAnsi"/>
          <w:color w:val="000000"/>
          <w:sz w:val="24"/>
          <w:szCs w:val="24"/>
        </w:rPr>
      </w:pPr>
      <w:r w:rsidRPr="001B6B2C">
        <w:rPr>
          <w:rFonts w:cstheme="minorHAnsi"/>
          <w:sz w:val="24"/>
          <w:szCs w:val="24"/>
        </w:rPr>
        <w:t xml:space="preserve">The Hospital, as part of Encompass, is currently able to maintain a competitive cost structure through established </w:t>
      </w:r>
      <w:r w:rsidR="001F0639">
        <w:rPr>
          <w:rFonts w:cstheme="minorHAnsi"/>
          <w:sz w:val="24"/>
          <w:szCs w:val="24"/>
        </w:rPr>
        <w:t>“</w:t>
      </w:r>
      <w:r w:rsidRPr="001B6B2C">
        <w:rPr>
          <w:rFonts w:cstheme="minorHAnsi"/>
          <w:sz w:val="24"/>
          <w:szCs w:val="24"/>
        </w:rPr>
        <w:t>best practice</w:t>
      </w:r>
      <w:r w:rsidR="001F0639">
        <w:rPr>
          <w:rFonts w:cstheme="minorHAnsi"/>
          <w:sz w:val="24"/>
          <w:szCs w:val="24"/>
        </w:rPr>
        <w:t>”</w:t>
      </w:r>
      <w:r w:rsidRPr="001B6B2C">
        <w:rPr>
          <w:rFonts w:cstheme="minorHAnsi"/>
          <w:sz w:val="24"/>
          <w:szCs w:val="24"/>
        </w:rPr>
        <w:t xml:space="preserve"> clinical protocols, supply chain efficiencies, sophisticated management information systems and overall economies of scale. </w:t>
      </w:r>
    </w:p>
    <w:p w14:paraId="0B2BFCFB" w14:textId="0FB65A35" w:rsidR="001B6B2C" w:rsidRPr="001B6B2C" w:rsidRDefault="001B6B2C" w:rsidP="001B6B2C">
      <w:pPr>
        <w:pStyle w:val="ListParagraph"/>
        <w:numPr>
          <w:ilvl w:val="0"/>
          <w:numId w:val="41"/>
        </w:numPr>
        <w:spacing w:before="240" w:after="0" w:line="240" w:lineRule="auto"/>
        <w:rPr>
          <w:rFonts w:eastAsia="Times New Roman" w:cstheme="minorHAnsi"/>
          <w:color w:val="000000"/>
          <w:sz w:val="24"/>
          <w:szCs w:val="24"/>
        </w:rPr>
      </w:pPr>
      <w:r w:rsidRPr="001B6B2C">
        <w:rPr>
          <w:rFonts w:eastAsia="Times New Roman" w:cstheme="minorHAnsi"/>
          <w:color w:val="000000"/>
          <w:sz w:val="24"/>
          <w:szCs w:val="24"/>
        </w:rPr>
        <w:t xml:space="preserve">The Proposed Project will ensure that more patients seeking access to needed IRF services can receive admission to the facility in a </w:t>
      </w:r>
      <w:r w:rsidR="00C16731">
        <w:rPr>
          <w:rFonts w:eastAsia="Times New Roman" w:cstheme="minorHAnsi"/>
          <w:color w:val="000000"/>
          <w:sz w:val="24"/>
          <w:szCs w:val="24"/>
        </w:rPr>
        <w:t>timely</w:t>
      </w:r>
      <w:r w:rsidRPr="001B6B2C">
        <w:rPr>
          <w:rFonts w:eastAsia="Times New Roman" w:cstheme="minorHAnsi"/>
          <w:color w:val="000000"/>
          <w:sz w:val="24"/>
          <w:szCs w:val="24"/>
        </w:rPr>
        <w:t xml:space="preserve"> manner with the increase in priva</w:t>
      </w:r>
      <w:r w:rsidR="00C16731">
        <w:rPr>
          <w:rFonts w:eastAsia="Times New Roman" w:cstheme="minorHAnsi"/>
          <w:color w:val="000000"/>
          <w:sz w:val="24"/>
          <w:szCs w:val="24"/>
        </w:rPr>
        <w:t xml:space="preserve">te </w:t>
      </w:r>
      <w:r w:rsidRPr="001B6B2C">
        <w:rPr>
          <w:rFonts w:eastAsia="Times New Roman" w:cstheme="minorHAnsi"/>
          <w:color w:val="000000"/>
          <w:sz w:val="24"/>
          <w:szCs w:val="24"/>
        </w:rPr>
        <w:t>rooms. More admissions will result in an overall reduction in health care costs because patients awaiting discharge from higher cost, general acute care hospitals can be discharged sooner.</w:t>
      </w:r>
    </w:p>
    <w:p w14:paraId="0F6A70F9" w14:textId="5FF8B896" w:rsidR="00A07EF4" w:rsidRDefault="00A07EF4" w:rsidP="003A5696">
      <w:pPr>
        <w:spacing w:after="0" w:line="240" w:lineRule="auto"/>
        <w:rPr>
          <w:sz w:val="24"/>
          <w:szCs w:val="24"/>
        </w:rPr>
      </w:pPr>
    </w:p>
    <w:p w14:paraId="3462CB17" w14:textId="77777777" w:rsidR="003A5696" w:rsidRPr="00B269B1" w:rsidRDefault="003A5696" w:rsidP="003A5696">
      <w:pPr>
        <w:spacing w:after="0" w:line="240" w:lineRule="auto"/>
        <w:rPr>
          <w:sz w:val="24"/>
          <w:szCs w:val="24"/>
        </w:rPr>
      </w:pPr>
    </w:p>
    <w:p w14:paraId="59650E2A" w14:textId="7D85E5B4" w:rsidR="003E1CDA" w:rsidRPr="00D850AF" w:rsidRDefault="003E1CDA" w:rsidP="00D850AF">
      <w:pPr>
        <w:spacing w:after="0" w:line="240" w:lineRule="auto"/>
        <w:rPr>
          <w:b/>
          <w:bCs/>
          <w:i/>
          <w:iCs/>
          <w:sz w:val="24"/>
          <w:szCs w:val="24"/>
        </w:rPr>
      </w:pPr>
      <w:r w:rsidRPr="00D850AF">
        <w:rPr>
          <w:b/>
          <w:bCs/>
          <w:i/>
          <w:iCs/>
          <w:sz w:val="24"/>
          <w:szCs w:val="24"/>
        </w:rPr>
        <w:t>Analysis</w:t>
      </w:r>
      <w:r w:rsidR="00A62447" w:rsidRPr="00D850AF">
        <w:rPr>
          <w:b/>
          <w:bCs/>
          <w:i/>
          <w:iCs/>
          <w:sz w:val="24"/>
          <w:szCs w:val="24"/>
        </w:rPr>
        <w:t xml:space="preserve"> </w:t>
      </w:r>
    </w:p>
    <w:p w14:paraId="0E1C4893" w14:textId="001022D4" w:rsidR="00716282" w:rsidRPr="00716282" w:rsidRDefault="00F5041A" w:rsidP="00D850AF">
      <w:pPr>
        <w:spacing w:after="0"/>
        <w:ind w:right="114"/>
        <w:rPr>
          <w:rFonts w:cstheme="minorHAnsi"/>
          <w:sz w:val="24"/>
          <w:szCs w:val="24"/>
        </w:rPr>
      </w:pPr>
      <w:r w:rsidRPr="00DC4892">
        <w:rPr>
          <w:rFonts w:cstheme="minorHAnsi"/>
          <w:sz w:val="24"/>
          <w:szCs w:val="24"/>
        </w:rPr>
        <w:t xml:space="preserve">Staff </w:t>
      </w:r>
      <w:r w:rsidR="001F0639">
        <w:rPr>
          <w:rFonts w:cstheme="minorHAnsi"/>
          <w:sz w:val="24"/>
          <w:szCs w:val="24"/>
        </w:rPr>
        <w:t>finds that the</w:t>
      </w:r>
      <w:r w:rsidR="00F804E0">
        <w:rPr>
          <w:rFonts w:cstheme="minorHAnsi"/>
          <w:sz w:val="24"/>
          <w:szCs w:val="24"/>
        </w:rPr>
        <w:t xml:space="preserve"> Proposed Project</w:t>
      </w:r>
      <w:r w:rsidRPr="00DC4892">
        <w:rPr>
          <w:rFonts w:cstheme="minorHAnsi"/>
          <w:sz w:val="24"/>
          <w:szCs w:val="24"/>
        </w:rPr>
        <w:t xml:space="preserve"> </w:t>
      </w:r>
      <w:r w:rsidR="00F804E0">
        <w:rPr>
          <w:rFonts w:cstheme="minorHAnsi"/>
          <w:sz w:val="24"/>
          <w:szCs w:val="24"/>
        </w:rPr>
        <w:t xml:space="preserve">will </w:t>
      </w:r>
      <w:r w:rsidRPr="00DC4892">
        <w:rPr>
          <w:rFonts w:cstheme="minorHAnsi"/>
          <w:sz w:val="24"/>
          <w:szCs w:val="24"/>
        </w:rPr>
        <w:t xml:space="preserve">improve patient access to </w:t>
      </w:r>
      <w:r w:rsidR="0085396B">
        <w:rPr>
          <w:rFonts w:cstheme="minorHAnsi"/>
          <w:sz w:val="24"/>
          <w:szCs w:val="24"/>
        </w:rPr>
        <w:t>inpatient rehabilitative care</w:t>
      </w:r>
      <w:r w:rsidR="00F54869">
        <w:rPr>
          <w:rFonts w:cstheme="minorHAnsi"/>
          <w:sz w:val="24"/>
          <w:szCs w:val="24"/>
        </w:rPr>
        <w:t xml:space="preserve"> in a cost-effective setting</w:t>
      </w:r>
      <w:r w:rsidR="0085396B">
        <w:rPr>
          <w:rFonts w:cstheme="minorHAnsi"/>
          <w:sz w:val="24"/>
          <w:szCs w:val="24"/>
        </w:rPr>
        <w:t xml:space="preserve">. </w:t>
      </w:r>
      <w:r w:rsidR="00754737">
        <w:rPr>
          <w:rFonts w:cstheme="minorHAnsi"/>
          <w:sz w:val="24"/>
          <w:szCs w:val="24"/>
        </w:rPr>
        <w:t>The Applicant can improve patient outcomes b</w:t>
      </w:r>
      <w:r w:rsidR="00014A71">
        <w:rPr>
          <w:rFonts w:cstheme="minorHAnsi"/>
          <w:sz w:val="24"/>
          <w:szCs w:val="24"/>
        </w:rPr>
        <w:t>y using best practice</w:t>
      </w:r>
      <w:r w:rsidR="00404CB6">
        <w:rPr>
          <w:rFonts w:cstheme="minorHAnsi"/>
          <w:sz w:val="24"/>
          <w:szCs w:val="24"/>
        </w:rPr>
        <w:t xml:space="preserve"> models of care in private rooms </w:t>
      </w:r>
      <w:r w:rsidR="00C16731">
        <w:rPr>
          <w:rFonts w:cstheme="minorHAnsi"/>
          <w:sz w:val="24"/>
          <w:szCs w:val="24"/>
        </w:rPr>
        <w:t>shown</w:t>
      </w:r>
      <w:r w:rsidR="00404CB6">
        <w:rPr>
          <w:rFonts w:cstheme="minorHAnsi"/>
          <w:sz w:val="24"/>
          <w:szCs w:val="24"/>
        </w:rPr>
        <w:t xml:space="preserve"> promote </w:t>
      </w:r>
      <w:r w:rsidR="00C16731">
        <w:rPr>
          <w:rFonts w:cstheme="minorHAnsi"/>
          <w:sz w:val="24"/>
          <w:szCs w:val="24"/>
        </w:rPr>
        <w:t xml:space="preserve">more expedient </w:t>
      </w:r>
      <w:r w:rsidR="00404CB6">
        <w:rPr>
          <w:rFonts w:cstheme="minorHAnsi"/>
          <w:sz w:val="24"/>
          <w:szCs w:val="24"/>
        </w:rPr>
        <w:t>healin</w:t>
      </w:r>
      <w:r w:rsidR="00754737">
        <w:rPr>
          <w:rFonts w:cstheme="minorHAnsi"/>
          <w:sz w:val="24"/>
          <w:szCs w:val="24"/>
        </w:rPr>
        <w:t>g,</w:t>
      </w:r>
      <w:r w:rsidR="0061377B">
        <w:rPr>
          <w:rFonts w:cstheme="minorHAnsi"/>
          <w:sz w:val="24"/>
          <w:szCs w:val="24"/>
        </w:rPr>
        <w:t xml:space="preserve"> which can result in an overall reduction in healthcare costs.</w:t>
      </w:r>
      <w:r w:rsidR="00716282" w:rsidRPr="00716282">
        <w:rPr>
          <w:rFonts w:cstheme="minorHAnsi"/>
          <w:sz w:val="24"/>
          <w:szCs w:val="24"/>
        </w:rPr>
        <w:t xml:space="preserve"> Staff finds that the Proposed Project will likely compete </w:t>
      </w:r>
      <w:proofErr w:type="gramStart"/>
      <w:r w:rsidR="00716282" w:rsidRPr="00716282">
        <w:rPr>
          <w:rFonts w:cstheme="minorHAnsi"/>
          <w:sz w:val="24"/>
          <w:szCs w:val="24"/>
        </w:rPr>
        <w:t>on the basis of</w:t>
      </w:r>
      <w:proofErr w:type="gramEnd"/>
      <w:r w:rsidR="00716282" w:rsidRPr="00716282">
        <w:rPr>
          <w:rFonts w:cstheme="minorHAnsi"/>
          <w:sz w:val="24"/>
          <w:szCs w:val="24"/>
        </w:rPr>
        <w:t xml:space="preserve"> price, TME provider costs, and other measures of health care spending.</w:t>
      </w:r>
    </w:p>
    <w:p w14:paraId="00F42AD4" w14:textId="3FB99874" w:rsidR="00BD178D" w:rsidRDefault="00BD178D" w:rsidP="003A5696">
      <w:pPr>
        <w:spacing w:after="0" w:line="240" w:lineRule="auto"/>
        <w:rPr>
          <w:sz w:val="24"/>
          <w:szCs w:val="24"/>
        </w:rPr>
      </w:pPr>
    </w:p>
    <w:p w14:paraId="69F11E0F" w14:textId="77777777" w:rsidR="00841236" w:rsidRPr="00D90CF9" w:rsidRDefault="00841236" w:rsidP="00841236">
      <w:pPr>
        <w:pStyle w:val="Heading2"/>
        <w:spacing w:before="0" w:line="240" w:lineRule="auto"/>
        <w:ind w:left="180"/>
        <w:contextualSpacing/>
        <w:rPr>
          <w:rFonts w:asciiTheme="minorHAnsi" w:hAnsiTheme="minorHAnsi" w:cstheme="minorHAnsi"/>
          <w:i/>
          <w:iCs/>
          <w:sz w:val="24"/>
          <w:szCs w:val="24"/>
        </w:rPr>
      </w:pPr>
      <w:bookmarkStart w:id="12" w:name="_Toc99993058"/>
      <w:bookmarkStart w:id="13" w:name="_Toc144207774"/>
      <w:bookmarkStart w:id="14" w:name="_Toc151538504"/>
      <w:r w:rsidRPr="00D90CF9">
        <w:rPr>
          <w:rFonts w:asciiTheme="minorHAnsi" w:hAnsiTheme="minorHAnsi" w:cstheme="minorHAnsi"/>
          <w:i/>
          <w:iCs/>
          <w:sz w:val="24"/>
          <w:szCs w:val="24"/>
        </w:rPr>
        <w:t>Summary, FACTOR 1</w:t>
      </w:r>
      <w:bookmarkEnd w:id="12"/>
      <w:bookmarkEnd w:id="13"/>
      <w:bookmarkEnd w:id="14"/>
      <w:r w:rsidRPr="00D90CF9">
        <w:rPr>
          <w:rFonts w:asciiTheme="minorHAnsi" w:hAnsiTheme="minorHAnsi" w:cstheme="minorHAnsi"/>
          <w:i/>
          <w:iCs/>
          <w:sz w:val="24"/>
          <w:szCs w:val="24"/>
        </w:rPr>
        <w:t xml:space="preserve"> </w:t>
      </w:r>
    </w:p>
    <w:p w14:paraId="621B07D4" w14:textId="6A10C226" w:rsidR="00841236" w:rsidRDefault="00841236" w:rsidP="00841236">
      <w:pPr>
        <w:ind w:left="180"/>
        <w:rPr>
          <w:rFonts w:cstheme="minorHAnsi"/>
          <w:sz w:val="24"/>
          <w:szCs w:val="24"/>
        </w:rPr>
      </w:pPr>
      <w:r w:rsidRPr="004D27A4">
        <w:rPr>
          <w:rFonts w:cstheme="minorHAnsi"/>
          <w:sz w:val="24"/>
          <w:szCs w:val="24"/>
        </w:rPr>
        <w:t xml:space="preserve">As a result of the information provided by the Applicant and additional analysis, staff finds that the Applicant has demonstrated that the Proposed Project meets Factor 1. </w:t>
      </w:r>
    </w:p>
    <w:p w14:paraId="1FF517A1" w14:textId="77777777" w:rsidR="000E6F21" w:rsidRPr="004D27A4" w:rsidRDefault="000E6F21" w:rsidP="00841236">
      <w:pPr>
        <w:ind w:left="180"/>
        <w:rPr>
          <w:rFonts w:cstheme="minorHAnsi"/>
          <w:sz w:val="24"/>
          <w:szCs w:val="24"/>
        </w:rPr>
      </w:pPr>
    </w:p>
    <w:p w14:paraId="0ADE0888" w14:textId="0D74C428" w:rsidR="003E1CDA" w:rsidRDefault="003E1CDA" w:rsidP="0024289A">
      <w:pPr>
        <w:pStyle w:val="Heading1"/>
      </w:pPr>
      <w:bookmarkStart w:id="15" w:name="_Toc151538505"/>
      <w:r w:rsidRPr="002B05B4">
        <w:t xml:space="preserve">Factor 2: Cost </w:t>
      </w:r>
      <w:r w:rsidR="00B675A1" w:rsidRPr="002B05B4">
        <w:t>C</w:t>
      </w:r>
      <w:r w:rsidRPr="002B05B4">
        <w:t>ontainment, Improved Public Health Outcomes and Delivery System Transformation</w:t>
      </w:r>
      <w:bookmarkEnd w:id="15"/>
    </w:p>
    <w:p w14:paraId="3717ACFE" w14:textId="77777777" w:rsidR="0022028B" w:rsidRPr="0022028B" w:rsidRDefault="0022028B" w:rsidP="0022028B"/>
    <w:p w14:paraId="02F9F013" w14:textId="77777777" w:rsidR="003E1CDA" w:rsidRPr="003E1CDA" w:rsidRDefault="003E1CDA" w:rsidP="00656FAD">
      <w:pPr>
        <w:spacing w:after="0" w:line="240" w:lineRule="auto"/>
        <w:rPr>
          <w:b/>
          <w:bCs/>
          <w:sz w:val="24"/>
          <w:szCs w:val="24"/>
        </w:rPr>
      </w:pPr>
      <w:r w:rsidRPr="003E1CDA">
        <w:rPr>
          <w:b/>
          <w:bCs/>
          <w:sz w:val="24"/>
          <w:szCs w:val="24"/>
        </w:rPr>
        <w:t>Cost Containment</w:t>
      </w:r>
    </w:p>
    <w:p w14:paraId="71C9A54B" w14:textId="098C4C97" w:rsidR="006D7347" w:rsidRPr="00F957B4" w:rsidRDefault="006D7347" w:rsidP="00656FAD">
      <w:pPr>
        <w:widowControl w:val="0"/>
        <w:spacing w:after="0" w:line="240" w:lineRule="auto"/>
        <w:rPr>
          <w:rFonts w:cstheme="minorHAnsi"/>
          <w:sz w:val="24"/>
          <w:szCs w:val="24"/>
        </w:rPr>
      </w:pPr>
      <w:r w:rsidRPr="00F957B4">
        <w:rPr>
          <w:rFonts w:cstheme="minorHAnsi"/>
          <w:sz w:val="24"/>
          <w:szCs w:val="24"/>
        </w:rPr>
        <w:t>The Applicant states that t</w:t>
      </w:r>
      <w:r w:rsidRPr="00F957B4">
        <w:rPr>
          <w:rFonts w:cstheme="minorHAnsi"/>
          <w:bCs/>
          <w:sz w:val="24"/>
          <w:szCs w:val="24"/>
        </w:rPr>
        <w:t>he Proposed Project will meaningfully contribute to the Commonwealth’s goals for cost containment through several means. First,</w:t>
      </w:r>
      <w:r w:rsidRPr="00F957B4">
        <w:rPr>
          <w:rFonts w:cstheme="minorHAnsi"/>
          <w:sz w:val="24"/>
          <w:szCs w:val="24"/>
        </w:rPr>
        <w:t xml:space="preserve"> the expansion of </w:t>
      </w:r>
      <w:proofErr w:type="gramStart"/>
      <w:r w:rsidRPr="00F957B4">
        <w:rPr>
          <w:rFonts w:cstheme="minorHAnsi"/>
          <w:sz w:val="24"/>
          <w:szCs w:val="24"/>
        </w:rPr>
        <w:t>beds,</w:t>
      </w:r>
      <w:proofErr w:type="gramEnd"/>
      <w:r w:rsidRPr="00F957B4">
        <w:rPr>
          <w:rFonts w:cstheme="minorHAnsi"/>
          <w:sz w:val="24"/>
          <w:szCs w:val="24"/>
        </w:rPr>
        <w:t xml:space="preserve"> and private rooms will allow the Hospital to be a</w:t>
      </w:r>
      <w:r w:rsidR="005670E0">
        <w:rPr>
          <w:rFonts w:cstheme="minorHAnsi"/>
          <w:sz w:val="24"/>
          <w:szCs w:val="24"/>
        </w:rPr>
        <w:t>ccessible</w:t>
      </w:r>
      <w:r w:rsidRPr="00F957B4">
        <w:rPr>
          <w:rFonts w:cstheme="minorHAnsi"/>
          <w:sz w:val="24"/>
          <w:szCs w:val="24"/>
        </w:rPr>
        <w:t xml:space="preserve"> to more patients awaiting discharge from higher cost, general acute care hospitals, consequently resulting in an overall reduction in health care costs.</w:t>
      </w:r>
    </w:p>
    <w:p w14:paraId="5FD72B13" w14:textId="77777777" w:rsidR="006D7347" w:rsidRPr="00F957B4" w:rsidRDefault="006D7347" w:rsidP="006D7347">
      <w:pPr>
        <w:widowControl w:val="0"/>
        <w:spacing w:after="0" w:line="240" w:lineRule="auto"/>
        <w:rPr>
          <w:rFonts w:eastAsia="Times New Roman" w:cstheme="minorHAnsi"/>
          <w:bCs/>
          <w:sz w:val="24"/>
          <w:szCs w:val="24"/>
        </w:rPr>
      </w:pPr>
    </w:p>
    <w:p w14:paraId="5C9C696B" w14:textId="091ED988" w:rsidR="006D7347" w:rsidRPr="00F957B4" w:rsidRDefault="006D7347" w:rsidP="00995D64">
      <w:pPr>
        <w:spacing w:after="0" w:line="240" w:lineRule="auto"/>
        <w:rPr>
          <w:rFonts w:eastAsia="Calibri" w:cstheme="minorHAnsi"/>
          <w:sz w:val="24"/>
          <w:szCs w:val="24"/>
        </w:rPr>
      </w:pPr>
      <w:r w:rsidRPr="00F957B4">
        <w:rPr>
          <w:rFonts w:eastAsia="Calibri" w:cstheme="minorHAnsi"/>
          <w:sz w:val="24"/>
          <w:szCs w:val="24"/>
        </w:rPr>
        <w:t xml:space="preserve">Second, Encompass Health’s rehabilitation philosophy </w:t>
      </w:r>
      <w:r w:rsidR="00995D64">
        <w:rPr>
          <w:rFonts w:eastAsia="Calibri" w:cstheme="minorHAnsi"/>
          <w:sz w:val="24"/>
          <w:szCs w:val="24"/>
        </w:rPr>
        <w:t>focuses on</w:t>
      </w:r>
      <w:r w:rsidRPr="00F957B4">
        <w:rPr>
          <w:rFonts w:eastAsia="Calibri" w:cstheme="minorHAnsi"/>
          <w:sz w:val="24"/>
          <w:szCs w:val="24"/>
        </w:rPr>
        <w:t xml:space="preserve"> including the family and patient in goal setting and education</w:t>
      </w:r>
      <w:r w:rsidR="00CA28DC">
        <w:rPr>
          <w:rFonts w:eastAsia="Calibri" w:cstheme="minorHAnsi"/>
          <w:sz w:val="24"/>
          <w:szCs w:val="24"/>
        </w:rPr>
        <w:t>.</w:t>
      </w:r>
      <w:r w:rsidRPr="00F957B4">
        <w:rPr>
          <w:rFonts w:eastAsia="Calibri" w:cstheme="minorHAnsi"/>
          <w:sz w:val="24"/>
          <w:szCs w:val="24"/>
        </w:rPr>
        <w:t xml:space="preserve"> </w:t>
      </w:r>
      <w:r w:rsidR="00CA28DC">
        <w:rPr>
          <w:rFonts w:eastAsia="Calibri" w:cstheme="minorHAnsi"/>
          <w:sz w:val="24"/>
          <w:szCs w:val="24"/>
        </w:rPr>
        <w:t>This approach</w:t>
      </w:r>
      <w:r w:rsidRPr="00F957B4">
        <w:rPr>
          <w:rFonts w:eastAsia="Calibri" w:cstheme="minorHAnsi"/>
          <w:sz w:val="24"/>
          <w:szCs w:val="24"/>
        </w:rPr>
        <w:t xml:space="preserve"> ensure</w:t>
      </w:r>
      <w:r w:rsidR="009373C0">
        <w:rPr>
          <w:rFonts w:eastAsia="Calibri" w:cstheme="minorHAnsi"/>
          <w:sz w:val="24"/>
          <w:szCs w:val="24"/>
        </w:rPr>
        <w:t>s</w:t>
      </w:r>
      <w:r w:rsidRPr="00F957B4">
        <w:rPr>
          <w:rFonts w:eastAsia="Calibri" w:cstheme="minorHAnsi"/>
          <w:sz w:val="24"/>
          <w:szCs w:val="24"/>
        </w:rPr>
        <w:t xml:space="preserve"> the best possible outcome and discharge to the community with a lowered risk of readmission to the acute care hospital. </w:t>
      </w:r>
      <w:r w:rsidR="009373C0">
        <w:rPr>
          <w:rFonts w:eastAsia="Calibri" w:cstheme="minorHAnsi"/>
          <w:sz w:val="24"/>
          <w:szCs w:val="24"/>
        </w:rPr>
        <w:t xml:space="preserve">As a result of the intensive focus on patient and caregiver training, Encompass </w:t>
      </w:r>
      <w:r w:rsidR="004358F9">
        <w:rPr>
          <w:rFonts w:eastAsia="Calibri" w:cstheme="minorHAnsi"/>
          <w:sz w:val="24"/>
          <w:szCs w:val="24"/>
        </w:rPr>
        <w:t>patients experience</w:t>
      </w:r>
      <w:r w:rsidRPr="00F957B4">
        <w:rPr>
          <w:rFonts w:eastAsia="Calibri" w:cstheme="minorHAnsi"/>
          <w:sz w:val="24"/>
          <w:szCs w:val="24"/>
        </w:rPr>
        <w:t xml:space="preserve"> lower readmissions</w:t>
      </w:r>
      <w:r w:rsidR="004358F9">
        <w:rPr>
          <w:rFonts w:eastAsia="Calibri" w:cstheme="minorHAnsi"/>
          <w:sz w:val="24"/>
          <w:szCs w:val="24"/>
        </w:rPr>
        <w:t xml:space="preserve">, thereby contributing </w:t>
      </w:r>
      <w:r w:rsidRPr="00F957B4">
        <w:rPr>
          <w:rFonts w:eastAsia="Calibri" w:cstheme="minorHAnsi"/>
          <w:sz w:val="24"/>
          <w:szCs w:val="24"/>
        </w:rPr>
        <w:t>to cost containment.</w:t>
      </w:r>
    </w:p>
    <w:p w14:paraId="77850ED3" w14:textId="77777777" w:rsidR="006D7347" w:rsidRPr="00995D64" w:rsidRDefault="006D7347" w:rsidP="006D7347">
      <w:pPr>
        <w:spacing w:after="0" w:line="240" w:lineRule="auto"/>
        <w:jc w:val="both"/>
        <w:rPr>
          <w:rFonts w:eastAsia="Calibri" w:cstheme="minorHAnsi"/>
          <w:sz w:val="24"/>
          <w:szCs w:val="24"/>
        </w:rPr>
      </w:pPr>
    </w:p>
    <w:p w14:paraId="4696B681" w14:textId="4E46512E" w:rsidR="006D7347" w:rsidRPr="00995D64" w:rsidRDefault="000E3AFF" w:rsidP="005F7D3A">
      <w:pPr>
        <w:tabs>
          <w:tab w:val="left" w:pos="0"/>
        </w:tabs>
        <w:spacing w:after="0" w:line="240" w:lineRule="auto"/>
        <w:rPr>
          <w:rFonts w:eastAsia="Calibri" w:cstheme="minorHAnsi"/>
          <w:sz w:val="24"/>
          <w:szCs w:val="24"/>
        </w:rPr>
      </w:pPr>
      <w:r w:rsidRPr="008D34A0">
        <w:rPr>
          <w:rFonts w:eastAsia="Calibri" w:cstheme="minorHAnsi"/>
          <w:sz w:val="24"/>
          <w:szCs w:val="24"/>
        </w:rPr>
        <w:t>Third</w:t>
      </w:r>
      <w:r w:rsidR="006D7347" w:rsidRPr="008D34A0">
        <w:rPr>
          <w:rFonts w:eastAsia="Calibri" w:cstheme="minorHAnsi"/>
          <w:sz w:val="24"/>
          <w:szCs w:val="24"/>
        </w:rPr>
        <w:t xml:space="preserve">, Encompass </w:t>
      </w:r>
      <w:r w:rsidR="004358F9" w:rsidRPr="008D34A0">
        <w:rPr>
          <w:rFonts w:eastAsia="Calibri" w:cstheme="minorHAnsi"/>
          <w:sz w:val="24"/>
          <w:szCs w:val="24"/>
        </w:rPr>
        <w:t xml:space="preserve">has a lower cost of care </w:t>
      </w:r>
      <w:r w:rsidR="006D7347" w:rsidRPr="008D34A0">
        <w:rPr>
          <w:rFonts w:eastAsia="Calibri" w:cstheme="minorHAnsi"/>
          <w:sz w:val="24"/>
          <w:szCs w:val="24"/>
        </w:rPr>
        <w:t xml:space="preserve">compared to other IRFs </w:t>
      </w:r>
      <w:r w:rsidR="004358F9" w:rsidRPr="008D34A0">
        <w:rPr>
          <w:rFonts w:eastAsia="Calibri" w:cstheme="minorHAnsi"/>
          <w:sz w:val="24"/>
          <w:szCs w:val="24"/>
        </w:rPr>
        <w:t>w</w:t>
      </w:r>
      <w:r w:rsidR="008D34A0" w:rsidRPr="008D34A0">
        <w:rPr>
          <w:rFonts w:eastAsia="Calibri" w:cstheme="minorHAnsi"/>
          <w:sz w:val="24"/>
          <w:szCs w:val="24"/>
        </w:rPr>
        <w:t xml:space="preserve">hich </w:t>
      </w:r>
      <w:r w:rsidR="006D7347" w:rsidRPr="008D34A0">
        <w:rPr>
          <w:rFonts w:eastAsia="Calibri" w:cstheme="minorHAnsi"/>
          <w:sz w:val="24"/>
          <w:szCs w:val="24"/>
        </w:rPr>
        <w:t xml:space="preserve">contributes to the Commonwealth’s goal for cost containment. </w:t>
      </w:r>
      <w:r w:rsidR="008D34A0">
        <w:rPr>
          <w:rFonts w:eastAsia="Calibri" w:cstheme="minorHAnsi"/>
          <w:sz w:val="24"/>
          <w:szCs w:val="24"/>
        </w:rPr>
        <w:t xml:space="preserve">The Applicant noted that </w:t>
      </w:r>
      <w:r w:rsidR="006D7347" w:rsidRPr="008D34A0">
        <w:rPr>
          <w:rFonts w:eastAsia="Calibri" w:cstheme="minorHAnsi"/>
          <w:sz w:val="24"/>
          <w:szCs w:val="24"/>
        </w:rPr>
        <w:t xml:space="preserve">Encompass Health’s average estimated total cost per discharge across </w:t>
      </w:r>
      <w:proofErr w:type="gramStart"/>
      <w:r w:rsidR="006D7347" w:rsidRPr="008D34A0">
        <w:rPr>
          <w:rFonts w:eastAsia="Calibri" w:cstheme="minorHAnsi"/>
          <w:sz w:val="24"/>
          <w:szCs w:val="24"/>
        </w:rPr>
        <w:t>all of</w:t>
      </w:r>
      <w:proofErr w:type="gramEnd"/>
      <w:r w:rsidR="006D7347" w:rsidRPr="008D34A0">
        <w:rPr>
          <w:rFonts w:eastAsia="Calibri" w:cstheme="minorHAnsi"/>
          <w:sz w:val="24"/>
          <w:szCs w:val="24"/>
        </w:rPr>
        <w:t xml:space="preserve"> its facilities in FY21 was $14,417 compared to the higher total cost per discharge for non-Encompass freestanding hospitals of $18,610 and for hospital-based units of $22,450 during that same time period. Encompass Health’s average estimated total payment per discharge across </w:t>
      </w:r>
      <w:proofErr w:type="gramStart"/>
      <w:r w:rsidR="006D7347" w:rsidRPr="008D34A0">
        <w:rPr>
          <w:rFonts w:eastAsia="Calibri" w:cstheme="minorHAnsi"/>
          <w:sz w:val="24"/>
          <w:szCs w:val="24"/>
        </w:rPr>
        <w:t>all of</w:t>
      </w:r>
      <w:proofErr w:type="gramEnd"/>
      <w:r w:rsidR="006D7347" w:rsidRPr="008D34A0">
        <w:rPr>
          <w:rFonts w:eastAsia="Calibri" w:cstheme="minorHAnsi"/>
          <w:sz w:val="24"/>
          <w:szCs w:val="24"/>
        </w:rPr>
        <w:t xml:space="preserve"> its facilities in FY21 was $20,944 compared to the higher total payment per discharge for non-Encompass freestanding hospitals of $22,569 and for hospital-based units of $23,801 during that same time period. Th</w:t>
      </w:r>
      <w:r w:rsidR="00720C7F">
        <w:rPr>
          <w:rFonts w:eastAsia="Calibri" w:cstheme="minorHAnsi"/>
          <w:sz w:val="24"/>
          <w:szCs w:val="24"/>
        </w:rPr>
        <w:t xml:space="preserve">is demonstrates that </w:t>
      </w:r>
      <w:r w:rsidR="006D7347" w:rsidRPr="008D34A0">
        <w:rPr>
          <w:rFonts w:eastAsia="Calibri" w:cstheme="minorHAnsi"/>
          <w:sz w:val="24"/>
          <w:szCs w:val="24"/>
        </w:rPr>
        <w:t>Medicare pays Encompass Health less per discharge, on average, and Encompass Health treats a comparable acuity patient.</w:t>
      </w:r>
    </w:p>
    <w:p w14:paraId="060E72A1" w14:textId="131AE3DB" w:rsidR="00BB7632" w:rsidRPr="00BB7632" w:rsidRDefault="00BB7632" w:rsidP="00BB7632">
      <w:pPr>
        <w:spacing w:line="240" w:lineRule="auto"/>
        <w:rPr>
          <w:sz w:val="24"/>
          <w:szCs w:val="24"/>
        </w:rPr>
      </w:pPr>
      <w:r w:rsidRPr="00BB7632">
        <w:rPr>
          <w:sz w:val="24"/>
          <w:szCs w:val="24"/>
        </w:rPr>
        <w:t xml:space="preserve"> </w:t>
      </w:r>
    </w:p>
    <w:p w14:paraId="4CB620D7" w14:textId="77777777" w:rsidR="00910898" w:rsidRPr="00055FD6" w:rsidRDefault="003E1CDA" w:rsidP="00910898">
      <w:pPr>
        <w:spacing w:after="0" w:line="240" w:lineRule="auto"/>
        <w:rPr>
          <w:b/>
          <w:bCs/>
          <w:i/>
          <w:iCs/>
          <w:sz w:val="24"/>
          <w:szCs w:val="24"/>
        </w:rPr>
      </w:pPr>
      <w:r w:rsidRPr="00055FD6">
        <w:rPr>
          <w:b/>
          <w:bCs/>
          <w:i/>
          <w:iCs/>
          <w:sz w:val="24"/>
          <w:szCs w:val="24"/>
        </w:rPr>
        <w:t>Analysis: Cost Containment</w:t>
      </w:r>
    </w:p>
    <w:p w14:paraId="60986E5C" w14:textId="61108527" w:rsidR="003E1CDA" w:rsidRPr="003815A0" w:rsidRDefault="00E21B16" w:rsidP="003815A0">
      <w:pPr>
        <w:spacing w:after="0" w:line="240" w:lineRule="auto"/>
        <w:contextualSpacing/>
        <w:rPr>
          <w:rFonts w:cstheme="minorHAnsi"/>
          <w:sz w:val="24"/>
          <w:szCs w:val="24"/>
        </w:rPr>
      </w:pPr>
      <w:r w:rsidRPr="00055FD6">
        <w:rPr>
          <w:rFonts w:cstheme="minorHAnsi"/>
          <w:sz w:val="24"/>
          <w:szCs w:val="24"/>
        </w:rPr>
        <w:t>As described above, t</w:t>
      </w:r>
      <w:r w:rsidR="000B5D27" w:rsidRPr="00055FD6">
        <w:rPr>
          <w:rFonts w:cstheme="minorHAnsi"/>
          <w:sz w:val="24"/>
          <w:szCs w:val="24"/>
        </w:rPr>
        <w:t xml:space="preserve">he Proposed Project seeks </w:t>
      </w:r>
      <w:r w:rsidR="00304DFB" w:rsidRPr="00055FD6">
        <w:rPr>
          <w:rFonts w:cstheme="minorHAnsi"/>
          <w:sz w:val="24"/>
          <w:szCs w:val="24"/>
        </w:rPr>
        <w:t>to provide</w:t>
      </w:r>
      <w:r w:rsidR="000C59F5" w:rsidRPr="00055FD6">
        <w:rPr>
          <w:rFonts w:cstheme="minorHAnsi"/>
          <w:sz w:val="24"/>
          <w:szCs w:val="24"/>
        </w:rPr>
        <w:t xml:space="preserve"> greater </w:t>
      </w:r>
      <w:r w:rsidR="00304DFB" w:rsidRPr="00055FD6">
        <w:rPr>
          <w:rFonts w:cstheme="minorHAnsi"/>
          <w:sz w:val="24"/>
          <w:szCs w:val="24"/>
        </w:rPr>
        <w:t>access to</w:t>
      </w:r>
      <w:r w:rsidR="000B5D27" w:rsidRPr="00055FD6">
        <w:rPr>
          <w:rFonts w:cstheme="minorHAnsi"/>
          <w:sz w:val="24"/>
          <w:szCs w:val="24"/>
        </w:rPr>
        <w:t xml:space="preserve"> </w:t>
      </w:r>
      <w:r w:rsidR="000C59F5" w:rsidRPr="00055FD6">
        <w:rPr>
          <w:rFonts w:cstheme="minorHAnsi"/>
          <w:sz w:val="24"/>
          <w:szCs w:val="24"/>
        </w:rPr>
        <w:t xml:space="preserve">IRF </w:t>
      </w:r>
      <w:r w:rsidR="000B5D27" w:rsidRPr="00055FD6">
        <w:rPr>
          <w:rFonts w:cstheme="minorHAnsi"/>
          <w:sz w:val="24"/>
          <w:szCs w:val="24"/>
        </w:rPr>
        <w:t>services</w:t>
      </w:r>
      <w:r w:rsidR="0026798D" w:rsidRPr="00055FD6">
        <w:rPr>
          <w:rFonts w:cstheme="minorHAnsi"/>
          <w:sz w:val="24"/>
          <w:szCs w:val="24"/>
        </w:rPr>
        <w:t xml:space="preserve"> without any increases in </w:t>
      </w:r>
      <w:r w:rsidR="00ED0DD4" w:rsidRPr="00055FD6">
        <w:rPr>
          <w:rFonts w:cstheme="minorHAnsi"/>
          <w:sz w:val="24"/>
          <w:szCs w:val="24"/>
        </w:rPr>
        <w:t>cost to the Patient Panel. T</w:t>
      </w:r>
      <w:r w:rsidR="0026798D" w:rsidRPr="00055FD6">
        <w:rPr>
          <w:rFonts w:cstheme="minorHAnsi"/>
          <w:sz w:val="24"/>
          <w:szCs w:val="24"/>
        </w:rPr>
        <w:t xml:space="preserve">he </w:t>
      </w:r>
      <w:r w:rsidR="00ED0DD4" w:rsidRPr="00055FD6">
        <w:rPr>
          <w:rFonts w:cstheme="minorHAnsi"/>
          <w:sz w:val="24"/>
          <w:szCs w:val="24"/>
        </w:rPr>
        <w:t>project has cost containment potential</w:t>
      </w:r>
      <w:r w:rsidR="0026798D" w:rsidRPr="00055FD6">
        <w:rPr>
          <w:rFonts w:cstheme="minorHAnsi"/>
          <w:sz w:val="24"/>
          <w:szCs w:val="24"/>
        </w:rPr>
        <w:t xml:space="preserve"> through reductions in costs associated with </w:t>
      </w:r>
      <w:r w:rsidR="004E727C" w:rsidRPr="00055FD6">
        <w:rPr>
          <w:rFonts w:cstheme="minorHAnsi"/>
          <w:sz w:val="24"/>
          <w:szCs w:val="24"/>
        </w:rPr>
        <w:t xml:space="preserve">longer lengths of stay in higher cost settings. </w:t>
      </w:r>
      <w:r w:rsidR="00AB2B72">
        <w:rPr>
          <w:rStyle w:val="cf01"/>
          <w:rFonts w:asciiTheme="minorHAnsi" w:hAnsiTheme="minorHAnsi" w:cstheme="minorHAnsi"/>
          <w:sz w:val="24"/>
          <w:szCs w:val="24"/>
        </w:rPr>
        <w:t>T</w:t>
      </w:r>
      <w:r w:rsidR="002F1769" w:rsidRPr="00055FD6">
        <w:rPr>
          <w:rStyle w:val="cf01"/>
          <w:rFonts w:asciiTheme="minorHAnsi" w:hAnsiTheme="minorHAnsi" w:cstheme="minorHAnsi"/>
          <w:sz w:val="24"/>
          <w:szCs w:val="24"/>
        </w:rPr>
        <w:t xml:space="preserve">he most recent </w:t>
      </w:r>
      <w:r w:rsidR="001E4B38" w:rsidRPr="00055FD6">
        <w:rPr>
          <w:rStyle w:val="cf01"/>
          <w:rFonts w:asciiTheme="minorHAnsi" w:hAnsiTheme="minorHAnsi" w:cstheme="minorHAnsi"/>
          <w:sz w:val="24"/>
          <w:szCs w:val="24"/>
        </w:rPr>
        <w:t>Medicare</w:t>
      </w:r>
      <w:r w:rsidR="002F1769" w:rsidRPr="00055FD6">
        <w:rPr>
          <w:rStyle w:val="cf01"/>
          <w:rFonts w:asciiTheme="minorHAnsi" w:hAnsiTheme="minorHAnsi" w:cstheme="minorHAnsi"/>
          <w:sz w:val="24"/>
          <w:szCs w:val="24"/>
        </w:rPr>
        <w:t xml:space="preserve"> Payment Advisory Commission</w:t>
      </w:r>
      <w:r w:rsidR="002F1769" w:rsidRPr="00055FD6">
        <w:rPr>
          <w:rStyle w:val="FootnoteReference"/>
          <w:rFonts w:cstheme="minorHAnsi"/>
          <w:sz w:val="24"/>
          <w:szCs w:val="24"/>
        </w:rPr>
        <w:footnoteReference w:id="23"/>
      </w:r>
      <w:r w:rsidR="002F1769" w:rsidRPr="00055FD6">
        <w:rPr>
          <w:rStyle w:val="cf01"/>
          <w:rFonts w:asciiTheme="minorHAnsi" w:hAnsiTheme="minorHAnsi" w:cstheme="minorHAnsi"/>
          <w:sz w:val="24"/>
          <w:szCs w:val="24"/>
        </w:rPr>
        <w:t xml:space="preserve"> </w:t>
      </w:r>
      <w:r w:rsidR="002F1769" w:rsidRPr="00055FD6">
        <w:rPr>
          <w:rStyle w:val="cf01"/>
          <w:rFonts w:asciiTheme="minorHAnsi" w:hAnsiTheme="minorHAnsi" w:cstheme="minorHAnsi"/>
          <w:i/>
          <w:iCs/>
          <w:sz w:val="24"/>
          <w:szCs w:val="24"/>
        </w:rPr>
        <w:t>Report to the Congress: Medicare Payment Policy, March 202</w:t>
      </w:r>
      <w:r w:rsidR="00AB2B72">
        <w:rPr>
          <w:rStyle w:val="cf01"/>
          <w:rFonts w:asciiTheme="minorHAnsi" w:hAnsiTheme="minorHAnsi" w:cstheme="minorHAnsi"/>
          <w:i/>
          <w:iCs/>
          <w:sz w:val="24"/>
          <w:szCs w:val="24"/>
        </w:rPr>
        <w:t>3</w:t>
      </w:r>
      <w:r w:rsidR="001E4B38" w:rsidRPr="00055FD6">
        <w:rPr>
          <w:rStyle w:val="cf01"/>
          <w:rFonts w:asciiTheme="minorHAnsi" w:hAnsiTheme="minorHAnsi" w:cstheme="minorHAnsi"/>
          <w:i/>
          <w:iCs/>
          <w:sz w:val="24"/>
          <w:szCs w:val="24"/>
        </w:rPr>
        <w:t>,</w:t>
      </w:r>
      <w:r w:rsidR="001E4B38" w:rsidRPr="00055FD6">
        <w:rPr>
          <w:rStyle w:val="cf01"/>
          <w:rFonts w:asciiTheme="minorHAnsi" w:hAnsiTheme="minorHAnsi" w:cstheme="minorHAnsi"/>
          <w:sz w:val="24"/>
          <w:szCs w:val="24"/>
        </w:rPr>
        <w:t xml:space="preserve"> </w:t>
      </w:r>
      <w:r w:rsidR="00AB2B72">
        <w:rPr>
          <w:rStyle w:val="cf01"/>
          <w:rFonts w:asciiTheme="minorHAnsi" w:hAnsiTheme="minorHAnsi" w:cstheme="minorHAnsi"/>
          <w:sz w:val="24"/>
          <w:szCs w:val="24"/>
        </w:rPr>
        <w:t xml:space="preserve">supports </w:t>
      </w:r>
      <w:r w:rsidR="003815A0">
        <w:rPr>
          <w:rStyle w:val="cf01"/>
          <w:rFonts w:asciiTheme="minorHAnsi" w:hAnsiTheme="minorHAnsi" w:cstheme="minorHAnsi"/>
          <w:sz w:val="24"/>
          <w:szCs w:val="24"/>
        </w:rPr>
        <w:t xml:space="preserve">the cost containment </w:t>
      </w:r>
      <w:r w:rsidR="004B06A7">
        <w:rPr>
          <w:rStyle w:val="cf01"/>
          <w:rFonts w:asciiTheme="minorHAnsi" w:hAnsiTheme="minorHAnsi" w:cstheme="minorHAnsi"/>
          <w:sz w:val="24"/>
          <w:szCs w:val="24"/>
        </w:rPr>
        <w:t xml:space="preserve">assertion </w:t>
      </w:r>
      <w:r w:rsidR="003815A0">
        <w:rPr>
          <w:rStyle w:val="cf01"/>
          <w:rFonts w:asciiTheme="minorHAnsi" w:hAnsiTheme="minorHAnsi" w:cstheme="minorHAnsi"/>
          <w:sz w:val="24"/>
          <w:szCs w:val="24"/>
        </w:rPr>
        <w:t xml:space="preserve">as </w:t>
      </w:r>
      <w:r w:rsidR="001E4B38" w:rsidRPr="00055FD6">
        <w:rPr>
          <w:rStyle w:val="cf01"/>
          <w:rFonts w:asciiTheme="minorHAnsi" w:hAnsiTheme="minorHAnsi" w:cstheme="minorHAnsi"/>
          <w:sz w:val="24"/>
          <w:szCs w:val="24"/>
        </w:rPr>
        <w:t>it was noted that</w:t>
      </w:r>
      <w:r w:rsidR="00055FD6" w:rsidRPr="00055FD6">
        <w:rPr>
          <w:rStyle w:val="cf01"/>
          <w:rFonts w:asciiTheme="minorHAnsi" w:hAnsiTheme="minorHAnsi" w:cstheme="minorHAnsi"/>
          <w:sz w:val="24"/>
          <w:szCs w:val="24"/>
        </w:rPr>
        <w:t>,</w:t>
      </w:r>
      <w:r w:rsidR="001E4B38" w:rsidRPr="00055FD6">
        <w:rPr>
          <w:rStyle w:val="cf01"/>
          <w:rFonts w:asciiTheme="minorHAnsi" w:hAnsiTheme="minorHAnsi" w:cstheme="minorHAnsi"/>
          <w:sz w:val="24"/>
          <w:szCs w:val="24"/>
        </w:rPr>
        <w:t xml:space="preserve"> </w:t>
      </w:r>
      <w:r w:rsidR="00D36D44" w:rsidRPr="00055FD6">
        <w:rPr>
          <w:rStyle w:val="cf01"/>
          <w:rFonts w:asciiTheme="minorHAnsi" w:hAnsiTheme="minorHAnsi" w:cstheme="minorHAnsi"/>
          <w:i/>
          <w:iCs/>
          <w:sz w:val="24"/>
          <w:szCs w:val="24"/>
        </w:rPr>
        <w:t>“</w:t>
      </w:r>
      <w:r w:rsidR="00D36D44" w:rsidRPr="00055FD6">
        <w:rPr>
          <w:rStyle w:val="cf01"/>
          <w:rFonts w:asciiTheme="minorHAnsi" w:hAnsiTheme="minorHAnsi" w:cstheme="minorHAnsi"/>
          <w:sz w:val="24"/>
          <w:szCs w:val="24"/>
        </w:rPr>
        <w:t>Relatively efficient IRFs were, on average, larger and had higher occupancy rates compared with other IRFs, leading to greater economies of scale.”</w:t>
      </w:r>
      <w:r w:rsidR="007F1E54">
        <w:rPr>
          <w:rStyle w:val="EndnoteReference"/>
          <w:rFonts w:cstheme="minorHAnsi"/>
          <w:sz w:val="24"/>
          <w:szCs w:val="24"/>
        </w:rPr>
        <w:endnoteReference w:id="14"/>
      </w:r>
      <w:r w:rsidR="003815A0">
        <w:rPr>
          <w:rStyle w:val="cf01"/>
          <w:rFonts w:asciiTheme="minorHAnsi" w:hAnsiTheme="minorHAnsi" w:cstheme="minorHAnsi"/>
          <w:sz w:val="24"/>
          <w:szCs w:val="24"/>
        </w:rPr>
        <w:t xml:space="preserve"> </w:t>
      </w:r>
      <w:r w:rsidR="009464F3">
        <w:rPr>
          <w:sz w:val="24"/>
          <w:szCs w:val="24"/>
        </w:rPr>
        <w:t>Therefore,</w:t>
      </w:r>
      <w:r w:rsidR="00304DFB">
        <w:rPr>
          <w:sz w:val="24"/>
          <w:szCs w:val="24"/>
        </w:rPr>
        <w:t xml:space="preserve"> </w:t>
      </w:r>
      <w:proofErr w:type="spellStart"/>
      <w:r w:rsidR="00304DFB">
        <w:rPr>
          <w:sz w:val="24"/>
          <w:szCs w:val="24"/>
        </w:rPr>
        <w:t>DoN</w:t>
      </w:r>
      <w:proofErr w:type="spellEnd"/>
      <w:r w:rsidR="00304DFB">
        <w:rPr>
          <w:sz w:val="24"/>
          <w:szCs w:val="24"/>
        </w:rPr>
        <w:t xml:space="preserve"> Staff </w:t>
      </w:r>
      <w:r w:rsidR="000B5D27">
        <w:rPr>
          <w:sz w:val="24"/>
          <w:szCs w:val="24"/>
        </w:rPr>
        <w:t xml:space="preserve">can </w:t>
      </w:r>
      <w:r w:rsidR="00C12878" w:rsidRPr="00062574">
        <w:rPr>
          <w:sz w:val="24"/>
          <w:szCs w:val="24"/>
        </w:rPr>
        <w:t xml:space="preserve">conclude that </w:t>
      </w:r>
      <w:r w:rsidR="000B5D27">
        <w:rPr>
          <w:sz w:val="24"/>
          <w:szCs w:val="24"/>
        </w:rPr>
        <w:t xml:space="preserve">the </w:t>
      </w:r>
      <w:r w:rsidR="00C12878" w:rsidRPr="00062574">
        <w:rPr>
          <w:sz w:val="24"/>
          <w:szCs w:val="24"/>
        </w:rPr>
        <w:t xml:space="preserve">Proposed Project will likely meet the cost containment </w:t>
      </w:r>
      <w:r w:rsidR="0026798D">
        <w:rPr>
          <w:sz w:val="24"/>
          <w:szCs w:val="24"/>
        </w:rPr>
        <w:t>elements of F</w:t>
      </w:r>
      <w:r w:rsidR="00C12878" w:rsidRPr="00062574">
        <w:rPr>
          <w:sz w:val="24"/>
          <w:szCs w:val="24"/>
        </w:rPr>
        <w:t>actor</w:t>
      </w:r>
      <w:r w:rsidR="0026798D">
        <w:rPr>
          <w:sz w:val="24"/>
          <w:szCs w:val="24"/>
        </w:rPr>
        <w:t xml:space="preserve"> 2</w:t>
      </w:r>
      <w:r w:rsidR="00C12878" w:rsidRPr="00062574">
        <w:rPr>
          <w:sz w:val="24"/>
          <w:szCs w:val="24"/>
        </w:rPr>
        <w:t>.</w:t>
      </w:r>
    </w:p>
    <w:p w14:paraId="3C01249E" w14:textId="77777777" w:rsidR="00910898" w:rsidRPr="00062574" w:rsidRDefault="00910898" w:rsidP="00062574">
      <w:pPr>
        <w:spacing w:line="240" w:lineRule="auto"/>
        <w:rPr>
          <w:sz w:val="24"/>
          <w:szCs w:val="24"/>
        </w:rPr>
      </w:pPr>
    </w:p>
    <w:p w14:paraId="60B81E73" w14:textId="53047A36" w:rsidR="003E1CDA" w:rsidRDefault="003E1CDA" w:rsidP="00910898">
      <w:pPr>
        <w:spacing w:after="0" w:line="240" w:lineRule="auto"/>
        <w:rPr>
          <w:b/>
          <w:bCs/>
          <w:sz w:val="24"/>
          <w:szCs w:val="24"/>
        </w:rPr>
      </w:pPr>
      <w:r w:rsidRPr="00062574">
        <w:rPr>
          <w:b/>
          <w:bCs/>
          <w:sz w:val="24"/>
          <w:szCs w:val="24"/>
        </w:rPr>
        <w:lastRenderedPageBreak/>
        <w:t>Improved Public Health Outcomes</w:t>
      </w:r>
      <w:r w:rsidR="008C3357">
        <w:rPr>
          <w:b/>
          <w:bCs/>
          <w:sz w:val="24"/>
          <w:szCs w:val="24"/>
        </w:rPr>
        <w:t xml:space="preserve"> </w:t>
      </w:r>
    </w:p>
    <w:p w14:paraId="68F354FC" w14:textId="5F23F14E" w:rsidR="001003B9" w:rsidRPr="001003B9" w:rsidRDefault="0022028B" w:rsidP="00910898">
      <w:pPr>
        <w:spacing w:after="0" w:line="240" w:lineRule="auto"/>
        <w:rPr>
          <w:sz w:val="24"/>
          <w:szCs w:val="24"/>
        </w:rPr>
      </w:pPr>
      <w:bookmarkStart w:id="16" w:name="_Hlk101967270"/>
      <w:r w:rsidRPr="0022028B">
        <w:rPr>
          <w:sz w:val="24"/>
          <w:szCs w:val="24"/>
        </w:rPr>
        <w:t xml:space="preserve">As discussed in </w:t>
      </w:r>
      <w:r w:rsidR="00910898">
        <w:rPr>
          <w:sz w:val="24"/>
          <w:szCs w:val="24"/>
        </w:rPr>
        <w:t>the Patient Panel Need section</w:t>
      </w:r>
      <w:r w:rsidRPr="0022028B">
        <w:rPr>
          <w:sz w:val="24"/>
          <w:szCs w:val="24"/>
        </w:rPr>
        <w:t xml:space="preserve">, the Applicant anticipates demand for </w:t>
      </w:r>
      <w:r w:rsidR="0073328B">
        <w:rPr>
          <w:sz w:val="24"/>
          <w:szCs w:val="24"/>
        </w:rPr>
        <w:t>I</w:t>
      </w:r>
      <w:r w:rsidR="007C461B">
        <w:rPr>
          <w:sz w:val="24"/>
          <w:szCs w:val="24"/>
        </w:rPr>
        <w:t>R</w:t>
      </w:r>
      <w:r w:rsidR="0073328B">
        <w:rPr>
          <w:sz w:val="24"/>
          <w:szCs w:val="24"/>
        </w:rPr>
        <w:t xml:space="preserve">F services </w:t>
      </w:r>
      <w:r w:rsidRPr="0022028B">
        <w:rPr>
          <w:sz w:val="24"/>
          <w:szCs w:val="24"/>
        </w:rPr>
        <w:t xml:space="preserve">will continue to increase as the </w:t>
      </w:r>
      <w:r w:rsidR="007C461B">
        <w:rPr>
          <w:sz w:val="24"/>
          <w:szCs w:val="24"/>
        </w:rPr>
        <w:t xml:space="preserve">population </w:t>
      </w:r>
      <w:r w:rsidRPr="0022028B">
        <w:rPr>
          <w:sz w:val="24"/>
          <w:szCs w:val="24"/>
        </w:rPr>
        <w:t xml:space="preserve">grows and ages. </w:t>
      </w:r>
      <w:bookmarkEnd w:id="16"/>
      <w:r w:rsidR="00864AD8">
        <w:rPr>
          <w:sz w:val="24"/>
          <w:szCs w:val="24"/>
        </w:rPr>
        <w:t>E</w:t>
      </w:r>
      <w:r w:rsidR="001003B9">
        <w:rPr>
          <w:sz w:val="24"/>
          <w:szCs w:val="24"/>
        </w:rPr>
        <w:t xml:space="preserve">xpansion through the </w:t>
      </w:r>
      <w:r w:rsidR="001003B9" w:rsidRPr="001003B9">
        <w:rPr>
          <w:sz w:val="24"/>
          <w:szCs w:val="24"/>
        </w:rPr>
        <w:t>Proposed Project will benefit more patients by enabling Western Massachusetts residents to maintain a higher quality of life and greater independence following injury or illness. While all residents in need of inpatient rehabilitation services will have access, patients age</w:t>
      </w:r>
      <w:r w:rsidR="00492F4C">
        <w:rPr>
          <w:sz w:val="24"/>
          <w:szCs w:val="24"/>
        </w:rPr>
        <w:t>d</w:t>
      </w:r>
      <w:r w:rsidR="001003B9" w:rsidRPr="001003B9">
        <w:rPr>
          <w:sz w:val="24"/>
          <w:szCs w:val="24"/>
        </w:rPr>
        <w:t xml:space="preserve"> 65 years and older generally experience more health-related issues where rehabilitative interventions can improve outcomes, as compared to younger populations. When patients experience these conditions, they can lose independence, become socially isolated and unable to accomplish important tasks such as grocery shopping or scheduling medical appointments. Improved access to inpatient rehabilitation care will enable residents to return to independence with greater functionality, thereby leading to improved health outcomes for the Western Massachusetts community.</w:t>
      </w:r>
    </w:p>
    <w:p w14:paraId="09170416" w14:textId="77777777" w:rsidR="00910898" w:rsidRDefault="00910898" w:rsidP="003E1CDA">
      <w:pPr>
        <w:spacing w:line="240" w:lineRule="auto"/>
        <w:rPr>
          <w:b/>
          <w:bCs/>
          <w:sz w:val="24"/>
          <w:szCs w:val="24"/>
        </w:rPr>
      </w:pPr>
    </w:p>
    <w:p w14:paraId="1E443B61" w14:textId="264A3D1B" w:rsidR="003E1CDA" w:rsidRDefault="0022028B" w:rsidP="000E6F21">
      <w:pPr>
        <w:spacing w:after="0" w:line="240" w:lineRule="auto"/>
        <w:rPr>
          <w:b/>
          <w:bCs/>
          <w:sz w:val="24"/>
          <w:szCs w:val="24"/>
        </w:rPr>
      </w:pPr>
      <w:r w:rsidRPr="00425E59">
        <w:rPr>
          <w:b/>
          <w:bCs/>
          <w:sz w:val="24"/>
          <w:szCs w:val="24"/>
        </w:rPr>
        <w:t>A</w:t>
      </w:r>
      <w:r w:rsidR="003E1CDA" w:rsidRPr="00425E59">
        <w:rPr>
          <w:b/>
          <w:bCs/>
          <w:sz w:val="24"/>
          <w:szCs w:val="24"/>
        </w:rPr>
        <w:t>nalysis: Public Health Outcomes</w:t>
      </w:r>
    </w:p>
    <w:p w14:paraId="24A46422" w14:textId="64F906D4" w:rsidR="00F13A0C" w:rsidRPr="00DE7810" w:rsidRDefault="009F5D5A" w:rsidP="000E6F21">
      <w:pPr>
        <w:spacing w:after="0" w:line="240" w:lineRule="auto"/>
        <w:rPr>
          <w:rFonts w:cstheme="minorHAnsi"/>
          <w:sz w:val="24"/>
          <w:szCs w:val="24"/>
        </w:rPr>
      </w:pPr>
      <w:r w:rsidRPr="00DE7810">
        <w:rPr>
          <w:rFonts w:cstheme="minorHAnsi"/>
          <w:sz w:val="24"/>
          <w:szCs w:val="24"/>
        </w:rPr>
        <w:t xml:space="preserve">Staff finds that, through the provision of IRF services, patients </w:t>
      </w:r>
      <w:proofErr w:type="gramStart"/>
      <w:r w:rsidR="00B82F08">
        <w:rPr>
          <w:rFonts w:cstheme="minorHAnsi"/>
          <w:sz w:val="24"/>
          <w:szCs w:val="24"/>
        </w:rPr>
        <w:t>have</w:t>
      </w:r>
      <w:r w:rsidRPr="00DE7810">
        <w:rPr>
          <w:rFonts w:cstheme="minorHAnsi"/>
          <w:sz w:val="24"/>
          <w:szCs w:val="24"/>
        </w:rPr>
        <w:t xml:space="preserve"> the opportunity to</w:t>
      </w:r>
      <w:proofErr w:type="gramEnd"/>
      <w:r w:rsidRPr="00DE7810">
        <w:rPr>
          <w:rFonts w:cstheme="minorHAnsi"/>
          <w:sz w:val="24"/>
          <w:szCs w:val="24"/>
        </w:rPr>
        <w:t xml:space="preserve"> reach their full potential for independence while drawing upon community resources when needed. </w:t>
      </w:r>
      <w:r w:rsidR="009A2FDA" w:rsidRPr="00DE7810">
        <w:rPr>
          <w:rFonts w:cstheme="minorHAnsi"/>
          <w:sz w:val="24"/>
          <w:szCs w:val="24"/>
        </w:rPr>
        <w:t>Increasing capacity for</w:t>
      </w:r>
      <w:r w:rsidR="005B5F98" w:rsidRPr="00DE7810">
        <w:rPr>
          <w:rFonts w:cstheme="minorHAnsi"/>
          <w:sz w:val="24"/>
          <w:szCs w:val="24"/>
        </w:rPr>
        <w:t xml:space="preserve"> IRF services</w:t>
      </w:r>
      <w:r w:rsidR="009A2FDA" w:rsidRPr="00DE7810">
        <w:rPr>
          <w:rFonts w:cstheme="minorHAnsi"/>
          <w:sz w:val="24"/>
          <w:szCs w:val="24"/>
        </w:rPr>
        <w:t xml:space="preserve"> will allow</w:t>
      </w:r>
      <w:r w:rsidR="005B5F98" w:rsidRPr="00DE7810">
        <w:rPr>
          <w:rFonts w:cstheme="minorHAnsi"/>
          <w:sz w:val="24"/>
          <w:szCs w:val="24"/>
        </w:rPr>
        <w:t xml:space="preserve"> more patients</w:t>
      </w:r>
      <w:r w:rsidR="00C04D7B" w:rsidRPr="00DE7810">
        <w:rPr>
          <w:rFonts w:cstheme="minorHAnsi"/>
          <w:sz w:val="24"/>
          <w:szCs w:val="24"/>
        </w:rPr>
        <w:t xml:space="preserve"> to benefit from </w:t>
      </w:r>
      <w:proofErr w:type="gramStart"/>
      <w:r w:rsidR="00C04D7B" w:rsidRPr="00DE7810">
        <w:rPr>
          <w:rFonts w:cstheme="minorHAnsi"/>
          <w:sz w:val="24"/>
          <w:szCs w:val="24"/>
        </w:rPr>
        <w:t>services, and</w:t>
      </w:r>
      <w:proofErr w:type="gramEnd"/>
      <w:r w:rsidR="00C04D7B" w:rsidRPr="00DE7810">
        <w:rPr>
          <w:rFonts w:cstheme="minorHAnsi"/>
          <w:sz w:val="24"/>
          <w:szCs w:val="24"/>
        </w:rPr>
        <w:t xml:space="preserve"> will add</w:t>
      </w:r>
      <w:r w:rsidR="005B5F98" w:rsidRPr="00DE7810">
        <w:rPr>
          <w:rFonts w:cstheme="minorHAnsi"/>
          <w:sz w:val="24"/>
          <w:szCs w:val="24"/>
        </w:rPr>
        <w:t>ress the anticipated increase in demand as the population ages</w:t>
      </w:r>
      <w:r w:rsidR="00DE7810" w:rsidRPr="00DE7810">
        <w:rPr>
          <w:rFonts w:cstheme="minorHAnsi"/>
          <w:sz w:val="24"/>
          <w:szCs w:val="24"/>
        </w:rPr>
        <w:t>. Additional IRF beds will</w:t>
      </w:r>
      <w:r w:rsidR="00F13A0C" w:rsidRPr="00DE7810">
        <w:rPr>
          <w:rFonts w:cstheme="minorHAnsi"/>
          <w:sz w:val="24"/>
          <w:szCs w:val="24"/>
        </w:rPr>
        <w:t xml:space="preserve"> avoid delays</w:t>
      </w:r>
      <w:r w:rsidR="00E644D7" w:rsidRPr="00DE7810">
        <w:rPr>
          <w:rFonts w:cstheme="minorHAnsi"/>
          <w:sz w:val="24"/>
          <w:szCs w:val="24"/>
        </w:rPr>
        <w:t xml:space="preserve"> in treatment that can adversely impact health outcomes</w:t>
      </w:r>
      <w:r w:rsidR="005B5F98" w:rsidRPr="00DE7810">
        <w:rPr>
          <w:rFonts w:cstheme="minorHAnsi"/>
          <w:sz w:val="24"/>
          <w:szCs w:val="24"/>
        </w:rPr>
        <w:t xml:space="preserve">. </w:t>
      </w:r>
      <w:r w:rsidR="00F13A0C" w:rsidRPr="00DE7810">
        <w:rPr>
          <w:rFonts w:cstheme="minorHAnsi"/>
          <w:sz w:val="24"/>
          <w:szCs w:val="24"/>
        </w:rPr>
        <w:t xml:space="preserve">Therefore, </w:t>
      </w:r>
      <w:proofErr w:type="spellStart"/>
      <w:r w:rsidR="00F13A0C" w:rsidRPr="00DE7810">
        <w:rPr>
          <w:rFonts w:cstheme="minorHAnsi"/>
          <w:sz w:val="24"/>
          <w:szCs w:val="24"/>
        </w:rPr>
        <w:t>DoN</w:t>
      </w:r>
      <w:proofErr w:type="spellEnd"/>
      <w:r w:rsidR="00F13A0C" w:rsidRPr="00DE7810">
        <w:rPr>
          <w:rFonts w:cstheme="minorHAnsi"/>
          <w:sz w:val="24"/>
          <w:szCs w:val="24"/>
        </w:rPr>
        <w:t xml:space="preserve"> Staff can conclude that the Proposed Project will likely meet the Public Health Outcomes component of Factor 2.</w:t>
      </w:r>
    </w:p>
    <w:p w14:paraId="2A24C433" w14:textId="77777777" w:rsidR="007D53F6" w:rsidRPr="00425E59" w:rsidRDefault="007D53F6" w:rsidP="003E1CDA">
      <w:pPr>
        <w:spacing w:line="240" w:lineRule="auto"/>
        <w:rPr>
          <w:b/>
          <w:bCs/>
          <w:sz w:val="24"/>
          <w:szCs w:val="24"/>
        </w:rPr>
      </w:pPr>
    </w:p>
    <w:p w14:paraId="3B0953A6" w14:textId="647641F7" w:rsidR="0022028B" w:rsidRDefault="00B134DF" w:rsidP="000E6F21">
      <w:pPr>
        <w:spacing w:after="0" w:line="240" w:lineRule="auto"/>
        <w:rPr>
          <w:b/>
          <w:bCs/>
          <w:sz w:val="24"/>
          <w:szCs w:val="24"/>
        </w:rPr>
      </w:pPr>
      <w:r>
        <w:rPr>
          <w:b/>
          <w:bCs/>
          <w:sz w:val="24"/>
          <w:szCs w:val="24"/>
        </w:rPr>
        <w:t>D</w:t>
      </w:r>
      <w:r w:rsidR="003E1CDA" w:rsidRPr="003E1CDA">
        <w:rPr>
          <w:b/>
          <w:bCs/>
          <w:sz w:val="24"/>
          <w:szCs w:val="24"/>
        </w:rPr>
        <w:t>elivery System Transformation</w:t>
      </w:r>
    </w:p>
    <w:p w14:paraId="2584424C" w14:textId="4ACBBD71" w:rsidR="007D53F6" w:rsidRPr="00F957B4" w:rsidRDefault="007D53F6" w:rsidP="000E6F21">
      <w:pPr>
        <w:spacing w:after="0" w:line="240" w:lineRule="auto"/>
        <w:rPr>
          <w:rFonts w:cstheme="minorHAnsi"/>
          <w:sz w:val="24"/>
          <w:szCs w:val="24"/>
        </w:rPr>
      </w:pPr>
      <w:r w:rsidRPr="00F957B4">
        <w:rPr>
          <w:rFonts w:cstheme="minorHAnsi"/>
          <w:sz w:val="24"/>
          <w:szCs w:val="24"/>
        </w:rPr>
        <w:t>Encompass Western Mass patients have access to clinical social workers during their stay and as part of discharge planning. They assess patient needs and work with patients and their families to implement appropriate services.</w:t>
      </w:r>
    </w:p>
    <w:p w14:paraId="5DF0265D" w14:textId="77777777" w:rsidR="007D53F6" w:rsidRPr="00F957B4" w:rsidRDefault="007D53F6" w:rsidP="007D53F6">
      <w:pPr>
        <w:spacing w:after="0" w:line="240" w:lineRule="auto"/>
        <w:rPr>
          <w:rFonts w:cstheme="minorHAnsi"/>
          <w:sz w:val="24"/>
          <w:szCs w:val="24"/>
        </w:rPr>
      </w:pPr>
    </w:p>
    <w:p w14:paraId="60FCA5EF" w14:textId="4087CD74" w:rsidR="007D53F6" w:rsidRPr="00F957B4" w:rsidRDefault="007D53F6" w:rsidP="007D53F6">
      <w:pPr>
        <w:spacing w:after="0" w:line="240" w:lineRule="auto"/>
        <w:rPr>
          <w:rFonts w:cstheme="minorHAnsi"/>
          <w:sz w:val="24"/>
          <w:szCs w:val="24"/>
        </w:rPr>
      </w:pPr>
      <w:r w:rsidRPr="00F957B4">
        <w:rPr>
          <w:rFonts w:cstheme="minorHAnsi"/>
          <w:sz w:val="24"/>
          <w:szCs w:val="24"/>
        </w:rPr>
        <w:t>Services provided by case management/social service workers includ</w:t>
      </w:r>
      <w:r>
        <w:rPr>
          <w:rFonts w:cstheme="minorHAnsi"/>
          <w:sz w:val="24"/>
          <w:szCs w:val="24"/>
        </w:rPr>
        <w:t>e</w:t>
      </w:r>
      <w:r w:rsidRPr="00F957B4">
        <w:rPr>
          <w:rFonts w:cstheme="minorHAnsi"/>
          <w:sz w:val="24"/>
          <w:szCs w:val="24"/>
        </w:rPr>
        <w:t xml:space="preserve"> coordinating with the physician to ensure the patient’s needs are met</w:t>
      </w:r>
      <w:r>
        <w:rPr>
          <w:rFonts w:cstheme="minorHAnsi"/>
          <w:sz w:val="24"/>
          <w:szCs w:val="24"/>
        </w:rPr>
        <w:t xml:space="preserve"> and</w:t>
      </w:r>
      <w:r w:rsidRPr="00F957B4">
        <w:rPr>
          <w:rFonts w:cstheme="minorHAnsi"/>
          <w:sz w:val="24"/>
          <w:szCs w:val="24"/>
        </w:rPr>
        <w:t xml:space="preserve"> involving the family and caregivers in the patient’s rehabilitation. </w:t>
      </w:r>
      <w:r w:rsidR="00C13098">
        <w:rPr>
          <w:rFonts w:cstheme="minorHAnsi"/>
          <w:sz w:val="24"/>
          <w:szCs w:val="24"/>
        </w:rPr>
        <w:t xml:space="preserve">Examples of Case Manager interventions </w:t>
      </w:r>
      <w:r w:rsidR="004D78EA">
        <w:rPr>
          <w:rFonts w:cstheme="minorHAnsi"/>
          <w:sz w:val="24"/>
          <w:szCs w:val="24"/>
        </w:rPr>
        <w:t>include</w:t>
      </w:r>
      <w:r w:rsidRPr="00F957B4">
        <w:rPr>
          <w:rFonts w:cstheme="minorHAnsi"/>
          <w:sz w:val="24"/>
          <w:szCs w:val="24"/>
        </w:rPr>
        <w:t>:</w:t>
      </w:r>
    </w:p>
    <w:p w14:paraId="5776AE18" w14:textId="77777777" w:rsidR="007D53F6" w:rsidRPr="00F957B4" w:rsidRDefault="007D53F6" w:rsidP="007D53F6">
      <w:pPr>
        <w:spacing w:after="0" w:line="240" w:lineRule="auto"/>
        <w:rPr>
          <w:rFonts w:cstheme="minorHAnsi"/>
          <w:sz w:val="24"/>
          <w:szCs w:val="24"/>
        </w:rPr>
      </w:pPr>
    </w:p>
    <w:p w14:paraId="7F01BA9D" w14:textId="77777777" w:rsidR="007D53F6" w:rsidRPr="00F957B4" w:rsidRDefault="007D53F6" w:rsidP="007D53F6">
      <w:pPr>
        <w:pStyle w:val="ListParagraph"/>
        <w:numPr>
          <w:ilvl w:val="0"/>
          <w:numId w:val="22"/>
        </w:numPr>
        <w:spacing w:after="0" w:line="240" w:lineRule="auto"/>
        <w:rPr>
          <w:rFonts w:cstheme="minorHAnsi"/>
          <w:sz w:val="24"/>
          <w:szCs w:val="24"/>
        </w:rPr>
      </w:pPr>
      <w:r w:rsidRPr="00F957B4">
        <w:rPr>
          <w:rFonts w:cstheme="minorHAnsi"/>
          <w:sz w:val="24"/>
          <w:szCs w:val="24"/>
        </w:rPr>
        <w:t xml:space="preserve">Working with the family prior to the patient’s discharge to provide training to help family members care for patients after discharge. </w:t>
      </w:r>
    </w:p>
    <w:p w14:paraId="00610875" w14:textId="77777777" w:rsidR="007D53F6" w:rsidRPr="00F957B4" w:rsidRDefault="007D53F6" w:rsidP="007D53F6">
      <w:pPr>
        <w:spacing w:after="0" w:line="240" w:lineRule="auto"/>
        <w:rPr>
          <w:rFonts w:cstheme="minorHAnsi"/>
          <w:sz w:val="24"/>
          <w:szCs w:val="24"/>
        </w:rPr>
      </w:pPr>
    </w:p>
    <w:p w14:paraId="258E27E1" w14:textId="77777777" w:rsidR="007D53F6" w:rsidRPr="00F957B4" w:rsidRDefault="007D53F6" w:rsidP="007D53F6">
      <w:pPr>
        <w:pStyle w:val="ListParagraph"/>
        <w:numPr>
          <w:ilvl w:val="0"/>
          <w:numId w:val="22"/>
        </w:numPr>
        <w:spacing w:after="0" w:line="240" w:lineRule="auto"/>
        <w:rPr>
          <w:rFonts w:cstheme="minorHAnsi"/>
          <w:sz w:val="24"/>
          <w:szCs w:val="24"/>
        </w:rPr>
      </w:pPr>
      <w:r w:rsidRPr="00F957B4">
        <w:rPr>
          <w:rFonts w:cstheme="minorHAnsi"/>
          <w:sz w:val="24"/>
          <w:szCs w:val="24"/>
        </w:rPr>
        <w:t xml:space="preserve">Visiting the patient’s home prior to discharge to identify and then address any special needs (such as equipment) the patient will have upon returning home. </w:t>
      </w:r>
    </w:p>
    <w:p w14:paraId="599C9F21" w14:textId="77777777" w:rsidR="007D53F6" w:rsidRPr="00F957B4" w:rsidRDefault="007D53F6" w:rsidP="007D53F6">
      <w:pPr>
        <w:spacing w:after="0" w:line="240" w:lineRule="auto"/>
        <w:rPr>
          <w:rFonts w:cstheme="minorHAnsi"/>
          <w:sz w:val="24"/>
          <w:szCs w:val="24"/>
        </w:rPr>
      </w:pPr>
    </w:p>
    <w:p w14:paraId="6891ACA6" w14:textId="77777777" w:rsidR="007D53F6" w:rsidRPr="00F957B4" w:rsidRDefault="007D53F6" w:rsidP="007D53F6">
      <w:pPr>
        <w:pStyle w:val="ListParagraph"/>
        <w:numPr>
          <w:ilvl w:val="0"/>
          <w:numId w:val="22"/>
        </w:numPr>
        <w:spacing w:after="0" w:line="240" w:lineRule="auto"/>
        <w:rPr>
          <w:rFonts w:cstheme="minorHAnsi"/>
          <w:sz w:val="24"/>
          <w:szCs w:val="24"/>
        </w:rPr>
      </w:pPr>
      <w:r w:rsidRPr="00F957B4">
        <w:rPr>
          <w:rFonts w:cstheme="minorHAnsi"/>
          <w:sz w:val="24"/>
          <w:szCs w:val="24"/>
        </w:rPr>
        <w:t xml:space="preserve">Coordination and collaboration of services between the patient and community service providers who will be responsible for providing care to the patient post-discharge. </w:t>
      </w:r>
    </w:p>
    <w:p w14:paraId="37993937" w14:textId="77777777" w:rsidR="007D53F6" w:rsidRPr="00F957B4" w:rsidRDefault="007D53F6" w:rsidP="007D53F6">
      <w:pPr>
        <w:pStyle w:val="ListParagraph"/>
        <w:rPr>
          <w:rFonts w:cstheme="minorHAnsi"/>
          <w:sz w:val="24"/>
          <w:szCs w:val="24"/>
        </w:rPr>
      </w:pPr>
    </w:p>
    <w:p w14:paraId="27CD812A" w14:textId="580263F2" w:rsidR="007D53F6" w:rsidRPr="00882D97" w:rsidRDefault="00EF21C0" w:rsidP="0022028B">
      <w:pPr>
        <w:pStyle w:val="ListParagraph"/>
        <w:numPr>
          <w:ilvl w:val="0"/>
          <w:numId w:val="22"/>
        </w:numPr>
        <w:spacing w:after="0" w:line="240" w:lineRule="auto"/>
        <w:rPr>
          <w:rFonts w:cstheme="minorHAnsi"/>
          <w:sz w:val="24"/>
          <w:szCs w:val="24"/>
        </w:rPr>
      </w:pPr>
      <w:proofErr w:type="gramStart"/>
      <w:r>
        <w:rPr>
          <w:rFonts w:cstheme="minorHAnsi"/>
          <w:sz w:val="24"/>
          <w:szCs w:val="24"/>
        </w:rPr>
        <w:lastRenderedPageBreak/>
        <w:t>Conducting</w:t>
      </w:r>
      <w:r w:rsidR="007D53F6" w:rsidRPr="00F957B4">
        <w:rPr>
          <w:rFonts w:cstheme="minorHAnsi"/>
          <w:sz w:val="24"/>
          <w:szCs w:val="24"/>
        </w:rPr>
        <w:t xml:space="preserve"> an assessment of</w:t>
      </w:r>
      <w:proofErr w:type="gramEnd"/>
      <w:r w:rsidR="007D53F6" w:rsidRPr="000E7E7A">
        <w:rPr>
          <w:rFonts w:cstheme="minorHAnsi"/>
          <w:sz w:val="24"/>
          <w:szCs w:val="24"/>
        </w:rPr>
        <w:t xml:space="preserve"> social determinants of health </w:t>
      </w:r>
      <w:r w:rsidR="00882D97">
        <w:rPr>
          <w:rFonts w:cstheme="minorHAnsi"/>
          <w:sz w:val="24"/>
          <w:szCs w:val="24"/>
        </w:rPr>
        <w:t>(</w:t>
      </w:r>
      <w:proofErr w:type="spellStart"/>
      <w:r w:rsidR="00882D97">
        <w:rPr>
          <w:rFonts w:cstheme="minorHAnsi"/>
          <w:sz w:val="24"/>
          <w:szCs w:val="24"/>
        </w:rPr>
        <w:t>SDoH</w:t>
      </w:r>
      <w:proofErr w:type="spellEnd"/>
      <w:r w:rsidR="00882D97">
        <w:rPr>
          <w:rFonts w:cstheme="minorHAnsi"/>
          <w:sz w:val="24"/>
          <w:szCs w:val="24"/>
        </w:rPr>
        <w:t xml:space="preserve">) </w:t>
      </w:r>
      <w:r w:rsidR="007D53F6" w:rsidRPr="000E7E7A">
        <w:rPr>
          <w:rFonts w:cstheme="minorHAnsi"/>
          <w:sz w:val="24"/>
          <w:szCs w:val="24"/>
        </w:rPr>
        <w:t xml:space="preserve">into the patients’ care planning </w:t>
      </w:r>
      <w:r w:rsidR="007D53F6" w:rsidRPr="00F957B4">
        <w:rPr>
          <w:rFonts w:cstheme="minorHAnsi"/>
          <w:sz w:val="24"/>
          <w:szCs w:val="24"/>
        </w:rPr>
        <w:t xml:space="preserve">and </w:t>
      </w:r>
      <w:r w:rsidR="007D53F6" w:rsidRPr="000E7E7A">
        <w:rPr>
          <w:rFonts w:cstheme="minorHAnsi"/>
          <w:sz w:val="24"/>
          <w:szCs w:val="24"/>
        </w:rPr>
        <w:t xml:space="preserve">connecting patients to community resources and services that they need upon discharge such as access to transportation, food, mental health services. </w:t>
      </w:r>
    </w:p>
    <w:p w14:paraId="7EC9F9E2" w14:textId="77777777" w:rsidR="007D53F6" w:rsidRPr="007D53F6" w:rsidRDefault="007D53F6" w:rsidP="0022028B">
      <w:pPr>
        <w:spacing w:line="240" w:lineRule="auto"/>
        <w:rPr>
          <w:b/>
          <w:bCs/>
          <w:sz w:val="24"/>
          <w:szCs w:val="24"/>
        </w:rPr>
      </w:pPr>
    </w:p>
    <w:p w14:paraId="5B8F822F" w14:textId="0083977D" w:rsidR="003E1CDA" w:rsidRPr="00425E59" w:rsidRDefault="003E1CDA" w:rsidP="00E570B0">
      <w:pPr>
        <w:spacing w:after="0" w:line="240" w:lineRule="auto"/>
        <w:rPr>
          <w:b/>
          <w:bCs/>
          <w:i/>
          <w:iCs/>
          <w:sz w:val="24"/>
          <w:szCs w:val="24"/>
        </w:rPr>
      </w:pPr>
      <w:r w:rsidRPr="00425E59">
        <w:rPr>
          <w:b/>
          <w:bCs/>
          <w:i/>
          <w:iCs/>
          <w:sz w:val="24"/>
          <w:szCs w:val="24"/>
        </w:rPr>
        <w:t>Analysis: Delivery System Transformation</w:t>
      </w:r>
    </w:p>
    <w:p w14:paraId="449A046C" w14:textId="5D425581" w:rsidR="00F56096" w:rsidRPr="00882D97" w:rsidRDefault="00757990" w:rsidP="00062574">
      <w:pPr>
        <w:spacing w:after="0" w:line="240" w:lineRule="auto"/>
        <w:rPr>
          <w:rFonts w:cstheme="minorHAnsi"/>
          <w:sz w:val="24"/>
          <w:szCs w:val="24"/>
        </w:rPr>
      </w:pPr>
      <w:r>
        <w:rPr>
          <w:sz w:val="24"/>
          <w:szCs w:val="24"/>
        </w:rPr>
        <w:t xml:space="preserve">Staff notes that </w:t>
      </w:r>
      <w:r w:rsidR="008658B1">
        <w:rPr>
          <w:sz w:val="24"/>
          <w:szCs w:val="24"/>
        </w:rPr>
        <w:t>the</w:t>
      </w:r>
      <w:r w:rsidR="00AC4A16">
        <w:rPr>
          <w:sz w:val="24"/>
          <w:szCs w:val="24"/>
        </w:rPr>
        <w:t xml:space="preserve"> Hosp</w:t>
      </w:r>
      <w:r w:rsidR="00414636">
        <w:rPr>
          <w:sz w:val="24"/>
          <w:szCs w:val="24"/>
        </w:rPr>
        <w:t>it</w:t>
      </w:r>
      <w:r w:rsidR="00AC4A16">
        <w:rPr>
          <w:sz w:val="24"/>
          <w:szCs w:val="24"/>
        </w:rPr>
        <w:t>al</w:t>
      </w:r>
      <w:r w:rsidR="008658B1">
        <w:rPr>
          <w:sz w:val="24"/>
          <w:szCs w:val="24"/>
        </w:rPr>
        <w:t xml:space="preserve"> </w:t>
      </w:r>
      <w:r w:rsidR="00605499">
        <w:rPr>
          <w:sz w:val="24"/>
          <w:szCs w:val="24"/>
        </w:rPr>
        <w:t>has a focus on</w:t>
      </w:r>
      <w:r w:rsidR="008658B1">
        <w:rPr>
          <w:sz w:val="24"/>
          <w:szCs w:val="24"/>
        </w:rPr>
        <w:t xml:space="preserve"> coordinat</w:t>
      </w:r>
      <w:r w:rsidR="00605499">
        <w:rPr>
          <w:sz w:val="24"/>
          <w:szCs w:val="24"/>
        </w:rPr>
        <w:t>ing</w:t>
      </w:r>
      <w:r w:rsidR="008658B1">
        <w:rPr>
          <w:sz w:val="24"/>
          <w:szCs w:val="24"/>
        </w:rPr>
        <w:t xml:space="preserve"> </w:t>
      </w:r>
      <w:r w:rsidR="00FB4AC2">
        <w:rPr>
          <w:sz w:val="24"/>
          <w:szCs w:val="24"/>
        </w:rPr>
        <w:t>a patient’s</w:t>
      </w:r>
      <w:r w:rsidR="00CE5094">
        <w:rPr>
          <w:sz w:val="24"/>
          <w:szCs w:val="24"/>
        </w:rPr>
        <w:t xml:space="preserve"> plan of care among the clinical care team,</w:t>
      </w:r>
      <w:r w:rsidR="00FB5DE4">
        <w:rPr>
          <w:sz w:val="24"/>
          <w:szCs w:val="24"/>
        </w:rPr>
        <w:t xml:space="preserve"> and family members. The Hospital </w:t>
      </w:r>
      <w:r w:rsidR="00CE5094">
        <w:rPr>
          <w:sz w:val="24"/>
          <w:szCs w:val="24"/>
        </w:rPr>
        <w:t>communicate</w:t>
      </w:r>
      <w:r w:rsidR="00FB5DE4">
        <w:rPr>
          <w:sz w:val="24"/>
          <w:szCs w:val="24"/>
        </w:rPr>
        <w:t>s</w:t>
      </w:r>
      <w:r w:rsidR="00CE5094">
        <w:rPr>
          <w:sz w:val="24"/>
          <w:szCs w:val="24"/>
        </w:rPr>
        <w:t xml:space="preserve"> with and train</w:t>
      </w:r>
      <w:r w:rsidR="00FB5DE4">
        <w:rPr>
          <w:sz w:val="24"/>
          <w:szCs w:val="24"/>
        </w:rPr>
        <w:t>s</w:t>
      </w:r>
      <w:r w:rsidR="00CE5094">
        <w:rPr>
          <w:sz w:val="24"/>
          <w:szCs w:val="24"/>
        </w:rPr>
        <w:t xml:space="preserve"> family </w:t>
      </w:r>
      <w:proofErr w:type="gramStart"/>
      <w:r w:rsidR="00CE5094">
        <w:rPr>
          <w:sz w:val="24"/>
          <w:szCs w:val="24"/>
        </w:rPr>
        <w:t>members</w:t>
      </w:r>
      <w:r w:rsidR="00FB5DE4">
        <w:rPr>
          <w:sz w:val="24"/>
          <w:szCs w:val="24"/>
        </w:rPr>
        <w:t>,</w:t>
      </w:r>
      <w:r w:rsidR="00CE5094">
        <w:rPr>
          <w:sz w:val="24"/>
          <w:szCs w:val="24"/>
        </w:rPr>
        <w:t xml:space="preserve"> </w:t>
      </w:r>
      <w:r w:rsidR="00FB5DE4">
        <w:rPr>
          <w:sz w:val="24"/>
          <w:szCs w:val="24"/>
        </w:rPr>
        <w:t>and</w:t>
      </w:r>
      <w:proofErr w:type="gramEnd"/>
      <w:r w:rsidR="00FB5DE4">
        <w:rPr>
          <w:sz w:val="24"/>
          <w:szCs w:val="24"/>
        </w:rPr>
        <w:t xml:space="preserve"> </w:t>
      </w:r>
      <w:r w:rsidR="00CE5094">
        <w:rPr>
          <w:sz w:val="24"/>
          <w:szCs w:val="24"/>
        </w:rPr>
        <w:t>connect</w:t>
      </w:r>
      <w:r w:rsidR="00FB5DE4">
        <w:rPr>
          <w:sz w:val="24"/>
          <w:szCs w:val="24"/>
        </w:rPr>
        <w:t>s</w:t>
      </w:r>
      <w:r w:rsidR="0056497E">
        <w:rPr>
          <w:sz w:val="24"/>
          <w:szCs w:val="24"/>
        </w:rPr>
        <w:t xml:space="preserve"> the patient</w:t>
      </w:r>
      <w:r w:rsidR="00CE5094">
        <w:rPr>
          <w:sz w:val="24"/>
          <w:szCs w:val="24"/>
        </w:rPr>
        <w:t xml:space="preserve"> with community </w:t>
      </w:r>
      <w:proofErr w:type="gramStart"/>
      <w:r w:rsidR="00CE5094">
        <w:rPr>
          <w:sz w:val="24"/>
          <w:szCs w:val="24"/>
        </w:rPr>
        <w:t>supports</w:t>
      </w:r>
      <w:proofErr w:type="gramEnd"/>
      <w:r w:rsidR="0056497E">
        <w:rPr>
          <w:sz w:val="24"/>
          <w:szCs w:val="24"/>
        </w:rPr>
        <w:t>. These efforts</w:t>
      </w:r>
      <w:r>
        <w:rPr>
          <w:sz w:val="24"/>
          <w:szCs w:val="24"/>
        </w:rPr>
        <w:t xml:space="preserve"> </w:t>
      </w:r>
      <w:r w:rsidR="0056497E">
        <w:rPr>
          <w:sz w:val="24"/>
          <w:szCs w:val="24"/>
        </w:rPr>
        <w:t>show a</w:t>
      </w:r>
      <w:r>
        <w:rPr>
          <w:sz w:val="24"/>
          <w:szCs w:val="24"/>
        </w:rPr>
        <w:t xml:space="preserve"> commitment to </w:t>
      </w:r>
      <w:r w:rsidR="00244788">
        <w:rPr>
          <w:sz w:val="24"/>
          <w:szCs w:val="24"/>
        </w:rPr>
        <w:t xml:space="preserve">improving the delivery </w:t>
      </w:r>
      <w:r w:rsidR="00B15FD9">
        <w:rPr>
          <w:sz w:val="24"/>
          <w:szCs w:val="24"/>
        </w:rPr>
        <w:t xml:space="preserve">system for patients needing intensive rehabilitative care and by expanding its </w:t>
      </w:r>
      <w:r w:rsidR="009520B0">
        <w:rPr>
          <w:sz w:val="24"/>
          <w:szCs w:val="24"/>
        </w:rPr>
        <w:t>beds through the Proposed Project</w:t>
      </w:r>
      <w:r w:rsidR="00EF01F7">
        <w:rPr>
          <w:sz w:val="24"/>
          <w:szCs w:val="24"/>
        </w:rPr>
        <w:t>,</w:t>
      </w:r>
      <w:r w:rsidR="009520B0">
        <w:rPr>
          <w:sz w:val="24"/>
          <w:szCs w:val="24"/>
        </w:rPr>
        <w:t xml:space="preserve"> more patients can be reached. </w:t>
      </w:r>
      <w:r w:rsidR="00C12878" w:rsidRPr="00C12878">
        <w:rPr>
          <w:sz w:val="24"/>
          <w:szCs w:val="24"/>
        </w:rPr>
        <w:t>Central to the goal of Delivery System Transformation is the integration of social services and community</w:t>
      </w:r>
      <w:r w:rsidR="00C12878">
        <w:rPr>
          <w:sz w:val="24"/>
          <w:szCs w:val="24"/>
        </w:rPr>
        <w:t>-</w:t>
      </w:r>
      <w:r w:rsidR="00C12878" w:rsidRPr="00C12878">
        <w:rPr>
          <w:sz w:val="24"/>
          <w:szCs w:val="24"/>
        </w:rPr>
        <w:t xml:space="preserve">based expertise. </w:t>
      </w:r>
      <w:proofErr w:type="spellStart"/>
      <w:r w:rsidR="0039705E">
        <w:rPr>
          <w:sz w:val="24"/>
          <w:szCs w:val="24"/>
        </w:rPr>
        <w:t>SDoH</w:t>
      </w:r>
      <w:proofErr w:type="spellEnd"/>
      <w:r w:rsidR="0039705E">
        <w:rPr>
          <w:sz w:val="24"/>
          <w:szCs w:val="24"/>
        </w:rPr>
        <w:t xml:space="preserve"> screening </w:t>
      </w:r>
      <w:r w:rsidR="00CC46A2">
        <w:rPr>
          <w:sz w:val="24"/>
          <w:szCs w:val="24"/>
        </w:rPr>
        <w:t>is integrated in</w:t>
      </w:r>
      <w:r w:rsidR="001002AD">
        <w:rPr>
          <w:sz w:val="24"/>
          <w:szCs w:val="24"/>
        </w:rPr>
        <w:t xml:space="preserve">to </w:t>
      </w:r>
      <w:r w:rsidR="00D63342">
        <w:rPr>
          <w:sz w:val="24"/>
          <w:szCs w:val="24"/>
        </w:rPr>
        <w:t xml:space="preserve">the Applicant’s </w:t>
      </w:r>
      <w:r w:rsidR="0039705E">
        <w:rPr>
          <w:sz w:val="24"/>
          <w:szCs w:val="24"/>
        </w:rPr>
        <w:t>care processes</w:t>
      </w:r>
      <w:r w:rsidR="00B35B33">
        <w:rPr>
          <w:sz w:val="24"/>
          <w:szCs w:val="24"/>
        </w:rPr>
        <w:t xml:space="preserve"> so that </w:t>
      </w:r>
      <w:r w:rsidR="000139A7">
        <w:rPr>
          <w:sz w:val="24"/>
          <w:szCs w:val="24"/>
        </w:rPr>
        <w:t>linkages</w:t>
      </w:r>
      <w:r w:rsidR="00B35B33">
        <w:rPr>
          <w:sz w:val="24"/>
          <w:szCs w:val="24"/>
        </w:rPr>
        <w:t xml:space="preserve"> can be made to community resources </w:t>
      </w:r>
      <w:r w:rsidR="000139A7">
        <w:rPr>
          <w:sz w:val="24"/>
          <w:szCs w:val="24"/>
        </w:rPr>
        <w:t xml:space="preserve">upon discharge </w:t>
      </w:r>
      <w:r w:rsidR="00ED73D4">
        <w:rPr>
          <w:sz w:val="24"/>
          <w:szCs w:val="24"/>
        </w:rPr>
        <w:t>to</w:t>
      </w:r>
      <w:r w:rsidR="0039705E">
        <w:rPr>
          <w:sz w:val="24"/>
          <w:szCs w:val="24"/>
        </w:rPr>
        <w:t xml:space="preserve"> address health risks and improve health outcomes</w:t>
      </w:r>
      <w:r w:rsidR="00C12878" w:rsidRPr="00C12878">
        <w:rPr>
          <w:sz w:val="24"/>
          <w:szCs w:val="24"/>
        </w:rPr>
        <w:t>.</w:t>
      </w:r>
      <w:r w:rsidR="00CC46A2">
        <w:rPr>
          <w:sz w:val="24"/>
          <w:szCs w:val="24"/>
        </w:rPr>
        <w:t xml:space="preserve"> </w:t>
      </w:r>
      <w:r w:rsidR="00EF01F7" w:rsidRPr="00DE7810">
        <w:rPr>
          <w:rFonts w:cstheme="minorHAnsi"/>
          <w:sz w:val="24"/>
          <w:szCs w:val="24"/>
        </w:rPr>
        <w:t xml:space="preserve">Therefore, </w:t>
      </w:r>
      <w:proofErr w:type="spellStart"/>
      <w:r w:rsidR="00EF01F7" w:rsidRPr="00DE7810">
        <w:rPr>
          <w:rFonts w:cstheme="minorHAnsi"/>
          <w:sz w:val="24"/>
          <w:szCs w:val="24"/>
        </w:rPr>
        <w:t>DoN</w:t>
      </w:r>
      <w:proofErr w:type="spellEnd"/>
      <w:r w:rsidR="00EF01F7" w:rsidRPr="00DE7810">
        <w:rPr>
          <w:rFonts w:cstheme="minorHAnsi"/>
          <w:sz w:val="24"/>
          <w:szCs w:val="24"/>
        </w:rPr>
        <w:t xml:space="preserve"> Staff can conclude that the Proposed Project will likely meet the </w:t>
      </w:r>
      <w:r w:rsidR="00EF01F7">
        <w:rPr>
          <w:rFonts w:cstheme="minorHAnsi"/>
          <w:sz w:val="24"/>
          <w:szCs w:val="24"/>
        </w:rPr>
        <w:t>Delivery System Transformation</w:t>
      </w:r>
      <w:r w:rsidR="00EF01F7" w:rsidRPr="00DE7810">
        <w:rPr>
          <w:rFonts w:cstheme="minorHAnsi"/>
          <w:sz w:val="24"/>
          <w:szCs w:val="24"/>
        </w:rPr>
        <w:t xml:space="preserve"> component of Factor 2.</w:t>
      </w:r>
    </w:p>
    <w:p w14:paraId="0B5DA248" w14:textId="7BDC8FE1" w:rsidR="00F962C6" w:rsidRDefault="00F962C6" w:rsidP="003E1CDA">
      <w:pPr>
        <w:spacing w:after="0"/>
        <w:rPr>
          <w:b/>
          <w:bCs/>
          <w:sz w:val="28"/>
          <w:szCs w:val="28"/>
        </w:rPr>
      </w:pPr>
    </w:p>
    <w:p w14:paraId="38E2DB45" w14:textId="77777777" w:rsidR="00BB377E" w:rsidRPr="00882D97" w:rsidRDefault="00BB377E" w:rsidP="00BB377E">
      <w:pPr>
        <w:pStyle w:val="Heading1"/>
        <w:spacing w:before="0" w:line="240" w:lineRule="auto"/>
        <w:ind w:left="180"/>
        <w:rPr>
          <w:rFonts w:cstheme="minorHAnsi"/>
          <w:b w:val="0"/>
          <w:bCs/>
          <w:sz w:val="24"/>
          <w:szCs w:val="24"/>
        </w:rPr>
      </w:pPr>
      <w:bookmarkStart w:id="17" w:name="_Toc99993060"/>
      <w:bookmarkStart w:id="18" w:name="_Toc144207776"/>
      <w:bookmarkStart w:id="19" w:name="_Toc151538506"/>
      <w:r w:rsidRPr="00882D97">
        <w:rPr>
          <w:rFonts w:cstheme="minorHAnsi"/>
          <w:b w:val="0"/>
          <w:bCs/>
          <w:sz w:val="24"/>
          <w:szCs w:val="24"/>
        </w:rPr>
        <w:t>Summary, FACTOR 2</w:t>
      </w:r>
      <w:bookmarkEnd w:id="17"/>
      <w:bookmarkEnd w:id="18"/>
      <w:bookmarkEnd w:id="19"/>
      <w:r w:rsidRPr="00882D97">
        <w:rPr>
          <w:rFonts w:cstheme="minorHAnsi"/>
          <w:b w:val="0"/>
          <w:bCs/>
          <w:sz w:val="24"/>
          <w:szCs w:val="24"/>
        </w:rPr>
        <w:t xml:space="preserve"> </w:t>
      </w:r>
    </w:p>
    <w:p w14:paraId="7202A886" w14:textId="383E3908" w:rsidR="00BB377E" w:rsidRDefault="00BB377E" w:rsidP="00BB377E">
      <w:pPr>
        <w:tabs>
          <w:tab w:val="left" w:pos="3240"/>
        </w:tabs>
        <w:ind w:left="180"/>
        <w:rPr>
          <w:rFonts w:cstheme="minorHAnsi"/>
        </w:rPr>
      </w:pPr>
      <w:r w:rsidRPr="00BB377E">
        <w:rPr>
          <w:rFonts w:cstheme="minorHAnsi"/>
          <w:sz w:val="24"/>
          <w:szCs w:val="24"/>
        </w:rPr>
        <w:t xml:space="preserve">As a result of </w:t>
      </w:r>
      <w:proofErr w:type="gramStart"/>
      <w:r w:rsidRPr="00BB377E">
        <w:rPr>
          <w:rFonts w:cstheme="minorHAnsi"/>
          <w:sz w:val="24"/>
          <w:szCs w:val="24"/>
        </w:rPr>
        <w:t>information</w:t>
      </w:r>
      <w:proofErr w:type="gramEnd"/>
      <w:r w:rsidRPr="00BB377E">
        <w:rPr>
          <w:rFonts w:cstheme="minorHAnsi"/>
          <w:sz w:val="24"/>
          <w:szCs w:val="24"/>
        </w:rPr>
        <w:t xml:space="preserve"> provided, staff finds that the Proposed Project has sufficiently met the requirements of Factor 2</w:t>
      </w:r>
      <w:r>
        <w:rPr>
          <w:rFonts w:cstheme="minorHAnsi"/>
        </w:rPr>
        <w:t>.</w:t>
      </w:r>
    </w:p>
    <w:p w14:paraId="461EA7E5" w14:textId="77777777" w:rsidR="00BB377E" w:rsidRDefault="00BB377E" w:rsidP="00BB377E">
      <w:pPr>
        <w:tabs>
          <w:tab w:val="left" w:pos="3240"/>
        </w:tabs>
        <w:ind w:left="180"/>
        <w:rPr>
          <w:rFonts w:cstheme="minorHAnsi"/>
        </w:rPr>
      </w:pPr>
    </w:p>
    <w:p w14:paraId="37B182AD" w14:textId="73B9E1E1" w:rsidR="003E1CDA" w:rsidRPr="003E1CDA" w:rsidRDefault="003E1CDA" w:rsidP="00BB377E">
      <w:pPr>
        <w:pStyle w:val="Heading1"/>
        <w:spacing w:before="0"/>
      </w:pPr>
      <w:bookmarkStart w:id="20" w:name="_Toc151538507"/>
      <w:r w:rsidRPr="003E1CDA">
        <w:t>Factor 3: Relevant Licensure/Oversight Compliance</w:t>
      </w:r>
      <w:bookmarkEnd w:id="20"/>
    </w:p>
    <w:p w14:paraId="04E73BEA" w14:textId="7A7CAD73" w:rsidR="00FB4DD9" w:rsidRDefault="00FB4DD9" w:rsidP="00FB4DD9">
      <w:pPr>
        <w:contextualSpacing/>
        <w:rPr>
          <w:rFonts w:cstheme="minorHAnsi"/>
          <w:sz w:val="24"/>
          <w:szCs w:val="24"/>
        </w:rPr>
      </w:pPr>
      <w:r w:rsidRPr="00FB4DD9">
        <w:rPr>
          <w:rFonts w:cstheme="minorHAnsi"/>
          <w:sz w:val="24"/>
          <w:szCs w:val="24"/>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1C16FDE7" w14:textId="77777777" w:rsidR="0056497E" w:rsidRPr="00FB4DD9" w:rsidRDefault="0056497E" w:rsidP="00FB4DD9">
      <w:pPr>
        <w:contextualSpacing/>
        <w:rPr>
          <w:rFonts w:cstheme="minorHAnsi"/>
          <w:sz w:val="24"/>
          <w:szCs w:val="24"/>
        </w:rPr>
      </w:pPr>
    </w:p>
    <w:p w14:paraId="5C31A63B" w14:textId="78FEF267" w:rsidR="00494346" w:rsidRDefault="003E1CDA" w:rsidP="00494346">
      <w:pPr>
        <w:pStyle w:val="Heading1"/>
      </w:pPr>
      <w:bookmarkStart w:id="21" w:name="_Toc151538508"/>
      <w:r w:rsidRPr="003E1CDA">
        <w:t xml:space="preserve">Factor 4: </w:t>
      </w:r>
      <w:r w:rsidR="002B05B4">
        <w:t>Financial Feasibility</w:t>
      </w:r>
      <w:bookmarkEnd w:id="21"/>
    </w:p>
    <w:p w14:paraId="4DE74A3C" w14:textId="0DD416CA" w:rsidR="004E6193" w:rsidRDefault="00A20EEE" w:rsidP="0056497E">
      <w:pPr>
        <w:spacing w:after="0"/>
        <w:rPr>
          <w:rFonts w:cstheme="minorHAnsi"/>
          <w:sz w:val="24"/>
          <w:szCs w:val="24"/>
        </w:rPr>
      </w:pPr>
      <w:r w:rsidRPr="00A20EEE">
        <w:rPr>
          <w:rFonts w:cstheme="minorHAnsi"/>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proofErr w:type="gramStart"/>
      <w:r w:rsidRPr="00A20EEE">
        <w:rPr>
          <w:rFonts w:cstheme="minorHAnsi"/>
          <w:sz w:val="24"/>
          <w:szCs w:val="24"/>
        </w:rPr>
        <w:t>finding</w:t>
      </w:r>
      <w:proofErr w:type="gramEnd"/>
      <w:r w:rsidRPr="00A20EEE">
        <w:rPr>
          <w:rFonts w:cstheme="minorHAnsi"/>
          <w:sz w:val="24"/>
          <w:szCs w:val="24"/>
        </w:rPr>
        <w:t xml:space="preserve"> must be supported by an analysis by an independent CPA.</w:t>
      </w:r>
    </w:p>
    <w:p w14:paraId="1C7AE9AC" w14:textId="77777777" w:rsidR="0056497E" w:rsidRPr="00A20EEE" w:rsidRDefault="0056497E" w:rsidP="0056497E">
      <w:pPr>
        <w:spacing w:after="0"/>
        <w:rPr>
          <w:rFonts w:cstheme="minorHAnsi"/>
          <w:sz w:val="24"/>
          <w:szCs w:val="24"/>
        </w:rPr>
      </w:pPr>
    </w:p>
    <w:p w14:paraId="174CD454" w14:textId="34F64B5D" w:rsidR="00705B6C" w:rsidRDefault="008E4932" w:rsidP="0056497E">
      <w:pPr>
        <w:autoSpaceDE w:val="0"/>
        <w:autoSpaceDN w:val="0"/>
        <w:adjustRightInd w:val="0"/>
        <w:spacing w:after="0"/>
        <w:rPr>
          <w:sz w:val="24"/>
          <w:szCs w:val="24"/>
        </w:rPr>
      </w:pPr>
      <w:r w:rsidRPr="005E327C">
        <w:rPr>
          <w:sz w:val="24"/>
          <w:szCs w:val="24"/>
        </w:rPr>
        <w:t xml:space="preserve">The Applicant </w:t>
      </w:r>
      <w:r w:rsidRPr="006F0202">
        <w:rPr>
          <w:sz w:val="24"/>
          <w:szCs w:val="24"/>
        </w:rPr>
        <w:t xml:space="preserve">submitted a CPA report compiled by </w:t>
      </w:r>
      <w:r w:rsidR="00793698" w:rsidRPr="006F0202">
        <w:rPr>
          <w:sz w:val="24"/>
          <w:szCs w:val="24"/>
        </w:rPr>
        <w:t>Bernard L. Donohue,</w:t>
      </w:r>
      <w:r w:rsidR="005E327C" w:rsidRPr="006F0202">
        <w:rPr>
          <w:sz w:val="24"/>
          <w:szCs w:val="24"/>
        </w:rPr>
        <w:t xml:space="preserve"> III,</w:t>
      </w:r>
      <w:r w:rsidR="00793698" w:rsidRPr="006F0202">
        <w:rPr>
          <w:sz w:val="24"/>
          <w:szCs w:val="24"/>
        </w:rPr>
        <w:t xml:space="preserve"> CPA</w:t>
      </w:r>
      <w:r w:rsidRPr="006F0202">
        <w:rPr>
          <w:sz w:val="24"/>
          <w:szCs w:val="24"/>
        </w:rPr>
        <w:t>. The scope of the analysis included review of the five-year financial projections</w:t>
      </w:r>
      <w:r w:rsidR="006F0202" w:rsidRPr="006F0202">
        <w:rPr>
          <w:sz w:val="24"/>
          <w:szCs w:val="24"/>
        </w:rPr>
        <w:t xml:space="preserve">, </w:t>
      </w:r>
      <w:r w:rsidR="00E2038E">
        <w:rPr>
          <w:rFonts w:eastAsia="Trebuchet MS"/>
          <w:color w:val="000000"/>
          <w:sz w:val="24"/>
          <w:szCs w:val="24"/>
        </w:rPr>
        <w:t>b</w:t>
      </w:r>
      <w:r w:rsidR="006F0202" w:rsidRPr="006F0202">
        <w:rPr>
          <w:rFonts w:eastAsia="Trebuchet MS"/>
          <w:color w:val="000000"/>
          <w:sz w:val="24"/>
          <w:szCs w:val="24"/>
        </w:rPr>
        <w:t>alance sheet</w:t>
      </w:r>
      <w:r w:rsidR="00546FD9">
        <w:rPr>
          <w:rFonts w:eastAsia="Trebuchet MS"/>
          <w:color w:val="000000"/>
          <w:sz w:val="24"/>
          <w:szCs w:val="24"/>
        </w:rPr>
        <w:t xml:space="preserve">, </w:t>
      </w:r>
      <w:r w:rsidR="006F0202" w:rsidRPr="006F0202">
        <w:rPr>
          <w:rFonts w:eastAsia="Trebuchet MS"/>
          <w:color w:val="000000"/>
          <w:sz w:val="24"/>
          <w:szCs w:val="24"/>
        </w:rPr>
        <w:t>statement of cash flow analysis,</w:t>
      </w:r>
      <w:r w:rsidRPr="006F0202">
        <w:rPr>
          <w:sz w:val="24"/>
          <w:szCs w:val="24"/>
        </w:rPr>
        <w:t xml:space="preserve"> and income statements </w:t>
      </w:r>
      <w:r w:rsidR="00F035A1" w:rsidRPr="006F0202">
        <w:rPr>
          <w:sz w:val="24"/>
          <w:szCs w:val="24"/>
        </w:rPr>
        <w:t xml:space="preserve">for Encompass Western Mass, </w:t>
      </w:r>
      <w:r w:rsidR="00546FD9">
        <w:rPr>
          <w:rFonts w:eastAsia="Trebuchet MS"/>
          <w:color w:val="000000"/>
          <w:sz w:val="24"/>
          <w:szCs w:val="24"/>
        </w:rPr>
        <w:t>a</w:t>
      </w:r>
      <w:r w:rsidR="00DF1B77" w:rsidRPr="006F0202">
        <w:rPr>
          <w:rFonts w:eastAsia="Trebuchet MS"/>
          <w:color w:val="000000"/>
          <w:sz w:val="24"/>
          <w:szCs w:val="24"/>
        </w:rPr>
        <w:t xml:space="preserve">udited </w:t>
      </w:r>
      <w:r w:rsidR="00546FD9">
        <w:rPr>
          <w:rFonts w:eastAsia="Trebuchet MS"/>
          <w:color w:val="000000"/>
          <w:sz w:val="24"/>
          <w:szCs w:val="24"/>
        </w:rPr>
        <w:t>F</w:t>
      </w:r>
      <w:r w:rsidR="00DF1B77" w:rsidRPr="006F0202">
        <w:rPr>
          <w:rFonts w:eastAsia="Trebuchet MS"/>
          <w:color w:val="000000"/>
          <w:sz w:val="24"/>
          <w:szCs w:val="24"/>
        </w:rPr>
        <w:t>inancial Statements of Encompass Health Corporation (2021 and 2022),</w:t>
      </w:r>
      <w:r w:rsidRPr="006F0202">
        <w:rPr>
          <w:sz w:val="24"/>
          <w:szCs w:val="24"/>
        </w:rPr>
        <w:t xml:space="preserve"> </w:t>
      </w:r>
      <w:r w:rsidR="00A96AC6" w:rsidRPr="006F0202">
        <w:rPr>
          <w:rFonts w:eastAsia="Trebuchet MS"/>
          <w:color w:val="000000"/>
          <w:sz w:val="24"/>
          <w:szCs w:val="24"/>
        </w:rPr>
        <w:t>the Encompass</w:t>
      </w:r>
      <w:r w:rsidR="00A96AC6" w:rsidRPr="009D2AD6">
        <w:rPr>
          <w:rFonts w:eastAsia="Trebuchet MS"/>
          <w:color w:val="000000"/>
          <w:sz w:val="24"/>
          <w:szCs w:val="24"/>
        </w:rPr>
        <w:t xml:space="preserve"> website, annual </w:t>
      </w:r>
      <w:r w:rsidR="00A96AC6" w:rsidRPr="009D2AD6">
        <w:rPr>
          <w:rFonts w:eastAsia="Trebuchet MS"/>
          <w:color w:val="000000"/>
          <w:sz w:val="24"/>
          <w:szCs w:val="24"/>
        </w:rPr>
        <w:lastRenderedPageBreak/>
        <w:t xml:space="preserve">reports, and the </w:t>
      </w:r>
      <w:proofErr w:type="spellStart"/>
      <w:r w:rsidR="00A96AC6" w:rsidRPr="009D2AD6">
        <w:rPr>
          <w:rFonts w:eastAsia="Trebuchet MS"/>
          <w:color w:val="000000"/>
          <w:sz w:val="24"/>
          <w:szCs w:val="24"/>
        </w:rPr>
        <w:t>DoN</w:t>
      </w:r>
      <w:proofErr w:type="spellEnd"/>
      <w:r w:rsidR="00A96AC6" w:rsidRPr="009D2AD6">
        <w:rPr>
          <w:rFonts w:eastAsia="Trebuchet MS"/>
          <w:color w:val="000000"/>
          <w:sz w:val="24"/>
          <w:szCs w:val="24"/>
        </w:rPr>
        <w:t xml:space="preserve"> application</w:t>
      </w:r>
      <w:r w:rsidRPr="009D2AD6">
        <w:rPr>
          <w:sz w:val="24"/>
          <w:szCs w:val="24"/>
        </w:rPr>
        <w:t>. The CPA assessed the reasonableness</w:t>
      </w:r>
      <w:r w:rsidRPr="009D2AD6">
        <w:rPr>
          <w:rStyle w:val="FootnoteReference"/>
          <w:sz w:val="24"/>
          <w:szCs w:val="24"/>
        </w:rPr>
        <w:footnoteReference w:id="24"/>
      </w:r>
      <w:r w:rsidRPr="009D2AD6">
        <w:rPr>
          <w:sz w:val="24"/>
          <w:szCs w:val="24"/>
        </w:rPr>
        <w:t xml:space="preserve"> of assumptions used in the preparation and feasibility</w:t>
      </w:r>
      <w:r w:rsidRPr="009D2AD6">
        <w:rPr>
          <w:rStyle w:val="FootnoteReference"/>
          <w:sz w:val="24"/>
          <w:szCs w:val="24"/>
        </w:rPr>
        <w:footnoteReference w:id="25"/>
      </w:r>
      <w:r w:rsidRPr="009D2AD6">
        <w:rPr>
          <w:sz w:val="24"/>
          <w:szCs w:val="24"/>
        </w:rPr>
        <w:t xml:space="preserve"> of the projections with regards to the Proposed Project. </w:t>
      </w:r>
    </w:p>
    <w:p w14:paraId="67B60F37" w14:textId="77777777" w:rsidR="0056497E" w:rsidRPr="00705B6C" w:rsidRDefault="0056497E" w:rsidP="0056497E">
      <w:pPr>
        <w:autoSpaceDE w:val="0"/>
        <w:autoSpaceDN w:val="0"/>
        <w:adjustRightInd w:val="0"/>
        <w:spacing w:after="0"/>
        <w:rPr>
          <w:rFonts w:cstheme="minorHAnsi"/>
          <w:sz w:val="24"/>
          <w:szCs w:val="24"/>
          <w:highlight w:val="yellow"/>
        </w:rPr>
      </w:pPr>
    </w:p>
    <w:p w14:paraId="30DC0D0E" w14:textId="77777777" w:rsidR="008E4932" w:rsidRPr="00042559" w:rsidRDefault="008E4932" w:rsidP="00D7401D">
      <w:pPr>
        <w:spacing w:after="0"/>
        <w:rPr>
          <w:rFonts w:cstheme="minorHAnsi"/>
          <w:b/>
          <w:sz w:val="24"/>
          <w:szCs w:val="24"/>
        </w:rPr>
      </w:pPr>
      <w:r w:rsidRPr="00042559">
        <w:rPr>
          <w:rFonts w:cstheme="minorHAnsi"/>
          <w:b/>
          <w:sz w:val="24"/>
          <w:szCs w:val="24"/>
        </w:rPr>
        <w:t>Revenues</w:t>
      </w:r>
    </w:p>
    <w:p w14:paraId="299F3AAA" w14:textId="102FEB02" w:rsidR="008E4932" w:rsidRDefault="00042559" w:rsidP="00D7401D">
      <w:pPr>
        <w:spacing w:after="0"/>
        <w:textAlignment w:val="baseline"/>
        <w:rPr>
          <w:sz w:val="24"/>
          <w:szCs w:val="24"/>
        </w:rPr>
      </w:pPr>
      <w:r w:rsidRPr="00D47EB3">
        <w:rPr>
          <w:rFonts w:eastAsia="Trebuchet MS"/>
          <w:color w:val="000000"/>
          <w:sz w:val="24"/>
          <w:szCs w:val="24"/>
        </w:rPr>
        <w:t xml:space="preserve">The only revenue category on which the </w:t>
      </w:r>
      <w:r w:rsidR="00103567">
        <w:rPr>
          <w:rFonts w:eastAsia="Trebuchet MS"/>
          <w:color w:val="000000"/>
          <w:sz w:val="24"/>
          <w:szCs w:val="24"/>
        </w:rPr>
        <w:t>P</w:t>
      </w:r>
      <w:r w:rsidRPr="00D47EB3">
        <w:rPr>
          <w:rFonts w:eastAsia="Trebuchet MS"/>
          <w:color w:val="000000"/>
          <w:sz w:val="24"/>
          <w:szCs w:val="24"/>
        </w:rPr>
        <w:t xml:space="preserve">roposed </w:t>
      </w:r>
      <w:r w:rsidR="00103567">
        <w:rPr>
          <w:rFonts w:eastAsia="Trebuchet MS"/>
          <w:color w:val="000000"/>
          <w:sz w:val="24"/>
          <w:szCs w:val="24"/>
        </w:rPr>
        <w:t>P</w:t>
      </w:r>
      <w:r w:rsidRPr="00D47EB3">
        <w:rPr>
          <w:rFonts w:eastAsia="Trebuchet MS"/>
          <w:color w:val="000000"/>
          <w:sz w:val="24"/>
          <w:szCs w:val="24"/>
        </w:rPr>
        <w:t xml:space="preserve">roject would have an impact is Net Patient </w:t>
      </w:r>
      <w:r w:rsidRPr="00D7401D">
        <w:rPr>
          <w:rFonts w:eastAsia="Trebuchet MS"/>
          <w:color w:val="000000"/>
          <w:sz w:val="24"/>
          <w:szCs w:val="24"/>
        </w:rPr>
        <w:t>Service Revenue (</w:t>
      </w:r>
      <w:r w:rsidR="008F0717">
        <w:rPr>
          <w:rFonts w:eastAsia="Trebuchet MS"/>
          <w:color w:val="000000"/>
          <w:sz w:val="24"/>
          <w:szCs w:val="24"/>
        </w:rPr>
        <w:t>“</w:t>
      </w:r>
      <w:r w:rsidRPr="00D7401D">
        <w:rPr>
          <w:rFonts w:eastAsia="Trebuchet MS"/>
          <w:color w:val="000000"/>
          <w:sz w:val="24"/>
          <w:szCs w:val="24"/>
        </w:rPr>
        <w:t>NPSR</w:t>
      </w:r>
      <w:r w:rsidR="008F0717">
        <w:rPr>
          <w:rFonts w:eastAsia="Trebuchet MS"/>
          <w:color w:val="000000"/>
          <w:sz w:val="24"/>
          <w:szCs w:val="24"/>
        </w:rPr>
        <w:t>”</w:t>
      </w:r>
      <w:r w:rsidRPr="00D7401D">
        <w:rPr>
          <w:rFonts w:eastAsia="Trebuchet MS"/>
          <w:color w:val="000000"/>
          <w:sz w:val="24"/>
          <w:szCs w:val="24"/>
        </w:rPr>
        <w:t>).</w:t>
      </w:r>
      <w:r w:rsidR="00077C00" w:rsidRPr="00D7401D">
        <w:rPr>
          <w:rFonts w:eastAsia="Trebuchet MS"/>
          <w:color w:val="000000"/>
          <w:sz w:val="24"/>
          <w:szCs w:val="24"/>
        </w:rPr>
        <w:t xml:space="preserve"> </w:t>
      </w:r>
      <w:r w:rsidR="00D47EB3" w:rsidRPr="00D7401D">
        <w:rPr>
          <w:rFonts w:eastAsia="Trebuchet MS"/>
          <w:color w:val="000000"/>
          <w:sz w:val="24"/>
          <w:szCs w:val="24"/>
        </w:rPr>
        <w:t xml:space="preserve">The addition of 17 beds </w:t>
      </w:r>
      <w:r w:rsidR="00F013CC" w:rsidRPr="00D7401D">
        <w:rPr>
          <w:rFonts w:eastAsia="Trebuchet MS"/>
          <w:color w:val="000000"/>
          <w:sz w:val="24"/>
          <w:szCs w:val="24"/>
        </w:rPr>
        <w:t xml:space="preserve">would increase both patient days and cases. </w:t>
      </w:r>
      <w:proofErr w:type="gramStart"/>
      <w:r w:rsidR="00D7401D" w:rsidRPr="00D7401D">
        <w:rPr>
          <w:rFonts w:eastAsia="Trebuchet MS"/>
          <w:color w:val="000000"/>
          <w:sz w:val="24"/>
          <w:szCs w:val="24"/>
        </w:rPr>
        <w:t>Using historical patient case information, there</w:t>
      </w:r>
      <w:proofErr w:type="gramEnd"/>
      <w:r w:rsidR="00D7401D" w:rsidRPr="00D7401D">
        <w:rPr>
          <w:rFonts w:eastAsia="Trebuchet MS"/>
          <w:color w:val="000000"/>
          <w:sz w:val="24"/>
          <w:szCs w:val="24"/>
        </w:rPr>
        <w:t xml:space="preserve"> was a calculation of</w:t>
      </w:r>
      <w:r w:rsidR="00077C00" w:rsidRPr="00D7401D">
        <w:rPr>
          <w:rFonts w:eastAsia="Trebuchet MS"/>
          <w:color w:val="000000"/>
          <w:sz w:val="24"/>
          <w:szCs w:val="24"/>
        </w:rPr>
        <w:t xml:space="preserve"> a one-time increase of 5.8% for 2025</w:t>
      </w:r>
      <w:r w:rsidR="00D7401D" w:rsidRPr="00D7401D">
        <w:rPr>
          <w:rFonts w:eastAsia="Trebuchet MS"/>
          <w:color w:val="000000"/>
          <w:sz w:val="24"/>
          <w:szCs w:val="24"/>
        </w:rPr>
        <w:t xml:space="preserve"> (</w:t>
      </w:r>
      <w:r w:rsidR="00077C00" w:rsidRPr="00D7401D">
        <w:rPr>
          <w:rFonts w:eastAsia="Trebuchet MS"/>
          <w:color w:val="000000"/>
          <w:sz w:val="24"/>
          <w:szCs w:val="24"/>
        </w:rPr>
        <w:t xml:space="preserve">the year the 17 additional beds come </w:t>
      </w:r>
      <w:r w:rsidR="007831DD" w:rsidRPr="00D7401D">
        <w:rPr>
          <w:rFonts w:eastAsia="Trebuchet MS"/>
          <w:color w:val="000000"/>
          <w:sz w:val="24"/>
          <w:szCs w:val="24"/>
        </w:rPr>
        <w:t>online</w:t>
      </w:r>
      <w:r w:rsidR="00D7401D" w:rsidRPr="00D7401D">
        <w:rPr>
          <w:rFonts w:eastAsia="Trebuchet MS"/>
          <w:color w:val="000000"/>
          <w:sz w:val="24"/>
          <w:szCs w:val="24"/>
        </w:rPr>
        <w:t>)</w:t>
      </w:r>
      <w:r w:rsidR="00077C00" w:rsidRPr="00D7401D">
        <w:rPr>
          <w:rFonts w:eastAsia="Trebuchet MS"/>
          <w:color w:val="000000"/>
          <w:sz w:val="24"/>
          <w:szCs w:val="24"/>
        </w:rPr>
        <w:t xml:space="preserve">. From 2026 to 2029, a general increase of 1.7% per year was added. The average daily census is projected to grow from 54.9 in 2025 to 57.9 in 2029. </w:t>
      </w:r>
      <w:r w:rsidR="008A43ED" w:rsidRPr="00D7401D">
        <w:rPr>
          <w:rFonts w:eastAsia="Trebuchet MS"/>
          <w:color w:val="000000"/>
          <w:sz w:val="24"/>
          <w:szCs w:val="24"/>
        </w:rPr>
        <w:t>The payment</w:t>
      </w:r>
      <w:r w:rsidR="008A43ED" w:rsidRPr="00D47EB3">
        <w:rPr>
          <w:rFonts w:eastAsia="Trebuchet MS"/>
          <w:color w:val="000000"/>
          <w:sz w:val="24"/>
          <w:szCs w:val="24"/>
        </w:rPr>
        <w:t xml:space="preserve"> rate was then calculated by dividing the NPSR by the number of cases, to obtain an average payment rate per case</w:t>
      </w:r>
      <w:r w:rsidR="00D7401D">
        <w:rPr>
          <w:rFonts w:eastAsia="Trebuchet MS"/>
          <w:color w:val="000000"/>
          <w:sz w:val="24"/>
          <w:szCs w:val="24"/>
        </w:rPr>
        <w:t xml:space="preserve"> which</w:t>
      </w:r>
      <w:r w:rsidR="008A43ED" w:rsidRPr="00D47EB3">
        <w:rPr>
          <w:rFonts w:eastAsia="Trebuchet MS"/>
          <w:color w:val="000000"/>
          <w:sz w:val="24"/>
          <w:szCs w:val="24"/>
        </w:rPr>
        <w:t xml:space="preserve"> was then inflated by 1% each of the succeeding years.</w:t>
      </w:r>
      <w:r w:rsidR="00D7401D">
        <w:rPr>
          <w:rFonts w:eastAsia="Trebuchet MS"/>
          <w:color w:val="000000"/>
          <w:sz w:val="24"/>
          <w:szCs w:val="24"/>
        </w:rPr>
        <w:t xml:space="preserve"> </w:t>
      </w:r>
      <w:r w:rsidR="008E4932" w:rsidRPr="00705B6C">
        <w:rPr>
          <w:sz w:val="24"/>
          <w:szCs w:val="24"/>
        </w:rPr>
        <w:t xml:space="preserve">The CPA’s opinion is that revenue growth projected by Management reflects a reasonable estimation based primarily on historical operations. </w:t>
      </w:r>
    </w:p>
    <w:p w14:paraId="7A0B5E06" w14:textId="77777777" w:rsidR="00D7401D" w:rsidRPr="00D7401D" w:rsidRDefault="00D7401D" w:rsidP="00D7401D">
      <w:pPr>
        <w:spacing w:after="0"/>
        <w:textAlignment w:val="baseline"/>
        <w:rPr>
          <w:rFonts w:eastAsia="Trebuchet MS"/>
          <w:color w:val="000000"/>
          <w:sz w:val="24"/>
          <w:szCs w:val="24"/>
        </w:rPr>
      </w:pPr>
    </w:p>
    <w:p w14:paraId="5C9A50FD" w14:textId="77777777" w:rsidR="008E4932" w:rsidRPr="00FC0EB5" w:rsidRDefault="008E4932" w:rsidP="00D7401D">
      <w:pPr>
        <w:spacing w:after="0"/>
        <w:rPr>
          <w:rFonts w:cstheme="minorHAnsi"/>
          <w:b/>
          <w:sz w:val="24"/>
          <w:szCs w:val="24"/>
        </w:rPr>
      </w:pPr>
      <w:r w:rsidRPr="00FC0EB5">
        <w:rPr>
          <w:rFonts w:cstheme="minorHAnsi"/>
          <w:b/>
          <w:sz w:val="24"/>
          <w:szCs w:val="24"/>
        </w:rPr>
        <w:t>Operating Expenses</w:t>
      </w:r>
    </w:p>
    <w:p w14:paraId="5C938712" w14:textId="7F6DFABE" w:rsidR="008E4932" w:rsidRDefault="008E4932" w:rsidP="008F0717">
      <w:pPr>
        <w:autoSpaceDE w:val="0"/>
        <w:autoSpaceDN w:val="0"/>
        <w:adjustRightInd w:val="0"/>
        <w:spacing w:after="0"/>
        <w:rPr>
          <w:rFonts w:cstheme="minorHAnsi"/>
          <w:sz w:val="24"/>
          <w:szCs w:val="24"/>
        </w:rPr>
      </w:pPr>
      <w:r w:rsidRPr="00FC0EB5">
        <w:rPr>
          <w:rFonts w:cstheme="minorHAnsi"/>
          <w:sz w:val="24"/>
          <w:szCs w:val="24"/>
        </w:rPr>
        <w:t>The CPA analyzed Salaries and Benefits, Operating Expenses, Depreciation Expense</w:t>
      </w:r>
      <w:r w:rsidR="00427E76" w:rsidRPr="00FC0EB5">
        <w:rPr>
          <w:rFonts w:cstheme="minorHAnsi"/>
          <w:sz w:val="24"/>
          <w:szCs w:val="24"/>
        </w:rPr>
        <w:t xml:space="preserve">, Supplies and Other </w:t>
      </w:r>
      <w:r w:rsidR="00FC0EB5" w:rsidRPr="00FC0EB5">
        <w:rPr>
          <w:rFonts w:cstheme="minorHAnsi"/>
          <w:sz w:val="24"/>
          <w:szCs w:val="24"/>
        </w:rPr>
        <w:t>Operating Expenses</w:t>
      </w:r>
      <w:r w:rsidRPr="00FC0EB5">
        <w:rPr>
          <w:rFonts w:cstheme="minorHAnsi"/>
          <w:sz w:val="24"/>
          <w:szCs w:val="24"/>
        </w:rPr>
        <w:t xml:space="preserve"> for reasonableness and feasibility as related to the Proposed Project. </w:t>
      </w:r>
    </w:p>
    <w:p w14:paraId="39395352" w14:textId="77777777" w:rsidR="008F0717" w:rsidRPr="008F0717" w:rsidRDefault="008F0717" w:rsidP="008F0717">
      <w:pPr>
        <w:autoSpaceDE w:val="0"/>
        <w:autoSpaceDN w:val="0"/>
        <w:adjustRightInd w:val="0"/>
        <w:spacing w:after="0"/>
        <w:rPr>
          <w:rFonts w:cstheme="minorHAnsi"/>
          <w:sz w:val="24"/>
          <w:szCs w:val="24"/>
        </w:rPr>
      </w:pPr>
    </w:p>
    <w:p w14:paraId="3CD18BC9" w14:textId="1BA29A9B" w:rsidR="0031700D" w:rsidRDefault="008E4932" w:rsidP="008F0717">
      <w:pPr>
        <w:autoSpaceDE w:val="0"/>
        <w:autoSpaceDN w:val="0"/>
        <w:adjustRightInd w:val="0"/>
        <w:spacing w:after="0"/>
        <w:rPr>
          <w:rFonts w:eastAsia="Trebuchet MS"/>
          <w:bCs/>
          <w:color w:val="000000"/>
          <w:spacing w:val="3"/>
          <w:sz w:val="24"/>
          <w:szCs w:val="24"/>
        </w:rPr>
      </w:pPr>
      <w:r w:rsidRPr="0031700D">
        <w:rPr>
          <w:rFonts w:cstheme="minorHAnsi"/>
          <w:i/>
          <w:iCs/>
          <w:sz w:val="24"/>
          <w:szCs w:val="24"/>
        </w:rPr>
        <w:t xml:space="preserve">Salaries </w:t>
      </w:r>
      <w:r w:rsidR="0089304F" w:rsidRPr="0031700D">
        <w:rPr>
          <w:rFonts w:eastAsia="Trebuchet MS"/>
          <w:bCs/>
          <w:color w:val="000000"/>
          <w:spacing w:val="3"/>
          <w:sz w:val="24"/>
          <w:szCs w:val="24"/>
        </w:rPr>
        <w:t xml:space="preserve">were calculated as a function of the historical Full Time Equivalents (“FTE’s”) per occupied bed at Encompass Western Mass </w:t>
      </w:r>
      <w:r w:rsidR="009A4E12" w:rsidRPr="0031700D">
        <w:rPr>
          <w:rFonts w:eastAsia="Trebuchet MS"/>
          <w:bCs/>
          <w:color w:val="000000"/>
          <w:spacing w:val="3"/>
          <w:sz w:val="24"/>
          <w:szCs w:val="24"/>
        </w:rPr>
        <w:t xml:space="preserve">and </w:t>
      </w:r>
      <w:r w:rsidR="0089304F" w:rsidRPr="0031700D">
        <w:rPr>
          <w:rFonts w:eastAsia="Trebuchet MS"/>
          <w:bCs/>
          <w:color w:val="000000"/>
          <w:spacing w:val="3"/>
          <w:sz w:val="24"/>
          <w:szCs w:val="24"/>
        </w:rPr>
        <w:t>Benefits were calculated as a percentage of salaries using historical data</w:t>
      </w:r>
      <w:r w:rsidR="009A4E12" w:rsidRPr="0031700D">
        <w:rPr>
          <w:rFonts w:eastAsia="Trebuchet MS"/>
          <w:bCs/>
          <w:color w:val="000000"/>
          <w:spacing w:val="3"/>
          <w:sz w:val="24"/>
          <w:szCs w:val="24"/>
        </w:rPr>
        <w:t xml:space="preserve">. </w:t>
      </w:r>
      <w:r w:rsidR="0089304F" w:rsidRPr="0031700D">
        <w:rPr>
          <w:rFonts w:eastAsia="Trebuchet MS"/>
          <w:bCs/>
          <w:color w:val="000000"/>
          <w:spacing w:val="3"/>
          <w:sz w:val="24"/>
          <w:szCs w:val="24"/>
        </w:rPr>
        <w:t>Thus, as the patient population increases, the number of FTE’s required will also be increased. Salaries costs were increased each year by a rate of 2.5%</w:t>
      </w:r>
      <w:r w:rsidR="009A4E12" w:rsidRPr="0031700D">
        <w:rPr>
          <w:rFonts w:eastAsia="Trebuchet MS"/>
          <w:bCs/>
          <w:color w:val="000000"/>
          <w:spacing w:val="3"/>
          <w:sz w:val="24"/>
          <w:szCs w:val="24"/>
        </w:rPr>
        <w:t xml:space="preserve"> and </w:t>
      </w:r>
      <w:r w:rsidR="0089304F" w:rsidRPr="0031700D">
        <w:rPr>
          <w:rFonts w:eastAsia="Trebuchet MS"/>
          <w:bCs/>
          <w:color w:val="000000"/>
          <w:spacing w:val="3"/>
          <w:sz w:val="24"/>
          <w:szCs w:val="24"/>
        </w:rPr>
        <w:t>Benefits were increased each year as a percentage of salaries.</w:t>
      </w:r>
    </w:p>
    <w:p w14:paraId="4811ED45" w14:textId="77777777" w:rsidR="008F0717" w:rsidRPr="008F0717" w:rsidRDefault="008F0717" w:rsidP="008F0717">
      <w:pPr>
        <w:autoSpaceDE w:val="0"/>
        <w:autoSpaceDN w:val="0"/>
        <w:adjustRightInd w:val="0"/>
        <w:spacing w:after="0"/>
        <w:rPr>
          <w:rFonts w:eastAsia="Trebuchet MS"/>
          <w:bCs/>
          <w:color w:val="000000"/>
          <w:spacing w:val="3"/>
          <w:sz w:val="24"/>
          <w:szCs w:val="24"/>
        </w:rPr>
      </w:pPr>
    </w:p>
    <w:p w14:paraId="2B73268A" w14:textId="06B02F17" w:rsidR="0000676E" w:rsidRDefault="0031700D" w:rsidP="008F0717">
      <w:pPr>
        <w:spacing w:after="0"/>
        <w:textAlignment w:val="baseline"/>
        <w:rPr>
          <w:rFonts w:eastAsia="Trebuchet MS"/>
          <w:bCs/>
          <w:color w:val="000000"/>
          <w:spacing w:val="3"/>
        </w:rPr>
      </w:pPr>
      <w:r w:rsidRPr="0031700D">
        <w:rPr>
          <w:rFonts w:eastAsia="Trebuchet MS"/>
          <w:bCs/>
          <w:i/>
          <w:iCs/>
          <w:color w:val="000000"/>
          <w:spacing w:val="3"/>
          <w:sz w:val="24"/>
          <w:szCs w:val="24"/>
        </w:rPr>
        <w:t>Supplies and Other Operating Expenses</w:t>
      </w:r>
      <w:r w:rsidRPr="0031700D">
        <w:rPr>
          <w:rFonts w:eastAsia="Trebuchet MS"/>
          <w:bCs/>
          <w:color w:val="000000"/>
          <w:spacing w:val="3"/>
          <w:sz w:val="24"/>
          <w:szCs w:val="24"/>
        </w:rPr>
        <w:t xml:space="preserve"> were calculated as an historical cost per patient day at Encompass Western Mass, and then inflated by 2 to 3% per year during the projection years.</w:t>
      </w:r>
      <w:r w:rsidR="00324FDF">
        <w:rPr>
          <w:rFonts w:eastAsia="Trebuchet MS"/>
          <w:bCs/>
          <w:color w:val="000000"/>
          <w:spacing w:val="3"/>
          <w:sz w:val="24"/>
          <w:szCs w:val="24"/>
        </w:rPr>
        <w:t xml:space="preserve"> </w:t>
      </w:r>
      <w:r w:rsidR="00324FDF" w:rsidRPr="00324FDF">
        <w:rPr>
          <w:rFonts w:eastAsia="Trebuchet MS"/>
          <w:bCs/>
          <w:color w:val="000000"/>
          <w:spacing w:val="3"/>
          <w:sz w:val="24"/>
          <w:szCs w:val="24"/>
        </w:rPr>
        <w:t>Management fees and the facility lease were part of the Other Operating Expenses projections. Management fees are calculated at 5% of NPSR and remain as such through the projection years. The facility is leased from Encompass Health Mass Real Estate, LLC and the lease expense is inflated by 2% per year during the projection years. The remaining Other Operating Expenses were calculated as an historical cost per patient day inflated by 2% per year during the projection period.</w:t>
      </w:r>
      <w:r w:rsidR="00324FDF">
        <w:rPr>
          <w:rFonts w:eastAsia="Trebuchet MS"/>
          <w:bCs/>
          <w:color w:val="000000"/>
          <w:spacing w:val="3"/>
        </w:rPr>
        <w:t xml:space="preserve"> </w:t>
      </w:r>
    </w:p>
    <w:p w14:paraId="300B3323" w14:textId="77777777" w:rsidR="008F0717" w:rsidRPr="0000676E" w:rsidRDefault="008F0717" w:rsidP="008F0717">
      <w:pPr>
        <w:spacing w:after="0"/>
        <w:textAlignment w:val="baseline"/>
        <w:rPr>
          <w:rFonts w:eastAsia="Trebuchet MS"/>
          <w:bCs/>
          <w:color w:val="000000"/>
          <w:spacing w:val="3"/>
        </w:rPr>
      </w:pPr>
    </w:p>
    <w:p w14:paraId="6A17CC2E" w14:textId="479A7588" w:rsidR="0000676E" w:rsidRDefault="008E4932" w:rsidP="008F0717">
      <w:pPr>
        <w:autoSpaceDE w:val="0"/>
        <w:autoSpaceDN w:val="0"/>
        <w:adjustRightInd w:val="0"/>
        <w:spacing w:after="0"/>
        <w:rPr>
          <w:rFonts w:eastAsia="Trebuchet MS"/>
          <w:bCs/>
          <w:color w:val="000000"/>
          <w:spacing w:val="3"/>
          <w:sz w:val="24"/>
          <w:szCs w:val="24"/>
        </w:rPr>
      </w:pPr>
      <w:r w:rsidRPr="0000676E">
        <w:rPr>
          <w:rFonts w:cstheme="minorHAnsi"/>
          <w:i/>
          <w:iCs/>
          <w:sz w:val="24"/>
          <w:szCs w:val="24"/>
        </w:rPr>
        <w:t xml:space="preserve">Depreciation Expense </w:t>
      </w:r>
      <w:r w:rsidRPr="0000676E">
        <w:rPr>
          <w:rFonts w:cstheme="minorHAnsi"/>
          <w:sz w:val="24"/>
          <w:szCs w:val="24"/>
        </w:rPr>
        <w:t xml:space="preserve">reflects the incremental expense related to the Proposed Project. </w:t>
      </w:r>
      <w:r w:rsidR="0000676E" w:rsidRPr="0000676E">
        <w:rPr>
          <w:rFonts w:eastAsia="Trebuchet MS"/>
          <w:bCs/>
          <w:color w:val="000000"/>
          <w:spacing w:val="3"/>
          <w:sz w:val="24"/>
          <w:szCs w:val="24"/>
        </w:rPr>
        <w:t xml:space="preserve">The projections reflect building and building improvements depreciated over an average life of </w:t>
      </w:r>
      <w:r w:rsidR="0000676E" w:rsidRPr="0000676E">
        <w:rPr>
          <w:rFonts w:eastAsia="Trebuchet MS"/>
          <w:bCs/>
          <w:color w:val="000000"/>
          <w:spacing w:val="3"/>
          <w:sz w:val="24"/>
          <w:szCs w:val="24"/>
        </w:rPr>
        <w:lastRenderedPageBreak/>
        <w:t>30 years, equipment depreciated over an average life of 8 years, and intangibles amortized over an average life of either 5 or 10 years.</w:t>
      </w:r>
    </w:p>
    <w:p w14:paraId="0B9BBD26" w14:textId="77777777" w:rsidR="008F0717" w:rsidRPr="008F0717" w:rsidRDefault="008F0717" w:rsidP="008F0717">
      <w:pPr>
        <w:autoSpaceDE w:val="0"/>
        <w:autoSpaceDN w:val="0"/>
        <w:adjustRightInd w:val="0"/>
        <w:spacing w:after="0"/>
        <w:rPr>
          <w:rFonts w:eastAsia="Trebuchet MS"/>
          <w:bCs/>
          <w:color w:val="000000"/>
          <w:spacing w:val="3"/>
          <w:sz w:val="24"/>
          <w:szCs w:val="24"/>
        </w:rPr>
      </w:pPr>
    </w:p>
    <w:p w14:paraId="0AC8A1F8" w14:textId="22234F6F" w:rsidR="008E4932" w:rsidRDefault="008E4932" w:rsidP="008F0717">
      <w:pPr>
        <w:autoSpaceDE w:val="0"/>
        <w:autoSpaceDN w:val="0"/>
        <w:adjustRightInd w:val="0"/>
        <w:spacing w:after="0"/>
        <w:rPr>
          <w:rFonts w:cstheme="minorHAnsi"/>
          <w:sz w:val="24"/>
          <w:szCs w:val="24"/>
        </w:rPr>
      </w:pPr>
      <w:r w:rsidRPr="00705B6C">
        <w:rPr>
          <w:rFonts w:cstheme="minorHAnsi"/>
          <w:sz w:val="24"/>
          <w:szCs w:val="24"/>
        </w:rPr>
        <w:t>The CPA concludes that the projected growth in operating expenses reflects a reasonable estimation based primarily upon historical operations.</w:t>
      </w:r>
    </w:p>
    <w:p w14:paraId="3FAB0C19" w14:textId="77777777" w:rsidR="008F0717" w:rsidRPr="008F0717" w:rsidRDefault="008F0717" w:rsidP="008F0717">
      <w:pPr>
        <w:autoSpaceDE w:val="0"/>
        <w:autoSpaceDN w:val="0"/>
        <w:adjustRightInd w:val="0"/>
        <w:spacing w:after="0"/>
        <w:rPr>
          <w:rFonts w:cstheme="minorHAnsi"/>
          <w:sz w:val="24"/>
          <w:szCs w:val="24"/>
        </w:rPr>
      </w:pPr>
    </w:p>
    <w:p w14:paraId="4DFA6A87" w14:textId="32DF78A8" w:rsidR="008E4932" w:rsidRPr="0000676E" w:rsidRDefault="008E4932" w:rsidP="008F0717">
      <w:pPr>
        <w:spacing w:after="0"/>
        <w:rPr>
          <w:rFonts w:cstheme="minorHAnsi"/>
          <w:b/>
          <w:sz w:val="24"/>
          <w:szCs w:val="24"/>
        </w:rPr>
      </w:pPr>
      <w:r w:rsidRPr="0000676E">
        <w:rPr>
          <w:rFonts w:cstheme="minorHAnsi"/>
          <w:b/>
          <w:sz w:val="24"/>
          <w:szCs w:val="24"/>
        </w:rPr>
        <w:t>Capital Expenditures</w:t>
      </w:r>
      <w:r w:rsidR="00026DE6">
        <w:rPr>
          <w:rFonts w:cstheme="minorHAnsi"/>
          <w:b/>
          <w:sz w:val="24"/>
          <w:szCs w:val="24"/>
        </w:rPr>
        <w:t xml:space="preserve"> and Cash Flows</w:t>
      </w:r>
    </w:p>
    <w:p w14:paraId="11C78E39" w14:textId="3D6F312D" w:rsidR="008E4932" w:rsidRDefault="008E4932" w:rsidP="008F0717">
      <w:pPr>
        <w:spacing w:after="0"/>
        <w:textAlignment w:val="baseline"/>
        <w:rPr>
          <w:rFonts w:eastAsia="Trebuchet MS"/>
          <w:color w:val="000000"/>
          <w:sz w:val="24"/>
          <w:szCs w:val="24"/>
        </w:rPr>
      </w:pPr>
      <w:r w:rsidRPr="00FF6D1B">
        <w:rPr>
          <w:rFonts w:cstheme="minorHAnsi"/>
          <w:sz w:val="24"/>
          <w:szCs w:val="24"/>
        </w:rPr>
        <w:t xml:space="preserve">The CPA reviewed the total capital expenditures for the project which </w:t>
      </w:r>
      <w:r w:rsidR="00FF6D1B" w:rsidRPr="00FF6D1B">
        <w:rPr>
          <w:color w:val="000000"/>
          <w:sz w:val="24"/>
          <w:szCs w:val="24"/>
        </w:rPr>
        <w:t xml:space="preserve">will be financed by the </w:t>
      </w:r>
      <w:r w:rsidR="00FF6D1B" w:rsidRPr="00E67A80">
        <w:rPr>
          <w:color w:val="000000"/>
          <w:sz w:val="24"/>
          <w:szCs w:val="24"/>
        </w:rPr>
        <w:t xml:space="preserve">annual cash flows of Encompass Health Rehabilitation Hospital of Western Massachusetts, LLC. </w:t>
      </w:r>
      <w:r w:rsidRPr="00E67A80">
        <w:rPr>
          <w:rFonts w:cstheme="minorHAnsi"/>
          <w:sz w:val="24"/>
          <w:szCs w:val="24"/>
        </w:rPr>
        <w:t xml:space="preserve">The CPA concludes that the </w:t>
      </w:r>
      <w:r w:rsidR="00E67A80" w:rsidRPr="00E67A80">
        <w:rPr>
          <w:rFonts w:eastAsia="Trebuchet MS"/>
          <w:color w:val="000000"/>
          <w:sz w:val="24"/>
          <w:szCs w:val="24"/>
        </w:rPr>
        <w:t>pro-forma capital expenditures and resulting impact on the cash flows of Encompass Western Mass are reasonable.</w:t>
      </w:r>
    </w:p>
    <w:p w14:paraId="6DBE5839" w14:textId="77777777" w:rsidR="008F0717" w:rsidRPr="008F0717" w:rsidRDefault="008F0717" w:rsidP="008F0717">
      <w:pPr>
        <w:spacing w:after="0"/>
        <w:textAlignment w:val="baseline"/>
        <w:rPr>
          <w:rFonts w:eastAsia="Trebuchet MS"/>
          <w:color w:val="000000"/>
        </w:rPr>
      </w:pPr>
    </w:p>
    <w:p w14:paraId="2FA7CBA4" w14:textId="77777777" w:rsidR="008E4932" w:rsidRPr="00E67A80" w:rsidRDefault="008E4932" w:rsidP="008E4932">
      <w:pPr>
        <w:rPr>
          <w:rFonts w:cstheme="minorHAnsi"/>
          <w:sz w:val="24"/>
          <w:szCs w:val="24"/>
        </w:rPr>
      </w:pPr>
      <w:r w:rsidRPr="00E67A80">
        <w:rPr>
          <w:rFonts w:cstheme="minorHAnsi"/>
          <w:sz w:val="24"/>
          <w:szCs w:val="24"/>
        </w:rPr>
        <w:t xml:space="preserve">As a result of its analysis, the CPA concluded the following: </w:t>
      </w:r>
    </w:p>
    <w:p w14:paraId="46F6B13E" w14:textId="18DE7811" w:rsidR="008E4932" w:rsidRPr="008F0717" w:rsidRDefault="00D84085" w:rsidP="008F0717">
      <w:pPr>
        <w:spacing w:after="240"/>
        <w:ind w:left="630"/>
        <w:textAlignment w:val="baseline"/>
        <w:rPr>
          <w:i/>
          <w:iCs/>
          <w:sz w:val="24"/>
          <w:szCs w:val="24"/>
        </w:rPr>
      </w:pPr>
      <w:r w:rsidRPr="00D84085">
        <w:rPr>
          <w:rFonts w:eastAsia="Trebuchet MS"/>
          <w:i/>
          <w:iCs/>
          <w:color w:val="000000"/>
          <w:sz w:val="24"/>
          <w:szCs w:val="24"/>
        </w:rPr>
        <w:t>Based on my review of the Projections and relevant supporting documentation, I determined t</w:t>
      </w:r>
      <w:r w:rsidRPr="00D84085">
        <w:rPr>
          <w:i/>
          <w:iCs/>
          <w:color w:val="000000"/>
          <w:sz w:val="24"/>
          <w:szCs w:val="24"/>
        </w:rPr>
        <w:t xml:space="preserve">he project and continued operating surplus are reasonable and based upon feasible financial assumptions. Therefore, the proposed </w:t>
      </w:r>
      <w:r w:rsidRPr="00D84085">
        <w:rPr>
          <w:rFonts w:eastAsia="Trebuchet MS"/>
          <w:i/>
          <w:iCs/>
          <w:color w:val="000000"/>
          <w:sz w:val="24"/>
          <w:szCs w:val="24"/>
        </w:rPr>
        <w:t xml:space="preserve">17-bed addition project </w:t>
      </w:r>
      <w:r w:rsidRPr="00D84085">
        <w:rPr>
          <w:i/>
          <w:iCs/>
          <w:color w:val="000000"/>
          <w:sz w:val="24"/>
          <w:szCs w:val="24"/>
        </w:rPr>
        <w:t>at Encompass Health Rehabilitation Hospital of Western Massachusetts, LLC is financially feasible and within the financial capability of Encompass Health Corporation.</w:t>
      </w:r>
    </w:p>
    <w:p w14:paraId="00FA6168" w14:textId="77777777" w:rsidR="008E4932" w:rsidRPr="00A20EEE" w:rsidRDefault="008E4932" w:rsidP="008E4932">
      <w:pPr>
        <w:pStyle w:val="NormalWeb"/>
        <w:rPr>
          <w:rFonts w:asciiTheme="minorHAnsi" w:hAnsiTheme="minorHAnsi" w:cstheme="minorHAnsi"/>
          <w:b/>
          <w:bCs/>
          <w:i/>
          <w:iCs/>
        </w:rPr>
      </w:pPr>
      <w:r w:rsidRPr="00A20EEE">
        <w:rPr>
          <w:rFonts w:asciiTheme="minorHAnsi" w:hAnsiTheme="minorHAnsi" w:cstheme="minorHAnsi"/>
          <w:b/>
          <w:bCs/>
          <w:i/>
          <w:iCs/>
        </w:rPr>
        <w:t xml:space="preserve">Factor 4 Analysis </w:t>
      </w:r>
    </w:p>
    <w:p w14:paraId="54615B0E" w14:textId="29B0F4B7" w:rsidR="004E6193" w:rsidRDefault="008E4932" w:rsidP="008E4932">
      <w:pPr>
        <w:rPr>
          <w:rFonts w:cstheme="minorHAnsi"/>
          <w:sz w:val="24"/>
          <w:szCs w:val="24"/>
        </w:rPr>
      </w:pPr>
      <w:r w:rsidRPr="00A20EEE">
        <w:rPr>
          <w:sz w:val="24"/>
          <w:szCs w:val="24"/>
        </w:rPr>
        <w:t xml:space="preserve">Staff is satisfied with the CPA’s analysis of the Proposed Project’s projections. </w:t>
      </w:r>
      <w:r w:rsidRPr="00A20EEE">
        <w:rPr>
          <w:rFonts w:cstheme="minorHAnsi"/>
          <w:sz w:val="24"/>
          <w:szCs w:val="24"/>
        </w:rPr>
        <w:t>As a result of information provided by the Applicant and additional analysis, staff finds that the Applicant has demonstrated that the Proposed Project has met Factor 4.</w:t>
      </w:r>
    </w:p>
    <w:p w14:paraId="04A8E531" w14:textId="77777777" w:rsidR="0026036D" w:rsidRPr="00A20EEE" w:rsidRDefault="0026036D" w:rsidP="008E4932">
      <w:pPr>
        <w:rPr>
          <w:rFonts w:cstheme="minorHAnsi"/>
          <w:sz w:val="24"/>
          <w:szCs w:val="24"/>
        </w:rPr>
      </w:pPr>
    </w:p>
    <w:p w14:paraId="610A41C9" w14:textId="5EA4B2DA" w:rsidR="006578AD" w:rsidRDefault="003E1CDA" w:rsidP="008F0717">
      <w:pPr>
        <w:pStyle w:val="Heading1"/>
        <w:spacing w:before="0"/>
      </w:pPr>
      <w:bookmarkStart w:id="22" w:name="_Toc151538509"/>
      <w:r w:rsidRPr="003E1CDA">
        <w:t>Factor 5: Assessment of the Proposed Project’s Relative Merit</w:t>
      </w:r>
      <w:bookmarkEnd w:id="22"/>
    </w:p>
    <w:p w14:paraId="5321C190" w14:textId="43C3F01A" w:rsidR="008C35B2" w:rsidRDefault="003E1CDA" w:rsidP="00373E72">
      <w:pPr>
        <w:spacing w:after="0" w:line="240" w:lineRule="auto"/>
        <w:rPr>
          <w:sz w:val="24"/>
          <w:szCs w:val="24"/>
        </w:rPr>
      </w:pPr>
      <w:r w:rsidRPr="003E1CDA">
        <w:rPr>
          <w:sz w:val="24"/>
          <w:szCs w:val="24"/>
        </w:rPr>
        <w:t xml:space="preserve">Evaluation of 105 CMR 100.210(A)(5) shall </w:t>
      </w:r>
      <w:proofErr w:type="gramStart"/>
      <w:r w:rsidRPr="003E1CDA">
        <w:rPr>
          <w:sz w:val="24"/>
          <w:szCs w:val="24"/>
        </w:rPr>
        <w:t>take into account</w:t>
      </w:r>
      <w:proofErr w:type="gramEnd"/>
      <w:r w:rsidRPr="003E1CDA">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r w:rsidR="00625877" w:rsidRPr="00625877">
        <w:rPr>
          <w:sz w:val="24"/>
          <w:szCs w:val="24"/>
        </w:rPr>
        <w:t>The Applicant must provide sufficient evidence that the Proposed Project, on balance, is superior to alternative and substitute methods for meeting the existing Patient Panel needs identified by the Applicant pursuant to 105 CMR 100.210(A)(1).</w:t>
      </w:r>
    </w:p>
    <w:p w14:paraId="4EDF0038" w14:textId="77777777" w:rsidR="00373E72" w:rsidRPr="003E1CDA" w:rsidRDefault="00373E72" w:rsidP="00373E72">
      <w:pPr>
        <w:spacing w:after="0" w:line="240" w:lineRule="auto"/>
        <w:rPr>
          <w:sz w:val="24"/>
          <w:szCs w:val="24"/>
        </w:rPr>
      </w:pPr>
    </w:p>
    <w:p w14:paraId="66F80AE7" w14:textId="1F2D1EE6" w:rsidR="00D53EE1" w:rsidRDefault="008C35B2" w:rsidP="00373E72">
      <w:pPr>
        <w:spacing w:after="0"/>
        <w:rPr>
          <w:rFonts w:cstheme="minorHAnsi"/>
          <w:sz w:val="24"/>
          <w:szCs w:val="24"/>
        </w:rPr>
      </w:pPr>
      <w:r w:rsidRPr="008C35B2">
        <w:rPr>
          <w:rFonts w:cstheme="minorHAnsi"/>
          <w:sz w:val="24"/>
          <w:szCs w:val="24"/>
        </w:rPr>
        <w:t xml:space="preserve">The Applicant considered and rejected </w:t>
      </w:r>
      <w:r w:rsidR="00E6069E">
        <w:rPr>
          <w:rFonts w:cstheme="minorHAnsi"/>
          <w:sz w:val="24"/>
          <w:szCs w:val="24"/>
        </w:rPr>
        <w:t>two</w:t>
      </w:r>
      <w:r w:rsidRPr="008C35B2">
        <w:rPr>
          <w:rFonts w:cstheme="minorHAnsi"/>
          <w:sz w:val="24"/>
          <w:szCs w:val="24"/>
        </w:rPr>
        <w:t xml:space="preserve"> alternative</w:t>
      </w:r>
      <w:r w:rsidR="00E6069E">
        <w:rPr>
          <w:rFonts w:cstheme="minorHAnsi"/>
          <w:sz w:val="24"/>
          <w:szCs w:val="24"/>
        </w:rPr>
        <w:t>s</w:t>
      </w:r>
      <w:r w:rsidRPr="008C35B2">
        <w:rPr>
          <w:rFonts w:cstheme="minorHAnsi"/>
          <w:sz w:val="24"/>
          <w:szCs w:val="24"/>
        </w:rPr>
        <w:t xml:space="preserve"> to the Proposed Project</w:t>
      </w:r>
      <w:r>
        <w:rPr>
          <w:rFonts w:cstheme="minorHAnsi"/>
          <w:sz w:val="24"/>
          <w:szCs w:val="24"/>
        </w:rPr>
        <w:t>:</w:t>
      </w:r>
    </w:p>
    <w:p w14:paraId="2827CD7B" w14:textId="77777777" w:rsidR="00373E72" w:rsidRPr="008C35B2" w:rsidRDefault="00373E72" w:rsidP="00373E72">
      <w:pPr>
        <w:spacing w:after="0"/>
        <w:rPr>
          <w:rFonts w:cstheme="minorHAnsi"/>
          <w:sz w:val="24"/>
          <w:szCs w:val="24"/>
        </w:rPr>
      </w:pPr>
    </w:p>
    <w:p w14:paraId="25DB46D0" w14:textId="3F587394" w:rsidR="00A91BA2" w:rsidRDefault="00D53EE1" w:rsidP="00AA69EC">
      <w:pPr>
        <w:tabs>
          <w:tab w:val="left" w:pos="0"/>
        </w:tabs>
        <w:autoSpaceDE w:val="0"/>
        <w:autoSpaceDN w:val="0"/>
        <w:adjustRightInd w:val="0"/>
        <w:spacing w:after="0" w:line="240" w:lineRule="auto"/>
        <w:rPr>
          <w:rFonts w:eastAsia="Times New Roman" w:cstheme="minorHAnsi"/>
          <w:kern w:val="2"/>
          <w:sz w:val="24"/>
          <w:szCs w:val="24"/>
        </w:rPr>
      </w:pPr>
      <w:r w:rsidRPr="00D53EE1">
        <w:rPr>
          <w:rFonts w:cstheme="minorHAnsi"/>
          <w:b/>
          <w:bCs/>
          <w:color w:val="000000"/>
          <w:sz w:val="24"/>
          <w:szCs w:val="24"/>
        </w:rPr>
        <w:t>Alternative Option 1:</w:t>
      </w:r>
      <w:r w:rsidRPr="005B5927">
        <w:rPr>
          <w:rFonts w:cstheme="minorHAnsi"/>
          <w:b/>
          <w:bCs/>
          <w:color w:val="000000"/>
        </w:rPr>
        <w:t xml:space="preserve"> </w:t>
      </w:r>
      <w:r w:rsidRPr="0045606F">
        <w:rPr>
          <w:rFonts w:eastAsia="Calibri" w:cstheme="minorHAnsi"/>
          <w:b/>
          <w:kern w:val="2"/>
          <w:sz w:val="24"/>
          <w:szCs w:val="24"/>
        </w:rPr>
        <w:t>M</w:t>
      </w:r>
      <w:r w:rsidR="00A91BA2" w:rsidRPr="0045606F">
        <w:rPr>
          <w:rFonts w:eastAsia="Calibri" w:cstheme="minorHAnsi"/>
          <w:b/>
          <w:kern w:val="2"/>
          <w:sz w:val="24"/>
          <w:szCs w:val="24"/>
        </w:rPr>
        <w:t>aintain the status quo and continue to serve patients with the existing complement of beds.</w:t>
      </w:r>
      <w:r w:rsidR="00CF01A5">
        <w:rPr>
          <w:rFonts w:eastAsia="Calibri" w:cstheme="minorHAnsi"/>
          <w:b/>
          <w:kern w:val="2"/>
          <w:sz w:val="24"/>
          <w:szCs w:val="24"/>
        </w:rPr>
        <w:t xml:space="preserve"> </w:t>
      </w:r>
      <w:r w:rsidR="00B06D96">
        <w:rPr>
          <w:rFonts w:eastAsia="Calibri" w:cstheme="minorHAnsi"/>
          <w:bCs/>
          <w:kern w:val="2"/>
          <w:sz w:val="24"/>
          <w:szCs w:val="24"/>
        </w:rPr>
        <w:t>Th</w:t>
      </w:r>
      <w:r w:rsidR="00CF01A5">
        <w:rPr>
          <w:rFonts w:eastAsia="Calibri" w:cstheme="minorHAnsi"/>
          <w:bCs/>
          <w:kern w:val="2"/>
          <w:sz w:val="24"/>
          <w:szCs w:val="24"/>
        </w:rPr>
        <w:t xml:space="preserve">is option carries </w:t>
      </w:r>
      <w:r w:rsidR="00CB528B">
        <w:rPr>
          <w:rFonts w:eastAsia="Calibri" w:cstheme="minorHAnsi"/>
          <w:bCs/>
          <w:kern w:val="2"/>
          <w:sz w:val="24"/>
          <w:szCs w:val="24"/>
        </w:rPr>
        <w:t>no increase in operating costs or capital expenditure.</w:t>
      </w:r>
      <w:r w:rsidR="007179DD">
        <w:rPr>
          <w:rFonts w:eastAsia="Calibri" w:cstheme="minorHAnsi"/>
          <w:bCs/>
          <w:kern w:val="2"/>
          <w:sz w:val="24"/>
          <w:szCs w:val="24"/>
        </w:rPr>
        <w:t xml:space="preserve"> </w:t>
      </w:r>
      <w:r w:rsidR="00CB528B">
        <w:rPr>
          <w:rFonts w:eastAsia="Calibri" w:cstheme="minorHAnsi"/>
          <w:bCs/>
          <w:kern w:val="2"/>
          <w:sz w:val="24"/>
          <w:szCs w:val="24"/>
        </w:rPr>
        <w:t xml:space="preserve">However, </w:t>
      </w:r>
      <w:r w:rsidR="00B06D96" w:rsidRPr="00A91BA2">
        <w:rPr>
          <w:rFonts w:eastAsia="Calibri" w:cstheme="minorHAnsi"/>
          <w:bCs/>
          <w:kern w:val="2"/>
          <w:sz w:val="24"/>
          <w:szCs w:val="24"/>
        </w:rPr>
        <w:t>Encompass Western Mass w</w:t>
      </w:r>
      <w:r w:rsidR="00CB528B">
        <w:rPr>
          <w:rFonts w:eastAsia="Calibri" w:cstheme="minorHAnsi"/>
          <w:bCs/>
          <w:kern w:val="2"/>
          <w:sz w:val="24"/>
          <w:szCs w:val="24"/>
        </w:rPr>
        <w:t>ould</w:t>
      </w:r>
      <w:r w:rsidR="00B06D96" w:rsidRPr="00A91BA2">
        <w:rPr>
          <w:rFonts w:eastAsia="Calibri" w:cstheme="minorHAnsi"/>
          <w:bCs/>
          <w:kern w:val="2"/>
          <w:sz w:val="24"/>
          <w:szCs w:val="24"/>
        </w:rPr>
        <w:t xml:space="preserve"> have no additional beds to care for the </w:t>
      </w:r>
      <w:r w:rsidR="00B06D96" w:rsidRPr="00A91BA2">
        <w:rPr>
          <w:rFonts w:eastAsia="Times New Roman" w:cstheme="minorHAnsi"/>
          <w:kern w:val="2"/>
          <w:sz w:val="24"/>
          <w:szCs w:val="24"/>
        </w:rPr>
        <w:t>large and increasing population ages 65 and over in Western Massachusetts</w:t>
      </w:r>
      <w:r w:rsidR="0045606F" w:rsidRPr="00A91BA2">
        <w:rPr>
          <w:rFonts w:eastAsia="Times New Roman" w:cstheme="minorHAnsi"/>
          <w:kern w:val="2"/>
          <w:sz w:val="24"/>
          <w:szCs w:val="24"/>
        </w:rPr>
        <w:t xml:space="preserve">, which comprises </w:t>
      </w:r>
      <w:proofErr w:type="gramStart"/>
      <w:r w:rsidR="0045606F" w:rsidRPr="00A91BA2">
        <w:rPr>
          <w:rFonts w:eastAsia="Times New Roman" w:cstheme="minorHAnsi"/>
          <w:kern w:val="2"/>
          <w:sz w:val="24"/>
          <w:szCs w:val="24"/>
        </w:rPr>
        <w:t>the vast majority of</w:t>
      </w:r>
      <w:proofErr w:type="gramEnd"/>
      <w:r w:rsidR="0045606F" w:rsidRPr="00A91BA2">
        <w:rPr>
          <w:rFonts w:eastAsia="Times New Roman" w:cstheme="minorHAnsi"/>
          <w:kern w:val="2"/>
          <w:sz w:val="24"/>
          <w:szCs w:val="24"/>
        </w:rPr>
        <w:t xml:space="preserve"> inpatient rehabilitation patients.</w:t>
      </w:r>
      <w:r w:rsidR="00B06D96" w:rsidRPr="00A91BA2">
        <w:rPr>
          <w:rFonts w:eastAsia="Times New Roman" w:cstheme="minorHAnsi"/>
          <w:kern w:val="2"/>
          <w:sz w:val="24"/>
          <w:szCs w:val="24"/>
        </w:rPr>
        <w:t xml:space="preserve"> </w:t>
      </w:r>
      <w:r w:rsidR="008C35B2">
        <w:rPr>
          <w:rFonts w:eastAsia="Times New Roman" w:cstheme="minorHAnsi"/>
          <w:kern w:val="2"/>
          <w:sz w:val="24"/>
          <w:szCs w:val="24"/>
        </w:rPr>
        <w:t xml:space="preserve">This option would not allow </w:t>
      </w:r>
      <w:r w:rsidR="00B06D96" w:rsidRPr="00A91BA2">
        <w:rPr>
          <w:rFonts w:eastAsia="Times New Roman" w:cstheme="minorHAnsi"/>
          <w:kern w:val="2"/>
          <w:sz w:val="24"/>
          <w:szCs w:val="24"/>
        </w:rPr>
        <w:t xml:space="preserve">Encompass Western Mass </w:t>
      </w:r>
      <w:r w:rsidR="00B06D96">
        <w:rPr>
          <w:rFonts w:eastAsia="Times New Roman" w:cstheme="minorHAnsi"/>
          <w:kern w:val="2"/>
          <w:sz w:val="24"/>
          <w:szCs w:val="24"/>
        </w:rPr>
        <w:t xml:space="preserve">the opportunity to improve efficiencies by maximizing its existing space and </w:t>
      </w:r>
      <w:r w:rsidR="00B06D96">
        <w:rPr>
          <w:rFonts w:eastAsia="Times New Roman" w:cstheme="minorHAnsi"/>
          <w:kern w:val="2"/>
          <w:sz w:val="24"/>
          <w:szCs w:val="24"/>
        </w:rPr>
        <w:lastRenderedPageBreak/>
        <w:t>infrastructure</w:t>
      </w:r>
      <w:r w:rsidR="008C35B2">
        <w:rPr>
          <w:rFonts w:eastAsia="Times New Roman" w:cstheme="minorHAnsi"/>
          <w:kern w:val="2"/>
          <w:sz w:val="24"/>
          <w:szCs w:val="24"/>
        </w:rPr>
        <w:t>.</w:t>
      </w:r>
      <w:r w:rsidR="00B06D96" w:rsidRPr="00A91BA2">
        <w:rPr>
          <w:rFonts w:eastAsia="Times New Roman" w:cstheme="minorHAnsi"/>
          <w:kern w:val="2"/>
          <w:sz w:val="24"/>
          <w:szCs w:val="24"/>
        </w:rPr>
        <w:t xml:space="preserve"> </w:t>
      </w:r>
      <w:r w:rsidR="008C35B2">
        <w:rPr>
          <w:rFonts w:eastAsia="Times New Roman" w:cstheme="minorHAnsi"/>
          <w:kern w:val="2"/>
          <w:sz w:val="24"/>
          <w:szCs w:val="24"/>
        </w:rPr>
        <w:t xml:space="preserve">The </w:t>
      </w:r>
      <w:r w:rsidR="00B06D96">
        <w:rPr>
          <w:rFonts w:eastAsia="Times New Roman" w:cstheme="minorHAnsi"/>
          <w:kern w:val="2"/>
          <w:sz w:val="24"/>
          <w:szCs w:val="24"/>
        </w:rPr>
        <w:t xml:space="preserve">consequence of </w:t>
      </w:r>
      <w:r w:rsidR="00E10A7B">
        <w:rPr>
          <w:rFonts w:eastAsia="Times New Roman" w:cstheme="minorHAnsi"/>
          <w:kern w:val="2"/>
          <w:sz w:val="24"/>
          <w:szCs w:val="24"/>
        </w:rPr>
        <w:t xml:space="preserve">maintaining the status quo would be </w:t>
      </w:r>
      <w:r w:rsidR="00B06D96">
        <w:rPr>
          <w:rFonts w:eastAsia="Times New Roman" w:cstheme="minorHAnsi"/>
          <w:kern w:val="2"/>
          <w:sz w:val="24"/>
          <w:szCs w:val="24"/>
        </w:rPr>
        <w:t xml:space="preserve">caring for </w:t>
      </w:r>
      <w:r w:rsidR="00B06D96" w:rsidRPr="00A91BA2">
        <w:rPr>
          <w:rFonts w:eastAsia="Times New Roman" w:cstheme="minorHAnsi"/>
          <w:kern w:val="2"/>
          <w:sz w:val="24"/>
          <w:szCs w:val="24"/>
        </w:rPr>
        <w:t xml:space="preserve">fewer patients than </w:t>
      </w:r>
      <w:r w:rsidR="00B06D96">
        <w:rPr>
          <w:rFonts w:eastAsia="Times New Roman" w:cstheme="minorHAnsi"/>
          <w:kern w:val="2"/>
          <w:sz w:val="24"/>
          <w:szCs w:val="24"/>
        </w:rPr>
        <w:t xml:space="preserve">the existing facility </w:t>
      </w:r>
      <w:r w:rsidR="00E10A7B">
        <w:rPr>
          <w:rFonts w:eastAsia="Times New Roman" w:cstheme="minorHAnsi"/>
          <w:kern w:val="2"/>
          <w:sz w:val="24"/>
          <w:szCs w:val="24"/>
        </w:rPr>
        <w:t xml:space="preserve">has the </w:t>
      </w:r>
      <w:r w:rsidR="00B06D96">
        <w:rPr>
          <w:rFonts w:eastAsia="Times New Roman" w:cstheme="minorHAnsi"/>
          <w:kern w:val="2"/>
          <w:sz w:val="24"/>
          <w:szCs w:val="24"/>
        </w:rPr>
        <w:t xml:space="preserve">potential </w:t>
      </w:r>
      <w:r w:rsidR="00E10A7B">
        <w:rPr>
          <w:rFonts w:eastAsia="Times New Roman" w:cstheme="minorHAnsi"/>
          <w:kern w:val="2"/>
          <w:sz w:val="24"/>
          <w:szCs w:val="24"/>
        </w:rPr>
        <w:t>to serve</w:t>
      </w:r>
      <w:r w:rsidR="00B06D96">
        <w:rPr>
          <w:rFonts w:eastAsia="Times New Roman" w:cstheme="minorHAnsi"/>
          <w:kern w:val="2"/>
          <w:sz w:val="24"/>
          <w:szCs w:val="24"/>
        </w:rPr>
        <w:t>.</w:t>
      </w:r>
    </w:p>
    <w:p w14:paraId="3F56BE1F" w14:textId="7DC87E6E" w:rsidR="00E6069E" w:rsidRDefault="00E6069E" w:rsidP="00AA69EC">
      <w:pPr>
        <w:tabs>
          <w:tab w:val="left" w:pos="0"/>
        </w:tabs>
        <w:autoSpaceDE w:val="0"/>
        <w:autoSpaceDN w:val="0"/>
        <w:adjustRightInd w:val="0"/>
        <w:spacing w:after="0" w:line="240" w:lineRule="auto"/>
        <w:rPr>
          <w:rFonts w:eastAsia="Times New Roman" w:cstheme="minorHAnsi"/>
          <w:kern w:val="2"/>
          <w:sz w:val="24"/>
          <w:szCs w:val="24"/>
        </w:rPr>
      </w:pPr>
    </w:p>
    <w:p w14:paraId="0FA733A1" w14:textId="0F747FCE" w:rsidR="00E6069E" w:rsidRPr="00A91BA2" w:rsidRDefault="00E6069E" w:rsidP="00AA69EC">
      <w:pPr>
        <w:tabs>
          <w:tab w:val="left" w:pos="0"/>
        </w:tabs>
        <w:autoSpaceDE w:val="0"/>
        <w:autoSpaceDN w:val="0"/>
        <w:adjustRightInd w:val="0"/>
        <w:spacing w:after="0" w:line="240" w:lineRule="auto"/>
        <w:rPr>
          <w:rFonts w:eastAsia="Times New Roman" w:cstheme="minorHAnsi"/>
          <w:kern w:val="2"/>
          <w:sz w:val="24"/>
          <w:szCs w:val="24"/>
        </w:rPr>
      </w:pPr>
      <w:r w:rsidRPr="00A61486">
        <w:rPr>
          <w:rFonts w:eastAsia="Times New Roman" w:cstheme="minorHAnsi"/>
          <w:b/>
          <w:bCs/>
          <w:kern w:val="2"/>
          <w:sz w:val="24"/>
          <w:szCs w:val="24"/>
        </w:rPr>
        <w:t xml:space="preserve">Alternative Option 2: </w:t>
      </w:r>
      <w:r w:rsidR="00D71AFB" w:rsidRPr="00A61486">
        <w:rPr>
          <w:rFonts w:eastAsia="Times New Roman" w:cstheme="minorHAnsi"/>
          <w:b/>
          <w:bCs/>
          <w:kern w:val="2"/>
          <w:sz w:val="24"/>
          <w:szCs w:val="24"/>
        </w:rPr>
        <w:t>Establish a satellite facility in Western Massachusetts</w:t>
      </w:r>
      <w:r w:rsidRPr="00A61486">
        <w:rPr>
          <w:rFonts w:eastAsia="Times New Roman" w:cstheme="minorHAnsi"/>
          <w:b/>
          <w:bCs/>
          <w:kern w:val="2"/>
          <w:sz w:val="24"/>
          <w:szCs w:val="24"/>
        </w:rPr>
        <w:t>.</w:t>
      </w:r>
      <w:r w:rsidRPr="00A61486">
        <w:rPr>
          <w:rFonts w:eastAsia="Times New Roman" w:cstheme="minorHAnsi"/>
          <w:kern w:val="2"/>
          <w:sz w:val="24"/>
          <w:szCs w:val="24"/>
        </w:rPr>
        <w:t xml:space="preserve"> </w:t>
      </w:r>
      <w:r w:rsidR="00A61486">
        <w:rPr>
          <w:rFonts w:eastAsia="Times New Roman" w:cstheme="minorHAnsi"/>
          <w:kern w:val="2"/>
          <w:sz w:val="24"/>
          <w:szCs w:val="24"/>
        </w:rPr>
        <w:t>This</w:t>
      </w:r>
      <w:r w:rsidR="00A61486" w:rsidRPr="00A61486">
        <w:rPr>
          <w:rFonts w:eastAsia="Times New Roman" w:cstheme="minorHAnsi"/>
          <w:kern w:val="2"/>
          <w:sz w:val="24"/>
          <w:szCs w:val="24"/>
        </w:rPr>
        <w:t xml:space="preserve"> alternative was rejected because it would have been a more costly alternative that required either new construction or a long-term lease of space rather than minor renovation and use of existing vacant space in the Hospital.  Moreover, the construction or lease of additional space to house the 17-bed expansion would result in the Hospital </w:t>
      </w:r>
      <w:r w:rsidR="00A61486">
        <w:rPr>
          <w:rFonts w:eastAsia="Times New Roman" w:cstheme="minorHAnsi"/>
          <w:kern w:val="2"/>
          <w:sz w:val="24"/>
          <w:szCs w:val="24"/>
        </w:rPr>
        <w:t>operating</w:t>
      </w:r>
      <w:r w:rsidR="00A61486" w:rsidRPr="00A61486">
        <w:rPr>
          <w:rFonts w:eastAsia="Times New Roman" w:cstheme="minorHAnsi"/>
          <w:kern w:val="2"/>
          <w:sz w:val="24"/>
          <w:szCs w:val="24"/>
        </w:rPr>
        <w:t xml:space="preserve"> less efficien</w:t>
      </w:r>
      <w:r w:rsidR="00A61486">
        <w:rPr>
          <w:rFonts w:eastAsia="Times New Roman" w:cstheme="minorHAnsi"/>
          <w:kern w:val="2"/>
          <w:sz w:val="24"/>
          <w:szCs w:val="24"/>
        </w:rPr>
        <w:t>tly</w:t>
      </w:r>
      <w:r w:rsidR="00A61486" w:rsidRPr="00A61486">
        <w:rPr>
          <w:rFonts w:eastAsia="Times New Roman" w:cstheme="minorHAnsi"/>
          <w:kern w:val="2"/>
          <w:sz w:val="24"/>
          <w:szCs w:val="24"/>
        </w:rPr>
        <w:t xml:space="preserve"> </w:t>
      </w:r>
      <w:r w:rsidR="00C91C80">
        <w:rPr>
          <w:rFonts w:eastAsia="Times New Roman" w:cstheme="minorHAnsi"/>
          <w:kern w:val="2"/>
          <w:sz w:val="24"/>
          <w:szCs w:val="24"/>
        </w:rPr>
        <w:t>across two separate sites</w:t>
      </w:r>
      <w:r w:rsidR="00A61486" w:rsidRPr="00A61486">
        <w:rPr>
          <w:rFonts w:eastAsia="Times New Roman" w:cstheme="minorHAnsi"/>
          <w:kern w:val="2"/>
          <w:sz w:val="24"/>
          <w:szCs w:val="24"/>
        </w:rPr>
        <w:t xml:space="preserve">. </w:t>
      </w:r>
    </w:p>
    <w:p w14:paraId="683854D4" w14:textId="77777777" w:rsidR="00A91BA2" w:rsidRPr="00A91BA2" w:rsidRDefault="00A91BA2" w:rsidP="00AA69EC">
      <w:pPr>
        <w:tabs>
          <w:tab w:val="left" w:pos="0"/>
        </w:tabs>
        <w:autoSpaceDE w:val="0"/>
        <w:autoSpaceDN w:val="0"/>
        <w:adjustRightInd w:val="0"/>
        <w:spacing w:after="0" w:line="240" w:lineRule="auto"/>
        <w:rPr>
          <w:rFonts w:eastAsia="Calibri" w:cstheme="minorHAnsi"/>
          <w:bCs/>
          <w:kern w:val="2"/>
          <w:sz w:val="24"/>
          <w:szCs w:val="24"/>
        </w:rPr>
      </w:pPr>
    </w:p>
    <w:p w14:paraId="634575E0" w14:textId="77777777" w:rsidR="00600415" w:rsidRPr="00600415" w:rsidRDefault="00600415" w:rsidP="0026036D">
      <w:pPr>
        <w:spacing w:after="0" w:line="240" w:lineRule="auto"/>
        <w:rPr>
          <w:b/>
          <w:bCs/>
          <w:i/>
          <w:iCs/>
          <w:sz w:val="24"/>
          <w:szCs w:val="24"/>
        </w:rPr>
      </w:pPr>
      <w:r w:rsidRPr="00D70215">
        <w:rPr>
          <w:b/>
          <w:bCs/>
          <w:i/>
          <w:iCs/>
          <w:sz w:val="24"/>
          <w:szCs w:val="24"/>
        </w:rPr>
        <w:t>Analysis</w:t>
      </w:r>
    </w:p>
    <w:p w14:paraId="634995B1" w14:textId="1570CC5E" w:rsidR="003E1CDA" w:rsidRDefault="00600415" w:rsidP="0026036D">
      <w:pPr>
        <w:spacing w:after="0" w:line="240" w:lineRule="auto"/>
        <w:rPr>
          <w:sz w:val="24"/>
          <w:szCs w:val="24"/>
        </w:rPr>
      </w:pPr>
      <w:r>
        <w:rPr>
          <w:sz w:val="24"/>
          <w:szCs w:val="24"/>
        </w:rPr>
        <w:t>S</w:t>
      </w:r>
      <w:r w:rsidR="003E1CDA" w:rsidRPr="003E1CDA">
        <w:rPr>
          <w:sz w:val="24"/>
          <w:szCs w:val="24"/>
        </w:rPr>
        <w:t xml:space="preserve">taff finds that the Applicant has appropriately considered the quality, efficiency, and capital and operating costs of the Proposed Project relative to </w:t>
      </w:r>
      <w:r w:rsidR="00B630AD">
        <w:rPr>
          <w:sz w:val="24"/>
          <w:szCs w:val="24"/>
        </w:rPr>
        <w:t xml:space="preserve">the </w:t>
      </w:r>
      <w:r w:rsidR="003E1CDA" w:rsidRPr="003E1CDA">
        <w:rPr>
          <w:sz w:val="24"/>
          <w:szCs w:val="24"/>
        </w:rPr>
        <w:t>potential alternative. As a result of information provided by the Applicant and additional analysis, staff finds the Applicant has reasonably met the standards of Factor 5.</w:t>
      </w:r>
    </w:p>
    <w:p w14:paraId="57F0E0A7" w14:textId="77777777" w:rsidR="001D570C" w:rsidRPr="003E1CDA" w:rsidRDefault="001D570C" w:rsidP="0026036D">
      <w:pPr>
        <w:spacing w:after="0" w:line="240" w:lineRule="auto"/>
        <w:rPr>
          <w:sz w:val="24"/>
          <w:szCs w:val="24"/>
        </w:rPr>
      </w:pPr>
    </w:p>
    <w:p w14:paraId="28CCA38F" w14:textId="17C4E6B9" w:rsidR="008213E7" w:rsidRDefault="00FA6CD1" w:rsidP="0024289A">
      <w:pPr>
        <w:pStyle w:val="Heading1"/>
      </w:pPr>
      <w:bookmarkStart w:id="23" w:name="_Toc151538510"/>
      <w:r w:rsidRPr="00FA6CD1">
        <w:t>Factor 6: Fulfillment of DPH Community-based Health Initiatives</w:t>
      </w:r>
      <w:bookmarkEnd w:id="23"/>
    </w:p>
    <w:p w14:paraId="787DE1D5" w14:textId="360B7FA0" w:rsidR="00FA74CC" w:rsidRPr="00FB4DD9" w:rsidRDefault="003D2DE6" w:rsidP="00FA74CC">
      <w:pPr>
        <w:spacing w:after="0" w:line="240" w:lineRule="auto"/>
        <w:ind w:right="540"/>
        <w:rPr>
          <w:rStyle w:val="eop"/>
          <w:rFonts w:ascii="Calibri" w:hAnsi="Calibri" w:cs="Calibri"/>
          <w:color w:val="000000"/>
          <w:sz w:val="24"/>
          <w:szCs w:val="24"/>
          <w:shd w:val="clear" w:color="auto" w:fill="FFFFFF"/>
        </w:rPr>
      </w:pPr>
      <w:r w:rsidRPr="00FB4DD9">
        <w:rPr>
          <w:rStyle w:val="normaltextrun"/>
          <w:rFonts w:ascii="Calibri" w:hAnsi="Calibri" w:cs="Calibri"/>
          <w:color w:val="000000"/>
          <w:sz w:val="24"/>
          <w:szCs w:val="24"/>
          <w:shd w:val="clear" w:color="auto" w:fill="FFFFFF"/>
        </w:rPr>
        <w:t xml:space="preserve">The Applicant, Encompass Health Corporation, is a </w:t>
      </w:r>
      <w:r w:rsidR="005545D5">
        <w:rPr>
          <w:rStyle w:val="normaltextrun"/>
          <w:rFonts w:ascii="Calibri" w:hAnsi="Calibri" w:cs="Calibri"/>
          <w:color w:val="000000"/>
          <w:sz w:val="24"/>
          <w:szCs w:val="24"/>
          <w:shd w:val="clear" w:color="auto" w:fill="FFFFFF"/>
        </w:rPr>
        <w:t xml:space="preserve">non-acute care </w:t>
      </w:r>
      <w:r w:rsidRPr="00FB4DD9">
        <w:rPr>
          <w:rStyle w:val="normaltextrun"/>
          <w:rFonts w:ascii="Calibri" w:hAnsi="Calibri" w:cs="Calibri"/>
          <w:color w:val="000000"/>
          <w:sz w:val="24"/>
          <w:szCs w:val="24"/>
          <w:shd w:val="clear" w:color="auto" w:fill="FFFFFF"/>
        </w:rPr>
        <w:t>rehabilitation hospital applying for a substantial capital expenditure project. As a hospital without a community health planning infrastructure, the Applicant will contribute 5% of the total project costs to the Statewide Community Health and Healthy Aging Funds.</w:t>
      </w:r>
      <w:r w:rsidRPr="00FB4DD9">
        <w:rPr>
          <w:rStyle w:val="eop"/>
          <w:rFonts w:ascii="Calibri" w:hAnsi="Calibri" w:cs="Calibri"/>
          <w:color w:val="000000"/>
          <w:sz w:val="24"/>
          <w:szCs w:val="24"/>
          <w:shd w:val="clear" w:color="auto" w:fill="FFFFFF"/>
        </w:rPr>
        <w:t> </w:t>
      </w:r>
    </w:p>
    <w:p w14:paraId="054EC057" w14:textId="77777777" w:rsidR="000E3CCB" w:rsidRDefault="000E3CCB" w:rsidP="00FA74CC">
      <w:pPr>
        <w:spacing w:after="0" w:line="240" w:lineRule="auto"/>
        <w:ind w:right="540"/>
        <w:rPr>
          <w:rFonts w:ascii="Calibri" w:eastAsia="Times New Roman" w:hAnsi="Calibri" w:cs="Times New Roman"/>
          <w:b/>
          <w:bCs/>
          <w:i/>
          <w:iCs/>
          <w:color w:val="000000"/>
          <w:sz w:val="24"/>
          <w:szCs w:val="24"/>
        </w:rPr>
      </w:pPr>
    </w:p>
    <w:p w14:paraId="36ACF3A1" w14:textId="10DCD567" w:rsidR="003E1CDA" w:rsidRPr="003E1CDA" w:rsidRDefault="006578AD" w:rsidP="0024289A">
      <w:pPr>
        <w:pStyle w:val="Heading1"/>
      </w:pPr>
      <w:bookmarkStart w:id="24" w:name="_Toc151538511"/>
      <w:r>
        <w:t xml:space="preserve">Overall </w:t>
      </w:r>
      <w:r w:rsidR="003E1CDA" w:rsidRPr="003E1CDA">
        <w:t>Findings and Recommendations</w:t>
      </w:r>
      <w:bookmarkEnd w:id="24"/>
      <w:r w:rsidR="003E1CDA" w:rsidRPr="003E1CDA">
        <w:t xml:space="preserve"> </w:t>
      </w:r>
    </w:p>
    <w:p w14:paraId="240B4334" w14:textId="33B2D95C" w:rsidR="003E1CDA" w:rsidRPr="003E1CDA" w:rsidRDefault="003E1CDA" w:rsidP="003E1CDA">
      <w:pPr>
        <w:spacing w:after="0" w:line="240" w:lineRule="auto"/>
        <w:rPr>
          <w:sz w:val="24"/>
          <w:szCs w:val="24"/>
        </w:rPr>
      </w:pPr>
      <w:r w:rsidRPr="003E1CDA">
        <w:rPr>
          <w:sz w:val="24"/>
          <w:szCs w:val="24"/>
        </w:rPr>
        <w:t xml:space="preserve">Based upon a review of the materials submitted, Staff finds that, with the addition of the recommended conditions detailed below, the Applicant has met each </w:t>
      </w:r>
      <w:proofErr w:type="spellStart"/>
      <w:r w:rsidRPr="003E1CDA">
        <w:rPr>
          <w:sz w:val="24"/>
          <w:szCs w:val="24"/>
        </w:rPr>
        <w:t>DoN</w:t>
      </w:r>
      <w:proofErr w:type="spellEnd"/>
      <w:r w:rsidRPr="003E1CDA">
        <w:rPr>
          <w:sz w:val="24"/>
          <w:szCs w:val="24"/>
        </w:rPr>
        <w:t xml:space="preserve"> Factor for the Proposed </w:t>
      </w:r>
      <w:r w:rsidR="003D35D8" w:rsidRPr="003E1CDA">
        <w:rPr>
          <w:sz w:val="24"/>
          <w:szCs w:val="24"/>
        </w:rPr>
        <w:t>Project and</w:t>
      </w:r>
      <w:r w:rsidRPr="003E1CDA">
        <w:rPr>
          <w:sz w:val="24"/>
          <w:szCs w:val="24"/>
        </w:rPr>
        <w:t xml:space="preserve"> recommends that the Department approve this Determination of Need, subject to all applicable standard and Other Conditions. </w:t>
      </w:r>
    </w:p>
    <w:p w14:paraId="6809D2AC" w14:textId="56FBA335" w:rsidR="005F2DE7" w:rsidRDefault="005F2DE7" w:rsidP="003E1CDA">
      <w:pPr>
        <w:spacing w:line="240" w:lineRule="auto"/>
        <w:rPr>
          <w:b/>
          <w:bCs/>
          <w:sz w:val="24"/>
          <w:szCs w:val="24"/>
        </w:rPr>
      </w:pPr>
    </w:p>
    <w:p w14:paraId="1EFA40B6" w14:textId="0F66B034" w:rsidR="003E1CDA" w:rsidRDefault="00FA6CD1" w:rsidP="0024289A">
      <w:pPr>
        <w:pStyle w:val="Heading1"/>
      </w:pPr>
      <w:bookmarkStart w:id="25" w:name="_Toc151538512"/>
      <w:r>
        <w:t xml:space="preserve">Conditions to the </w:t>
      </w:r>
      <w:proofErr w:type="spellStart"/>
      <w:r>
        <w:t>DoN</w:t>
      </w:r>
      <w:bookmarkEnd w:id="25"/>
      <w:proofErr w:type="spellEnd"/>
    </w:p>
    <w:p w14:paraId="114C7D2F" w14:textId="77777777" w:rsidR="00384DDC" w:rsidRPr="000E3CCB" w:rsidRDefault="00384DDC" w:rsidP="00384DDC">
      <w:pPr>
        <w:pStyle w:val="paragraph"/>
        <w:numPr>
          <w:ilvl w:val="0"/>
          <w:numId w:val="23"/>
        </w:numPr>
        <w:spacing w:before="0" w:beforeAutospacing="0" w:after="0" w:afterAutospacing="0"/>
        <w:ind w:left="1080" w:firstLine="0"/>
        <w:textAlignment w:val="baseline"/>
        <w:rPr>
          <w:rFonts w:ascii="Calibri" w:hAnsi="Calibri" w:cs="Calibri"/>
        </w:rPr>
      </w:pPr>
      <w:r w:rsidRPr="000E3CCB">
        <w:rPr>
          <w:rStyle w:val="normaltextrun"/>
          <w:rFonts w:ascii="Calibri" w:hAnsi="Calibri" w:cs="Calibri"/>
        </w:rPr>
        <w:t>The total required CHI contribution of $293,137.95 will be directed to the Massachusetts Statewide Community Health Funds.</w:t>
      </w:r>
      <w:r w:rsidRPr="000E3CCB">
        <w:rPr>
          <w:rStyle w:val="eop"/>
          <w:rFonts w:ascii="Calibri" w:hAnsi="Calibri" w:cs="Calibri"/>
        </w:rPr>
        <w:t> </w:t>
      </w:r>
    </w:p>
    <w:p w14:paraId="3E6B1E8F" w14:textId="77777777" w:rsidR="00384DDC" w:rsidRPr="000E3CCB" w:rsidRDefault="00384DDC" w:rsidP="00384DDC">
      <w:pPr>
        <w:pStyle w:val="paragraph"/>
        <w:numPr>
          <w:ilvl w:val="0"/>
          <w:numId w:val="24"/>
        </w:numPr>
        <w:spacing w:before="0" w:beforeAutospacing="0" w:after="0" w:afterAutospacing="0"/>
        <w:ind w:left="1080" w:firstLine="0"/>
        <w:textAlignment w:val="baseline"/>
        <w:rPr>
          <w:rFonts w:ascii="Calibri" w:hAnsi="Calibri" w:cs="Calibri"/>
        </w:rPr>
      </w:pPr>
      <w:r w:rsidRPr="000E3CCB">
        <w:rPr>
          <w:rStyle w:val="normaltextrun"/>
          <w:rFonts w:ascii="Calibri" w:hAnsi="Calibri" w:cs="Calibri"/>
        </w:rPr>
        <w:t>To comply with the Holder’s obligation to contribute to the Massachusetts Statewide Community Health Funds, the Holder must submit the payment, a check for $293,137.95, to Health Resources in Action (the fiscal agent for the CHI Statewide Initiative).</w:t>
      </w:r>
      <w:r w:rsidRPr="000E3CCB">
        <w:rPr>
          <w:rStyle w:val="eop"/>
          <w:rFonts w:ascii="Calibri" w:hAnsi="Calibri" w:cs="Calibri"/>
        </w:rPr>
        <w:t> </w:t>
      </w:r>
    </w:p>
    <w:p w14:paraId="2E802D6A" w14:textId="77777777" w:rsidR="00384DDC" w:rsidRPr="000E3CCB" w:rsidRDefault="00384DDC" w:rsidP="00384DDC">
      <w:pPr>
        <w:pStyle w:val="paragraph"/>
        <w:numPr>
          <w:ilvl w:val="0"/>
          <w:numId w:val="25"/>
        </w:numPr>
        <w:spacing w:before="0" w:beforeAutospacing="0" w:after="0" w:afterAutospacing="0"/>
        <w:ind w:left="1800" w:firstLine="0"/>
        <w:textAlignment w:val="baseline"/>
        <w:rPr>
          <w:rFonts w:ascii="Calibri" w:hAnsi="Calibri" w:cs="Calibri"/>
        </w:rPr>
      </w:pPr>
      <w:r w:rsidRPr="000E3CCB">
        <w:rPr>
          <w:rStyle w:val="normaltextrun"/>
          <w:rFonts w:ascii="Calibri" w:hAnsi="Calibri" w:cs="Calibri"/>
        </w:rPr>
        <w:t xml:space="preserve">The Holder must submit the funds to </w:t>
      </w:r>
      <w:proofErr w:type="spellStart"/>
      <w:r w:rsidRPr="000E3CCB">
        <w:rPr>
          <w:rStyle w:val="spellingerror"/>
          <w:rFonts w:ascii="Calibri" w:hAnsi="Calibri" w:cs="Calibri"/>
        </w:rPr>
        <w:t>HRiA</w:t>
      </w:r>
      <w:proofErr w:type="spellEnd"/>
      <w:r w:rsidRPr="000E3CCB">
        <w:rPr>
          <w:rStyle w:val="normaltextrun"/>
          <w:rFonts w:ascii="Calibri" w:hAnsi="Calibri" w:cs="Calibri"/>
        </w:rPr>
        <w:t xml:space="preserve"> within 30 days from the date of the Notice of Approval.</w:t>
      </w:r>
      <w:r w:rsidRPr="000E3CCB">
        <w:rPr>
          <w:rStyle w:val="eop"/>
          <w:rFonts w:ascii="Calibri" w:hAnsi="Calibri" w:cs="Calibri"/>
        </w:rPr>
        <w:t> </w:t>
      </w:r>
    </w:p>
    <w:p w14:paraId="718282E5" w14:textId="7EA4C379" w:rsidR="00FA74CC" w:rsidRPr="000E3CCB" w:rsidRDefault="00384DDC" w:rsidP="00FA74CC">
      <w:pPr>
        <w:pStyle w:val="paragraph"/>
        <w:numPr>
          <w:ilvl w:val="0"/>
          <w:numId w:val="26"/>
        </w:numPr>
        <w:spacing w:before="0" w:beforeAutospacing="0" w:after="0" w:afterAutospacing="0"/>
        <w:ind w:left="1800" w:firstLine="0"/>
        <w:textAlignment w:val="baseline"/>
        <w:rPr>
          <w:rStyle w:val="eop"/>
          <w:rFonts w:ascii="Calibri" w:hAnsi="Calibri" w:cs="Calibri"/>
        </w:rPr>
      </w:pPr>
      <w:r w:rsidRPr="000E3CCB">
        <w:rPr>
          <w:rStyle w:val="normaltextrun"/>
          <w:rFonts w:ascii="Calibri" w:hAnsi="Calibri" w:cs="Calibri"/>
        </w:rPr>
        <w:t>The Holder must promptly notify DPH (CHI contact staff) when payment has been made.</w:t>
      </w:r>
      <w:r w:rsidRPr="000E3CCB">
        <w:rPr>
          <w:rStyle w:val="eop"/>
          <w:rFonts w:ascii="Calibri" w:hAnsi="Calibri" w:cs="Calibri"/>
        </w:rPr>
        <w:t> </w:t>
      </w:r>
    </w:p>
    <w:p w14:paraId="11EBFC02" w14:textId="77777777" w:rsidR="00384DDC" w:rsidRPr="00384DDC" w:rsidRDefault="00384DDC" w:rsidP="00384DDC">
      <w:pPr>
        <w:pStyle w:val="paragraph"/>
        <w:spacing w:before="0" w:beforeAutospacing="0" w:after="0" w:afterAutospacing="0"/>
        <w:ind w:left="1800"/>
        <w:textAlignment w:val="baseline"/>
        <w:rPr>
          <w:rFonts w:ascii="Calibri" w:hAnsi="Calibri" w:cs="Calibri"/>
          <w:sz w:val="22"/>
          <w:szCs w:val="22"/>
        </w:rPr>
      </w:pPr>
    </w:p>
    <w:p w14:paraId="5C1A9832" w14:textId="0A5561EA" w:rsidR="00FA74CC" w:rsidRPr="00FA74CC" w:rsidRDefault="00FA74CC" w:rsidP="00FA74CC">
      <w:pPr>
        <w:spacing w:after="0" w:line="240" w:lineRule="auto"/>
        <w:ind w:left="72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Payment should be sent to: </w:t>
      </w:r>
    </w:p>
    <w:p w14:paraId="034D94CD" w14:textId="3FA2AD20" w:rsidR="00FA74CC" w:rsidRPr="00FA74CC" w:rsidRDefault="00FA74CC" w:rsidP="00FA74CC">
      <w:pPr>
        <w:spacing w:after="0" w:line="240" w:lineRule="auto"/>
        <w:ind w:left="144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lastRenderedPageBreak/>
        <w:t>Health Resources in Action, Inc., (</w:t>
      </w:r>
      <w:proofErr w:type="spellStart"/>
      <w:r w:rsidRPr="00FA74CC">
        <w:rPr>
          <w:rFonts w:ascii="Calibri" w:eastAsia="Times New Roman" w:hAnsi="Calibri" w:cs="Times New Roman"/>
          <w:color w:val="000000"/>
          <w:sz w:val="24"/>
          <w:szCs w:val="24"/>
        </w:rPr>
        <w:t>HRiA</w:t>
      </w:r>
      <w:proofErr w:type="spellEnd"/>
      <w:r w:rsidRPr="00FA74CC">
        <w:rPr>
          <w:rFonts w:ascii="Calibri" w:eastAsia="Times New Roman" w:hAnsi="Calibri" w:cs="Times New Roman"/>
          <w:color w:val="000000"/>
          <w:sz w:val="24"/>
          <w:szCs w:val="24"/>
        </w:rPr>
        <w:t>)</w:t>
      </w:r>
    </w:p>
    <w:p w14:paraId="52523FC2" w14:textId="30C9404D" w:rsidR="00FA74CC" w:rsidRPr="00FA74CC" w:rsidRDefault="00FA74CC" w:rsidP="00FA74CC">
      <w:pPr>
        <w:spacing w:after="0" w:line="240" w:lineRule="auto"/>
        <w:ind w:left="144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xml:space="preserve">2 Boylston Street, 4th </w:t>
      </w:r>
      <w:proofErr w:type="gramStart"/>
      <w:r w:rsidRPr="00FA74CC">
        <w:rPr>
          <w:rFonts w:ascii="Calibri" w:eastAsia="Times New Roman" w:hAnsi="Calibri" w:cs="Times New Roman"/>
          <w:color w:val="000000"/>
          <w:sz w:val="24"/>
          <w:szCs w:val="24"/>
        </w:rPr>
        <w:t>Floor</w:t>
      </w:r>
      <w:proofErr w:type="gramEnd"/>
      <w:r w:rsidRPr="00FA74CC">
        <w:rPr>
          <w:rFonts w:ascii="Calibri" w:eastAsia="Times New Roman" w:hAnsi="Calibri" w:cs="Times New Roman"/>
          <w:color w:val="000000"/>
          <w:sz w:val="24"/>
          <w:szCs w:val="24"/>
        </w:rPr>
        <w:t> </w:t>
      </w:r>
    </w:p>
    <w:p w14:paraId="3864D3AA" w14:textId="7A173D7F" w:rsidR="00FA74CC" w:rsidRPr="00FA74CC" w:rsidRDefault="00FA74CC" w:rsidP="00FA74CC">
      <w:pPr>
        <w:spacing w:after="0" w:line="240" w:lineRule="auto"/>
        <w:ind w:left="144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Boston, MA 02116</w:t>
      </w:r>
    </w:p>
    <w:p w14:paraId="7F0691BC" w14:textId="1DD17E19" w:rsidR="007179DD" w:rsidRDefault="00FA74CC" w:rsidP="007179DD">
      <w:pPr>
        <w:ind w:left="14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Attn: Ms. Bora Toro </w:t>
      </w:r>
    </w:p>
    <w:p w14:paraId="08DF4034" w14:textId="77777777" w:rsidR="007179DD" w:rsidRDefault="007179DD" w:rsidP="007179DD">
      <w:pPr>
        <w:ind w:left="1440"/>
        <w:rPr>
          <w:rFonts w:ascii="Calibri" w:eastAsia="Times New Roman" w:hAnsi="Calibri" w:cs="Times New Roman"/>
          <w:color w:val="000000"/>
          <w:sz w:val="24"/>
          <w:szCs w:val="24"/>
        </w:rPr>
      </w:pPr>
    </w:p>
    <w:p w14:paraId="6C2BD534" w14:textId="77777777" w:rsidR="007179DD" w:rsidRDefault="007179DD" w:rsidP="007179DD">
      <w:pPr>
        <w:pStyle w:val="Heading1"/>
      </w:pPr>
      <w:bookmarkStart w:id="26" w:name="_Toc151538513"/>
      <w:r w:rsidRPr="003D35D8">
        <w:t>Appendix I</w:t>
      </w:r>
      <w:bookmarkEnd w:id="26"/>
    </w:p>
    <w:p w14:paraId="689F1A68" w14:textId="77777777" w:rsidR="007179DD" w:rsidRDefault="007179DD" w:rsidP="007179DD">
      <w:pPr>
        <w:spacing w:after="0" w:line="240" w:lineRule="auto"/>
        <w:ind w:left="20"/>
        <w:jc w:val="both"/>
        <w:rPr>
          <w:rFonts w:cstheme="minorHAnsi"/>
          <w:sz w:val="24"/>
          <w:szCs w:val="24"/>
        </w:rPr>
      </w:pPr>
    </w:p>
    <w:p w14:paraId="3AC504FD" w14:textId="77777777" w:rsidR="007179DD" w:rsidRPr="00973AA0" w:rsidRDefault="007179DD" w:rsidP="007179DD">
      <w:pPr>
        <w:rPr>
          <w:rFonts w:cstheme="minorHAnsi"/>
          <w:b/>
          <w:bCs/>
          <w:iCs/>
          <w:sz w:val="24"/>
          <w:szCs w:val="24"/>
        </w:rPr>
      </w:pPr>
      <w:r w:rsidRPr="00973AA0">
        <w:rPr>
          <w:rFonts w:cstheme="minorHAnsi"/>
          <w:b/>
          <w:bCs/>
          <w:iCs/>
          <w:sz w:val="24"/>
          <w:szCs w:val="24"/>
        </w:rPr>
        <w:t>Outcome Measures</w:t>
      </w:r>
    </w:p>
    <w:p w14:paraId="335D2565" w14:textId="77777777" w:rsidR="007179DD" w:rsidRDefault="007179DD" w:rsidP="007179DD">
      <w:pPr>
        <w:rPr>
          <w:rFonts w:cstheme="minorHAnsi"/>
          <w:sz w:val="24"/>
          <w:szCs w:val="24"/>
        </w:rPr>
      </w:pPr>
      <w:r>
        <w:rPr>
          <w:rStyle w:val="normaltextrun"/>
          <w:rFonts w:cstheme="minorHAnsi"/>
          <w:sz w:val="24"/>
          <w:szCs w:val="24"/>
        </w:rPr>
        <w:t>Below is a list of outcome measures t</w:t>
      </w:r>
      <w:r w:rsidRPr="00973AA0">
        <w:rPr>
          <w:rStyle w:val="normaltextrun"/>
          <w:rFonts w:cstheme="minorHAnsi"/>
          <w:sz w:val="24"/>
          <w:szCs w:val="24"/>
        </w:rPr>
        <w:t>o assess the impact of the Proposed Project</w:t>
      </w:r>
      <w:r>
        <w:rPr>
          <w:rStyle w:val="normaltextrun"/>
          <w:rFonts w:cstheme="minorHAnsi"/>
          <w:sz w:val="24"/>
          <w:szCs w:val="24"/>
        </w:rPr>
        <w:t>.</w:t>
      </w:r>
      <w:r w:rsidRPr="00973AA0">
        <w:rPr>
          <w:rStyle w:val="normaltextrun"/>
          <w:rFonts w:cstheme="minorHAnsi"/>
          <w:sz w:val="24"/>
          <w:szCs w:val="24"/>
        </w:rPr>
        <w:t xml:space="preserve"> The Applicant will report this information to the Department’s </w:t>
      </w:r>
      <w:proofErr w:type="spellStart"/>
      <w:r w:rsidRPr="00973AA0">
        <w:rPr>
          <w:rStyle w:val="normaltextrun"/>
          <w:rFonts w:cstheme="minorHAnsi"/>
          <w:sz w:val="24"/>
          <w:szCs w:val="24"/>
        </w:rPr>
        <w:t>DoN</w:t>
      </w:r>
      <w:proofErr w:type="spellEnd"/>
      <w:r w:rsidRPr="00973AA0">
        <w:rPr>
          <w:rStyle w:val="normaltextrun"/>
          <w:rFonts w:cstheme="minorHAnsi"/>
          <w:sz w:val="24"/>
          <w:szCs w:val="24"/>
        </w:rPr>
        <w:t xml:space="preserve"> Program staff as part of its annual report required by 105 CMR 100.310(A)(12) following implementation of the Proposed Project. </w:t>
      </w:r>
      <w:r w:rsidRPr="00973AA0">
        <w:rPr>
          <w:rFonts w:cstheme="minorHAnsi"/>
          <w:sz w:val="24"/>
          <w:szCs w:val="24"/>
        </w:rPr>
        <w:t xml:space="preserve">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52B7465C" w14:textId="7EA5B18F" w:rsidR="0074347C" w:rsidRDefault="0074347C" w:rsidP="007179DD">
      <w:pPr>
        <w:pStyle w:val="ListParagraph"/>
        <w:numPr>
          <w:ilvl w:val="1"/>
          <w:numId w:val="25"/>
        </w:numPr>
        <w:rPr>
          <w:rFonts w:cstheme="minorHAnsi"/>
          <w:sz w:val="24"/>
          <w:szCs w:val="24"/>
        </w:rPr>
      </w:pPr>
      <w:r>
        <w:rPr>
          <w:rFonts w:cstheme="minorHAnsi"/>
          <w:sz w:val="24"/>
          <w:szCs w:val="24"/>
        </w:rPr>
        <w:t xml:space="preserve">Utilization (as expressed in Table </w:t>
      </w:r>
      <w:r w:rsidR="00D17E8F">
        <w:rPr>
          <w:rFonts w:cstheme="minorHAnsi"/>
          <w:sz w:val="24"/>
          <w:szCs w:val="24"/>
        </w:rPr>
        <w:t>5</w:t>
      </w:r>
      <w:r>
        <w:rPr>
          <w:rFonts w:cstheme="minorHAnsi"/>
          <w:sz w:val="24"/>
          <w:szCs w:val="24"/>
        </w:rPr>
        <w:t>)</w:t>
      </w:r>
      <w:r w:rsidR="00F930EB">
        <w:rPr>
          <w:rFonts w:cstheme="minorHAnsi"/>
          <w:sz w:val="24"/>
          <w:szCs w:val="24"/>
        </w:rPr>
        <w:t>, which shall include:</w:t>
      </w:r>
      <w:r w:rsidR="00F930EB">
        <w:rPr>
          <w:rFonts w:cstheme="minorHAnsi"/>
          <w:sz w:val="24"/>
          <w:szCs w:val="24"/>
        </w:rPr>
        <w:tab/>
      </w:r>
    </w:p>
    <w:p w14:paraId="369DB23F" w14:textId="19BB858C" w:rsidR="00F930EB" w:rsidRDefault="0081692E" w:rsidP="00F930EB">
      <w:pPr>
        <w:pStyle w:val="ListParagraph"/>
        <w:numPr>
          <w:ilvl w:val="2"/>
          <w:numId w:val="25"/>
        </w:numPr>
        <w:rPr>
          <w:rFonts w:cstheme="minorHAnsi"/>
          <w:sz w:val="24"/>
          <w:szCs w:val="24"/>
        </w:rPr>
      </w:pPr>
      <w:r>
        <w:rPr>
          <w:rFonts w:cstheme="minorHAnsi"/>
          <w:sz w:val="24"/>
          <w:szCs w:val="24"/>
        </w:rPr>
        <w:t>P</w:t>
      </w:r>
      <w:r w:rsidR="00D17E8F">
        <w:rPr>
          <w:rFonts w:cstheme="minorHAnsi"/>
          <w:sz w:val="24"/>
          <w:szCs w:val="24"/>
        </w:rPr>
        <w:t xml:space="preserve">atient </w:t>
      </w:r>
      <w:r w:rsidR="00474E94">
        <w:rPr>
          <w:rFonts w:cstheme="minorHAnsi"/>
          <w:sz w:val="24"/>
          <w:szCs w:val="24"/>
        </w:rPr>
        <w:t>Days</w:t>
      </w:r>
    </w:p>
    <w:p w14:paraId="27BAD45B" w14:textId="58439350" w:rsidR="00474E94" w:rsidRDefault="00474E94" w:rsidP="00F930EB">
      <w:pPr>
        <w:pStyle w:val="ListParagraph"/>
        <w:numPr>
          <w:ilvl w:val="2"/>
          <w:numId w:val="25"/>
        </w:numPr>
        <w:rPr>
          <w:rFonts w:cstheme="minorHAnsi"/>
          <w:sz w:val="24"/>
          <w:szCs w:val="24"/>
        </w:rPr>
      </w:pPr>
      <w:r>
        <w:rPr>
          <w:rFonts w:cstheme="minorHAnsi"/>
          <w:sz w:val="24"/>
          <w:szCs w:val="24"/>
        </w:rPr>
        <w:t>Discharges</w:t>
      </w:r>
    </w:p>
    <w:p w14:paraId="3377568E" w14:textId="26487C18" w:rsidR="00474E94" w:rsidRDefault="006056C6" w:rsidP="00F930EB">
      <w:pPr>
        <w:pStyle w:val="ListParagraph"/>
        <w:numPr>
          <w:ilvl w:val="2"/>
          <w:numId w:val="25"/>
        </w:numPr>
        <w:rPr>
          <w:rFonts w:cstheme="minorHAnsi"/>
          <w:sz w:val="24"/>
          <w:szCs w:val="24"/>
        </w:rPr>
      </w:pPr>
      <w:r>
        <w:rPr>
          <w:rFonts w:cstheme="minorHAnsi"/>
          <w:sz w:val="24"/>
          <w:szCs w:val="24"/>
        </w:rPr>
        <w:t>Average Length of Stay</w:t>
      </w:r>
    </w:p>
    <w:p w14:paraId="45CD6A07" w14:textId="060AF3E8" w:rsidR="006056C6" w:rsidRDefault="00C41735" w:rsidP="00F930EB">
      <w:pPr>
        <w:pStyle w:val="ListParagraph"/>
        <w:numPr>
          <w:ilvl w:val="2"/>
          <w:numId w:val="25"/>
        </w:numPr>
        <w:rPr>
          <w:rFonts w:cstheme="minorHAnsi"/>
          <w:sz w:val="24"/>
          <w:szCs w:val="24"/>
        </w:rPr>
      </w:pPr>
      <w:r>
        <w:rPr>
          <w:rFonts w:cstheme="minorHAnsi"/>
          <w:sz w:val="24"/>
          <w:szCs w:val="24"/>
        </w:rPr>
        <w:t>Licensed Beds</w:t>
      </w:r>
    </w:p>
    <w:p w14:paraId="6D3BB52A" w14:textId="766A8D0E" w:rsidR="00C41735" w:rsidRDefault="0081692E" w:rsidP="00F930EB">
      <w:pPr>
        <w:pStyle w:val="ListParagraph"/>
        <w:numPr>
          <w:ilvl w:val="2"/>
          <w:numId w:val="25"/>
        </w:numPr>
        <w:rPr>
          <w:rFonts w:cstheme="minorHAnsi"/>
          <w:sz w:val="24"/>
          <w:szCs w:val="24"/>
        </w:rPr>
      </w:pPr>
      <w:r>
        <w:rPr>
          <w:rFonts w:cstheme="minorHAnsi"/>
          <w:sz w:val="24"/>
          <w:szCs w:val="24"/>
        </w:rPr>
        <w:t>Average Daily Census</w:t>
      </w:r>
    </w:p>
    <w:p w14:paraId="2C5A0CC3" w14:textId="60029B77" w:rsidR="0081692E" w:rsidRDefault="0081692E" w:rsidP="00F930EB">
      <w:pPr>
        <w:pStyle w:val="ListParagraph"/>
        <w:numPr>
          <w:ilvl w:val="2"/>
          <w:numId w:val="25"/>
        </w:numPr>
        <w:rPr>
          <w:rFonts w:cstheme="minorHAnsi"/>
          <w:sz w:val="24"/>
          <w:szCs w:val="24"/>
        </w:rPr>
      </w:pPr>
      <w:r>
        <w:rPr>
          <w:rFonts w:cstheme="minorHAnsi"/>
          <w:sz w:val="24"/>
          <w:szCs w:val="24"/>
        </w:rPr>
        <w:t>Occupancy</w:t>
      </w:r>
    </w:p>
    <w:p w14:paraId="1770521C" w14:textId="5891214C" w:rsidR="007179DD" w:rsidRPr="006B4C97" w:rsidRDefault="007179DD" w:rsidP="007179DD">
      <w:pPr>
        <w:pStyle w:val="ListParagraph"/>
        <w:numPr>
          <w:ilvl w:val="1"/>
          <w:numId w:val="25"/>
        </w:numPr>
        <w:rPr>
          <w:rFonts w:cstheme="minorHAnsi"/>
          <w:sz w:val="24"/>
          <w:szCs w:val="24"/>
        </w:rPr>
      </w:pPr>
      <w:r w:rsidRPr="006B4C97">
        <w:rPr>
          <w:rFonts w:cstheme="minorHAnsi"/>
          <w:sz w:val="24"/>
          <w:szCs w:val="24"/>
        </w:rPr>
        <w:t>Results of Care</w:t>
      </w:r>
    </w:p>
    <w:p w14:paraId="4B0ABB69" w14:textId="77777777" w:rsidR="007179DD" w:rsidRPr="006B4C97" w:rsidRDefault="007179DD" w:rsidP="007179DD">
      <w:pPr>
        <w:pStyle w:val="ListParagraph"/>
        <w:numPr>
          <w:ilvl w:val="2"/>
          <w:numId w:val="25"/>
        </w:numPr>
        <w:rPr>
          <w:rFonts w:cstheme="minorHAnsi"/>
          <w:sz w:val="24"/>
          <w:szCs w:val="24"/>
        </w:rPr>
      </w:pPr>
      <w:r w:rsidRPr="006B4C97">
        <w:rPr>
          <w:rFonts w:eastAsia="Calibri" w:cs="Times New Roman"/>
          <w:sz w:val="24"/>
          <w:szCs w:val="24"/>
        </w:rPr>
        <w:t>Change in patient’s ability to care for themselves.</w:t>
      </w:r>
    </w:p>
    <w:p w14:paraId="75C490AB" w14:textId="77777777" w:rsidR="007179DD" w:rsidRPr="006B4C97" w:rsidRDefault="007179DD" w:rsidP="007179DD">
      <w:pPr>
        <w:pStyle w:val="ListParagraph"/>
        <w:numPr>
          <w:ilvl w:val="2"/>
          <w:numId w:val="25"/>
        </w:numPr>
        <w:rPr>
          <w:rFonts w:cstheme="minorHAnsi"/>
          <w:sz w:val="24"/>
          <w:szCs w:val="24"/>
        </w:rPr>
      </w:pPr>
      <w:r w:rsidRPr="006B4C97">
        <w:rPr>
          <w:rFonts w:eastAsia="Calibri" w:cs="Times New Roman"/>
          <w:sz w:val="24"/>
          <w:szCs w:val="24"/>
        </w:rPr>
        <w:t>Change in patient’s ability to move around.</w:t>
      </w:r>
    </w:p>
    <w:p w14:paraId="10EEF50C" w14:textId="77777777" w:rsidR="007179DD" w:rsidRPr="006B4C97" w:rsidRDefault="007179DD" w:rsidP="007179DD">
      <w:pPr>
        <w:pStyle w:val="ListParagraph"/>
        <w:numPr>
          <w:ilvl w:val="1"/>
          <w:numId w:val="25"/>
        </w:numPr>
        <w:rPr>
          <w:rFonts w:cstheme="minorHAnsi"/>
          <w:sz w:val="24"/>
          <w:szCs w:val="24"/>
        </w:rPr>
      </w:pPr>
      <w:r w:rsidRPr="006B4C97">
        <w:rPr>
          <w:rFonts w:eastAsia="Calibri" w:cs="Times New Roman"/>
          <w:sz w:val="24"/>
          <w:szCs w:val="24"/>
        </w:rPr>
        <w:t>Effective Care</w:t>
      </w:r>
    </w:p>
    <w:p w14:paraId="3A3B89D4" w14:textId="77777777" w:rsidR="007179DD" w:rsidRPr="006B4C97" w:rsidRDefault="007179DD" w:rsidP="007179DD">
      <w:pPr>
        <w:pStyle w:val="ListParagraph"/>
        <w:numPr>
          <w:ilvl w:val="2"/>
          <w:numId w:val="25"/>
        </w:numPr>
        <w:rPr>
          <w:rStyle w:val="has-tooltip"/>
          <w:rFonts w:cstheme="minorHAnsi"/>
          <w:sz w:val="24"/>
          <w:szCs w:val="24"/>
        </w:rPr>
      </w:pPr>
      <w:r w:rsidRPr="006B4C97">
        <w:rPr>
          <w:rStyle w:val="has-tooltip"/>
          <w:rFonts w:cs="Times New Roman"/>
          <w:sz w:val="24"/>
          <w:szCs w:val="24"/>
        </w:rPr>
        <w:t>Percentage of patients who are at or above an expected ability to care for themselves at discharge.</w:t>
      </w:r>
    </w:p>
    <w:p w14:paraId="192353E6" w14:textId="77777777" w:rsidR="007179DD" w:rsidRPr="006B4C97" w:rsidRDefault="007179DD" w:rsidP="007179DD">
      <w:pPr>
        <w:pStyle w:val="ListParagraph"/>
        <w:numPr>
          <w:ilvl w:val="2"/>
          <w:numId w:val="25"/>
        </w:numPr>
        <w:rPr>
          <w:rFonts w:cstheme="minorHAnsi"/>
          <w:sz w:val="24"/>
          <w:szCs w:val="24"/>
        </w:rPr>
      </w:pPr>
      <w:r w:rsidRPr="006B4C97">
        <w:rPr>
          <w:rFonts w:eastAsia="Calibri" w:cs="Times New Roman"/>
          <w:sz w:val="24"/>
          <w:szCs w:val="24"/>
        </w:rPr>
        <w:t xml:space="preserve">Percentage of patients who are at or above an expected ability to move around at discharge. </w:t>
      </w:r>
    </w:p>
    <w:p w14:paraId="7B5655C6" w14:textId="77777777" w:rsidR="007179DD" w:rsidRPr="006B4C97" w:rsidRDefault="007179DD" w:rsidP="007179DD">
      <w:pPr>
        <w:pStyle w:val="ListParagraph"/>
        <w:numPr>
          <w:ilvl w:val="1"/>
          <w:numId w:val="25"/>
        </w:numPr>
        <w:rPr>
          <w:rFonts w:cstheme="minorHAnsi"/>
          <w:sz w:val="24"/>
          <w:szCs w:val="24"/>
        </w:rPr>
      </w:pPr>
      <w:r w:rsidRPr="006B4C97">
        <w:rPr>
          <w:rFonts w:cstheme="minorHAnsi"/>
          <w:sz w:val="24"/>
          <w:szCs w:val="24"/>
        </w:rPr>
        <w:t>Readmissions</w:t>
      </w:r>
    </w:p>
    <w:p w14:paraId="3A25881D" w14:textId="77777777" w:rsidR="007179DD" w:rsidRPr="006B4C97" w:rsidRDefault="007179DD" w:rsidP="007179DD">
      <w:pPr>
        <w:pStyle w:val="ListParagraph"/>
        <w:numPr>
          <w:ilvl w:val="2"/>
          <w:numId w:val="25"/>
        </w:numPr>
        <w:rPr>
          <w:rFonts w:cstheme="minorHAnsi"/>
          <w:sz w:val="24"/>
          <w:szCs w:val="24"/>
        </w:rPr>
      </w:pPr>
      <w:r w:rsidRPr="006B4C97">
        <w:rPr>
          <w:rFonts w:eastAsia="Calibri" w:cs="Times New Roman"/>
          <w:sz w:val="24"/>
          <w:szCs w:val="24"/>
        </w:rPr>
        <w:t xml:space="preserve">Rate of potentially preventable hospital readmissions 30 days after discharge from an IRF. </w:t>
      </w:r>
    </w:p>
    <w:p w14:paraId="4CE38BB0" w14:textId="77777777" w:rsidR="007179DD" w:rsidRPr="006B4C97" w:rsidRDefault="007179DD" w:rsidP="007179DD">
      <w:pPr>
        <w:pStyle w:val="ListParagraph"/>
        <w:numPr>
          <w:ilvl w:val="2"/>
          <w:numId w:val="25"/>
        </w:numPr>
        <w:rPr>
          <w:rFonts w:cstheme="minorHAnsi"/>
          <w:sz w:val="24"/>
          <w:szCs w:val="24"/>
        </w:rPr>
      </w:pPr>
      <w:r w:rsidRPr="006B4C97">
        <w:rPr>
          <w:rFonts w:eastAsia="Calibri" w:cs="Times New Roman"/>
          <w:sz w:val="24"/>
          <w:szCs w:val="24"/>
        </w:rPr>
        <w:t>Rate of potentially preventable hospital readmission during the IRF.</w:t>
      </w:r>
    </w:p>
    <w:p w14:paraId="5072BFE5" w14:textId="77777777" w:rsidR="007179DD" w:rsidRPr="006B4C97" w:rsidRDefault="007179DD" w:rsidP="007179DD">
      <w:pPr>
        <w:pStyle w:val="ListParagraph"/>
        <w:numPr>
          <w:ilvl w:val="1"/>
          <w:numId w:val="25"/>
        </w:numPr>
        <w:rPr>
          <w:rFonts w:cstheme="minorHAnsi"/>
          <w:sz w:val="24"/>
          <w:szCs w:val="24"/>
        </w:rPr>
      </w:pPr>
      <w:r w:rsidRPr="006B4C97">
        <w:rPr>
          <w:rFonts w:cstheme="minorHAnsi"/>
          <w:sz w:val="24"/>
          <w:szCs w:val="24"/>
        </w:rPr>
        <w:t>Successful Return to Home or Community</w:t>
      </w:r>
    </w:p>
    <w:p w14:paraId="5D388FAD" w14:textId="77777777" w:rsidR="007179DD" w:rsidRPr="006B4C97" w:rsidRDefault="007179DD" w:rsidP="007179DD">
      <w:pPr>
        <w:pStyle w:val="ListParagraph"/>
        <w:numPr>
          <w:ilvl w:val="2"/>
          <w:numId w:val="25"/>
        </w:numPr>
        <w:rPr>
          <w:rFonts w:cstheme="minorHAnsi"/>
          <w:sz w:val="24"/>
          <w:szCs w:val="24"/>
        </w:rPr>
      </w:pPr>
      <w:r w:rsidRPr="006B4C97">
        <w:rPr>
          <w:rFonts w:eastAsia="Calibri" w:cs="Times New Roman"/>
          <w:sz w:val="24"/>
          <w:szCs w:val="24"/>
        </w:rPr>
        <w:t>Rate of successful return to home or community from an IRF.</w:t>
      </w:r>
    </w:p>
    <w:p w14:paraId="5DECD7BB" w14:textId="77777777" w:rsidR="007179DD" w:rsidRDefault="007179DD" w:rsidP="007179DD">
      <w:pPr>
        <w:rPr>
          <w:b/>
          <w:bCs/>
          <w:sz w:val="24"/>
          <w:szCs w:val="24"/>
        </w:rPr>
      </w:pPr>
      <w:r>
        <w:rPr>
          <w:b/>
          <w:bCs/>
          <w:sz w:val="24"/>
          <w:szCs w:val="24"/>
        </w:rPr>
        <w:br w:type="page"/>
      </w:r>
    </w:p>
    <w:p w14:paraId="0B1EB9A2" w14:textId="24638459" w:rsidR="00C41090" w:rsidRPr="007179DD" w:rsidRDefault="007179DD" w:rsidP="007179DD">
      <w:pPr>
        <w:pStyle w:val="Heading1"/>
        <w:rPr>
          <w:rFonts w:cstheme="minorHAnsi"/>
          <w:b w:val="0"/>
          <w:bCs/>
          <w:iCs/>
        </w:rPr>
      </w:pPr>
      <w:bookmarkStart w:id="27" w:name="_Toc144207784"/>
      <w:bookmarkStart w:id="28" w:name="_Toc151538514"/>
      <w:r w:rsidRPr="006E40CB">
        <w:rPr>
          <w:rFonts w:cstheme="minorHAnsi"/>
          <w:iCs/>
        </w:rPr>
        <w:lastRenderedPageBreak/>
        <w:t>REFERENCES</w:t>
      </w:r>
      <w:bookmarkEnd w:id="27"/>
      <w:bookmarkEnd w:id="28"/>
    </w:p>
    <w:sectPr w:rsidR="00C41090" w:rsidRPr="007179DD"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DAD2" w14:textId="77777777" w:rsidR="003E3F57" w:rsidRDefault="003E3F57" w:rsidP="0017637D">
      <w:pPr>
        <w:spacing w:after="0" w:line="240" w:lineRule="auto"/>
      </w:pPr>
      <w:r>
        <w:separator/>
      </w:r>
    </w:p>
  </w:endnote>
  <w:endnote w:type="continuationSeparator" w:id="0">
    <w:p w14:paraId="41FCBEF6" w14:textId="77777777" w:rsidR="003E3F57" w:rsidRDefault="003E3F57" w:rsidP="0017637D">
      <w:pPr>
        <w:spacing w:after="0" w:line="240" w:lineRule="auto"/>
      </w:pPr>
      <w:r>
        <w:continuationSeparator/>
      </w:r>
    </w:p>
  </w:endnote>
  <w:endnote w:id="1">
    <w:p w14:paraId="17183C56" w14:textId="52185FCF" w:rsidR="008530BB" w:rsidRPr="003E3AA3" w:rsidRDefault="008530BB">
      <w:pPr>
        <w:pStyle w:val="EndnoteText"/>
      </w:pPr>
      <w:r w:rsidRPr="003E3AA3">
        <w:rPr>
          <w:rStyle w:val="EndnoteReference"/>
        </w:rPr>
        <w:endnoteRef/>
      </w:r>
      <w:r w:rsidRPr="003E3AA3">
        <w:t xml:space="preserve"> </w:t>
      </w:r>
      <w:r w:rsidR="003E3AA3" w:rsidRPr="003E3AA3">
        <w:rPr>
          <w:rFonts w:eastAsia="Times New Roman"/>
        </w:rPr>
        <w:t xml:space="preserve"> </w:t>
      </w:r>
      <w:hyperlink r:id="rId1" w:history="1">
        <w:r w:rsidR="003E3AA3" w:rsidRPr="001867C1">
          <w:rPr>
            <w:rStyle w:val="Hyperlink"/>
            <w:rFonts w:cstheme="minorHAnsi"/>
            <w:color w:val="auto"/>
            <w:u w:val="none"/>
          </w:rPr>
          <w:t>Medicare Payment Advisory Commission (“MedPAC”) Report to the Congress: Medicare Payment Policy</w:t>
        </w:r>
      </w:hyperlink>
      <w:r w:rsidR="003E3AA3" w:rsidRPr="001867C1">
        <w:rPr>
          <w:rFonts w:cstheme="minorHAnsi"/>
        </w:rPr>
        <w:t xml:space="preserve">, </w:t>
      </w:r>
      <w:r w:rsidR="003E3AA3" w:rsidRPr="003E3AA3">
        <w:rPr>
          <w:rFonts w:cstheme="minorHAnsi"/>
        </w:rPr>
        <w:t>March 2023.</w:t>
      </w:r>
      <w:r w:rsidR="003E3AA3" w:rsidRPr="003E3AA3">
        <w:rPr>
          <w:rFonts w:cstheme="minorHAnsi"/>
          <w:color w:val="2F5496" w:themeColor="accent1" w:themeShade="BF"/>
        </w:rPr>
        <w:t xml:space="preserve"> </w:t>
      </w:r>
      <w:hyperlink w:history="1">
        <w:r w:rsidR="003E3AA3" w:rsidRPr="003E3AA3">
          <w:rPr>
            <w:rStyle w:val="Hyperlink"/>
            <w:rFonts w:cstheme="minorHAnsi"/>
            <w:color w:val="2F5496" w:themeColor="accent1" w:themeShade="BF"/>
          </w:rPr>
          <w:t>https://www.medpac.gov/document/march-2023-report-to-the-congress-medicare-payment-policy/</w:t>
        </w:r>
      </w:hyperlink>
    </w:p>
  </w:endnote>
  <w:endnote w:id="2">
    <w:p w14:paraId="5577D8FF" w14:textId="63BE3371" w:rsidR="00414636" w:rsidRPr="003E3AA3" w:rsidRDefault="00414636" w:rsidP="00B5441C">
      <w:pPr>
        <w:spacing w:after="0"/>
        <w:rPr>
          <w:rFonts w:cstheme="minorHAnsi"/>
          <w:sz w:val="20"/>
          <w:szCs w:val="20"/>
        </w:rPr>
      </w:pPr>
      <w:r w:rsidRPr="003E3AA3">
        <w:rPr>
          <w:rStyle w:val="EndnoteReference"/>
          <w:sz w:val="20"/>
          <w:szCs w:val="20"/>
        </w:rPr>
        <w:endnoteRef/>
      </w:r>
      <w:r w:rsidRPr="003E3AA3">
        <w:rPr>
          <w:sz w:val="20"/>
          <w:szCs w:val="20"/>
        </w:rPr>
        <w:t xml:space="preserve"> </w:t>
      </w:r>
      <w:r w:rsidRPr="003E3AA3">
        <w:rPr>
          <w:rFonts w:cstheme="minorHAnsi"/>
          <w:sz w:val="20"/>
          <w:szCs w:val="20"/>
        </w:rPr>
        <w:t>UMass Donahue Institute MassDOT Vintage 2018 Population Projections. September 2018. (UMDI-DOT V2018)</w:t>
      </w:r>
    </w:p>
  </w:endnote>
  <w:endnote w:id="3">
    <w:p w14:paraId="303130A0" w14:textId="7F6616D6" w:rsidR="00B84B50" w:rsidRPr="003E3AA3" w:rsidRDefault="00B84B50" w:rsidP="00CE7B5E">
      <w:pPr>
        <w:spacing w:after="0" w:line="240" w:lineRule="auto"/>
        <w:rPr>
          <w:rFonts w:ascii="Times New Roman" w:eastAsia="Times New Roman" w:hAnsi="Times New Roman" w:cs="Times New Roman"/>
          <w:color w:val="000000"/>
          <w:sz w:val="20"/>
          <w:szCs w:val="20"/>
        </w:rPr>
      </w:pPr>
      <w:r w:rsidRPr="003E3AA3">
        <w:rPr>
          <w:rStyle w:val="EndnoteReference"/>
          <w:rFonts w:cstheme="minorHAnsi"/>
          <w:sz w:val="20"/>
          <w:szCs w:val="20"/>
        </w:rPr>
        <w:endnoteRef/>
      </w:r>
      <w:r w:rsidRPr="003E3AA3">
        <w:rPr>
          <w:rFonts w:cstheme="minorHAnsi"/>
          <w:sz w:val="20"/>
          <w:szCs w:val="20"/>
        </w:rPr>
        <w:t xml:space="preserve"> </w:t>
      </w:r>
      <w:hyperlink r:id="rId2" w:history="1">
        <w:r w:rsidRPr="001867C1">
          <w:rPr>
            <w:rStyle w:val="Hyperlink"/>
            <w:rFonts w:eastAsia="Times New Roman" w:cstheme="minorHAnsi"/>
            <w:color w:val="auto"/>
            <w:sz w:val="20"/>
            <w:szCs w:val="20"/>
            <w:u w:val="none"/>
          </w:rPr>
          <w:t>CMS Compare</w:t>
        </w:r>
      </w:hyperlink>
      <w:r w:rsidRPr="001867C1">
        <w:rPr>
          <w:rFonts w:eastAsia="Times New Roman" w:cstheme="minorHAnsi"/>
          <w:sz w:val="20"/>
          <w:szCs w:val="20"/>
        </w:rPr>
        <w:t xml:space="preserve">; </w:t>
      </w:r>
      <w:hyperlink r:id="rId3" w:history="1">
        <w:r w:rsidRPr="003E3AA3">
          <w:rPr>
            <w:rStyle w:val="Hyperlink"/>
            <w:rFonts w:eastAsia="Times New Roman" w:cstheme="minorHAnsi"/>
            <w:color w:val="1F4E79" w:themeColor="accent5" w:themeShade="80"/>
            <w:sz w:val="20"/>
            <w:szCs w:val="20"/>
          </w:rPr>
          <w:t>https://www.medicare.gov/care-compare/compare?providerType=InpatientRehabilitation&amp;providerIds=223030,22T066,22T065&amp;city=Ludlow&amp;state=MA&amp;zipcode=</w:t>
        </w:r>
      </w:hyperlink>
      <w:r w:rsidRPr="003E3AA3">
        <w:rPr>
          <w:rFonts w:eastAsia="Times New Roman" w:cstheme="minorHAnsi"/>
          <w:color w:val="1F4E79" w:themeColor="accent5" w:themeShade="80"/>
          <w:sz w:val="20"/>
          <w:szCs w:val="20"/>
        </w:rPr>
        <w:t xml:space="preserve">   </w:t>
      </w:r>
      <w:r w:rsidRPr="003E3AA3">
        <w:rPr>
          <w:rFonts w:eastAsia="Times New Roman" w:cstheme="minorHAnsi"/>
          <w:color w:val="000000"/>
          <w:sz w:val="20"/>
          <w:szCs w:val="20"/>
        </w:rPr>
        <w:t>Notes: Data last updated: September 27, 2023.</w:t>
      </w:r>
    </w:p>
  </w:endnote>
  <w:endnote w:id="4">
    <w:p w14:paraId="3FDF4CBF" w14:textId="5E340040" w:rsidR="0002054A" w:rsidRPr="003E3AA3" w:rsidRDefault="0002054A">
      <w:pPr>
        <w:pStyle w:val="EndnoteText"/>
        <w:rPr>
          <w:rFonts w:cstheme="minorHAnsi"/>
        </w:rPr>
      </w:pPr>
      <w:r w:rsidRPr="003E3AA3">
        <w:rPr>
          <w:rStyle w:val="EndnoteReference"/>
          <w:rFonts w:cstheme="minorHAnsi"/>
        </w:rPr>
        <w:endnoteRef/>
      </w:r>
      <w:r w:rsidRPr="003E3AA3">
        <w:rPr>
          <w:rFonts w:cstheme="minorHAnsi"/>
        </w:rPr>
        <w:t xml:space="preserve"> CMS regulations, </w:t>
      </w:r>
      <w:proofErr w:type="spellStart"/>
      <w:r w:rsidRPr="003E3AA3">
        <w:rPr>
          <w:rFonts w:cstheme="minorHAnsi"/>
        </w:rPr>
        <w:t>MedPAC</w:t>
      </w:r>
      <w:proofErr w:type="spellEnd"/>
      <w:r w:rsidRPr="003E3AA3">
        <w:rPr>
          <w:rFonts w:cstheme="minorHAnsi"/>
        </w:rPr>
        <w:t xml:space="preserve"> March 2019 Report to Congress.</w:t>
      </w:r>
    </w:p>
  </w:endnote>
  <w:endnote w:id="5">
    <w:p w14:paraId="1AD65234" w14:textId="42AFE767" w:rsidR="00E0041A" w:rsidRPr="003E3AA3" w:rsidRDefault="00E0041A">
      <w:pPr>
        <w:pStyle w:val="EndnoteText"/>
        <w:rPr>
          <w:rFonts w:cstheme="minorHAnsi"/>
        </w:rPr>
      </w:pPr>
      <w:r w:rsidRPr="003E3AA3">
        <w:rPr>
          <w:rStyle w:val="EndnoteReference"/>
          <w:rFonts w:cstheme="minorHAnsi"/>
        </w:rPr>
        <w:endnoteRef/>
      </w:r>
      <w:r w:rsidRPr="003E3AA3">
        <w:rPr>
          <w:rFonts w:cstheme="minorHAnsi"/>
        </w:rPr>
        <w:t xml:space="preserve"> CMS Medicare Compare Website; data last updated for IRFs March 30, </w:t>
      </w:r>
      <w:r w:rsidR="007831DD" w:rsidRPr="003E3AA3">
        <w:rPr>
          <w:rFonts w:cstheme="minorHAnsi"/>
        </w:rPr>
        <w:t>2023,</w:t>
      </w:r>
      <w:r w:rsidRPr="003E3AA3">
        <w:rPr>
          <w:rFonts w:cstheme="minorHAnsi"/>
        </w:rPr>
        <w:t xml:space="preserve"> and for SNFs April 26, 2023.  Data for both types of facilities for same </w:t>
      </w:r>
      <w:proofErr w:type="gramStart"/>
      <w:r w:rsidRPr="003E3AA3">
        <w:rPr>
          <w:rFonts w:cstheme="minorHAnsi"/>
        </w:rPr>
        <w:t>time period</w:t>
      </w:r>
      <w:proofErr w:type="gramEnd"/>
      <w:r w:rsidRPr="003E3AA3">
        <w:rPr>
          <w:rFonts w:cstheme="minorHAnsi"/>
        </w:rPr>
        <w:t>: 7/1/19-12/31/19 and 7/1/20-6/30/21.</w:t>
      </w:r>
    </w:p>
  </w:endnote>
  <w:endnote w:id="6">
    <w:p w14:paraId="67A815F5" w14:textId="121BF729" w:rsidR="003A2FB2" w:rsidRPr="003E3AA3" w:rsidRDefault="003A2FB2" w:rsidP="003A2FB2">
      <w:pPr>
        <w:pStyle w:val="EndnoteText"/>
        <w:jc w:val="both"/>
        <w:rPr>
          <w:rFonts w:cstheme="minorHAnsi"/>
        </w:rPr>
      </w:pPr>
      <w:r w:rsidRPr="003E3AA3">
        <w:rPr>
          <w:rStyle w:val="EndnoteReference"/>
          <w:rFonts w:cstheme="minorHAnsi"/>
        </w:rPr>
        <w:endnoteRef/>
      </w:r>
      <w:r w:rsidRPr="003E3AA3">
        <w:rPr>
          <w:rFonts w:cstheme="minorHAnsi"/>
        </w:rPr>
        <w:t xml:space="preserve"> Joan E. </w:t>
      </w:r>
      <w:proofErr w:type="spellStart"/>
      <w:r w:rsidRPr="003E3AA3">
        <w:rPr>
          <w:rFonts w:cstheme="minorHAnsi"/>
        </w:rPr>
        <w:t>DaVanzo</w:t>
      </w:r>
      <w:proofErr w:type="spellEnd"/>
      <w:r w:rsidRPr="003E3AA3">
        <w:rPr>
          <w:rFonts w:cstheme="minorHAnsi"/>
        </w:rPr>
        <w:t>, Ph.D., M.S.W., Al Dobson, Ph.D., Audrey El-Gamil, Justin W. Li, and Nikolay Manolov, Ph.D.; Assessment of Patient Outcomes of Rehabilitative Care Provided in Inpatient Rehabilitation Facilities and After Discharge; 2014.</w:t>
      </w:r>
    </w:p>
  </w:endnote>
  <w:endnote w:id="7">
    <w:p w14:paraId="5FFCDF85" w14:textId="17AB1AC5" w:rsidR="00787727" w:rsidRPr="003E3AA3" w:rsidRDefault="00787727">
      <w:pPr>
        <w:pStyle w:val="EndnoteText"/>
        <w:rPr>
          <w:rFonts w:cstheme="minorHAnsi"/>
        </w:rPr>
      </w:pPr>
      <w:r w:rsidRPr="003E3AA3">
        <w:rPr>
          <w:rStyle w:val="EndnoteReference"/>
          <w:rFonts w:cstheme="minorHAnsi"/>
        </w:rPr>
        <w:endnoteRef/>
      </w:r>
      <w:r w:rsidRPr="003E3AA3">
        <w:rPr>
          <w:rFonts w:cstheme="minorHAnsi"/>
        </w:rPr>
        <w:t xml:space="preserve"> </w:t>
      </w:r>
      <w:r w:rsidRPr="003E3AA3">
        <w:rPr>
          <w:rFonts w:eastAsia="Times New Roman" w:cstheme="minorHAnsi"/>
        </w:rPr>
        <w:t>Stroke. 2016;</w:t>
      </w:r>
      <w:proofErr w:type="gramStart"/>
      <w:r w:rsidRPr="003E3AA3">
        <w:rPr>
          <w:rFonts w:eastAsia="Times New Roman" w:cstheme="minorHAnsi"/>
        </w:rPr>
        <w:t>47:e</w:t>
      </w:r>
      <w:proofErr w:type="gramEnd"/>
      <w:r w:rsidRPr="003E3AA3">
        <w:rPr>
          <w:rFonts w:eastAsia="Times New Roman" w:cstheme="minorHAnsi"/>
        </w:rPr>
        <w:t>98-e169. DOI: 10.1161/STR.0000000000000098.</w:t>
      </w:r>
    </w:p>
  </w:endnote>
  <w:endnote w:id="8">
    <w:p w14:paraId="103C3DB0" w14:textId="51E02B92" w:rsidR="006D51EB" w:rsidRPr="003E3AA3" w:rsidRDefault="006D51EB">
      <w:pPr>
        <w:pStyle w:val="EndnoteText"/>
        <w:rPr>
          <w:rFonts w:cstheme="minorHAnsi"/>
        </w:rPr>
      </w:pPr>
      <w:r w:rsidRPr="003E3AA3">
        <w:rPr>
          <w:rStyle w:val="EndnoteReference"/>
          <w:rFonts w:cstheme="minorHAnsi"/>
        </w:rPr>
        <w:endnoteRef/>
      </w:r>
      <w:r w:rsidRPr="003E3AA3">
        <w:rPr>
          <w:rFonts w:cstheme="minorHAnsi"/>
        </w:rPr>
        <w:t xml:space="preserve"> </w:t>
      </w:r>
      <w:r w:rsidRPr="003E3AA3">
        <w:rPr>
          <w:rFonts w:eastAsia="Times New Roman" w:cstheme="minorHAnsi"/>
        </w:rPr>
        <w:t>“</w:t>
      </w:r>
      <w:r w:rsidRPr="003E3AA3">
        <w:rPr>
          <w:rFonts w:eastAsia="Times New Roman" w:cstheme="minorHAnsi"/>
          <w:i/>
          <w:iCs/>
        </w:rPr>
        <w:t>Acute Rehabilitation after Trauma: Does it Really Matter?</w:t>
      </w:r>
      <w:r w:rsidRPr="003E3AA3">
        <w:rPr>
          <w:rFonts w:eastAsia="Times New Roman" w:cstheme="minorHAnsi"/>
        </w:rPr>
        <w:t xml:space="preserve">” J Am Coll Surg </w:t>
      </w:r>
      <w:proofErr w:type="gramStart"/>
      <w:r w:rsidRPr="003E3AA3">
        <w:rPr>
          <w:rFonts w:eastAsia="Times New Roman" w:cstheme="minorHAnsi"/>
        </w:rPr>
        <w:t>2016;223:755</w:t>
      </w:r>
      <w:proofErr w:type="gramEnd"/>
      <w:r w:rsidRPr="003E3AA3">
        <w:rPr>
          <w:rFonts w:eastAsia="Times New Roman" w:cstheme="minorHAnsi"/>
        </w:rPr>
        <w:t>e763. © 2016 by the American College of Surgeons. Published by Elsevier Inc. All rights reserved.)</w:t>
      </w:r>
    </w:p>
  </w:endnote>
  <w:endnote w:id="9">
    <w:p w14:paraId="3D3DFD0C" w14:textId="7714EE87" w:rsidR="0061097D" w:rsidRPr="003E3AA3" w:rsidRDefault="0061097D">
      <w:pPr>
        <w:pStyle w:val="EndnoteText"/>
        <w:rPr>
          <w:rFonts w:cstheme="minorHAnsi"/>
        </w:rPr>
      </w:pPr>
      <w:r w:rsidRPr="003E3AA3">
        <w:rPr>
          <w:rStyle w:val="EndnoteReference"/>
          <w:rFonts w:cstheme="minorHAnsi"/>
        </w:rPr>
        <w:endnoteRef/>
      </w:r>
      <w:r w:rsidRPr="003E3AA3">
        <w:rPr>
          <w:rFonts w:cstheme="minorHAnsi"/>
        </w:rPr>
        <w:t xml:space="preserve"> </w:t>
      </w:r>
      <w:r w:rsidRPr="003E3AA3">
        <w:rPr>
          <w:rFonts w:eastAsia="Times New Roman" w:cstheme="minorHAnsi"/>
        </w:rPr>
        <w:t>JAMA Network Open. 2019;2(12</w:t>
      </w:r>
      <w:proofErr w:type="gramStart"/>
      <w:r w:rsidRPr="003E3AA3">
        <w:rPr>
          <w:rFonts w:eastAsia="Times New Roman" w:cstheme="minorHAnsi"/>
        </w:rPr>
        <w:t>):e</w:t>
      </w:r>
      <w:proofErr w:type="gramEnd"/>
      <w:r w:rsidRPr="003E3AA3">
        <w:rPr>
          <w:rFonts w:eastAsia="Times New Roman" w:cstheme="minorHAnsi"/>
        </w:rPr>
        <w:t>1916646. doi:10.1001/jamanetworkopen.2019.16646.)</w:t>
      </w:r>
    </w:p>
  </w:endnote>
  <w:endnote w:id="10">
    <w:p w14:paraId="5D3CE2F6" w14:textId="76933C40" w:rsidR="00710875" w:rsidRPr="003E3AA3" w:rsidRDefault="00710875" w:rsidP="008F0717">
      <w:pPr>
        <w:spacing w:after="0" w:line="240" w:lineRule="auto"/>
        <w:jc w:val="both"/>
        <w:rPr>
          <w:rFonts w:cstheme="minorHAnsi"/>
          <w:sz w:val="20"/>
          <w:szCs w:val="20"/>
        </w:rPr>
      </w:pPr>
      <w:r w:rsidRPr="003E3AA3">
        <w:rPr>
          <w:rStyle w:val="EndnoteReference"/>
          <w:rFonts w:cstheme="minorHAnsi"/>
          <w:sz w:val="20"/>
          <w:szCs w:val="20"/>
        </w:rPr>
        <w:endnoteRef/>
      </w:r>
      <w:r w:rsidRPr="003E3AA3">
        <w:rPr>
          <w:rFonts w:cstheme="minorHAnsi"/>
          <w:sz w:val="20"/>
          <w:szCs w:val="20"/>
        </w:rPr>
        <w:t xml:space="preserve"> </w:t>
      </w:r>
      <w:r w:rsidR="00D62FF4" w:rsidRPr="003E3AA3">
        <w:rPr>
          <w:rFonts w:cstheme="minorHAnsi"/>
          <w:sz w:val="20"/>
          <w:szCs w:val="20"/>
        </w:rPr>
        <w:t xml:space="preserve">Hessam </w:t>
      </w:r>
      <w:proofErr w:type="spellStart"/>
      <w:r w:rsidR="00D62FF4" w:rsidRPr="003E3AA3">
        <w:rPr>
          <w:rFonts w:cstheme="minorHAnsi"/>
          <w:sz w:val="20"/>
          <w:szCs w:val="20"/>
        </w:rPr>
        <w:t>Sadatsafavi</w:t>
      </w:r>
      <w:proofErr w:type="spellEnd"/>
      <w:r w:rsidR="00D62FF4" w:rsidRPr="003E3AA3">
        <w:rPr>
          <w:rFonts w:cstheme="minorHAnsi"/>
          <w:sz w:val="20"/>
          <w:szCs w:val="20"/>
        </w:rPr>
        <w:t>, PhD, Ba</w:t>
      </w:r>
      <w:r w:rsidR="00D62FF4" w:rsidRPr="006149D1">
        <w:rPr>
          <w:rFonts w:cstheme="minorHAnsi"/>
          <w:sz w:val="20"/>
          <w:szCs w:val="20"/>
        </w:rPr>
        <w:t xml:space="preserve">har </w:t>
      </w:r>
      <w:proofErr w:type="spellStart"/>
      <w:r w:rsidR="00D62FF4" w:rsidRPr="006149D1">
        <w:rPr>
          <w:rFonts w:cstheme="minorHAnsi"/>
          <w:sz w:val="20"/>
          <w:szCs w:val="20"/>
        </w:rPr>
        <w:t>Niknejad</w:t>
      </w:r>
      <w:proofErr w:type="spellEnd"/>
      <w:r w:rsidR="00D62FF4" w:rsidRPr="006149D1">
        <w:rPr>
          <w:rFonts w:cstheme="minorHAnsi"/>
          <w:sz w:val="20"/>
          <w:szCs w:val="20"/>
        </w:rPr>
        <w:t xml:space="preserve">, MD, Rana Zadeh, PhD, Mohsen </w:t>
      </w:r>
      <w:proofErr w:type="spellStart"/>
      <w:r w:rsidR="00D62FF4" w:rsidRPr="006149D1">
        <w:rPr>
          <w:rFonts w:cstheme="minorHAnsi"/>
          <w:sz w:val="20"/>
          <w:szCs w:val="20"/>
        </w:rPr>
        <w:t>Sadatsafavi</w:t>
      </w:r>
      <w:proofErr w:type="spellEnd"/>
      <w:r w:rsidR="00D62FF4" w:rsidRPr="006149D1">
        <w:rPr>
          <w:rFonts w:cstheme="minorHAnsi"/>
          <w:sz w:val="20"/>
          <w:szCs w:val="20"/>
        </w:rPr>
        <w:t>, MD, PhD.</w:t>
      </w:r>
      <w:r w:rsidR="00D62FF4" w:rsidRPr="006149D1">
        <w:rPr>
          <w:rFonts w:cstheme="minorHAnsi"/>
          <w:i/>
          <w:iCs/>
          <w:sz w:val="20"/>
          <w:szCs w:val="20"/>
        </w:rPr>
        <w:t xml:space="preserve"> </w:t>
      </w:r>
      <w:hyperlink r:id="rId4" w:history="1">
        <w:r w:rsidRPr="006149D1">
          <w:rPr>
            <w:rStyle w:val="Hyperlink"/>
            <w:rFonts w:cstheme="minorHAnsi"/>
            <w:i/>
            <w:iCs/>
            <w:color w:val="auto"/>
            <w:sz w:val="20"/>
            <w:szCs w:val="20"/>
            <w:u w:val="none"/>
          </w:rPr>
          <w:t>Do Cost Savings From Reductions in Nosocomial Infections Justify Additional Costs of Single-Bed Rooms in Intensive Care Units? A Simulation Case Study</w:t>
        </w:r>
      </w:hyperlink>
      <w:r w:rsidRPr="006149D1">
        <w:rPr>
          <w:rFonts w:cstheme="minorHAnsi"/>
          <w:sz w:val="20"/>
          <w:szCs w:val="20"/>
        </w:rPr>
        <w:t xml:space="preserve">; Journal </w:t>
      </w:r>
      <w:r w:rsidRPr="003E3AA3">
        <w:rPr>
          <w:rFonts w:cstheme="minorHAnsi"/>
          <w:sz w:val="20"/>
          <w:szCs w:val="20"/>
        </w:rPr>
        <w:t xml:space="preserve">of Critical Care, 2015. </w:t>
      </w:r>
      <w:hyperlink r:id="rId5" w:history="1">
        <w:r w:rsidRPr="003E3AA3">
          <w:rPr>
            <w:rFonts w:cstheme="minorHAnsi"/>
            <w:color w:val="2F5496" w:themeColor="accent1" w:themeShade="BF"/>
            <w:sz w:val="20"/>
            <w:szCs w:val="20"/>
            <w:u w:val="single"/>
          </w:rPr>
          <w:t>http://dx.doi.org/10.1016/j.jcrc.20</w:t>
        </w:r>
        <w:r w:rsidRPr="003E3AA3">
          <w:rPr>
            <w:rFonts w:cstheme="minorHAnsi"/>
            <w:color w:val="2F5496" w:themeColor="accent1" w:themeShade="BF"/>
            <w:sz w:val="20"/>
            <w:szCs w:val="20"/>
            <w:u w:val="single"/>
          </w:rPr>
          <w:t>1</w:t>
        </w:r>
        <w:r w:rsidRPr="003E3AA3">
          <w:rPr>
            <w:rFonts w:cstheme="minorHAnsi"/>
            <w:color w:val="2F5496" w:themeColor="accent1" w:themeShade="BF"/>
            <w:sz w:val="20"/>
            <w:szCs w:val="20"/>
            <w:u w:val="single"/>
          </w:rPr>
          <w:t>5.10.010</w:t>
        </w:r>
      </w:hyperlink>
    </w:p>
  </w:endnote>
  <w:endnote w:id="11">
    <w:p w14:paraId="2EF7067B" w14:textId="53395436" w:rsidR="0031406A" w:rsidRPr="003E3AA3" w:rsidRDefault="0031406A" w:rsidP="008F0717">
      <w:pPr>
        <w:spacing w:after="0" w:line="240" w:lineRule="auto"/>
        <w:jc w:val="both"/>
        <w:rPr>
          <w:rFonts w:cstheme="minorHAnsi"/>
          <w:sz w:val="20"/>
          <w:szCs w:val="20"/>
        </w:rPr>
      </w:pPr>
      <w:r w:rsidRPr="003E3AA3">
        <w:rPr>
          <w:rStyle w:val="EndnoteReference"/>
          <w:rFonts w:cstheme="minorHAnsi"/>
          <w:sz w:val="20"/>
          <w:szCs w:val="20"/>
        </w:rPr>
        <w:endnoteRef/>
      </w:r>
      <w:r w:rsidRPr="003E3AA3">
        <w:rPr>
          <w:rFonts w:cstheme="minorHAnsi"/>
          <w:sz w:val="20"/>
          <w:szCs w:val="20"/>
        </w:rPr>
        <w:t xml:space="preserve"> </w:t>
      </w:r>
      <w:r w:rsidR="00D62FF4" w:rsidRPr="003E3AA3">
        <w:rPr>
          <w:rFonts w:cstheme="minorHAnsi"/>
          <w:sz w:val="20"/>
          <w:szCs w:val="20"/>
        </w:rPr>
        <w:t xml:space="preserve">Roger Ulrich of Texas A&amp;M University and Craig Zimring of the Georgia Institute of Technology and reported to The Center for Health Design; </w:t>
      </w:r>
      <w:r w:rsidRPr="003E3AA3">
        <w:rPr>
          <w:rFonts w:cstheme="minorHAnsi"/>
          <w:i/>
          <w:iCs/>
          <w:sz w:val="20"/>
          <w:szCs w:val="20"/>
        </w:rPr>
        <w:t xml:space="preserve">The Role of the Physical </w:t>
      </w:r>
      <w:r w:rsidR="00D62FF4" w:rsidRPr="003E3AA3">
        <w:rPr>
          <w:rFonts w:cstheme="minorHAnsi"/>
          <w:i/>
          <w:iCs/>
          <w:sz w:val="20"/>
          <w:szCs w:val="20"/>
        </w:rPr>
        <w:t>Environment</w:t>
      </w:r>
      <w:r w:rsidRPr="003E3AA3">
        <w:rPr>
          <w:rFonts w:cstheme="minorHAnsi"/>
          <w:i/>
          <w:iCs/>
          <w:sz w:val="20"/>
          <w:szCs w:val="20"/>
        </w:rPr>
        <w:t xml:space="preserve"> in the Hospital of the 21</w:t>
      </w:r>
      <w:r w:rsidRPr="003E3AA3">
        <w:rPr>
          <w:rFonts w:cstheme="minorHAnsi"/>
          <w:i/>
          <w:iCs/>
          <w:sz w:val="20"/>
          <w:szCs w:val="20"/>
          <w:vertAlign w:val="superscript"/>
        </w:rPr>
        <w:t>st</w:t>
      </w:r>
      <w:r w:rsidRPr="003E3AA3">
        <w:rPr>
          <w:rFonts w:cstheme="minorHAnsi"/>
          <w:i/>
          <w:iCs/>
          <w:sz w:val="20"/>
          <w:szCs w:val="20"/>
        </w:rPr>
        <w:t xml:space="preserve"> Century: A Once-in-a-Lifetime Opportunity</w:t>
      </w:r>
      <w:r w:rsidRPr="003E3AA3">
        <w:rPr>
          <w:rFonts w:cstheme="minorHAnsi"/>
          <w:sz w:val="20"/>
          <w:szCs w:val="20"/>
        </w:rPr>
        <w:t xml:space="preserve">; September 2004. </w:t>
      </w:r>
    </w:p>
  </w:endnote>
  <w:endnote w:id="12">
    <w:p w14:paraId="0B78203F" w14:textId="37AA4DD8" w:rsidR="00304569" w:rsidRPr="003E3AA3" w:rsidRDefault="00304569" w:rsidP="008F0717">
      <w:pPr>
        <w:spacing w:after="0" w:line="240" w:lineRule="auto"/>
        <w:jc w:val="both"/>
        <w:rPr>
          <w:rFonts w:cstheme="minorHAnsi"/>
          <w:sz w:val="20"/>
          <w:szCs w:val="20"/>
        </w:rPr>
      </w:pPr>
      <w:r w:rsidRPr="003E3AA3">
        <w:rPr>
          <w:rStyle w:val="EndnoteReference"/>
          <w:rFonts w:cstheme="minorHAnsi"/>
          <w:sz w:val="20"/>
          <w:szCs w:val="20"/>
        </w:rPr>
        <w:endnoteRef/>
      </w:r>
      <w:r w:rsidRPr="003E3AA3">
        <w:rPr>
          <w:rFonts w:cstheme="minorHAnsi"/>
          <w:sz w:val="20"/>
          <w:szCs w:val="20"/>
        </w:rPr>
        <w:t xml:space="preserve"> </w:t>
      </w:r>
      <w:r w:rsidR="008C6104" w:rsidRPr="003E3AA3">
        <w:rPr>
          <w:rFonts w:cstheme="minorHAnsi"/>
          <w:sz w:val="20"/>
          <w:szCs w:val="20"/>
        </w:rPr>
        <w:t xml:space="preserve">Michael E. </w:t>
      </w:r>
      <w:proofErr w:type="spellStart"/>
      <w:r w:rsidR="008C6104" w:rsidRPr="003E3AA3">
        <w:rPr>
          <w:rFonts w:cstheme="minorHAnsi"/>
          <w:sz w:val="20"/>
          <w:szCs w:val="20"/>
        </w:rPr>
        <w:t>Detsky</w:t>
      </w:r>
      <w:proofErr w:type="spellEnd"/>
      <w:r w:rsidR="008C6104" w:rsidRPr="003E3AA3">
        <w:rPr>
          <w:rFonts w:cstheme="minorHAnsi"/>
          <w:sz w:val="20"/>
          <w:szCs w:val="20"/>
        </w:rPr>
        <w:t>, MD, Edward Etchells, MD, MSc</w:t>
      </w:r>
      <w:r w:rsidR="008C6104" w:rsidRPr="003E3AA3">
        <w:rPr>
          <w:rFonts w:cstheme="minorHAnsi"/>
          <w:i/>
          <w:iCs/>
          <w:sz w:val="20"/>
          <w:szCs w:val="20"/>
        </w:rPr>
        <w:t xml:space="preserve">, </w:t>
      </w:r>
      <w:r w:rsidRPr="003E3AA3">
        <w:rPr>
          <w:rFonts w:cstheme="minorHAnsi"/>
          <w:i/>
          <w:iCs/>
          <w:sz w:val="20"/>
          <w:szCs w:val="20"/>
        </w:rPr>
        <w:t>Single-Patient Rooms for Safe Patient-Centered Hospitals</w:t>
      </w:r>
      <w:r w:rsidRPr="003E3AA3">
        <w:rPr>
          <w:rFonts w:cstheme="minorHAnsi"/>
          <w:sz w:val="20"/>
          <w:szCs w:val="20"/>
        </w:rPr>
        <w:t>, JAMA, August 27, 2008</w:t>
      </w:r>
      <w:r w:rsidRPr="003E3AA3">
        <w:rPr>
          <w:rFonts w:cstheme="minorHAnsi"/>
          <w:i/>
          <w:iCs/>
          <w:sz w:val="20"/>
          <w:szCs w:val="20"/>
        </w:rPr>
        <w:t>.</w:t>
      </w:r>
    </w:p>
  </w:endnote>
  <w:endnote w:id="13">
    <w:p w14:paraId="5CAEFC61" w14:textId="2A44141B" w:rsidR="00405580" w:rsidRPr="003E3AA3" w:rsidRDefault="00405580" w:rsidP="00E0074F">
      <w:pPr>
        <w:spacing w:after="0" w:line="240" w:lineRule="auto"/>
        <w:jc w:val="both"/>
        <w:rPr>
          <w:rFonts w:cstheme="minorHAnsi"/>
          <w:sz w:val="20"/>
          <w:szCs w:val="20"/>
        </w:rPr>
      </w:pPr>
      <w:r w:rsidRPr="003E3AA3">
        <w:rPr>
          <w:rStyle w:val="EndnoteReference"/>
          <w:rFonts w:cstheme="minorHAnsi"/>
          <w:sz w:val="20"/>
          <w:szCs w:val="20"/>
        </w:rPr>
        <w:endnoteRef/>
      </w:r>
      <w:r w:rsidRPr="003E3AA3">
        <w:rPr>
          <w:rFonts w:cstheme="minorHAnsi"/>
          <w:sz w:val="20"/>
          <w:szCs w:val="20"/>
        </w:rPr>
        <w:t xml:space="preserve"> </w:t>
      </w:r>
      <w:r w:rsidR="008C6104" w:rsidRPr="003E3AA3">
        <w:rPr>
          <w:rFonts w:cstheme="minorHAnsi"/>
          <w:sz w:val="20"/>
          <w:szCs w:val="20"/>
        </w:rPr>
        <w:t>Habib Chaudhury, PhD, Atiya Mahmood, PhD, Maria Valente of Simon Fraser University, Vancouver, BC, Canada</w:t>
      </w:r>
      <w:r w:rsidR="008C6104" w:rsidRPr="003E3AA3">
        <w:rPr>
          <w:rFonts w:cstheme="minorHAnsi"/>
          <w:i/>
          <w:iCs/>
          <w:sz w:val="20"/>
          <w:szCs w:val="20"/>
        </w:rPr>
        <w:t xml:space="preserve"> </w:t>
      </w:r>
      <w:proofErr w:type="gramStart"/>
      <w:r w:rsidRPr="003E3AA3">
        <w:rPr>
          <w:rFonts w:cstheme="minorHAnsi"/>
          <w:i/>
          <w:iCs/>
          <w:sz w:val="20"/>
          <w:szCs w:val="20"/>
        </w:rPr>
        <w:t>The</w:t>
      </w:r>
      <w:proofErr w:type="gramEnd"/>
      <w:r w:rsidRPr="003E3AA3">
        <w:rPr>
          <w:rFonts w:cstheme="minorHAnsi"/>
          <w:i/>
          <w:iCs/>
          <w:sz w:val="20"/>
          <w:szCs w:val="20"/>
        </w:rPr>
        <w:t xml:space="preserve"> Use of Single Patient Rooms versus Multiple Occupancy Rooms in Acute Care Environments</w:t>
      </w:r>
      <w:r w:rsidRPr="003E3AA3">
        <w:rPr>
          <w:rFonts w:cstheme="minorHAnsi"/>
          <w:sz w:val="20"/>
          <w:szCs w:val="20"/>
        </w:rPr>
        <w:t>; 2004.</w:t>
      </w:r>
    </w:p>
  </w:endnote>
  <w:endnote w:id="14">
    <w:p w14:paraId="570B5803" w14:textId="00752DD3" w:rsidR="007F1E54" w:rsidRDefault="007F1E54">
      <w:pPr>
        <w:pStyle w:val="EndnoteText"/>
      </w:pPr>
      <w:r w:rsidRPr="003E3AA3">
        <w:rPr>
          <w:rStyle w:val="EndnoteReference"/>
        </w:rPr>
        <w:endnoteRef/>
      </w:r>
      <w:r w:rsidRPr="003E3AA3">
        <w:t xml:space="preserve"> </w:t>
      </w:r>
      <w:hyperlink r:id="rId6" w:history="1">
        <w:r w:rsidR="00E0074F" w:rsidRPr="006149D1">
          <w:rPr>
            <w:rStyle w:val="Hyperlink"/>
            <w:rFonts w:cstheme="minorHAnsi"/>
            <w:color w:val="auto"/>
            <w:u w:val="none"/>
          </w:rPr>
          <w:t>Medicare Payment Advisory Commission (“MedPAC”) Report to the Congress: Medicare Payment Policy</w:t>
        </w:r>
      </w:hyperlink>
      <w:r w:rsidR="00E0074F" w:rsidRPr="006149D1">
        <w:rPr>
          <w:rFonts w:cstheme="minorHAnsi"/>
        </w:rPr>
        <w:t xml:space="preserve">, </w:t>
      </w:r>
      <w:r w:rsidR="00E0074F" w:rsidRPr="003E3AA3">
        <w:rPr>
          <w:rFonts w:cstheme="minorHAnsi"/>
        </w:rPr>
        <w:t>March 2023</w:t>
      </w:r>
      <w:r w:rsidR="00AB2B72" w:rsidRPr="003E3AA3">
        <w:rPr>
          <w:rFonts w:cstheme="minorHAnsi"/>
        </w:rPr>
        <w:t>.</w:t>
      </w:r>
      <w:r w:rsidR="00AB2B72" w:rsidRPr="003E3AA3">
        <w:rPr>
          <w:rFonts w:cstheme="minorHAnsi"/>
          <w:color w:val="2F5496" w:themeColor="accent1" w:themeShade="BF"/>
        </w:rPr>
        <w:t xml:space="preserve"> </w:t>
      </w:r>
      <w:hyperlink w:history="1">
        <w:r w:rsidR="00AB2B72" w:rsidRPr="003E3AA3">
          <w:rPr>
            <w:rStyle w:val="Hyperlink"/>
            <w:rFonts w:cstheme="minorHAnsi"/>
            <w:color w:val="2F5496" w:themeColor="accent1" w:themeShade="BF"/>
          </w:rPr>
          <w:t>https://www.medpac.gov/document/march-2023-report-to-the-congress-medicare-payment-policy/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ora">
    <w:altName w:val="Lora"/>
    <w:charset w:val="00"/>
    <w:family w:val="auto"/>
    <w:pitch w:val="variable"/>
    <w:sig w:usb0="A00002F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F1D1" w14:textId="77777777" w:rsidR="006149D1" w:rsidRDefault="0061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454527"/>
      <w:docPartObj>
        <w:docPartGallery w:val="Page Numbers (Bottom of Page)"/>
        <w:docPartUnique/>
      </w:docPartObj>
    </w:sdtPr>
    <w:sdtEndPr>
      <w:rPr>
        <w:noProof/>
      </w:rPr>
    </w:sdtEndPr>
    <w:sdtContent>
      <w:p w14:paraId="3D4B8190" w14:textId="6A8E5365" w:rsidR="00272CB1" w:rsidRDefault="00272CB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D700CC9" w14:textId="77777777" w:rsidR="00272CB1" w:rsidRDefault="00272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7EC8" w14:textId="77777777" w:rsidR="006149D1" w:rsidRDefault="0061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108F" w14:textId="77777777" w:rsidR="003E3F57" w:rsidRDefault="003E3F57" w:rsidP="0017637D">
      <w:pPr>
        <w:spacing w:after="0" w:line="240" w:lineRule="auto"/>
      </w:pPr>
      <w:r>
        <w:separator/>
      </w:r>
    </w:p>
  </w:footnote>
  <w:footnote w:type="continuationSeparator" w:id="0">
    <w:p w14:paraId="5D60212F" w14:textId="77777777" w:rsidR="003E3F57" w:rsidRDefault="003E3F57" w:rsidP="0017637D">
      <w:pPr>
        <w:spacing w:after="0" w:line="240" w:lineRule="auto"/>
      </w:pPr>
      <w:r>
        <w:continuationSeparator/>
      </w:r>
    </w:p>
  </w:footnote>
  <w:footnote w:id="1">
    <w:p w14:paraId="22B026D8" w14:textId="53EED3FD" w:rsidR="00F80E65" w:rsidRDefault="00F80E65">
      <w:pPr>
        <w:pStyle w:val="FootnoteText"/>
      </w:pPr>
      <w:r>
        <w:rPr>
          <w:rStyle w:val="FootnoteReference"/>
        </w:rPr>
        <w:footnoteRef/>
      </w:r>
      <w:r>
        <w:t xml:space="preserve"> </w:t>
      </w:r>
      <w:r w:rsidRPr="00FC5BB3">
        <w:rPr>
          <w:rFonts w:cstheme="minorHAnsi"/>
          <w:color w:val="000000"/>
          <w:sz w:val="16"/>
          <w:szCs w:val="16"/>
        </w:rPr>
        <w:t xml:space="preserve">Patients who are admitted </w:t>
      </w:r>
      <w:r>
        <w:rPr>
          <w:rFonts w:cstheme="minorHAnsi"/>
          <w:color w:val="000000"/>
          <w:sz w:val="16"/>
          <w:szCs w:val="16"/>
        </w:rPr>
        <w:t xml:space="preserve">to IRF’s </w:t>
      </w:r>
      <w:r w:rsidRPr="00FC5BB3">
        <w:rPr>
          <w:rFonts w:cstheme="minorHAnsi"/>
          <w:color w:val="000000"/>
          <w:sz w:val="16"/>
          <w:szCs w:val="16"/>
        </w:rPr>
        <w:t>must be able to tolerate three hours of intense rehabilitation services per day. CMS collects patient assessment data only on Medicare Part A fee-for service patients. These facilities are exempt from the Medicare Hospital PPS and are paid under the IRF Prospective Payment System (PPS) effective 1/1/2002. </w:t>
      </w:r>
      <w:hyperlink r:id="rId1" w:history="1">
        <w:r w:rsidRPr="00FC5BB3">
          <w:rPr>
            <w:rStyle w:val="Hyperlink"/>
            <w:rFonts w:cstheme="minorHAnsi"/>
            <w:sz w:val="16"/>
            <w:szCs w:val="16"/>
          </w:rPr>
          <w:t>Inpatient Rehabilitation Facilities at CMS.gov</w:t>
        </w:r>
      </w:hyperlink>
    </w:p>
  </w:footnote>
  <w:footnote w:id="2">
    <w:p w14:paraId="32ECDA4C" w14:textId="2B17BBCB" w:rsidR="000532F0" w:rsidRPr="000532F0" w:rsidRDefault="000532F0" w:rsidP="000532F0">
      <w:pPr>
        <w:pStyle w:val="FootnoteText"/>
        <w:jc w:val="both"/>
        <w:rPr>
          <w:rFonts w:cstheme="minorHAnsi"/>
          <w:sz w:val="16"/>
          <w:szCs w:val="16"/>
        </w:rPr>
      </w:pPr>
      <w:r>
        <w:rPr>
          <w:rStyle w:val="FootnoteReference"/>
        </w:rPr>
        <w:footnoteRef/>
      </w:r>
      <w:r>
        <w:t xml:space="preserve"> </w:t>
      </w:r>
      <w:r w:rsidRPr="000532F0">
        <w:rPr>
          <w:rFonts w:cstheme="minorHAnsi"/>
          <w:color w:val="000000"/>
          <w:sz w:val="16"/>
          <w:szCs w:val="16"/>
        </w:rPr>
        <w:t>Majority owned by Encompass Health Fairlawn Holdings, LLC (Encompass Health Fairlawn Holdings, LLC is a wholly owned subsidiary of Encompass Health Corporation</w:t>
      </w:r>
      <w:r>
        <w:rPr>
          <w:rFonts w:cstheme="minorHAnsi"/>
          <w:color w:val="000000"/>
          <w:sz w:val="16"/>
          <w:szCs w:val="16"/>
        </w:rPr>
        <w:t>)</w:t>
      </w:r>
      <w:r w:rsidRPr="000532F0">
        <w:rPr>
          <w:rFonts w:cstheme="minorHAnsi"/>
          <w:color w:val="000000"/>
          <w:sz w:val="16"/>
          <w:szCs w:val="16"/>
        </w:rPr>
        <w:t xml:space="preserve"> and minority owned by UMass Memorial Health Ventures, Inc.</w:t>
      </w:r>
    </w:p>
  </w:footnote>
  <w:footnote w:id="3">
    <w:p w14:paraId="2CB0FDE1" w14:textId="4D15D06B" w:rsidR="00272CB1" w:rsidRPr="001C101D" w:rsidRDefault="00272CB1">
      <w:pPr>
        <w:pStyle w:val="FootnoteText"/>
        <w:rPr>
          <w:rFonts w:cstheme="minorHAnsi"/>
          <w:sz w:val="16"/>
          <w:szCs w:val="16"/>
        </w:rPr>
      </w:pPr>
      <w:r w:rsidRPr="001C101D">
        <w:rPr>
          <w:rStyle w:val="FootnoteReference"/>
          <w:rFonts w:cstheme="minorHAnsi"/>
          <w:sz w:val="16"/>
          <w:szCs w:val="16"/>
        </w:rPr>
        <w:footnoteRef/>
      </w:r>
      <w:r w:rsidRPr="001C101D">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Holder…(2) If the Proposed Project is for a new facility and there is no existing patient panel, Patient Panel means the anticipated patients.</w:t>
      </w:r>
    </w:p>
  </w:footnote>
  <w:footnote w:id="4">
    <w:p w14:paraId="5B7F425C" w14:textId="77777777" w:rsidR="00814C19" w:rsidRPr="001713D6" w:rsidRDefault="00814C19" w:rsidP="00C60951">
      <w:pPr>
        <w:pStyle w:val="FootnoteText"/>
        <w:rPr>
          <w:rFonts w:ascii="Times New Roman" w:hAnsi="Times New Roman" w:cs="Times New Roman"/>
        </w:rPr>
      </w:pPr>
      <w:r w:rsidRPr="001C101D">
        <w:rPr>
          <w:rStyle w:val="FootnoteReference"/>
          <w:rFonts w:cstheme="minorHAnsi"/>
          <w:sz w:val="16"/>
          <w:szCs w:val="16"/>
        </w:rPr>
        <w:footnoteRef/>
      </w:r>
      <w:r w:rsidRPr="001C101D">
        <w:rPr>
          <w:rFonts w:cstheme="minorHAnsi"/>
          <w:sz w:val="16"/>
          <w:szCs w:val="16"/>
        </w:rPr>
        <w:t xml:space="preserve"> Combined “&lt;18” with “18-34” for patient confidentiality. </w:t>
      </w:r>
    </w:p>
  </w:footnote>
  <w:footnote w:id="5">
    <w:p w14:paraId="592A72FC" w14:textId="77777777" w:rsidR="00814C19" w:rsidRPr="008C4EFA" w:rsidRDefault="00814C19" w:rsidP="008C4EFA">
      <w:pPr>
        <w:spacing w:after="0"/>
        <w:jc w:val="both"/>
        <w:rPr>
          <w:rFonts w:cstheme="minorHAnsi"/>
          <w:color w:val="000000"/>
          <w:sz w:val="16"/>
          <w:szCs w:val="16"/>
        </w:rPr>
      </w:pPr>
      <w:r w:rsidRPr="008C4EFA">
        <w:rPr>
          <w:rStyle w:val="FootnoteReference"/>
          <w:rFonts w:cstheme="minorHAnsi"/>
          <w:sz w:val="16"/>
          <w:szCs w:val="16"/>
        </w:rPr>
        <w:footnoteRef/>
      </w:r>
      <w:r w:rsidRPr="008C4EFA">
        <w:rPr>
          <w:rFonts w:cstheme="minorHAnsi"/>
          <w:sz w:val="16"/>
          <w:szCs w:val="16"/>
        </w:rPr>
        <w:t xml:space="preserve"> Includes “</w:t>
      </w:r>
      <w:r w:rsidRPr="008C4EFA">
        <w:rPr>
          <w:rFonts w:cstheme="minorHAnsi"/>
          <w:color w:val="000000"/>
          <w:sz w:val="16"/>
          <w:szCs w:val="16"/>
        </w:rPr>
        <w:t>Black or African American” and “Black Hispanic”</w:t>
      </w:r>
      <w:r w:rsidRPr="008C4EFA">
        <w:rPr>
          <w:rFonts w:cstheme="minorHAnsi"/>
          <w:sz w:val="16"/>
          <w:szCs w:val="16"/>
        </w:rPr>
        <w:t xml:space="preserve"> for patient confidentiality.</w:t>
      </w:r>
    </w:p>
  </w:footnote>
  <w:footnote w:id="6">
    <w:p w14:paraId="1524088D" w14:textId="77777777" w:rsidR="00814C19" w:rsidRPr="008C4EFA" w:rsidRDefault="00814C19" w:rsidP="008C4EFA">
      <w:pPr>
        <w:pStyle w:val="FootnoteText"/>
        <w:jc w:val="both"/>
        <w:rPr>
          <w:rFonts w:cstheme="minorHAnsi"/>
          <w:sz w:val="16"/>
          <w:szCs w:val="16"/>
        </w:rPr>
      </w:pPr>
      <w:r w:rsidRPr="008C4EFA">
        <w:rPr>
          <w:rStyle w:val="FootnoteReference"/>
          <w:rFonts w:cstheme="minorHAnsi"/>
          <w:sz w:val="16"/>
          <w:szCs w:val="16"/>
        </w:rPr>
        <w:footnoteRef/>
      </w:r>
      <w:r w:rsidRPr="008C4EFA">
        <w:rPr>
          <w:rFonts w:cstheme="minorHAnsi"/>
          <w:sz w:val="16"/>
          <w:szCs w:val="16"/>
        </w:rPr>
        <w:t xml:space="preserve"> Includes “</w:t>
      </w:r>
      <w:r w:rsidRPr="008C4EFA">
        <w:rPr>
          <w:rFonts w:eastAsia="Times New Roman" w:cstheme="minorHAnsi"/>
          <w:color w:val="000000"/>
          <w:sz w:val="16"/>
          <w:szCs w:val="16"/>
        </w:rPr>
        <w:t xml:space="preserve">Biracial” and “Native American” </w:t>
      </w:r>
      <w:r w:rsidRPr="008C4EFA">
        <w:rPr>
          <w:rFonts w:cstheme="minorHAnsi"/>
          <w:sz w:val="16"/>
          <w:szCs w:val="16"/>
        </w:rPr>
        <w:t>for patient confidentiality.</w:t>
      </w:r>
    </w:p>
  </w:footnote>
  <w:footnote w:id="7">
    <w:p w14:paraId="77C14CA0" w14:textId="77777777" w:rsidR="00814C19" w:rsidRPr="008C4EFA" w:rsidRDefault="00814C19" w:rsidP="00DD0CB8">
      <w:pPr>
        <w:pStyle w:val="FootnoteText"/>
        <w:rPr>
          <w:rFonts w:cstheme="minorHAnsi"/>
          <w:sz w:val="16"/>
          <w:szCs w:val="16"/>
        </w:rPr>
      </w:pPr>
      <w:r w:rsidRPr="008C4EFA">
        <w:rPr>
          <w:rStyle w:val="FootnoteReference"/>
          <w:rFonts w:cstheme="minorHAnsi"/>
          <w:sz w:val="16"/>
          <w:szCs w:val="16"/>
        </w:rPr>
        <w:footnoteRef/>
      </w:r>
      <w:r w:rsidRPr="008C4EFA">
        <w:rPr>
          <w:rFonts w:cstheme="minorHAnsi"/>
          <w:sz w:val="16"/>
          <w:szCs w:val="16"/>
        </w:rPr>
        <w:t xml:space="preserve"> Includes Out of State, Berkshire County, Dukes County, and Nantucket for patient confidentiality. </w:t>
      </w:r>
    </w:p>
  </w:footnote>
  <w:footnote w:id="8">
    <w:p w14:paraId="04DAB310" w14:textId="00ACEF74" w:rsidR="003C1656" w:rsidRPr="001C101D" w:rsidRDefault="003C1656" w:rsidP="003C1656">
      <w:pPr>
        <w:pStyle w:val="FootnoteText"/>
        <w:rPr>
          <w:rFonts w:cstheme="minorHAnsi"/>
          <w:sz w:val="16"/>
          <w:szCs w:val="16"/>
        </w:rPr>
      </w:pPr>
      <w:r w:rsidRPr="001C101D">
        <w:rPr>
          <w:rStyle w:val="FootnoteReference"/>
          <w:rFonts w:cstheme="minorHAnsi"/>
          <w:sz w:val="16"/>
          <w:szCs w:val="16"/>
        </w:rPr>
        <w:footnoteRef/>
      </w:r>
      <w:r w:rsidRPr="001C101D">
        <w:rPr>
          <w:rFonts w:cstheme="minorHAnsi"/>
          <w:sz w:val="16"/>
          <w:szCs w:val="16"/>
        </w:rPr>
        <w:t xml:space="preserve"> </w:t>
      </w:r>
      <w:r>
        <w:rPr>
          <w:rFonts w:cstheme="minorHAnsi"/>
          <w:sz w:val="16"/>
          <w:szCs w:val="16"/>
        </w:rPr>
        <w:t>C</w:t>
      </w:r>
      <w:r w:rsidRPr="001C101D">
        <w:rPr>
          <w:rFonts w:cstheme="minorHAnsi"/>
          <w:sz w:val="16"/>
          <w:szCs w:val="16"/>
        </w:rPr>
        <w:t xml:space="preserve">ommensurate with the Applicant’s average age of 71 across </w:t>
      </w:r>
      <w:proofErr w:type="gramStart"/>
      <w:r w:rsidRPr="001C101D">
        <w:rPr>
          <w:rFonts w:cstheme="minorHAnsi"/>
          <w:sz w:val="16"/>
          <w:szCs w:val="16"/>
        </w:rPr>
        <w:t>all of</w:t>
      </w:r>
      <w:proofErr w:type="gramEnd"/>
      <w:r w:rsidRPr="001C101D">
        <w:rPr>
          <w:rFonts w:cstheme="minorHAnsi"/>
          <w:sz w:val="16"/>
          <w:szCs w:val="16"/>
        </w:rPr>
        <w:t xml:space="preserve"> its IRFS nationally. See</w:t>
      </w:r>
      <w:hyperlink r:id="rId2" w:history="1">
        <w:r w:rsidRPr="003455E1">
          <w:rPr>
            <w:rStyle w:val="Hyperlink"/>
            <w:rFonts w:cstheme="minorHAnsi"/>
            <w:color w:val="auto"/>
            <w:sz w:val="16"/>
            <w:szCs w:val="16"/>
            <w:u w:val="none"/>
          </w:rPr>
          <w:t xml:space="preserve"> Encompass Healthcare Quarter 4 2020 Investor Handbook,</w:t>
        </w:r>
      </w:hyperlink>
      <w:r w:rsidRPr="003455E1">
        <w:rPr>
          <w:rFonts w:cstheme="minorHAnsi"/>
          <w:sz w:val="16"/>
          <w:szCs w:val="16"/>
        </w:rPr>
        <w:t xml:space="preserve"> available at </w:t>
      </w:r>
      <w:hyperlink r:id="rId3" w:history="1">
        <w:r w:rsidR="003455E1" w:rsidRPr="003455E1">
          <w:rPr>
            <w:rStyle w:val="Hyperlink"/>
            <w:rFonts w:cstheme="minorHAnsi"/>
            <w:color w:val="auto"/>
            <w:sz w:val="16"/>
            <w:szCs w:val="16"/>
            <w:u w:val="none"/>
          </w:rPr>
          <w:t>https://investor.encompasshealth.com/investor-resources/investor-reference-book/default.aspx</w:t>
        </w:r>
      </w:hyperlink>
      <w:r w:rsidR="003455E1" w:rsidRPr="003455E1">
        <w:rPr>
          <w:rFonts w:cstheme="minorHAnsi"/>
          <w:sz w:val="16"/>
          <w:szCs w:val="16"/>
        </w:rPr>
        <w:t xml:space="preserve"> </w:t>
      </w:r>
      <w:r w:rsidRPr="003455E1">
        <w:rPr>
          <w:rFonts w:cstheme="minorHAnsi"/>
          <w:sz w:val="16"/>
          <w:szCs w:val="16"/>
        </w:rPr>
        <w:t xml:space="preserve">. </w:t>
      </w:r>
    </w:p>
  </w:footnote>
  <w:footnote w:id="9">
    <w:p w14:paraId="551427C8" w14:textId="77777777" w:rsidR="003C1656" w:rsidRPr="00BD4574" w:rsidRDefault="003C1656" w:rsidP="003C1656">
      <w:pPr>
        <w:pStyle w:val="FootnoteText"/>
        <w:rPr>
          <w:rFonts w:cstheme="minorHAnsi"/>
          <w:sz w:val="16"/>
          <w:szCs w:val="16"/>
        </w:rPr>
      </w:pPr>
      <w:r w:rsidRPr="00BD4574">
        <w:rPr>
          <w:rStyle w:val="FootnoteReference"/>
          <w:rFonts w:cstheme="minorHAnsi"/>
          <w:sz w:val="16"/>
          <w:szCs w:val="16"/>
        </w:rPr>
        <w:footnoteRef/>
      </w:r>
      <w:r w:rsidRPr="00BD4574">
        <w:rPr>
          <w:rFonts w:cstheme="minorHAnsi"/>
          <w:sz w:val="16"/>
          <w:szCs w:val="16"/>
        </w:rPr>
        <w:t xml:space="preserve"> Combined “&lt;18” with “18-34” for patient confidentiality. </w:t>
      </w:r>
    </w:p>
  </w:footnote>
  <w:footnote w:id="10">
    <w:p w14:paraId="0146FBA0" w14:textId="77777777" w:rsidR="003C1656" w:rsidRPr="00BD4574" w:rsidRDefault="003C1656" w:rsidP="003C1656">
      <w:pPr>
        <w:pStyle w:val="FootnoteText"/>
        <w:rPr>
          <w:rFonts w:cstheme="minorHAnsi"/>
          <w:sz w:val="16"/>
          <w:szCs w:val="16"/>
        </w:rPr>
      </w:pPr>
      <w:r w:rsidRPr="00BD4574">
        <w:rPr>
          <w:rStyle w:val="FootnoteReference"/>
          <w:rFonts w:cstheme="minorHAnsi"/>
          <w:sz w:val="16"/>
          <w:szCs w:val="16"/>
        </w:rPr>
        <w:footnoteRef/>
      </w:r>
      <w:r w:rsidRPr="00BD4574">
        <w:rPr>
          <w:rFonts w:cstheme="minorHAnsi"/>
          <w:sz w:val="16"/>
          <w:szCs w:val="16"/>
        </w:rPr>
        <w:t xml:space="preserve"> Includes “Biracial-Black” and “Black Hispanic” for patient confidentiality.</w:t>
      </w:r>
    </w:p>
  </w:footnote>
  <w:footnote w:id="11">
    <w:p w14:paraId="1B2FE60B" w14:textId="77777777" w:rsidR="003C1656" w:rsidRPr="00BD4574" w:rsidRDefault="003C1656" w:rsidP="003C1656">
      <w:pPr>
        <w:pStyle w:val="FootnoteText"/>
        <w:rPr>
          <w:rFonts w:cstheme="minorHAnsi"/>
          <w:sz w:val="16"/>
          <w:szCs w:val="16"/>
        </w:rPr>
      </w:pPr>
      <w:r w:rsidRPr="00BD4574">
        <w:rPr>
          <w:rStyle w:val="FootnoteReference"/>
          <w:rFonts w:cstheme="minorHAnsi"/>
          <w:sz w:val="16"/>
          <w:szCs w:val="16"/>
        </w:rPr>
        <w:footnoteRef/>
      </w:r>
      <w:r w:rsidRPr="00BD4574">
        <w:rPr>
          <w:rFonts w:cstheme="minorHAnsi"/>
          <w:sz w:val="16"/>
          <w:szCs w:val="16"/>
        </w:rPr>
        <w:t xml:space="preserve"> Includes “American Indian Hispanic” for patient confidentiality.</w:t>
      </w:r>
    </w:p>
  </w:footnote>
  <w:footnote w:id="12">
    <w:p w14:paraId="17990153" w14:textId="77777777" w:rsidR="003C1656" w:rsidRPr="00BD4574" w:rsidRDefault="003C1656" w:rsidP="003C1656">
      <w:pPr>
        <w:pStyle w:val="FootnoteText"/>
        <w:rPr>
          <w:rFonts w:cstheme="minorHAnsi"/>
          <w:sz w:val="16"/>
          <w:szCs w:val="16"/>
        </w:rPr>
      </w:pPr>
      <w:r w:rsidRPr="00BD4574">
        <w:rPr>
          <w:rStyle w:val="FootnoteReference"/>
          <w:rFonts w:cstheme="minorHAnsi"/>
          <w:sz w:val="16"/>
          <w:szCs w:val="16"/>
        </w:rPr>
        <w:footnoteRef/>
      </w:r>
      <w:r w:rsidRPr="00BD4574">
        <w:rPr>
          <w:rFonts w:cstheme="minorHAnsi"/>
          <w:sz w:val="16"/>
          <w:szCs w:val="16"/>
        </w:rPr>
        <w:t xml:space="preserve"> Includes “Hawaiian/Pacific Islander”, “Alaska Native” and “American Indian for patient confidentiality.</w:t>
      </w:r>
    </w:p>
  </w:footnote>
  <w:footnote w:id="13">
    <w:p w14:paraId="63D49D83" w14:textId="77777777" w:rsidR="003C1656" w:rsidRPr="00BD4574" w:rsidRDefault="003C1656" w:rsidP="003C1656">
      <w:pPr>
        <w:pStyle w:val="FootnoteText"/>
        <w:rPr>
          <w:rFonts w:cstheme="minorHAnsi"/>
          <w:sz w:val="16"/>
          <w:szCs w:val="16"/>
        </w:rPr>
      </w:pPr>
      <w:r w:rsidRPr="00BD4574">
        <w:rPr>
          <w:rStyle w:val="FootnoteReference"/>
          <w:rFonts w:cstheme="minorHAnsi"/>
          <w:sz w:val="16"/>
          <w:szCs w:val="16"/>
        </w:rPr>
        <w:footnoteRef/>
      </w:r>
      <w:r w:rsidRPr="00BD4574">
        <w:rPr>
          <w:rFonts w:cstheme="minorHAnsi"/>
          <w:sz w:val="16"/>
          <w:szCs w:val="16"/>
        </w:rPr>
        <w:t xml:space="preserve"> Including self-pay and Workers Compensation for patient confidentiality. </w:t>
      </w:r>
    </w:p>
  </w:footnote>
  <w:footnote w:id="14">
    <w:p w14:paraId="6EAB904D" w14:textId="77777777" w:rsidR="003C1656" w:rsidRPr="00BD4574" w:rsidRDefault="003C1656" w:rsidP="003C1656">
      <w:pPr>
        <w:pStyle w:val="FootnoteText"/>
        <w:rPr>
          <w:rFonts w:cstheme="minorHAnsi"/>
          <w:sz w:val="16"/>
          <w:szCs w:val="16"/>
        </w:rPr>
      </w:pPr>
      <w:r w:rsidRPr="00BD4574">
        <w:rPr>
          <w:rStyle w:val="FootnoteReference"/>
          <w:rFonts w:cstheme="minorHAnsi"/>
          <w:sz w:val="16"/>
          <w:szCs w:val="16"/>
        </w:rPr>
        <w:footnoteRef/>
      </w:r>
      <w:r w:rsidRPr="00BD4574">
        <w:rPr>
          <w:rFonts w:cstheme="minorHAnsi"/>
          <w:sz w:val="16"/>
          <w:szCs w:val="16"/>
        </w:rPr>
        <w:t xml:space="preserve"> Includes “Commercial” for patient confidentiality.</w:t>
      </w:r>
    </w:p>
  </w:footnote>
  <w:footnote w:id="15">
    <w:p w14:paraId="46CBDD19" w14:textId="77777777" w:rsidR="003C1656" w:rsidRPr="004B3A85" w:rsidRDefault="003C1656" w:rsidP="003C1656">
      <w:pPr>
        <w:pStyle w:val="FootnoteText"/>
        <w:rPr>
          <w:rFonts w:ascii="Times New Roman" w:hAnsi="Times New Roman" w:cs="Times New Roman"/>
        </w:rPr>
      </w:pPr>
      <w:r w:rsidRPr="00BD4574">
        <w:rPr>
          <w:rStyle w:val="FootnoteReference"/>
          <w:rFonts w:cstheme="minorHAnsi"/>
          <w:sz w:val="16"/>
          <w:szCs w:val="16"/>
        </w:rPr>
        <w:footnoteRef/>
      </w:r>
      <w:r w:rsidRPr="00BD4574">
        <w:rPr>
          <w:rFonts w:cstheme="minorHAnsi"/>
          <w:sz w:val="16"/>
          <w:szCs w:val="16"/>
        </w:rPr>
        <w:t xml:space="preserve"> </w:t>
      </w:r>
      <w:r w:rsidRPr="00BD4574">
        <w:rPr>
          <w:rFonts w:eastAsia="Times New Roman" w:cstheme="minorHAnsi"/>
          <w:color w:val="000000"/>
          <w:sz w:val="16"/>
          <w:szCs w:val="16"/>
        </w:rPr>
        <w:t>Includes the following counties of origin for patient confidentiality: Berkshire, Barnstable, Middlesex, Norfolk, Suffolk, Bristol, Essex.</w:t>
      </w:r>
    </w:p>
  </w:footnote>
  <w:footnote w:id="16">
    <w:p w14:paraId="2D23F17A" w14:textId="15BF3DF3" w:rsidR="00FE6F83" w:rsidRPr="00FE6F83" w:rsidRDefault="00FE6F83">
      <w:pPr>
        <w:pStyle w:val="FootnoteText"/>
        <w:rPr>
          <w:sz w:val="16"/>
          <w:szCs w:val="16"/>
        </w:rPr>
      </w:pPr>
      <w:r w:rsidRPr="00FE6F83">
        <w:rPr>
          <w:rStyle w:val="FootnoteReference"/>
          <w:sz w:val="16"/>
          <w:szCs w:val="16"/>
        </w:rPr>
        <w:footnoteRef/>
      </w:r>
      <w:r w:rsidRPr="00FE6F83">
        <w:rPr>
          <w:sz w:val="16"/>
          <w:szCs w:val="16"/>
        </w:rPr>
        <w:t xml:space="preserve"> </w:t>
      </w:r>
      <w:r w:rsidRPr="00FE6F83">
        <w:rPr>
          <w:rFonts w:cstheme="minorHAnsi"/>
          <w:sz w:val="16"/>
          <w:szCs w:val="16"/>
        </w:rPr>
        <w:t>Source: Medicare Cost Report data summarized and obtained through ahd.com.</w:t>
      </w:r>
    </w:p>
  </w:footnote>
  <w:footnote w:id="17">
    <w:p w14:paraId="5BB25B6E" w14:textId="6E45C82B" w:rsidR="0061319F" w:rsidRPr="0061319F" w:rsidRDefault="0061319F">
      <w:pPr>
        <w:pStyle w:val="FootnoteText"/>
        <w:rPr>
          <w:sz w:val="16"/>
          <w:szCs w:val="16"/>
        </w:rPr>
      </w:pPr>
      <w:r w:rsidRPr="0061319F">
        <w:rPr>
          <w:rStyle w:val="FootnoteReference"/>
          <w:sz w:val="16"/>
          <w:szCs w:val="16"/>
        </w:rPr>
        <w:footnoteRef/>
      </w:r>
      <w:r w:rsidRPr="0061319F">
        <w:rPr>
          <w:sz w:val="16"/>
          <w:szCs w:val="16"/>
        </w:rPr>
        <w:t xml:space="preserve"> The CPA Reports states, “</w:t>
      </w:r>
      <w:r w:rsidRPr="0061319F">
        <w:rPr>
          <w:rFonts w:eastAsia="Trebuchet MS"/>
          <w:color w:val="000000"/>
          <w:sz w:val="16"/>
          <w:szCs w:val="16"/>
        </w:rPr>
        <w:t xml:space="preserve">The ramp up of patient days and cases was done starting with the historical patient case information and adding a one-time increase of 5.8% for 2025, the year the 17 additional beds come </w:t>
      </w:r>
      <w:r w:rsidR="0063612A" w:rsidRPr="0061319F">
        <w:rPr>
          <w:rFonts w:eastAsia="Trebuchet MS"/>
          <w:color w:val="000000"/>
          <w:sz w:val="16"/>
          <w:szCs w:val="16"/>
        </w:rPr>
        <w:t>online</w:t>
      </w:r>
      <w:r w:rsidRPr="0061319F">
        <w:rPr>
          <w:rFonts w:eastAsia="Trebuchet MS"/>
          <w:color w:val="000000"/>
          <w:sz w:val="16"/>
          <w:szCs w:val="16"/>
        </w:rPr>
        <w:t>. From 2026 to 2029, a general increase of 1.7% per year was added.”</w:t>
      </w:r>
    </w:p>
  </w:footnote>
  <w:footnote w:id="18">
    <w:p w14:paraId="0097F281" w14:textId="401B195F" w:rsidR="00FE6F83" w:rsidRPr="00FE6F83" w:rsidRDefault="00FE6F83" w:rsidP="00FE6F83">
      <w:pPr>
        <w:spacing w:after="0"/>
        <w:rPr>
          <w:rFonts w:cstheme="minorHAnsi"/>
          <w:sz w:val="16"/>
          <w:szCs w:val="16"/>
        </w:rPr>
      </w:pPr>
      <w:r w:rsidRPr="00FE6F83">
        <w:rPr>
          <w:rStyle w:val="FootnoteReference"/>
          <w:sz w:val="16"/>
          <w:szCs w:val="16"/>
        </w:rPr>
        <w:footnoteRef/>
      </w:r>
      <w:r w:rsidRPr="00FE6F83">
        <w:rPr>
          <w:sz w:val="16"/>
          <w:szCs w:val="16"/>
        </w:rPr>
        <w:t xml:space="preserve"> </w:t>
      </w:r>
      <w:r w:rsidRPr="00FE6F83">
        <w:rPr>
          <w:rFonts w:cstheme="minorHAnsi"/>
          <w:sz w:val="16"/>
          <w:szCs w:val="16"/>
        </w:rPr>
        <w:t>Project Year 4 (CY28) occupancy rate is based on 366 days because 2028 is a leap year.</w:t>
      </w:r>
    </w:p>
    <w:p w14:paraId="25442CB8" w14:textId="603EFC87" w:rsidR="00FE6F83" w:rsidRDefault="00FE6F83">
      <w:pPr>
        <w:pStyle w:val="FootnoteText"/>
      </w:pPr>
    </w:p>
  </w:footnote>
  <w:footnote w:id="19">
    <w:p w14:paraId="7910CB7E" w14:textId="77777777" w:rsidR="00381D21" w:rsidRPr="00B84B50" w:rsidRDefault="00381D21" w:rsidP="00381D21">
      <w:pPr>
        <w:rPr>
          <w:rFonts w:cstheme="minorHAnsi"/>
          <w:sz w:val="16"/>
          <w:szCs w:val="16"/>
        </w:rPr>
      </w:pPr>
      <w:r w:rsidRPr="00B84B50">
        <w:rPr>
          <w:rStyle w:val="FootnoteReference"/>
          <w:rFonts w:cstheme="minorHAnsi"/>
          <w:sz w:val="16"/>
          <w:szCs w:val="16"/>
        </w:rPr>
        <w:footnoteRef/>
      </w:r>
      <w:r w:rsidRPr="00B84B50">
        <w:rPr>
          <w:rFonts w:cstheme="minorHAnsi"/>
          <w:sz w:val="16"/>
          <w:szCs w:val="16"/>
        </w:rPr>
        <w:t xml:space="preserve"> Source: Google Maps. Note: times and distances reflect the shortest travel time for mid-morning travel Monday, November 13, 2023.</w:t>
      </w:r>
    </w:p>
  </w:footnote>
  <w:footnote w:id="20">
    <w:p w14:paraId="102ED9C8" w14:textId="6FD46755" w:rsidR="00767BB5" w:rsidRPr="00EE5295" w:rsidRDefault="00767BB5">
      <w:pPr>
        <w:pStyle w:val="FootnoteText"/>
        <w:rPr>
          <w:sz w:val="16"/>
          <w:szCs w:val="16"/>
        </w:rPr>
      </w:pPr>
      <w:r w:rsidRPr="00EE5295">
        <w:rPr>
          <w:rStyle w:val="FootnoteReference"/>
          <w:sz w:val="16"/>
          <w:szCs w:val="16"/>
        </w:rPr>
        <w:footnoteRef/>
      </w:r>
      <w:r w:rsidRPr="00EE5295">
        <w:rPr>
          <w:sz w:val="16"/>
          <w:szCs w:val="16"/>
        </w:rPr>
        <w:t xml:space="preserve"> </w:t>
      </w:r>
      <w:r w:rsidR="005C549B" w:rsidRPr="00EE5295">
        <w:rPr>
          <w:sz w:val="16"/>
          <w:szCs w:val="16"/>
        </w:rPr>
        <w:t xml:space="preserve">See </w:t>
      </w:r>
      <w:hyperlink r:id="rId4" w:history="1">
        <w:r w:rsidR="005C549B" w:rsidRPr="002C6778">
          <w:rPr>
            <w:rStyle w:val="Hyperlink"/>
            <w:color w:val="auto"/>
            <w:sz w:val="16"/>
            <w:szCs w:val="16"/>
            <w:u w:val="none"/>
          </w:rPr>
          <w:t xml:space="preserve">Responses to DoN questions p. </w:t>
        </w:r>
        <w:r w:rsidR="00E001D5" w:rsidRPr="002C6778">
          <w:rPr>
            <w:rStyle w:val="Hyperlink"/>
            <w:color w:val="auto"/>
            <w:sz w:val="16"/>
            <w:szCs w:val="16"/>
            <w:u w:val="none"/>
          </w:rPr>
          <w:t>2-3</w:t>
        </w:r>
      </w:hyperlink>
      <w:r w:rsidR="00EE5295" w:rsidRPr="002C6778">
        <w:rPr>
          <w:sz w:val="16"/>
          <w:szCs w:val="16"/>
        </w:rPr>
        <w:t xml:space="preserve"> </w:t>
      </w:r>
      <w:r w:rsidR="00EE5295" w:rsidRPr="00EE5295">
        <w:rPr>
          <w:sz w:val="16"/>
          <w:szCs w:val="16"/>
        </w:rPr>
        <w:t xml:space="preserve">at </w:t>
      </w:r>
      <w:hyperlink r:id="rId5" w:history="1">
        <w:r w:rsidR="00EE5295" w:rsidRPr="00EE5295">
          <w:rPr>
            <w:rStyle w:val="Hyperlink"/>
            <w:sz w:val="16"/>
            <w:szCs w:val="16"/>
          </w:rPr>
          <w:t>https://www.mass.gov/doc/responses-to-don-questions-pdf-encompass-health-corporation/download</w:t>
        </w:r>
      </w:hyperlink>
      <w:r w:rsidR="00EE5295" w:rsidRPr="00EE5295">
        <w:rPr>
          <w:sz w:val="16"/>
          <w:szCs w:val="16"/>
        </w:rPr>
        <w:t xml:space="preserve"> </w:t>
      </w:r>
    </w:p>
  </w:footnote>
  <w:footnote w:id="21">
    <w:p w14:paraId="385CC10D" w14:textId="77777777" w:rsidR="00272CB1" w:rsidRPr="00B44DD3" w:rsidRDefault="00272CB1" w:rsidP="003E1CDA">
      <w:pPr>
        <w:pStyle w:val="FootnoteText"/>
        <w:rPr>
          <w:sz w:val="16"/>
          <w:szCs w:val="16"/>
        </w:rPr>
      </w:pPr>
      <w:r w:rsidRPr="00B44DD3">
        <w:rPr>
          <w:rStyle w:val="FootnoteReference"/>
          <w:sz w:val="16"/>
          <w:szCs w:val="16"/>
        </w:rPr>
        <w:footnoteRef/>
      </w:r>
      <w:r w:rsidRPr="00B44DD3">
        <w:rPr>
          <w:sz w:val="16"/>
          <w:szCs w:val="16"/>
        </w:rPr>
        <w:t xml:space="preserve"> Community Engagement Standards for Community Health Planning Guideline</w:t>
      </w:r>
    </w:p>
  </w:footnote>
  <w:footnote w:id="22">
    <w:p w14:paraId="5966E8BC" w14:textId="49399C43" w:rsidR="00272CB1" w:rsidRPr="0010344C" w:rsidRDefault="00272CB1" w:rsidP="003E1CDA">
      <w:pPr>
        <w:pStyle w:val="FootnoteText"/>
        <w:rPr>
          <w:sz w:val="18"/>
          <w:szCs w:val="18"/>
        </w:rPr>
      </w:pPr>
      <w:r w:rsidRPr="00B44DD3">
        <w:rPr>
          <w:rStyle w:val="FootnoteReference"/>
          <w:sz w:val="16"/>
          <w:szCs w:val="16"/>
        </w:rPr>
        <w:footnoteRef/>
      </w:r>
      <w:r w:rsidRPr="00B44DD3">
        <w:rPr>
          <w:sz w:val="16"/>
          <w:szCs w:val="16"/>
        </w:rPr>
        <w:t xml:space="preserve"> </w:t>
      </w:r>
      <w:hyperlink r:id="rId6" w:history="1">
        <w:r w:rsidRPr="002C6778">
          <w:rPr>
            <w:rStyle w:val="Hyperlink"/>
            <w:color w:val="auto"/>
            <w:sz w:val="16"/>
            <w:szCs w:val="16"/>
            <w:u w:val="none"/>
          </w:rPr>
          <w:t>DoN Regulation 100.210 (A)(1)(e).</w:t>
        </w:r>
      </w:hyperlink>
      <w:r w:rsidRPr="00B44DD3">
        <w:rPr>
          <w:sz w:val="16"/>
          <w:szCs w:val="16"/>
        </w:rPr>
        <w:t xml:space="preserve"> </w:t>
      </w:r>
      <w:hyperlink r:id="rId7" w:history="1">
        <w:r w:rsidRPr="00B44DD3">
          <w:rPr>
            <w:rStyle w:val="Hyperlink"/>
            <w:sz w:val="16"/>
            <w:szCs w:val="16"/>
          </w:rPr>
          <w:t>Available at https://www.mass.gov/files/documents/2018/12/31/jud-lib-105cmr100.pdf</w:t>
        </w:r>
      </w:hyperlink>
      <w:r w:rsidRPr="0010344C">
        <w:rPr>
          <w:sz w:val="18"/>
          <w:szCs w:val="18"/>
        </w:rPr>
        <w:t xml:space="preserve"> </w:t>
      </w:r>
    </w:p>
  </w:footnote>
  <w:footnote w:id="23">
    <w:p w14:paraId="3B5A68A8" w14:textId="6A142D81" w:rsidR="002F1769" w:rsidRPr="00AB2B72" w:rsidRDefault="002F1769" w:rsidP="002F1769">
      <w:pPr>
        <w:pStyle w:val="Default"/>
        <w:jc w:val="both"/>
        <w:rPr>
          <w:rFonts w:asciiTheme="minorHAnsi" w:hAnsiTheme="minorHAnsi" w:cstheme="minorHAnsi"/>
          <w:sz w:val="16"/>
          <w:szCs w:val="16"/>
        </w:rPr>
      </w:pPr>
      <w:r w:rsidRPr="00AB2B72">
        <w:rPr>
          <w:rStyle w:val="FootnoteReference"/>
          <w:rFonts w:asciiTheme="minorHAnsi" w:hAnsiTheme="minorHAnsi" w:cstheme="minorHAnsi"/>
          <w:sz w:val="16"/>
          <w:szCs w:val="16"/>
        </w:rPr>
        <w:footnoteRef/>
      </w:r>
      <w:r w:rsidRPr="00AB2B72">
        <w:rPr>
          <w:rFonts w:asciiTheme="minorHAnsi" w:hAnsiTheme="minorHAnsi" w:cstheme="minorHAnsi"/>
          <w:sz w:val="16"/>
          <w:szCs w:val="16"/>
        </w:rPr>
        <w:t xml:space="preserve"> </w:t>
      </w:r>
      <w:r w:rsidRPr="00AB2B72">
        <w:rPr>
          <w:rFonts w:asciiTheme="minorHAnsi" w:hAnsiTheme="minorHAnsi" w:cstheme="minorHAnsi"/>
          <w:color w:val="211D1E"/>
          <w:sz w:val="16"/>
          <w:szCs w:val="16"/>
        </w:rPr>
        <w:t>The Medicare Payment Advisory Commission (</w:t>
      </w:r>
      <w:proofErr w:type="spellStart"/>
      <w:r w:rsidRPr="00AB2B72">
        <w:rPr>
          <w:rFonts w:asciiTheme="minorHAnsi" w:hAnsiTheme="minorHAnsi" w:cstheme="minorHAnsi"/>
          <w:color w:val="211D1E"/>
          <w:sz w:val="16"/>
          <w:szCs w:val="16"/>
        </w:rPr>
        <w:t>MedPAC</w:t>
      </w:r>
      <w:proofErr w:type="spellEnd"/>
      <w:r w:rsidRPr="00AB2B72">
        <w:rPr>
          <w:rFonts w:asciiTheme="minorHAnsi" w:hAnsiTheme="minorHAnsi" w:cstheme="minorHAnsi"/>
          <w:color w:val="211D1E"/>
          <w:sz w:val="16"/>
          <w:szCs w:val="16"/>
        </w:rPr>
        <w:t xml:space="preserve">) is an independent congressional agency established by the Balanced Budget Act of 1997 (P.L. 105–33) to advise the U.S. Congress on issues affecting the Medicare program. </w:t>
      </w:r>
    </w:p>
  </w:footnote>
  <w:footnote w:id="24">
    <w:p w14:paraId="24F61D2F" w14:textId="77777777" w:rsidR="008E4932" w:rsidRPr="004C2201" w:rsidRDefault="008E4932" w:rsidP="008E4932">
      <w:pPr>
        <w:pStyle w:val="FootnoteText"/>
        <w:rPr>
          <w:sz w:val="16"/>
          <w:szCs w:val="16"/>
        </w:rPr>
      </w:pPr>
      <w:r w:rsidRPr="004C2201">
        <w:rPr>
          <w:rStyle w:val="FootnoteReference"/>
          <w:sz w:val="16"/>
          <w:szCs w:val="16"/>
        </w:rPr>
        <w:footnoteRef/>
      </w:r>
      <w:r w:rsidRPr="004C2201">
        <w:rPr>
          <w:sz w:val="16"/>
          <w:szCs w:val="16"/>
        </w:rPr>
        <w:t xml:space="preserve"> </w:t>
      </w:r>
      <w:r w:rsidRPr="004C2201">
        <w:rPr>
          <w:rFonts w:eastAsia="Times New Roman" w:cstheme="minorHAnsi"/>
          <w:sz w:val="16"/>
          <w:szCs w:val="16"/>
        </w:rPr>
        <w:t>Reasonableness is defined within the context of this report as supportable and proper, given the underlying</w:t>
      </w:r>
      <w:r w:rsidRPr="004C2201">
        <w:rPr>
          <w:rFonts w:cstheme="minorHAnsi"/>
          <w:sz w:val="16"/>
          <w:szCs w:val="16"/>
        </w:rPr>
        <w:t xml:space="preserve"> </w:t>
      </w:r>
      <w:r w:rsidRPr="004C2201">
        <w:rPr>
          <w:rFonts w:eastAsia="Times New Roman" w:cstheme="minorHAnsi"/>
          <w:sz w:val="16"/>
          <w:szCs w:val="16"/>
        </w:rPr>
        <w:t>information.</w:t>
      </w:r>
    </w:p>
  </w:footnote>
  <w:footnote w:id="25">
    <w:p w14:paraId="10CA6ABB" w14:textId="67F9EC60" w:rsidR="008E4932" w:rsidRPr="004C2201" w:rsidRDefault="008E4932" w:rsidP="008E4932">
      <w:pPr>
        <w:autoSpaceDE w:val="0"/>
        <w:autoSpaceDN w:val="0"/>
        <w:adjustRightInd w:val="0"/>
        <w:rPr>
          <w:rFonts w:cstheme="minorHAnsi"/>
          <w:sz w:val="16"/>
          <w:szCs w:val="16"/>
        </w:rPr>
      </w:pPr>
      <w:r w:rsidRPr="004C2201">
        <w:rPr>
          <w:rStyle w:val="FootnoteReference"/>
          <w:rFonts w:cstheme="minorHAnsi"/>
          <w:sz w:val="16"/>
          <w:szCs w:val="16"/>
        </w:rPr>
        <w:footnoteRef/>
      </w:r>
      <w:r w:rsidRPr="004C2201">
        <w:rPr>
          <w:sz w:val="16"/>
          <w:szCs w:val="16"/>
        </w:rPr>
        <w:t xml:space="preserve"> </w:t>
      </w:r>
      <w:r w:rsidRPr="004C2201">
        <w:rPr>
          <w:rFonts w:cstheme="minorHAnsi"/>
          <w:sz w:val="16"/>
          <w:szCs w:val="16"/>
        </w:rPr>
        <w:t xml:space="preserve">Feasibility is defined as based on the assumptions used, the plan is not likely to result in insufficient funds available for capital and ongoing operating costs necessary to support the proposed project without negative impacts or consequences to </w:t>
      </w:r>
      <w:r w:rsidR="004E420D">
        <w:rPr>
          <w:rFonts w:cstheme="minorHAnsi"/>
          <w:sz w:val="16"/>
          <w:szCs w:val="16"/>
        </w:rPr>
        <w:t xml:space="preserve">the </w:t>
      </w:r>
      <w:r w:rsidRPr="004C2201">
        <w:rPr>
          <w:rFonts w:cstheme="minorHAnsi"/>
          <w:sz w:val="16"/>
          <w:szCs w:val="16"/>
        </w:rPr>
        <w:t>existing Patient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ACBF" w14:textId="77777777" w:rsidR="006149D1" w:rsidRDefault="00614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27B0" w14:textId="77777777" w:rsidR="006149D1" w:rsidRDefault="00614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174D" w14:textId="77777777" w:rsidR="006149D1" w:rsidRDefault="00614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CD9"/>
    <w:multiLevelType w:val="hybridMultilevel"/>
    <w:tmpl w:val="525891F0"/>
    <w:lvl w:ilvl="0" w:tplc="402438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5BD4"/>
    <w:multiLevelType w:val="hybridMultilevel"/>
    <w:tmpl w:val="E45E903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A5103"/>
    <w:multiLevelType w:val="hybridMultilevel"/>
    <w:tmpl w:val="D3866540"/>
    <w:lvl w:ilvl="0" w:tplc="DBCE155C">
      <w:start w:val="1"/>
      <w:numFmt w:val="bullet"/>
      <w:lvlText w:val=""/>
      <w:lvlJc w:val="left"/>
      <w:pPr>
        <w:ind w:left="720" w:hanging="360"/>
      </w:pPr>
      <w:rPr>
        <w:rFonts w:ascii="Wingdings" w:hAnsi="Wingdings" w:hint="default"/>
      </w:rPr>
    </w:lvl>
    <w:lvl w:ilvl="1" w:tplc="C57A5502" w:tentative="1">
      <w:start w:val="1"/>
      <w:numFmt w:val="bullet"/>
      <w:lvlText w:val="o"/>
      <w:lvlJc w:val="left"/>
      <w:pPr>
        <w:ind w:left="1440" w:hanging="360"/>
      </w:pPr>
      <w:rPr>
        <w:rFonts w:ascii="Courier New" w:hAnsi="Courier New" w:cs="Courier New" w:hint="default"/>
      </w:rPr>
    </w:lvl>
    <w:lvl w:ilvl="2" w:tplc="B76AD9F8" w:tentative="1">
      <w:start w:val="1"/>
      <w:numFmt w:val="bullet"/>
      <w:lvlText w:val=""/>
      <w:lvlJc w:val="left"/>
      <w:pPr>
        <w:ind w:left="2160" w:hanging="360"/>
      </w:pPr>
      <w:rPr>
        <w:rFonts w:ascii="Wingdings" w:hAnsi="Wingdings" w:hint="default"/>
      </w:rPr>
    </w:lvl>
    <w:lvl w:ilvl="3" w:tplc="9D3A567E" w:tentative="1">
      <w:start w:val="1"/>
      <w:numFmt w:val="bullet"/>
      <w:lvlText w:val=""/>
      <w:lvlJc w:val="left"/>
      <w:pPr>
        <w:ind w:left="2880" w:hanging="360"/>
      </w:pPr>
      <w:rPr>
        <w:rFonts w:ascii="Symbol" w:hAnsi="Symbol" w:hint="default"/>
      </w:rPr>
    </w:lvl>
    <w:lvl w:ilvl="4" w:tplc="78FC01D6" w:tentative="1">
      <w:start w:val="1"/>
      <w:numFmt w:val="bullet"/>
      <w:lvlText w:val="o"/>
      <w:lvlJc w:val="left"/>
      <w:pPr>
        <w:ind w:left="3600" w:hanging="360"/>
      </w:pPr>
      <w:rPr>
        <w:rFonts w:ascii="Courier New" w:hAnsi="Courier New" w:cs="Courier New" w:hint="default"/>
      </w:rPr>
    </w:lvl>
    <w:lvl w:ilvl="5" w:tplc="ABD6ACDC" w:tentative="1">
      <w:start w:val="1"/>
      <w:numFmt w:val="bullet"/>
      <w:lvlText w:val=""/>
      <w:lvlJc w:val="left"/>
      <w:pPr>
        <w:ind w:left="4320" w:hanging="360"/>
      </w:pPr>
      <w:rPr>
        <w:rFonts w:ascii="Wingdings" w:hAnsi="Wingdings" w:hint="default"/>
      </w:rPr>
    </w:lvl>
    <w:lvl w:ilvl="6" w:tplc="285E1CC8" w:tentative="1">
      <w:start w:val="1"/>
      <w:numFmt w:val="bullet"/>
      <w:lvlText w:val=""/>
      <w:lvlJc w:val="left"/>
      <w:pPr>
        <w:ind w:left="5040" w:hanging="360"/>
      </w:pPr>
      <w:rPr>
        <w:rFonts w:ascii="Symbol" w:hAnsi="Symbol" w:hint="default"/>
      </w:rPr>
    </w:lvl>
    <w:lvl w:ilvl="7" w:tplc="68F27DB6" w:tentative="1">
      <w:start w:val="1"/>
      <w:numFmt w:val="bullet"/>
      <w:lvlText w:val="o"/>
      <w:lvlJc w:val="left"/>
      <w:pPr>
        <w:ind w:left="5760" w:hanging="360"/>
      </w:pPr>
      <w:rPr>
        <w:rFonts w:ascii="Courier New" w:hAnsi="Courier New" w:cs="Courier New" w:hint="default"/>
      </w:rPr>
    </w:lvl>
    <w:lvl w:ilvl="8" w:tplc="14347312" w:tentative="1">
      <w:start w:val="1"/>
      <w:numFmt w:val="bullet"/>
      <w:lvlText w:val=""/>
      <w:lvlJc w:val="left"/>
      <w:pPr>
        <w:ind w:left="6480" w:hanging="360"/>
      </w:pPr>
      <w:rPr>
        <w:rFonts w:ascii="Wingdings" w:hAnsi="Wingdings" w:hint="default"/>
      </w:rPr>
    </w:lvl>
  </w:abstractNum>
  <w:abstractNum w:abstractNumId="3" w15:restartNumberingAfterBreak="0">
    <w:nsid w:val="1204686D"/>
    <w:multiLevelType w:val="hybridMultilevel"/>
    <w:tmpl w:val="22A0B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6284F"/>
    <w:multiLevelType w:val="hybridMultilevel"/>
    <w:tmpl w:val="536A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776D"/>
    <w:multiLevelType w:val="hybridMultilevel"/>
    <w:tmpl w:val="C582C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5354"/>
    <w:multiLevelType w:val="hybridMultilevel"/>
    <w:tmpl w:val="E99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1668"/>
    <w:multiLevelType w:val="multilevel"/>
    <w:tmpl w:val="6F160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F4B1D"/>
    <w:multiLevelType w:val="hybridMultilevel"/>
    <w:tmpl w:val="F5EE3EA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DA370D5"/>
    <w:multiLevelType w:val="hybridMultilevel"/>
    <w:tmpl w:val="04268F58"/>
    <w:lvl w:ilvl="0" w:tplc="67E67F8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44B28"/>
    <w:multiLevelType w:val="hybridMultilevel"/>
    <w:tmpl w:val="F3905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112F8"/>
    <w:multiLevelType w:val="multilevel"/>
    <w:tmpl w:val="C1A4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807EA9"/>
    <w:multiLevelType w:val="hybridMultilevel"/>
    <w:tmpl w:val="3CC4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C42E1"/>
    <w:multiLevelType w:val="hybridMultilevel"/>
    <w:tmpl w:val="28AE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66FD1"/>
    <w:multiLevelType w:val="hybridMultilevel"/>
    <w:tmpl w:val="7BDE5454"/>
    <w:lvl w:ilvl="0" w:tplc="F1BE8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9978644"/>
    <w:multiLevelType w:val="hybridMultilevel"/>
    <w:tmpl w:val="623887FE"/>
    <w:lvl w:ilvl="0" w:tplc="8AB01A34">
      <w:start w:val="1"/>
      <w:numFmt w:val="decimal"/>
      <w:lvlText w:val="%1."/>
      <w:lvlJc w:val="left"/>
      <w:pPr>
        <w:ind w:left="720" w:hanging="360"/>
      </w:pPr>
    </w:lvl>
    <w:lvl w:ilvl="1" w:tplc="B656A7DC">
      <w:start w:val="1"/>
      <w:numFmt w:val="lowerLetter"/>
      <w:lvlText w:val="%2."/>
      <w:lvlJc w:val="left"/>
      <w:pPr>
        <w:ind w:left="1440" w:hanging="360"/>
      </w:pPr>
    </w:lvl>
    <w:lvl w:ilvl="2" w:tplc="2F7C3516">
      <w:start w:val="1"/>
      <w:numFmt w:val="lowerRoman"/>
      <w:lvlText w:val="%3."/>
      <w:lvlJc w:val="right"/>
      <w:pPr>
        <w:ind w:left="2160" w:hanging="180"/>
      </w:pPr>
    </w:lvl>
    <w:lvl w:ilvl="3" w:tplc="0B5C0710">
      <w:start w:val="1"/>
      <w:numFmt w:val="decimal"/>
      <w:lvlText w:val="%4."/>
      <w:lvlJc w:val="left"/>
      <w:pPr>
        <w:ind w:left="2880" w:hanging="360"/>
      </w:pPr>
    </w:lvl>
    <w:lvl w:ilvl="4" w:tplc="541ADF7A">
      <w:start w:val="1"/>
      <w:numFmt w:val="lowerLetter"/>
      <w:lvlText w:val="%5."/>
      <w:lvlJc w:val="left"/>
      <w:pPr>
        <w:ind w:left="3600" w:hanging="360"/>
      </w:pPr>
    </w:lvl>
    <w:lvl w:ilvl="5" w:tplc="EC42670E">
      <w:start w:val="1"/>
      <w:numFmt w:val="lowerRoman"/>
      <w:lvlText w:val="%6."/>
      <w:lvlJc w:val="right"/>
      <w:pPr>
        <w:ind w:left="4320" w:hanging="180"/>
      </w:pPr>
    </w:lvl>
    <w:lvl w:ilvl="6" w:tplc="DFDCA1D6">
      <w:start w:val="1"/>
      <w:numFmt w:val="decimal"/>
      <w:lvlText w:val="%7."/>
      <w:lvlJc w:val="left"/>
      <w:pPr>
        <w:ind w:left="5040" w:hanging="360"/>
      </w:pPr>
    </w:lvl>
    <w:lvl w:ilvl="7" w:tplc="042ED704">
      <w:start w:val="1"/>
      <w:numFmt w:val="lowerLetter"/>
      <w:lvlText w:val="%8."/>
      <w:lvlJc w:val="left"/>
      <w:pPr>
        <w:ind w:left="5760" w:hanging="360"/>
      </w:pPr>
    </w:lvl>
    <w:lvl w:ilvl="8" w:tplc="51B2B11A">
      <w:start w:val="1"/>
      <w:numFmt w:val="lowerRoman"/>
      <w:lvlText w:val="%9."/>
      <w:lvlJc w:val="right"/>
      <w:pPr>
        <w:ind w:left="6480" w:hanging="180"/>
      </w:pPr>
    </w:lvl>
  </w:abstractNum>
  <w:abstractNum w:abstractNumId="19" w15:restartNumberingAfterBreak="0">
    <w:nsid w:val="4A816D7A"/>
    <w:multiLevelType w:val="hybridMultilevel"/>
    <w:tmpl w:val="B0F41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E706493"/>
    <w:multiLevelType w:val="hybridMultilevel"/>
    <w:tmpl w:val="8E666FF6"/>
    <w:lvl w:ilvl="0" w:tplc="8334FF16">
      <w:start w:val="1"/>
      <w:numFmt w:val="bullet"/>
      <w:lvlText w:val=""/>
      <w:lvlJc w:val="left"/>
      <w:pPr>
        <w:ind w:left="720" w:hanging="360"/>
      </w:pPr>
      <w:rPr>
        <w:rFonts w:ascii="Wingdings" w:hAnsi="Wingdings" w:hint="default"/>
      </w:rPr>
    </w:lvl>
    <w:lvl w:ilvl="1" w:tplc="9306D258" w:tentative="1">
      <w:start w:val="1"/>
      <w:numFmt w:val="bullet"/>
      <w:lvlText w:val="o"/>
      <w:lvlJc w:val="left"/>
      <w:pPr>
        <w:ind w:left="1440" w:hanging="360"/>
      </w:pPr>
      <w:rPr>
        <w:rFonts w:ascii="Courier New" w:hAnsi="Courier New" w:cs="Courier New" w:hint="default"/>
      </w:rPr>
    </w:lvl>
    <w:lvl w:ilvl="2" w:tplc="2B28FBA0" w:tentative="1">
      <w:start w:val="1"/>
      <w:numFmt w:val="bullet"/>
      <w:lvlText w:val=""/>
      <w:lvlJc w:val="left"/>
      <w:pPr>
        <w:ind w:left="2160" w:hanging="360"/>
      </w:pPr>
      <w:rPr>
        <w:rFonts w:ascii="Wingdings" w:hAnsi="Wingdings" w:hint="default"/>
      </w:rPr>
    </w:lvl>
    <w:lvl w:ilvl="3" w:tplc="AE64B238" w:tentative="1">
      <w:start w:val="1"/>
      <w:numFmt w:val="bullet"/>
      <w:lvlText w:val=""/>
      <w:lvlJc w:val="left"/>
      <w:pPr>
        <w:ind w:left="2880" w:hanging="360"/>
      </w:pPr>
      <w:rPr>
        <w:rFonts w:ascii="Symbol" w:hAnsi="Symbol" w:hint="default"/>
      </w:rPr>
    </w:lvl>
    <w:lvl w:ilvl="4" w:tplc="BCBAA546" w:tentative="1">
      <w:start w:val="1"/>
      <w:numFmt w:val="bullet"/>
      <w:lvlText w:val="o"/>
      <w:lvlJc w:val="left"/>
      <w:pPr>
        <w:ind w:left="3600" w:hanging="360"/>
      </w:pPr>
      <w:rPr>
        <w:rFonts w:ascii="Courier New" w:hAnsi="Courier New" w:cs="Courier New" w:hint="default"/>
      </w:rPr>
    </w:lvl>
    <w:lvl w:ilvl="5" w:tplc="07BE414E" w:tentative="1">
      <w:start w:val="1"/>
      <w:numFmt w:val="bullet"/>
      <w:lvlText w:val=""/>
      <w:lvlJc w:val="left"/>
      <w:pPr>
        <w:ind w:left="4320" w:hanging="360"/>
      </w:pPr>
      <w:rPr>
        <w:rFonts w:ascii="Wingdings" w:hAnsi="Wingdings" w:hint="default"/>
      </w:rPr>
    </w:lvl>
    <w:lvl w:ilvl="6" w:tplc="A306B04C" w:tentative="1">
      <w:start w:val="1"/>
      <w:numFmt w:val="bullet"/>
      <w:lvlText w:val=""/>
      <w:lvlJc w:val="left"/>
      <w:pPr>
        <w:ind w:left="5040" w:hanging="360"/>
      </w:pPr>
      <w:rPr>
        <w:rFonts w:ascii="Symbol" w:hAnsi="Symbol" w:hint="default"/>
      </w:rPr>
    </w:lvl>
    <w:lvl w:ilvl="7" w:tplc="F8A8FAFE" w:tentative="1">
      <w:start w:val="1"/>
      <w:numFmt w:val="bullet"/>
      <w:lvlText w:val="o"/>
      <w:lvlJc w:val="left"/>
      <w:pPr>
        <w:ind w:left="5760" w:hanging="360"/>
      </w:pPr>
      <w:rPr>
        <w:rFonts w:ascii="Courier New" w:hAnsi="Courier New" w:cs="Courier New" w:hint="default"/>
      </w:rPr>
    </w:lvl>
    <w:lvl w:ilvl="8" w:tplc="9EC8DDA6" w:tentative="1">
      <w:start w:val="1"/>
      <w:numFmt w:val="bullet"/>
      <w:lvlText w:val=""/>
      <w:lvlJc w:val="left"/>
      <w:pPr>
        <w:ind w:left="6480" w:hanging="360"/>
      </w:pPr>
      <w:rPr>
        <w:rFonts w:ascii="Wingdings" w:hAnsi="Wingdings" w:hint="default"/>
      </w:rPr>
    </w:lvl>
  </w:abstractNum>
  <w:abstractNum w:abstractNumId="21" w15:restartNumberingAfterBreak="0">
    <w:nsid w:val="4EBA7F6E"/>
    <w:multiLevelType w:val="hybridMultilevel"/>
    <w:tmpl w:val="E9EE127A"/>
    <w:lvl w:ilvl="0" w:tplc="77D80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F4187"/>
    <w:multiLevelType w:val="hybridMultilevel"/>
    <w:tmpl w:val="C64865B8"/>
    <w:lvl w:ilvl="0" w:tplc="FA680D9A">
      <w:start w:val="1"/>
      <w:numFmt w:val="bullet"/>
      <w:lvlText w:val=""/>
      <w:lvlJc w:val="left"/>
      <w:pPr>
        <w:ind w:left="720" w:hanging="360"/>
      </w:pPr>
      <w:rPr>
        <w:rFonts w:ascii="Wingdings" w:hAnsi="Wingdings" w:hint="default"/>
      </w:rPr>
    </w:lvl>
    <w:lvl w:ilvl="1" w:tplc="42529CEC" w:tentative="1">
      <w:start w:val="1"/>
      <w:numFmt w:val="bullet"/>
      <w:lvlText w:val="o"/>
      <w:lvlJc w:val="left"/>
      <w:pPr>
        <w:ind w:left="1440" w:hanging="360"/>
      </w:pPr>
      <w:rPr>
        <w:rFonts w:ascii="Courier New" w:hAnsi="Courier New" w:cs="Courier New" w:hint="default"/>
      </w:rPr>
    </w:lvl>
    <w:lvl w:ilvl="2" w:tplc="B20A9D8C" w:tentative="1">
      <w:start w:val="1"/>
      <w:numFmt w:val="bullet"/>
      <w:lvlText w:val=""/>
      <w:lvlJc w:val="left"/>
      <w:pPr>
        <w:ind w:left="2160" w:hanging="360"/>
      </w:pPr>
      <w:rPr>
        <w:rFonts w:ascii="Wingdings" w:hAnsi="Wingdings" w:hint="default"/>
      </w:rPr>
    </w:lvl>
    <w:lvl w:ilvl="3" w:tplc="7CEA98AA" w:tentative="1">
      <w:start w:val="1"/>
      <w:numFmt w:val="bullet"/>
      <w:lvlText w:val=""/>
      <w:lvlJc w:val="left"/>
      <w:pPr>
        <w:ind w:left="2880" w:hanging="360"/>
      </w:pPr>
      <w:rPr>
        <w:rFonts w:ascii="Symbol" w:hAnsi="Symbol" w:hint="default"/>
      </w:rPr>
    </w:lvl>
    <w:lvl w:ilvl="4" w:tplc="4928E0F8" w:tentative="1">
      <w:start w:val="1"/>
      <w:numFmt w:val="bullet"/>
      <w:lvlText w:val="o"/>
      <w:lvlJc w:val="left"/>
      <w:pPr>
        <w:ind w:left="3600" w:hanging="360"/>
      </w:pPr>
      <w:rPr>
        <w:rFonts w:ascii="Courier New" w:hAnsi="Courier New" w:cs="Courier New" w:hint="default"/>
      </w:rPr>
    </w:lvl>
    <w:lvl w:ilvl="5" w:tplc="07B6535E" w:tentative="1">
      <w:start w:val="1"/>
      <w:numFmt w:val="bullet"/>
      <w:lvlText w:val=""/>
      <w:lvlJc w:val="left"/>
      <w:pPr>
        <w:ind w:left="4320" w:hanging="360"/>
      </w:pPr>
      <w:rPr>
        <w:rFonts w:ascii="Wingdings" w:hAnsi="Wingdings" w:hint="default"/>
      </w:rPr>
    </w:lvl>
    <w:lvl w:ilvl="6" w:tplc="A4445974" w:tentative="1">
      <w:start w:val="1"/>
      <w:numFmt w:val="bullet"/>
      <w:lvlText w:val=""/>
      <w:lvlJc w:val="left"/>
      <w:pPr>
        <w:ind w:left="5040" w:hanging="360"/>
      </w:pPr>
      <w:rPr>
        <w:rFonts w:ascii="Symbol" w:hAnsi="Symbol" w:hint="default"/>
      </w:rPr>
    </w:lvl>
    <w:lvl w:ilvl="7" w:tplc="4A60BAFE" w:tentative="1">
      <w:start w:val="1"/>
      <w:numFmt w:val="bullet"/>
      <w:lvlText w:val="o"/>
      <w:lvlJc w:val="left"/>
      <w:pPr>
        <w:ind w:left="5760" w:hanging="360"/>
      </w:pPr>
      <w:rPr>
        <w:rFonts w:ascii="Courier New" w:hAnsi="Courier New" w:cs="Courier New" w:hint="default"/>
      </w:rPr>
    </w:lvl>
    <w:lvl w:ilvl="8" w:tplc="21D67710" w:tentative="1">
      <w:start w:val="1"/>
      <w:numFmt w:val="bullet"/>
      <w:lvlText w:val=""/>
      <w:lvlJc w:val="left"/>
      <w:pPr>
        <w:ind w:left="6480" w:hanging="360"/>
      </w:pPr>
      <w:rPr>
        <w:rFonts w:ascii="Wingdings" w:hAnsi="Wingdings" w:hint="default"/>
      </w:rPr>
    </w:lvl>
  </w:abstractNum>
  <w:abstractNum w:abstractNumId="23" w15:restartNumberingAfterBreak="0">
    <w:nsid w:val="534E2EDA"/>
    <w:multiLevelType w:val="hybridMultilevel"/>
    <w:tmpl w:val="ECB20EA4"/>
    <w:lvl w:ilvl="0" w:tplc="A0404C1C">
      <w:start w:val="1"/>
      <w:numFmt w:val="bullet"/>
      <w:lvlText w:val=""/>
      <w:lvlJc w:val="left"/>
      <w:pPr>
        <w:ind w:left="720" w:hanging="360"/>
      </w:pPr>
      <w:rPr>
        <w:rFonts w:ascii="Wingdings" w:hAnsi="Wingdings" w:hint="default"/>
      </w:rPr>
    </w:lvl>
    <w:lvl w:ilvl="1" w:tplc="3906EA84" w:tentative="1">
      <w:start w:val="1"/>
      <w:numFmt w:val="bullet"/>
      <w:lvlText w:val="o"/>
      <w:lvlJc w:val="left"/>
      <w:pPr>
        <w:ind w:left="1440" w:hanging="360"/>
      </w:pPr>
      <w:rPr>
        <w:rFonts w:ascii="Courier New" w:hAnsi="Courier New" w:cs="Courier New" w:hint="default"/>
      </w:rPr>
    </w:lvl>
    <w:lvl w:ilvl="2" w:tplc="5FEE9C6C" w:tentative="1">
      <w:start w:val="1"/>
      <w:numFmt w:val="bullet"/>
      <w:lvlText w:val=""/>
      <w:lvlJc w:val="left"/>
      <w:pPr>
        <w:ind w:left="2160" w:hanging="360"/>
      </w:pPr>
      <w:rPr>
        <w:rFonts w:ascii="Wingdings" w:hAnsi="Wingdings" w:hint="default"/>
      </w:rPr>
    </w:lvl>
    <w:lvl w:ilvl="3" w:tplc="4E44DF30" w:tentative="1">
      <w:start w:val="1"/>
      <w:numFmt w:val="bullet"/>
      <w:lvlText w:val=""/>
      <w:lvlJc w:val="left"/>
      <w:pPr>
        <w:ind w:left="2880" w:hanging="360"/>
      </w:pPr>
      <w:rPr>
        <w:rFonts w:ascii="Symbol" w:hAnsi="Symbol" w:hint="default"/>
      </w:rPr>
    </w:lvl>
    <w:lvl w:ilvl="4" w:tplc="D7FEEB16" w:tentative="1">
      <w:start w:val="1"/>
      <w:numFmt w:val="bullet"/>
      <w:lvlText w:val="o"/>
      <w:lvlJc w:val="left"/>
      <w:pPr>
        <w:ind w:left="3600" w:hanging="360"/>
      </w:pPr>
      <w:rPr>
        <w:rFonts w:ascii="Courier New" w:hAnsi="Courier New" w:cs="Courier New" w:hint="default"/>
      </w:rPr>
    </w:lvl>
    <w:lvl w:ilvl="5" w:tplc="632ACA42" w:tentative="1">
      <w:start w:val="1"/>
      <w:numFmt w:val="bullet"/>
      <w:lvlText w:val=""/>
      <w:lvlJc w:val="left"/>
      <w:pPr>
        <w:ind w:left="4320" w:hanging="360"/>
      </w:pPr>
      <w:rPr>
        <w:rFonts w:ascii="Wingdings" w:hAnsi="Wingdings" w:hint="default"/>
      </w:rPr>
    </w:lvl>
    <w:lvl w:ilvl="6" w:tplc="FC8C38C6" w:tentative="1">
      <w:start w:val="1"/>
      <w:numFmt w:val="bullet"/>
      <w:lvlText w:val=""/>
      <w:lvlJc w:val="left"/>
      <w:pPr>
        <w:ind w:left="5040" w:hanging="360"/>
      </w:pPr>
      <w:rPr>
        <w:rFonts w:ascii="Symbol" w:hAnsi="Symbol" w:hint="default"/>
      </w:rPr>
    </w:lvl>
    <w:lvl w:ilvl="7" w:tplc="6EA07B16" w:tentative="1">
      <w:start w:val="1"/>
      <w:numFmt w:val="bullet"/>
      <w:lvlText w:val="o"/>
      <w:lvlJc w:val="left"/>
      <w:pPr>
        <w:ind w:left="5760" w:hanging="360"/>
      </w:pPr>
      <w:rPr>
        <w:rFonts w:ascii="Courier New" w:hAnsi="Courier New" w:cs="Courier New" w:hint="default"/>
      </w:rPr>
    </w:lvl>
    <w:lvl w:ilvl="8" w:tplc="81E6F6BC" w:tentative="1">
      <w:start w:val="1"/>
      <w:numFmt w:val="bullet"/>
      <w:lvlText w:val=""/>
      <w:lvlJc w:val="left"/>
      <w:pPr>
        <w:ind w:left="6480" w:hanging="360"/>
      </w:pPr>
      <w:rPr>
        <w:rFonts w:ascii="Wingdings" w:hAnsi="Wingdings" w:hint="default"/>
      </w:rPr>
    </w:lvl>
  </w:abstractNum>
  <w:abstractNum w:abstractNumId="24" w15:restartNumberingAfterBreak="0">
    <w:nsid w:val="54D240DB"/>
    <w:multiLevelType w:val="hybridMultilevel"/>
    <w:tmpl w:val="BA8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7175F"/>
    <w:multiLevelType w:val="hybridMultilevel"/>
    <w:tmpl w:val="1166C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9C42DB"/>
    <w:multiLevelType w:val="hybridMultilevel"/>
    <w:tmpl w:val="46B2AC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44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0621E8"/>
    <w:multiLevelType w:val="hybridMultilevel"/>
    <w:tmpl w:val="0B32D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87435"/>
    <w:multiLevelType w:val="hybridMultilevel"/>
    <w:tmpl w:val="302092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1672BB"/>
    <w:multiLevelType w:val="multilevel"/>
    <w:tmpl w:val="959A9882"/>
    <w:lvl w:ilvl="0">
      <w:start w:val="9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10349"/>
    <w:multiLevelType w:val="hybridMultilevel"/>
    <w:tmpl w:val="5F5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87E9B"/>
    <w:multiLevelType w:val="hybridMultilevel"/>
    <w:tmpl w:val="696E3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8349FD"/>
    <w:multiLevelType w:val="hybridMultilevel"/>
    <w:tmpl w:val="E8F8354C"/>
    <w:lvl w:ilvl="0" w:tplc="03588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E0633"/>
    <w:multiLevelType w:val="hybridMultilevel"/>
    <w:tmpl w:val="93DE38D6"/>
    <w:lvl w:ilvl="0" w:tplc="F2B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62251"/>
    <w:multiLevelType w:val="hybridMultilevel"/>
    <w:tmpl w:val="2CC4D636"/>
    <w:lvl w:ilvl="0" w:tplc="CC72EFF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014B1"/>
    <w:multiLevelType w:val="multilevel"/>
    <w:tmpl w:val="00CCE6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D158BD"/>
    <w:multiLevelType w:val="hybridMultilevel"/>
    <w:tmpl w:val="1BA4EAD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970AD"/>
    <w:multiLevelType w:val="hybridMultilevel"/>
    <w:tmpl w:val="4B069516"/>
    <w:lvl w:ilvl="0" w:tplc="1C6CB0B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92D25"/>
    <w:multiLevelType w:val="hybridMultilevel"/>
    <w:tmpl w:val="2BD6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B617A"/>
    <w:multiLevelType w:val="hybridMultilevel"/>
    <w:tmpl w:val="B10E1BC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401F60"/>
    <w:multiLevelType w:val="hybridMultilevel"/>
    <w:tmpl w:val="B5A27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558E3"/>
    <w:multiLevelType w:val="hybridMultilevel"/>
    <w:tmpl w:val="A722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0B2C55"/>
    <w:multiLevelType w:val="multilevel"/>
    <w:tmpl w:val="99A0224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A0726DE"/>
    <w:multiLevelType w:val="hybridMultilevel"/>
    <w:tmpl w:val="CAFCD376"/>
    <w:lvl w:ilvl="0" w:tplc="A56E1A0E">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706394">
    <w:abstractNumId w:val="42"/>
  </w:num>
  <w:num w:numId="2" w16cid:durableId="506553836">
    <w:abstractNumId w:val="10"/>
  </w:num>
  <w:num w:numId="3" w16cid:durableId="395055365">
    <w:abstractNumId w:val="7"/>
  </w:num>
  <w:num w:numId="4" w16cid:durableId="1365131725">
    <w:abstractNumId w:val="0"/>
  </w:num>
  <w:num w:numId="5" w16cid:durableId="582222502">
    <w:abstractNumId w:val="37"/>
  </w:num>
  <w:num w:numId="6" w16cid:durableId="1790317392">
    <w:abstractNumId w:val="24"/>
  </w:num>
  <w:num w:numId="7" w16cid:durableId="1376663714">
    <w:abstractNumId w:val="17"/>
  </w:num>
  <w:num w:numId="8" w16cid:durableId="385495344">
    <w:abstractNumId w:val="25"/>
  </w:num>
  <w:num w:numId="9" w16cid:durableId="1250115814">
    <w:abstractNumId w:val="15"/>
  </w:num>
  <w:num w:numId="10" w16cid:durableId="1586453363">
    <w:abstractNumId w:val="31"/>
  </w:num>
  <w:num w:numId="11" w16cid:durableId="1010107057">
    <w:abstractNumId w:val="41"/>
  </w:num>
  <w:num w:numId="12" w16cid:durableId="1975138327">
    <w:abstractNumId w:val="18"/>
  </w:num>
  <w:num w:numId="13" w16cid:durableId="475298037">
    <w:abstractNumId w:val="1"/>
  </w:num>
  <w:num w:numId="14" w16cid:durableId="1613633547">
    <w:abstractNumId w:val="26"/>
  </w:num>
  <w:num w:numId="15" w16cid:durableId="1941638375">
    <w:abstractNumId w:val="6"/>
  </w:num>
  <w:num w:numId="16" w16cid:durableId="1747651916">
    <w:abstractNumId w:val="27"/>
  </w:num>
  <w:num w:numId="17" w16cid:durableId="558441919">
    <w:abstractNumId w:val="3"/>
  </w:num>
  <w:num w:numId="18" w16cid:durableId="1511337557">
    <w:abstractNumId w:val="29"/>
  </w:num>
  <w:num w:numId="19" w16cid:durableId="841161017">
    <w:abstractNumId w:val="11"/>
  </w:num>
  <w:num w:numId="20" w16cid:durableId="1160734496">
    <w:abstractNumId w:val="32"/>
  </w:num>
  <w:num w:numId="21" w16cid:durableId="121659562">
    <w:abstractNumId w:val="40"/>
  </w:num>
  <w:num w:numId="22" w16cid:durableId="250435827">
    <w:abstractNumId w:val="5"/>
  </w:num>
  <w:num w:numId="23" w16cid:durableId="1387870153">
    <w:abstractNumId w:val="12"/>
  </w:num>
  <w:num w:numId="24" w16cid:durableId="1665552115">
    <w:abstractNumId w:val="8"/>
  </w:num>
  <w:num w:numId="25" w16cid:durableId="2053264882">
    <w:abstractNumId w:val="43"/>
  </w:num>
  <w:num w:numId="26" w16cid:durableId="1875846304">
    <w:abstractNumId w:val="36"/>
  </w:num>
  <w:num w:numId="27" w16cid:durableId="493226825">
    <w:abstractNumId w:val="38"/>
  </w:num>
  <w:num w:numId="28" w16cid:durableId="348989171">
    <w:abstractNumId w:val="16"/>
  </w:num>
  <w:num w:numId="29" w16cid:durableId="136577025">
    <w:abstractNumId w:val="44"/>
  </w:num>
  <w:num w:numId="30" w16cid:durableId="1779255920">
    <w:abstractNumId w:val="35"/>
  </w:num>
  <w:num w:numId="31" w16cid:durableId="319235847">
    <w:abstractNumId w:val="39"/>
  </w:num>
  <w:num w:numId="32" w16cid:durableId="1290429523">
    <w:abstractNumId w:val="4"/>
  </w:num>
  <w:num w:numId="33" w16cid:durableId="1442989524">
    <w:abstractNumId w:val="13"/>
  </w:num>
  <w:num w:numId="34" w16cid:durableId="1000505054">
    <w:abstractNumId w:val="28"/>
  </w:num>
  <w:num w:numId="35" w16cid:durableId="1490243935">
    <w:abstractNumId w:val="34"/>
  </w:num>
  <w:num w:numId="36" w16cid:durableId="845366087">
    <w:abstractNumId w:val="23"/>
  </w:num>
  <w:num w:numId="37" w16cid:durableId="1244484934">
    <w:abstractNumId w:val="2"/>
  </w:num>
  <w:num w:numId="38" w16cid:durableId="639962088">
    <w:abstractNumId w:val="20"/>
  </w:num>
  <w:num w:numId="39" w16cid:durableId="1681663403">
    <w:abstractNumId w:val="22"/>
  </w:num>
  <w:num w:numId="40" w16cid:durableId="1156729802">
    <w:abstractNumId w:val="21"/>
  </w:num>
  <w:num w:numId="41" w16cid:durableId="511839976">
    <w:abstractNumId w:val="14"/>
  </w:num>
  <w:num w:numId="42" w16cid:durableId="2107648776">
    <w:abstractNumId w:val="33"/>
  </w:num>
  <w:num w:numId="43" w16cid:durableId="1498107645">
    <w:abstractNumId w:val="9"/>
  </w:num>
  <w:num w:numId="44" w16cid:durableId="910385092">
    <w:abstractNumId w:val="30"/>
  </w:num>
  <w:num w:numId="45" w16cid:durableId="382680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1"/>
    <w:rsid w:val="00000766"/>
    <w:rsid w:val="00000D50"/>
    <w:rsid w:val="00001551"/>
    <w:rsid w:val="00002F91"/>
    <w:rsid w:val="00004699"/>
    <w:rsid w:val="00004B2A"/>
    <w:rsid w:val="00005B62"/>
    <w:rsid w:val="0000676E"/>
    <w:rsid w:val="00006E50"/>
    <w:rsid w:val="00011642"/>
    <w:rsid w:val="0001189D"/>
    <w:rsid w:val="00011A01"/>
    <w:rsid w:val="00011AA2"/>
    <w:rsid w:val="00011EC9"/>
    <w:rsid w:val="000120BB"/>
    <w:rsid w:val="0001384C"/>
    <w:rsid w:val="00013859"/>
    <w:rsid w:val="000138BD"/>
    <w:rsid w:val="000139A7"/>
    <w:rsid w:val="00014A71"/>
    <w:rsid w:val="00016549"/>
    <w:rsid w:val="00017030"/>
    <w:rsid w:val="0002054A"/>
    <w:rsid w:val="000208BF"/>
    <w:rsid w:val="000228BC"/>
    <w:rsid w:val="00024F01"/>
    <w:rsid w:val="00026DE6"/>
    <w:rsid w:val="00031046"/>
    <w:rsid w:val="000325FE"/>
    <w:rsid w:val="00032EB5"/>
    <w:rsid w:val="000334BE"/>
    <w:rsid w:val="000334E7"/>
    <w:rsid w:val="0003581F"/>
    <w:rsid w:val="00035D73"/>
    <w:rsid w:val="00036AB0"/>
    <w:rsid w:val="00036D6D"/>
    <w:rsid w:val="00040062"/>
    <w:rsid w:val="00040ED6"/>
    <w:rsid w:val="00041F66"/>
    <w:rsid w:val="00042559"/>
    <w:rsid w:val="00043B29"/>
    <w:rsid w:val="00043B60"/>
    <w:rsid w:val="00043F4C"/>
    <w:rsid w:val="000454D6"/>
    <w:rsid w:val="00046C7B"/>
    <w:rsid w:val="00047478"/>
    <w:rsid w:val="00047513"/>
    <w:rsid w:val="00050A3A"/>
    <w:rsid w:val="000532F0"/>
    <w:rsid w:val="00055FD6"/>
    <w:rsid w:val="0005623C"/>
    <w:rsid w:val="00056310"/>
    <w:rsid w:val="00057082"/>
    <w:rsid w:val="00057674"/>
    <w:rsid w:val="000579B0"/>
    <w:rsid w:val="00060059"/>
    <w:rsid w:val="00062574"/>
    <w:rsid w:val="00062CF8"/>
    <w:rsid w:val="00063C7E"/>
    <w:rsid w:val="000641F1"/>
    <w:rsid w:val="00064BE9"/>
    <w:rsid w:val="0006601B"/>
    <w:rsid w:val="00066246"/>
    <w:rsid w:val="00066682"/>
    <w:rsid w:val="00066973"/>
    <w:rsid w:val="000674D1"/>
    <w:rsid w:val="00067961"/>
    <w:rsid w:val="00071489"/>
    <w:rsid w:val="00071A17"/>
    <w:rsid w:val="0007476F"/>
    <w:rsid w:val="00075E7A"/>
    <w:rsid w:val="00076306"/>
    <w:rsid w:val="00076C81"/>
    <w:rsid w:val="00076FBC"/>
    <w:rsid w:val="000775A2"/>
    <w:rsid w:val="00077C00"/>
    <w:rsid w:val="00080BAC"/>
    <w:rsid w:val="00082F3B"/>
    <w:rsid w:val="000831D8"/>
    <w:rsid w:val="0008371D"/>
    <w:rsid w:val="000844BC"/>
    <w:rsid w:val="00084C68"/>
    <w:rsid w:val="00086B6A"/>
    <w:rsid w:val="000901FC"/>
    <w:rsid w:val="0009066A"/>
    <w:rsid w:val="00091809"/>
    <w:rsid w:val="00092868"/>
    <w:rsid w:val="00093059"/>
    <w:rsid w:val="00096857"/>
    <w:rsid w:val="000968AB"/>
    <w:rsid w:val="00096AA4"/>
    <w:rsid w:val="00096E2C"/>
    <w:rsid w:val="00097500"/>
    <w:rsid w:val="0009795F"/>
    <w:rsid w:val="00097BE0"/>
    <w:rsid w:val="00097C15"/>
    <w:rsid w:val="00097CC1"/>
    <w:rsid w:val="000A0A56"/>
    <w:rsid w:val="000A1340"/>
    <w:rsid w:val="000A1F97"/>
    <w:rsid w:val="000A2D3C"/>
    <w:rsid w:val="000A5D24"/>
    <w:rsid w:val="000A5D87"/>
    <w:rsid w:val="000A7AFD"/>
    <w:rsid w:val="000B0D1A"/>
    <w:rsid w:val="000B0DC7"/>
    <w:rsid w:val="000B215A"/>
    <w:rsid w:val="000B3D50"/>
    <w:rsid w:val="000B446D"/>
    <w:rsid w:val="000B5D27"/>
    <w:rsid w:val="000B716A"/>
    <w:rsid w:val="000B767A"/>
    <w:rsid w:val="000B791A"/>
    <w:rsid w:val="000C0647"/>
    <w:rsid w:val="000C305F"/>
    <w:rsid w:val="000C4D10"/>
    <w:rsid w:val="000C59F5"/>
    <w:rsid w:val="000C5E86"/>
    <w:rsid w:val="000C5F22"/>
    <w:rsid w:val="000C7140"/>
    <w:rsid w:val="000D0E88"/>
    <w:rsid w:val="000D1161"/>
    <w:rsid w:val="000D25C0"/>
    <w:rsid w:val="000D3DD0"/>
    <w:rsid w:val="000D48AA"/>
    <w:rsid w:val="000D6B8C"/>
    <w:rsid w:val="000D6FDB"/>
    <w:rsid w:val="000D7FC6"/>
    <w:rsid w:val="000E00FD"/>
    <w:rsid w:val="000E076B"/>
    <w:rsid w:val="000E1212"/>
    <w:rsid w:val="000E1528"/>
    <w:rsid w:val="000E3A82"/>
    <w:rsid w:val="000E3AFF"/>
    <w:rsid w:val="000E3B11"/>
    <w:rsid w:val="000E3CCB"/>
    <w:rsid w:val="000E495C"/>
    <w:rsid w:val="000E69B0"/>
    <w:rsid w:val="000E6F21"/>
    <w:rsid w:val="000E7D1B"/>
    <w:rsid w:val="000E7E02"/>
    <w:rsid w:val="000F0F70"/>
    <w:rsid w:val="000F1918"/>
    <w:rsid w:val="000F1C89"/>
    <w:rsid w:val="000F2F0C"/>
    <w:rsid w:val="000F2FAC"/>
    <w:rsid w:val="000F3E44"/>
    <w:rsid w:val="000F3F55"/>
    <w:rsid w:val="000F5186"/>
    <w:rsid w:val="000F5532"/>
    <w:rsid w:val="000F742B"/>
    <w:rsid w:val="000F7F55"/>
    <w:rsid w:val="001002AD"/>
    <w:rsid w:val="001003B9"/>
    <w:rsid w:val="0010103D"/>
    <w:rsid w:val="00101354"/>
    <w:rsid w:val="00101782"/>
    <w:rsid w:val="00101A85"/>
    <w:rsid w:val="0010344C"/>
    <w:rsid w:val="00103567"/>
    <w:rsid w:val="001045F2"/>
    <w:rsid w:val="00105562"/>
    <w:rsid w:val="001055DE"/>
    <w:rsid w:val="00106026"/>
    <w:rsid w:val="00106E8B"/>
    <w:rsid w:val="00107369"/>
    <w:rsid w:val="00107BAD"/>
    <w:rsid w:val="001100E5"/>
    <w:rsid w:val="00112412"/>
    <w:rsid w:val="00112442"/>
    <w:rsid w:val="001135C3"/>
    <w:rsid w:val="001145F8"/>
    <w:rsid w:val="00116498"/>
    <w:rsid w:val="001171C4"/>
    <w:rsid w:val="0012085E"/>
    <w:rsid w:val="001227A4"/>
    <w:rsid w:val="00122EBD"/>
    <w:rsid w:val="00124503"/>
    <w:rsid w:val="00126522"/>
    <w:rsid w:val="00126C6D"/>
    <w:rsid w:val="001313C9"/>
    <w:rsid w:val="001323AE"/>
    <w:rsid w:val="00132A24"/>
    <w:rsid w:val="00133DDE"/>
    <w:rsid w:val="00134B27"/>
    <w:rsid w:val="00134B3A"/>
    <w:rsid w:val="00135033"/>
    <w:rsid w:val="001361ED"/>
    <w:rsid w:val="00137187"/>
    <w:rsid w:val="001410DD"/>
    <w:rsid w:val="0014259F"/>
    <w:rsid w:val="00142675"/>
    <w:rsid w:val="0014347C"/>
    <w:rsid w:val="00143612"/>
    <w:rsid w:val="00144D32"/>
    <w:rsid w:val="0014785D"/>
    <w:rsid w:val="001505E2"/>
    <w:rsid w:val="00151371"/>
    <w:rsid w:val="001529E2"/>
    <w:rsid w:val="00152F46"/>
    <w:rsid w:val="0015395D"/>
    <w:rsid w:val="00153A6B"/>
    <w:rsid w:val="00153C36"/>
    <w:rsid w:val="00155EAA"/>
    <w:rsid w:val="0016069D"/>
    <w:rsid w:val="001608FC"/>
    <w:rsid w:val="00160AB0"/>
    <w:rsid w:val="00160F24"/>
    <w:rsid w:val="001626F0"/>
    <w:rsid w:val="00164D50"/>
    <w:rsid w:val="001658C1"/>
    <w:rsid w:val="0017011D"/>
    <w:rsid w:val="001703BC"/>
    <w:rsid w:val="00171435"/>
    <w:rsid w:val="0017200E"/>
    <w:rsid w:val="0017256E"/>
    <w:rsid w:val="00172591"/>
    <w:rsid w:val="00174EF8"/>
    <w:rsid w:val="001752D9"/>
    <w:rsid w:val="00175C8A"/>
    <w:rsid w:val="0017637D"/>
    <w:rsid w:val="00180C79"/>
    <w:rsid w:val="0018124F"/>
    <w:rsid w:val="00181C32"/>
    <w:rsid w:val="001834EC"/>
    <w:rsid w:val="001867C1"/>
    <w:rsid w:val="0018692A"/>
    <w:rsid w:val="00186F0C"/>
    <w:rsid w:val="00187C03"/>
    <w:rsid w:val="00187D11"/>
    <w:rsid w:val="00187FC0"/>
    <w:rsid w:val="0019010E"/>
    <w:rsid w:val="001901E8"/>
    <w:rsid w:val="00193129"/>
    <w:rsid w:val="00193839"/>
    <w:rsid w:val="00193EB0"/>
    <w:rsid w:val="001947F1"/>
    <w:rsid w:val="00194AA3"/>
    <w:rsid w:val="00195C69"/>
    <w:rsid w:val="00196030"/>
    <w:rsid w:val="001972BF"/>
    <w:rsid w:val="001977EC"/>
    <w:rsid w:val="00197B3E"/>
    <w:rsid w:val="001A0341"/>
    <w:rsid w:val="001A20A3"/>
    <w:rsid w:val="001A57D6"/>
    <w:rsid w:val="001A6E48"/>
    <w:rsid w:val="001A6EB3"/>
    <w:rsid w:val="001A6FED"/>
    <w:rsid w:val="001B248B"/>
    <w:rsid w:val="001B5DC0"/>
    <w:rsid w:val="001B6B2C"/>
    <w:rsid w:val="001B71E8"/>
    <w:rsid w:val="001C02C6"/>
    <w:rsid w:val="001C0A38"/>
    <w:rsid w:val="001C0C4E"/>
    <w:rsid w:val="001C101D"/>
    <w:rsid w:val="001C2816"/>
    <w:rsid w:val="001C6CAB"/>
    <w:rsid w:val="001D084A"/>
    <w:rsid w:val="001D0BE3"/>
    <w:rsid w:val="001D1C8A"/>
    <w:rsid w:val="001D3427"/>
    <w:rsid w:val="001D47E9"/>
    <w:rsid w:val="001D570C"/>
    <w:rsid w:val="001D5868"/>
    <w:rsid w:val="001E00BE"/>
    <w:rsid w:val="001E03D8"/>
    <w:rsid w:val="001E0EFD"/>
    <w:rsid w:val="001E17E4"/>
    <w:rsid w:val="001E2279"/>
    <w:rsid w:val="001E28BB"/>
    <w:rsid w:val="001E2C67"/>
    <w:rsid w:val="001E4B38"/>
    <w:rsid w:val="001E525E"/>
    <w:rsid w:val="001E54B3"/>
    <w:rsid w:val="001E5732"/>
    <w:rsid w:val="001E5BF2"/>
    <w:rsid w:val="001F0639"/>
    <w:rsid w:val="001F09AD"/>
    <w:rsid w:val="001F16DE"/>
    <w:rsid w:val="001F1763"/>
    <w:rsid w:val="001F18E2"/>
    <w:rsid w:val="001F213D"/>
    <w:rsid w:val="001F54CE"/>
    <w:rsid w:val="001F6344"/>
    <w:rsid w:val="00200E14"/>
    <w:rsid w:val="002043B4"/>
    <w:rsid w:val="002052AB"/>
    <w:rsid w:val="002058ED"/>
    <w:rsid w:val="00207A0D"/>
    <w:rsid w:val="00210AED"/>
    <w:rsid w:val="00210EB4"/>
    <w:rsid w:val="002114DB"/>
    <w:rsid w:val="00211EE2"/>
    <w:rsid w:val="00211F53"/>
    <w:rsid w:val="0021249E"/>
    <w:rsid w:val="002135AD"/>
    <w:rsid w:val="00213E00"/>
    <w:rsid w:val="00214CC9"/>
    <w:rsid w:val="002159E5"/>
    <w:rsid w:val="002170DF"/>
    <w:rsid w:val="002201DF"/>
    <w:rsid w:val="0022028B"/>
    <w:rsid w:val="00220821"/>
    <w:rsid w:val="00220BCB"/>
    <w:rsid w:val="002223E8"/>
    <w:rsid w:val="00223374"/>
    <w:rsid w:val="002237F0"/>
    <w:rsid w:val="00224EE0"/>
    <w:rsid w:val="00225E37"/>
    <w:rsid w:val="00227182"/>
    <w:rsid w:val="00230729"/>
    <w:rsid w:val="00230F44"/>
    <w:rsid w:val="002327CA"/>
    <w:rsid w:val="00233D71"/>
    <w:rsid w:val="0023423D"/>
    <w:rsid w:val="002355BC"/>
    <w:rsid w:val="00235731"/>
    <w:rsid w:val="00237F02"/>
    <w:rsid w:val="002400EB"/>
    <w:rsid w:val="0024256A"/>
    <w:rsid w:val="0024289A"/>
    <w:rsid w:val="002429B2"/>
    <w:rsid w:val="00243E4A"/>
    <w:rsid w:val="002442B8"/>
    <w:rsid w:val="00244788"/>
    <w:rsid w:val="00244CC8"/>
    <w:rsid w:val="00246F10"/>
    <w:rsid w:val="002475FD"/>
    <w:rsid w:val="00250142"/>
    <w:rsid w:val="00250910"/>
    <w:rsid w:val="00250BAA"/>
    <w:rsid w:val="0025118B"/>
    <w:rsid w:val="0025244D"/>
    <w:rsid w:val="00252886"/>
    <w:rsid w:val="0025426F"/>
    <w:rsid w:val="002545A8"/>
    <w:rsid w:val="00254A3F"/>
    <w:rsid w:val="00256CE1"/>
    <w:rsid w:val="0026036D"/>
    <w:rsid w:val="002610FF"/>
    <w:rsid w:val="00261234"/>
    <w:rsid w:val="00263FB5"/>
    <w:rsid w:val="00264FB7"/>
    <w:rsid w:val="00265584"/>
    <w:rsid w:val="0026575E"/>
    <w:rsid w:val="00265CE4"/>
    <w:rsid w:val="0026798D"/>
    <w:rsid w:val="00267A96"/>
    <w:rsid w:val="00271905"/>
    <w:rsid w:val="00272CB1"/>
    <w:rsid w:val="0027313C"/>
    <w:rsid w:val="002732FC"/>
    <w:rsid w:val="00273C77"/>
    <w:rsid w:val="002742C0"/>
    <w:rsid w:val="0027605B"/>
    <w:rsid w:val="00276466"/>
    <w:rsid w:val="00277797"/>
    <w:rsid w:val="00280622"/>
    <w:rsid w:val="00280B16"/>
    <w:rsid w:val="00280E03"/>
    <w:rsid w:val="00281A92"/>
    <w:rsid w:val="00281F95"/>
    <w:rsid w:val="00283E27"/>
    <w:rsid w:val="00283E93"/>
    <w:rsid w:val="00283F07"/>
    <w:rsid w:val="00284E66"/>
    <w:rsid w:val="002866F1"/>
    <w:rsid w:val="00287860"/>
    <w:rsid w:val="00287B15"/>
    <w:rsid w:val="00290BA5"/>
    <w:rsid w:val="00290E5C"/>
    <w:rsid w:val="00293A73"/>
    <w:rsid w:val="00294C50"/>
    <w:rsid w:val="0029502B"/>
    <w:rsid w:val="00296863"/>
    <w:rsid w:val="00296C0D"/>
    <w:rsid w:val="00297435"/>
    <w:rsid w:val="002A09FF"/>
    <w:rsid w:val="002A23BC"/>
    <w:rsid w:val="002A27AA"/>
    <w:rsid w:val="002A3EBC"/>
    <w:rsid w:val="002A3FE0"/>
    <w:rsid w:val="002A5813"/>
    <w:rsid w:val="002A61F4"/>
    <w:rsid w:val="002A77D1"/>
    <w:rsid w:val="002B00C6"/>
    <w:rsid w:val="002B05B4"/>
    <w:rsid w:val="002B1086"/>
    <w:rsid w:val="002B1CDB"/>
    <w:rsid w:val="002B1DC4"/>
    <w:rsid w:val="002B23EE"/>
    <w:rsid w:val="002B30FC"/>
    <w:rsid w:val="002B32FB"/>
    <w:rsid w:val="002B46FA"/>
    <w:rsid w:val="002B56B7"/>
    <w:rsid w:val="002B697A"/>
    <w:rsid w:val="002B783B"/>
    <w:rsid w:val="002C0C9D"/>
    <w:rsid w:val="002C1914"/>
    <w:rsid w:val="002C262F"/>
    <w:rsid w:val="002C29FF"/>
    <w:rsid w:val="002C37FC"/>
    <w:rsid w:val="002C3BAF"/>
    <w:rsid w:val="002C5E1E"/>
    <w:rsid w:val="002C62E8"/>
    <w:rsid w:val="002C6778"/>
    <w:rsid w:val="002C6F5E"/>
    <w:rsid w:val="002C71E7"/>
    <w:rsid w:val="002C76D7"/>
    <w:rsid w:val="002D1A9B"/>
    <w:rsid w:val="002D4138"/>
    <w:rsid w:val="002D60D8"/>
    <w:rsid w:val="002D66E1"/>
    <w:rsid w:val="002D6E33"/>
    <w:rsid w:val="002D7438"/>
    <w:rsid w:val="002D7BB9"/>
    <w:rsid w:val="002E065F"/>
    <w:rsid w:val="002E127D"/>
    <w:rsid w:val="002E39EF"/>
    <w:rsid w:val="002E3C0F"/>
    <w:rsid w:val="002E433B"/>
    <w:rsid w:val="002E6C77"/>
    <w:rsid w:val="002F055F"/>
    <w:rsid w:val="002F1769"/>
    <w:rsid w:val="002F212A"/>
    <w:rsid w:val="002F2DF7"/>
    <w:rsid w:val="002F2E5C"/>
    <w:rsid w:val="002F4F5B"/>
    <w:rsid w:val="002F622C"/>
    <w:rsid w:val="002F6230"/>
    <w:rsid w:val="002F6474"/>
    <w:rsid w:val="002F6868"/>
    <w:rsid w:val="002F7433"/>
    <w:rsid w:val="002F7BF7"/>
    <w:rsid w:val="00300294"/>
    <w:rsid w:val="00300AEA"/>
    <w:rsid w:val="003024EC"/>
    <w:rsid w:val="00302591"/>
    <w:rsid w:val="00302866"/>
    <w:rsid w:val="00304569"/>
    <w:rsid w:val="003049E3"/>
    <w:rsid w:val="00304DFB"/>
    <w:rsid w:val="003061C6"/>
    <w:rsid w:val="00307C51"/>
    <w:rsid w:val="0031406A"/>
    <w:rsid w:val="00314617"/>
    <w:rsid w:val="0031700D"/>
    <w:rsid w:val="003211FA"/>
    <w:rsid w:val="003227B8"/>
    <w:rsid w:val="00324310"/>
    <w:rsid w:val="00324FDF"/>
    <w:rsid w:val="00326202"/>
    <w:rsid w:val="00327F4A"/>
    <w:rsid w:val="0033231E"/>
    <w:rsid w:val="00332628"/>
    <w:rsid w:val="003327E0"/>
    <w:rsid w:val="0033338A"/>
    <w:rsid w:val="00336007"/>
    <w:rsid w:val="00337B85"/>
    <w:rsid w:val="003401AF"/>
    <w:rsid w:val="00340E88"/>
    <w:rsid w:val="0034154F"/>
    <w:rsid w:val="00341818"/>
    <w:rsid w:val="003418A2"/>
    <w:rsid w:val="003419B2"/>
    <w:rsid w:val="003455E1"/>
    <w:rsid w:val="003457FF"/>
    <w:rsid w:val="00346488"/>
    <w:rsid w:val="00346A32"/>
    <w:rsid w:val="00347796"/>
    <w:rsid w:val="00347FB9"/>
    <w:rsid w:val="00350632"/>
    <w:rsid w:val="0035170A"/>
    <w:rsid w:val="003520D5"/>
    <w:rsid w:val="0035233D"/>
    <w:rsid w:val="003527C8"/>
    <w:rsid w:val="003532C7"/>
    <w:rsid w:val="003533B7"/>
    <w:rsid w:val="003535E8"/>
    <w:rsid w:val="003568F4"/>
    <w:rsid w:val="00356D23"/>
    <w:rsid w:val="00357899"/>
    <w:rsid w:val="00361814"/>
    <w:rsid w:val="00361DC5"/>
    <w:rsid w:val="00362267"/>
    <w:rsid w:val="00362B39"/>
    <w:rsid w:val="00362FB6"/>
    <w:rsid w:val="003630B6"/>
    <w:rsid w:val="003634E3"/>
    <w:rsid w:val="003649E3"/>
    <w:rsid w:val="00365A1F"/>
    <w:rsid w:val="00373E72"/>
    <w:rsid w:val="00373F67"/>
    <w:rsid w:val="00374033"/>
    <w:rsid w:val="003742DC"/>
    <w:rsid w:val="00376764"/>
    <w:rsid w:val="00376AD5"/>
    <w:rsid w:val="003815A0"/>
    <w:rsid w:val="00381D21"/>
    <w:rsid w:val="00383FA5"/>
    <w:rsid w:val="003843FE"/>
    <w:rsid w:val="00384DDC"/>
    <w:rsid w:val="0038600E"/>
    <w:rsid w:val="003860B2"/>
    <w:rsid w:val="00387906"/>
    <w:rsid w:val="00391503"/>
    <w:rsid w:val="0039177C"/>
    <w:rsid w:val="003921DC"/>
    <w:rsid w:val="003923F3"/>
    <w:rsid w:val="00392BCA"/>
    <w:rsid w:val="00392C0A"/>
    <w:rsid w:val="0039302C"/>
    <w:rsid w:val="00393690"/>
    <w:rsid w:val="00394182"/>
    <w:rsid w:val="0039533D"/>
    <w:rsid w:val="0039705E"/>
    <w:rsid w:val="003A0277"/>
    <w:rsid w:val="003A0C72"/>
    <w:rsid w:val="003A14C0"/>
    <w:rsid w:val="003A18FD"/>
    <w:rsid w:val="003A2FB2"/>
    <w:rsid w:val="003A360B"/>
    <w:rsid w:val="003A5696"/>
    <w:rsid w:val="003A5973"/>
    <w:rsid w:val="003A5CBA"/>
    <w:rsid w:val="003A6616"/>
    <w:rsid w:val="003A78FE"/>
    <w:rsid w:val="003B118F"/>
    <w:rsid w:val="003B14E2"/>
    <w:rsid w:val="003B2FD6"/>
    <w:rsid w:val="003B3F46"/>
    <w:rsid w:val="003B48BB"/>
    <w:rsid w:val="003B521C"/>
    <w:rsid w:val="003C1656"/>
    <w:rsid w:val="003C1A7B"/>
    <w:rsid w:val="003C1CDB"/>
    <w:rsid w:val="003C243E"/>
    <w:rsid w:val="003C337C"/>
    <w:rsid w:val="003C3CA7"/>
    <w:rsid w:val="003C5D3C"/>
    <w:rsid w:val="003C718B"/>
    <w:rsid w:val="003D143C"/>
    <w:rsid w:val="003D2DE6"/>
    <w:rsid w:val="003D35D8"/>
    <w:rsid w:val="003D36BE"/>
    <w:rsid w:val="003D4B5D"/>
    <w:rsid w:val="003D4E85"/>
    <w:rsid w:val="003D4FB2"/>
    <w:rsid w:val="003D640E"/>
    <w:rsid w:val="003D6509"/>
    <w:rsid w:val="003D781C"/>
    <w:rsid w:val="003E0A0C"/>
    <w:rsid w:val="003E12E7"/>
    <w:rsid w:val="003E1CDA"/>
    <w:rsid w:val="003E2A91"/>
    <w:rsid w:val="003E2B77"/>
    <w:rsid w:val="003E30AC"/>
    <w:rsid w:val="003E3AA3"/>
    <w:rsid w:val="003E3F57"/>
    <w:rsid w:val="003E494B"/>
    <w:rsid w:val="003E5301"/>
    <w:rsid w:val="003E6023"/>
    <w:rsid w:val="003E796C"/>
    <w:rsid w:val="003E7F00"/>
    <w:rsid w:val="003F126B"/>
    <w:rsid w:val="003F194B"/>
    <w:rsid w:val="003F2E8C"/>
    <w:rsid w:val="003F71DF"/>
    <w:rsid w:val="00401553"/>
    <w:rsid w:val="004045FB"/>
    <w:rsid w:val="00404C8D"/>
    <w:rsid w:val="00404CB6"/>
    <w:rsid w:val="00404E99"/>
    <w:rsid w:val="00405580"/>
    <w:rsid w:val="00405707"/>
    <w:rsid w:val="00405DC3"/>
    <w:rsid w:val="00406CED"/>
    <w:rsid w:val="00407C83"/>
    <w:rsid w:val="004112A7"/>
    <w:rsid w:val="0041207B"/>
    <w:rsid w:val="0041216B"/>
    <w:rsid w:val="00412B53"/>
    <w:rsid w:val="00412FEB"/>
    <w:rsid w:val="00414290"/>
    <w:rsid w:val="00414636"/>
    <w:rsid w:val="00415C3A"/>
    <w:rsid w:val="00417174"/>
    <w:rsid w:val="00420BBD"/>
    <w:rsid w:val="00421B65"/>
    <w:rsid w:val="00422853"/>
    <w:rsid w:val="00422911"/>
    <w:rsid w:val="00423B5C"/>
    <w:rsid w:val="004246C7"/>
    <w:rsid w:val="00425E59"/>
    <w:rsid w:val="00426563"/>
    <w:rsid w:val="00426D34"/>
    <w:rsid w:val="0042725F"/>
    <w:rsid w:val="0042733A"/>
    <w:rsid w:val="00427457"/>
    <w:rsid w:val="00427E76"/>
    <w:rsid w:val="00432070"/>
    <w:rsid w:val="004324E1"/>
    <w:rsid w:val="00432F15"/>
    <w:rsid w:val="00435061"/>
    <w:rsid w:val="004358F9"/>
    <w:rsid w:val="004361F4"/>
    <w:rsid w:val="00437C8D"/>
    <w:rsid w:val="00437CE8"/>
    <w:rsid w:val="004410D3"/>
    <w:rsid w:val="0044144C"/>
    <w:rsid w:val="00441799"/>
    <w:rsid w:val="00443864"/>
    <w:rsid w:val="00443FDC"/>
    <w:rsid w:val="00445E2E"/>
    <w:rsid w:val="0044784C"/>
    <w:rsid w:val="00450274"/>
    <w:rsid w:val="0045158C"/>
    <w:rsid w:val="00451BFD"/>
    <w:rsid w:val="00451CBB"/>
    <w:rsid w:val="004522F1"/>
    <w:rsid w:val="00452D33"/>
    <w:rsid w:val="004538A0"/>
    <w:rsid w:val="00454E8E"/>
    <w:rsid w:val="0045606F"/>
    <w:rsid w:val="00456D25"/>
    <w:rsid w:val="00457EE6"/>
    <w:rsid w:val="00460FCF"/>
    <w:rsid w:val="00461DC3"/>
    <w:rsid w:val="00462BE3"/>
    <w:rsid w:val="00463188"/>
    <w:rsid w:val="00464A2B"/>
    <w:rsid w:val="00464A47"/>
    <w:rsid w:val="00466934"/>
    <w:rsid w:val="00466A89"/>
    <w:rsid w:val="004670A0"/>
    <w:rsid w:val="00467374"/>
    <w:rsid w:val="004673D0"/>
    <w:rsid w:val="004707B4"/>
    <w:rsid w:val="00473189"/>
    <w:rsid w:val="00474E94"/>
    <w:rsid w:val="00476006"/>
    <w:rsid w:val="00477A2E"/>
    <w:rsid w:val="004802A7"/>
    <w:rsid w:val="00482026"/>
    <w:rsid w:val="004825ED"/>
    <w:rsid w:val="0048382F"/>
    <w:rsid w:val="00483A25"/>
    <w:rsid w:val="004900E3"/>
    <w:rsid w:val="004901EF"/>
    <w:rsid w:val="00490B5C"/>
    <w:rsid w:val="00491664"/>
    <w:rsid w:val="00491F29"/>
    <w:rsid w:val="0049259A"/>
    <w:rsid w:val="00492F4C"/>
    <w:rsid w:val="00494346"/>
    <w:rsid w:val="00494BC5"/>
    <w:rsid w:val="00495712"/>
    <w:rsid w:val="00495872"/>
    <w:rsid w:val="0049665E"/>
    <w:rsid w:val="00497916"/>
    <w:rsid w:val="00497CC6"/>
    <w:rsid w:val="004A08B0"/>
    <w:rsid w:val="004A1062"/>
    <w:rsid w:val="004A11AC"/>
    <w:rsid w:val="004A2A08"/>
    <w:rsid w:val="004A3035"/>
    <w:rsid w:val="004A4242"/>
    <w:rsid w:val="004A4488"/>
    <w:rsid w:val="004A461A"/>
    <w:rsid w:val="004A5F26"/>
    <w:rsid w:val="004A67BF"/>
    <w:rsid w:val="004A71EF"/>
    <w:rsid w:val="004A7F8D"/>
    <w:rsid w:val="004B01AC"/>
    <w:rsid w:val="004B06A7"/>
    <w:rsid w:val="004B0781"/>
    <w:rsid w:val="004B12B4"/>
    <w:rsid w:val="004B165B"/>
    <w:rsid w:val="004B2E16"/>
    <w:rsid w:val="004B4BAE"/>
    <w:rsid w:val="004B56DA"/>
    <w:rsid w:val="004B6352"/>
    <w:rsid w:val="004B7B9D"/>
    <w:rsid w:val="004C08F3"/>
    <w:rsid w:val="004C1CA7"/>
    <w:rsid w:val="004C25F6"/>
    <w:rsid w:val="004C288C"/>
    <w:rsid w:val="004C2EF5"/>
    <w:rsid w:val="004C3BEA"/>
    <w:rsid w:val="004C6B15"/>
    <w:rsid w:val="004D0B05"/>
    <w:rsid w:val="004D1182"/>
    <w:rsid w:val="004D197B"/>
    <w:rsid w:val="004D2665"/>
    <w:rsid w:val="004D27A4"/>
    <w:rsid w:val="004D441C"/>
    <w:rsid w:val="004D6685"/>
    <w:rsid w:val="004D74BE"/>
    <w:rsid w:val="004D78EA"/>
    <w:rsid w:val="004D7C4A"/>
    <w:rsid w:val="004E019C"/>
    <w:rsid w:val="004E0BC3"/>
    <w:rsid w:val="004E1741"/>
    <w:rsid w:val="004E18D0"/>
    <w:rsid w:val="004E1A62"/>
    <w:rsid w:val="004E3E85"/>
    <w:rsid w:val="004E420D"/>
    <w:rsid w:val="004E5357"/>
    <w:rsid w:val="004E6193"/>
    <w:rsid w:val="004E656E"/>
    <w:rsid w:val="004E6BEB"/>
    <w:rsid w:val="004E727C"/>
    <w:rsid w:val="004E7701"/>
    <w:rsid w:val="004E7A21"/>
    <w:rsid w:val="004F023E"/>
    <w:rsid w:val="004F20F3"/>
    <w:rsid w:val="004F430F"/>
    <w:rsid w:val="004F6E2A"/>
    <w:rsid w:val="00500AE2"/>
    <w:rsid w:val="0050158A"/>
    <w:rsid w:val="00502F83"/>
    <w:rsid w:val="00503C10"/>
    <w:rsid w:val="005044E5"/>
    <w:rsid w:val="0050520C"/>
    <w:rsid w:val="005053C8"/>
    <w:rsid w:val="00506F69"/>
    <w:rsid w:val="00507F78"/>
    <w:rsid w:val="005103E3"/>
    <w:rsid w:val="00512A41"/>
    <w:rsid w:val="00512AA2"/>
    <w:rsid w:val="00513147"/>
    <w:rsid w:val="00513316"/>
    <w:rsid w:val="00513817"/>
    <w:rsid w:val="005173A4"/>
    <w:rsid w:val="0051793F"/>
    <w:rsid w:val="00517BD3"/>
    <w:rsid w:val="00520C0E"/>
    <w:rsid w:val="0052171F"/>
    <w:rsid w:val="00521D6E"/>
    <w:rsid w:val="00521F3C"/>
    <w:rsid w:val="00522FAD"/>
    <w:rsid w:val="0052365A"/>
    <w:rsid w:val="00523D7F"/>
    <w:rsid w:val="00524D65"/>
    <w:rsid w:val="005253ED"/>
    <w:rsid w:val="005259F8"/>
    <w:rsid w:val="00525B4D"/>
    <w:rsid w:val="005269BB"/>
    <w:rsid w:val="00526ADE"/>
    <w:rsid w:val="005271BF"/>
    <w:rsid w:val="005309E7"/>
    <w:rsid w:val="00531C83"/>
    <w:rsid w:val="00532F96"/>
    <w:rsid w:val="00533A88"/>
    <w:rsid w:val="0053477E"/>
    <w:rsid w:val="005348E0"/>
    <w:rsid w:val="00535637"/>
    <w:rsid w:val="00535910"/>
    <w:rsid w:val="00536EB4"/>
    <w:rsid w:val="00537EB4"/>
    <w:rsid w:val="005433EF"/>
    <w:rsid w:val="0054392F"/>
    <w:rsid w:val="00544D25"/>
    <w:rsid w:val="005454EA"/>
    <w:rsid w:val="005465D7"/>
    <w:rsid w:val="00546F7D"/>
    <w:rsid w:val="00546FD9"/>
    <w:rsid w:val="00550671"/>
    <w:rsid w:val="00552255"/>
    <w:rsid w:val="00553725"/>
    <w:rsid w:val="005545D5"/>
    <w:rsid w:val="005549A2"/>
    <w:rsid w:val="005557F2"/>
    <w:rsid w:val="00555BB5"/>
    <w:rsid w:val="00557634"/>
    <w:rsid w:val="00561278"/>
    <w:rsid w:val="00562A90"/>
    <w:rsid w:val="00562B8C"/>
    <w:rsid w:val="00563AE0"/>
    <w:rsid w:val="00563B11"/>
    <w:rsid w:val="0056497E"/>
    <w:rsid w:val="0056543C"/>
    <w:rsid w:val="0056598A"/>
    <w:rsid w:val="005670A8"/>
    <w:rsid w:val="005670E0"/>
    <w:rsid w:val="00567D21"/>
    <w:rsid w:val="005749AC"/>
    <w:rsid w:val="00574F77"/>
    <w:rsid w:val="00575025"/>
    <w:rsid w:val="00575A1C"/>
    <w:rsid w:val="0057791C"/>
    <w:rsid w:val="00577D2F"/>
    <w:rsid w:val="00580AAE"/>
    <w:rsid w:val="00580CAC"/>
    <w:rsid w:val="00581CCF"/>
    <w:rsid w:val="00582059"/>
    <w:rsid w:val="00583FFE"/>
    <w:rsid w:val="005848E1"/>
    <w:rsid w:val="005861EA"/>
    <w:rsid w:val="00587AA5"/>
    <w:rsid w:val="00590098"/>
    <w:rsid w:val="005907FF"/>
    <w:rsid w:val="00593179"/>
    <w:rsid w:val="00594625"/>
    <w:rsid w:val="0059582B"/>
    <w:rsid w:val="005960A2"/>
    <w:rsid w:val="0059690C"/>
    <w:rsid w:val="00596951"/>
    <w:rsid w:val="00596CD0"/>
    <w:rsid w:val="00596F3C"/>
    <w:rsid w:val="00597244"/>
    <w:rsid w:val="00597489"/>
    <w:rsid w:val="005A0DB5"/>
    <w:rsid w:val="005A1F59"/>
    <w:rsid w:val="005A3D08"/>
    <w:rsid w:val="005A3E90"/>
    <w:rsid w:val="005A4234"/>
    <w:rsid w:val="005A4450"/>
    <w:rsid w:val="005A6E71"/>
    <w:rsid w:val="005B0278"/>
    <w:rsid w:val="005B06AF"/>
    <w:rsid w:val="005B138B"/>
    <w:rsid w:val="005B17FA"/>
    <w:rsid w:val="005B3CA7"/>
    <w:rsid w:val="005B48BE"/>
    <w:rsid w:val="005B4A09"/>
    <w:rsid w:val="005B56A9"/>
    <w:rsid w:val="005B5747"/>
    <w:rsid w:val="005B5F98"/>
    <w:rsid w:val="005B68F6"/>
    <w:rsid w:val="005B6D59"/>
    <w:rsid w:val="005B732C"/>
    <w:rsid w:val="005C0498"/>
    <w:rsid w:val="005C1EB6"/>
    <w:rsid w:val="005C2194"/>
    <w:rsid w:val="005C2EAF"/>
    <w:rsid w:val="005C3EED"/>
    <w:rsid w:val="005C43DE"/>
    <w:rsid w:val="005C4EF5"/>
    <w:rsid w:val="005C549B"/>
    <w:rsid w:val="005C724D"/>
    <w:rsid w:val="005C78ED"/>
    <w:rsid w:val="005C7EE8"/>
    <w:rsid w:val="005D26B7"/>
    <w:rsid w:val="005D41B7"/>
    <w:rsid w:val="005D41E3"/>
    <w:rsid w:val="005D51D6"/>
    <w:rsid w:val="005D6CD8"/>
    <w:rsid w:val="005E0292"/>
    <w:rsid w:val="005E20BB"/>
    <w:rsid w:val="005E2209"/>
    <w:rsid w:val="005E327C"/>
    <w:rsid w:val="005E7005"/>
    <w:rsid w:val="005F0A08"/>
    <w:rsid w:val="005F2DE7"/>
    <w:rsid w:val="005F446C"/>
    <w:rsid w:val="005F4A9E"/>
    <w:rsid w:val="005F4B9F"/>
    <w:rsid w:val="005F5229"/>
    <w:rsid w:val="005F612A"/>
    <w:rsid w:val="005F62A7"/>
    <w:rsid w:val="005F6939"/>
    <w:rsid w:val="005F7D3A"/>
    <w:rsid w:val="005F7D65"/>
    <w:rsid w:val="00600415"/>
    <w:rsid w:val="0060059D"/>
    <w:rsid w:val="00600AA5"/>
    <w:rsid w:val="00601EEB"/>
    <w:rsid w:val="006035B6"/>
    <w:rsid w:val="00604330"/>
    <w:rsid w:val="00604D21"/>
    <w:rsid w:val="0060524B"/>
    <w:rsid w:val="00605499"/>
    <w:rsid w:val="006056C6"/>
    <w:rsid w:val="006065DD"/>
    <w:rsid w:val="00607025"/>
    <w:rsid w:val="0060761E"/>
    <w:rsid w:val="006078F6"/>
    <w:rsid w:val="0061053D"/>
    <w:rsid w:val="0061097D"/>
    <w:rsid w:val="00610EBD"/>
    <w:rsid w:val="006117AA"/>
    <w:rsid w:val="006121FA"/>
    <w:rsid w:val="0061319F"/>
    <w:rsid w:val="0061377B"/>
    <w:rsid w:val="006137AB"/>
    <w:rsid w:val="00614981"/>
    <w:rsid w:val="006149D1"/>
    <w:rsid w:val="00614EC5"/>
    <w:rsid w:val="0061656A"/>
    <w:rsid w:val="006208CB"/>
    <w:rsid w:val="00621297"/>
    <w:rsid w:val="006227A6"/>
    <w:rsid w:val="00623306"/>
    <w:rsid w:val="00623E73"/>
    <w:rsid w:val="00625248"/>
    <w:rsid w:val="00625877"/>
    <w:rsid w:val="006301A9"/>
    <w:rsid w:val="006302B5"/>
    <w:rsid w:val="00633AC9"/>
    <w:rsid w:val="00634515"/>
    <w:rsid w:val="0063502C"/>
    <w:rsid w:val="00635C5A"/>
    <w:rsid w:val="00635F72"/>
    <w:rsid w:val="0063612A"/>
    <w:rsid w:val="00637364"/>
    <w:rsid w:val="00644467"/>
    <w:rsid w:val="006445E8"/>
    <w:rsid w:val="00645FA1"/>
    <w:rsid w:val="00646267"/>
    <w:rsid w:val="00646D47"/>
    <w:rsid w:val="00647A1C"/>
    <w:rsid w:val="00647CA3"/>
    <w:rsid w:val="00650B64"/>
    <w:rsid w:val="00652E79"/>
    <w:rsid w:val="00654083"/>
    <w:rsid w:val="00654446"/>
    <w:rsid w:val="00655AC6"/>
    <w:rsid w:val="00656582"/>
    <w:rsid w:val="00656A79"/>
    <w:rsid w:val="00656FAD"/>
    <w:rsid w:val="00657169"/>
    <w:rsid w:val="006578AD"/>
    <w:rsid w:val="006601B7"/>
    <w:rsid w:val="006607D0"/>
    <w:rsid w:val="006608F5"/>
    <w:rsid w:val="00661A1A"/>
    <w:rsid w:val="00661D37"/>
    <w:rsid w:val="006625E3"/>
    <w:rsid w:val="00664607"/>
    <w:rsid w:val="006647FB"/>
    <w:rsid w:val="00664D5B"/>
    <w:rsid w:val="00664FC5"/>
    <w:rsid w:val="006654C7"/>
    <w:rsid w:val="0066579E"/>
    <w:rsid w:val="006672D1"/>
    <w:rsid w:val="006673B2"/>
    <w:rsid w:val="006674E1"/>
    <w:rsid w:val="00667C53"/>
    <w:rsid w:val="00667E9B"/>
    <w:rsid w:val="00670D34"/>
    <w:rsid w:val="00671438"/>
    <w:rsid w:val="0067479F"/>
    <w:rsid w:val="00676117"/>
    <w:rsid w:val="0067623E"/>
    <w:rsid w:val="00677745"/>
    <w:rsid w:val="00680325"/>
    <w:rsid w:val="006833FF"/>
    <w:rsid w:val="00683ACF"/>
    <w:rsid w:val="00684D63"/>
    <w:rsid w:val="00684DC9"/>
    <w:rsid w:val="00685994"/>
    <w:rsid w:val="00687E6C"/>
    <w:rsid w:val="0069016C"/>
    <w:rsid w:val="006940FA"/>
    <w:rsid w:val="006964BF"/>
    <w:rsid w:val="00696DA2"/>
    <w:rsid w:val="006A01C2"/>
    <w:rsid w:val="006A1E06"/>
    <w:rsid w:val="006A2549"/>
    <w:rsid w:val="006A2997"/>
    <w:rsid w:val="006A481A"/>
    <w:rsid w:val="006A4A62"/>
    <w:rsid w:val="006B0008"/>
    <w:rsid w:val="006B0E0B"/>
    <w:rsid w:val="006B0E9A"/>
    <w:rsid w:val="006B18D9"/>
    <w:rsid w:val="006B3CBE"/>
    <w:rsid w:val="006B437E"/>
    <w:rsid w:val="006B4C97"/>
    <w:rsid w:val="006B4ED9"/>
    <w:rsid w:val="006B569C"/>
    <w:rsid w:val="006B5C2A"/>
    <w:rsid w:val="006B66D0"/>
    <w:rsid w:val="006B7563"/>
    <w:rsid w:val="006C0DE7"/>
    <w:rsid w:val="006C2ABB"/>
    <w:rsid w:val="006C3591"/>
    <w:rsid w:val="006C3F77"/>
    <w:rsid w:val="006C4537"/>
    <w:rsid w:val="006C46DA"/>
    <w:rsid w:val="006C4E66"/>
    <w:rsid w:val="006C52C8"/>
    <w:rsid w:val="006C5ADB"/>
    <w:rsid w:val="006C6374"/>
    <w:rsid w:val="006C6EE1"/>
    <w:rsid w:val="006D1101"/>
    <w:rsid w:val="006D5187"/>
    <w:rsid w:val="006D51EB"/>
    <w:rsid w:val="006D543A"/>
    <w:rsid w:val="006D54D3"/>
    <w:rsid w:val="006D575C"/>
    <w:rsid w:val="006D7347"/>
    <w:rsid w:val="006D7788"/>
    <w:rsid w:val="006E24FE"/>
    <w:rsid w:val="006E26E9"/>
    <w:rsid w:val="006E2879"/>
    <w:rsid w:val="006E3C48"/>
    <w:rsid w:val="006E5249"/>
    <w:rsid w:val="006E69E7"/>
    <w:rsid w:val="006F0202"/>
    <w:rsid w:val="006F032B"/>
    <w:rsid w:val="006F12E9"/>
    <w:rsid w:val="006F1413"/>
    <w:rsid w:val="006F42DD"/>
    <w:rsid w:val="006F4BC1"/>
    <w:rsid w:val="006F5976"/>
    <w:rsid w:val="006F70CA"/>
    <w:rsid w:val="006F74B4"/>
    <w:rsid w:val="00700B5D"/>
    <w:rsid w:val="00701842"/>
    <w:rsid w:val="0070326E"/>
    <w:rsid w:val="0070406C"/>
    <w:rsid w:val="00704BF1"/>
    <w:rsid w:val="00705718"/>
    <w:rsid w:val="007058C9"/>
    <w:rsid w:val="00705B6C"/>
    <w:rsid w:val="00707B6B"/>
    <w:rsid w:val="00707FEE"/>
    <w:rsid w:val="00710454"/>
    <w:rsid w:val="00710875"/>
    <w:rsid w:val="00712082"/>
    <w:rsid w:val="00713463"/>
    <w:rsid w:val="00714B64"/>
    <w:rsid w:val="00714DF7"/>
    <w:rsid w:val="00716282"/>
    <w:rsid w:val="00717133"/>
    <w:rsid w:val="007171FD"/>
    <w:rsid w:val="007179DD"/>
    <w:rsid w:val="00717F5F"/>
    <w:rsid w:val="00720C7F"/>
    <w:rsid w:val="00721DCD"/>
    <w:rsid w:val="007224C9"/>
    <w:rsid w:val="00722734"/>
    <w:rsid w:val="00724588"/>
    <w:rsid w:val="0072475D"/>
    <w:rsid w:val="00724995"/>
    <w:rsid w:val="00724DE7"/>
    <w:rsid w:val="00725BB6"/>
    <w:rsid w:val="007261AB"/>
    <w:rsid w:val="00726DFA"/>
    <w:rsid w:val="00727512"/>
    <w:rsid w:val="00730688"/>
    <w:rsid w:val="00732F7F"/>
    <w:rsid w:val="0073328B"/>
    <w:rsid w:val="00735882"/>
    <w:rsid w:val="00735E14"/>
    <w:rsid w:val="00740564"/>
    <w:rsid w:val="00740EDA"/>
    <w:rsid w:val="00741C3F"/>
    <w:rsid w:val="0074347C"/>
    <w:rsid w:val="00743CE5"/>
    <w:rsid w:val="00744B0D"/>
    <w:rsid w:val="00744B8D"/>
    <w:rsid w:val="00744C7C"/>
    <w:rsid w:val="00745383"/>
    <w:rsid w:val="007455B7"/>
    <w:rsid w:val="00746450"/>
    <w:rsid w:val="007503C4"/>
    <w:rsid w:val="00750FA4"/>
    <w:rsid w:val="00751C87"/>
    <w:rsid w:val="00752062"/>
    <w:rsid w:val="0075421F"/>
    <w:rsid w:val="00754737"/>
    <w:rsid w:val="00756C2B"/>
    <w:rsid w:val="00756F0E"/>
    <w:rsid w:val="007578FD"/>
    <w:rsid w:val="00757990"/>
    <w:rsid w:val="0076136D"/>
    <w:rsid w:val="007618A7"/>
    <w:rsid w:val="00761DAE"/>
    <w:rsid w:val="00762952"/>
    <w:rsid w:val="00765377"/>
    <w:rsid w:val="00765850"/>
    <w:rsid w:val="007665C4"/>
    <w:rsid w:val="00767BB5"/>
    <w:rsid w:val="00771D31"/>
    <w:rsid w:val="00773D57"/>
    <w:rsid w:val="007741A0"/>
    <w:rsid w:val="007752AC"/>
    <w:rsid w:val="00775B19"/>
    <w:rsid w:val="00775F9D"/>
    <w:rsid w:val="0077670B"/>
    <w:rsid w:val="007767DD"/>
    <w:rsid w:val="007774EA"/>
    <w:rsid w:val="007775A8"/>
    <w:rsid w:val="007777C4"/>
    <w:rsid w:val="00777FC4"/>
    <w:rsid w:val="00780350"/>
    <w:rsid w:val="0078103F"/>
    <w:rsid w:val="007831DD"/>
    <w:rsid w:val="00783530"/>
    <w:rsid w:val="007852A9"/>
    <w:rsid w:val="00785DF3"/>
    <w:rsid w:val="00786646"/>
    <w:rsid w:val="00787727"/>
    <w:rsid w:val="0079082E"/>
    <w:rsid w:val="00792A7F"/>
    <w:rsid w:val="00793698"/>
    <w:rsid w:val="00793A50"/>
    <w:rsid w:val="00794445"/>
    <w:rsid w:val="007947D7"/>
    <w:rsid w:val="007955DC"/>
    <w:rsid w:val="0079665D"/>
    <w:rsid w:val="00797F39"/>
    <w:rsid w:val="007A1378"/>
    <w:rsid w:val="007A26E9"/>
    <w:rsid w:val="007A2F26"/>
    <w:rsid w:val="007A5E9D"/>
    <w:rsid w:val="007A74E8"/>
    <w:rsid w:val="007B100A"/>
    <w:rsid w:val="007B226B"/>
    <w:rsid w:val="007B336B"/>
    <w:rsid w:val="007B3403"/>
    <w:rsid w:val="007B3E70"/>
    <w:rsid w:val="007B4494"/>
    <w:rsid w:val="007C0E02"/>
    <w:rsid w:val="007C190B"/>
    <w:rsid w:val="007C2FC0"/>
    <w:rsid w:val="007C3983"/>
    <w:rsid w:val="007C4192"/>
    <w:rsid w:val="007C461B"/>
    <w:rsid w:val="007C5B2D"/>
    <w:rsid w:val="007C664E"/>
    <w:rsid w:val="007D0585"/>
    <w:rsid w:val="007D08E7"/>
    <w:rsid w:val="007D0939"/>
    <w:rsid w:val="007D31EE"/>
    <w:rsid w:val="007D3A35"/>
    <w:rsid w:val="007D4482"/>
    <w:rsid w:val="007D48F4"/>
    <w:rsid w:val="007D53F6"/>
    <w:rsid w:val="007D5ADD"/>
    <w:rsid w:val="007D602B"/>
    <w:rsid w:val="007D631E"/>
    <w:rsid w:val="007D6615"/>
    <w:rsid w:val="007D73BD"/>
    <w:rsid w:val="007D7847"/>
    <w:rsid w:val="007E038E"/>
    <w:rsid w:val="007E2082"/>
    <w:rsid w:val="007E2F1C"/>
    <w:rsid w:val="007E37D1"/>
    <w:rsid w:val="007E39BB"/>
    <w:rsid w:val="007E45D4"/>
    <w:rsid w:val="007E6F5D"/>
    <w:rsid w:val="007F0E64"/>
    <w:rsid w:val="007F1E54"/>
    <w:rsid w:val="007F22F6"/>
    <w:rsid w:val="007F3676"/>
    <w:rsid w:val="007F6042"/>
    <w:rsid w:val="007F641C"/>
    <w:rsid w:val="007F78F0"/>
    <w:rsid w:val="008009EF"/>
    <w:rsid w:val="00800BAE"/>
    <w:rsid w:val="008029C9"/>
    <w:rsid w:val="00802F21"/>
    <w:rsid w:val="00802F78"/>
    <w:rsid w:val="00803B0A"/>
    <w:rsid w:val="00803C4A"/>
    <w:rsid w:val="0080505B"/>
    <w:rsid w:val="00805068"/>
    <w:rsid w:val="00806003"/>
    <w:rsid w:val="00806019"/>
    <w:rsid w:val="0080672A"/>
    <w:rsid w:val="008101B1"/>
    <w:rsid w:val="0081076A"/>
    <w:rsid w:val="00810961"/>
    <w:rsid w:val="0081160C"/>
    <w:rsid w:val="00812D2D"/>
    <w:rsid w:val="00812D44"/>
    <w:rsid w:val="00813C36"/>
    <w:rsid w:val="00813CE3"/>
    <w:rsid w:val="0081416B"/>
    <w:rsid w:val="00814A13"/>
    <w:rsid w:val="00814C19"/>
    <w:rsid w:val="008150F1"/>
    <w:rsid w:val="00815AD2"/>
    <w:rsid w:val="00816600"/>
    <w:rsid w:val="008166FA"/>
    <w:rsid w:val="0081692E"/>
    <w:rsid w:val="00817685"/>
    <w:rsid w:val="008211DA"/>
    <w:rsid w:val="008213E7"/>
    <w:rsid w:val="00821C02"/>
    <w:rsid w:val="008231FE"/>
    <w:rsid w:val="00824733"/>
    <w:rsid w:val="0082480B"/>
    <w:rsid w:val="00824CBE"/>
    <w:rsid w:val="008252E3"/>
    <w:rsid w:val="0082624C"/>
    <w:rsid w:val="00830E6D"/>
    <w:rsid w:val="00832CA5"/>
    <w:rsid w:val="0083342A"/>
    <w:rsid w:val="00834207"/>
    <w:rsid w:val="008360DE"/>
    <w:rsid w:val="00837441"/>
    <w:rsid w:val="00840622"/>
    <w:rsid w:val="00841236"/>
    <w:rsid w:val="008425F8"/>
    <w:rsid w:val="00842A2F"/>
    <w:rsid w:val="00844959"/>
    <w:rsid w:val="008454E1"/>
    <w:rsid w:val="00845B24"/>
    <w:rsid w:val="008475FC"/>
    <w:rsid w:val="00847A5F"/>
    <w:rsid w:val="00850CBC"/>
    <w:rsid w:val="008518C0"/>
    <w:rsid w:val="008530BB"/>
    <w:rsid w:val="0085396B"/>
    <w:rsid w:val="00853D23"/>
    <w:rsid w:val="00855AE7"/>
    <w:rsid w:val="00856566"/>
    <w:rsid w:val="00856D8F"/>
    <w:rsid w:val="008574FD"/>
    <w:rsid w:val="00863CD3"/>
    <w:rsid w:val="008648B4"/>
    <w:rsid w:val="00864AD8"/>
    <w:rsid w:val="00864EE8"/>
    <w:rsid w:val="0086541A"/>
    <w:rsid w:val="008658B1"/>
    <w:rsid w:val="008667FF"/>
    <w:rsid w:val="00866CE5"/>
    <w:rsid w:val="00867928"/>
    <w:rsid w:val="008711FD"/>
    <w:rsid w:val="008712EE"/>
    <w:rsid w:val="0087154B"/>
    <w:rsid w:val="0087367C"/>
    <w:rsid w:val="00874532"/>
    <w:rsid w:val="00874FC5"/>
    <w:rsid w:val="00876003"/>
    <w:rsid w:val="00876115"/>
    <w:rsid w:val="0087685B"/>
    <w:rsid w:val="00876DDE"/>
    <w:rsid w:val="00882D97"/>
    <w:rsid w:val="00883277"/>
    <w:rsid w:val="008837E7"/>
    <w:rsid w:val="0088429E"/>
    <w:rsid w:val="008844B9"/>
    <w:rsid w:val="008847AB"/>
    <w:rsid w:val="00884D33"/>
    <w:rsid w:val="008863D1"/>
    <w:rsid w:val="00891085"/>
    <w:rsid w:val="00892057"/>
    <w:rsid w:val="0089256E"/>
    <w:rsid w:val="0089304F"/>
    <w:rsid w:val="0089315A"/>
    <w:rsid w:val="00896C71"/>
    <w:rsid w:val="00897353"/>
    <w:rsid w:val="00897AC4"/>
    <w:rsid w:val="008A0163"/>
    <w:rsid w:val="008A1723"/>
    <w:rsid w:val="008A1DA1"/>
    <w:rsid w:val="008A201D"/>
    <w:rsid w:val="008A2D5E"/>
    <w:rsid w:val="008A43ED"/>
    <w:rsid w:val="008A43F4"/>
    <w:rsid w:val="008A4468"/>
    <w:rsid w:val="008A5176"/>
    <w:rsid w:val="008A5186"/>
    <w:rsid w:val="008A67F6"/>
    <w:rsid w:val="008A6C9D"/>
    <w:rsid w:val="008A7D55"/>
    <w:rsid w:val="008B0855"/>
    <w:rsid w:val="008B17DD"/>
    <w:rsid w:val="008B1871"/>
    <w:rsid w:val="008B3D97"/>
    <w:rsid w:val="008B5238"/>
    <w:rsid w:val="008B5BD9"/>
    <w:rsid w:val="008B7CB9"/>
    <w:rsid w:val="008C0B5A"/>
    <w:rsid w:val="008C1ACC"/>
    <w:rsid w:val="008C2CF0"/>
    <w:rsid w:val="008C3357"/>
    <w:rsid w:val="008C3446"/>
    <w:rsid w:val="008C35B2"/>
    <w:rsid w:val="008C4EFA"/>
    <w:rsid w:val="008C5D18"/>
    <w:rsid w:val="008C606A"/>
    <w:rsid w:val="008C6104"/>
    <w:rsid w:val="008C671A"/>
    <w:rsid w:val="008C767F"/>
    <w:rsid w:val="008D14CB"/>
    <w:rsid w:val="008D14EA"/>
    <w:rsid w:val="008D333B"/>
    <w:rsid w:val="008D34A0"/>
    <w:rsid w:val="008D38A9"/>
    <w:rsid w:val="008D3D6E"/>
    <w:rsid w:val="008D4553"/>
    <w:rsid w:val="008D5E0C"/>
    <w:rsid w:val="008D6345"/>
    <w:rsid w:val="008D6923"/>
    <w:rsid w:val="008D6ED7"/>
    <w:rsid w:val="008D7589"/>
    <w:rsid w:val="008D7CB9"/>
    <w:rsid w:val="008E01F8"/>
    <w:rsid w:val="008E1FAD"/>
    <w:rsid w:val="008E458E"/>
    <w:rsid w:val="008E4932"/>
    <w:rsid w:val="008E4CF7"/>
    <w:rsid w:val="008E57EB"/>
    <w:rsid w:val="008E6504"/>
    <w:rsid w:val="008E72F5"/>
    <w:rsid w:val="008E77A2"/>
    <w:rsid w:val="008F0717"/>
    <w:rsid w:val="008F248F"/>
    <w:rsid w:val="008F2FC9"/>
    <w:rsid w:val="008F32AD"/>
    <w:rsid w:val="008F39AD"/>
    <w:rsid w:val="008F5DF8"/>
    <w:rsid w:val="008F629D"/>
    <w:rsid w:val="008F6795"/>
    <w:rsid w:val="0090069E"/>
    <w:rsid w:val="00900C3E"/>
    <w:rsid w:val="00901E1D"/>
    <w:rsid w:val="00904172"/>
    <w:rsid w:val="00904F92"/>
    <w:rsid w:val="00905E6A"/>
    <w:rsid w:val="00910898"/>
    <w:rsid w:val="0091092D"/>
    <w:rsid w:val="009111BF"/>
    <w:rsid w:val="0091192F"/>
    <w:rsid w:val="009126C8"/>
    <w:rsid w:val="00913287"/>
    <w:rsid w:val="0091368A"/>
    <w:rsid w:val="009158F1"/>
    <w:rsid w:val="00916FC1"/>
    <w:rsid w:val="009217A3"/>
    <w:rsid w:val="009237B4"/>
    <w:rsid w:val="00926274"/>
    <w:rsid w:val="00926528"/>
    <w:rsid w:val="009301D6"/>
    <w:rsid w:val="00930EC1"/>
    <w:rsid w:val="00931426"/>
    <w:rsid w:val="009337F3"/>
    <w:rsid w:val="00934392"/>
    <w:rsid w:val="009351FD"/>
    <w:rsid w:val="0093651C"/>
    <w:rsid w:val="009373C0"/>
    <w:rsid w:val="00940201"/>
    <w:rsid w:val="009409B6"/>
    <w:rsid w:val="00940AB0"/>
    <w:rsid w:val="00942C25"/>
    <w:rsid w:val="0094361C"/>
    <w:rsid w:val="00943C5E"/>
    <w:rsid w:val="00945233"/>
    <w:rsid w:val="009464F3"/>
    <w:rsid w:val="00947E4C"/>
    <w:rsid w:val="00951E73"/>
    <w:rsid w:val="009520B0"/>
    <w:rsid w:val="009524A5"/>
    <w:rsid w:val="00952543"/>
    <w:rsid w:val="009527AE"/>
    <w:rsid w:val="00952935"/>
    <w:rsid w:val="009547A5"/>
    <w:rsid w:val="009550C7"/>
    <w:rsid w:val="00955295"/>
    <w:rsid w:val="00957142"/>
    <w:rsid w:val="00957953"/>
    <w:rsid w:val="0096085D"/>
    <w:rsid w:val="00960A15"/>
    <w:rsid w:val="00960B5C"/>
    <w:rsid w:val="0096164F"/>
    <w:rsid w:val="00961EE2"/>
    <w:rsid w:val="00962E7A"/>
    <w:rsid w:val="00962EAC"/>
    <w:rsid w:val="0096380D"/>
    <w:rsid w:val="009668E1"/>
    <w:rsid w:val="00966C0D"/>
    <w:rsid w:val="009673E9"/>
    <w:rsid w:val="00972D91"/>
    <w:rsid w:val="00972EA8"/>
    <w:rsid w:val="009730EB"/>
    <w:rsid w:val="00973AA0"/>
    <w:rsid w:val="00973B6C"/>
    <w:rsid w:val="00973F1C"/>
    <w:rsid w:val="00976C09"/>
    <w:rsid w:val="00977501"/>
    <w:rsid w:val="0098143C"/>
    <w:rsid w:val="0098316A"/>
    <w:rsid w:val="009832A7"/>
    <w:rsid w:val="00983B95"/>
    <w:rsid w:val="00985AF8"/>
    <w:rsid w:val="009908A3"/>
    <w:rsid w:val="00994AF2"/>
    <w:rsid w:val="00995D64"/>
    <w:rsid w:val="0099746C"/>
    <w:rsid w:val="009A2A5E"/>
    <w:rsid w:val="009A2FDA"/>
    <w:rsid w:val="009A3463"/>
    <w:rsid w:val="009A4266"/>
    <w:rsid w:val="009A4794"/>
    <w:rsid w:val="009A4E12"/>
    <w:rsid w:val="009A4EE9"/>
    <w:rsid w:val="009A508C"/>
    <w:rsid w:val="009A50EA"/>
    <w:rsid w:val="009A5596"/>
    <w:rsid w:val="009A5744"/>
    <w:rsid w:val="009A5AC8"/>
    <w:rsid w:val="009B08E7"/>
    <w:rsid w:val="009B14FD"/>
    <w:rsid w:val="009B5BBF"/>
    <w:rsid w:val="009B6633"/>
    <w:rsid w:val="009C026F"/>
    <w:rsid w:val="009C099B"/>
    <w:rsid w:val="009C150F"/>
    <w:rsid w:val="009C202F"/>
    <w:rsid w:val="009C273C"/>
    <w:rsid w:val="009C2CCF"/>
    <w:rsid w:val="009C4C14"/>
    <w:rsid w:val="009C5B56"/>
    <w:rsid w:val="009C6041"/>
    <w:rsid w:val="009C6302"/>
    <w:rsid w:val="009C654B"/>
    <w:rsid w:val="009D012F"/>
    <w:rsid w:val="009D13D9"/>
    <w:rsid w:val="009D16FA"/>
    <w:rsid w:val="009D1701"/>
    <w:rsid w:val="009D2797"/>
    <w:rsid w:val="009D2A6B"/>
    <w:rsid w:val="009D2AD6"/>
    <w:rsid w:val="009D2D05"/>
    <w:rsid w:val="009D31AB"/>
    <w:rsid w:val="009D392B"/>
    <w:rsid w:val="009D39D5"/>
    <w:rsid w:val="009D4369"/>
    <w:rsid w:val="009D5C51"/>
    <w:rsid w:val="009D6611"/>
    <w:rsid w:val="009D7FC4"/>
    <w:rsid w:val="009E0952"/>
    <w:rsid w:val="009E1DD5"/>
    <w:rsid w:val="009E279F"/>
    <w:rsid w:val="009E28BD"/>
    <w:rsid w:val="009E2CC7"/>
    <w:rsid w:val="009E4B98"/>
    <w:rsid w:val="009E521D"/>
    <w:rsid w:val="009E7CA4"/>
    <w:rsid w:val="009E7FFA"/>
    <w:rsid w:val="009F0522"/>
    <w:rsid w:val="009F2DFF"/>
    <w:rsid w:val="009F3023"/>
    <w:rsid w:val="009F37E1"/>
    <w:rsid w:val="009F3914"/>
    <w:rsid w:val="009F430B"/>
    <w:rsid w:val="009F53A4"/>
    <w:rsid w:val="009F5D5A"/>
    <w:rsid w:val="00A000FF"/>
    <w:rsid w:val="00A00200"/>
    <w:rsid w:val="00A0068E"/>
    <w:rsid w:val="00A04DAC"/>
    <w:rsid w:val="00A07A4C"/>
    <w:rsid w:val="00A07EF4"/>
    <w:rsid w:val="00A07FCA"/>
    <w:rsid w:val="00A113A1"/>
    <w:rsid w:val="00A11C81"/>
    <w:rsid w:val="00A12038"/>
    <w:rsid w:val="00A12343"/>
    <w:rsid w:val="00A12A13"/>
    <w:rsid w:val="00A146A7"/>
    <w:rsid w:val="00A14A3A"/>
    <w:rsid w:val="00A151C6"/>
    <w:rsid w:val="00A155B4"/>
    <w:rsid w:val="00A15936"/>
    <w:rsid w:val="00A15E4E"/>
    <w:rsid w:val="00A175CE"/>
    <w:rsid w:val="00A20DF6"/>
    <w:rsid w:val="00A20EEE"/>
    <w:rsid w:val="00A21A6C"/>
    <w:rsid w:val="00A22F8B"/>
    <w:rsid w:val="00A247AB"/>
    <w:rsid w:val="00A24A31"/>
    <w:rsid w:val="00A252BD"/>
    <w:rsid w:val="00A256BA"/>
    <w:rsid w:val="00A26AA7"/>
    <w:rsid w:val="00A271D9"/>
    <w:rsid w:val="00A275C2"/>
    <w:rsid w:val="00A307F2"/>
    <w:rsid w:val="00A31E4B"/>
    <w:rsid w:val="00A3798D"/>
    <w:rsid w:val="00A40793"/>
    <w:rsid w:val="00A40EEF"/>
    <w:rsid w:val="00A4310F"/>
    <w:rsid w:val="00A459BD"/>
    <w:rsid w:val="00A463EC"/>
    <w:rsid w:val="00A47BD7"/>
    <w:rsid w:val="00A47C99"/>
    <w:rsid w:val="00A505FE"/>
    <w:rsid w:val="00A52450"/>
    <w:rsid w:val="00A5372B"/>
    <w:rsid w:val="00A56F71"/>
    <w:rsid w:val="00A611D0"/>
    <w:rsid w:val="00A61486"/>
    <w:rsid w:val="00A62447"/>
    <w:rsid w:val="00A624E5"/>
    <w:rsid w:val="00A62534"/>
    <w:rsid w:val="00A636BD"/>
    <w:rsid w:val="00A712F0"/>
    <w:rsid w:val="00A7157A"/>
    <w:rsid w:val="00A718B6"/>
    <w:rsid w:val="00A721D4"/>
    <w:rsid w:val="00A725E2"/>
    <w:rsid w:val="00A740A7"/>
    <w:rsid w:val="00A75258"/>
    <w:rsid w:val="00A76131"/>
    <w:rsid w:val="00A82591"/>
    <w:rsid w:val="00A86E69"/>
    <w:rsid w:val="00A87914"/>
    <w:rsid w:val="00A91BA2"/>
    <w:rsid w:val="00A93146"/>
    <w:rsid w:val="00A96AC6"/>
    <w:rsid w:val="00A96AEE"/>
    <w:rsid w:val="00A96D34"/>
    <w:rsid w:val="00A96F9F"/>
    <w:rsid w:val="00A97FCC"/>
    <w:rsid w:val="00AA08C7"/>
    <w:rsid w:val="00AA0B37"/>
    <w:rsid w:val="00AA1291"/>
    <w:rsid w:val="00AA4C56"/>
    <w:rsid w:val="00AA5629"/>
    <w:rsid w:val="00AA6754"/>
    <w:rsid w:val="00AA69EC"/>
    <w:rsid w:val="00AA738A"/>
    <w:rsid w:val="00AA7881"/>
    <w:rsid w:val="00AA79FD"/>
    <w:rsid w:val="00AA7C01"/>
    <w:rsid w:val="00AB1624"/>
    <w:rsid w:val="00AB1733"/>
    <w:rsid w:val="00AB24DC"/>
    <w:rsid w:val="00AB2B72"/>
    <w:rsid w:val="00AB2D69"/>
    <w:rsid w:val="00AB3733"/>
    <w:rsid w:val="00AB43CF"/>
    <w:rsid w:val="00AB4A6D"/>
    <w:rsid w:val="00AB5BC1"/>
    <w:rsid w:val="00AB6A9D"/>
    <w:rsid w:val="00AB7F00"/>
    <w:rsid w:val="00AC07A1"/>
    <w:rsid w:val="00AC3BBB"/>
    <w:rsid w:val="00AC4A16"/>
    <w:rsid w:val="00AC4DA0"/>
    <w:rsid w:val="00AC5570"/>
    <w:rsid w:val="00AC6B7A"/>
    <w:rsid w:val="00AC6FA2"/>
    <w:rsid w:val="00AD09DB"/>
    <w:rsid w:val="00AD25D8"/>
    <w:rsid w:val="00AD2639"/>
    <w:rsid w:val="00AD380E"/>
    <w:rsid w:val="00AD3D32"/>
    <w:rsid w:val="00AD43FC"/>
    <w:rsid w:val="00AD4494"/>
    <w:rsid w:val="00AD62AC"/>
    <w:rsid w:val="00AD6A26"/>
    <w:rsid w:val="00AE007D"/>
    <w:rsid w:val="00AE0A4F"/>
    <w:rsid w:val="00AE12EA"/>
    <w:rsid w:val="00AE25AA"/>
    <w:rsid w:val="00AE38C5"/>
    <w:rsid w:val="00AE4001"/>
    <w:rsid w:val="00AE56F1"/>
    <w:rsid w:val="00AE5D14"/>
    <w:rsid w:val="00AE6422"/>
    <w:rsid w:val="00AE65B9"/>
    <w:rsid w:val="00AF1025"/>
    <w:rsid w:val="00AF13E9"/>
    <w:rsid w:val="00AF25BB"/>
    <w:rsid w:val="00AF31A0"/>
    <w:rsid w:val="00AF5769"/>
    <w:rsid w:val="00AF58B2"/>
    <w:rsid w:val="00AF58D5"/>
    <w:rsid w:val="00B021B1"/>
    <w:rsid w:val="00B03039"/>
    <w:rsid w:val="00B033DF"/>
    <w:rsid w:val="00B050A3"/>
    <w:rsid w:val="00B05DF7"/>
    <w:rsid w:val="00B06D96"/>
    <w:rsid w:val="00B107F8"/>
    <w:rsid w:val="00B10A15"/>
    <w:rsid w:val="00B12D50"/>
    <w:rsid w:val="00B134DF"/>
    <w:rsid w:val="00B13D97"/>
    <w:rsid w:val="00B15FD9"/>
    <w:rsid w:val="00B16936"/>
    <w:rsid w:val="00B16E3F"/>
    <w:rsid w:val="00B16F77"/>
    <w:rsid w:val="00B1729E"/>
    <w:rsid w:val="00B20D30"/>
    <w:rsid w:val="00B21758"/>
    <w:rsid w:val="00B21DDB"/>
    <w:rsid w:val="00B224D3"/>
    <w:rsid w:val="00B23C9B"/>
    <w:rsid w:val="00B269B1"/>
    <w:rsid w:val="00B27A18"/>
    <w:rsid w:val="00B27E26"/>
    <w:rsid w:val="00B307A7"/>
    <w:rsid w:val="00B309F0"/>
    <w:rsid w:val="00B30C38"/>
    <w:rsid w:val="00B30F18"/>
    <w:rsid w:val="00B311E0"/>
    <w:rsid w:val="00B324EE"/>
    <w:rsid w:val="00B32A7F"/>
    <w:rsid w:val="00B33957"/>
    <w:rsid w:val="00B35B33"/>
    <w:rsid w:val="00B370DC"/>
    <w:rsid w:val="00B371E0"/>
    <w:rsid w:val="00B375EE"/>
    <w:rsid w:val="00B402C9"/>
    <w:rsid w:val="00B41C1C"/>
    <w:rsid w:val="00B42B7F"/>
    <w:rsid w:val="00B43610"/>
    <w:rsid w:val="00B43BB6"/>
    <w:rsid w:val="00B4411E"/>
    <w:rsid w:val="00B44DD3"/>
    <w:rsid w:val="00B4582F"/>
    <w:rsid w:val="00B4607C"/>
    <w:rsid w:val="00B46C3E"/>
    <w:rsid w:val="00B47B72"/>
    <w:rsid w:val="00B47D5E"/>
    <w:rsid w:val="00B50189"/>
    <w:rsid w:val="00B50292"/>
    <w:rsid w:val="00B51946"/>
    <w:rsid w:val="00B524B5"/>
    <w:rsid w:val="00B52786"/>
    <w:rsid w:val="00B53DB2"/>
    <w:rsid w:val="00B5441C"/>
    <w:rsid w:val="00B54DF6"/>
    <w:rsid w:val="00B5694F"/>
    <w:rsid w:val="00B60D2C"/>
    <w:rsid w:val="00B630AD"/>
    <w:rsid w:val="00B649F2"/>
    <w:rsid w:val="00B65178"/>
    <w:rsid w:val="00B655A5"/>
    <w:rsid w:val="00B66A08"/>
    <w:rsid w:val="00B675A1"/>
    <w:rsid w:val="00B700D1"/>
    <w:rsid w:val="00B706FD"/>
    <w:rsid w:val="00B71C41"/>
    <w:rsid w:val="00B71EF0"/>
    <w:rsid w:val="00B71F50"/>
    <w:rsid w:val="00B729AE"/>
    <w:rsid w:val="00B72E77"/>
    <w:rsid w:val="00B73649"/>
    <w:rsid w:val="00B74C6F"/>
    <w:rsid w:val="00B7645B"/>
    <w:rsid w:val="00B76843"/>
    <w:rsid w:val="00B812D8"/>
    <w:rsid w:val="00B82A66"/>
    <w:rsid w:val="00B82F08"/>
    <w:rsid w:val="00B83098"/>
    <w:rsid w:val="00B847FC"/>
    <w:rsid w:val="00B84AF0"/>
    <w:rsid w:val="00B84B50"/>
    <w:rsid w:val="00B85ED7"/>
    <w:rsid w:val="00B902FD"/>
    <w:rsid w:val="00B91ADB"/>
    <w:rsid w:val="00B9288A"/>
    <w:rsid w:val="00B928D8"/>
    <w:rsid w:val="00B92963"/>
    <w:rsid w:val="00B936E7"/>
    <w:rsid w:val="00B936F9"/>
    <w:rsid w:val="00B94F86"/>
    <w:rsid w:val="00B950F4"/>
    <w:rsid w:val="00B977AB"/>
    <w:rsid w:val="00BA038B"/>
    <w:rsid w:val="00BA0CD7"/>
    <w:rsid w:val="00BA2928"/>
    <w:rsid w:val="00BA2E5C"/>
    <w:rsid w:val="00BA304D"/>
    <w:rsid w:val="00BA3196"/>
    <w:rsid w:val="00BA45CA"/>
    <w:rsid w:val="00BA4700"/>
    <w:rsid w:val="00BA4907"/>
    <w:rsid w:val="00BA5456"/>
    <w:rsid w:val="00BA5910"/>
    <w:rsid w:val="00BA5AD6"/>
    <w:rsid w:val="00BA5C5F"/>
    <w:rsid w:val="00BA602C"/>
    <w:rsid w:val="00BA6B62"/>
    <w:rsid w:val="00BB1015"/>
    <w:rsid w:val="00BB1028"/>
    <w:rsid w:val="00BB1886"/>
    <w:rsid w:val="00BB3474"/>
    <w:rsid w:val="00BB36EB"/>
    <w:rsid w:val="00BB377E"/>
    <w:rsid w:val="00BB5A32"/>
    <w:rsid w:val="00BB6503"/>
    <w:rsid w:val="00BB673F"/>
    <w:rsid w:val="00BB67B6"/>
    <w:rsid w:val="00BB69FD"/>
    <w:rsid w:val="00BB7632"/>
    <w:rsid w:val="00BC0558"/>
    <w:rsid w:val="00BC18C8"/>
    <w:rsid w:val="00BC3503"/>
    <w:rsid w:val="00BC3563"/>
    <w:rsid w:val="00BC528E"/>
    <w:rsid w:val="00BC6828"/>
    <w:rsid w:val="00BC6BC7"/>
    <w:rsid w:val="00BC6CF6"/>
    <w:rsid w:val="00BC6E27"/>
    <w:rsid w:val="00BC79D4"/>
    <w:rsid w:val="00BD0D98"/>
    <w:rsid w:val="00BD178D"/>
    <w:rsid w:val="00BD2DBF"/>
    <w:rsid w:val="00BD39AC"/>
    <w:rsid w:val="00BD3C3E"/>
    <w:rsid w:val="00BD435F"/>
    <w:rsid w:val="00BD4574"/>
    <w:rsid w:val="00BD4A4B"/>
    <w:rsid w:val="00BD4A8B"/>
    <w:rsid w:val="00BD53F4"/>
    <w:rsid w:val="00BD6929"/>
    <w:rsid w:val="00BD6D3D"/>
    <w:rsid w:val="00BD7CCD"/>
    <w:rsid w:val="00BE1711"/>
    <w:rsid w:val="00BE3D09"/>
    <w:rsid w:val="00BE76AC"/>
    <w:rsid w:val="00BF1633"/>
    <w:rsid w:val="00BF2530"/>
    <w:rsid w:val="00BF2B16"/>
    <w:rsid w:val="00BF2E3A"/>
    <w:rsid w:val="00BF35CC"/>
    <w:rsid w:val="00BF41B8"/>
    <w:rsid w:val="00BF4FFC"/>
    <w:rsid w:val="00BF75C4"/>
    <w:rsid w:val="00BF75F5"/>
    <w:rsid w:val="00BF7B8A"/>
    <w:rsid w:val="00C01441"/>
    <w:rsid w:val="00C02029"/>
    <w:rsid w:val="00C02E38"/>
    <w:rsid w:val="00C043F4"/>
    <w:rsid w:val="00C049FF"/>
    <w:rsid w:val="00C04D7B"/>
    <w:rsid w:val="00C05F3B"/>
    <w:rsid w:val="00C06623"/>
    <w:rsid w:val="00C070A0"/>
    <w:rsid w:val="00C1026B"/>
    <w:rsid w:val="00C12302"/>
    <w:rsid w:val="00C12878"/>
    <w:rsid w:val="00C13098"/>
    <w:rsid w:val="00C13671"/>
    <w:rsid w:val="00C13E8E"/>
    <w:rsid w:val="00C15487"/>
    <w:rsid w:val="00C16731"/>
    <w:rsid w:val="00C16CD6"/>
    <w:rsid w:val="00C179EA"/>
    <w:rsid w:val="00C24874"/>
    <w:rsid w:val="00C24BFA"/>
    <w:rsid w:val="00C24C29"/>
    <w:rsid w:val="00C2522E"/>
    <w:rsid w:val="00C270A4"/>
    <w:rsid w:val="00C2725E"/>
    <w:rsid w:val="00C2787A"/>
    <w:rsid w:val="00C30ED8"/>
    <w:rsid w:val="00C323B6"/>
    <w:rsid w:val="00C33165"/>
    <w:rsid w:val="00C33404"/>
    <w:rsid w:val="00C33703"/>
    <w:rsid w:val="00C34E2B"/>
    <w:rsid w:val="00C36459"/>
    <w:rsid w:val="00C3689E"/>
    <w:rsid w:val="00C36F27"/>
    <w:rsid w:val="00C375A0"/>
    <w:rsid w:val="00C3771F"/>
    <w:rsid w:val="00C40266"/>
    <w:rsid w:val="00C408C2"/>
    <w:rsid w:val="00C41090"/>
    <w:rsid w:val="00C41559"/>
    <w:rsid w:val="00C41735"/>
    <w:rsid w:val="00C41901"/>
    <w:rsid w:val="00C419F2"/>
    <w:rsid w:val="00C441D6"/>
    <w:rsid w:val="00C442CE"/>
    <w:rsid w:val="00C44D30"/>
    <w:rsid w:val="00C464EA"/>
    <w:rsid w:val="00C50C45"/>
    <w:rsid w:val="00C52D16"/>
    <w:rsid w:val="00C5394A"/>
    <w:rsid w:val="00C53D7E"/>
    <w:rsid w:val="00C53DA0"/>
    <w:rsid w:val="00C54D75"/>
    <w:rsid w:val="00C56791"/>
    <w:rsid w:val="00C60951"/>
    <w:rsid w:val="00C61040"/>
    <w:rsid w:val="00C61C8F"/>
    <w:rsid w:val="00C61DB4"/>
    <w:rsid w:val="00C61E86"/>
    <w:rsid w:val="00C62459"/>
    <w:rsid w:val="00C63D6B"/>
    <w:rsid w:val="00C64B33"/>
    <w:rsid w:val="00C64F3D"/>
    <w:rsid w:val="00C6671E"/>
    <w:rsid w:val="00C67247"/>
    <w:rsid w:val="00C67E7D"/>
    <w:rsid w:val="00C700CC"/>
    <w:rsid w:val="00C70A16"/>
    <w:rsid w:val="00C71D4C"/>
    <w:rsid w:val="00C72688"/>
    <w:rsid w:val="00C75273"/>
    <w:rsid w:val="00C75F8F"/>
    <w:rsid w:val="00C761B1"/>
    <w:rsid w:val="00C76F9C"/>
    <w:rsid w:val="00C77EBC"/>
    <w:rsid w:val="00C81A54"/>
    <w:rsid w:val="00C82B55"/>
    <w:rsid w:val="00C845BF"/>
    <w:rsid w:val="00C849E6"/>
    <w:rsid w:val="00C87188"/>
    <w:rsid w:val="00C877E4"/>
    <w:rsid w:val="00C909B6"/>
    <w:rsid w:val="00C91C80"/>
    <w:rsid w:val="00C93878"/>
    <w:rsid w:val="00C9583A"/>
    <w:rsid w:val="00C96247"/>
    <w:rsid w:val="00CA042E"/>
    <w:rsid w:val="00CA109F"/>
    <w:rsid w:val="00CA2251"/>
    <w:rsid w:val="00CA28A2"/>
    <w:rsid w:val="00CA28B3"/>
    <w:rsid w:val="00CA28DC"/>
    <w:rsid w:val="00CA29E6"/>
    <w:rsid w:val="00CA397C"/>
    <w:rsid w:val="00CA4721"/>
    <w:rsid w:val="00CB0207"/>
    <w:rsid w:val="00CB08A5"/>
    <w:rsid w:val="00CB09D9"/>
    <w:rsid w:val="00CB0ABC"/>
    <w:rsid w:val="00CB29D8"/>
    <w:rsid w:val="00CB2DA0"/>
    <w:rsid w:val="00CB351C"/>
    <w:rsid w:val="00CB3A0A"/>
    <w:rsid w:val="00CB4796"/>
    <w:rsid w:val="00CB528B"/>
    <w:rsid w:val="00CC020C"/>
    <w:rsid w:val="00CC0CAE"/>
    <w:rsid w:val="00CC2D4F"/>
    <w:rsid w:val="00CC3BAC"/>
    <w:rsid w:val="00CC4218"/>
    <w:rsid w:val="00CC45C8"/>
    <w:rsid w:val="00CC46A2"/>
    <w:rsid w:val="00CC6ADB"/>
    <w:rsid w:val="00CC76F1"/>
    <w:rsid w:val="00CD1361"/>
    <w:rsid w:val="00CD2074"/>
    <w:rsid w:val="00CD511D"/>
    <w:rsid w:val="00CD52B0"/>
    <w:rsid w:val="00CD7C3D"/>
    <w:rsid w:val="00CE154C"/>
    <w:rsid w:val="00CE1926"/>
    <w:rsid w:val="00CE2415"/>
    <w:rsid w:val="00CE30E4"/>
    <w:rsid w:val="00CE334A"/>
    <w:rsid w:val="00CE3415"/>
    <w:rsid w:val="00CE349A"/>
    <w:rsid w:val="00CE3670"/>
    <w:rsid w:val="00CE3BAA"/>
    <w:rsid w:val="00CE3C2A"/>
    <w:rsid w:val="00CE5094"/>
    <w:rsid w:val="00CE5A79"/>
    <w:rsid w:val="00CE7AFB"/>
    <w:rsid w:val="00CE7B5E"/>
    <w:rsid w:val="00CF01A5"/>
    <w:rsid w:val="00CF0300"/>
    <w:rsid w:val="00CF12FA"/>
    <w:rsid w:val="00CF3335"/>
    <w:rsid w:val="00CF3551"/>
    <w:rsid w:val="00CF4195"/>
    <w:rsid w:val="00CF6137"/>
    <w:rsid w:val="00D00B6F"/>
    <w:rsid w:val="00D0116F"/>
    <w:rsid w:val="00D01CE1"/>
    <w:rsid w:val="00D02DF7"/>
    <w:rsid w:val="00D1042B"/>
    <w:rsid w:val="00D11701"/>
    <w:rsid w:val="00D12013"/>
    <w:rsid w:val="00D1219D"/>
    <w:rsid w:val="00D12C95"/>
    <w:rsid w:val="00D1663C"/>
    <w:rsid w:val="00D169C8"/>
    <w:rsid w:val="00D16AD8"/>
    <w:rsid w:val="00D17E8F"/>
    <w:rsid w:val="00D20C9E"/>
    <w:rsid w:val="00D22194"/>
    <w:rsid w:val="00D224B5"/>
    <w:rsid w:val="00D22A51"/>
    <w:rsid w:val="00D24A16"/>
    <w:rsid w:val="00D270D6"/>
    <w:rsid w:val="00D27368"/>
    <w:rsid w:val="00D276EB"/>
    <w:rsid w:val="00D30389"/>
    <w:rsid w:val="00D30E62"/>
    <w:rsid w:val="00D32614"/>
    <w:rsid w:val="00D32E93"/>
    <w:rsid w:val="00D33699"/>
    <w:rsid w:val="00D33C1E"/>
    <w:rsid w:val="00D34417"/>
    <w:rsid w:val="00D36D44"/>
    <w:rsid w:val="00D408CF"/>
    <w:rsid w:val="00D40A42"/>
    <w:rsid w:val="00D40C69"/>
    <w:rsid w:val="00D41570"/>
    <w:rsid w:val="00D416B5"/>
    <w:rsid w:val="00D42D33"/>
    <w:rsid w:val="00D4696F"/>
    <w:rsid w:val="00D469E5"/>
    <w:rsid w:val="00D47EB3"/>
    <w:rsid w:val="00D50C9B"/>
    <w:rsid w:val="00D53551"/>
    <w:rsid w:val="00D53DDC"/>
    <w:rsid w:val="00D53EE1"/>
    <w:rsid w:val="00D54707"/>
    <w:rsid w:val="00D54E53"/>
    <w:rsid w:val="00D55E38"/>
    <w:rsid w:val="00D56574"/>
    <w:rsid w:val="00D56F42"/>
    <w:rsid w:val="00D57998"/>
    <w:rsid w:val="00D60AA1"/>
    <w:rsid w:val="00D60C87"/>
    <w:rsid w:val="00D6157F"/>
    <w:rsid w:val="00D61F12"/>
    <w:rsid w:val="00D62FF4"/>
    <w:rsid w:val="00D63342"/>
    <w:rsid w:val="00D65F11"/>
    <w:rsid w:val="00D6737B"/>
    <w:rsid w:val="00D6784E"/>
    <w:rsid w:val="00D70215"/>
    <w:rsid w:val="00D70878"/>
    <w:rsid w:val="00D71AFB"/>
    <w:rsid w:val="00D7401D"/>
    <w:rsid w:val="00D7518E"/>
    <w:rsid w:val="00D75499"/>
    <w:rsid w:val="00D7654F"/>
    <w:rsid w:val="00D76B3D"/>
    <w:rsid w:val="00D8289D"/>
    <w:rsid w:val="00D84085"/>
    <w:rsid w:val="00D84503"/>
    <w:rsid w:val="00D84FE4"/>
    <w:rsid w:val="00D850AF"/>
    <w:rsid w:val="00D8553F"/>
    <w:rsid w:val="00D8596C"/>
    <w:rsid w:val="00D8605E"/>
    <w:rsid w:val="00D86AAD"/>
    <w:rsid w:val="00D908BD"/>
    <w:rsid w:val="00D90CCB"/>
    <w:rsid w:val="00D90CF9"/>
    <w:rsid w:val="00D90D0E"/>
    <w:rsid w:val="00D92130"/>
    <w:rsid w:val="00D92734"/>
    <w:rsid w:val="00D96472"/>
    <w:rsid w:val="00D967A0"/>
    <w:rsid w:val="00D9758E"/>
    <w:rsid w:val="00D97EA9"/>
    <w:rsid w:val="00DA1D76"/>
    <w:rsid w:val="00DA20DF"/>
    <w:rsid w:val="00DA2157"/>
    <w:rsid w:val="00DA2FB5"/>
    <w:rsid w:val="00DA3F34"/>
    <w:rsid w:val="00DA40E9"/>
    <w:rsid w:val="00DA6175"/>
    <w:rsid w:val="00DA6E61"/>
    <w:rsid w:val="00DA78DB"/>
    <w:rsid w:val="00DA7EC9"/>
    <w:rsid w:val="00DB0143"/>
    <w:rsid w:val="00DB0ED3"/>
    <w:rsid w:val="00DB1ED0"/>
    <w:rsid w:val="00DB364C"/>
    <w:rsid w:val="00DB394D"/>
    <w:rsid w:val="00DB58E9"/>
    <w:rsid w:val="00DB592C"/>
    <w:rsid w:val="00DC011A"/>
    <w:rsid w:val="00DC01DB"/>
    <w:rsid w:val="00DC05D6"/>
    <w:rsid w:val="00DC1D35"/>
    <w:rsid w:val="00DC1DC6"/>
    <w:rsid w:val="00DC1F86"/>
    <w:rsid w:val="00DC35E5"/>
    <w:rsid w:val="00DC5631"/>
    <w:rsid w:val="00DC5A43"/>
    <w:rsid w:val="00DC5C1B"/>
    <w:rsid w:val="00DC6012"/>
    <w:rsid w:val="00DC7CFE"/>
    <w:rsid w:val="00DD17F8"/>
    <w:rsid w:val="00DD3154"/>
    <w:rsid w:val="00DD3861"/>
    <w:rsid w:val="00DD3F5C"/>
    <w:rsid w:val="00DD50DA"/>
    <w:rsid w:val="00DD59B4"/>
    <w:rsid w:val="00DD5D47"/>
    <w:rsid w:val="00DD6183"/>
    <w:rsid w:val="00DD665C"/>
    <w:rsid w:val="00DE0077"/>
    <w:rsid w:val="00DE04D0"/>
    <w:rsid w:val="00DE08B6"/>
    <w:rsid w:val="00DE0AF1"/>
    <w:rsid w:val="00DE1403"/>
    <w:rsid w:val="00DE2156"/>
    <w:rsid w:val="00DE35B0"/>
    <w:rsid w:val="00DE39E0"/>
    <w:rsid w:val="00DE404E"/>
    <w:rsid w:val="00DE4C72"/>
    <w:rsid w:val="00DE5276"/>
    <w:rsid w:val="00DE575A"/>
    <w:rsid w:val="00DE5B63"/>
    <w:rsid w:val="00DE6178"/>
    <w:rsid w:val="00DE7081"/>
    <w:rsid w:val="00DE7810"/>
    <w:rsid w:val="00DE7EE1"/>
    <w:rsid w:val="00DF052B"/>
    <w:rsid w:val="00DF0C54"/>
    <w:rsid w:val="00DF1B77"/>
    <w:rsid w:val="00DF2B61"/>
    <w:rsid w:val="00DF3D6F"/>
    <w:rsid w:val="00DF5E40"/>
    <w:rsid w:val="00DF6160"/>
    <w:rsid w:val="00DF6AC8"/>
    <w:rsid w:val="00E001D5"/>
    <w:rsid w:val="00E0041A"/>
    <w:rsid w:val="00E0074F"/>
    <w:rsid w:val="00E0165D"/>
    <w:rsid w:val="00E02D49"/>
    <w:rsid w:val="00E02E7E"/>
    <w:rsid w:val="00E03F71"/>
    <w:rsid w:val="00E043DC"/>
    <w:rsid w:val="00E04A1E"/>
    <w:rsid w:val="00E04F72"/>
    <w:rsid w:val="00E0532E"/>
    <w:rsid w:val="00E0633C"/>
    <w:rsid w:val="00E0666F"/>
    <w:rsid w:val="00E06AEB"/>
    <w:rsid w:val="00E075C7"/>
    <w:rsid w:val="00E10A7B"/>
    <w:rsid w:val="00E1255F"/>
    <w:rsid w:val="00E1281F"/>
    <w:rsid w:val="00E13070"/>
    <w:rsid w:val="00E13F24"/>
    <w:rsid w:val="00E14AD4"/>
    <w:rsid w:val="00E15DD3"/>
    <w:rsid w:val="00E173FB"/>
    <w:rsid w:val="00E1745C"/>
    <w:rsid w:val="00E2038E"/>
    <w:rsid w:val="00E20705"/>
    <w:rsid w:val="00E21B16"/>
    <w:rsid w:val="00E22216"/>
    <w:rsid w:val="00E23B5C"/>
    <w:rsid w:val="00E240DF"/>
    <w:rsid w:val="00E2628E"/>
    <w:rsid w:val="00E26825"/>
    <w:rsid w:val="00E26F6D"/>
    <w:rsid w:val="00E27194"/>
    <w:rsid w:val="00E27548"/>
    <w:rsid w:val="00E316F1"/>
    <w:rsid w:val="00E31E9D"/>
    <w:rsid w:val="00E33439"/>
    <w:rsid w:val="00E3446D"/>
    <w:rsid w:val="00E4012B"/>
    <w:rsid w:val="00E406AE"/>
    <w:rsid w:val="00E414BC"/>
    <w:rsid w:val="00E44B88"/>
    <w:rsid w:val="00E44BF1"/>
    <w:rsid w:val="00E45334"/>
    <w:rsid w:val="00E4564D"/>
    <w:rsid w:val="00E46274"/>
    <w:rsid w:val="00E52613"/>
    <w:rsid w:val="00E52FE2"/>
    <w:rsid w:val="00E538DA"/>
    <w:rsid w:val="00E53A48"/>
    <w:rsid w:val="00E54CFE"/>
    <w:rsid w:val="00E56877"/>
    <w:rsid w:val="00E570B0"/>
    <w:rsid w:val="00E572B6"/>
    <w:rsid w:val="00E57384"/>
    <w:rsid w:val="00E579C1"/>
    <w:rsid w:val="00E601E2"/>
    <w:rsid w:val="00E6069E"/>
    <w:rsid w:val="00E61D4B"/>
    <w:rsid w:val="00E62A17"/>
    <w:rsid w:val="00E644AD"/>
    <w:rsid w:val="00E644D7"/>
    <w:rsid w:val="00E65B11"/>
    <w:rsid w:val="00E668F4"/>
    <w:rsid w:val="00E67279"/>
    <w:rsid w:val="00E67A80"/>
    <w:rsid w:val="00E7238C"/>
    <w:rsid w:val="00E724AC"/>
    <w:rsid w:val="00E726C7"/>
    <w:rsid w:val="00E72B07"/>
    <w:rsid w:val="00E72FE7"/>
    <w:rsid w:val="00E73BEB"/>
    <w:rsid w:val="00E73F3F"/>
    <w:rsid w:val="00E7478E"/>
    <w:rsid w:val="00E748CA"/>
    <w:rsid w:val="00E74FC8"/>
    <w:rsid w:val="00E7547D"/>
    <w:rsid w:val="00E75521"/>
    <w:rsid w:val="00E76908"/>
    <w:rsid w:val="00E82F01"/>
    <w:rsid w:val="00E8308C"/>
    <w:rsid w:val="00E84F3A"/>
    <w:rsid w:val="00E85571"/>
    <w:rsid w:val="00E863D3"/>
    <w:rsid w:val="00E87239"/>
    <w:rsid w:val="00E87941"/>
    <w:rsid w:val="00E90234"/>
    <w:rsid w:val="00E90538"/>
    <w:rsid w:val="00E90F35"/>
    <w:rsid w:val="00E91B31"/>
    <w:rsid w:val="00E91DDD"/>
    <w:rsid w:val="00E91E3D"/>
    <w:rsid w:val="00E92072"/>
    <w:rsid w:val="00E93D1E"/>
    <w:rsid w:val="00E9431D"/>
    <w:rsid w:val="00E95187"/>
    <w:rsid w:val="00EA05E0"/>
    <w:rsid w:val="00EA070E"/>
    <w:rsid w:val="00EA0F04"/>
    <w:rsid w:val="00EA175A"/>
    <w:rsid w:val="00EA27CF"/>
    <w:rsid w:val="00EA2BCE"/>
    <w:rsid w:val="00EB00C5"/>
    <w:rsid w:val="00EB1E6F"/>
    <w:rsid w:val="00EB1E8F"/>
    <w:rsid w:val="00EB318F"/>
    <w:rsid w:val="00EB3A8F"/>
    <w:rsid w:val="00EB4FCF"/>
    <w:rsid w:val="00EB6BB2"/>
    <w:rsid w:val="00EB7033"/>
    <w:rsid w:val="00EC0091"/>
    <w:rsid w:val="00EC0676"/>
    <w:rsid w:val="00EC0C82"/>
    <w:rsid w:val="00EC13E6"/>
    <w:rsid w:val="00EC1BBA"/>
    <w:rsid w:val="00EC2CBB"/>
    <w:rsid w:val="00EC3A53"/>
    <w:rsid w:val="00EC4749"/>
    <w:rsid w:val="00EC5E06"/>
    <w:rsid w:val="00EC6419"/>
    <w:rsid w:val="00EC70D7"/>
    <w:rsid w:val="00EC7363"/>
    <w:rsid w:val="00ED0DD4"/>
    <w:rsid w:val="00ED0ED1"/>
    <w:rsid w:val="00ED3BCC"/>
    <w:rsid w:val="00ED522E"/>
    <w:rsid w:val="00ED6171"/>
    <w:rsid w:val="00ED699E"/>
    <w:rsid w:val="00ED6E19"/>
    <w:rsid w:val="00ED73D4"/>
    <w:rsid w:val="00EE12A7"/>
    <w:rsid w:val="00EE1D2A"/>
    <w:rsid w:val="00EE5295"/>
    <w:rsid w:val="00EE7167"/>
    <w:rsid w:val="00EE7BC9"/>
    <w:rsid w:val="00EF01F7"/>
    <w:rsid w:val="00EF1CF7"/>
    <w:rsid w:val="00EF21C0"/>
    <w:rsid w:val="00EF2458"/>
    <w:rsid w:val="00EF3053"/>
    <w:rsid w:val="00EF30F8"/>
    <w:rsid w:val="00EF6D82"/>
    <w:rsid w:val="00EF6F94"/>
    <w:rsid w:val="00F0037C"/>
    <w:rsid w:val="00F00C21"/>
    <w:rsid w:val="00F013CC"/>
    <w:rsid w:val="00F02060"/>
    <w:rsid w:val="00F032CE"/>
    <w:rsid w:val="00F035A1"/>
    <w:rsid w:val="00F03990"/>
    <w:rsid w:val="00F03DE6"/>
    <w:rsid w:val="00F07E1E"/>
    <w:rsid w:val="00F116FC"/>
    <w:rsid w:val="00F11E68"/>
    <w:rsid w:val="00F126E5"/>
    <w:rsid w:val="00F133AF"/>
    <w:rsid w:val="00F13A0C"/>
    <w:rsid w:val="00F14FCE"/>
    <w:rsid w:val="00F1591A"/>
    <w:rsid w:val="00F16590"/>
    <w:rsid w:val="00F16681"/>
    <w:rsid w:val="00F16DDD"/>
    <w:rsid w:val="00F172E9"/>
    <w:rsid w:val="00F173F1"/>
    <w:rsid w:val="00F22CCA"/>
    <w:rsid w:val="00F22D8F"/>
    <w:rsid w:val="00F244D9"/>
    <w:rsid w:val="00F244E1"/>
    <w:rsid w:val="00F25626"/>
    <w:rsid w:val="00F25A5D"/>
    <w:rsid w:val="00F27223"/>
    <w:rsid w:val="00F306C9"/>
    <w:rsid w:val="00F30AEB"/>
    <w:rsid w:val="00F32842"/>
    <w:rsid w:val="00F3352D"/>
    <w:rsid w:val="00F34F16"/>
    <w:rsid w:val="00F3518F"/>
    <w:rsid w:val="00F36FAB"/>
    <w:rsid w:val="00F4250E"/>
    <w:rsid w:val="00F4438F"/>
    <w:rsid w:val="00F4442A"/>
    <w:rsid w:val="00F44C19"/>
    <w:rsid w:val="00F45407"/>
    <w:rsid w:val="00F46039"/>
    <w:rsid w:val="00F463DA"/>
    <w:rsid w:val="00F47DD6"/>
    <w:rsid w:val="00F503CE"/>
    <w:rsid w:val="00F5041A"/>
    <w:rsid w:val="00F51013"/>
    <w:rsid w:val="00F51588"/>
    <w:rsid w:val="00F51ADD"/>
    <w:rsid w:val="00F534F7"/>
    <w:rsid w:val="00F54869"/>
    <w:rsid w:val="00F559EB"/>
    <w:rsid w:val="00F55D41"/>
    <w:rsid w:val="00F56096"/>
    <w:rsid w:val="00F56D36"/>
    <w:rsid w:val="00F56FD2"/>
    <w:rsid w:val="00F600ED"/>
    <w:rsid w:val="00F60839"/>
    <w:rsid w:val="00F60A9B"/>
    <w:rsid w:val="00F61B75"/>
    <w:rsid w:val="00F644BD"/>
    <w:rsid w:val="00F64765"/>
    <w:rsid w:val="00F66715"/>
    <w:rsid w:val="00F67509"/>
    <w:rsid w:val="00F6790E"/>
    <w:rsid w:val="00F67C18"/>
    <w:rsid w:val="00F73339"/>
    <w:rsid w:val="00F74D33"/>
    <w:rsid w:val="00F75511"/>
    <w:rsid w:val="00F75943"/>
    <w:rsid w:val="00F76747"/>
    <w:rsid w:val="00F802CD"/>
    <w:rsid w:val="00F804E0"/>
    <w:rsid w:val="00F80E65"/>
    <w:rsid w:val="00F83141"/>
    <w:rsid w:val="00F8381A"/>
    <w:rsid w:val="00F83833"/>
    <w:rsid w:val="00F84FDD"/>
    <w:rsid w:val="00F90401"/>
    <w:rsid w:val="00F930A6"/>
    <w:rsid w:val="00F930EB"/>
    <w:rsid w:val="00F93F39"/>
    <w:rsid w:val="00F94DD8"/>
    <w:rsid w:val="00F951A3"/>
    <w:rsid w:val="00F95843"/>
    <w:rsid w:val="00F962C6"/>
    <w:rsid w:val="00F9691C"/>
    <w:rsid w:val="00F975AA"/>
    <w:rsid w:val="00FA2979"/>
    <w:rsid w:val="00FA2B34"/>
    <w:rsid w:val="00FA3333"/>
    <w:rsid w:val="00FA3ACB"/>
    <w:rsid w:val="00FA530A"/>
    <w:rsid w:val="00FA57A2"/>
    <w:rsid w:val="00FA5A21"/>
    <w:rsid w:val="00FA6789"/>
    <w:rsid w:val="00FA6CD1"/>
    <w:rsid w:val="00FA7115"/>
    <w:rsid w:val="00FA74CC"/>
    <w:rsid w:val="00FB0D32"/>
    <w:rsid w:val="00FB1617"/>
    <w:rsid w:val="00FB16E5"/>
    <w:rsid w:val="00FB2600"/>
    <w:rsid w:val="00FB30FD"/>
    <w:rsid w:val="00FB3209"/>
    <w:rsid w:val="00FB37B1"/>
    <w:rsid w:val="00FB4AC2"/>
    <w:rsid w:val="00FB4DD9"/>
    <w:rsid w:val="00FB5DE4"/>
    <w:rsid w:val="00FB7558"/>
    <w:rsid w:val="00FC078C"/>
    <w:rsid w:val="00FC0B21"/>
    <w:rsid w:val="00FC0EB5"/>
    <w:rsid w:val="00FC19EF"/>
    <w:rsid w:val="00FC1CA7"/>
    <w:rsid w:val="00FC228A"/>
    <w:rsid w:val="00FC2771"/>
    <w:rsid w:val="00FC3C19"/>
    <w:rsid w:val="00FC575D"/>
    <w:rsid w:val="00FC5BB3"/>
    <w:rsid w:val="00FC6BE0"/>
    <w:rsid w:val="00FC7CB2"/>
    <w:rsid w:val="00FD0453"/>
    <w:rsid w:val="00FD3401"/>
    <w:rsid w:val="00FD6546"/>
    <w:rsid w:val="00FD6D0E"/>
    <w:rsid w:val="00FD7F53"/>
    <w:rsid w:val="00FE0737"/>
    <w:rsid w:val="00FE2432"/>
    <w:rsid w:val="00FE2F4D"/>
    <w:rsid w:val="00FE347B"/>
    <w:rsid w:val="00FE362C"/>
    <w:rsid w:val="00FE41E6"/>
    <w:rsid w:val="00FE4A92"/>
    <w:rsid w:val="00FE5DFB"/>
    <w:rsid w:val="00FE6CBD"/>
    <w:rsid w:val="00FE6F83"/>
    <w:rsid w:val="00FF0B58"/>
    <w:rsid w:val="00FF2B29"/>
    <w:rsid w:val="00FF31D8"/>
    <w:rsid w:val="00FF373C"/>
    <w:rsid w:val="00FF3A58"/>
    <w:rsid w:val="00FF3E51"/>
    <w:rsid w:val="00FF43B2"/>
    <w:rsid w:val="00FF45ED"/>
    <w:rsid w:val="00FF5203"/>
    <w:rsid w:val="00FF63F5"/>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docId w15:val="{278AD2D1-3986-4360-8CD1-80C60DCE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B0"/>
  </w:style>
  <w:style w:type="paragraph" w:styleId="Heading1">
    <w:name w:val="heading 1"/>
    <w:basedOn w:val="Normal"/>
    <w:next w:val="Normal"/>
    <w:link w:val="Heading1Char"/>
    <w:uiPriority w:val="9"/>
    <w:qFormat/>
    <w:rsid w:val="0093651C"/>
    <w:pPr>
      <w:keepNext/>
      <w:keepLines/>
      <w:spacing w:before="240" w:after="0"/>
      <w:outlineLvl w:val="0"/>
    </w:pPr>
    <w:rPr>
      <w:rFonts w:eastAsiaTheme="majorEastAsia" w:cstheme="majorBidi"/>
      <w:b/>
      <w:color w:val="1F4E79" w:themeColor="accent5" w:themeShade="80"/>
      <w:sz w:val="28"/>
      <w:szCs w:val="32"/>
    </w:rPr>
  </w:style>
  <w:style w:type="paragraph" w:styleId="Heading2">
    <w:name w:val="heading 2"/>
    <w:basedOn w:val="Normal"/>
    <w:next w:val="Normal"/>
    <w:link w:val="Heading2Char"/>
    <w:uiPriority w:val="9"/>
    <w:unhideWhenUsed/>
    <w:qFormat/>
    <w:rsid w:val="002B0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link w:val="ListParagraphChar"/>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1">
    <w:name w:val="Unresolved Mention1"/>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 w:type="character" w:customStyle="1" w:styleId="Heading1Char">
    <w:name w:val="Heading 1 Char"/>
    <w:basedOn w:val="DefaultParagraphFont"/>
    <w:link w:val="Heading1"/>
    <w:uiPriority w:val="9"/>
    <w:rsid w:val="0093651C"/>
    <w:rPr>
      <w:rFonts w:eastAsiaTheme="majorEastAsia" w:cstheme="majorBidi"/>
      <w:b/>
      <w:color w:val="1F4E79" w:themeColor="accent5" w:themeShade="80"/>
      <w:sz w:val="28"/>
      <w:szCs w:val="32"/>
    </w:rPr>
  </w:style>
  <w:style w:type="paragraph" w:styleId="TOCHeading">
    <w:name w:val="TOC Heading"/>
    <w:basedOn w:val="Heading1"/>
    <w:next w:val="Normal"/>
    <w:uiPriority w:val="39"/>
    <w:unhideWhenUsed/>
    <w:qFormat/>
    <w:rsid w:val="002B05B4"/>
    <w:pPr>
      <w:outlineLvl w:val="9"/>
    </w:pPr>
  </w:style>
  <w:style w:type="paragraph" w:styleId="TOC1">
    <w:name w:val="toc 1"/>
    <w:basedOn w:val="Normal"/>
    <w:next w:val="Normal"/>
    <w:autoRedefine/>
    <w:uiPriority w:val="39"/>
    <w:unhideWhenUsed/>
    <w:rsid w:val="0093651C"/>
    <w:pPr>
      <w:spacing w:after="100"/>
    </w:pPr>
  </w:style>
  <w:style w:type="character" w:customStyle="1" w:styleId="Heading2Char">
    <w:name w:val="Heading 2 Char"/>
    <w:basedOn w:val="DefaultParagraphFont"/>
    <w:link w:val="Heading2"/>
    <w:uiPriority w:val="9"/>
    <w:rsid w:val="002B05B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2725E"/>
    <w:pPr>
      <w:tabs>
        <w:tab w:val="right" w:leader="dot" w:pos="9710"/>
      </w:tabs>
      <w:spacing w:after="100"/>
    </w:pPr>
    <w:rPr>
      <w:rFonts w:cstheme="minorHAnsi"/>
      <w:i/>
      <w:iCs/>
      <w:noProof/>
    </w:rPr>
  </w:style>
  <w:style w:type="character" w:styleId="Emphasis">
    <w:name w:val="Emphasis"/>
    <w:basedOn w:val="DefaultParagraphFont"/>
    <w:uiPriority w:val="20"/>
    <w:qFormat/>
    <w:rsid w:val="001626F0"/>
    <w:rPr>
      <w:i/>
      <w:iCs/>
    </w:rPr>
  </w:style>
  <w:style w:type="character" w:customStyle="1" w:styleId="FootnoteTextChar1">
    <w:name w:val="Footnote Text Char1"/>
    <w:basedOn w:val="DefaultParagraphFont"/>
    <w:uiPriority w:val="99"/>
    <w:rsid w:val="00BD39AC"/>
    <w:rPr>
      <w:sz w:val="20"/>
      <w:szCs w:val="20"/>
    </w:rPr>
  </w:style>
  <w:style w:type="character" w:styleId="UnresolvedMention">
    <w:name w:val="Unresolved Mention"/>
    <w:basedOn w:val="DefaultParagraphFont"/>
    <w:uiPriority w:val="99"/>
    <w:semiHidden/>
    <w:unhideWhenUsed/>
    <w:rsid w:val="00401553"/>
    <w:rPr>
      <w:color w:val="605E5C"/>
      <w:shd w:val="clear" w:color="auto" w:fill="E1DFDD"/>
    </w:rPr>
  </w:style>
  <w:style w:type="character" w:customStyle="1" w:styleId="ListParagraphChar">
    <w:name w:val="List Paragraph Char"/>
    <w:basedOn w:val="DefaultParagraphFont"/>
    <w:link w:val="ListParagraph"/>
    <w:uiPriority w:val="34"/>
    <w:rsid w:val="00575025"/>
  </w:style>
  <w:style w:type="paragraph" w:styleId="Caption">
    <w:name w:val="caption"/>
    <w:basedOn w:val="Normal"/>
    <w:next w:val="Normal"/>
    <w:uiPriority w:val="35"/>
    <w:unhideWhenUsed/>
    <w:qFormat/>
    <w:rsid w:val="0025244D"/>
    <w:pPr>
      <w:spacing w:after="200" w:line="240" w:lineRule="auto"/>
    </w:pPr>
    <w:rPr>
      <w:b/>
      <w:bCs/>
      <w:color w:val="4472C4" w:themeColor="accent1"/>
      <w:sz w:val="18"/>
      <w:szCs w:val="18"/>
    </w:rPr>
  </w:style>
  <w:style w:type="character" w:customStyle="1" w:styleId="normaltextrun">
    <w:name w:val="normaltextrun"/>
    <w:basedOn w:val="DefaultParagraphFont"/>
    <w:rsid w:val="003D2DE6"/>
  </w:style>
  <w:style w:type="character" w:customStyle="1" w:styleId="eop">
    <w:name w:val="eop"/>
    <w:basedOn w:val="DefaultParagraphFont"/>
    <w:rsid w:val="003D2DE6"/>
  </w:style>
  <w:style w:type="paragraph" w:customStyle="1" w:styleId="paragraph">
    <w:name w:val="paragraph"/>
    <w:basedOn w:val="Normal"/>
    <w:rsid w:val="0038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84DDC"/>
  </w:style>
  <w:style w:type="paragraph" w:customStyle="1" w:styleId="Default">
    <w:name w:val="Default"/>
    <w:rsid w:val="006674E1"/>
    <w:pPr>
      <w:autoSpaceDE w:val="0"/>
      <w:autoSpaceDN w:val="0"/>
      <w:adjustRightInd w:val="0"/>
      <w:spacing w:after="0" w:line="240" w:lineRule="auto"/>
    </w:pPr>
    <w:rPr>
      <w:rFonts w:ascii="HQIEQ S+ Times New" w:hAnsi="HQIEQ S+ Times New" w:cs="HQIEQ S+ Times New"/>
      <w:color w:val="000000"/>
      <w:sz w:val="24"/>
      <w:szCs w:val="24"/>
    </w:rPr>
  </w:style>
  <w:style w:type="paragraph" w:styleId="NormalWeb">
    <w:name w:val="Normal (Web)"/>
    <w:basedOn w:val="Normal"/>
    <w:uiPriority w:val="99"/>
    <w:unhideWhenUsed/>
    <w:rsid w:val="008E4932"/>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568F4"/>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3568F4"/>
    <w:rPr>
      <w:rFonts w:ascii="Times New Roman" w:eastAsia="Times New Roman" w:hAnsi="Times New Roman"/>
      <w:sz w:val="19"/>
      <w:szCs w:val="19"/>
    </w:rPr>
  </w:style>
  <w:style w:type="character" w:customStyle="1" w:styleId="has-tooltip">
    <w:name w:val="has-tooltip"/>
    <w:basedOn w:val="DefaultParagraphFont"/>
    <w:rsid w:val="00A93146"/>
  </w:style>
  <w:style w:type="character" w:customStyle="1" w:styleId="cf01">
    <w:name w:val="cf01"/>
    <w:basedOn w:val="DefaultParagraphFont"/>
    <w:rsid w:val="004538A0"/>
    <w:rPr>
      <w:rFonts w:ascii="Segoe UI" w:hAnsi="Segoe UI" w:cs="Segoe UI" w:hint="default"/>
      <w:sz w:val="18"/>
      <w:szCs w:val="18"/>
    </w:rPr>
  </w:style>
  <w:style w:type="table" w:styleId="GridTable1Light">
    <w:name w:val="Grid Table 1 Light"/>
    <w:basedOn w:val="TableNormal"/>
    <w:uiPriority w:val="46"/>
    <w:rsid w:val="007775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775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1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80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F80E65"/>
    <w:rPr>
      <w:rFonts w:ascii="Segoe UI" w:hAnsi="Segoe UI" w:cs="Segoe UI" w:hint="default"/>
      <w:sz w:val="18"/>
      <w:szCs w:val="18"/>
    </w:rPr>
  </w:style>
  <w:style w:type="paragraph" w:customStyle="1" w:styleId="xxmsolistparagraph">
    <w:name w:val="x_xmsolistparagraph"/>
    <w:basedOn w:val="Normal"/>
    <w:rsid w:val="002742C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933">
      <w:bodyDiv w:val="1"/>
      <w:marLeft w:val="0"/>
      <w:marRight w:val="0"/>
      <w:marTop w:val="0"/>
      <w:marBottom w:val="0"/>
      <w:divBdr>
        <w:top w:val="none" w:sz="0" w:space="0" w:color="auto"/>
        <w:left w:val="none" w:sz="0" w:space="0" w:color="auto"/>
        <w:bottom w:val="none" w:sz="0" w:space="0" w:color="auto"/>
        <w:right w:val="none" w:sz="0" w:space="0" w:color="auto"/>
      </w:divBdr>
    </w:div>
    <w:div w:id="342896811">
      <w:bodyDiv w:val="1"/>
      <w:marLeft w:val="0"/>
      <w:marRight w:val="0"/>
      <w:marTop w:val="0"/>
      <w:marBottom w:val="0"/>
      <w:divBdr>
        <w:top w:val="none" w:sz="0" w:space="0" w:color="auto"/>
        <w:left w:val="none" w:sz="0" w:space="0" w:color="auto"/>
        <w:bottom w:val="none" w:sz="0" w:space="0" w:color="auto"/>
        <w:right w:val="none" w:sz="0" w:space="0" w:color="auto"/>
      </w:divBdr>
    </w:div>
    <w:div w:id="439960433">
      <w:bodyDiv w:val="1"/>
      <w:marLeft w:val="0"/>
      <w:marRight w:val="0"/>
      <w:marTop w:val="0"/>
      <w:marBottom w:val="0"/>
      <w:divBdr>
        <w:top w:val="none" w:sz="0" w:space="0" w:color="auto"/>
        <w:left w:val="none" w:sz="0" w:space="0" w:color="auto"/>
        <w:bottom w:val="none" w:sz="0" w:space="0" w:color="auto"/>
        <w:right w:val="none" w:sz="0" w:space="0" w:color="auto"/>
      </w:divBdr>
    </w:div>
    <w:div w:id="564336010">
      <w:bodyDiv w:val="1"/>
      <w:marLeft w:val="0"/>
      <w:marRight w:val="0"/>
      <w:marTop w:val="0"/>
      <w:marBottom w:val="0"/>
      <w:divBdr>
        <w:top w:val="none" w:sz="0" w:space="0" w:color="auto"/>
        <w:left w:val="none" w:sz="0" w:space="0" w:color="auto"/>
        <w:bottom w:val="none" w:sz="0" w:space="0" w:color="auto"/>
        <w:right w:val="none" w:sz="0" w:space="0" w:color="auto"/>
      </w:divBdr>
    </w:div>
    <w:div w:id="592931682">
      <w:bodyDiv w:val="1"/>
      <w:marLeft w:val="0"/>
      <w:marRight w:val="0"/>
      <w:marTop w:val="0"/>
      <w:marBottom w:val="0"/>
      <w:divBdr>
        <w:top w:val="none" w:sz="0" w:space="0" w:color="auto"/>
        <w:left w:val="none" w:sz="0" w:space="0" w:color="auto"/>
        <w:bottom w:val="none" w:sz="0" w:space="0" w:color="auto"/>
        <w:right w:val="none" w:sz="0" w:space="0" w:color="auto"/>
      </w:divBdr>
    </w:div>
    <w:div w:id="636107005">
      <w:bodyDiv w:val="1"/>
      <w:marLeft w:val="0"/>
      <w:marRight w:val="0"/>
      <w:marTop w:val="0"/>
      <w:marBottom w:val="0"/>
      <w:divBdr>
        <w:top w:val="none" w:sz="0" w:space="0" w:color="auto"/>
        <w:left w:val="none" w:sz="0" w:space="0" w:color="auto"/>
        <w:bottom w:val="none" w:sz="0" w:space="0" w:color="auto"/>
        <w:right w:val="none" w:sz="0" w:space="0" w:color="auto"/>
      </w:divBdr>
    </w:div>
    <w:div w:id="697659231">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335500574">
      <w:bodyDiv w:val="1"/>
      <w:marLeft w:val="0"/>
      <w:marRight w:val="0"/>
      <w:marTop w:val="0"/>
      <w:marBottom w:val="0"/>
      <w:divBdr>
        <w:top w:val="none" w:sz="0" w:space="0" w:color="auto"/>
        <w:left w:val="none" w:sz="0" w:space="0" w:color="auto"/>
        <w:bottom w:val="none" w:sz="0" w:space="0" w:color="auto"/>
        <w:right w:val="none" w:sz="0" w:space="0" w:color="auto"/>
      </w:divBdr>
    </w:div>
    <w:div w:id="1388989886">
      <w:bodyDiv w:val="1"/>
      <w:marLeft w:val="0"/>
      <w:marRight w:val="0"/>
      <w:marTop w:val="0"/>
      <w:marBottom w:val="0"/>
      <w:divBdr>
        <w:top w:val="none" w:sz="0" w:space="0" w:color="auto"/>
        <w:left w:val="none" w:sz="0" w:space="0" w:color="auto"/>
        <w:bottom w:val="none" w:sz="0" w:space="0" w:color="auto"/>
        <w:right w:val="none" w:sz="0" w:space="0" w:color="auto"/>
      </w:divBdr>
    </w:div>
    <w:div w:id="1641181405">
      <w:bodyDiv w:val="1"/>
      <w:marLeft w:val="0"/>
      <w:marRight w:val="0"/>
      <w:marTop w:val="0"/>
      <w:marBottom w:val="0"/>
      <w:divBdr>
        <w:top w:val="none" w:sz="0" w:space="0" w:color="auto"/>
        <w:left w:val="none" w:sz="0" w:space="0" w:color="auto"/>
        <w:bottom w:val="none" w:sz="0" w:space="0" w:color="auto"/>
        <w:right w:val="none" w:sz="0" w:space="0" w:color="auto"/>
      </w:divBdr>
    </w:div>
    <w:div w:id="1658339698">
      <w:bodyDiv w:val="1"/>
      <w:marLeft w:val="0"/>
      <w:marRight w:val="0"/>
      <w:marTop w:val="0"/>
      <w:marBottom w:val="0"/>
      <w:divBdr>
        <w:top w:val="none" w:sz="0" w:space="0" w:color="auto"/>
        <w:left w:val="none" w:sz="0" w:space="0" w:color="auto"/>
        <w:bottom w:val="none" w:sz="0" w:space="0" w:color="auto"/>
        <w:right w:val="none" w:sz="0" w:space="0" w:color="auto"/>
      </w:divBdr>
    </w:div>
    <w:div w:id="1664165869">
      <w:bodyDiv w:val="1"/>
      <w:marLeft w:val="0"/>
      <w:marRight w:val="0"/>
      <w:marTop w:val="0"/>
      <w:marBottom w:val="0"/>
      <w:divBdr>
        <w:top w:val="none" w:sz="0" w:space="0" w:color="auto"/>
        <w:left w:val="none" w:sz="0" w:space="0" w:color="auto"/>
        <w:bottom w:val="none" w:sz="0" w:space="0" w:color="auto"/>
        <w:right w:val="none" w:sz="0" w:space="0" w:color="auto"/>
      </w:divBdr>
    </w:div>
    <w:div w:id="1965035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medicare.gov/care-compare/compare?providerType=InpatientRehabilitation&amp;providerIds=223030,22T066,22T065&amp;city=Ludlow&amp;state=MA&amp;zipcode=" TargetMode="External"/><Relationship Id="rId2" Type="http://schemas.openxmlformats.org/officeDocument/2006/relationships/hyperlink" Target="https://www.medicare.gov/care-compare/compare?providerType=InpatientRehabilitation&amp;providerIds=223030,22T066,22T065&amp;city=Ludlow&amp;state=MA&amp;zipcode=" TargetMode="External"/><Relationship Id="rId1" Type="http://schemas.openxmlformats.org/officeDocument/2006/relationships/hyperlink" Target="https://www.medpac.gov/document/march-2023-report-to-the-congress-medicare-payment-policy/" TargetMode="External"/><Relationship Id="rId6" Type="http://schemas.openxmlformats.org/officeDocument/2006/relationships/hyperlink" Target="https://www.medpac.gov/document/march-2023-report-to-the-congress-medicare-payment-policy/" TargetMode="External"/><Relationship Id="rId5" Type="http://schemas.openxmlformats.org/officeDocument/2006/relationships/hyperlink" Target="http://dx.doi.org/10.1016/j.jcrc.2015.10.010" TargetMode="External"/><Relationship Id="rId4" Type="http://schemas.openxmlformats.org/officeDocument/2006/relationships/hyperlink" Target="http://dx.doi.org/10.1016/j.jcrc.2015.10.0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vestor.encompasshealth.com/investor-resources/investor-reference-book/default.aspx" TargetMode="External"/><Relationship Id="rId7" Type="http://schemas.openxmlformats.org/officeDocument/2006/relationships/hyperlink" Target="https://www.mass.gov/files/documents/2018/12/31/jud-lib-105cmr100.pdf" TargetMode="External"/><Relationship Id="rId2" Type="http://schemas.openxmlformats.org/officeDocument/2006/relationships/hyperlink" Target="https://investor.encompasshealth.com/investor-resources/investor-reference-book/default.aspx" TargetMode="External"/><Relationship Id="rId1" Type="http://schemas.openxmlformats.org/officeDocument/2006/relationships/hyperlink" Target="https://www.cms.gov/Medicare/Provider-Enrollment-and-Certification/CertificationandComplianc/InpatientRehab" TargetMode="External"/><Relationship Id="rId6" Type="http://schemas.openxmlformats.org/officeDocument/2006/relationships/hyperlink" Target="https://www.mass.gov/files/documents/2018/12/31/jud-lib-105cmr100.pdf" TargetMode="External"/><Relationship Id="rId5" Type="http://schemas.openxmlformats.org/officeDocument/2006/relationships/hyperlink" Target="https://www.mass.gov/doc/responses-to-don-questions-pdf-encompass-health-corporation/download" TargetMode="External"/><Relationship Id="rId4" Type="http://schemas.openxmlformats.org/officeDocument/2006/relationships/hyperlink" Target="https://www.mass.gov/doc/responses-to-don-questions-pdf-encompass-health-corpor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7642</Words>
  <Characters>43560</Characters>
  <Application>Microsoft Office Word</Application>
  <DocSecurity>0</DocSecurity>
  <Lines>1210</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11</cp:revision>
  <cp:lastPrinted>2023-08-18T20:18:00Z</cp:lastPrinted>
  <dcterms:created xsi:type="dcterms:W3CDTF">2023-12-01T19:23:00Z</dcterms:created>
  <dcterms:modified xsi:type="dcterms:W3CDTF">2023-12-05T15:34:00Z</dcterms:modified>
  <cp:contentStatus/>
</cp:coreProperties>
</file>