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862" w:type="pct"/>
        <w:jc w:val="center"/>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457"/>
        <w:gridCol w:w="5335"/>
      </w:tblGrid>
      <w:tr w:rsidR="008C0709" w:rsidRPr="00E53597" w14:paraId="5E2173C9" w14:textId="77777777" w:rsidTr="6CE004FB">
        <w:trPr>
          <w:trHeight w:val="686"/>
          <w:tblHeader/>
          <w:jc w:val="center"/>
        </w:trPr>
        <w:tc>
          <w:tcPr>
            <w:tcW w:w="5000" w:type="pct"/>
            <w:gridSpan w:val="2"/>
            <w:shd w:val="clear" w:color="auto" w:fill="D7F9FD"/>
            <w:vAlign w:val="center"/>
          </w:tcPr>
          <w:p w14:paraId="1B8C4D3E" w14:textId="54A2E6DE" w:rsidR="008C0709" w:rsidRPr="00E53597" w:rsidRDefault="00B02CF4" w:rsidP="58A96A0F">
            <w:pPr>
              <w:pStyle w:val="NoSpacing"/>
              <w:ind w:right="540"/>
              <w:contextualSpacing/>
              <w:jc w:val="center"/>
              <w:rPr>
                <w:b/>
                <w:bCs/>
              </w:rPr>
            </w:pPr>
            <w:r w:rsidRPr="00E53597">
              <w:rPr>
                <w:b/>
                <w:bCs/>
              </w:rPr>
              <w:t>S</w:t>
            </w:r>
            <w:r w:rsidR="008C0709" w:rsidRPr="00E53597">
              <w:rPr>
                <w:b/>
                <w:bCs/>
              </w:rPr>
              <w:t>TAFF REPORT TO THE PUBLIC HEALTH COUNCIL</w:t>
            </w:r>
          </w:p>
          <w:p w14:paraId="707BF2E0" w14:textId="77777777" w:rsidR="008C0709" w:rsidRPr="00E53597" w:rsidRDefault="10E5935A" w:rsidP="282949F7">
            <w:pPr>
              <w:pStyle w:val="Header"/>
              <w:ind w:right="540"/>
              <w:contextualSpacing/>
              <w:jc w:val="center"/>
              <w:rPr>
                <w:b/>
                <w:bCs/>
                <w:sz w:val="24"/>
                <w:szCs w:val="24"/>
                <w:highlight w:val="yellow"/>
              </w:rPr>
            </w:pPr>
            <w:r w:rsidRPr="00E53597">
              <w:rPr>
                <w:b/>
                <w:bCs/>
                <w:sz w:val="24"/>
                <w:szCs w:val="24"/>
              </w:rPr>
              <w:t>FOR A DETERMINATION OF NEED</w:t>
            </w:r>
          </w:p>
        </w:tc>
      </w:tr>
      <w:tr w:rsidR="004313D9" w:rsidRPr="00E53597" w14:paraId="37A21A4B" w14:textId="77777777" w:rsidTr="6CE004FB">
        <w:trPr>
          <w:trHeight w:val="368"/>
          <w:jc w:val="center"/>
        </w:trPr>
        <w:tc>
          <w:tcPr>
            <w:tcW w:w="2276" w:type="pct"/>
            <w:shd w:val="clear" w:color="auto" w:fill="auto"/>
            <w:vAlign w:val="center"/>
          </w:tcPr>
          <w:p w14:paraId="4463BBF6" w14:textId="77777777" w:rsidR="004313D9" w:rsidRPr="00E53597" w:rsidRDefault="004313D9" w:rsidP="004313D9">
            <w:pPr>
              <w:ind w:right="540"/>
              <w:contextualSpacing/>
            </w:pPr>
            <w:r w:rsidRPr="00E53597">
              <w:t xml:space="preserve">Applicant Name </w:t>
            </w:r>
          </w:p>
        </w:tc>
        <w:tc>
          <w:tcPr>
            <w:tcW w:w="2724" w:type="pct"/>
            <w:shd w:val="clear" w:color="auto" w:fill="auto"/>
            <w:vAlign w:val="center"/>
          </w:tcPr>
          <w:p w14:paraId="412EB352" w14:textId="042F180C" w:rsidR="004313D9" w:rsidRPr="00E53597" w:rsidRDefault="007F3DC3" w:rsidP="004313D9">
            <w:pPr>
              <w:ind w:right="540"/>
              <w:contextualSpacing/>
              <w:rPr>
                <w:highlight w:val="yellow"/>
              </w:rPr>
            </w:pPr>
            <w:r w:rsidRPr="007F3DC3">
              <w:t>Everest Hospital, LLC</w:t>
            </w:r>
          </w:p>
        </w:tc>
      </w:tr>
      <w:tr w:rsidR="004313D9" w:rsidRPr="00E53597" w14:paraId="7D5C8C8A" w14:textId="77777777" w:rsidTr="6CE004FB">
        <w:trPr>
          <w:trHeight w:val="306"/>
          <w:jc w:val="center"/>
        </w:trPr>
        <w:tc>
          <w:tcPr>
            <w:tcW w:w="2276" w:type="pct"/>
            <w:shd w:val="clear" w:color="auto" w:fill="auto"/>
            <w:vAlign w:val="center"/>
          </w:tcPr>
          <w:p w14:paraId="60D7905A" w14:textId="77777777" w:rsidR="004313D9" w:rsidRPr="00E53597" w:rsidRDefault="004313D9" w:rsidP="004313D9">
            <w:pPr>
              <w:ind w:right="540"/>
              <w:contextualSpacing/>
            </w:pPr>
            <w:r w:rsidRPr="00E53597">
              <w:t xml:space="preserve">Applicant Address </w:t>
            </w:r>
          </w:p>
        </w:tc>
        <w:tc>
          <w:tcPr>
            <w:tcW w:w="2724" w:type="pct"/>
            <w:shd w:val="clear" w:color="auto" w:fill="auto"/>
            <w:vAlign w:val="center"/>
          </w:tcPr>
          <w:p w14:paraId="48C9B61F" w14:textId="234035CC" w:rsidR="004313D9" w:rsidRPr="00E53597" w:rsidRDefault="00D12964" w:rsidP="00440274">
            <w:pPr>
              <w:ind w:right="-20"/>
              <w:contextualSpacing/>
              <w:rPr>
                <w:highlight w:val="yellow"/>
                <w:lang w:val="fr-FR"/>
              </w:rPr>
            </w:pPr>
            <w:r w:rsidRPr="00D12964">
              <w:rPr>
                <w:lang w:val="fr-FR"/>
              </w:rPr>
              <w:t xml:space="preserve">111 Huntoon </w:t>
            </w:r>
            <w:r w:rsidR="004540B6" w:rsidRPr="00D12964">
              <w:rPr>
                <w:lang w:val="fr-FR"/>
              </w:rPr>
              <w:t>Mémorial</w:t>
            </w:r>
            <w:r w:rsidRPr="00D12964">
              <w:rPr>
                <w:lang w:val="fr-FR"/>
              </w:rPr>
              <w:t xml:space="preserve"> Highway</w:t>
            </w:r>
            <w:r>
              <w:rPr>
                <w:lang w:val="fr-FR"/>
              </w:rPr>
              <w:t>, Leicester, MA 01542</w:t>
            </w:r>
          </w:p>
        </w:tc>
      </w:tr>
      <w:tr w:rsidR="004313D9" w:rsidRPr="00E53597" w14:paraId="7F48402A" w14:textId="77777777" w:rsidTr="6CE004FB">
        <w:trPr>
          <w:trHeight w:val="323"/>
          <w:jc w:val="center"/>
        </w:trPr>
        <w:tc>
          <w:tcPr>
            <w:tcW w:w="2276" w:type="pct"/>
            <w:shd w:val="clear" w:color="auto" w:fill="auto"/>
            <w:vAlign w:val="center"/>
          </w:tcPr>
          <w:p w14:paraId="62887CB2" w14:textId="77777777" w:rsidR="004313D9" w:rsidRPr="00E53597" w:rsidRDefault="004313D9" w:rsidP="004313D9">
            <w:pPr>
              <w:ind w:right="540"/>
              <w:contextualSpacing/>
            </w:pPr>
            <w:r w:rsidRPr="00E53597">
              <w:t>Filing Date</w:t>
            </w:r>
          </w:p>
        </w:tc>
        <w:tc>
          <w:tcPr>
            <w:tcW w:w="2724" w:type="pct"/>
            <w:shd w:val="clear" w:color="auto" w:fill="auto"/>
            <w:vAlign w:val="center"/>
          </w:tcPr>
          <w:p w14:paraId="2924AE87" w14:textId="232AEE83" w:rsidR="004313D9" w:rsidRPr="00E53597" w:rsidRDefault="00D71AFB" w:rsidP="004313D9">
            <w:pPr>
              <w:ind w:right="540"/>
              <w:contextualSpacing/>
              <w:rPr>
                <w:highlight w:val="yellow"/>
              </w:rPr>
            </w:pPr>
            <w:r w:rsidRPr="00D71AFB">
              <w:t>April 24, 2025</w:t>
            </w:r>
          </w:p>
        </w:tc>
      </w:tr>
      <w:tr w:rsidR="004313D9" w:rsidRPr="00E53597" w14:paraId="45BF54E4" w14:textId="77777777" w:rsidTr="6CE004FB">
        <w:trPr>
          <w:trHeight w:val="300"/>
          <w:jc w:val="center"/>
        </w:trPr>
        <w:tc>
          <w:tcPr>
            <w:tcW w:w="2276" w:type="pct"/>
            <w:shd w:val="clear" w:color="auto" w:fill="auto"/>
            <w:vAlign w:val="center"/>
          </w:tcPr>
          <w:p w14:paraId="11D28445" w14:textId="77777777" w:rsidR="004313D9" w:rsidRPr="00D12964" w:rsidRDefault="004313D9" w:rsidP="004313D9">
            <w:pPr>
              <w:ind w:right="540"/>
              <w:contextualSpacing/>
            </w:pPr>
            <w:r w:rsidRPr="00D12964">
              <w:t>Type of DoN Application</w:t>
            </w:r>
          </w:p>
        </w:tc>
        <w:tc>
          <w:tcPr>
            <w:tcW w:w="2724" w:type="pct"/>
            <w:shd w:val="clear" w:color="auto" w:fill="auto"/>
            <w:vAlign w:val="center"/>
          </w:tcPr>
          <w:p w14:paraId="54290C07" w14:textId="132A3296" w:rsidR="004313D9" w:rsidRPr="00D12964" w:rsidRDefault="00186479" w:rsidP="004313D9">
            <w:pPr>
              <w:ind w:right="540"/>
              <w:contextualSpacing/>
            </w:pPr>
            <w:r w:rsidRPr="00D12964">
              <w:t>Transfer Of Ownership</w:t>
            </w:r>
          </w:p>
        </w:tc>
      </w:tr>
      <w:tr w:rsidR="004313D9" w:rsidRPr="00E53597" w14:paraId="1C2D799A" w14:textId="77777777" w:rsidTr="6CE004FB">
        <w:trPr>
          <w:trHeight w:val="300"/>
          <w:jc w:val="center"/>
        </w:trPr>
        <w:tc>
          <w:tcPr>
            <w:tcW w:w="2276" w:type="pct"/>
            <w:shd w:val="clear" w:color="auto" w:fill="auto"/>
            <w:vAlign w:val="center"/>
          </w:tcPr>
          <w:p w14:paraId="58287B54" w14:textId="77777777" w:rsidR="004313D9" w:rsidRPr="00E53597" w:rsidRDefault="004313D9" w:rsidP="004313D9">
            <w:pPr>
              <w:ind w:right="540"/>
              <w:contextualSpacing/>
            </w:pPr>
            <w:r w:rsidRPr="00E53597">
              <w:t>Total Value</w:t>
            </w:r>
          </w:p>
        </w:tc>
        <w:tc>
          <w:tcPr>
            <w:tcW w:w="2724" w:type="pct"/>
            <w:shd w:val="clear" w:color="auto" w:fill="auto"/>
            <w:vAlign w:val="center"/>
          </w:tcPr>
          <w:p w14:paraId="241030D1" w14:textId="1018328E" w:rsidR="004313D9" w:rsidRPr="00E53597" w:rsidRDefault="007B0797" w:rsidP="004313D9">
            <w:pPr>
              <w:ind w:right="540"/>
              <w:contextualSpacing/>
              <w:rPr>
                <w:highlight w:val="yellow"/>
              </w:rPr>
            </w:pPr>
            <w:r w:rsidRPr="007B0797">
              <w:t>$14,928,424.00</w:t>
            </w:r>
          </w:p>
        </w:tc>
      </w:tr>
      <w:tr w:rsidR="004313D9" w:rsidRPr="00E53597" w14:paraId="375F89F8" w14:textId="77777777" w:rsidTr="6CE004FB">
        <w:trPr>
          <w:trHeight w:val="300"/>
          <w:jc w:val="center"/>
        </w:trPr>
        <w:tc>
          <w:tcPr>
            <w:tcW w:w="2276" w:type="pct"/>
            <w:shd w:val="clear" w:color="auto" w:fill="auto"/>
            <w:vAlign w:val="center"/>
          </w:tcPr>
          <w:p w14:paraId="179EBADA" w14:textId="77777777" w:rsidR="004313D9" w:rsidRPr="00E53597" w:rsidRDefault="004313D9" w:rsidP="004313D9">
            <w:pPr>
              <w:ind w:right="540"/>
              <w:contextualSpacing/>
            </w:pPr>
            <w:r w:rsidRPr="00E53597">
              <w:t>Project Number</w:t>
            </w:r>
          </w:p>
        </w:tc>
        <w:tc>
          <w:tcPr>
            <w:tcW w:w="2724" w:type="pct"/>
            <w:shd w:val="clear" w:color="auto" w:fill="auto"/>
            <w:vAlign w:val="center"/>
          </w:tcPr>
          <w:p w14:paraId="3F72EF9F" w14:textId="19D3D3D5" w:rsidR="004313D9" w:rsidRPr="00E53597" w:rsidRDefault="00DF664B" w:rsidP="004313D9">
            <w:pPr>
              <w:ind w:right="540"/>
              <w:contextualSpacing/>
              <w:rPr>
                <w:highlight w:val="yellow"/>
              </w:rPr>
            </w:pPr>
            <w:r w:rsidRPr="00DF664B">
              <w:t>23101112-TO</w:t>
            </w:r>
          </w:p>
        </w:tc>
      </w:tr>
      <w:tr w:rsidR="004313D9" w:rsidRPr="00E53597" w14:paraId="5AB437F4" w14:textId="77777777" w:rsidTr="6CE004FB">
        <w:trPr>
          <w:trHeight w:val="300"/>
          <w:jc w:val="center"/>
        </w:trPr>
        <w:tc>
          <w:tcPr>
            <w:tcW w:w="2276" w:type="pct"/>
            <w:shd w:val="clear" w:color="auto" w:fill="auto"/>
            <w:vAlign w:val="center"/>
          </w:tcPr>
          <w:p w14:paraId="673CB573" w14:textId="77777777" w:rsidR="004313D9" w:rsidRPr="00E53597" w:rsidRDefault="004313D9" w:rsidP="004313D9">
            <w:pPr>
              <w:ind w:right="540"/>
              <w:contextualSpacing/>
            </w:pPr>
            <w:r w:rsidRPr="00E53597">
              <w:t>Ten Taxpayer Groups (TTG)</w:t>
            </w:r>
          </w:p>
        </w:tc>
        <w:tc>
          <w:tcPr>
            <w:tcW w:w="2724" w:type="pct"/>
            <w:shd w:val="clear" w:color="auto" w:fill="auto"/>
            <w:vAlign w:val="center"/>
          </w:tcPr>
          <w:p w14:paraId="1F09EC20" w14:textId="08EBD31B" w:rsidR="004313D9" w:rsidRPr="00E53597" w:rsidRDefault="00EE2967" w:rsidP="004313D9">
            <w:pPr>
              <w:ind w:right="540"/>
              <w:contextualSpacing/>
              <w:rPr>
                <w:highlight w:val="yellow"/>
              </w:rPr>
            </w:pPr>
            <w:r w:rsidRPr="00EE2967">
              <w:t>None</w:t>
            </w:r>
          </w:p>
        </w:tc>
      </w:tr>
      <w:tr w:rsidR="004313D9" w:rsidRPr="00E53597" w14:paraId="4DC78A97" w14:textId="77777777" w:rsidTr="6CE004FB">
        <w:trPr>
          <w:trHeight w:val="300"/>
          <w:jc w:val="center"/>
        </w:trPr>
        <w:tc>
          <w:tcPr>
            <w:tcW w:w="2276" w:type="pct"/>
            <w:shd w:val="clear" w:color="auto" w:fill="auto"/>
            <w:vAlign w:val="center"/>
          </w:tcPr>
          <w:p w14:paraId="4ED36B8C" w14:textId="77777777" w:rsidR="004313D9" w:rsidRPr="00E53597" w:rsidRDefault="004313D9" w:rsidP="004313D9">
            <w:pPr>
              <w:ind w:right="540"/>
              <w:contextualSpacing/>
            </w:pPr>
            <w:r w:rsidRPr="00E53597">
              <w:t>Community Health Initiative (CHI)</w:t>
            </w:r>
            <w:r w:rsidRPr="00E53597" w:rsidDel="00FB532E">
              <w:t xml:space="preserve"> </w:t>
            </w:r>
          </w:p>
        </w:tc>
        <w:tc>
          <w:tcPr>
            <w:tcW w:w="2724" w:type="pct"/>
            <w:shd w:val="clear" w:color="auto" w:fill="auto"/>
            <w:vAlign w:val="center"/>
          </w:tcPr>
          <w:p w14:paraId="1FD1C6E2" w14:textId="4E217E28" w:rsidR="004313D9" w:rsidRPr="007B0797" w:rsidRDefault="004C77A1" w:rsidP="004313D9">
            <w:pPr>
              <w:ind w:right="540"/>
              <w:contextualSpacing/>
            </w:pPr>
            <w:r w:rsidRPr="007B0797">
              <w:t>Exempt from Factor 6</w:t>
            </w:r>
          </w:p>
        </w:tc>
      </w:tr>
      <w:tr w:rsidR="004313D9" w:rsidRPr="00E53597" w14:paraId="328C674C" w14:textId="77777777" w:rsidTr="6CE004FB">
        <w:trPr>
          <w:trHeight w:val="300"/>
          <w:jc w:val="center"/>
        </w:trPr>
        <w:tc>
          <w:tcPr>
            <w:tcW w:w="2276" w:type="pct"/>
            <w:shd w:val="clear" w:color="auto" w:fill="auto"/>
            <w:vAlign w:val="center"/>
          </w:tcPr>
          <w:p w14:paraId="7B1CAF6C" w14:textId="77777777" w:rsidR="004313D9" w:rsidRPr="00E53597" w:rsidRDefault="004313D9" w:rsidP="004313D9">
            <w:pPr>
              <w:ind w:right="540"/>
              <w:contextualSpacing/>
            </w:pPr>
            <w:r w:rsidRPr="00E53597">
              <w:t>Staff Recommendation</w:t>
            </w:r>
          </w:p>
        </w:tc>
        <w:tc>
          <w:tcPr>
            <w:tcW w:w="2724" w:type="pct"/>
            <w:shd w:val="clear" w:color="auto" w:fill="auto"/>
            <w:vAlign w:val="center"/>
          </w:tcPr>
          <w:p w14:paraId="1682CA02" w14:textId="4F3F4C3C" w:rsidR="004313D9" w:rsidRPr="007B0797" w:rsidRDefault="00186479" w:rsidP="004313D9">
            <w:pPr>
              <w:ind w:right="540"/>
              <w:contextualSpacing/>
            </w:pPr>
            <w:r w:rsidRPr="007B0797">
              <w:t>Approval</w:t>
            </w:r>
          </w:p>
        </w:tc>
      </w:tr>
      <w:tr w:rsidR="004313D9" w:rsidRPr="00E53597" w14:paraId="40C51467" w14:textId="77777777" w:rsidTr="6CE004FB">
        <w:trPr>
          <w:trHeight w:val="300"/>
          <w:jc w:val="center"/>
        </w:trPr>
        <w:tc>
          <w:tcPr>
            <w:tcW w:w="2276" w:type="pct"/>
            <w:shd w:val="clear" w:color="auto" w:fill="auto"/>
            <w:vAlign w:val="center"/>
          </w:tcPr>
          <w:p w14:paraId="4F63ADC5" w14:textId="50D08DEE" w:rsidR="004313D9" w:rsidRPr="00E53597" w:rsidRDefault="00C40991" w:rsidP="004313D9">
            <w:pPr>
              <w:ind w:right="540"/>
              <w:contextualSpacing/>
            </w:pPr>
            <w:r w:rsidRPr="00E53597">
              <w:t>Public Health Council</w:t>
            </w:r>
          </w:p>
        </w:tc>
        <w:tc>
          <w:tcPr>
            <w:tcW w:w="2724" w:type="pct"/>
            <w:shd w:val="clear" w:color="auto" w:fill="auto"/>
            <w:vAlign w:val="center"/>
          </w:tcPr>
          <w:p w14:paraId="3E0E2C44" w14:textId="1C3899C5" w:rsidR="004313D9" w:rsidRPr="009C6F38" w:rsidRDefault="009C6F38" w:rsidP="004313D9">
            <w:pPr>
              <w:ind w:right="540"/>
              <w:contextualSpacing/>
            </w:pPr>
            <w:r w:rsidRPr="009C6F38">
              <w:t>August 13, 2025</w:t>
            </w:r>
          </w:p>
        </w:tc>
      </w:tr>
      <w:tr w:rsidR="00D113E6" w:rsidRPr="00E53597" w14:paraId="5B8B03D1" w14:textId="77777777" w:rsidTr="6CE004FB">
        <w:trPr>
          <w:trHeight w:val="300"/>
          <w:jc w:val="center"/>
        </w:trPr>
        <w:tc>
          <w:tcPr>
            <w:tcW w:w="5000" w:type="pct"/>
            <w:gridSpan w:val="2"/>
            <w:shd w:val="clear" w:color="auto" w:fill="auto"/>
            <w:vAlign w:val="center"/>
          </w:tcPr>
          <w:p w14:paraId="115595BA" w14:textId="77777777" w:rsidR="00D113E6" w:rsidRPr="00E53597" w:rsidRDefault="00D113E6" w:rsidP="00D113E6">
            <w:pPr>
              <w:spacing w:before="240" w:after="200"/>
              <w:ind w:left="108" w:right="70"/>
              <w:jc w:val="center"/>
              <w:rPr>
                <w:rFonts w:eastAsia="Calibri"/>
                <w:b/>
              </w:rPr>
            </w:pPr>
            <w:r w:rsidRPr="00E53597">
              <w:rPr>
                <w:rFonts w:eastAsia="Calibri"/>
                <w:b/>
                <w:u w:val="single"/>
              </w:rPr>
              <w:t>Project Summary and Regulatory Review</w:t>
            </w:r>
          </w:p>
          <w:p w14:paraId="69EEC28F" w14:textId="5E743E78" w:rsidR="00186479" w:rsidRPr="00E53597" w:rsidRDefault="003756D7" w:rsidP="00186479">
            <w:pPr>
              <w:ind w:left="108" w:right="70"/>
              <w:rPr>
                <w:rFonts w:eastAsia="Calibri"/>
                <w:highlight w:val="yellow"/>
              </w:rPr>
            </w:pPr>
            <w:r w:rsidRPr="003756D7">
              <w:rPr>
                <w:rFonts w:eastAsia="Calibri"/>
              </w:rPr>
              <w:t>Everest Hospital, LLC</w:t>
            </w:r>
            <w:r w:rsidR="1EAFB079" w:rsidRPr="003756D7">
              <w:rPr>
                <w:rFonts w:eastAsia="Calibri"/>
              </w:rPr>
              <w:t xml:space="preserve">. </w:t>
            </w:r>
            <w:r w:rsidR="006E1247" w:rsidRPr="00265C1F">
              <w:rPr>
                <w:rFonts w:cs="Times New Roman"/>
              </w:rPr>
              <w:t>proposes to become the owner of Vibra Hospital of Western Massachusetts – Central Campus</w:t>
            </w:r>
            <w:r w:rsidR="00FA33D0">
              <w:rPr>
                <w:rFonts w:cs="Times New Roman"/>
              </w:rPr>
              <w:t xml:space="preserve"> (the Hospital)</w:t>
            </w:r>
            <w:r w:rsidR="006E1247" w:rsidRPr="00265C1F">
              <w:rPr>
                <w:rFonts w:cs="Times New Roman"/>
              </w:rPr>
              <w:t xml:space="preserve">, a </w:t>
            </w:r>
            <w:r w:rsidR="006E1247">
              <w:rPr>
                <w:rFonts w:cs="Times New Roman"/>
              </w:rPr>
              <w:t>L</w:t>
            </w:r>
            <w:r w:rsidR="006E1247" w:rsidRPr="00265C1F">
              <w:rPr>
                <w:rFonts w:cs="Times New Roman"/>
              </w:rPr>
              <w:t>ong</w:t>
            </w:r>
            <w:r w:rsidR="006E1247">
              <w:rPr>
                <w:rFonts w:cs="Times New Roman"/>
              </w:rPr>
              <w:t xml:space="preserve"> T</w:t>
            </w:r>
            <w:r w:rsidR="006E1247" w:rsidRPr="00265C1F">
              <w:rPr>
                <w:rFonts w:cs="Times New Roman"/>
              </w:rPr>
              <w:t xml:space="preserve">erm </w:t>
            </w:r>
            <w:r w:rsidR="006E1247">
              <w:rPr>
                <w:rFonts w:cs="Times New Roman"/>
              </w:rPr>
              <w:t>C</w:t>
            </w:r>
            <w:r w:rsidR="006E1247" w:rsidRPr="00265C1F">
              <w:rPr>
                <w:rFonts w:cs="Times New Roman"/>
              </w:rPr>
              <w:t xml:space="preserve">are </w:t>
            </w:r>
            <w:r w:rsidR="006E1247">
              <w:rPr>
                <w:rFonts w:cs="Times New Roman"/>
              </w:rPr>
              <w:t>H</w:t>
            </w:r>
            <w:r w:rsidR="006E1247" w:rsidRPr="00265C1F">
              <w:rPr>
                <w:rFonts w:cs="Times New Roman"/>
              </w:rPr>
              <w:t xml:space="preserve">ospital located </w:t>
            </w:r>
            <w:r w:rsidR="00C74BFC">
              <w:rPr>
                <w:rFonts w:cs="Times New Roman"/>
              </w:rPr>
              <w:t xml:space="preserve">at 111 Huntoon Memorial Highway, </w:t>
            </w:r>
            <w:r w:rsidR="006E1247" w:rsidRPr="00265C1F">
              <w:rPr>
                <w:rFonts w:cs="Times New Roman"/>
              </w:rPr>
              <w:t>Leicester (Rochdale), Massachusetts</w:t>
            </w:r>
            <w:r w:rsidR="00C74BFC">
              <w:rPr>
                <w:rFonts w:cs="Times New Roman"/>
              </w:rPr>
              <w:t xml:space="preserve"> 01542</w:t>
            </w:r>
            <w:r w:rsidR="006E1247" w:rsidRPr="00265C1F">
              <w:rPr>
                <w:rFonts w:cs="Times New Roman"/>
              </w:rPr>
              <w:t xml:space="preserve">. </w:t>
            </w:r>
            <w:r w:rsidR="002F5D1A">
              <w:rPr>
                <w:rFonts w:cs="Times New Roman"/>
              </w:rPr>
              <w:t xml:space="preserve">The </w:t>
            </w:r>
            <w:r w:rsidR="00015228" w:rsidRPr="00265C1F">
              <w:rPr>
                <w:rFonts w:cs="Times New Roman"/>
              </w:rPr>
              <w:t xml:space="preserve">Applicant will acquire the Hospital, including all real property on which the facility is located </w:t>
            </w:r>
            <w:r w:rsidR="00546FC3">
              <w:rPr>
                <w:rFonts w:cs="Times New Roman"/>
              </w:rPr>
              <w:t>as well as</w:t>
            </w:r>
            <w:r w:rsidR="00015228" w:rsidRPr="00265C1F">
              <w:rPr>
                <w:rFonts w:cs="Times New Roman"/>
              </w:rPr>
              <w:t xml:space="preserve"> </w:t>
            </w:r>
            <w:r w:rsidR="00606F9A">
              <w:rPr>
                <w:rFonts w:cs="Times New Roman"/>
              </w:rPr>
              <w:t xml:space="preserve">property </w:t>
            </w:r>
            <w:r w:rsidR="00015228" w:rsidRPr="00265C1F">
              <w:rPr>
                <w:rFonts w:cs="Times New Roman"/>
              </w:rPr>
              <w:t>associated with operating the Hospital</w:t>
            </w:r>
            <w:r w:rsidR="00FA33D0">
              <w:rPr>
                <w:rFonts w:cs="Times New Roman"/>
              </w:rPr>
              <w:t>.</w:t>
            </w:r>
          </w:p>
          <w:p w14:paraId="10CDFED1" w14:textId="77777777" w:rsidR="00645329" w:rsidRPr="00E53597" w:rsidRDefault="00645329" w:rsidP="00186479">
            <w:pPr>
              <w:ind w:left="108" w:right="70"/>
              <w:rPr>
                <w:rFonts w:eastAsia="Calibri"/>
                <w:highlight w:val="yellow"/>
              </w:rPr>
            </w:pPr>
          </w:p>
          <w:p w14:paraId="07AAE77B" w14:textId="41FBD305" w:rsidR="00186479" w:rsidRPr="00FA33D0" w:rsidRDefault="067B7C5E" w:rsidP="00186479">
            <w:pPr>
              <w:ind w:left="108" w:right="70"/>
              <w:rPr>
                <w:rFonts w:eastAsia="Calibri"/>
              </w:rPr>
            </w:pPr>
            <w:r w:rsidRPr="00FA33D0">
              <w:rPr>
                <w:rFonts w:eastAsia="Calibri"/>
              </w:rPr>
              <w:t xml:space="preserve">This Determination of Need (DoN) Application falls within the definition of Transfer of Ownership, which </w:t>
            </w:r>
            <w:r w:rsidR="00A60D53" w:rsidRPr="00FA33D0">
              <w:rPr>
                <w:rFonts w:eastAsia="Calibri"/>
              </w:rPr>
              <w:t>is</w:t>
            </w:r>
            <w:r w:rsidRPr="00FA33D0">
              <w:rPr>
                <w:rFonts w:eastAsia="Calibri"/>
              </w:rPr>
              <w:t xml:space="preserve"> reviewed under the DoN regulation 105 CMR 100.000. The Department must determine that need exists for a Proposed Project, on the basis of material in the record, where the Applicant makes a clear and convincing demonstration that the Proposed Project meets each DoN Factor set forth within 105 CMR 100.210. A DoN Application for a Transfer of Ownership is subject to factors 1, 2, 3, and 4 of the DoN regulation. This staff report addresses each of the</w:t>
            </w:r>
            <w:r w:rsidR="7A00C802" w:rsidRPr="00FA33D0">
              <w:rPr>
                <w:rFonts w:eastAsia="Calibri"/>
              </w:rPr>
              <w:t xml:space="preserve"> required</w:t>
            </w:r>
            <w:r w:rsidRPr="00FA33D0">
              <w:rPr>
                <w:rFonts w:eastAsia="Calibri"/>
              </w:rPr>
              <w:t xml:space="preserve"> four factors set forth in the regulation.</w:t>
            </w:r>
          </w:p>
          <w:p w14:paraId="53897644" w14:textId="247A58B4" w:rsidR="00D113E6" w:rsidRPr="00E53597" w:rsidRDefault="00D113E6" w:rsidP="00186479">
            <w:pPr>
              <w:ind w:left="108" w:right="70"/>
              <w:rPr>
                <w:rFonts w:eastAsia="Calibri"/>
                <w:highlight w:val="yellow"/>
              </w:rPr>
            </w:pPr>
          </w:p>
        </w:tc>
      </w:tr>
    </w:tbl>
    <w:p w14:paraId="0E8E8B60" w14:textId="7590AA91" w:rsidR="00486F29" w:rsidRPr="00E53597" w:rsidRDefault="00486F29" w:rsidP="00FC26AB">
      <w:pPr>
        <w:pStyle w:val="Heading2"/>
        <w:rPr>
          <w:highlight w:val="yellow"/>
        </w:rPr>
      </w:pPr>
    </w:p>
    <w:p w14:paraId="49EC7263" w14:textId="77777777" w:rsidR="00486F29" w:rsidRPr="00D63EDF" w:rsidRDefault="00486F29">
      <w:pPr>
        <w:spacing w:after="200" w:line="276" w:lineRule="auto"/>
        <w:rPr>
          <w:rFonts w:asciiTheme="majorHAnsi" w:eastAsiaTheme="majorEastAsia" w:hAnsiTheme="majorHAnsi" w:cstheme="majorBidi"/>
          <w:b/>
          <w:bCs/>
          <w:color w:val="6076B4" w:themeColor="accent1"/>
          <w:sz w:val="26"/>
          <w:szCs w:val="26"/>
        </w:rPr>
      </w:pPr>
      <w:r w:rsidRPr="00D63EDF">
        <w:br w:type="page"/>
      </w:r>
    </w:p>
    <w:sdt>
      <w:sdtPr>
        <w:rPr>
          <w:rFonts w:asciiTheme="minorHAnsi" w:eastAsiaTheme="minorEastAsia" w:hAnsiTheme="minorHAnsi" w:cstheme="minorBidi"/>
          <w:color w:val="auto"/>
          <w:sz w:val="24"/>
          <w:szCs w:val="24"/>
        </w:rPr>
        <w:id w:val="-372079360"/>
        <w:docPartObj>
          <w:docPartGallery w:val="Table of Contents"/>
          <w:docPartUnique/>
        </w:docPartObj>
      </w:sdtPr>
      <w:sdtEndPr>
        <w:rPr>
          <w:b/>
          <w:bCs/>
          <w:noProof/>
        </w:rPr>
      </w:sdtEndPr>
      <w:sdtContent>
        <w:p w14:paraId="4EE0BB76" w14:textId="404A13E2" w:rsidR="00D63EDF" w:rsidRPr="00836E4E" w:rsidRDefault="00D63EDF">
          <w:pPr>
            <w:pStyle w:val="TOCHeading"/>
            <w:rPr>
              <w:rFonts w:asciiTheme="minorHAnsi" w:hAnsiTheme="minorHAnsi" w:cstheme="minorHAnsi"/>
            </w:rPr>
          </w:pPr>
          <w:r w:rsidRPr="00836E4E">
            <w:rPr>
              <w:rFonts w:asciiTheme="minorHAnsi" w:hAnsiTheme="minorHAnsi" w:cstheme="minorHAnsi"/>
            </w:rPr>
            <w:t>Table of Contents</w:t>
          </w:r>
        </w:p>
        <w:p w14:paraId="6E6BC0CA" w14:textId="7F248A22" w:rsidR="00F87714" w:rsidRDefault="00D63EDF">
          <w:pPr>
            <w:pStyle w:val="TOC1"/>
            <w:rPr>
              <w:rFonts w:asciiTheme="minorHAnsi" w:eastAsiaTheme="minorEastAsia" w:hAnsiTheme="minorHAnsi" w:cstheme="minorBidi"/>
              <w:kern w:val="2"/>
              <w:szCs w:val="24"/>
              <w14:ligatures w14:val="standardContextual"/>
            </w:rPr>
          </w:pPr>
          <w:r>
            <w:fldChar w:fldCharType="begin"/>
          </w:r>
          <w:r>
            <w:instrText xml:space="preserve"> TOC \o "1-3" \h \z \u </w:instrText>
          </w:r>
          <w:r>
            <w:fldChar w:fldCharType="separate"/>
          </w:r>
          <w:hyperlink w:anchor="_Toc203037126" w:history="1">
            <w:r w:rsidR="00F87714" w:rsidRPr="001A33CF">
              <w:rPr>
                <w:rStyle w:val="Hyperlink"/>
              </w:rPr>
              <w:t>Background and Application Overview</w:t>
            </w:r>
            <w:r w:rsidR="00F87714">
              <w:rPr>
                <w:webHidden/>
              </w:rPr>
              <w:tab/>
            </w:r>
            <w:r w:rsidR="00F87714">
              <w:rPr>
                <w:webHidden/>
              </w:rPr>
              <w:fldChar w:fldCharType="begin"/>
            </w:r>
            <w:r w:rsidR="00F87714">
              <w:rPr>
                <w:webHidden/>
              </w:rPr>
              <w:instrText xml:space="preserve"> PAGEREF _Toc203037126 \h </w:instrText>
            </w:r>
            <w:r w:rsidR="00F87714">
              <w:rPr>
                <w:webHidden/>
              </w:rPr>
            </w:r>
            <w:r w:rsidR="00F87714">
              <w:rPr>
                <w:webHidden/>
              </w:rPr>
              <w:fldChar w:fldCharType="separate"/>
            </w:r>
            <w:r w:rsidR="00F87714">
              <w:rPr>
                <w:webHidden/>
              </w:rPr>
              <w:t>3</w:t>
            </w:r>
            <w:r w:rsidR="00F87714">
              <w:rPr>
                <w:webHidden/>
              </w:rPr>
              <w:fldChar w:fldCharType="end"/>
            </w:r>
          </w:hyperlink>
        </w:p>
        <w:p w14:paraId="36CFEDFC" w14:textId="62C8F77D" w:rsidR="00F87714" w:rsidRDefault="00F87714">
          <w:pPr>
            <w:pStyle w:val="TOC1"/>
            <w:rPr>
              <w:rFonts w:asciiTheme="minorHAnsi" w:eastAsiaTheme="minorEastAsia" w:hAnsiTheme="minorHAnsi" w:cstheme="minorBidi"/>
              <w:kern w:val="2"/>
              <w:szCs w:val="24"/>
              <w14:ligatures w14:val="standardContextual"/>
            </w:rPr>
          </w:pPr>
          <w:hyperlink w:anchor="_Toc203037127" w:history="1">
            <w:r w:rsidRPr="001A33CF">
              <w:rPr>
                <w:rStyle w:val="Hyperlink"/>
              </w:rPr>
              <w:t>Patient Panel</w:t>
            </w:r>
            <w:r>
              <w:rPr>
                <w:webHidden/>
              </w:rPr>
              <w:tab/>
            </w:r>
            <w:r>
              <w:rPr>
                <w:webHidden/>
              </w:rPr>
              <w:fldChar w:fldCharType="begin"/>
            </w:r>
            <w:r>
              <w:rPr>
                <w:webHidden/>
              </w:rPr>
              <w:instrText xml:space="preserve"> PAGEREF _Toc203037127 \h </w:instrText>
            </w:r>
            <w:r>
              <w:rPr>
                <w:webHidden/>
              </w:rPr>
            </w:r>
            <w:r>
              <w:rPr>
                <w:webHidden/>
              </w:rPr>
              <w:fldChar w:fldCharType="separate"/>
            </w:r>
            <w:r>
              <w:rPr>
                <w:webHidden/>
              </w:rPr>
              <w:t>4</w:t>
            </w:r>
            <w:r>
              <w:rPr>
                <w:webHidden/>
              </w:rPr>
              <w:fldChar w:fldCharType="end"/>
            </w:r>
          </w:hyperlink>
        </w:p>
        <w:p w14:paraId="61E9A5E6" w14:textId="5E5C4734" w:rsidR="00F87714" w:rsidRDefault="00F87714">
          <w:pPr>
            <w:pStyle w:val="TOC1"/>
            <w:rPr>
              <w:rFonts w:asciiTheme="minorHAnsi" w:eastAsiaTheme="minorEastAsia" w:hAnsiTheme="minorHAnsi" w:cstheme="minorBidi"/>
              <w:kern w:val="2"/>
              <w:szCs w:val="24"/>
              <w14:ligatures w14:val="standardContextual"/>
            </w:rPr>
          </w:pPr>
          <w:hyperlink w:anchor="_Toc203037128" w:history="1">
            <w:r w:rsidRPr="001A33CF">
              <w:rPr>
                <w:rStyle w:val="Hyperlink"/>
                <w:rFonts w:eastAsia="Calibri"/>
              </w:rPr>
              <w:t>Factor 1a: Patient Panel Need</w:t>
            </w:r>
            <w:r>
              <w:rPr>
                <w:webHidden/>
              </w:rPr>
              <w:tab/>
            </w:r>
            <w:r>
              <w:rPr>
                <w:webHidden/>
              </w:rPr>
              <w:fldChar w:fldCharType="begin"/>
            </w:r>
            <w:r>
              <w:rPr>
                <w:webHidden/>
              </w:rPr>
              <w:instrText xml:space="preserve"> PAGEREF _Toc203037128 \h </w:instrText>
            </w:r>
            <w:r>
              <w:rPr>
                <w:webHidden/>
              </w:rPr>
            </w:r>
            <w:r>
              <w:rPr>
                <w:webHidden/>
              </w:rPr>
              <w:fldChar w:fldCharType="separate"/>
            </w:r>
            <w:r>
              <w:rPr>
                <w:webHidden/>
              </w:rPr>
              <w:t>6</w:t>
            </w:r>
            <w:r>
              <w:rPr>
                <w:webHidden/>
              </w:rPr>
              <w:fldChar w:fldCharType="end"/>
            </w:r>
          </w:hyperlink>
        </w:p>
        <w:p w14:paraId="5B8E6216" w14:textId="336EB8A1" w:rsidR="00F87714" w:rsidRDefault="00F87714">
          <w:pPr>
            <w:pStyle w:val="TOC2"/>
            <w:rPr>
              <w:rFonts w:eastAsiaTheme="minorEastAsia" w:cstheme="minorBidi"/>
              <w:color w:val="auto"/>
              <w:kern w:val="2"/>
              <w14:ligatures w14:val="standardContextual"/>
            </w:rPr>
          </w:pPr>
          <w:hyperlink w:anchor="_Toc203037129" w:history="1">
            <w:r w:rsidRPr="001A33CF">
              <w:rPr>
                <w:rStyle w:val="Hyperlink"/>
              </w:rPr>
              <w:t>Factor 1: b) Public health value, improved health outcomes and quality of life; assurances of health equity</w:t>
            </w:r>
            <w:r>
              <w:rPr>
                <w:webHidden/>
              </w:rPr>
              <w:tab/>
            </w:r>
            <w:r>
              <w:rPr>
                <w:webHidden/>
              </w:rPr>
              <w:fldChar w:fldCharType="begin"/>
            </w:r>
            <w:r>
              <w:rPr>
                <w:webHidden/>
              </w:rPr>
              <w:instrText xml:space="preserve"> PAGEREF _Toc203037129 \h </w:instrText>
            </w:r>
            <w:r>
              <w:rPr>
                <w:webHidden/>
              </w:rPr>
            </w:r>
            <w:r>
              <w:rPr>
                <w:webHidden/>
              </w:rPr>
              <w:fldChar w:fldCharType="separate"/>
            </w:r>
            <w:r>
              <w:rPr>
                <w:webHidden/>
              </w:rPr>
              <w:t>11</w:t>
            </w:r>
            <w:r>
              <w:rPr>
                <w:webHidden/>
              </w:rPr>
              <w:fldChar w:fldCharType="end"/>
            </w:r>
          </w:hyperlink>
        </w:p>
        <w:p w14:paraId="0055D7AA" w14:textId="5CBE0E70" w:rsidR="00F87714" w:rsidRDefault="00F87714">
          <w:pPr>
            <w:pStyle w:val="TOC1"/>
            <w:rPr>
              <w:rFonts w:asciiTheme="minorHAnsi" w:eastAsiaTheme="minorEastAsia" w:hAnsiTheme="minorHAnsi" w:cstheme="minorBidi"/>
              <w:kern w:val="2"/>
              <w:szCs w:val="24"/>
              <w14:ligatures w14:val="standardContextual"/>
            </w:rPr>
          </w:pPr>
          <w:hyperlink w:anchor="_Toc203037130" w:history="1">
            <w:r w:rsidRPr="001A33CF">
              <w:rPr>
                <w:rStyle w:val="Hyperlink"/>
              </w:rPr>
              <w:t>Factor 1: c) Efficiency, Continuity of Care, Coordination of Care</w:t>
            </w:r>
            <w:r>
              <w:rPr>
                <w:webHidden/>
              </w:rPr>
              <w:tab/>
            </w:r>
            <w:r>
              <w:rPr>
                <w:webHidden/>
              </w:rPr>
              <w:fldChar w:fldCharType="begin"/>
            </w:r>
            <w:r>
              <w:rPr>
                <w:webHidden/>
              </w:rPr>
              <w:instrText xml:space="preserve"> PAGEREF _Toc203037130 \h </w:instrText>
            </w:r>
            <w:r>
              <w:rPr>
                <w:webHidden/>
              </w:rPr>
            </w:r>
            <w:r>
              <w:rPr>
                <w:webHidden/>
              </w:rPr>
              <w:fldChar w:fldCharType="separate"/>
            </w:r>
            <w:r>
              <w:rPr>
                <w:webHidden/>
              </w:rPr>
              <w:t>12</w:t>
            </w:r>
            <w:r>
              <w:rPr>
                <w:webHidden/>
              </w:rPr>
              <w:fldChar w:fldCharType="end"/>
            </w:r>
          </w:hyperlink>
        </w:p>
        <w:p w14:paraId="783F36EC" w14:textId="6DC50D1E" w:rsidR="00F87714" w:rsidRDefault="00F87714">
          <w:pPr>
            <w:pStyle w:val="TOC1"/>
            <w:rPr>
              <w:rFonts w:asciiTheme="minorHAnsi" w:eastAsiaTheme="minorEastAsia" w:hAnsiTheme="minorHAnsi" w:cstheme="minorBidi"/>
              <w:kern w:val="2"/>
              <w:szCs w:val="24"/>
              <w14:ligatures w14:val="standardContextual"/>
            </w:rPr>
          </w:pPr>
          <w:hyperlink w:anchor="_Toc203037131" w:history="1">
            <w:r w:rsidRPr="001A33CF">
              <w:rPr>
                <w:rStyle w:val="Hyperlink"/>
              </w:rPr>
              <w:t>Factor 1: d) Consultation</w:t>
            </w:r>
            <w:r>
              <w:rPr>
                <w:webHidden/>
              </w:rPr>
              <w:tab/>
            </w:r>
            <w:r>
              <w:rPr>
                <w:webHidden/>
              </w:rPr>
              <w:fldChar w:fldCharType="begin"/>
            </w:r>
            <w:r>
              <w:rPr>
                <w:webHidden/>
              </w:rPr>
              <w:instrText xml:space="preserve"> PAGEREF _Toc203037131 \h </w:instrText>
            </w:r>
            <w:r>
              <w:rPr>
                <w:webHidden/>
              </w:rPr>
            </w:r>
            <w:r>
              <w:rPr>
                <w:webHidden/>
              </w:rPr>
              <w:fldChar w:fldCharType="separate"/>
            </w:r>
            <w:r>
              <w:rPr>
                <w:webHidden/>
              </w:rPr>
              <w:t>13</w:t>
            </w:r>
            <w:r>
              <w:rPr>
                <w:webHidden/>
              </w:rPr>
              <w:fldChar w:fldCharType="end"/>
            </w:r>
          </w:hyperlink>
        </w:p>
        <w:p w14:paraId="2C2AF559" w14:textId="666B0822" w:rsidR="00F87714" w:rsidRDefault="00F87714">
          <w:pPr>
            <w:pStyle w:val="TOC1"/>
            <w:rPr>
              <w:rFonts w:asciiTheme="minorHAnsi" w:eastAsiaTheme="minorEastAsia" w:hAnsiTheme="minorHAnsi" w:cstheme="minorBidi"/>
              <w:kern w:val="2"/>
              <w:szCs w:val="24"/>
              <w14:ligatures w14:val="standardContextual"/>
            </w:rPr>
          </w:pPr>
          <w:hyperlink w:anchor="_Toc203037132" w:history="1">
            <w:r w:rsidRPr="001A33CF">
              <w:rPr>
                <w:rStyle w:val="Hyperlink"/>
              </w:rPr>
              <w:t>Factor 1: e) Evidence of Sound Community Engagement through the Patient Panel</w:t>
            </w:r>
            <w:r>
              <w:rPr>
                <w:webHidden/>
              </w:rPr>
              <w:tab/>
            </w:r>
            <w:r>
              <w:rPr>
                <w:webHidden/>
              </w:rPr>
              <w:fldChar w:fldCharType="begin"/>
            </w:r>
            <w:r>
              <w:rPr>
                <w:webHidden/>
              </w:rPr>
              <w:instrText xml:space="preserve"> PAGEREF _Toc203037132 \h </w:instrText>
            </w:r>
            <w:r>
              <w:rPr>
                <w:webHidden/>
              </w:rPr>
            </w:r>
            <w:r>
              <w:rPr>
                <w:webHidden/>
              </w:rPr>
              <w:fldChar w:fldCharType="separate"/>
            </w:r>
            <w:r>
              <w:rPr>
                <w:webHidden/>
              </w:rPr>
              <w:t>13</w:t>
            </w:r>
            <w:r>
              <w:rPr>
                <w:webHidden/>
              </w:rPr>
              <w:fldChar w:fldCharType="end"/>
            </w:r>
          </w:hyperlink>
        </w:p>
        <w:p w14:paraId="071311B4" w14:textId="04985765" w:rsidR="00F87714" w:rsidRDefault="00F87714">
          <w:pPr>
            <w:pStyle w:val="TOC1"/>
            <w:rPr>
              <w:rFonts w:asciiTheme="minorHAnsi" w:eastAsiaTheme="minorEastAsia" w:hAnsiTheme="minorHAnsi" w:cstheme="minorBidi"/>
              <w:kern w:val="2"/>
              <w:szCs w:val="24"/>
              <w14:ligatures w14:val="standardContextual"/>
            </w:rPr>
          </w:pPr>
          <w:hyperlink w:anchor="_Toc203037133" w:history="1">
            <w:r w:rsidRPr="001A33CF">
              <w:rPr>
                <w:rStyle w:val="Hyperlink"/>
              </w:rPr>
              <w:t>Factor 1: f) Competition on Price, Total Medical Expenses (TME), Costs and Other Measures of Health Care Spending</w:t>
            </w:r>
            <w:r>
              <w:rPr>
                <w:webHidden/>
              </w:rPr>
              <w:tab/>
            </w:r>
            <w:r>
              <w:rPr>
                <w:webHidden/>
              </w:rPr>
              <w:fldChar w:fldCharType="begin"/>
            </w:r>
            <w:r>
              <w:rPr>
                <w:webHidden/>
              </w:rPr>
              <w:instrText xml:space="preserve"> PAGEREF _Toc203037133 \h </w:instrText>
            </w:r>
            <w:r>
              <w:rPr>
                <w:webHidden/>
              </w:rPr>
            </w:r>
            <w:r>
              <w:rPr>
                <w:webHidden/>
              </w:rPr>
              <w:fldChar w:fldCharType="separate"/>
            </w:r>
            <w:r>
              <w:rPr>
                <w:webHidden/>
              </w:rPr>
              <w:t>14</w:t>
            </w:r>
            <w:r>
              <w:rPr>
                <w:webHidden/>
              </w:rPr>
              <w:fldChar w:fldCharType="end"/>
            </w:r>
          </w:hyperlink>
        </w:p>
        <w:p w14:paraId="019AECFA" w14:textId="12E52F22" w:rsidR="00F87714" w:rsidRDefault="00F87714">
          <w:pPr>
            <w:pStyle w:val="TOC2"/>
            <w:rPr>
              <w:rFonts w:eastAsiaTheme="minorEastAsia" w:cstheme="minorBidi"/>
              <w:color w:val="auto"/>
              <w:kern w:val="2"/>
              <w14:ligatures w14:val="standardContextual"/>
            </w:rPr>
          </w:pPr>
          <w:hyperlink w:anchor="_Toc203037134" w:history="1">
            <w:r w:rsidRPr="001A33CF">
              <w:rPr>
                <w:rStyle w:val="Hyperlink"/>
                <w:i/>
                <w:iCs/>
              </w:rPr>
              <w:t>Summary, FACTOR 1</w:t>
            </w:r>
            <w:r>
              <w:rPr>
                <w:webHidden/>
              </w:rPr>
              <w:tab/>
            </w:r>
            <w:r>
              <w:rPr>
                <w:webHidden/>
              </w:rPr>
              <w:fldChar w:fldCharType="begin"/>
            </w:r>
            <w:r>
              <w:rPr>
                <w:webHidden/>
              </w:rPr>
              <w:instrText xml:space="preserve"> PAGEREF _Toc203037134 \h </w:instrText>
            </w:r>
            <w:r>
              <w:rPr>
                <w:webHidden/>
              </w:rPr>
            </w:r>
            <w:r>
              <w:rPr>
                <w:webHidden/>
              </w:rPr>
              <w:fldChar w:fldCharType="separate"/>
            </w:r>
            <w:r>
              <w:rPr>
                <w:webHidden/>
              </w:rPr>
              <w:t>15</w:t>
            </w:r>
            <w:r>
              <w:rPr>
                <w:webHidden/>
              </w:rPr>
              <w:fldChar w:fldCharType="end"/>
            </w:r>
          </w:hyperlink>
        </w:p>
        <w:p w14:paraId="2F81EA58" w14:textId="2F89DB44" w:rsidR="00F87714" w:rsidRDefault="00F87714">
          <w:pPr>
            <w:pStyle w:val="TOC1"/>
            <w:rPr>
              <w:rFonts w:asciiTheme="minorHAnsi" w:eastAsiaTheme="minorEastAsia" w:hAnsiTheme="minorHAnsi" w:cstheme="minorBidi"/>
              <w:kern w:val="2"/>
              <w:szCs w:val="24"/>
              <w14:ligatures w14:val="standardContextual"/>
            </w:rPr>
          </w:pPr>
          <w:hyperlink w:anchor="_Toc203037135" w:history="1">
            <w:r w:rsidRPr="001A33CF">
              <w:rPr>
                <w:rStyle w:val="Hyperlink"/>
              </w:rPr>
              <w:t>Factor 2: Cost Containment, Improved Public Health Outcomes and Delivery System Transformation</w:t>
            </w:r>
            <w:r>
              <w:rPr>
                <w:webHidden/>
              </w:rPr>
              <w:tab/>
            </w:r>
            <w:r>
              <w:rPr>
                <w:webHidden/>
              </w:rPr>
              <w:fldChar w:fldCharType="begin"/>
            </w:r>
            <w:r>
              <w:rPr>
                <w:webHidden/>
              </w:rPr>
              <w:instrText xml:space="preserve"> PAGEREF _Toc203037135 \h </w:instrText>
            </w:r>
            <w:r>
              <w:rPr>
                <w:webHidden/>
              </w:rPr>
            </w:r>
            <w:r>
              <w:rPr>
                <w:webHidden/>
              </w:rPr>
              <w:fldChar w:fldCharType="separate"/>
            </w:r>
            <w:r>
              <w:rPr>
                <w:webHidden/>
              </w:rPr>
              <w:t>15</w:t>
            </w:r>
            <w:r>
              <w:rPr>
                <w:webHidden/>
              </w:rPr>
              <w:fldChar w:fldCharType="end"/>
            </w:r>
          </w:hyperlink>
        </w:p>
        <w:p w14:paraId="2607FC4D" w14:textId="5BCE87D7" w:rsidR="00F87714" w:rsidRDefault="00F87714">
          <w:pPr>
            <w:pStyle w:val="TOC1"/>
            <w:rPr>
              <w:rFonts w:asciiTheme="minorHAnsi" w:eastAsiaTheme="minorEastAsia" w:hAnsiTheme="minorHAnsi" w:cstheme="minorBidi"/>
              <w:kern w:val="2"/>
              <w:szCs w:val="24"/>
              <w14:ligatures w14:val="standardContextual"/>
            </w:rPr>
          </w:pPr>
          <w:hyperlink w:anchor="_Toc203037136" w:history="1">
            <w:r w:rsidRPr="001A33CF">
              <w:rPr>
                <w:rStyle w:val="Hyperlink"/>
                <w:rFonts w:cstheme="minorHAnsi"/>
              </w:rPr>
              <w:t>Summary, FACTOR 2</w:t>
            </w:r>
            <w:r>
              <w:rPr>
                <w:webHidden/>
              </w:rPr>
              <w:tab/>
            </w:r>
            <w:r>
              <w:rPr>
                <w:webHidden/>
              </w:rPr>
              <w:fldChar w:fldCharType="begin"/>
            </w:r>
            <w:r>
              <w:rPr>
                <w:webHidden/>
              </w:rPr>
              <w:instrText xml:space="preserve"> PAGEREF _Toc203037136 \h </w:instrText>
            </w:r>
            <w:r>
              <w:rPr>
                <w:webHidden/>
              </w:rPr>
            </w:r>
            <w:r>
              <w:rPr>
                <w:webHidden/>
              </w:rPr>
              <w:fldChar w:fldCharType="separate"/>
            </w:r>
            <w:r>
              <w:rPr>
                <w:webHidden/>
              </w:rPr>
              <w:t>18</w:t>
            </w:r>
            <w:r>
              <w:rPr>
                <w:webHidden/>
              </w:rPr>
              <w:fldChar w:fldCharType="end"/>
            </w:r>
          </w:hyperlink>
        </w:p>
        <w:p w14:paraId="1B66DC25" w14:textId="75E01F71" w:rsidR="00F87714" w:rsidRDefault="00F87714">
          <w:pPr>
            <w:pStyle w:val="TOC1"/>
            <w:rPr>
              <w:rFonts w:asciiTheme="minorHAnsi" w:eastAsiaTheme="minorEastAsia" w:hAnsiTheme="minorHAnsi" w:cstheme="minorBidi"/>
              <w:kern w:val="2"/>
              <w:szCs w:val="24"/>
              <w14:ligatures w14:val="standardContextual"/>
            </w:rPr>
          </w:pPr>
          <w:hyperlink w:anchor="_Toc203037137" w:history="1">
            <w:r w:rsidRPr="001A33CF">
              <w:rPr>
                <w:rStyle w:val="Hyperlink"/>
              </w:rPr>
              <w:t>Factor 3: Relevant Licensure/Oversight Compliance</w:t>
            </w:r>
            <w:r>
              <w:rPr>
                <w:webHidden/>
              </w:rPr>
              <w:tab/>
            </w:r>
            <w:r>
              <w:rPr>
                <w:webHidden/>
              </w:rPr>
              <w:fldChar w:fldCharType="begin"/>
            </w:r>
            <w:r>
              <w:rPr>
                <w:webHidden/>
              </w:rPr>
              <w:instrText xml:space="preserve"> PAGEREF _Toc203037137 \h </w:instrText>
            </w:r>
            <w:r>
              <w:rPr>
                <w:webHidden/>
              </w:rPr>
            </w:r>
            <w:r>
              <w:rPr>
                <w:webHidden/>
              </w:rPr>
              <w:fldChar w:fldCharType="separate"/>
            </w:r>
            <w:r>
              <w:rPr>
                <w:webHidden/>
              </w:rPr>
              <w:t>18</w:t>
            </w:r>
            <w:r>
              <w:rPr>
                <w:webHidden/>
              </w:rPr>
              <w:fldChar w:fldCharType="end"/>
            </w:r>
          </w:hyperlink>
        </w:p>
        <w:p w14:paraId="5418422E" w14:textId="092991F0" w:rsidR="00F87714" w:rsidRDefault="00F87714">
          <w:pPr>
            <w:pStyle w:val="TOC1"/>
            <w:rPr>
              <w:rFonts w:asciiTheme="minorHAnsi" w:eastAsiaTheme="minorEastAsia" w:hAnsiTheme="minorHAnsi" w:cstheme="minorBidi"/>
              <w:kern w:val="2"/>
              <w:szCs w:val="24"/>
              <w14:ligatures w14:val="standardContextual"/>
            </w:rPr>
          </w:pPr>
          <w:hyperlink w:anchor="_Toc203037138" w:history="1">
            <w:r w:rsidRPr="001A33CF">
              <w:rPr>
                <w:rStyle w:val="Hyperlink"/>
              </w:rPr>
              <w:t>Factor 4: Demonstration of Sufficient Funds Independent CPA Analysis</w:t>
            </w:r>
            <w:r>
              <w:rPr>
                <w:webHidden/>
              </w:rPr>
              <w:tab/>
            </w:r>
            <w:r>
              <w:rPr>
                <w:webHidden/>
              </w:rPr>
              <w:fldChar w:fldCharType="begin"/>
            </w:r>
            <w:r>
              <w:rPr>
                <w:webHidden/>
              </w:rPr>
              <w:instrText xml:space="preserve"> PAGEREF _Toc203037138 \h </w:instrText>
            </w:r>
            <w:r>
              <w:rPr>
                <w:webHidden/>
              </w:rPr>
            </w:r>
            <w:r>
              <w:rPr>
                <w:webHidden/>
              </w:rPr>
              <w:fldChar w:fldCharType="separate"/>
            </w:r>
            <w:r>
              <w:rPr>
                <w:webHidden/>
              </w:rPr>
              <w:t>19</w:t>
            </w:r>
            <w:r>
              <w:rPr>
                <w:webHidden/>
              </w:rPr>
              <w:fldChar w:fldCharType="end"/>
            </w:r>
          </w:hyperlink>
        </w:p>
        <w:p w14:paraId="41AFD2E3" w14:textId="4355E23C" w:rsidR="00F87714" w:rsidRDefault="00F87714">
          <w:pPr>
            <w:pStyle w:val="TOC1"/>
            <w:rPr>
              <w:rFonts w:asciiTheme="minorHAnsi" w:eastAsiaTheme="minorEastAsia" w:hAnsiTheme="minorHAnsi" w:cstheme="minorBidi"/>
              <w:kern w:val="2"/>
              <w:szCs w:val="24"/>
              <w14:ligatures w14:val="standardContextual"/>
            </w:rPr>
          </w:pPr>
          <w:hyperlink w:anchor="_Toc203037139" w:history="1">
            <w:r w:rsidRPr="001A33CF">
              <w:rPr>
                <w:rStyle w:val="Hyperlink"/>
              </w:rPr>
              <w:t>Factor 5: Relative Merit</w:t>
            </w:r>
            <w:r>
              <w:rPr>
                <w:webHidden/>
              </w:rPr>
              <w:tab/>
            </w:r>
            <w:r>
              <w:rPr>
                <w:webHidden/>
              </w:rPr>
              <w:fldChar w:fldCharType="begin"/>
            </w:r>
            <w:r>
              <w:rPr>
                <w:webHidden/>
              </w:rPr>
              <w:instrText xml:space="preserve"> PAGEREF _Toc203037139 \h </w:instrText>
            </w:r>
            <w:r>
              <w:rPr>
                <w:webHidden/>
              </w:rPr>
            </w:r>
            <w:r>
              <w:rPr>
                <w:webHidden/>
              </w:rPr>
              <w:fldChar w:fldCharType="separate"/>
            </w:r>
            <w:r>
              <w:rPr>
                <w:webHidden/>
              </w:rPr>
              <w:t>20</w:t>
            </w:r>
            <w:r>
              <w:rPr>
                <w:webHidden/>
              </w:rPr>
              <w:fldChar w:fldCharType="end"/>
            </w:r>
          </w:hyperlink>
        </w:p>
        <w:p w14:paraId="113A2D7A" w14:textId="14C26654" w:rsidR="00F87714" w:rsidRDefault="00F87714">
          <w:pPr>
            <w:pStyle w:val="TOC1"/>
            <w:rPr>
              <w:rFonts w:asciiTheme="minorHAnsi" w:eastAsiaTheme="minorEastAsia" w:hAnsiTheme="minorHAnsi" w:cstheme="minorBidi"/>
              <w:kern w:val="2"/>
              <w:szCs w:val="24"/>
              <w14:ligatures w14:val="standardContextual"/>
            </w:rPr>
          </w:pPr>
          <w:hyperlink w:anchor="_Toc203037140" w:history="1">
            <w:r w:rsidRPr="001A33CF">
              <w:rPr>
                <w:rStyle w:val="Hyperlink"/>
                <w:i/>
                <w:iCs/>
              </w:rPr>
              <w:t>Transfers of Ownership are exempt from this factor.</w:t>
            </w:r>
            <w:r>
              <w:rPr>
                <w:webHidden/>
              </w:rPr>
              <w:tab/>
            </w:r>
            <w:r>
              <w:rPr>
                <w:webHidden/>
              </w:rPr>
              <w:fldChar w:fldCharType="begin"/>
            </w:r>
            <w:r>
              <w:rPr>
                <w:webHidden/>
              </w:rPr>
              <w:instrText xml:space="preserve"> PAGEREF _Toc203037140 \h </w:instrText>
            </w:r>
            <w:r>
              <w:rPr>
                <w:webHidden/>
              </w:rPr>
            </w:r>
            <w:r>
              <w:rPr>
                <w:webHidden/>
              </w:rPr>
              <w:fldChar w:fldCharType="separate"/>
            </w:r>
            <w:r>
              <w:rPr>
                <w:webHidden/>
              </w:rPr>
              <w:t>20</w:t>
            </w:r>
            <w:r>
              <w:rPr>
                <w:webHidden/>
              </w:rPr>
              <w:fldChar w:fldCharType="end"/>
            </w:r>
          </w:hyperlink>
        </w:p>
        <w:p w14:paraId="7FEF6115" w14:textId="2247C481" w:rsidR="00F87714" w:rsidRDefault="00F87714">
          <w:pPr>
            <w:pStyle w:val="TOC1"/>
            <w:rPr>
              <w:rFonts w:asciiTheme="minorHAnsi" w:eastAsiaTheme="minorEastAsia" w:hAnsiTheme="minorHAnsi" w:cstheme="minorBidi"/>
              <w:kern w:val="2"/>
              <w:szCs w:val="24"/>
              <w14:ligatures w14:val="standardContextual"/>
            </w:rPr>
          </w:pPr>
          <w:hyperlink w:anchor="_Toc203037141" w:history="1">
            <w:r w:rsidRPr="001A33CF">
              <w:rPr>
                <w:rStyle w:val="Hyperlink"/>
                <w:rFonts w:eastAsia="Times New Roman"/>
              </w:rPr>
              <w:t>Factor 6: Community-based Health Initiatives</w:t>
            </w:r>
            <w:r>
              <w:rPr>
                <w:webHidden/>
              </w:rPr>
              <w:tab/>
            </w:r>
            <w:r>
              <w:rPr>
                <w:webHidden/>
              </w:rPr>
              <w:fldChar w:fldCharType="begin"/>
            </w:r>
            <w:r>
              <w:rPr>
                <w:webHidden/>
              </w:rPr>
              <w:instrText xml:space="preserve"> PAGEREF _Toc203037141 \h </w:instrText>
            </w:r>
            <w:r>
              <w:rPr>
                <w:webHidden/>
              </w:rPr>
            </w:r>
            <w:r>
              <w:rPr>
                <w:webHidden/>
              </w:rPr>
              <w:fldChar w:fldCharType="separate"/>
            </w:r>
            <w:r>
              <w:rPr>
                <w:webHidden/>
              </w:rPr>
              <w:t>20</w:t>
            </w:r>
            <w:r>
              <w:rPr>
                <w:webHidden/>
              </w:rPr>
              <w:fldChar w:fldCharType="end"/>
            </w:r>
          </w:hyperlink>
        </w:p>
        <w:p w14:paraId="1D6C5293" w14:textId="5CEAA562" w:rsidR="00F87714" w:rsidRDefault="00F87714">
          <w:pPr>
            <w:pStyle w:val="TOC1"/>
            <w:rPr>
              <w:rFonts w:asciiTheme="minorHAnsi" w:eastAsiaTheme="minorEastAsia" w:hAnsiTheme="minorHAnsi" w:cstheme="minorBidi"/>
              <w:kern w:val="2"/>
              <w:szCs w:val="24"/>
              <w14:ligatures w14:val="standardContextual"/>
            </w:rPr>
          </w:pPr>
          <w:hyperlink w:anchor="_Toc203037142" w:history="1">
            <w:r w:rsidRPr="001A33CF">
              <w:rPr>
                <w:rStyle w:val="Hyperlink"/>
                <w:i/>
                <w:iCs/>
              </w:rPr>
              <w:t>Transfers of Ownership are exempt from this factor.</w:t>
            </w:r>
            <w:r>
              <w:rPr>
                <w:webHidden/>
              </w:rPr>
              <w:tab/>
            </w:r>
            <w:r>
              <w:rPr>
                <w:webHidden/>
              </w:rPr>
              <w:fldChar w:fldCharType="begin"/>
            </w:r>
            <w:r>
              <w:rPr>
                <w:webHidden/>
              </w:rPr>
              <w:instrText xml:space="preserve"> PAGEREF _Toc203037142 \h </w:instrText>
            </w:r>
            <w:r>
              <w:rPr>
                <w:webHidden/>
              </w:rPr>
            </w:r>
            <w:r>
              <w:rPr>
                <w:webHidden/>
              </w:rPr>
              <w:fldChar w:fldCharType="separate"/>
            </w:r>
            <w:r>
              <w:rPr>
                <w:webHidden/>
              </w:rPr>
              <w:t>20</w:t>
            </w:r>
            <w:r>
              <w:rPr>
                <w:webHidden/>
              </w:rPr>
              <w:fldChar w:fldCharType="end"/>
            </w:r>
          </w:hyperlink>
        </w:p>
        <w:p w14:paraId="5FA89343" w14:textId="5955469F" w:rsidR="00F87714" w:rsidRDefault="00F87714">
          <w:pPr>
            <w:pStyle w:val="TOC1"/>
            <w:rPr>
              <w:rFonts w:asciiTheme="minorHAnsi" w:eastAsiaTheme="minorEastAsia" w:hAnsiTheme="minorHAnsi" w:cstheme="minorBidi"/>
              <w:kern w:val="2"/>
              <w:szCs w:val="24"/>
              <w14:ligatures w14:val="standardContextual"/>
            </w:rPr>
          </w:pPr>
          <w:hyperlink w:anchor="_Toc203037143" w:history="1">
            <w:r w:rsidRPr="001A33CF">
              <w:rPr>
                <w:rStyle w:val="Hyperlink"/>
              </w:rPr>
              <w:t>Findings and Recommendations</w:t>
            </w:r>
            <w:r>
              <w:rPr>
                <w:webHidden/>
              </w:rPr>
              <w:tab/>
            </w:r>
            <w:r>
              <w:rPr>
                <w:webHidden/>
              </w:rPr>
              <w:fldChar w:fldCharType="begin"/>
            </w:r>
            <w:r>
              <w:rPr>
                <w:webHidden/>
              </w:rPr>
              <w:instrText xml:space="preserve"> PAGEREF _Toc203037143 \h </w:instrText>
            </w:r>
            <w:r>
              <w:rPr>
                <w:webHidden/>
              </w:rPr>
            </w:r>
            <w:r>
              <w:rPr>
                <w:webHidden/>
              </w:rPr>
              <w:fldChar w:fldCharType="separate"/>
            </w:r>
            <w:r>
              <w:rPr>
                <w:webHidden/>
              </w:rPr>
              <w:t>20</w:t>
            </w:r>
            <w:r>
              <w:rPr>
                <w:webHidden/>
              </w:rPr>
              <w:fldChar w:fldCharType="end"/>
            </w:r>
          </w:hyperlink>
        </w:p>
        <w:p w14:paraId="61266494" w14:textId="3DD4BCF3" w:rsidR="00F87714" w:rsidRDefault="00F87714">
          <w:pPr>
            <w:pStyle w:val="TOC1"/>
            <w:rPr>
              <w:rFonts w:asciiTheme="minorHAnsi" w:eastAsiaTheme="minorEastAsia" w:hAnsiTheme="minorHAnsi" w:cstheme="minorBidi"/>
              <w:kern w:val="2"/>
              <w:szCs w:val="24"/>
              <w14:ligatures w14:val="standardContextual"/>
            </w:rPr>
          </w:pPr>
          <w:hyperlink w:anchor="_Toc203037144" w:history="1">
            <w:r w:rsidRPr="001A33CF">
              <w:rPr>
                <w:rStyle w:val="Hyperlink"/>
                <w:rFonts w:cstheme="minorHAnsi"/>
              </w:rPr>
              <w:t>Appendix I: Measures for Annual Reporting</w:t>
            </w:r>
            <w:r>
              <w:rPr>
                <w:webHidden/>
              </w:rPr>
              <w:tab/>
            </w:r>
            <w:r>
              <w:rPr>
                <w:webHidden/>
              </w:rPr>
              <w:fldChar w:fldCharType="begin"/>
            </w:r>
            <w:r>
              <w:rPr>
                <w:webHidden/>
              </w:rPr>
              <w:instrText xml:space="preserve"> PAGEREF _Toc203037144 \h </w:instrText>
            </w:r>
            <w:r>
              <w:rPr>
                <w:webHidden/>
              </w:rPr>
            </w:r>
            <w:r>
              <w:rPr>
                <w:webHidden/>
              </w:rPr>
              <w:fldChar w:fldCharType="separate"/>
            </w:r>
            <w:r>
              <w:rPr>
                <w:webHidden/>
              </w:rPr>
              <w:t>20</w:t>
            </w:r>
            <w:r>
              <w:rPr>
                <w:webHidden/>
              </w:rPr>
              <w:fldChar w:fldCharType="end"/>
            </w:r>
          </w:hyperlink>
        </w:p>
        <w:p w14:paraId="18ED698B" w14:textId="2CC86AB7" w:rsidR="00F87714" w:rsidRDefault="00F87714">
          <w:pPr>
            <w:pStyle w:val="TOC1"/>
            <w:rPr>
              <w:rFonts w:asciiTheme="minorHAnsi" w:eastAsiaTheme="minorEastAsia" w:hAnsiTheme="minorHAnsi" w:cstheme="minorBidi"/>
              <w:kern w:val="2"/>
              <w:szCs w:val="24"/>
              <w14:ligatures w14:val="standardContextual"/>
            </w:rPr>
          </w:pPr>
          <w:hyperlink w:anchor="_Toc203037145" w:history="1">
            <w:r w:rsidRPr="001A33CF">
              <w:rPr>
                <w:rStyle w:val="Hyperlink"/>
                <w:rFonts w:cstheme="minorHAnsi"/>
                <w:iCs/>
              </w:rPr>
              <w:t>REFERENCES</w:t>
            </w:r>
            <w:r>
              <w:rPr>
                <w:webHidden/>
              </w:rPr>
              <w:tab/>
            </w:r>
            <w:r>
              <w:rPr>
                <w:webHidden/>
              </w:rPr>
              <w:fldChar w:fldCharType="begin"/>
            </w:r>
            <w:r>
              <w:rPr>
                <w:webHidden/>
              </w:rPr>
              <w:instrText xml:space="preserve"> PAGEREF _Toc203037145 \h </w:instrText>
            </w:r>
            <w:r>
              <w:rPr>
                <w:webHidden/>
              </w:rPr>
            </w:r>
            <w:r>
              <w:rPr>
                <w:webHidden/>
              </w:rPr>
              <w:fldChar w:fldCharType="separate"/>
            </w:r>
            <w:r>
              <w:rPr>
                <w:webHidden/>
              </w:rPr>
              <w:t>22</w:t>
            </w:r>
            <w:r>
              <w:rPr>
                <w:webHidden/>
              </w:rPr>
              <w:fldChar w:fldCharType="end"/>
            </w:r>
          </w:hyperlink>
        </w:p>
        <w:p w14:paraId="1E8487E5" w14:textId="66F6C2EC" w:rsidR="00D63EDF" w:rsidRDefault="00D63EDF">
          <w:r>
            <w:rPr>
              <w:b/>
              <w:bCs/>
              <w:noProof/>
            </w:rPr>
            <w:fldChar w:fldCharType="end"/>
          </w:r>
        </w:p>
      </w:sdtContent>
    </w:sdt>
    <w:p w14:paraId="538C1D0B" w14:textId="73AA182A" w:rsidR="00D113E6" w:rsidRPr="00E53597" w:rsidRDefault="00D113E6">
      <w:pPr>
        <w:rPr>
          <w:highlight w:val="yellow"/>
        </w:rPr>
      </w:pPr>
    </w:p>
    <w:p w14:paraId="1B147134" w14:textId="77777777" w:rsidR="00D63EDF" w:rsidRDefault="00D63EDF">
      <w:pPr>
        <w:spacing w:after="200" w:line="276" w:lineRule="auto"/>
        <w:rPr>
          <w:rFonts w:eastAsiaTheme="majorEastAsia" w:cstheme="minorBidi"/>
          <w:b/>
          <w:bCs/>
          <w:color w:val="42558C" w:themeColor="accent1" w:themeShade="BF"/>
          <w:sz w:val="28"/>
          <w:szCs w:val="28"/>
        </w:rPr>
      </w:pPr>
      <w:bookmarkStart w:id="0" w:name="_Toc27567688"/>
      <w:bookmarkStart w:id="1" w:name="_Toc17151134"/>
      <w:bookmarkStart w:id="2" w:name="_Toc17228947"/>
      <w:bookmarkStart w:id="3" w:name="_Toc17731303"/>
      <w:bookmarkStart w:id="4" w:name="_Toc17748221"/>
      <w:bookmarkStart w:id="5" w:name="_Toc17748448"/>
      <w:bookmarkStart w:id="6" w:name="_Toc17748692"/>
      <w:bookmarkStart w:id="7" w:name="_Toc18922392"/>
      <w:bookmarkStart w:id="8" w:name="_Toc23110213"/>
      <w:bookmarkStart w:id="9" w:name="_Toc23157976"/>
      <w:bookmarkStart w:id="10" w:name="_Toc23323238"/>
      <w:bookmarkStart w:id="11" w:name="_Toc23324244"/>
      <w:bookmarkStart w:id="12" w:name="_Toc23424528"/>
      <w:bookmarkStart w:id="13" w:name="_Toc169264784"/>
      <w:r>
        <w:rPr>
          <w:rFonts w:cstheme="minorBidi"/>
        </w:rPr>
        <w:br w:type="page"/>
      </w:r>
    </w:p>
    <w:p w14:paraId="47730871" w14:textId="5F6E0721" w:rsidR="00583DF3" w:rsidRPr="00E53597" w:rsidRDefault="006B4303" w:rsidP="002070BE">
      <w:pPr>
        <w:pStyle w:val="Heading1"/>
        <w:rPr>
          <w:rFonts w:asciiTheme="minorHAnsi" w:hAnsiTheme="minorHAnsi" w:cstheme="minorBidi"/>
        </w:rPr>
      </w:pPr>
      <w:bookmarkStart w:id="14" w:name="_Toc203037126"/>
      <w:r w:rsidRPr="00E53597">
        <w:rPr>
          <w:rFonts w:asciiTheme="minorHAnsi" w:hAnsiTheme="minorHAnsi" w:cstheme="minorBidi"/>
        </w:rPr>
        <w:lastRenderedPageBreak/>
        <w:t>B</w:t>
      </w:r>
      <w:r w:rsidR="00234964" w:rsidRPr="00E53597">
        <w:rPr>
          <w:rFonts w:asciiTheme="minorHAnsi" w:hAnsiTheme="minorHAnsi" w:cstheme="minorBidi"/>
        </w:rPr>
        <w:t>ackground</w:t>
      </w:r>
      <w:bookmarkEnd w:id="0"/>
      <w:bookmarkEnd w:id="1"/>
      <w:bookmarkEnd w:id="2"/>
      <w:bookmarkEnd w:id="3"/>
      <w:bookmarkEnd w:id="4"/>
      <w:bookmarkEnd w:id="5"/>
      <w:bookmarkEnd w:id="6"/>
      <w:bookmarkEnd w:id="7"/>
      <w:bookmarkEnd w:id="8"/>
      <w:bookmarkEnd w:id="9"/>
      <w:bookmarkEnd w:id="10"/>
      <w:bookmarkEnd w:id="11"/>
      <w:bookmarkEnd w:id="12"/>
      <w:r w:rsidR="008A5727" w:rsidRPr="00E53597">
        <w:rPr>
          <w:rFonts w:asciiTheme="minorHAnsi" w:hAnsiTheme="minorHAnsi" w:cstheme="minorBidi"/>
        </w:rPr>
        <w:t xml:space="preserve"> </w:t>
      </w:r>
      <w:r w:rsidRPr="00E53597">
        <w:rPr>
          <w:rFonts w:asciiTheme="minorHAnsi" w:hAnsiTheme="minorHAnsi" w:cstheme="minorBidi"/>
        </w:rPr>
        <w:t>and Application Overview</w:t>
      </w:r>
      <w:bookmarkStart w:id="15" w:name="_Toc17474921"/>
      <w:bookmarkEnd w:id="13"/>
      <w:bookmarkEnd w:id="14"/>
    </w:p>
    <w:p w14:paraId="0189DFEE" w14:textId="6F5BC49C" w:rsidR="002A6C16" w:rsidRPr="00DF493D" w:rsidRDefault="00DF493D" w:rsidP="005E0AB4">
      <w:pPr>
        <w:spacing w:before="240"/>
        <w:jc w:val="both"/>
        <w:rPr>
          <w:rFonts w:ascii="Calibri" w:eastAsia="PMingLiU" w:hAnsi="Calibri" w:cs="Times New Roman"/>
          <w:b/>
          <w:bCs/>
          <w:szCs w:val="22"/>
        </w:rPr>
      </w:pPr>
      <w:r w:rsidRPr="00DF493D">
        <w:rPr>
          <w:rFonts w:ascii="Calibri" w:eastAsia="PMingLiU" w:hAnsi="Calibri" w:cs="Times New Roman"/>
          <w:b/>
          <w:bCs/>
          <w:szCs w:val="22"/>
        </w:rPr>
        <w:t>Everest Hospital, LLC</w:t>
      </w:r>
    </w:p>
    <w:p w14:paraId="2B9CD217" w14:textId="2A42EBE7" w:rsidR="004C77A1" w:rsidRDefault="002B6D83" w:rsidP="005E0AB4">
      <w:r w:rsidRPr="7A3EB0B0">
        <w:rPr>
          <w:rFonts w:ascii="Calibri" w:eastAsia="PMingLiU" w:hAnsi="Calibri" w:cs="Times New Roman"/>
        </w:rPr>
        <w:t>Everest Hospital, LLC</w:t>
      </w:r>
      <w:r w:rsidR="0F60098D" w:rsidRPr="7A3EB0B0">
        <w:rPr>
          <w:rFonts w:ascii="Calibri" w:eastAsia="PMingLiU" w:hAnsi="Calibri" w:cs="Times New Roman"/>
        </w:rPr>
        <w:t xml:space="preserve"> (“</w:t>
      </w:r>
      <w:r w:rsidR="00371951" w:rsidRPr="7A3EB0B0">
        <w:rPr>
          <w:rFonts w:ascii="Calibri" w:eastAsia="PMingLiU" w:hAnsi="Calibri" w:cs="Times New Roman"/>
        </w:rPr>
        <w:t>Applicant</w:t>
      </w:r>
      <w:r w:rsidR="0F60098D" w:rsidRPr="7A3EB0B0">
        <w:rPr>
          <w:rFonts w:ascii="Calibri" w:eastAsia="PMingLiU" w:hAnsi="Calibri" w:cs="Times New Roman"/>
        </w:rPr>
        <w:t xml:space="preserve">”), </w:t>
      </w:r>
      <w:r w:rsidR="00FC798F" w:rsidRPr="7A3EB0B0">
        <w:rPr>
          <w:rFonts w:ascii="Calibri" w:eastAsia="PMingLiU" w:hAnsi="Calibri" w:cs="Times New Roman"/>
        </w:rPr>
        <w:t>is a newly formed entity</w:t>
      </w:r>
      <w:r w:rsidR="00F02B31" w:rsidRPr="7A3EB0B0">
        <w:rPr>
          <w:rFonts w:ascii="Calibri" w:eastAsia="PMingLiU" w:hAnsi="Calibri" w:cs="Times New Roman"/>
        </w:rPr>
        <w:t xml:space="preserve"> consisting of </w:t>
      </w:r>
      <w:r w:rsidR="00B77DA1" w:rsidRPr="7A3EB0B0">
        <w:rPr>
          <w:rFonts w:ascii="Calibri" w:eastAsia="PMingLiU" w:hAnsi="Calibri" w:cs="Times New Roman"/>
        </w:rPr>
        <w:t>t</w:t>
      </w:r>
      <w:r w:rsidR="00B77DA1">
        <w:rPr>
          <w:rFonts w:ascii="Calibri" w:eastAsia="PMingLiU" w:hAnsi="Calibri" w:cs="Times New Roman"/>
        </w:rPr>
        <w:t xml:space="preserve">hree </w:t>
      </w:r>
      <w:r w:rsidR="00F02B31" w:rsidRPr="7A3EB0B0">
        <w:rPr>
          <w:rFonts w:ascii="Calibri" w:eastAsia="PMingLiU" w:hAnsi="Calibri" w:cs="Times New Roman"/>
        </w:rPr>
        <w:t>partners</w:t>
      </w:r>
      <w:r w:rsidR="00F4198B" w:rsidRPr="7A3EB0B0">
        <w:rPr>
          <w:rFonts w:ascii="Calibri" w:eastAsia="PMingLiU" w:hAnsi="Calibri" w:cs="Times New Roman"/>
        </w:rPr>
        <w:t>. The</w:t>
      </w:r>
      <w:r w:rsidR="00666A2B">
        <w:rPr>
          <w:rFonts w:ascii="Calibri" w:eastAsia="PMingLiU" w:hAnsi="Calibri" w:cs="Times New Roman"/>
        </w:rPr>
        <w:t xml:space="preserve"> individual</w:t>
      </w:r>
      <w:r w:rsidR="00F4198B" w:rsidRPr="7A3EB0B0">
        <w:rPr>
          <w:rFonts w:ascii="Calibri" w:eastAsia="PMingLiU" w:hAnsi="Calibri" w:cs="Times New Roman"/>
        </w:rPr>
        <w:t xml:space="preserve"> partners comprising this entity </w:t>
      </w:r>
      <w:r w:rsidR="003744FB" w:rsidRPr="7A3EB0B0">
        <w:rPr>
          <w:rFonts w:ascii="Calibri" w:eastAsia="PMingLiU" w:hAnsi="Calibri" w:cs="Times New Roman"/>
        </w:rPr>
        <w:t xml:space="preserve">possess </w:t>
      </w:r>
      <w:r w:rsidR="003744FB">
        <w:t>expertise in long-term care</w:t>
      </w:r>
      <w:r w:rsidR="007C7CA8">
        <w:t xml:space="preserve">. </w:t>
      </w:r>
      <w:r w:rsidR="003744FB">
        <w:t xml:space="preserve">One partner </w:t>
      </w:r>
      <w:r w:rsidR="00B32238">
        <w:t>is a practicing health care practitioner and has more than 20 years of experience as an owner of skilled nursing facilities</w:t>
      </w:r>
      <w:r w:rsidR="005B726E">
        <w:t>. The other p</w:t>
      </w:r>
      <w:r w:rsidR="0044252E">
        <w:t>artner</w:t>
      </w:r>
      <w:r w:rsidR="00694DCF">
        <w:t>s</w:t>
      </w:r>
      <w:r w:rsidR="00885A9B">
        <w:t xml:space="preserve"> </w:t>
      </w:r>
      <w:r w:rsidR="00694DCF">
        <w:t>are</w:t>
      </w:r>
      <w:r w:rsidR="00885A9B">
        <w:t xml:space="preserve"> experienced nursing home administrator</w:t>
      </w:r>
      <w:r w:rsidR="00694DCF">
        <w:t>s</w:t>
      </w:r>
      <w:r w:rsidR="00885A9B">
        <w:t xml:space="preserve">, operating multiple post-acute facilities, including skilled nursing, assisted living, and independent living facilities, and </w:t>
      </w:r>
      <w:r w:rsidR="00463CD2">
        <w:t>are</w:t>
      </w:r>
      <w:r w:rsidR="00885A9B">
        <w:t xml:space="preserve"> well-versed in the types of services and needs that apply to each.</w:t>
      </w:r>
      <w:r w:rsidR="00042F7D">
        <w:rPr>
          <w:rStyle w:val="FootnoteReference"/>
        </w:rPr>
        <w:footnoteReference w:id="2"/>
      </w:r>
      <w:r w:rsidR="00053CA4">
        <w:t xml:space="preserve"> The Applicant anticipates leveraging the </w:t>
      </w:r>
      <w:r w:rsidR="007C7CA8">
        <w:t xml:space="preserve">experience of </w:t>
      </w:r>
      <w:r w:rsidR="00731FA6">
        <w:t xml:space="preserve">the </w:t>
      </w:r>
      <w:r w:rsidR="007C7CA8">
        <w:t xml:space="preserve">individual partners in implementing the Proposed Project, which includes the acquisition of both a long term care hospital (LTCH) and a Skilled Nursing Facility (SNF).  </w:t>
      </w:r>
    </w:p>
    <w:p w14:paraId="07120A9D" w14:textId="77777777" w:rsidR="005E0AB4" w:rsidRPr="00E53597" w:rsidDel="00FE4E96" w:rsidRDefault="005E0AB4" w:rsidP="005E0AB4">
      <w:pPr>
        <w:rPr>
          <w:rFonts w:ascii="Calibri" w:eastAsia="PMingLiU" w:hAnsi="Calibri" w:cs="Times New Roman"/>
          <w:highlight w:val="yellow"/>
        </w:rPr>
      </w:pPr>
    </w:p>
    <w:p w14:paraId="7ADF1B08" w14:textId="6460CEAA" w:rsidR="00D06D9C" w:rsidRDefault="006D5643" w:rsidP="00535485">
      <w:pPr>
        <w:tabs>
          <w:tab w:val="left" w:pos="10080"/>
        </w:tabs>
        <w:rPr>
          <w:rFonts w:cs="Times New Roman"/>
          <w:highlight w:val="yellow"/>
        </w:rPr>
      </w:pPr>
      <w:r w:rsidRPr="006D5643">
        <w:rPr>
          <w:rFonts w:cs="Times New Roman"/>
          <w:b/>
          <w:bCs/>
        </w:rPr>
        <w:t>Vibra Hospital of Western Massachusetts – Central Campus</w:t>
      </w:r>
      <w:r>
        <w:rPr>
          <w:rFonts w:cs="Times New Roman"/>
          <w:b/>
          <w:bCs/>
        </w:rPr>
        <w:t xml:space="preserve"> (</w:t>
      </w:r>
      <w:r w:rsidR="0003566E">
        <w:rPr>
          <w:rFonts w:cs="Times New Roman"/>
          <w:b/>
          <w:bCs/>
        </w:rPr>
        <w:t xml:space="preserve">“Vibra” or </w:t>
      </w:r>
      <w:r>
        <w:rPr>
          <w:rFonts w:cs="Times New Roman"/>
          <w:b/>
          <w:bCs/>
        </w:rPr>
        <w:t xml:space="preserve">“Hospital”) </w:t>
      </w:r>
      <w:r w:rsidRPr="006D5643">
        <w:rPr>
          <w:rFonts w:cs="Times New Roman"/>
        </w:rPr>
        <w:t>is</w:t>
      </w:r>
      <w:r>
        <w:rPr>
          <w:rFonts w:cs="Times New Roman"/>
          <w:b/>
          <w:bCs/>
        </w:rPr>
        <w:t xml:space="preserve"> </w:t>
      </w:r>
      <w:r w:rsidRPr="00265C1F">
        <w:rPr>
          <w:rFonts w:cs="Times New Roman"/>
        </w:rPr>
        <w:t xml:space="preserve">a </w:t>
      </w:r>
      <w:r w:rsidR="008C285C">
        <w:rPr>
          <w:rFonts w:cs="Times New Roman"/>
        </w:rPr>
        <w:t xml:space="preserve">47 bed </w:t>
      </w:r>
      <w:r>
        <w:rPr>
          <w:rFonts w:cs="Times New Roman"/>
        </w:rPr>
        <w:t>L</w:t>
      </w:r>
      <w:r w:rsidRPr="00265C1F">
        <w:rPr>
          <w:rFonts w:cs="Times New Roman"/>
        </w:rPr>
        <w:t>ong</w:t>
      </w:r>
      <w:r>
        <w:rPr>
          <w:rFonts w:cs="Times New Roman"/>
        </w:rPr>
        <w:t xml:space="preserve"> T</w:t>
      </w:r>
      <w:r w:rsidRPr="00265C1F">
        <w:rPr>
          <w:rFonts w:cs="Times New Roman"/>
        </w:rPr>
        <w:t xml:space="preserve">erm </w:t>
      </w:r>
      <w:r>
        <w:rPr>
          <w:rFonts w:cs="Times New Roman"/>
        </w:rPr>
        <w:t>C</w:t>
      </w:r>
      <w:r w:rsidRPr="00265C1F">
        <w:rPr>
          <w:rFonts w:cs="Times New Roman"/>
        </w:rPr>
        <w:t xml:space="preserve">are </w:t>
      </w:r>
      <w:r>
        <w:rPr>
          <w:rFonts w:cs="Times New Roman"/>
        </w:rPr>
        <w:t>H</w:t>
      </w:r>
      <w:r w:rsidRPr="00265C1F">
        <w:rPr>
          <w:rFonts w:cs="Times New Roman"/>
        </w:rPr>
        <w:t>ospital (“LTCH”) located in Leicester (Rochdale), Massachusetts (the “Hospital”</w:t>
      </w:r>
      <w:r w:rsidR="00E81DC8">
        <w:rPr>
          <w:rFonts w:cs="Times New Roman"/>
        </w:rPr>
        <w:t xml:space="preserve">), </w:t>
      </w:r>
      <w:r w:rsidR="005E0AB4">
        <w:rPr>
          <w:rFonts w:cs="Times New Roman"/>
        </w:rPr>
        <w:t>and</w:t>
      </w:r>
      <w:r w:rsidR="00E81DC8">
        <w:rPr>
          <w:rFonts w:cs="Times New Roman"/>
        </w:rPr>
        <w:t xml:space="preserve"> </w:t>
      </w:r>
      <w:r w:rsidR="00E81DC8" w:rsidRPr="00E93FD0">
        <w:t xml:space="preserve">has </w:t>
      </w:r>
      <w:r w:rsidR="00E81DC8">
        <w:t>been in operation</w:t>
      </w:r>
      <w:r w:rsidR="00E81DC8" w:rsidRPr="00E93FD0">
        <w:t xml:space="preserve"> since September 1, 2013.</w:t>
      </w:r>
      <w:r w:rsidR="00E81DC8">
        <w:t xml:space="preserve"> </w:t>
      </w:r>
      <w:r w:rsidR="00D77E01">
        <w:rPr>
          <w:rFonts w:cs="Times New Roman"/>
        </w:rPr>
        <w:t xml:space="preserve">The Hospital </w:t>
      </w:r>
      <w:r w:rsidR="0003566E">
        <w:rPr>
          <w:rFonts w:cs="Times New Roman"/>
        </w:rPr>
        <w:t xml:space="preserve">is a part of </w:t>
      </w:r>
      <w:r w:rsidR="0003566E" w:rsidRPr="00265C1F">
        <w:rPr>
          <w:rFonts w:cs="Times New Roman"/>
        </w:rPr>
        <w:t>Vibra Healthcare II, LLC</w:t>
      </w:r>
      <w:r w:rsidR="00AD219C">
        <w:rPr>
          <w:rFonts w:cs="Times New Roman"/>
        </w:rPr>
        <w:t xml:space="preserve">, whose </w:t>
      </w:r>
      <w:r w:rsidR="00AD219C" w:rsidRPr="00E93FD0">
        <w:rPr>
          <w:rFonts w:cs="Times New Roman"/>
        </w:rPr>
        <w:t xml:space="preserve">subsidiaries operate four </w:t>
      </w:r>
      <w:r w:rsidR="005E0AB4">
        <w:rPr>
          <w:rFonts w:cs="Times New Roman"/>
        </w:rPr>
        <w:t>LTCH’s</w:t>
      </w:r>
      <w:r w:rsidR="00824DEA">
        <w:rPr>
          <w:rFonts w:cs="Times New Roman"/>
        </w:rPr>
        <w:t>,</w:t>
      </w:r>
      <w:r w:rsidR="00A059C0">
        <w:rPr>
          <w:rFonts w:cs="Times New Roman"/>
        </w:rPr>
        <w:t xml:space="preserve"> one</w:t>
      </w:r>
      <w:r w:rsidR="00AD219C" w:rsidRPr="00E93FD0">
        <w:rPr>
          <w:rFonts w:cs="Times New Roman"/>
        </w:rPr>
        <w:t xml:space="preserve"> located in California, </w:t>
      </w:r>
      <w:r w:rsidR="00A059C0">
        <w:rPr>
          <w:rFonts w:cs="Times New Roman"/>
        </w:rPr>
        <w:t xml:space="preserve">one in </w:t>
      </w:r>
      <w:r w:rsidR="00AD219C" w:rsidRPr="00E93FD0">
        <w:rPr>
          <w:rFonts w:cs="Times New Roman"/>
        </w:rPr>
        <w:t>Idaho</w:t>
      </w:r>
      <w:r w:rsidR="00A059C0">
        <w:rPr>
          <w:rFonts w:cs="Times New Roman"/>
        </w:rPr>
        <w:t xml:space="preserve">, </w:t>
      </w:r>
      <w:r w:rsidR="00AD219C" w:rsidRPr="00E93FD0">
        <w:rPr>
          <w:rFonts w:cs="Times New Roman"/>
        </w:rPr>
        <w:t xml:space="preserve">and </w:t>
      </w:r>
      <w:r w:rsidR="00A059C0">
        <w:rPr>
          <w:rFonts w:cs="Times New Roman"/>
        </w:rPr>
        <w:t xml:space="preserve">two in </w:t>
      </w:r>
      <w:r w:rsidR="00AD219C" w:rsidRPr="00E93FD0">
        <w:rPr>
          <w:rFonts w:cs="Times New Roman"/>
        </w:rPr>
        <w:t>North Dakota.</w:t>
      </w:r>
      <w:r w:rsidR="006D7E2A">
        <w:rPr>
          <w:rFonts w:cs="Times New Roman"/>
        </w:rPr>
        <w:t xml:space="preserve"> The Hospital currently shares </w:t>
      </w:r>
      <w:r w:rsidR="00D135CA">
        <w:rPr>
          <w:rFonts w:cs="Times New Roman"/>
        </w:rPr>
        <w:t>a referral intake system and corporate operations with</w:t>
      </w:r>
      <w:r w:rsidR="006D7E2A">
        <w:rPr>
          <w:rFonts w:cs="Times New Roman"/>
        </w:rPr>
        <w:t xml:space="preserve"> Vibra Hospital of Southeastern Massachusetts</w:t>
      </w:r>
      <w:r w:rsidR="009136BD">
        <w:rPr>
          <w:rFonts w:cs="Times New Roman"/>
        </w:rPr>
        <w:t>, which is owned by Vibra Healthcare, LLC</w:t>
      </w:r>
      <w:r w:rsidR="006D7E2A">
        <w:rPr>
          <w:rFonts w:cs="Times New Roman"/>
        </w:rPr>
        <w:t>.</w:t>
      </w:r>
      <w:r w:rsidR="007041E6">
        <w:rPr>
          <w:rFonts w:cs="Times New Roman"/>
        </w:rPr>
        <w:t xml:space="preserve"> </w:t>
      </w:r>
      <w:r w:rsidR="007041E6" w:rsidRPr="007041E6">
        <w:rPr>
          <w:rFonts w:cs="Times New Roman"/>
        </w:rPr>
        <w:t xml:space="preserve">Vibra Healthcare, LLC and Vibra Healthcare II, LLC are affiliated companies both controlled by the </w:t>
      </w:r>
      <w:r w:rsidR="009136BD">
        <w:rPr>
          <w:rFonts w:cs="Times New Roman"/>
        </w:rPr>
        <w:t xml:space="preserve">same </w:t>
      </w:r>
      <w:r w:rsidR="007041E6" w:rsidRPr="007041E6">
        <w:rPr>
          <w:rFonts w:cs="Times New Roman"/>
        </w:rPr>
        <w:t>super majority owner. </w:t>
      </w:r>
    </w:p>
    <w:p w14:paraId="7F1C85D7" w14:textId="77777777" w:rsidR="001052CE" w:rsidRPr="001870F1" w:rsidRDefault="001052CE" w:rsidP="005E0AB4">
      <w:pPr>
        <w:spacing w:before="240"/>
        <w:jc w:val="both"/>
        <w:rPr>
          <w:rFonts w:ascii="Calibri" w:eastAsia="PMingLiU" w:hAnsi="Calibri" w:cs="Times New Roman"/>
          <w:b/>
          <w:bCs/>
          <w:szCs w:val="22"/>
        </w:rPr>
      </w:pPr>
      <w:r w:rsidRPr="001870F1">
        <w:rPr>
          <w:rFonts w:ascii="Calibri" w:eastAsia="PMingLiU" w:hAnsi="Calibri" w:cs="Times New Roman"/>
          <w:b/>
          <w:bCs/>
          <w:szCs w:val="22"/>
        </w:rPr>
        <w:t>The Proposed Project</w:t>
      </w:r>
    </w:p>
    <w:p w14:paraId="5104111E" w14:textId="70E5301D" w:rsidR="00E030EF" w:rsidRPr="00A7755D" w:rsidRDefault="00E030EF" w:rsidP="005E0AB4">
      <w:pPr>
        <w:rPr>
          <w:rFonts w:cs="Times New Roman"/>
        </w:rPr>
      </w:pPr>
      <w:r>
        <w:rPr>
          <w:rFonts w:cs="Times New Roman"/>
        </w:rPr>
        <w:t xml:space="preserve">The </w:t>
      </w:r>
      <w:r w:rsidRPr="00265C1F">
        <w:rPr>
          <w:rFonts w:cs="Times New Roman"/>
        </w:rPr>
        <w:t>Applicant will acquire the Hospital, including all real property on which the facility is located and property associated with operating the Hospital.</w:t>
      </w:r>
      <w:r w:rsidR="00221442">
        <w:rPr>
          <w:rStyle w:val="FootnoteReference"/>
          <w:rFonts w:cs="Times New Roman"/>
        </w:rPr>
        <w:footnoteReference w:id="3"/>
      </w:r>
      <w:r w:rsidR="00691DD1">
        <w:rPr>
          <w:rFonts w:cs="Times New Roman"/>
        </w:rPr>
        <w:t xml:space="preserve"> </w:t>
      </w:r>
      <w:r w:rsidR="00632685">
        <w:rPr>
          <w:rFonts w:cs="Times New Roman"/>
        </w:rPr>
        <w:t>The Applicant has entered into two agreements with Vibra Hospital of Western Massachusetts, LLC, the current licensee of the</w:t>
      </w:r>
      <w:r w:rsidR="00632685" w:rsidRPr="006A4AE1">
        <w:rPr>
          <w:rFonts w:cs="Times New Roman"/>
        </w:rPr>
        <w:t xml:space="preserve"> Hospital</w:t>
      </w:r>
      <w:r w:rsidR="00632685">
        <w:rPr>
          <w:rFonts w:cs="Times New Roman"/>
        </w:rPr>
        <w:t xml:space="preserve">.  The first agreement is the </w:t>
      </w:r>
      <w:r w:rsidR="000A505B">
        <w:rPr>
          <w:rFonts w:cs="Times New Roman"/>
        </w:rPr>
        <w:t>Contract of Sale (“</w:t>
      </w:r>
      <w:r w:rsidR="00632685">
        <w:rPr>
          <w:rFonts w:cs="Times New Roman"/>
        </w:rPr>
        <w:t>Sales Agreement</w:t>
      </w:r>
      <w:r w:rsidR="000A505B">
        <w:rPr>
          <w:rFonts w:cs="Times New Roman"/>
        </w:rPr>
        <w:t>”)</w:t>
      </w:r>
      <w:r w:rsidR="00632685">
        <w:rPr>
          <w:rFonts w:cs="Times New Roman"/>
        </w:rPr>
        <w:t xml:space="preserve"> under which the Applicant will acquire the real property associated with the Hospital.  The second agreement is the </w:t>
      </w:r>
      <w:r w:rsidR="00BE28DE">
        <w:rPr>
          <w:rFonts w:cs="Times New Roman"/>
        </w:rPr>
        <w:t xml:space="preserve">Operations </w:t>
      </w:r>
      <w:r w:rsidR="008233E2">
        <w:rPr>
          <w:rFonts w:cs="Times New Roman"/>
        </w:rPr>
        <w:t>Trans</w:t>
      </w:r>
      <w:r w:rsidR="00BE28DE">
        <w:rPr>
          <w:rFonts w:cs="Times New Roman"/>
        </w:rPr>
        <w:t>fer</w:t>
      </w:r>
      <w:r w:rsidR="008233E2">
        <w:rPr>
          <w:rFonts w:cs="Times New Roman"/>
        </w:rPr>
        <w:t xml:space="preserve"> Agreement</w:t>
      </w:r>
      <w:r w:rsidR="00BE28DE">
        <w:rPr>
          <w:rFonts w:cs="Times New Roman"/>
        </w:rPr>
        <w:t xml:space="preserve"> (“OTA”)</w:t>
      </w:r>
      <w:r w:rsidR="008233E2">
        <w:rPr>
          <w:rFonts w:cs="Times New Roman"/>
        </w:rPr>
        <w:t xml:space="preserve"> </w:t>
      </w:r>
      <w:r w:rsidR="00632685">
        <w:rPr>
          <w:rFonts w:cs="Times New Roman"/>
        </w:rPr>
        <w:t xml:space="preserve">by which the Hospital operations would transfer to the Applicant after receipt of certain regulatory approvals and simultaneous with closing under the Sales Agreement. </w:t>
      </w:r>
    </w:p>
    <w:p w14:paraId="227E7F54" w14:textId="77777777" w:rsidR="00C514FE" w:rsidRDefault="00C514FE" w:rsidP="00C15BDE">
      <w:pPr>
        <w:rPr>
          <w:rFonts w:ascii="Calibri" w:eastAsia="PMingLiU" w:hAnsi="Calibri" w:cs="Times New Roman"/>
          <w:szCs w:val="22"/>
          <w:highlight w:val="yellow"/>
        </w:rPr>
      </w:pPr>
    </w:p>
    <w:p w14:paraId="0BD50599" w14:textId="4F88AC48" w:rsidR="00E75732" w:rsidRPr="002F442E" w:rsidRDefault="00691DD1" w:rsidP="002F442E">
      <w:pPr>
        <w:jc w:val="both"/>
        <w:rPr>
          <w:rFonts w:cs="Times New Roman"/>
        </w:rPr>
      </w:pPr>
      <w:r>
        <w:rPr>
          <w:rFonts w:cs="Times New Roman"/>
        </w:rPr>
        <w:t xml:space="preserve">The </w:t>
      </w:r>
      <w:r w:rsidR="005002CE">
        <w:rPr>
          <w:rFonts w:cs="Times New Roman"/>
        </w:rPr>
        <w:t xml:space="preserve">Applicant asserts that the </w:t>
      </w:r>
      <w:r>
        <w:rPr>
          <w:rFonts w:cs="Times New Roman"/>
        </w:rPr>
        <w:t>Proposed Project will</w:t>
      </w:r>
      <w:r w:rsidR="00724B41">
        <w:rPr>
          <w:rFonts w:cs="Times New Roman"/>
        </w:rPr>
        <w:t xml:space="preserve"> </w:t>
      </w:r>
      <w:r w:rsidR="00C75AC3">
        <w:rPr>
          <w:rFonts w:cs="Times New Roman"/>
        </w:rPr>
        <w:t>provide residents</w:t>
      </w:r>
      <w:r w:rsidR="00855DF4">
        <w:rPr>
          <w:rFonts w:cs="Times New Roman"/>
        </w:rPr>
        <w:t xml:space="preserve"> of Central and Western Massachusetts </w:t>
      </w:r>
      <w:r w:rsidR="038E31CB" w:rsidRPr="59D5926F">
        <w:rPr>
          <w:rFonts w:cs="Times New Roman"/>
        </w:rPr>
        <w:t xml:space="preserve">with </w:t>
      </w:r>
      <w:r w:rsidRPr="59D5926F">
        <w:rPr>
          <w:rFonts w:cs="Times New Roman"/>
        </w:rPr>
        <w:t>continue</w:t>
      </w:r>
      <w:r w:rsidR="6BBFCA08" w:rsidRPr="59D5926F">
        <w:rPr>
          <w:rFonts w:cs="Times New Roman"/>
        </w:rPr>
        <w:t>d</w:t>
      </w:r>
      <w:r>
        <w:rPr>
          <w:rFonts w:cs="Times New Roman"/>
        </w:rPr>
        <w:t xml:space="preserve"> </w:t>
      </w:r>
      <w:r w:rsidR="00855DF4">
        <w:rPr>
          <w:rFonts w:cs="Times New Roman"/>
        </w:rPr>
        <w:t>access to long-term hospital services</w:t>
      </w:r>
      <w:r>
        <w:rPr>
          <w:rFonts w:cs="Times New Roman"/>
        </w:rPr>
        <w:t>, allowing the</w:t>
      </w:r>
      <w:r w:rsidR="00855DF4">
        <w:rPr>
          <w:rFonts w:cs="Times New Roman"/>
        </w:rPr>
        <w:t xml:space="preserve"> acute care hospitals in the region </w:t>
      </w:r>
      <w:r>
        <w:rPr>
          <w:rFonts w:cs="Times New Roman"/>
        </w:rPr>
        <w:t>to</w:t>
      </w:r>
      <w:r w:rsidR="00855DF4">
        <w:rPr>
          <w:rFonts w:cs="Times New Roman"/>
        </w:rPr>
        <w:t xml:space="preserve"> discharge patients </w:t>
      </w:r>
      <w:r w:rsidR="00D30DA7">
        <w:rPr>
          <w:rFonts w:cs="Times New Roman"/>
        </w:rPr>
        <w:t xml:space="preserve">to clinically appropriate levels of </w:t>
      </w:r>
      <w:r w:rsidR="00A60D53">
        <w:rPr>
          <w:rFonts w:cs="Times New Roman"/>
        </w:rPr>
        <w:t>care and</w:t>
      </w:r>
      <w:r w:rsidR="00687896">
        <w:rPr>
          <w:rFonts w:cs="Times New Roman"/>
        </w:rPr>
        <w:t xml:space="preserve"> utilize </w:t>
      </w:r>
      <w:r w:rsidR="00855DF4">
        <w:rPr>
          <w:rFonts w:cs="Times New Roman"/>
        </w:rPr>
        <w:t>acute care beds for more acute care needs.</w:t>
      </w:r>
      <w:r>
        <w:rPr>
          <w:rFonts w:cs="Times New Roman"/>
        </w:rPr>
        <w:t xml:space="preserve"> </w:t>
      </w:r>
      <w:r w:rsidR="002F442E" w:rsidRPr="006A4AE1">
        <w:rPr>
          <w:rFonts w:cs="Times New Roman"/>
        </w:rPr>
        <w:t xml:space="preserve">The Applicant does not anticipate any changes in the </w:t>
      </w:r>
      <w:r w:rsidR="002F442E">
        <w:rPr>
          <w:rFonts w:cs="Times New Roman"/>
        </w:rPr>
        <w:t xml:space="preserve">Hospital’s </w:t>
      </w:r>
      <w:r w:rsidR="002F442E" w:rsidRPr="006A4AE1">
        <w:rPr>
          <w:rFonts w:cs="Times New Roman"/>
        </w:rPr>
        <w:t>reimbursement rates, care referral patters</w:t>
      </w:r>
      <w:r w:rsidR="00E75732">
        <w:rPr>
          <w:rFonts w:cs="Times New Roman"/>
        </w:rPr>
        <w:t>,</w:t>
      </w:r>
      <w:r w:rsidR="002F442E">
        <w:rPr>
          <w:rFonts w:cs="Times New Roman"/>
        </w:rPr>
        <w:t xml:space="preserve"> </w:t>
      </w:r>
      <w:r w:rsidR="00E75732">
        <w:rPr>
          <w:rFonts w:cs="Times New Roman"/>
        </w:rPr>
        <w:t>or</w:t>
      </w:r>
      <w:r w:rsidR="002F442E" w:rsidRPr="006A4AE1">
        <w:rPr>
          <w:rFonts w:cs="Times New Roman"/>
        </w:rPr>
        <w:t xml:space="preserve"> access to needed services.</w:t>
      </w:r>
      <w:r w:rsidR="002F442E" w:rsidRPr="00127F17">
        <w:rPr>
          <w:rFonts w:cs="Times New Roman"/>
        </w:rPr>
        <w:t xml:space="preserve"> </w:t>
      </w:r>
    </w:p>
    <w:p w14:paraId="2446A887" w14:textId="77777777" w:rsidR="00691DD1" w:rsidRDefault="00691DD1" w:rsidP="6CE004FB">
      <w:pPr>
        <w:pStyle w:val="Heading1"/>
        <w:spacing w:before="0"/>
        <w:rPr>
          <w:rFonts w:asciiTheme="minorHAnsi" w:hAnsiTheme="minorHAnsi" w:cstheme="minorBidi"/>
          <w:highlight w:val="yellow"/>
        </w:rPr>
      </w:pPr>
      <w:bookmarkStart w:id="16" w:name="_Toc157428826"/>
      <w:bookmarkStart w:id="17" w:name="_Toc169264785"/>
      <w:bookmarkStart w:id="18" w:name="_Toc17151135"/>
      <w:bookmarkStart w:id="19" w:name="_Toc17731308"/>
      <w:bookmarkStart w:id="20" w:name="_Toc18420176"/>
      <w:bookmarkStart w:id="21" w:name="_Toc18922397"/>
      <w:bookmarkStart w:id="22" w:name="_Toc27567690"/>
      <w:bookmarkStart w:id="23" w:name="_Toc17151137"/>
    </w:p>
    <w:p w14:paraId="495CE992" w14:textId="20A22B85" w:rsidR="0076534F" w:rsidRPr="00421807" w:rsidRDefault="00CE4434" w:rsidP="00421807">
      <w:pPr>
        <w:pStyle w:val="Heading1"/>
        <w:spacing w:before="0"/>
        <w:rPr>
          <w:rFonts w:asciiTheme="minorHAnsi" w:hAnsiTheme="minorHAnsi" w:cstheme="minorBidi"/>
        </w:rPr>
      </w:pPr>
      <w:bookmarkStart w:id="24" w:name="_Toc203037127"/>
      <w:r w:rsidRPr="00691DD1">
        <w:rPr>
          <w:rFonts w:asciiTheme="minorHAnsi" w:hAnsiTheme="minorHAnsi" w:cstheme="minorBidi"/>
        </w:rPr>
        <w:t>Pa</w:t>
      </w:r>
      <w:r w:rsidR="0060259B" w:rsidRPr="00691DD1">
        <w:rPr>
          <w:rFonts w:asciiTheme="minorHAnsi" w:hAnsiTheme="minorHAnsi" w:cstheme="minorBidi"/>
        </w:rPr>
        <w:t>tient Panel</w:t>
      </w:r>
      <w:r w:rsidR="0060259B" w:rsidRPr="00691DD1">
        <w:rPr>
          <w:rFonts w:asciiTheme="minorHAnsi" w:hAnsiTheme="minorHAnsi" w:cstheme="minorBidi"/>
          <w:vertAlign w:val="superscript"/>
        </w:rPr>
        <w:footnoteReference w:id="4"/>
      </w:r>
      <w:bookmarkEnd w:id="16"/>
      <w:bookmarkEnd w:id="17"/>
      <w:bookmarkEnd w:id="24"/>
    </w:p>
    <w:p w14:paraId="1F891AEF" w14:textId="091ADE37" w:rsidR="00186790" w:rsidRPr="00E53597" w:rsidRDefault="00421807" w:rsidP="0076534F">
      <w:pPr>
        <w:rPr>
          <w:highlight w:val="yellow"/>
        </w:rPr>
      </w:pPr>
      <w:r>
        <w:t>The Applicant</w:t>
      </w:r>
      <w:r w:rsidRPr="00184C98">
        <w:t xml:space="preserve"> is a </w:t>
      </w:r>
      <w:r w:rsidR="00A60D53" w:rsidRPr="00184C98">
        <w:t>newly formed</w:t>
      </w:r>
      <w:r w:rsidRPr="00184C98">
        <w:t xml:space="preserve"> entity, created for the purposes of th</w:t>
      </w:r>
      <w:r w:rsidR="00B34235">
        <w:t>e Proposed Project</w:t>
      </w:r>
      <w:r w:rsidRPr="00184C98">
        <w:t>, and therefore does</w:t>
      </w:r>
      <w:r>
        <w:t xml:space="preserve"> </w:t>
      </w:r>
      <w:r w:rsidRPr="00184C98">
        <w:t>not have</w:t>
      </w:r>
      <w:r>
        <w:t xml:space="preserve"> its own</w:t>
      </w:r>
      <w:r w:rsidRPr="00184C98">
        <w:t xml:space="preserve"> </w:t>
      </w:r>
      <w:r>
        <w:t xml:space="preserve">Patient Panel. </w:t>
      </w:r>
      <w:r w:rsidR="005C6AEA" w:rsidRPr="00672F37">
        <w:t xml:space="preserve">Table 1 </w:t>
      </w:r>
      <w:r w:rsidR="00374008" w:rsidRPr="00672F37">
        <w:t>show</w:t>
      </w:r>
      <w:r w:rsidR="005C6AEA" w:rsidRPr="00672F37">
        <w:t xml:space="preserve">s </w:t>
      </w:r>
      <w:r w:rsidR="00726E90" w:rsidRPr="00672F37">
        <w:t xml:space="preserve">Patient Panel </w:t>
      </w:r>
      <w:r w:rsidR="00374008" w:rsidRPr="00672F37">
        <w:t xml:space="preserve">information for </w:t>
      </w:r>
      <w:r w:rsidR="00FB33A8">
        <w:rPr>
          <w:rFonts w:cs="Times New Roman"/>
        </w:rPr>
        <w:t>Vibra Hospital of Western Massachusetts</w:t>
      </w:r>
      <w:r w:rsidR="00B6165C">
        <w:rPr>
          <w:rFonts w:cs="Times New Roman"/>
        </w:rPr>
        <w:t xml:space="preserve"> from FY2020-FY2024</w:t>
      </w:r>
      <w:r w:rsidR="007B731E" w:rsidRPr="00672F37">
        <w:t>.</w:t>
      </w:r>
      <w:r w:rsidR="002C7F26">
        <w:t xml:space="preserve"> </w:t>
      </w:r>
      <w:r w:rsidR="003B1A44" w:rsidRPr="00FB33A8">
        <w:t xml:space="preserve">The table demonstrates </w:t>
      </w:r>
      <w:r w:rsidR="003B1A44" w:rsidRPr="009720F9">
        <w:t xml:space="preserve">that </w:t>
      </w:r>
      <w:r w:rsidR="009720F9" w:rsidRPr="009720F9">
        <w:t>Vibra</w:t>
      </w:r>
      <w:r w:rsidR="003B1A44" w:rsidRPr="009720F9">
        <w:t xml:space="preserve"> </w:t>
      </w:r>
      <w:r w:rsidR="00B02652">
        <w:t>has experienced a reduction in patient</w:t>
      </w:r>
      <w:r w:rsidR="00306A36">
        <w:t>s</w:t>
      </w:r>
      <w:r w:rsidR="00B02652">
        <w:t xml:space="preserve"> since FY2020, which the Applicant attributes to </w:t>
      </w:r>
      <w:r w:rsidR="00B10CA0" w:rsidRPr="00E93FD0">
        <w:t>staffing issues</w:t>
      </w:r>
      <w:r w:rsidR="000279BF">
        <w:t>,</w:t>
      </w:r>
      <w:r w:rsidR="00B10CA0" w:rsidRPr="00E93FD0">
        <w:t xml:space="preserve"> and the termination of </w:t>
      </w:r>
      <w:r w:rsidR="4DBD8592">
        <w:t xml:space="preserve">the </w:t>
      </w:r>
      <w:r w:rsidR="00B10CA0" w:rsidRPr="00E93FD0">
        <w:t xml:space="preserve">dialysis service </w:t>
      </w:r>
      <w:r w:rsidR="46009DB4">
        <w:t xml:space="preserve">as a result of a </w:t>
      </w:r>
      <w:r w:rsidR="00B10CA0" w:rsidRPr="00E93FD0">
        <w:t xml:space="preserve">provider </w:t>
      </w:r>
      <w:r w:rsidR="00B10CA0">
        <w:t>exit</w:t>
      </w:r>
      <w:r w:rsidR="3123C512">
        <w:t>ing</w:t>
      </w:r>
      <w:r w:rsidR="00B10CA0" w:rsidRPr="00E93FD0">
        <w:t xml:space="preserve"> the business.  </w:t>
      </w:r>
      <w:r w:rsidR="000279BF">
        <w:t>The Applicant states that</w:t>
      </w:r>
      <w:r w:rsidR="00B10CA0" w:rsidRPr="00E93FD0">
        <w:t xml:space="preserve"> </w:t>
      </w:r>
      <w:r w:rsidR="00BC3040">
        <w:t xml:space="preserve">in </w:t>
      </w:r>
      <w:r w:rsidR="00B10CA0" w:rsidRPr="00E93FD0">
        <w:t xml:space="preserve">FY2025, the patient volume is projected to </w:t>
      </w:r>
      <w:r w:rsidR="000279BF">
        <w:t>rebound</w:t>
      </w:r>
      <w:r w:rsidR="00B10CA0" w:rsidRPr="00E93FD0">
        <w:t xml:space="preserve"> based on current volumes</w:t>
      </w:r>
      <w:r w:rsidR="00BC3040">
        <w:t xml:space="preserve">, and due to the </w:t>
      </w:r>
      <w:r w:rsidR="00B10CA0" w:rsidRPr="00E93FD0">
        <w:t xml:space="preserve">dialysis service </w:t>
      </w:r>
      <w:r w:rsidR="00BC3040">
        <w:t>resuming this year</w:t>
      </w:r>
      <w:r w:rsidR="00433E87">
        <w:t>.</w:t>
      </w:r>
    </w:p>
    <w:p w14:paraId="1B925C85" w14:textId="71C76EF2" w:rsidR="00D53BE5" w:rsidRPr="00E53597" w:rsidRDefault="00D53BE5" w:rsidP="00685C18">
      <w:pPr>
        <w:rPr>
          <w:highlight w:val="yellow"/>
        </w:rPr>
      </w:pPr>
    </w:p>
    <w:p w14:paraId="22699D29" w14:textId="77E2840E" w:rsidR="000836A5" w:rsidRPr="00296C29" w:rsidRDefault="007265F0" w:rsidP="00296C29">
      <w:pPr>
        <w:jc w:val="center"/>
        <w:rPr>
          <w:b/>
          <w:bCs/>
          <w:color w:val="234170" w:themeColor="text2" w:themeShade="BF"/>
        </w:rPr>
      </w:pPr>
      <w:bookmarkStart w:id="25" w:name="_Hlk151730381"/>
      <w:r w:rsidRPr="00296C29">
        <w:rPr>
          <w:b/>
          <w:bCs/>
          <w:color w:val="234170" w:themeColor="text2" w:themeShade="BF"/>
          <w:u w:val="single"/>
        </w:rPr>
        <w:t xml:space="preserve">Table </w:t>
      </w:r>
      <w:r w:rsidR="0080092C" w:rsidRPr="00296C29">
        <w:rPr>
          <w:b/>
          <w:bCs/>
          <w:color w:val="234170" w:themeColor="text2" w:themeShade="BF"/>
          <w:u w:val="single"/>
        </w:rPr>
        <w:t>1</w:t>
      </w:r>
      <w:r w:rsidR="00914391" w:rsidRPr="00296C29">
        <w:rPr>
          <w:b/>
          <w:bCs/>
          <w:color w:val="234170" w:themeColor="text2" w:themeShade="BF"/>
          <w:u w:val="single"/>
        </w:rPr>
        <w:t>:</w:t>
      </w:r>
      <w:r w:rsidRPr="00296C29">
        <w:rPr>
          <w:b/>
          <w:bCs/>
          <w:color w:val="234170" w:themeColor="text2" w:themeShade="BF"/>
        </w:rPr>
        <w:t xml:space="preserve"> Overview of</w:t>
      </w:r>
      <w:r w:rsidR="00C009AF" w:rsidRPr="00296C29">
        <w:rPr>
          <w:b/>
          <w:bCs/>
          <w:color w:val="234170" w:themeColor="text2" w:themeShade="BF"/>
        </w:rPr>
        <w:t xml:space="preserve"> Vibra</w:t>
      </w:r>
      <w:r w:rsidR="00BD5907" w:rsidRPr="00296C29">
        <w:rPr>
          <w:b/>
          <w:bCs/>
          <w:color w:val="234170" w:themeColor="text2" w:themeShade="BF"/>
        </w:rPr>
        <w:t xml:space="preserve">’s </w:t>
      </w:r>
      <w:r w:rsidRPr="00296C29">
        <w:rPr>
          <w:b/>
          <w:bCs/>
          <w:color w:val="234170" w:themeColor="text2" w:themeShade="BF"/>
        </w:rPr>
        <w:t>Patient Panel FY</w:t>
      </w:r>
      <w:r w:rsidR="00C009AF" w:rsidRPr="00296C29">
        <w:rPr>
          <w:b/>
          <w:bCs/>
          <w:color w:val="234170" w:themeColor="text2" w:themeShade="BF"/>
        </w:rPr>
        <w:t>20</w:t>
      </w:r>
      <w:r w:rsidR="00FD3215" w:rsidRPr="00296C29">
        <w:rPr>
          <w:b/>
          <w:bCs/>
          <w:color w:val="234170" w:themeColor="text2" w:themeShade="BF"/>
        </w:rPr>
        <w:t>20</w:t>
      </w:r>
      <w:r w:rsidRPr="00296C29">
        <w:rPr>
          <w:b/>
          <w:bCs/>
          <w:color w:val="234170" w:themeColor="text2" w:themeShade="BF"/>
        </w:rPr>
        <w:t>-FY</w:t>
      </w:r>
      <w:r w:rsidR="00C009AF" w:rsidRPr="00296C29">
        <w:rPr>
          <w:b/>
          <w:bCs/>
          <w:color w:val="234170" w:themeColor="text2" w:themeShade="BF"/>
        </w:rPr>
        <w:t>20</w:t>
      </w:r>
      <w:r w:rsidRPr="00296C29">
        <w:rPr>
          <w:b/>
          <w:bCs/>
          <w:color w:val="234170" w:themeColor="text2" w:themeShade="BF"/>
        </w:rPr>
        <w:t>2</w:t>
      </w:r>
      <w:r w:rsidR="00FD3215" w:rsidRPr="00296C29">
        <w:rPr>
          <w:b/>
          <w:bCs/>
          <w:color w:val="234170" w:themeColor="text2" w:themeShade="BF"/>
        </w:rPr>
        <w:t>4</w:t>
      </w:r>
    </w:p>
    <w:tbl>
      <w:tblPr>
        <w:tblW w:w="9280" w:type="dxa"/>
        <w:jc w:val="center"/>
        <w:tblLook w:val="04A0" w:firstRow="1" w:lastRow="0" w:firstColumn="1" w:lastColumn="0" w:noHBand="0" w:noVBand="1"/>
      </w:tblPr>
      <w:tblGrid>
        <w:gridCol w:w="2641"/>
        <w:gridCol w:w="1006"/>
        <w:gridCol w:w="1006"/>
        <w:gridCol w:w="1006"/>
        <w:gridCol w:w="1006"/>
        <w:gridCol w:w="2615"/>
      </w:tblGrid>
      <w:tr w:rsidR="009720F9" w:rsidRPr="00E53597" w14:paraId="22A35421" w14:textId="77777777" w:rsidTr="00C31C7F">
        <w:trPr>
          <w:cantSplit/>
          <w:trHeight w:val="332"/>
          <w:tblHeader/>
          <w:jc w:val="center"/>
        </w:trPr>
        <w:tc>
          <w:tcPr>
            <w:tcW w:w="2641" w:type="dxa"/>
            <w:tcBorders>
              <w:top w:val="single" w:sz="4" w:space="0" w:color="auto"/>
              <w:left w:val="single" w:sz="4" w:space="0" w:color="auto"/>
              <w:bottom w:val="single" w:sz="4" w:space="0" w:color="auto"/>
              <w:right w:val="single" w:sz="4" w:space="0" w:color="auto"/>
            </w:tcBorders>
            <w:shd w:val="clear" w:color="auto" w:fill="E1FFFF"/>
            <w:noWrap/>
            <w:vAlign w:val="center"/>
            <w:hideMark/>
          </w:tcPr>
          <w:p w14:paraId="4D820C94" w14:textId="77777777" w:rsidR="009720F9" w:rsidRPr="009720F9" w:rsidRDefault="009720F9" w:rsidP="000836A5">
            <w:pPr>
              <w:rPr>
                <w:rFonts w:ascii="Calibri" w:eastAsia="Times New Roman" w:hAnsi="Calibri" w:cs="Calibri"/>
                <w:b/>
                <w:bCs/>
                <w:color w:val="000000"/>
              </w:rPr>
            </w:pPr>
            <w:r w:rsidRPr="009720F9">
              <w:rPr>
                <w:rFonts w:ascii="Calibri" w:eastAsia="Times New Roman" w:hAnsi="Calibri" w:cs="Calibri"/>
                <w:b/>
                <w:bCs/>
                <w:color w:val="000000"/>
              </w:rPr>
              <w:t>Year</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670047E1" w14:textId="3B6A5EB7" w:rsidR="009720F9" w:rsidRPr="009720F9" w:rsidRDefault="009720F9" w:rsidP="000836A5">
            <w:pPr>
              <w:jc w:val="center"/>
              <w:rPr>
                <w:rFonts w:ascii="Calibri" w:eastAsia="Times New Roman" w:hAnsi="Calibri" w:cs="Calibri"/>
                <w:b/>
                <w:bCs/>
                <w:color w:val="000000"/>
              </w:rPr>
            </w:pPr>
            <w:r w:rsidRPr="009720F9">
              <w:rPr>
                <w:rFonts w:ascii="Calibri" w:eastAsia="Times New Roman" w:hAnsi="Calibri" w:cs="Calibri"/>
                <w:b/>
                <w:bCs/>
                <w:color w:val="000000"/>
              </w:rPr>
              <w:t>FY2020</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10D26951" w14:textId="44A93BB6" w:rsidR="009720F9" w:rsidRPr="009720F9" w:rsidRDefault="009720F9" w:rsidP="000836A5">
            <w:pPr>
              <w:jc w:val="center"/>
              <w:rPr>
                <w:rFonts w:ascii="Calibri" w:eastAsia="Times New Roman" w:hAnsi="Calibri" w:cs="Calibri"/>
                <w:b/>
                <w:bCs/>
                <w:color w:val="000000"/>
              </w:rPr>
            </w:pPr>
            <w:r w:rsidRPr="009720F9">
              <w:rPr>
                <w:rFonts w:ascii="Calibri" w:eastAsia="Times New Roman" w:hAnsi="Calibri" w:cs="Calibri"/>
                <w:b/>
                <w:bCs/>
                <w:color w:val="000000"/>
              </w:rPr>
              <w:t>FY2021</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731F1573" w14:textId="386CBA2E" w:rsidR="009720F9" w:rsidRPr="009720F9" w:rsidRDefault="009720F9" w:rsidP="000836A5">
            <w:pPr>
              <w:jc w:val="center"/>
              <w:rPr>
                <w:rFonts w:ascii="Calibri" w:eastAsia="Times New Roman" w:hAnsi="Calibri" w:cs="Calibri"/>
                <w:b/>
                <w:bCs/>
                <w:color w:val="000000"/>
              </w:rPr>
            </w:pPr>
            <w:r w:rsidRPr="009720F9">
              <w:rPr>
                <w:rFonts w:ascii="Calibri" w:eastAsia="Times New Roman" w:hAnsi="Calibri" w:cs="Calibri"/>
                <w:b/>
                <w:bCs/>
                <w:color w:val="000000"/>
              </w:rPr>
              <w:t>FY2022</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0A86D27E" w14:textId="46B64537" w:rsidR="009720F9" w:rsidRPr="009720F9" w:rsidRDefault="009720F9" w:rsidP="000836A5">
            <w:pPr>
              <w:jc w:val="center"/>
              <w:rPr>
                <w:rFonts w:ascii="Calibri" w:eastAsia="Times New Roman" w:hAnsi="Calibri" w:cs="Calibri"/>
                <w:b/>
                <w:bCs/>
                <w:color w:val="000000"/>
              </w:rPr>
            </w:pPr>
            <w:r w:rsidRPr="009720F9">
              <w:rPr>
                <w:rFonts w:ascii="Calibri" w:eastAsia="Times New Roman" w:hAnsi="Calibri" w:cs="Calibri"/>
                <w:b/>
                <w:bCs/>
                <w:color w:val="000000"/>
              </w:rPr>
              <w:t>FY2023</w:t>
            </w:r>
          </w:p>
        </w:tc>
        <w:tc>
          <w:tcPr>
            <w:tcW w:w="2615" w:type="dxa"/>
            <w:tcBorders>
              <w:top w:val="single" w:sz="4" w:space="0" w:color="auto"/>
              <w:left w:val="nil"/>
              <w:bottom w:val="single" w:sz="4" w:space="0" w:color="auto"/>
              <w:right w:val="single" w:sz="4" w:space="0" w:color="auto"/>
            </w:tcBorders>
            <w:shd w:val="clear" w:color="auto" w:fill="E1FFFF"/>
            <w:noWrap/>
            <w:vAlign w:val="center"/>
            <w:hideMark/>
          </w:tcPr>
          <w:p w14:paraId="7145ED09" w14:textId="0026E2C7" w:rsidR="009720F9" w:rsidRPr="00E53597" w:rsidRDefault="0095532E" w:rsidP="0095532E">
            <w:pPr>
              <w:jc w:val="center"/>
              <w:rPr>
                <w:rFonts w:ascii="Calibri" w:eastAsia="Times New Roman" w:hAnsi="Calibri" w:cs="Calibri"/>
                <w:b/>
                <w:bCs/>
                <w:color w:val="000000"/>
                <w:highlight w:val="yellow"/>
              </w:rPr>
            </w:pPr>
            <w:r w:rsidRPr="0095532E">
              <w:rPr>
                <w:rFonts w:ascii="Calibri" w:eastAsia="Times New Roman" w:hAnsi="Calibri" w:cs="Calibri"/>
                <w:b/>
                <w:bCs/>
                <w:color w:val="000000"/>
              </w:rPr>
              <w:t>FY2024</w:t>
            </w:r>
          </w:p>
        </w:tc>
      </w:tr>
      <w:tr w:rsidR="009720F9" w:rsidRPr="00E53597" w14:paraId="3C0528E4" w14:textId="77777777" w:rsidTr="005B4B4F">
        <w:trPr>
          <w:cantSplit/>
          <w:trHeight w:val="206"/>
          <w:jc w:val="center"/>
        </w:trPr>
        <w:tc>
          <w:tcPr>
            <w:tcW w:w="2641" w:type="dxa"/>
            <w:tcBorders>
              <w:top w:val="nil"/>
              <w:left w:val="single" w:sz="4" w:space="0" w:color="auto"/>
              <w:bottom w:val="nil"/>
              <w:right w:val="single" w:sz="4" w:space="0" w:color="auto"/>
            </w:tcBorders>
            <w:shd w:val="clear" w:color="auto" w:fill="E5FFFF"/>
            <w:noWrap/>
            <w:vAlign w:val="center"/>
            <w:hideMark/>
          </w:tcPr>
          <w:p w14:paraId="07C953C8" w14:textId="5D406B91" w:rsidR="009720F9" w:rsidRPr="009720F9" w:rsidRDefault="009720F9" w:rsidP="000836A5">
            <w:pPr>
              <w:rPr>
                <w:rFonts w:ascii="Calibri" w:eastAsia="Times New Roman" w:hAnsi="Calibri" w:cs="Calibri"/>
                <w:color w:val="000000"/>
              </w:rPr>
            </w:pPr>
            <w:r w:rsidRPr="009720F9">
              <w:rPr>
                <w:rFonts w:ascii="Calibri" w:eastAsia="Times New Roman" w:hAnsi="Calibri" w:cs="Calibri"/>
                <w:color w:val="000000"/>
              </w:rPr>
              <w:t xml:space="preserve">Vibra </w:t>
            </w:r>
            <w:r w:rsidR="00E7553A">
              <w:rPr>
                <w:rFonts w:ascii="Calibri" w:eastAsia="Times New Roman" w:hAnsi="Calibri" w:cs="Calibri"/>
                <w:color w:val="000000"/>
              </w:rPr>
              <w:t>Unique Patients</w:t>
            </w:r>
            <w:r w:rsidR="00F30395">
              <w:rPr>
                <w:rFonts w:ascii="Calibri" w:eastAsia="Times New Roman" w:hAnsi="Calibri" w:cs="Calibri"/>
                <w:color w:val="000000"/>
              </w:rPr>
              <w:t xml:space="preserve"> (collected at discharge)</w:t>
            </w:r>
          </w:p>
        </w:tc>
        <w:tc>
          <w:tcPr>
            <w:tcW w:w="1006" w:type="dxa"/>
            <w:tcBorders>
              <w:top w:val="nil"/>
              <w:left w:val="nil"/>
              <w:bottom w:val="nil"/>
              <w:right w:val="single" w:sz="4" w:space="0" w:color="auto"/>
            </w:tcBorders>
            <w:shd w:val="clear" w:color="auto" w:fill="auto"/>
            <w:noWrap/>
            <w:vAlign w:val="center"/>
            <w:hideMark/>
          </w:tcPr>
          <w:p w14:paraId="07B0B830" w14:textId="634A9986" w:rsidR="009720F9" w:rsidRPr="009720F9" w:rsidRDefault="009720F9" w:rsidP="000836A5">
            <w:pPr>
              <w:jc w:val="center"/>
              <w:rPr>
                <w:rFonts w:ascii="Calibri" w:eastAsia="Times New Roman" w:hAnsi="Calibri" w:cs="Calibri"/>
                <w:color w:val="000000"/>
              </w:rPr>
            </w:pPr>
            <w:r w:rsidRPr="638F6CD6">
              <w:rPr>
                <w:rFonts w:ascii="Calibri" w:eastAsia="Times New Roman" w:hAnsi="Calibri" w:cs="Calibri"/>
                <w:color w:val="000000" w:themeColor="text1"/>
              </w:rPr>
              <w:t>338</w:t>
            </w:r>
          </w:p>
        </w:tc>
        <w:tc>
          <w:tcPr>
            <w:tcW w:w="1006" w:type="dxa"/>
            <w:tcBorders>
              <w:top w:val="nil"/>
              <w:left w:val="nil"/>
              <w:bottom w:val="nil"/>
              <w:right w:val="single" w:sz="4" w:space="0" w:color="auto"/>
            </w:tcBorders>
            <w:shd w:val="clear" w:color="auto" w:fill="auto"/>
            <w:noWrap/>
            <w:vAlign w:val="center"/>
            <w:hideMark/>
          </w:tcPr>
          <w:p w14:paraId="2196AE87" w14:textId="3EA2F615" w:rsidR="009720F9" w:rsidRPr="009720F9" w:rsidRDefault="009720F9" w:rsidP="000836A5">
            <w:pPr>
              <w:jc w:val="center"/>
              <w:rPr>
                <w:rFonts w:ascii="Calibri" w:eastAsia="Times New Roman" w:hAnsi="Calibri" w:cs="Calibri"/>
                <w:color w:val="000000"/>
              </w:rPr>
            </w:pPr>
            <w:r w:rsidRPr="009720F9">
              <w:rPr>
                <w:rFonts w:ascii="Calibri" w:eastAsia="Times New Roman" w:hAnsi="Calibri" w:cs="Calibri"/>
                <w:color w:val="000000"/>
              </w:rPr>
              <w:t>297</w:t>
            </w:r>
          </w:p>
        </w:tc>
        <w:tc>
          <w:tcPr>
            <w:tcW w:w="1006" w:type="dxa"/>
            <w:tcBorders>
              <w:top w:val="nil"/>
              <w:left w:val="nil"/>
              <w:bottom w:val="nil"/>
              <w:right w:val="single" w:sz="4" w:space="0" w:color="auto"/>
            </w:tcBorders>
            <w:shd w:val="clear" w:color="auto" w:fill="auto"/>
            <w:noWrap/>
            <w:vAlign w:val="center"/>
            <w:hideMark/>
          </w:tcPr>
          <w:p w14:paraId="2CB24783" w14:textId="693A85CA" w:rsidR="009720F9" w:rsidRPr="009720F9" w:rsidRDefault="009720F9" w:rsidP="000836A5">
            <w:pPr>
              <w:jc w:val="center"/>
              <w:rPr>
                <w:rFonts w:ascii="Calibri" w:eastAsia="Times New Roman" w:hAnsi="Calibri" w:cs="Calibri"/>
                <w:color w:val="000000"/>
              </w:rPr>
            </w:pPr>
            <w:r w:rsidRPr="009720F9">
              <w:rPr>
                <w:rFonts w:ascii="Calibri" w:eastAsia="Times New Roman" w:hAnsi="Calibri" w:cs="Calibri"/>
                <w:color w:val="000000"/>
              </w:rPr>
              <w:t>292</w:t>
            </w:r>
          </w:p>
        </w:tc>
        <w:tc>
          <w:tcPr>
            <w:tcW w:w="1006" w:type="dxa"/>
            <w:tcBorders>
              <w:top w:val="nil"/>
              <w:left w:val="nil"/>
              <w:bottom w:val="nil"/>
              <w:right w:val="single" w:sz="4" w:space="0" w:color="auto"/>
            </w:tcBorders>
            <w:shd w:val="clear" w:color="auto" w:fill="auto"/>
            <w:noWrap/>
            <w:vAlign w:val="center"/>
            <w:hideMark/>
          </w:tcPr>
          <w:p w14:paraId="4E6E3798" w14:textId="3F7B55CF" w:rsidR="009720F9" w:rsidRPr="009720F9" w:rsidRDefault="0095532E" w:rsidP="000836A5">
            <w:pPr>
              <w:jc w:val="center"/>
              <w:rPr>
                <w:rFonts w:ascii="Calibri" w:eastAsia="Times New Roman" w:hAnsi="Calibri" w:cs="Calibri"/>
                <w:color w:val="000000"/>
              </w:rPr>
            </w:pPr>
            <w:r>
              <w:rPr>
                <w:rFonts w:ascii="Calibri" w:eastAsia="Times New Roman" w:hAnsi="Calibri" w:cs="Calibri"/>
                <w:color w:val="000000"/>
              </w:rPr>
              <w:t>244</w:t>
            </w:r>
          </w:p>
        </w:tc>
        <w:tc>
          <w:tcPr>
            <w:tcW w:w="2615" w:type="dxa"/>
            <w:tcBorders>
              <w:top w:val="nil"/>
              <w:left w:val="nil"/>
              <w:bottom w:val="nil"/>
              <w:right w:val="single" w:sz="4" w:space="0" w:color="auto"/>
            </w:tcBorders>
            <w:shd w:val="clear" w:color="auto" w:fill="auto"/>
            <w:noWrap/>
            <w:vAlign w:val="center"/>
            <w:hideMark/>
          </w:tcPr>
          <w:p w14:paraId="7557953D" w14:textId="50B1265C" w:rsidR="009720F9" w:rsidRPr="00B02652" w:rsidRDefault="00B02652" w:rsidP="007D5F66">
            <w:pPr>
              <w:jc w:val="center"/>
              <w:rPr>
                <w:rFonts w:ascii="Calibri" w:eastAsia="Times New Roman" w:hAnsi="Calibri" w:cs="Calibri"/>
                <w:color w:val="000000"/>
              </w:rPr>
            </w:pPr>
            <w:r w:rsidRPr="638F6CD6">
              <w:rPr>
                <w:rFonts w:ascii="Calibri" w:eastAsia="Times New Roman" w:hAnsi="Calibri" w:cs="Calibri"/>
                <w:color w:val="000000" w:themeColor="text1"/>
              </w:rPr>
              <w:t>20</w:t>
            </w:r>
            <w:r w:rsidR="4AB55BA9" w:rsidRPr="638F6CD6">
              <w:rPr>
                <w:rFonts w:ascii="Calibri" w:eastAsia="Times New Roman" w:hAnsi="Calibri" w:cs="Calibri"/>
                <w:color w:val="000000" w:themeColor="text1"/>
              </w:rPr>
              <w:t>4</w:t>
            </w:r>
          </w:p>
        </w:tc>
      </w:tr>
      <w:tr w:rsidR="00C31C7F" w:rsidRPr="00E53597" w14:paraId="60F221A6" w14:textId="77777777" w:rsidTr="00C31C7F">
        <w:trPr>
          <w:cantSplit/>
          <w:trHeight w:val="206"/>
          <w:jc w:val="center"/>
        </w:trPr>
        <w:tc>
          <w:tcPr>
            <w:tcW w:w="2641" w:type="dxa"/>
            <w:tcBorders>
              <w:top w:val="nil"/>
              <w:left w:val="single" w:sz="4" w:space="0" w:color="auto"/>
              <w:bottom w:val="single" w:sz="4" w:space="0" w:color="auto"/>
              <w:right w:val="single" w:sz="4" w:space="0" w:color="auto"/>
            </w:tcBorders>
            <w:shd w:val="clear" w:color="auto" w:fill="E5FFFF"/>
            <w:noWrap/>
            <w:vAlign w:val="center"/>
          </w:tcPr>
          <w:p w14:paraId="3AE8131D" w14:textId="59028CF0" w:rsidR="00C31C7F" w:rsidRPr="009720F9" w:rsidRDefault="00C31C7F" w:rsidP="00C31C7F">
            <w:pPr>
              <w:rPr>
                <w:rFonts w:ascii="Calibri" w:eastAsia="Times New Roman" w:hAnsi="Calibri" w:cs="Calibri"/>
                <w:color w:val="000000"/>
              </w:rPr>
            </w:pPr>
            <w:r>
              <w:rPr>
                <w:rFonts w:ascii="Calibri" w:eastAsia="Times New Roman" w:hAnsi="Calibri" w:cs="Calibri"/>
                <w:color w:val="000000"/>
              </w:rPr>
              <w:t>Number of Licensed Beds</w:t>
            </w:r>
          </w:p>
        </w:tc>
        <w:tc>
          <w:tcPr>
            <w:tcW w:w="1006" w:type="dxa"/>
            <w:tcBorders>
              <w:top w:val="nil"/>
              <w:left w:val="nil"/>
              <w:bottom w:val="single" w:sz="4" w:space="0" w:color="auto"/>
              <w:right w:val="single" w:sz="4" w:space="0" w:color="auto"/>
            </w:tcBorders>
            <w:shd w:val="clear" w:color="auto" w:fill="auto"/>
            <w:noWrap/>
            <w:vAlign w:val="center"/>
          </w:tcPr>
          <w:p w14:paraId="74320BBC" w14:textId="51E5CB86" w:rsidR="00C31C7F" w:rsidRPr="638F6CD6" w:rsidRDefault="00C31C7F" w:rsidP="00C31C7F">
            <w:pPr>
              <w:jc w:val="center"/>
              <w:rPr>
                <w:rFonts w:ascii="Calibri" w:eastAsia="Times New Roman" w:hAnsi="Calibri" w:cs="Calibri"/>
                <w:color w:val="000000" w:themeColor="text1"/>
              </w:rPr>
            </w:pPr>
            <w:r>
              <w:rPr>
                <w:rFonts w:ascii="Calibri" w:eastAsia="Times New Roman" w:hAnsi="Calibri" w:cs="Calibri"/>
                <w:color w:val="000000" w:themeColor="text1"/>
              </w:rPr>
              <w:t>47</w:t>
            </w:r>
          </w:p>
        </w:tc>
        <w:tc>
          <w:tcPr>
            <w:tcW w:w="1006" w:type="dxa"/>
            <w:tcBorders>
              <w:top w:val="nil"/>
              <w:left w:val="nil"/>
              <w:bottom w:val="single" w:sz="4" w:space="0" w:color="auto"/>
              <w:right w:val="single" w:sz="4" w:space="0" w:color="auto"/>
            </w:tcBorders>
            <w:shd w:val="clear" w:color="auto" w:fill="auto"/>
            <w:noWrap/>
            <w:vAlign w:val="center"/>
          </w:tcPr>
          <w:p w14:paraId="3EF92116" w14:textId="77BDA293" w:rsidR="00C31C7F" w:rsidRPr="009720F9" w:rsidRDefault="00C31C7F" w:rsidP="00C31C7F">
            <w:pPr>
              <w:jc w:val="center"/>
              <w:rPr>
                <w:rFonts w:ascii="Calibri" w:eastAsia="Times New Roman" w:hAnsi="Calibri" w:cs="Calibri"/>
                <w:color w:val="000000"/>
              </w:rPr>
            </w:pPr>
            <w:r>
              <w:rPr>
                <w:rFonts w:ascii="Calibri" w:eastAsia="Times New Roman" w:hAnsi="Calibri" w:cs="Calibri"/>
                <w:color w:val="000000"/>
              </w:rPr>
              <w:t>47</w:t>
            </w:r>
          </w:p>
        </w:tc>
        <w:tc>
          <w:tcPr>
            <w:tcW w:w="1006" w:type="dxa"/>
            <w:tcBorders>
              <w:top w:val="nil"/>
              <w:left w:val="nil"/>
              <w:bottom w:val="single" w:sz="4" w:space="0" w:color="auto"/>
              <w:right w:val="single" w:sz="4" w:space="0" w:color="auto"/>
            </w:tcBorders>
            <w:shd w:val="clear" w:color="auto" w:fill="auto"/>
            <w:noWrap/>
            <w:vAlign w:val="center"/>
          </w:tcPr>
          <w:p w14:paraId="76771125" w14:textId="4112EBDF" w:rsidR="00C31C7F" w:rsidRPr="009720F9" w:rsidRDefault="00C31C7F" w:rsidP="00C31C7F">
            <w:pPr>
              <w:jc w:val="center"/>
              <w:rPr>
                <w:rFonts w:ascii="Calibri" w:eastAsia="Times New Roman" w:hAnsi="Calibri" w:cs="Calibri"/>
                <w:color w:val="000000"/>
              </w:rPr>
            </w:pPr>
            <w:r>
              <w:rPr>
                <w:rFonts w:ascii="Calibri" w:eastAsia="Times New Roman" w:hAnsi="Calibri" w:cs="Calibri"/>
                <w:color w:val="000000"/>
              </w:rPr>
              <w:t>47</w:t>
            </w:r>
          </w:p>
        </w:tc>
        <w:tc>
          <w:tcPr>
            <w:tcW w:w="1006" w:type="dxa"/>
            <w:tcBorders>
              <w:top w:val="nil"/>
              <w:left w:val="nil"/>
              <w:bottom w:val="single" w:sz="4" w:space="0" w:color="auto"/>
              <w:right w:val="single" w:sz="4" w:space="0" w:color="auto"/>
            </w:tcBorders>
            <w:shd w:val="clear" w:color="auto" w:fill="auto"/>
            <w:noWrap/>
            <w:vAlign w:val="center"/>
          </w:tcPr>
          <w:p w14:paraId="50D9B592" w14:textId="0DEF9744" w:rsidR="00C31C7F" w:rsidRDefault="00C31C7F" w:rsidP="00C31C7F">
            <w:pPr>
              <w:jc w:val="center"/>
              <w:rPr>
                <w:rFonts w:ascii="Calibri" w:eastAsia="Times New Roman" w:hAnsi="Calibri" w:cs="Calibri"/>
                <w:color w:val="000000"/>
              </w:rPr>
            </w:pPr>
            <w:r>
              <w:rPr>
                <w:rFonts w:ascii="Calibri" w:eastAsia="Times New Roman" w:hAnsi="Calibri" w:cs="Calibri"/>
                <w:color w:val="000000"/>
              </w:rPr>
              <w:t>47</w:t>
            </w:r>
          </w:p>
        </w:tc>
        <w:tc>
          <w:tcPr>
            <w:tcW w:w="2615" w:type="dxa"/>
            <w:tcBorders>
              <w:top w:val="nil"/>
              <w:left w:val="nil"/>
              <w:bottom w:val="single" w:sz="4" w:space="0" w:color="auto"/>
              <w:right w:val="single" w:sz="4" w:space="0" w:color="auto"/>
            </w:tcBorders>
            <w:shd w:val="clear" w:color="auto" w:fill="auto"/>
            <w:noWrap/>
            <w:vAlign w:val="center"/>
          </w:tcPr>
          <w:p w14:paraId="4B178911" w14:textId="3B8AC998" w:rsidR="00C31C7F" w:rsidRPr="638F6CD6" w:rsidRDefault="00C31C7F" w:rsidP="00C31C7F">
            <w:pPr>
              <w:jc w:val="center"/>
              <w:rPr>
                <w:rFonts w:ascii="Calibri" w:eastAsia="Times New Roman" w:hAnsi="Calibri" w:cs="Calibri"/>
                <w:color w:val="000000" w:themeColor="text1"/>
              </w:rPr>
            </w:pPr>
            <w:r>
              <w:rPr>
                <w:rFonts w:ascii="Calibri" w:eastAsia="Times New Roman" w:hAnsi="Calibri" w:cs="Calibri"/>
                <w:color w:val="000000" w:themeColor="text1"/>
              </w:rPr>
              <w:t>47</w:t>
            </w:r>
          </w:p>
        </w:tc>
      </w:tr>
      <w:tr w:rsidR="00C31C7F" w:rsidRPr="00E53597" w14:paraId="0870ABAC" w14:textId="77777777" w:rsidTr="00C31C7F">
        <w:trPr>
          <w:cantSplit/>
          <w:trHeight w:val="206"/>
          <w:jc w:val="center"/>
        </w:trPr>
        <w:tc>
          <w:tcPr>
            <w:tcW w:w="2641" w:type="dxa"/>
            <w:tcBorders>
              <w:top w:val="nil"/>
              <w:left w:val="single" w:sz="4" w:space="0" w:color="auto"/>
              <w:bottom w:val="single" w:sz="4" w:space="0" w:color="auto"/>
              <w:right w:val="single" w:sz="4" w:space="0" w:color="auto"/>
            </w:tcBorders>
            <w:shd w:val="clear" w:color="auto" w:fill="E5FFFF"/>
            <w:noWrap/>
            <w:vAlign w:val="center"/>
          </w:tcPr>
          <w:p w14:paraId="4726026F" w14:textId="657689D3" w:rsidR="00C31C7F" w:rsidRDefault="00C31C7F" w:rsidP="00C31C7F">
            <w:pPr>
              <w:rPr>
                <w:rFonts w:ascii="Calibri" w:eastAsia="Times New Roman" w:hAnsi="Calibri" w:cs="Calibri"/>
                <w:color w:val="000000"/>
              </w:rPr>
            </w:pPr>
            <w:r>
              <w:rPr>
                <w:rFonts w:ascii="Calibri" w:eastAsia="Times New Roman" w:hAnsi="Calibri" w:cs="Calibri"/>
                <w:color w:val="000000"/>
              </w:rPr>
              <w:t>Number of Staffed Beds</w:t>
            </w:r>
          </w:p>
        </w:tc>
        <w:tc>
          <w:tcPr>
            <w:tcW w:w="1006" w:type="dxa"/>
            <w:tcBorders>
              <w:top w:val="nil"/>
              <w:left w:val="nil"/>
              <w:bottom w:val="single" w:sz="4" w:space="0" w:color="auto"/>
              <w:right w:val="single" w:sz="4" w:space="0" w:color="auto"/>
            </w:tcBorders>
            <w:shd w:val="clear" w:color="auto" w:fill="auto"/>
            <w:noWrap/>
            <w:vAlign w:val="center"/>
          </w:tcPr>
          <w:p w14:paraId="1838418E" w14:textId="0F92412B" w:rsidR="00C31C7F" w:rsidRDefault="00C31C7F" w:rsidP="00C31C7F">
            <w:pPr>
              <w:jc w:val="center"/>
              <w:rPr>
                <w:rFonts w:ascii="Calibri" w:eastAsia="Times New Roman" w:hAnsi="Calibri" w:cs="Calibri"/>
                <w:color w:val="000000" w:themeColor="text1"/>
              </w:rPr>
            </w:pPr>
            <w:r>
              <w:rPr>
                <w:rFonts w:ascii="Calibri" w:eastAsia="Times New Roman" w:hAnsi="Calibri" w:cs="Calibri"/>
                <w:color w:val="000000" w:themeColor="text1"/>
              </w:rPr>
              <w:t>28</w:t>
            </w:r>
          </w:p>
        </w:tc>
        <w:tc>
          <w:tcPr>
            <w:tcW w:w="1006" w:type="dxa"/>
            <w:tcBorders>
              <w:top w:val="nil"/>
              <w:left w:val="nil"/>
              <w:bottom w:val="single" w:sz="4" w:space="0" w:color="auto"/>
              <w:right w:val="single" w:sz="4" w:space="0" w:color="auto"/>
            </w:tcBorders>
            <w:shd w:val="clear" w:color="auto" w:fill="auto"/>
            <w:noWrap/>
            <w:vAlign w:val="center"/>
          </w:tcPr>
          <w:p w14:paraId="4137A746" w14:textId="78DAB61B" w:rsidR="00C31C7F" w:rsidRDefault="00C31C7F" w:rsidP="00C31C7F">
            <w:pPr>
              <w:jc w:val="center"/>
              <w:rPr>
                <w:rFonts w:ascii="Calibri" w:eastAsia="Times New Roman" w:hAnsi="Calibri" w:cs="Calibri"/>
                <w:color w:val="000000"/>
              </w:rPr>
            </w:pPr>
            <w:r>
              <w:rPr>
                <w:rFonts w:ascii="Calibri" w:eastAsia="Times New Roman" w:hAnsi="Calibri" w:cs="Calibri"/>
                <w:color w:val="000000"/>
              </w:rPr>
              <w:t>29</w:t>
            </w:r>
          </w:p>
        </w:tc>
        <w:tc>
          <w:tcPr>
            <w:tcW w:w="1006" w:type="dxa"/>
            <w:tcBorders>
              <w:top w:val="nil"/>
              <w:left w:val="nil"/>
              <w:bottom w:val="single" w:sz="4" w:space="0" w:color="auto"/>
              <w:right w:val="single" w:sz="4" w:space="0" w:color="auto"/>
            </w:tcBorders>
            <w:shd w:val="clear" w:color="auto" w:fill="auto"/>
            <w:noWrap/>
            <w:vAlign w:val="center"/>
          </w:tcPr>
          <w:p w14:paraId="0F18F53C" w14:textId="79891F71" w:rsidR="00C31C7F" w:rsidRDefault="00C31C7F" w:rsidP="00C31C7F">
            <w:pPr>
              <w:jc w:val="center"/>
              <w:rPr>
                <w:rFonts w:ascii="Calibri" w:eastAsia="Times New Roman" w:hAnsi="Calibri" w:cs="Calibri"/>
                <w:color w:val="000000"/>
              </w:rPr>
            </w:pPr>
            <w:r>
              <w:rPr>
                <w:rFonts w:ascii="Calibri" w:eastAsia="Times New Roman" w:hAnsi="Calibri" w:cs="Calibri"/>
                <w:color w:val="000000"/>
              </w:rPr>
              <w:t>30</w:t>
            </w:r>
          </w:p>
        </w:tc>
        <w:tc>
          <w:tcPr>
            <w:tcW w:w="1006" w:type="dxa"/>
            <w:tcBorders>
              <w:top w:val="nil"/>
              <w:left w:val="nil"/>
              <w:bottom w:val="single" w:sz="4" w:space="0" w:color="auto"/>
              <w:right w:val="single" w:sz="4" w:space="0" w:color="auto"/>
            </w:tcBorders>
            <w:shd w:val="clear" w:color="auto" w:fill="auto"/>
            <w:noWrap/>
            <w:vAlign w:val="center"/>
          </w:tcPr>
          <w:p w14:paraId="4B84B93E" w14:textId="1C883926" w:rsidR="00C31C7F" w:rsidRDefault="00C31C7F" w:rsidP="00C31C7F">
            <w:pPr>
              <w:jc w:val="center"/>
              <w:rPr>
                <w:rFonts w:ascii="Calibri" w:eastAsia="Times New Roman" w:hAnsi="Calibri" w:cs="Calibri"/>
                <w:color w:val="000000"/>
              </w:rPr>
            </w:pPr>
            <w:r>
              <w:rPr>
                <w:rFonts w:ascii="Calibri" w:eastAsia="Times New Roman" w:hAnsi="Calibri" w:cs="Calibri"/>
                <w:color w:val="000000"/>
              </w:rPr>
              <w:t>27</w:t>
            </w:r>
          </w:p>
        </w:tc>
        <w:tc>
          <w:tcPr>
            <w:tcW w:w="2615" w:type="dxa"/>
            <w:tcBorders>
              <w:top w:val="nil"/>
              <w:left w:val="nil"/>
              <w:bottom w:val="single" w:sz="4" w:space="0" w:color="auto"/>
              <w:right w:val="single" w:sz="4" w:space="0" w:color="auto"/>
            </w:tcBorders>
            <w:shd w:val="clear" w:color="auto" w:fill="auto"/>
            <w:noWrap/>
            <w:vAlign w:val="center"/>
          </w:tcPr>
          <w:p w14:paraId="3DC34D13" w14:textId="31052D77" w:rsidR="00C31C7F" w:rsidRDefault="00C31C7F" w:rsidP="00C31C7F">
            <w:pPr>
              <w:jc w:val="center"/>
              <w:rPr>
                <w:rFonts w:ascii="Calibri" w:eastAsia="Times New Roman" w:hAnsi="Calibri" w:cs="Calibri"/>
                <w:color w:val="000000" w:themeColor="text1"/>
              </w:rPr>
            </w:pPr>
            <w:r>
              <w:rPr>
                <w:rFonts w:ascii="Calibri" w:eastAsia="Times New Roman" w:hAnsi="Calibri" w:cs="Calibri"/>
                <w:color w:val="000000" w:themeColor="text1"/>
              </w:rPr>
              <w:t>24</w:t>
            </w:r>
          </w:p>
        </w:tc>
      </w:tr>
    </w:tbl>
    <w:p w14:paraId="7A0F3ED5" w14:textId="77777777" w:rsidR="007926B0" w:rsidRDefault="007926B0" w:rsidP="00296C29">
      <w:pPr>
        <w:rPr>
          <w:b/>
          <w:bCs/>
          <w:highlight w:val="yellow"/>
        </w:rPr>
      </w:pPr>
      <w:bookmarkStart w:id="26" w:name="_Hlk151730467"/>
      <w:bookmarkStart w:id="27" w:name="_Hlk151730528"/>
      <w:bookmarkEnd w:id="25"/>
    </w:p>
    <w:p w14:paraId="64D79F68" w14:textId="3E978B4A" w:rsidR="007926B0" w:rsidRPr="001B0918" w:rsidRDefault="007926B0" w:rsidP="007926B0">
      <w:pPr>
        <w:pStyle w:val="BodyText"/>
        <w:spacing w:before="1"/>
        <w:rPr>
          <w:sz w:val="24"/>
          <w:szCs w:val="24"/>
          <w:highlight w:val="yellow"/>
        </w:rPr>
      </w:pPr>
      <w:r w:rsidRPr="001B0918">
        <w:rPr>
          <w:sz w:val="24"/>
          <w:szCs w:val="24"/>
        </w:rPr>
        <w:t>Table 2 presents demographic information for the Vibra</w:t>
      </w:r>
      <w:r w:rsidR="00855091" w:rsidRPr="001B0918">
        <w:rPr>
          <w:sz w:val="24"/>
          <w:szCs w:val="24"/>
        </w:rPr>
        <w:t>’s</w:t>
      </w:r>
      <w:r w:rsidRPr="001B0918">
        <w:rPr>
          <w:sz w:val="24"/>
          <w:szCs w:val="24"/>
        </w:rPr>
        <w:t xml:space="preserve"> </w:t>
      </w:r>
      <w:r w:rsidR="00855091" w:rsidRPr="001B0918">
        <w:rPr>
          <w:sz w:val="24"/>
          <w:szCs w:val="24"/>
        </w:rPr>
        <w:t>Patient Panel</w:t>
      </w:r>
      <w:r w:rsidRPr="001B0918">
        <w:rPr>
          <w:sz w:val="24"/>
          <w:szCs w:val="24"/>
        </w:rPr>
        <w:t xml:space="preserve"> during fiscal year (FY)202</w:t>
      </w:r>
      <w:r w:rsidR="00306A36">
        <w:rPr>
          <w:sz w:val="24"/>
          <w:szCs w:val="24"/>
        </w:rPr>
        <w:t>4</w:t>
      </w:r>
      <w:r w:rsidRPr="001B0918">
        <w:rPr>
          <w:sz w:val="24"/>
          <w:szCs w:val="24"/>
        </w:rPr>
        <w:t>. Staff notes the following observations about these data below:</w:t>
      </w:r>
    </w:p>
    <w:p w14:paraId="751381A0" w14:textId="5A018549" w:rsidR="00047060" w:rsidRPr="00047060" w:rsidRDefault="00047060" w:rsidP="007926B0">
      <w:pPr>
        <w:pStyle w:val="ListParagraph"/>
        <w:widowControl w:val="0"/>
        <w:numPr>
          <w:ilvl w:val="0"/>
          <w:numId w:val="13"/>
        </w:numPr>
        <w:tabs>
          <w:tab w:val="left" w:pos="939"/>
          <w:tab w:val="left" w:pos="940"/>
        </w:tabs>
        <w:autoSpaceDE w:val="0"/>
        <w:autoSpaceDN w:val="0"/>
        <w:spacing w:after="0" w:line="240" w:lineRule="auto"/>
        <w:ind w:left="939" w:right="896"/>
        <w:contextualSpacing w:val="0"/>
        <w:rPr>
          <w:sz w:val="24"/>
          <w:szCs w:val="24"/>
        </w:rPr>
      </w:pPr>
      <w:r w:rsidRPr="0000522A">
        <w:rPr>
          <w:b/>
          <w:bCs/>
          <w:sz w:val="24"/>
          <w:szCs w:val="24"/>
        </w:rPr>
        <w:t>Gender:</w:t>
      </w:r>
      <w:r>
        <w:rPr>
          <w:sz w:val="24"/>
          <w:szCs w:val="24"/>
        </w:rPr>
        <w:t xml:space="preserve"> </w:t>
      </w:r>
      <w:r w:rsidR="0000522A">
        <w:rPr>
          <w:sz w:val="24"/>
          <w:szCs w:val="24"/>
        </w:rPr>
        <w:t>There was a greater percentage of Male patients over Female patients</w:t>
      </w:r>
      <w:r w:rsidR="00427954">
        <w:rPr>
          <w:sz w:val="24"/>
          <w:szCs w:val="24"/>
        </w:rPr>
        <w:t xml:space="preserve">. </w:t>
      </w:r>
      <w:r w:rsidR="00EE742C">
        <w:rPr>
          <w:sz w:val="24"/>
          <w:szCs w:val="24"/>
        </w:rPr>
        <w:t xml:space="preserve">When asked about the </w:t>
      </w:r>
      <w:r w:rsidR="00213417">
        <w:rPr>
          <w:sz w:val="24"/>
          <w:szCs w:val="24"/>
        </w:rPr>
        <w:t>gap, t</w:t>
      </w:r>
      <w:r w:rsidR="00E61756">
        <w:rPr>
          <w:sz w:val="24"/>
          <w:szCs w:val="24"/>
        </w:rPr>
        <w:t xml:space="preserve">he Applicant stated that gender does not </w:t>
      </w:r>
      <w:r w:rsidR="00EE742C">
        <w:rPr>
          <w:sz w:val="24"/>
          <w:szCs w:val="24"/>
        </w:rPr>
        <w:t xml:space="preserve">factor into admission </w:t>
      </w:r>
      <w:r w:rsidR="00A60D53">
        <w:rPr>
          <w:sz w:val="24"/>
          <w:szCs w:val="24"/>
        </w:rPr>
        <w:t>decisions,</w:t>
      </w:r>
      <w:r w:rsidR="00EE742C">
        <w:rPr>
          <w:sz w:val="24"/>
          <w:szCs w:val="24"/>
        </w:rPr>
        <w:t xml:space="preserve"> and </w:t>
      </w:r>
      <w:r w:rsidR="00E61756" w:rsidRPr="00E61756">
        <w:rPr>
          <w:sz w:val="24"/>
          <w:szCs w:val="24"/>
        </w:rPr>
        <w:t xml:space="preserve">the gender gap is a function </w:t>
      </w:r>
      <w:r w:rsidR="009F3C5C">
        <w:rPr>
          <w:sz w:val="24"/>
          <w:szCs w:val="24"/>
        </w:rPr>
        <w:t xml:space="preserve">of </w:t>
      </w:r>
      <w:r w:rsidR="00EE742C">
        <w:rPr>
          <w:sz w:val="24"/>
          <w:szCs w:val="24"/>
        </w:rPr>
        <w:t>patients</w:t>
      </w:r>
      <w:r w:rsidR="00E61756" w:rsidRPr="00E61756">
        <w:rPr>
          <w:sz w:val="24"/>
          <w:szCs w:val="24"/>
        </w:rPr>
        <w:t xml:space="preserve"> referred and then deemed eligible for LTCH services.</w:t>
      </w:r>
    </w:p>
    <w:p w14:paraId="3F0B4E0B" w14:textId="2DC89ACB" w:rsidR="007926B0" w:rsidRPr="00270E70" w:rsidRDefault="007926B0" w:rsidP="007926B0">
      <w:pPr>
        <w:pStyle w:val="ListParagraph"/>
        <w:widowControl w:val="0"/>
        <w:numPr>
          <w:ilvl w:val="0"/>
          <w:numId w:val="13"/>
        </w:numPr>
        <w:tabs>
          <w:tab w:val="left" w:pos="939"/>
          <w:tab w:val="left" w:pos="940"/>
        </w:tabs>
        <w:autoSpaceDE w:val="0"/>
        <w:autoSpaceDN w:val="0"/>
        <w:spacing w:after="0" w:line="240" w:lineRule="auto"/>
        <w:ind w:left="939" w:right="896"/>
        <w:contextualSpacing w:val="0"/>
        <w:rPr>
          <w:sz w:val="24"/>
          <w:szCs w:val="24"/>
        </w:rPr>
      </w:pPr>
      <w:r w:rsidRPr="00A1724D">
        <w:rPr>
          <w:b/>
          <w:sz w:val="24"/>
          <w:szCs w:val="24"/>
        </w:rPr>
        <w:t xml:space="preserve">Age: </w:t>
      </w:r>
      <w:r w:rsidRPr="00A1724D">
        <w:rPr>
          <w:bCs/>
          <w:sz w:val="24"/>
          <w:szCs w:val="24"/>
        </w:rPr>
        <w:t xml:space="preserve">Patients </w:t>
      </w:r>
      <w:r w:rsidR="0000522A" w:rsidRPr="00A1724D">
        <w:rPr>
          <w:bCs/>
          <w:sz w:val="24"/>
          <w:szCs w:val="24"/>
        </w:rPr>
        <w:t xml:space="preserve">between the ages of 18-64 </w:t>
      </w:r>
      <w:r w:rsidR="005C7D0F" w:rsidRPr="00A1724D">
        <w:rPr>
          <w:bCs/>
          <w:sz w:val="24"/>
          <w:szCs w:val="24"/>
        </w:rPr>
        <w:t xml:space="preserve">comprise </w:t>
      </w:r>
      <w:r w:rsidR="00A1724D" w:rsidRPr="00A1724D">
        <w:rPr>
          <w:bCs/>
          <w:sz w:val="24"/>
          <w:szCs w:val="24"/>
        </w:rPr>
        <w:t>5</w:t>
      </w:r>
      <w:r w:rsidR="006659D7">
        <w:rPr>
          <w:bCs/>
          <w:sz w:val="24"/>
          <w:szCs w:val="24"/>
        </w:rPr>
        <w:t>9</w:t>
      </w:r>
      <w:r w:rsidR="00A1724D" w:rsidRPr="00A1724D">
        <w:rPr>
          <w:bCs/>
          <w:sz w:val="24"/>
          <w:szCs w:val="24"/>
        </w:rPr>
        <w:t>%</w:t>
      </w:r>
      <w:r w:rsidR="005C7D0F" w:rsidRPr="00A1724D">
        <w:rPr>
          <w:bCs/>
          <w:sz w:val="24"/>
          <w:szCs w:val="24"/>
        </w:rPr>
        <w:t xml:space="preserve"> </w:t>
      </w:r>
      <w:r w:rsidR="00A60D53" w:rsidRPr="00A1724D">
        <w:rPr>
          <w:bCs/>
          <w:sz w:val="24"/>
          <w:szCs w:val="24"/>
        </w:rPr>
        <w:t>of the</w:t>
      </w:r>
      <w:r w:rsidR="005C7D0F" w:rsidRPr="00A1724D">
        <w:rPr>
          <w:bCs/>
          <w:sz w:val="24"/>
          <w:szCs w:val="24"/>
        </w:rPr>
        <w:t xml:space="preserve"> </w:t>
      </w:r>
      <w:r w:rsidR="00017E23">
        <w:rPr>
          <w:bCs/>
          <w:sz w:val="24"/>
          <w:szCs w:val="24"/>
        </w:rPr>
        <w:t>P</w:t>
      </w:r>
      <w:r w:rsidR="005C7D0F" w:rsidRPr="00A1724D">
        <w:rPr>
          <w:bCs/>
          <w:sz w:val="24"/>
          <w:szCs w:val="24"/>
        </w:rPr>
        <w:t xml:space="preserve">atient </w:t>
      </w:r>
      <w:r w:rsidR="00017E23">
        <w:rPr>
          <w:bCs/>
          <w:sz w:val="24"/>
          <w:szCs w:val="24"/>
        </w:rPr>
        <w:t>P</w:t>
      </w:r>
      <w:r w:rsidR="005C7D0F" w:rsidRPr="00A1724D">
        <w:rPr>
          <w:bCs/>
          <w:sz w:val="24"/>
          <w:szCs w:val="24"/>
        </w:rPr>
        <w:t xml:space="preserve">anel, with the </w:t>
      </w:r>
      <w:r w:rsidR="005C7D0F" w:rsidRPr="00270E70">
        <w:rPr>
          <w:bCs/>
          <w:sz w:val="24"/>
          <w:szCs w:val="24"/>
        </w:rPr>
        <w:t xml:space="preserve">65+ population </w:t>
      </w:r>
      <w:r w:rsidR="00A1724D" w:rsidRPr="00270E70">
        <w:rPr>
          <w:bCs/>
          <w:sz w:val="24"/>
          <w:szCs w:val="24"/>
        </w:rPr>
        <w:t>closely following at 4</w:t>
      </w:r>
      <w:r w:rsidR="006659D7">
        <w:rPr>
          <w:bCs/>
          <w:sz w:val="24"/>
          <w:szCs w:val="24"/>
        </w:rPr>
        <w:t>1</w:t>
      </w:r>
      <w:r w:rsidR="00A1724D" w:rsidRPr="00270E70">
        <w:rPr>
          <w:bCs/>
          <w:sz w:val="24"/>
          <w:szCs w:val="24"/>
        </w:rPr>
        <w:t>%.</w:t>
      </w:r>
    </w:p>
    <w:p w14:paraId="2FBDE01A" w14:textId="58B98240" w:rsidR="007926B0" w:rsidRPr="00F35F53" w:rsidRDefault="007926B0" w:rsidP="59D5926F">
      <w:pPr>
        <w:pStyle w:val="ListParagraph"/>
        <w:widowControl w:val="0"/>
        <w:numPr>
          <w:ilvl w:val="0"/>
          <w:numId w:val="13"/>
        </w:numPr>
        <w:tabs>
          <w:tab w:val="left" w:pos="939"/>
          <w:tab w:val="left" w:pos="940"/>
        </w:tabs>
        <w:autoSpaceDE w:val="0"/>
        <w:autoSpaceDN w:val="0"/>
        <w:spacing w:before="4" w:after="0" w:line="240" w:lineRule="auto"/>
        <w:ind w:left="939" w:right="270"/>
        <w:rPr>
          <w:sz w:val="24"/>
          <w:szCs w:val="24"/>
        </w:rPr>
      </w:pPr>
      <w:r w:rsidRPr="00270E70">
        <w:rPr>
          <w:b/>
          <w:bCs/>
          <w:sz w:val="24"/>
          <w:szCs w:val="24"/>
        </w:rPr>
        <w:t xml:space="preserve">Race: </w:t>
      </w:r>
      <w:r w:rsidRPr="00270E70">
        <w:rPr>
          <w:sz w:val="24"/>
          <w:szCs w:val="24"/>
        </w:rPr>
        <w:t xml:space="preserve"> </w:t>
      </w:r>
      <w:r w:rsidR="005D21BB">
        <w:rPr>
          <w:sz w:val="24"/>
          <w:szCs w:val="24"/>
        </w:rPr>
        <w:t xml:space="preserve">The </w:t>
      </w:r>
      <w:r w:rsidRPr="00270E70">
        <w:rPr>
          <w:sz w:val="24"/>
          <w:szCs w:val="24"/>
        </w:rPr>
        <w:t>majority of patients (</w:t>
      </w:r>
      <w:r w:rsidR="009703E3" w:rsidRPr="00270E70">
        <w:rPr>
          <w:sz w:val="24"/>
          <w:szCs w:val="24"/>
        </w:rPr>
        <w:t>71</w:t>
      </w:r>
      <w:r w:rsidRPr="00270E70">
        <w:rPr>
          <w:sz w:val="24"/>
          <w:szCs w:val="24"/>
        </w:rPr>
        <w:t xml:space="preserve">%) identified as White, </w:t>
      </w:r>
      <w:r w:rsidR="00F659A8">
        <w:rPr>
          <w:sz w:val="24"/>
          <w:szCs w:val="24"/>
        </w:rPr>
        <w:t xml:space="preserve">and approximately 9% identified as </w:t>
      </w:r>
      <w:r w:rsidR="00371ED4">
        <w:rPr>
          <w:sz w:val="24"/>
          <w:szCs w:val="24"/>
        </w:rPr>
        <w:t xml:space="preserve">Black or African American. </w:t>
      </w:r>
      <w:r w:rsidR="520F4632">
        <w:rPr>
          <w:sz w:val="24"/>
          <w:szCs w:val="24"/>
        </w:rPr>
        <w:t>T</w:t>
      </w:r>
      <w:r w:rsidR="00371ED4">
        <w:rPr>
          <w:sz w:val="24"/>
          <w:szCs w:val="24"/>
        </w:rPr>
        <w:t>his hospital serves all of Massachusetts</w:t>
      </w:r>
      <w:r w:rsidR="02696FCE">
        <w:rPr>
          <w:sz w:val="24"/>
          <w:szCs w:val="24"/>
        </w:rPr>
        <w:t xml:space="preserve"> and</w:t>
      </w:r>
      <w:r w:rsidR="00447DF8">
        <w:rPr>
          <w:sz w:val="24"/>
          <w:szCs w:val="24"/>
        </w:rPr>
        <w:t xml:space="preserve"> </w:t>
      </w:r>
      <w:r w:rsidR="00371ED4">
        <w:rPr>
          <w:sz w:val="24"/>
          <w:szCs w:val="24"/>
        </w:rPr>
        <w:t xml:space="preserve">these </w:t>
      </w:r>
      <w:r w:rsidR="00970617">
        <w:rPr>
          <w:sz w:val="24"/>
          <w:szCs w:val="24"/>
        </w:rPr>
        <w:t>demogra</w:t>
      </w:r>
      <w:r w:rsidR="00970617" w:rsidRPr="002545C9">
        <w:rPr>
          <w:sz w:val="24"/>
          <w:szCs w:val="24"/>
        </w:rPr>
        <w:t>phics are in line with t</w:t>
      </w:r>
      <w:r w:rsidRPr="002545C9">
        <w:rPr>
          <w:sz w:val="24"/>
          <w:szCs w:val="24"/>
        </w:rPr>
        <w:t xml:space="preserve">he US Census for </w:t>
      </w:r>
      <w:r w:rsidR="003642DB" w:rsidRPr="002545C9">
        <w:rPr>
          <w:sz w:val="24"/>
          <w:szCs w:val="24"/>
        </w:rPr>
        <w:t>Massachusetts</w:t>
      </w:r>
      <w:r w:rsidR="003642DB" w:rsidRPr="00F35F53">
        <w:rPr>
          <w:sz w:val="24"/>
          <w:szCs w:val="24"/>
        </w:rPr>
        <w:t xml:space="preserve"> </w:t>
      </w:r>
      <w:r w:rsidR="002545C9" w:rsidRPr="00F35F53">
        <w:rPr>
          <w:sz w:val="24"/>
          <w:szCs w:val="24"/>
        </w:rPr>
        <w:t>(79</w:t>
      </w:r>
      <w:r w:rsidRPr="00F35F53">
        <w:rPr>
          <w:sz w:val="24"/>
          <w:szCs w:val="24"/>
        </w:rPr>
        <w:t>% White</w:t>
      </w:r>
      <w:r w:rsidR="002545C9" w:rsidRPr="00F35F53">
        <w:rPr>
          <w:sz w:val="24"/>
          <w:szCs w:val="24"/>
        </w:rPr>
        <w:t>, 9% Black</w:t>
      </w:r>
      <w:r w:rsidRPr="00F35F53">
        <w:rPr>
          <w:sz w:val="24"/>
          <w:szCs w:val="24"/>
        </w:rPr>
        <w:t>.</w:t>
      </w:r>
      <w:r w:rsidR="002545C9" w:rsidRPr="00F35F53">
        <w:rPr>
          <w:sz w:val="24"/>
          <w:szCs w:val="24"/>
        </w:rPr>
        <w:t>)</w:t>
      </w:r>
      <w:r w:rsidRPr="00F35F53">
        <w:rPr>
          <w:rStyle w:val="EndnoteReference"/>
          <w:sz w:val="24"/>
          <w:szCs w:val="24"/>
        </w:rPr>
        <w:endnoteReference w:id="2"/>
      </w:r>
      <w:r w:rsidRPr="00F35F53">
        <w:rPr>
          <w:b/>
          <w:bCs/>
          <w:sz w:val="24"/>
          <w:szCs w:val="24"/>
        </w:rPr>
        <w:t xml:space="preserve"> </w:t>
      </w:r>
    </w:p>
    <w:p w14:paraId="0F23374C" w14:textId="2ACA855A" w:rsidR="00663717" w:rsidRPr="00B0678F" w:rsidRDefault="00663717" w:rsidP="007926B0">
      <w:pPr>
        <w:pStyle w:val="ListParagraph"/>
        <w:widowControl w:val="0"/>
        <w:numPr>
          <w:ilvl w:val="0"/>
          <w:numId w:val="13"/>
        </w:numPr>
        <w:tabs>
          <w:tab w:val="left" w:pos="939"/>
          <w:tab w:val="left" w:pos="940"/>
        </w:tabs>
        <w:autoSpaceDE w:val="0"/>
        <w:autoSpaceDN w:val="0"/>
        <w:spacing w:before="4" w:after="0" w:line="240" w:lineRule="auto"/>
        <w:ind w:left="939" w:right="270"/>
        <w:contextualSpacing w:val="0"/>
        <w:rPr>
          <w:sz w:val="24"/>
          <w:szCs w:val="24"/>
        </w:rPr>
      </w:pPr>
      <w:r w:rsidRPr="00B0678F">
        <w:rPr>
          <w:b/>
          <w:bCs/>
          <w:sz w:val="24"/>
          <w:szCs w:val="24"/>
        </w:rPr>
        <w:t>Ethnicity</w:t>
      </w:r>
      <w:r w:rsidR="006845BA" w:rsidRPr="00B0678F">
        <w:rPr>
          <w:b/>
          <w:bCs/>
          <w:sz w:val="24"/>
          <w:szCs w:val="24"/>
        </w:rPr>
        <w:t>:</w:t>
      </w:r>
      <w:r w:rsidR="006845BA" w:rsidRPr="00B0678F">
        <w:rPr>
          <w:sz w:val="24"/>
          <w:szCs w:val="24"/>
        </w:rPr>
        <w:t xml:space="preserve"> </w:t>
      </w:r>
      <w:r w:rsidR="006763A7" w:rsidRPr="00B0678F">
        <w:rPr>
          <w:sz w:val="24"/>
          <w:szCs w:val="24"/>
        </w:rPr>
        <w:t>Approximately 1</w:t>
      </w:r>
      <w:r w:rsidR="00C149AA">
        <w:rPr>
          <w:sz w:val="24"/>
          <w:szCs w:val="24"/>
        </w:rPr>
        <w:t>3</w:t>
      </w:r>
      <w:r w:rsidR="006763A7" w:rsidRPr="00B0678F">
        <w:rPr>
          <w:sz w:val="24"/>
          <w:szCs w:val="24"/>
        </w:rPr>
        <w:t xml:space="preserve">% of </w:t>
      </w:r>
      <w:r w:rsidR="009F3C5C">
        <w:rPr>
          <w:sz w:val="24"/>
          <w:szCs w:val="24"/>
        </w:rPr>
        <w:t>p</w:t>
      </w:r>
      <w:r w:rsidR="006763A7" w:rsidRPr="00B0678F">
        <w:rPr>
          <w:sz w:val="24"/>
          <w:szCs w:val="24"/>
        </w:rPr>
        <w:t>atient</w:t>
      </w:r>
      <w:r w:rsidR="009F3C5C">
        <w:rPr>
          <w:sz w:val="24"/>
          <w:szCs w:val="24"/>
        </w:rPr>
        <w:t>s</w:t>
      </w:r>
      <w:r w:rsidR="006763A7" w:rsidRPr="00B0678F">
        <w:rPr>
          <w:sz w:val="24"/>
          <w:szCs w:val="24"/>
        </w:rPr>
        <w:t xml:space="preserve"> identify as Hispanic or Latino</w:t>
      </w:r>
      <w:r w:rsidR="00F35F53" w:rsidRPr="00B0678F">
        <w:rPr>
          <w:sz w:val="24"/>
          <w:szCs w:val="24"/>
        </w:rPr>
        <w:t>.</w:t>
      </w:r>
    </w:p>
    <w:p w14:paraId="224B12B3" w14:textId="3ACA7BE3" w:rsidR="007926B0" w:rsidRPr="00486838" w:rsidRDefault="007926B0" w:rsidP="638F6CD6">
      <w:pPr>
        <w:pStyle w:val="ListParagraph"/>
        <w:widowControl w:val="0"/>
        <w:numPr>
          <w:ilvl w:val="0"/>
          <w:numId w:val="13"/>
        </w:numPr>
        <w:tabs>
          <w:tab w:val="left" w:pos="939"/>
          <w:tab w:val="left" w:pos="940"/>
        </w:tabs>
        <w:autoSpaceDE w:val="0"/>
        <w:autoSpaceDN w:val="0"/>
        <w:spacing w:before="2" w:after="0" w:line="240" w:lineRule="auto"/>
        <w:ind w:left="939" w:right="366"/>
        <w:rPr>
          <w:sz w:val="24"/>
          <w:szCs w:val="24"/>
        </w:rPr>
      </w:pPr>
      <w:r w:rsidRPr="638F6CD6">
        <w:rPr>
          <w:b/>
          <w:bCs/>
          <w:sz w:val="24"/>
          <w:szCs w:val="24"/>
        </w:rPr>
        <w:t xml:space="preserve">Patient Origin: </w:t>
      </w:r>
      <w:r w:rsidR="00944600" w:rsidRPr="638F6CD6">
        <w:rPr>
          <w:sz w:val="24"/>
          <w:szCs w:val="24"/>
        </w:rPr>
        <w:t xml:space="preserve">The Applicant notes </w:t>
      </w:r>
      <w:r w:rsidR="00A60D53" w:rsidRPr="638F6CD6">
        <w:rPr>
          <w:sz w:val="24"/>
          <w:szCs w:val="24"/>
        </w:rPr>
        <w:t>that the</w:t>
      </w:r>
      <w:r w:rsidR="00944600" w:rsidRPr="638F6CD6">
        <w:rPr>
          <w:sz w:val="24"/>
          <w:szCs w:val="24"/>
        </w:rPr>
        <w:t xml:space="preserve"> Hospital </w:t>
      </w:r>
      <w:r w:rsidR="008E2456">
        <w:rPr>
          <w:sz w:val="24"/>
          <w:szCs w:val="24"/>
        </w:rPr>
        <w:t>is able to accept</w:t>
      </w:r>
      <w:r w:rsidR="00667039">
        <w:rPr>
          <w:sz w:val="24"/>
          <w:szCs w:val="24"/>
        </w:rPr>
        <w:t xml:space="preserve"> </w:t>
      </w:r>
      <w:r w:rsidR="0084009E">
        <w:rPr>
          <w:sz w:val="24"/>
          <w:szCs w:val="24"/>
        </w:rPr>
        <w:t>referrals</w:t>
      </w:r>
      <w:r w:rsidR="008E2456">
        <w:rPr>
          <w:sz w:val="24"/>
          <w:szCs w:val="24"/>
        </w:rPr>
        <w:t xml:space="preserve"> from</w:t>
      </w:r>
      <w:r w:rsidR="00667039" w:rsidRPr="638F6CD6">
        <w:rPr>
          <w:sz w:val="24"/>
          <w:szCs w:val="24"/>
        </w:rPr>
        <w:t xml:space="preserve"> </w:t>
      </w:r>
      <w:r w:rsidR="00944600" w:rsidRPr="638F6CD6">
        <w:rPr>
          <w:sz w:val="24"/>
          <w:szCs w:val="24"/>
        </w:rPr>
        <w:t xml:space="preserve">the entire </w:t>
      </w:r>
      <w:r w:rsidR="00C75AC3" w:rsidRPr="638F6CD6">
        <w:rPr>
          <w:sz w:val="24"/>
          <w:szCs w:val="24"/>
        </w:rPr>
        <w:t>Commonwealth,</w:t>
      </w:r>
      <w:r w:rsidR="009A7EA1">
        <w:rPr>
          <w:sz w:val="24"/>
          <w:szCs w:val="24"/>
        </w:rPr>
        <w:t xml:space="preserve"> but the majority of </w:t>
      </w:r>
      <w:r w:rsidR="00C55121">
        <w:rPr>
          <w:sz w:val="24"/>
          <w:szCs w:val="24"/>
        </w:rPr>
        <w:t>patients come from Worcester County (4</w:t>
      </w:r>
      <w:r w:rsidR="002F75FA">
        <w:rPr>
          <w:sz w:val="24"/>
          <w:szCs w:val="24"/>
        </w:rPr>
        <w:t>4</w:t>
      </w:r>
      <w:r w:rsidR="00C55121">
        <w:rPr>
          <w:sz w:val="24"/>
          <w:szCs w:val="24"/>
        </w:rPr>
        <w:t>%), Hampton County (3</w:t>
      </w:r>
      <w:r w:rsidR="002F75FA">
        <w:rPr>
          <w:sz w:val="24"/>
          <w:szCs w:val="24"/>
        </w:rPr>
        <w:t>1</w:t>
      </w:r>
      <w:r w:rsidR="00C55121">
        <w:rPr>
          <w:sz w:val="24"/>
          <w:szCs w:val="24"/>
        </w:rPr>
        <w:t xml:space="preserve">%) and Middlesex County (8%), with </w:t>
      </w:r>
      <w:r w:rsidR="002F75FA">
        <w:rPr>
          <w:sz w:val="24"/>
          <w:szCs w:val="24"/>
        </w:rPr>
        <w:t xml:space="preserve">remainder coming from other locations </w:t>
      </w:r>
      <w:r w:rsidR="006659D7">
        <w:rPr>
          <w:sz w:val="24"/>
          <w:szCs w:val="24"/>
        </w:rPr>
        <w:t>throughout the</w:t>
      </w:r>
      <w:r w:rsidR="002F75FA">
        <w:rPr>
          <w:sz w:val="24"/>
          <w:szCs w:val="24"/>
        </w:rPr>
        <w:t xml:space="preserve"> Commonwealth (17%)</w:t>
      </w:r>
      <w:r w:rsidR="00944600" w:rsidRPr="638F6CD6">
        <w:rPr>
          <w:sz w:val="24"/>
          <w:szCs w:val="24"/>
        </w:rPr>
        <w:t xml:space="preserve">.  </w:t>
      </w:r>
    </w:p>
    <w:p w14:paraId="35191AEB" w14:textId="73A02986" w:rsidR="007926B0" w:rsidRPr="00486838" w:rsidRDefault="007926B0" w:rsidP="007926B0">
      <w:pPr>
        <w:pStyle w:val="ListParagraph"/>
        <w:widowControl w:val="0"/>
        <w:numPr>
          <w:ilvl w:val="0"/>
          <w:numId w:val="13"/>
        </w:numPr>
        <w:tabs>
          <w:tab w:val="left" w:pos="939"/>
          <w:tab w:val="left" w:pos="940"/>
        </w:tabs>
        <w:autoSpaceDE w:val="0"/>
        <w:autoSpaceDN w:val="0"/>
        <w:spacing w:after="0" w:line="240" w:lineRule="auto"/>
        <w:ind w:right="1260"/>
        <w:contextualSpacing w:val="0"/>
        <w:rPr>
          <w:b/>
          <w:bCs/>
          <w:sz w:val="24"/>
          <w:szCs w:val="24"/>
        </w:rPr>
      </w:pPr>
      <w:r w:rsidRPr="00486838">
        <w:rPr>
          <w:b/>
          <w:bCs/>
          <w:sz w:val="24"/>
          <w:szCs w:val="24"/>
        </w:rPr>
        <w:t xml:space="preserve">Payer Mix: </w:t>
      </w:r>
      <w:r w:rsidR="00713B17">
        <w:rPr>
          <w:bCs/>
          <w:sz w:val="24"/>
          <w:szCs w:val="24"/>
        </w:rPr>
        <w:t>Nearly</w:t>
      </w:r>
      <w:r w:rsidRPr="00486838">
        <w:rPr>
          <w:bCs/>
          <w:sz w:val="24"/>
          <w:szCs w:val="24"/>
        </w:rPr>
        <w:t xml:space="preserve"> </w:t>
      </w:r>
      <w:r w:rsidR="00B80F10" w:rsidRPr="00486838">
        <w:rPr>
          <w:bCs/>
          <w:sz w:val="24"/>
          <w:szCs w:val="24"/>
        </w:rPr>
        <w:t xml:space="preserve">two thirds of </w:t>
      </w:r>
      <w:r w:rsidR="00486838">
        <w:rPr>
          <w:bCs/>
          <w:sz w:val="24"/>
          <w:szCs w:val="24"/>
        </w:rPr>
        <w:t xml:space="preserve">patients </w:t>
      </w:r>
      <w:r w:rsidR="00C53A4B" w:rsidRPr="00486838">
        <w:rPr>
          <w:bCs/>
          <w:sz w:val="24"/>
          <w:szCs w:val="24"/>
        </w:rPr>
        <w:t xml:space="preserve">are covered by a public payer </w:t>
      </w:r>
      <w:r w:rsidR="00A60D53" w:rsidRPr="00486838">
        <w:rPr>
          <w:bCs/>
          <w:sz w:val="24"/>
          <w:szCs w:val="24"/>
        </w:rPr>
        <w:t>with 39.6</w:t>
      </w:r>
      <w:r w:rsidRPr="00486838">
        <w:rPr>
          <w:bCs/>
          <w:sz w:val="24"/>
          <w:szCs w:val="24"/>
        </w:rPr>
        <w:t>% insured through Medi</w:t>
      </w:r>
      <w:r w:rsidR="00C53A4B" w:rsidRPr="00486838">
        <w:rPr>
          <w:bCs/>
          <w:sz w:val="24"/>
          <w:szCs w:val="24"/>
        </w:rPr>
        <w:t>c</w:t>
      </w:r>
      <w:r w:rsidR="00486838" w:rsidRPr="00486838">
        <w:rPr>
          <w:bCs/>
          <w:sz w:val="24"/>
          <w:szCs w:val="24"/>
        </w:rPr>
        <w:t>are</w:t>
      </w:r>
      <w:r w:rsidRPr="00486838">
        <w:rPr>
          <w:bCs/>
          <w:sz w:val="24"/>
          <w:szCs w:val="24"/>
        </w:rPr>
        <w:t xml:space="preserve">, </w:t>
      </w:r>
      <w:r w:rsidR="00C53A4B" w:rsidRPr="00486838">
        <w:rPr>
          <w:bCs/>
          <w:sz w:val="24"/>
          <w:szCs w:val="24"/>
        </w:rPr>
        <w:t xml:space="preserve">and </w:t>
      </w:r>
      <w:r w:rsidR="00CE40F8" w:rsidRPr="00486838">
        <w:rPr>
          <w:bCs/>
          <w:sz w:val="24"/>
          <w:szCs w:val="24"/>
        </w:rPr>
        <w:t>22.7</w:t>
      </w:r>
      <w:r w:rsidRPr="00486838">
        <w:rPr>
          <w:bCs/>
          <w:sz w:val="24"/>
          <w:szCs w:val="24"/>
        </w:rPr>
        <w:t>% through Medicaid.</w:t>
      </w:r>
    </w:p>
    <w:p w14:paraId="7AAA5A30" w14:textId="77777777" w:rsidR="007926B0" w:rsidRPr="00E53597" w:rsidRDefault="007926B0" w:rsidP="003134E9">
      <w:pPr>
        <w:jc w:val="center"/>
        <w:rPr>
          <w:b/>
          <w:bCs/>
          <w:highlight w:val="yellow"/>
        </w:rPr>
      </w:pPr>
    </w:p>
    <w:p w14:paraId="786874A5" w14:textId="4A452EAE" w:rsidR="00942B73" w:rsidRPr="00855091" w:rsidRDefault="1B6FA5DA" w:rsidP="003134E9">
      <w:pPr>
        <w:jc w:val="center"/>
        <w:rPr>
          <w:b/>
          <w:bCs/>
        </w:rPr>
      </w:pPr>
      <w:r w:rsidRPr="00855091">
        <w:rPr>
          <w:b/>
          <w:bCs/>
        </w:rPr>
        <w:t>Table</w:t>
      </w:r>
      <w:r w:rsidR="3729CC64" w:rsidRPr="00855091">
        <w:rPr>
          <w:b/>
          <w:bCs/>
        </w:rPr>
        <w:t xml:space="preserve"> </w:t>
      </w:r>
      <w:r w:rsidR="00DF78F5" w:rsidRPr="00855091">
        <w:rPr>
          <w:b/>
          <w:bCs/>
        </w:rPr>
        <w:t>2</w:t>
      </w:r>
      <w:r w:rsidRPr="00855091">
        <w:rPr>
          <w:b/>
          <w:bCs/>
        </w:rPr>
        <w:t>:</w:t>
      </w:r>
      <w:r w:rsidR="7646CA97" w:rsidRPr="00855091">
        <w:rPr>
          <w:b/>
          <w:bCs/>
        </w:rPr>
        <w:t xml:space="preserve"> </w:t>
      </w:r>
      <w:r w:rsidR="553C312A" w:rsidRPr="00855091">
        <w:rPr>
          <w:b/>
          <w:bCs/>
        </w:rPr>
        <w:t xml:space="preserve">Demographic Profile </w:t>
      </w:r>
      <w:r w:rsidRPr="00855091">
        <w:rPr>
          <w:b/>
          <w:bCs/>
        </w:rPr>
        <w:t xml:space="preserve">of </w:t>
      </w:r>
      <w:r w:rsidR="00855091" w:rsidRPr="00855091">
        <w:rPr>
          <w:b/>
          <w:bCs/>
        </w:rPr>
        <w:t>Vibra</w:t>
      </w:r>
      <w:r w:rsidR="007D5F66" w:rsidRPr="00855091">
        <w:rPr>
          <w:b/>
          <w:bCs/>
        </w:rPr>
        <w:t xml:space="preserve"> </w:t>
      </w:r>
      <w:r w:rsidRPr="00855091">
        <w:rPr>
          <w:b/>
          <w:bCs/>
        </w:rPr>
        <w:t xml:space="preserve">Patients </w:t>
      </w:r>
      <w:r w:rsidR="00855091" w:rsidRPr="00855091">
        <w:rPr>
          <w:b/>
          <w:bCs/>
        </w:rPr>
        <w:t>FY202</w:t>
      </w:r>
      <w:r w:rsidR="000D5741">
        <w:rPr>
          <w:b/>
          <w:bCs/>
        </w:rPr>
        <w:t>4</w:t>
      </w:r>
    </w:p>
    <w:p w14:paraId="01634287" w14:textId="2C89B5FE" w:rsidR="00E92504" w:rsidRPr="00E53597" w:rsidRDefault="00E92504" w:rsidP="00825271">
      <w:pPr>
        <w:jc w:val="center"/>
        <w:rPr>
          <w:b/>
          <w:bCs/>
          <w:highlight w:val="yellow"/>
        </w:rPr>
      </w:pPr>
    </w:p>
    <w:tbl>
      <w:tblPr>
        <w:tblStyle w:val="TableGrid"/>
        <w:tblW w:w="0" w:type="auto"/>
        <w:jc w:val="center"/>
        <w:tblLook w:val="04A0" w:firstRow="1" w:lastRow="0" w:firstColumn="1" w:lastColumn="0" w:noHBand="0" w:noVBand="1"/>
      </w:tblPr>
      <w:tblGrid>
        <w:gridCol w:w="4315"/>
        <w:gridCol w:w="1800"/>
      </w:tblGrid>
      <w:tr w:rsidR="006C55A2" w:rsidRPr="008440BF" w14:paraId="34733C6B" w14:textId="77777777" w:rsidTr="00FB028B">
        <w:trPr>
          <w:cantSplit/>
          <w:trHeight w:val="300"/>
          <w:tblHeader/>
          <w:jc w:val="center"/>
        </w:trPr>
        <w:tc>
          <w:tcPr>
            <w:tcW w:w="4315" w:type="dxa"/>
          </w:tcPr>
          <w:p w14:paraId="212BE667" w14:textId="77777777" w:rsidR="006C55A2" w:rsidRPr="008440BF" w:rsidRDefault="006C55A2" w:rsidP="00FB028B">
            <w:pPr>
              <w:pStyle w:val="BodyText"/>
              <w:rPr>
                <w:b/>
              </w:rPr>
            </w:pPr>
            <w:bookmarkStart w:id="28" w:name="_9kMIH5YVt4886BFNelS"/>
            <w:bookmarkStart w:id="29" w:name="_Hlk92709500"/>
            <w:bookmarkEnd w:id="26"/>
            <w:bookmarkEnd w:id="27"/>
          </w:p>
        </w:tc>
        <w:tc>
          <w:tcPr>
            <w:tcW w:w="1800" w:type="dxa"/>
            <w:shd w:val="clear" w:color="auto" w:fill="F2F2F2" w:themeFill="background1" w:themeFillShade="F2"/>
          </w:tcPr>
          <w:p w14:paraId="2C32D071" w14:textId="77777777" w:rsidR="006C55A2" w:rsidRPr="008440BF" w:rsidRDefault="006C55A2" w:rsidP="00FB028B">
            <w:pPr>
              <w:pStyle w:val="BodyText"/>
              <w:rPr>
                <w:b/>
              </w:rPr>
            </w:pPr>
            <w:r w:rsidRPr="008440BF">
              <w:rPr>
                <w:b/>
              </w:rPr>
              <w:t>Totals</w:t>
            </w:r>
          </w:p>
        </w:tc>
      </w:tr>
      <w:tr w:rsidR="006C55A2" w:rsidRPr="008440BF" w14:paraId="08850B01" w14:textId="77777777" w:rsidTr="00FB028B">
        <w:trPr>
          <w:cantSplit/>
          <w:trHeight w:val="300"/>
          <w:jc w:val="center"/>
        </w:trPr>
        <w:tc>
          <w:tcPr>
            <w:tcW w:w="4315" w:type="dxa"/>
          </w:tcPr>
          <w:p w14:paraId="43E1A5A5" w14:textId="77777777" w:rsidR="006C55A2" w:rsidRPr="004E046C" w:rsidRDefault="006C55A2" w:rsidP="00FB028B">
            <w:pPr>
              <w:pStyle w:val="BodyText"/>
              <w:rPr>
                <w:b/>
              </w:rPr>
            </w:pPr>
            <w:r w:rsidRPr="004E046C">
              <w:rPr>
                <w:b/>
              </w:rPr>
              <w:t>Total Patients</w:t>
            </w:r>
          </w:p>
        </w:tc>
        <w:tc>
          <w:tcPr>
            <w:tcW w:w="1800" w:type="dxa"/>
          </w:tcPr>
          <w:p w14:paraId="429C7D70" w14:textId="669F2310" w:rsidR="006C55A2" w:rsidRPr="004E046C" w:rsidRDefault="006A2E17" w:rsidP="00FB028B">
            <w:pPr>
              <w:pStyle w:val="BodyText"/>
              <w:rPr>
                <w:bCs/>
              </w:rPr>
            </w:pPr>
            <w:r w:rsidRPr="004E046C">
              <w:t>20</w:t>
            </w:r>
            <w:r w:rsidR="004B1084">
              <w:t>4</w:t>
            </w:r>
          </w:p>
        </w:tc>
      </w:tr>
      <w:tr w:rsidR="006C55A2" w:rsidRPr="008440BF" w14:paraId="2EF6BBF8" w14:textId="77777777" w:rsidTr="00FB028B">
        <w:trPr>
          <w:cantSplit/>
          <w:trHeight w:val="300"/>
          <w:jc w:val="center"/>
        </w:trPr>
        <w:tc>
          <w:tcPr>
            <w:tcW w:w="4315" w:type="dxa"/>
            <w:shd w:val="clear" w:color="auto" w:fill="F2F2F2" w:themeFill="background1" w:themeFillShade="F2"/>
          </w:tcPr>
          <w:p w14:paraId="7303EC9E" w14:textId="77777777" w:rsidR="006C55A2" w:rsidRPr="008440BF" w:rsidRDefault="006C55A2" w:rsidP="00FB028B">
            <w:pPr>
              <w:pStyle w:val="BodyText"/>
              <w:rPr>
                <w:b/>
              </w:rPr>
            </w:pPr>
            <w:r w:rsidRPr="008440BF">
              <w:rPr>
                <w:b/>
              </w:rPr>
              <w:t>Gender</w:t>
            </w:r>
          </w:p>
        </w:tc>
        <w:tc>
          <w:tcPr>
            <w:tcW w:w="1800" w:type="dxa"/>
            <w:shd w:val="clear" w:color="auto" w:fill="F2F2F2" w:themeFill="background1" w:themeFillShade="F2"/>
          </w:tcPr>
          <w:p w14:paraId="78995FA2" w14:textId="77777777" w:rsidR="006C55A2" w:rsidRPr="006C55A2" w:rsidRDefault="006C55A2" w:rsidP="00FB028B">
            <w:pPr>
              <w:pStyle w:val="BodyText"/>
              <w:rPr>
                <w:bCs/>
                <w:highlight w:val="yellow"/>
              </w:rPr>
            </w:pPr>
          </w:p>
        </w:tc>
      </w:tr>
      <w:tr w:rsidR="006C55A2" w:rsidRPr="008440BF" w14:paraId="429FA1A5" w14:textId="77777777" w:rsidTr="00FB028B">
        <w:trPr>
          <w:cantSplit/>
          <w:trHeight w:val="300"/>
          <w:jc w:val="center"/>
        </w:trPr>
        <w:tc>
          <w:tcPr>
            <w:tcW w:w="4315" w:type="dxa"/>
          </w:tcPr>
          <w:p w14:paraId="4A95E525" w14:textId="77777777" w:rsidR="006C55A2" w:rsidRPr="008440BF" w:rsidRDefault="006C55A2" w:rsidP="00FB028B">
            <w:pPr>
              <w:pStyle w:val="BodyText"/>
              <w:ind w:left="144"/>
              <w:rPr>
                <w:bCs/>
              </w:rPr>
            </w:pPr>
            <w:r w:rsidRPr="008440BF">
              <w:rPr>
                <w:bCs/>
              </w:rPr>
              <w:t>Male</w:t>
            </w:r>
          </w:p>
        </w:tc>
        <w:tc>
          <w:tcPr>
            <w:tcW w:w="1800" w:type="dxa"/>
          </w:tcPr>
          <w:p w14:paraId="7384A44A" w14:textId="6928DC27" w:rsidR="006C55A2" w:rsidRPr="006C55A2" w:rsidRDefault="0071429E" w:rsidP="00FB028B">
            <w:pPr>
              <w:pStyle w:val="BodyText"/>
              <w:rPr>
                <w:bCs/>
                <w:highlight w:val="yellow"/>
              </w:rPr>
            </w:pPr>
            <w:r>
              <w:rPr>
                <w:color w:val="000000"/>
              </w:rPr>
              <w:t>62.8%</w:t>
            </w:r>
          </w:p>
        </w:tc>
      </w:tr>
      <w:tr w:rsidR="006C55A2" w:rsidRPr="008440BF" w14:paraId="3ACDB360" w14:textId="77777777" w:rsidTr="00FB028B">
        <w:trPr>
          <w:cantSplit/>
          <w:trHeight w:val="300"/>
          <w:jc w:val="center"/>
        </w:trPr>
        <w:tc>
          <w:tcPr>
            <w:tcW w:w="4315" w:type="dxa"/>
          </w:tcPr>
          <w:p w14:paraId="01090D0A" w14:textId="7EA0BBA5" w:rsidR="006C55A2" w:rsidRPr="008440BF" w:rsidRDefault="006C55A2" w:rsidP="00FB028B">
            <w:pPr>
              <w:pStyle w:val="BodyText"/>
              <w:ind w:left="144"/>
              <w:rPr>
                <w:bCs/>
              </w:rPr>
            </w:pPr>
            <w:r w:rsidRPr="00857F40">
              <w:rPr>
                <w:bCs/>
              </w:rPr>
              <w:t>Female</w:t>
            </w:r>
          </w:p>
        </w:tc>
        <w:tc>
          <w:tcPr>
            <w:tcW w:w="1800" w:type="dxa"/>
          </w:tcPr>
          <w:p w14:paraId="5345E0CB" w14:textId="5EF8964B" w:rsidR="006C55A2" w:rsidRPr="00856DA4" w:rsidRDefault="0071429E" w:rsidP="00FB028B">
            <w:pPr>
              <w:pStyle w:val="BodyText"/>
              <w:rPr>
                <w:bCs/>
              </w:rPr>
            </w:pPr>
            <w:r>
              <w:rPr>
                <w:color w:val="000000"/>
              </w:rPr>
              <w:t>37.2</w:t>
            </w:r>
            <w:r w:rsidR="006C55A2" w:rsidRPr="00856DA4">
              <w:rPr>
                <w:color w:val="000000"/>
              </w:rPr>
              <w:t>%</w:t>
            </w:r>
          </w:p>
        </w:tc>
      </w:tr>
      <w:tr w:rsidR="006C55A2" w:rsidRPr="008440BF" w14:paraId="6F1F961C" w14:textId="77777777" w:rsidTr="00FB028B">
        <w:trPr>
          <w:cantSplit/>
          <w:trHeight w:val="300"/>
          <w:jc w:val="center"/>
        </w:trPr>
        <w:tc>
          <w:tcPr>
            <w:tcW w:w="4315" w:type="dxa"/>
          </w:tcPr>
          <w:p w14:paraId="006730D6" w14:textId="77777777" w:rsidR="006C55A2" w:rsidRPr="00C95D6A" w:rsidRDefault="006C55A2" w:rsidP="00FB028B">
            <w:pPr>
              <w:pStyle w:val="BodyText"/>
              <w:ind w:left="144"/>
              <w:rPr>
                <w:bCs/>
              </w:rPr>
            </w:pPr>
            <w:r w:rsidRPr="00C95D6A">
              <w:rPr>
                <w:bCs/>
              </w:rPr>
              <w:t>Total</w:t>
            </w:r>
          </w:p>
        </w:tc>
        <w:tc>
          <w:tcPr>
            <w:tcW w:w="1800" w:type="dxa"/>
          </w:tcPr>
          <w:p w14:paraId="11C935BF" w14:textId="77777777" w:rsidR="006C55A2" w:rsidRPr="00C95D6A" w:rsidRDefault="006C55A2" w:rsidP="00FB028B">
            <w:pPr>
              <w:pStyle w:val="BodyText"/>
              <w:rPr>
                <w:bCs/>
              </w:rPr>
            </w:pPr>
            <w:r w:rsidRPr="00C95D6A">
              <w:rPr>
                <w:bCs/>
              </w:rPr>
              <w:t>100.0%</w:t>
            </w:r>
          </w:p>
        </w:tc>
      </w:tr>
      <w:tr w:rsidR="006C55A2" w:rsidRPr="008440BF" w14:paraId="64A9955F" w14:textId="77777777" w:rsidTr="00FB028B">
        <w:trPr>
          <w:cantSplit/>
          <w:trHeight w:val="300"/>
          <w:jc w:val="center"/>
        </w:trPr>
        <w:tc>
          <w:tcPr>
            <w:tcW w:w="4315" w:type="dxa"/>
          </w:tcPr>
          <w:p w14:paraId="29CEA172" w14:textId="77777777" w:rsidR="006C55A2" w:rsidRPr="008440BF" w:rsidRDefault="006C55A2" w:rsidP="00FB028B">
            <w:pPr>
              <w:pStyle w:val="BodyText"/>
              <w:rPr>
                <w:b/>
              </w:rPr>
            </w:pPr>
            <w:r w:rsidRPr="008440BF">
              <w:rPr>
                <w:b/>
              </w:rPr>
              <w:t>Age</w:t>
            </w:r>
          </w:p>
        </w:tc>
        <w:tc>
          <w:tcPr>
            <w:tcW w:w="1800" w:type="dxa"/>
          </w:tcPr>
          <w:p w14:paraId="77146668" w14:textId="77777777" w:rsidR="006C55A2" w:rsidRPr="006C55A2" w:rsidRDefault="006C55A2" w:rsidP="00FB028B">
            <w:pPr>
              <w:pStyle w:val="BodyText"/>
              <w:rPr>
                <w:bCs/>
                <w:highlight w:val="yellow"/>
              </w:rPr>
            </w:pPr>
          </w:p>
        </w:tc>
      </w:tr>
      <w:tr w:rsidR="006C55A2" w:rsidRPr="008440BF" w14:paraId="4B2D37FB" w14:textId="77777777" w:rsidTr="00FB028B">
        <w:trPr>
          <w:cantSplit/>
          <w:trHeight w:val="300"/>
          <w:jc w:val="center"/>
        </w:trPr>
        <w:tc>
          <w:tcPr>
            <w:tcW w:w="4315" w:type="dxa"/>
          </w:tcPr>
          <w:p w14:paraId="58D44570" w14:textId="77777777" w:rsidR="006C55A2" w:rsidRPr="004E046C" w:rsidRDefault="006C55A2" w:rsidP="00FB028B">
            <w:pPr>
              <w:pStyle w:val="BodyText"/>
              <w:ind w:left="144"/>
              <w:rPr>
                <w:bCs/>
              </w:rPr>
            </w:pPr>
            <w:r w:rsidRPr="004E046C">
              <w:rPr>
                <w:bCs/>
              </w:rPr>
              <w:t>0-17</w:t>
            </w:r>
          </w:p>
        </w:tc>
        <w:tc>
          <w:tcPr>
            <w:tcW w:w="1800" w:type="dxa"/>
          </w:tcPr>
          <w:p w14:paraId="6278B10D" w14:textId="29387AC7" w:rsidR="006C55A2" w:rsidRPr="009226F9" w:rsidRDefault="009226F9" w:rsidP="00FB028B">
            <w:pPr>
              <w:pStyle w:val="BodyText"/>
              <w:rPr>
                <w:color w:val="000000"/>
              </w:rPr>
            </w:pPr>
            <w:r>
              <w:rPr>
                <w:color w:val="000000"/>
              </w:rPr>
              <w:t>0.0</w:t>
            </w:r>
            <w:r w:rsidR="006C55A2" w:rsidRPr="004E046C">
              <w:rPr>
                <w:color w:val="000000"/>
              </w:rPr>
              <w:t>%</w:t>
            </w:r>
          </w:p>
        </w:tc>
      </w:tr>
      <w:tr w:rsidR="006C55A2" w:rsidRPr="008440BF" w14:paraId="16BE6DBD" w14:textId="77777777" w:rsidTr="00FB028B">
        <w:trPr>
          <w:cantSplit/>
          <w:trHeight w:val="300"/>
          <w:jc w:val="center"/>
        </w:trPr>
        <w:tc>
          <w:tcPr>
            <w:tcW w:w="4315" w:type="dxa"/>
          </w:tcPr>
          <w:p w14:paraId="20C9867B" w14:textId="25BAE44B" w:rsidR="006C55A2" w:rsidRPr="004E046C" w:rsidRDefault="006C55A2" w:rsidP="00FB028B">
            <w:pPr>
              <w:pStyle w:val="BodyText"/>
              <w:ind w:left="144"/>
              <w:rPr>
                <w:bCs/>
              </w:rPr>
            </w:pPr>
            <w:r w:rsidRPr="004E046C">
              <w:rPr>
                <w:bCs/>
              </w:rPr>
              <w:t>18-</w:t>
            </w:r>
            <w:r w:rsidR="00C95D6A" w:rsidRPr="004E046C">
              <w:rPr>
                <w:bCs/>
              </w:rPr>
              <w:t>64</w:t>
            </w:r>
          </w:p>
        </w:tc>
        <w:tc>
          <w:tcPr>
            <w:tcW w:w="1800" w:type="dxa"/>
          </w:tcPr>
          <w:p w14:paraId="6E38DE8B" w14:textId="5B086670" w:rsidR="006C55A2" w:rsidRPr="004E046C" w:rsidRDefault="004E046C" w:rsidP="00FB028B">
            <w:pPr>
              <w:pStyle w:val="BodyText"/>
              <w:rPr>
                <w:bCs/>
              </w:rPr>
            </w:pPr>
            <w:r w:rsidRPr="004E046C">
              <w:rPr>
                <w:color w:val="000000"/>
              </w:rPr>
              <w:t>58.</w:t>
            </w:r>
            <w:r w:rsidR="00127F34">
              <w:rPr>
                <w:color w:val="000000"/>
              </w:rPr>
              <w:t>8</w:t>
            </w:r>
            <w:r w:rsidR="006C55A2" w:rsidRPr="004E046C">
              <w:rPr>
                <w:color w:val="000000"/>
              </w:rPr>
              <w:t>%</w:t>
            </w:r>
          </w:p>
        </w:tc>
      </w:tr>
      <w:tr w:rsidR="006C55A2" w:rsidRPr="008440BF" w14:paraId="7E1F034C" w14:textId="77777777" w:rsidTr="00FB028B">
        <w:trPr>
          <w:cantSplit/>
          <w:trHeight w:val="300"/>
          <w:jc w:val="center"/>
        </w:trPr>
        <w:tc>
          <w:tcPr>
            <w:tcW w:w="4315" w:type="dxa"/>
          </w:tcPr>
          <w:p w14:paraId="407F1FB4" w14:textId="77777777" w:rsidR="006C55A2" w:rsidRPr="004E046C" w:rsidRDefault="006C55A2" w:rsidP="00FB028B">
            <w:pPr>
              <w:pStyle w:val="BodyText"/>
              <w:ind w:left="144"/>
              <w:rPr>
                <w:bCs/>
              </w:rPr>
            </w:pPr>
            <w:r w:rsidRPr="004E046C">
              <w:rPr>
                <w:bCs/>
              </w:rPr>
              <w:t>65+</w:t>
            </w:r>
          </w:p>
        </w:tc>
        <w:tc>
          <w:tcPr>
            <w:tcW w:w="1800" w:type="dxa"/>
          </w:tcPr>
          <w:p w14:paraId="67F005E5" w14:textId="7D78F05F" w:rsidR="006C55A2" w:rsidRPr="004E046C" w:rsidRDefault="004E046C" w:rsidP="00FB028B">
            <w:pPr>
              <w:pStyle w:val="BodyText"/>
              <w:rPr>
                <w:bCs/>
              </w:rPr>
            </w:pPr>
            <w:r w:rsidRPr="004E046C">
              <w:rPr>
                <w:color w:val="000000"/>
              </w:rPr>
              <w:t>4</w:t>
            </w:r>
            <w:r w:rsidR="00127F34">
              <w:rPr>
                <w:color w:val="000000"/>
              </w:rPr>
              <w:t>1</w:t>
            </w:r>
            <w:r w:rsidRPr="004E046C">
              <w:rPr>
                <w:color w:val="000000"/>
              </w:rPr>
              <w:t>.</w:t>
            </w:r>
            <w:r w:rsidR="00127F34">
              <w:rPr>
                <w:color w:val="000000"/>
              </w:rPr>
              <w:t>2</w:t>
            </w:r>
            <w:r w:rsidR="006C55A2" w:rsidRPr="004E046C">
              <w:rPr>
                <w:color w:val="000000"/>
              </w:rPr>
              <w:t>%</w:t>
            </w:r>
          </w:p>
        </w:tc>
      </w:tr>
      <w:tr w:rsidR="006C55A2" w:rsidRPr="008440BF" w14:paraId="5C33AB4B" w14:textId="77777777" w:rsidTr="00FB028B">
        <w:trPr>
          <w:cantSplit/>
          <w:trHeight w:val="300"/>
          <w:jc w:val="center"/>
        </w:trPr>
        <w:tc>
          <w:tcPr>
            <w:tcW w:w="4315" w:type="dxa"/>
          </w:tcPr>
          <w:p w14:paraId="06CE640A" w14:textId="77777777" w:rsidR="006C55A2" w:rsidRPr="008440BF" w:rsidRDefault="006C55A2" w:rsidP="00FB028B">
            <w:pPr>
              <w:pStyle w:val="BodyText"/>
              <w:ind w:left="144"/>
              <w:rPr>
                <w:bCs/>
              </w:rPr>
            </w:pPr>
            <w:r w:rsidRPr="008440BF">
              <w:rPr>
                <w:bCs/>
              </w:rPr>
              <w:t>Total</w:t>
            </w:r>
          </w:p>
        </w:tc>
        <w:tc>
          <w:tcPr>
            <w:tcW w:w="1800" w:type="dxa"/>
          </w:tcPr>
          <w:p w14:paraId="36E076A0" w14:textId="77777777" w:rsidR="006C55A2" w:rsidRPr="006C55A2" w:rsidRDefault="006C55A2" w:rsidP="00FB028B">
            <w:pPr>
              <w:pStyle w:val="BodyText"/>
              <w:rPr>
                <w:bCs/>
                <w:highlight w:val="yellow"/>
              </w:rPr>
            </w:pPr>
            <w:r w:rsidRPr="00C95D6A">
              <w:rPr>
                <w:bCs/>
              </w:rPr>
              <w:t>100.0%</w:t>
            </w:r>
          </w:p>
        </w:tc>
      </w:tr>
      <w:tr w:rsidR="006C55A2" w:rsidRPr="008440BF" w14:paraId="2345CB61" w14:textId="77777777" w:rsidTr="00FB028B">
        <w:trPr>
          <w:cantSplit/>
          <w:trHeight w:val="300"/>
          <w:jc w:val="center"/>
        </w:trPr>
        <w:tc>
          <w:tcPr>
            <w:tcW w:w="4315" w:type="dxa"/>
            <w:shd w:val="clear" w:color="auto" w:fill="F2F2F2" w:themeFill="background1" w:themeFillShade="F2"/>
          </w:tcPr>
          <w:p w14:paraId="453F4DEA" w14:textId="37517A0C" w:rsidR="006C55A2" w:rsidRPr="00662E69" w:rsidRDefault="006C55A2" w:rsidP="00FB028B">
            <w:pPr>
              <w:pStyle w:val="BodyText"/>
              <w:rPr>
                <w:b/>
              </w:rPr>
            </w:pPr>
            <w:r w:rsidRPr="00662E69">
              <w:rPr>
                <w:b/>
              </w:rPr>
              <w:t>Race</w:t>
            </w:r>
          </w:p>
        </w:tc>
        <w:tc>
          <w:tcPr>
            <w:tcW w:w="1800" w:type="dxa"/>
            <w:shd w:val="clear" w:color="auto" w:fill="F2F2F2" w:themeFill="background1" w:themeFillShade="F2"/>
          </w:tcPr>
          <w:p w14:paraId="289CD28A" w14:textId="77777777" w:rsidR="006C55A2" w:rsidRPr="00662E69" w:rsidRDefault="006C55A2" w:rsidP="00FB028B">
            <w:pPr>
              <w:pStyle w:val="BodyText"/>
              <w:rPr>
                <w:bCs/>
              </w:rPr>
            </w:pPr>
          </w:p>
        </w:tc>
      </w:tr>
      <w:tr w:rsidR="006C55A2" w:rsidRPr="008440BF" w14:paraId="2C944B9F" w14:textId="77777777" w:rsidTr="00FB028B">
        <w:trPr>
          <w:cantSplit/>
          <w:trHeight w:val="300"/>
          <w:jc w:val="center"/>
        </w:trPr>
        <w:tc>
          <w:tcPr>
            <w:tcW w:w="4315" w:type="dxa"/>
            <w:vAlign w:val="center"/>
          </w:tcPr>
          <w:p w14:paraId="47981A82" w14:textId="77777777" w:rsidR="006C55A2" w:rsidRPr="00ED295C" w:rsidRDefault="006C55A2" w:rsidP="00FB028B">
            <w:pPr>
              <w:pStyle w:val="BodyText"/>
              <w:ind w:left="144"/>
              <w:rPr>
                <w:bCs/>
              </w:rPr>
            </w:pPr>
            <w:r w:rsidRPr="00ED295C">
              <w:rPr>
                <w:color w:val="000000"/>
              </w:rPr>
              <w:t>White</w:t>
            </w:r>
          </w:p>
        </w:tc>
        <w:tc>
          <w:tcPr>
            <w:tcW w:w="1800" w:type="dxa"/>
          </w:tcPr>
          <w:p w14:paraId="313DD800" w14:textId="0A5D72DB" w:rsidR="006C55A2" w:rsidRPr="00ED295C" w:rsidRDefault="00662E69" w:rsidP="00FB028B">
            <w:pPr>
              <w:pStyle w:val="BodyText"/>
              <w:rPr>
                <w:color w:val="000000"/>
              </w:rPr>
            </w:pPr>
            <w:r w:rsidRPr="00ED295C">
              <w:rPr>
                <w:color w:val="000000"/>
              </w:rPr>
              <w:t>71.6</w:t>
            </w:r>
            <w:r w:rsidR="006C55A2" w:rsidRPr="00ED295C">
              <w:rPr>
                <w:color w:val="000000"/>
              </w:rPr>
              <w:t>%</w:t>
            </w:r>
          </w:p>
        </w:tc>
      </w:tr>
      <w:tr w:rsidR="006C55A2" w:rsidRPr="008440BF" w14:paraId="0B79CBF9" w14:textId="77777777" w:rsidTr="00FB028B">
        <w:trPr>
          <w:cantSplit/>
          <w:trHeight w:val="300"/>
          <w:jc w:val="center"/>
        </w:trPr>
        <w:tc>
          <w:tcPr>
            <w:tcW w:w="4315" w:type="dxa"/>
            <w:vAlign w:val="center"/>
          </w:tcPr>
          <w:p w14:paraId="5025E183" w14:textId="77777777" w:rsidR="006C55A2" w:rsidRPr="00ED295C" w:rsidRDefault="006C55A2" w:rsidP="00FB028B">
            <w:pPr>
              <w:pStyle w:val="BodyText"/>
              <w:ind w:left="144"/>
              <w:rPr>
                <w:bCs/>
              </w:rPr>
            </w:pPr>
            <w:r w:rsidRPr="00ED295C">
              <w:rPr>
                <w:color w:val="000000"/>
              </w:rPr>
              <w:t>Black or African American</w:t>
            </w:r>
          </w:p>
        </w:tc>
        <w:tc>
          <w:tcPr>
            <w:tcW w:w="1800" w:type="dxa"/>
          </w:tcPr>
          <w:p w14:paraId="584934C2" w14:textId="69992C8E" w:rsidR="006C55A2" w:rsidRPr="00ED295C" w:rsidRDefault="00662E69" w:rsidP="00FB028B">
            <w:pPr>
              <w:pStyle w:val="BodyText"/>
              <w:rPr>
                <w:bCs/>
              </w:rPr>
            </w:pPr>
            <w:r w:rsidRPr="00ED295C">
              <w:rPr>
                <w:color w:val="000000"/>
              </w:rPr>
              <w:t>9</w:t>
            </w:r>
            <w:r w:rsidR="006C55A2" w:rsidRPr="00ED295C">
              <w:rPr>
                <w:color w:val="000000"/>
              </w:rPr>
              <w:t>.3%</w:t>
            </w:r>
          </w:p>
        </w:tc>
      </w:tr>
      <w:tr w:rsidR="006C55A2" w:rsidRPr="008440BF" w14:paraId="275E8712" w14:textId="77777777" w:rsidTr="00FB028B">
        <w:trPr>
          <w:cantSplit/>
          <w:trHeight w:val="300"/>
          <w:jc w:val="center"/>
        </w:trPr>
        <w:tc>
          <w:tcPr>
            <w:tcW w:w="4315" w:type="dxa"/>
            <w:vAlign w:val="center"/>
          </w:tcPr>
          <w:p w14:paraId="4BC72C6D" w14:textId="3A5186AE" w:rsidR="006C55A2" w:rsidRPr="00ED295C" w:rsidRDefault="006C55A2" w:rsidP="00FB028B">
            <w:pPr>
              <w:pStyle w:val="BodyText"/>
              <w:ind w:left="144"/>
              <w:rPr>
                <w:b/>
              </w:rPr>
            </w:pPr>
            <w:r w:rsidRPr="00ED295C">
              <w:rPr>
                <w:color w:val="000000"/>
              </w:rPr>
              <w:t>Asian</w:t>
            </w:r>
            <w:r w:rsidR="00321220" w:rsidRPr="00ED295C">
              <w:rPr>
                <w:rStyle w:val="FootnoteReference"/>
                <w:color w:val="000000"/>
              </w:rPr>
              <w:footnoteReference w:id="5"/>
            </w:r>
          </w:p>
        </w:tc>
        <w:tc>
          <w:tcPr>
            <w:tcW w:w="1800" w:type="dxa"/>
          </w:tcPr>
          <w:p w14:paraId="3300237F" w14:textId="04E402F1" w:rsidR="006C55A2" w:rsidRPr="00ED295C" w:rsidRDefault="00321220" w:rsidP="00FB028B">
            <w:pPr>
              <w:pStyle w:val="BodyText"/>
              <w:rPr>
                <w:bCs/>
              </w:rPr>
            </w:pPr>
            <w:r w:rsidRPr="00ED295C">
              <w:rPr>
                <w:color w:val="000000"/>
              </w:rPr>
              <w:t>3.9</w:t>
            </w:r>
            <w:r w:rsidR="006C55A2" w:rsidRPr="00ED295C">
              <w:rPr>
                <w:color w:val="000000"/>
              </w:rPr>
              <w:t>%</w:t>
            </w:r>
          </w:p>
        </w:tc>
      </w:tr>
      <w:tr w:rsidR="006C55A2" w:rsidRPr="008440BF" w14:paraId="08104D8C" w14:textId="77777777" w:rsidTr="00FB028B">
        <w:trPr>
          <w:cantSplit/>
          <w:trHeight w:val="300"/>
          <w:jc w:val="center"/>
        </w:trPr>
        <w:tc>
          <w:tcPr>
            <w:tcW w:w="4315" w:type="dxa"/>
            <w:vAlign w:val="center"/>
          </w:tcPr>
          <w:p w14:paraId="46871E08" w14:textId="2D88112B" w:rsidR="006C55A2" w:rsidRPr="00ED295C" w:rsidRDefault="00F5055D" w:rsidP="00FB028B">
            <w:pPr>
              <w:pStyle w:val="BodyText"/>
              <w:ind w:left="144"/>
              <w:rPr>
                <w:bCs/>
              </w:rPr>
            </w:pPr>
            <w:r w:rsidRPr="00ED295C">
              <w:rPr>
                <w:color w:val="000000"/>
              </w:rPr>
              <w:t>None of the Above</w:t>
            </w:r>
          </w:p>
        </w:tc>
        <w:tc>
          <w:tcPr>
            <w:tcW w:w="1800" w:type="dxa"/>
          </w:tcPr>
          <w:p w14:paraId="4897F149" w14:textId="1E8EB2B7" w:rsidR="006C55A2" w:rsidRPr="00ED295C" w:rsidRDefault="00ED295C" w:rsidP="00FB028B">
            <w:pPr>
              <w:pStyle w:val="BodyText"/>
              <w:rPr>
                <w:bCs/>
              </w:rPr>
            </w:pPr>
            <w:r w:rsidRPr="00ED295C">
              <w:rPr>
                <w:color w:val="000000"/>
              </w:rPr>
              <w:t>15.2</w:t>
            </w:r>
            <w:r w:rsidR="006C55A2" w:rsidRPr="00ED295C">
              <w:rPr>
                <w:color w:val="000000"/>
              </w:rPr>
              <w:t>%</w:t>
            </w:r>
          </w:p>
        </w:tc>
      </w:tr>
      <w:tr w:rsidR="006C55A2" w:rsidRPr="008440BF" w14:paraId="6385C5FC" w14:textId="77777777" w:rsidTr="00FB028B">
        <w:trPr>
          <w:cantSplit/>
          <w:trHeight w:val="300"/>
          <w:jc w:val="center"/>
        </w:trPr>
        <w:tc>
          <w:tcPr>
            <w:tcW w:w="4315" w:type="dxa"/>
          </w:tcPr>
          <w:p w14:paraId="747BA708" w14:textId="77777777" w:rsidR="006C55A2" w:rsidRPr="00ED295C" w:rsidRDefault="006C55A2" w:rsidP="00FB028B">
            <w:pPr>
              <w:pStyle w:val="BodyText"/>
              <w:ind w:left="144"/>
              <w:rPr>
                <w:bCs/>
              </w:rPr>
            </w:pPr>
            <w:r w:rsidRPr="00ED295C">
              <w:rPr>
                <w:bCs/>
              </w:rPr>
              <w:t>Total</w:t>
            </w:r>
          </w:p>
        </w:tc>
        <w:tc>
          <w:tcPr>
            <w:tcW w:w="1800" w:type="dxa"/>
          </w:tcPr>
          <w:p w14:paraId="46C3E06E" w14:textId="77777777" w:rsidR="006C55A2" w:rsidRPr="00ED295C" w:rsidRDefault="006C55A2" w:rsidP="00FB028B">
            <w:pPr>
              <w:pStyle w:val="BodyText"/>
              <w:rPr>
                <w:bCs/>
              </w:rPr>
            </w:pPr>
            <w:r w:rsidRPr="00ED295C">
              <w:rPr>
                <w:bCs/>
              </w:rPr>
              <w:t>100.0%</w:t>
            </w:r>
          </w:p>
        </w:tc>
      </w:tr>
      <w:tr w:rsidR="006C55A2" w:rsidRPr="008440BF" w14:paraId="7A2C9C66" w14:textId="77777777" w:rsidTr="00FB028B">
        <w:trPr>
          <w:cantSplit/>
          <w:trHeight w:val="300"/>
          <w:jc w:val="center"/>
        </w:trPr>
        <w:tc>
          <w:tcPr>
            <w:tcW w:w="4315" w:type="dxa"/>
            <w:tcBorders>
              <w:bottom w:val="single" w:sz="4" w:space="0" w:color="auto"/>
            </w:tcBorders>
            <w:shd w:val="clear" w:color="auto" w:fill="F2F2F2" w:themeFill="background1" w:themeFillShade="F2"/>
          </w:tcPr>
          <w:p w14:paraId="1E092F36" w14:textId="77777777" w:rsidR="006C55A2" w:rsidRPr="00331594" w:rsidRDefault="006C55A2" w:rsidP="00FB028B">
            <w:pPr>
              <w:pStyle w:val="BodyText"/>
              <w:rPr>
                <w:b/>
              </w:rPr>
            </w:pPr>
            <w:r w:rsidRPr="00331594">
              <w:rPr>
                <w:b/>
              </w:rPr>
              <w:t>Ethnicity</w:t>
            </w:r>
          </w:p>
        </w:tc>
        <w:tc>
          <w:tcPr>
            <w:tcW w:w="1800" w:type="dxa"/>
            <w:tcBorders>
              <w:bottom w:val="single" w:sz="4" w:space="0" w:color="auto"/>
            </w:tcBorders>
            <w:shd w:val="clear" w:color="auto" w:fill="F2F2F2" w:themeFill="background1" w:themeFillShade="F2"/>
          </w:tcPr>
          <w:p w14:paraId="6164FC36" w14:textId="77777777" w:rsidR="006C55A2" w:rsidRPr="00331594" w:rsidRDefault="006C55A2" w:rsidP="00FB028B">
            <w:pPr>
              <w:pStyle w:val="BodyText"/>
              <w:rPr>
                <w:b/>
              </w:rPr>
            </w:pPr>
          </w:p>
        </w:tc>
      </w:tr>
      <w:tr w:rsidR="00E3504C" w:rsidRPr="008440BF" w14:paraId="0C74D21B" w14:textId="77777777" w:rsidTr="00FB028B">
        <w:trPr>
          <w:cantSplit/>
          <w:trHeight w:val="300"/>
          <w:jc w:val="center"/>
        </w:trPr>
        <w:tc>
          <w:tcPr>
            <w:tcW w:w="4315" w:type="dxa"/>
            <w:shd w:val="clear" w:color="auto" w:fill="auto"/>
            <w:vAlign w:val="center"/>
          </w:tcPr>
          <w:p w14:paraId="5575A78C" w14:textId="4CD34B6B" w:rsidR="00E3504C" w:rsidRPr="00331594" w:rsidRDefault="00E3504C" w:rsidP="00FB028B">
            <w:pPr>
              <w:pStyle w:val="BodyText"/>
              <w:ind w:left="144"/>
              <w:rPr>
                <w:bCs/>
              </w:rPr>
            </w:pPr>
            <w:r w:rsidRPr="00331594">
              <w:rPr>
                <w:bCs/>
              </w:rPr>
              <w:t>Puerto Ric</w:t>
            </w:r>
            <w:r w:rsidR="00331594" w:rsidRPr="00331594">
              <w:rPr>
                <w:bCs/>
              </w:rPr>
              <w:t>an</w:t>
            </w:r>
          </w:p>
        </w:tc>
        <w:tc>
          <w:tcPr>
            <w:tcW w:w="1800" w:type="dxa"/>
            <w:shd w:val="clear" w:color="auto" w:fill="auto"/>
          </w:tcPr>
          <w:p w14:paraId="1DA98C37" w14:textId="449F33AA" w:rsidR="00E3504C" w:rsidRPr="00331594" w:rsidRDefault="00331594" w:rsidP="00E2035F">
            <w:pPr>
              <w:pStyle w:val="BodyText"/>
              <w:rPr>
                <w:color w:val="000000"/>
              </w:rPr>
            </w:pPr>
            <w:r w:rsidRPr="00331594">
              <w:rPr>
                <w:color w:val="000000"/>
              </w:rPr>
              <w:t>&lt;1.0%</w:t>
            </w:r>
          </w:p>
        </w:tc>
      </w:tr>
      <w:tr w:rsidR="006C55A2" w:rsidRPr="008440BF" w14:paraId="309E5A80" w14:textId="77777777" w:rsidTr="00FB028B">
        <w:trPr>
          <w:cantSplit/>
          <w:trHeight w:val="300"/>
          <w:jc w:val="center"/>
        </w:trPr>
        <w:tc>
          <w:tcPr>
            <w:tcW w:w="4315" w:type="dxa"/>
            <w:shd w:val="clear" w:color="auto" w:fill="auto"/>
            <w:vAlign w:val="center"/>
          </w:tcPr>
          <w:p w14:paraId="1C78EDC4" w14:textId="3E8CAA8C" w:rsidR="006C55A2" w:rsidRPr="00331594" w:rsidRDefault="0086379E" w:rsidP="00FB028B">
            <w:pPr>
              <w:pStyle w:val="BodyText"/>
              <w:ind w:left="144"/>
              <w:rPr>
                <w:bCs/>
              </w:rPr>
            </w:pPr>
            <w:r>
              <w:rPr>
                <w:bCs/>
              </w:rPr>
              <w:t xml:space="preserve">Other </w:t>
            </w:r>
            <w:r w:rsidR="006C55A2" w:rsidRPr="00331594">
              <w:rPr>
                <w:bCs/>
              </w:rPr>
              <w:t>Hispanic/Latino</w:t>
            </w:r>
            <w:r w:rsidR="00F9723A">
              <w:rPr>
                <w:bCs/>
              </w:rPr>
              <w:t xml:space="preserve"> Origin</w:t>
            </w:r>
          </w:p>
        </w:tc>
        <w:tc>
          <w:tcPr>
            <w:tcW w:w="1800" w:type="dxa"/>
            <w:shd w:val="clear" w:color="auto" w:fill="auto"/>
          </w:tcPr>
          <w:p w14:paraId="664643A7" w14:textId="7D3205FE" w:rsidR="006C55A2" w:rsidRPr="00331594" w:rsidRDefault="006C55A2" w:rsidP="00E2035F">
            <w:pPr>
              <w:pStyle w:val="BodyText"/>
              <w:rPr>
                <w:bCs/>
              </w:rPr>
            </w:pPr>
            <w:r w:rsidRPr="00331594">
              <w:rPr>
                <w:color w:val="000000"/>
              </w:rPr>
              <w:t>1</w:t>
            </w:r>
            <w:r w:rsidR="00C149AA">
              <w:rPr>
                <w:color w:val="000000"/>
              </w:rPr>
              <w:t>2.9</w:t>
            </w:r>
            <w:r w:rsidRPr="00331594">
              <w:rPr>
                <w:color w:val="000000"/>
              </w:rPr>
              <w:t>%</w:t>
            </w:r>
          </w:p>
        </w:tc>
      </w:tr>
      <w:tr w:rsidR="006C55A2" w:rsidRPr="008440BF" w14:paraId="40FE2FD5" w14:textId="77777777" w:rsidTr="00FB028B">
        <w:trPr>
          <w:cantSplit/>
          <w:trHeight w:val="300"/>
          <w:jc w:val="center"/>
        </w:trPr>
        <w:tc>
          <w:tcPr>
            <w:tcW w:w="4315" w:type="dxa"/>
            <w:shd w:val="clear" w:color="auto" w:fill="auto"/>
            <w:vAlign w:val="center"/>
          </w:tcPr>
          <w:p w14:paraId="4602AB81" w14:textId="77777777" w:rsidR="006C55A2" w:rsidRPr="00331594" w:rsidRDefault="006C55A2" w:rsidP="00FB028B">
            <w:pPr>
              <w:pStyle w:val="BodyText"/>
              <w:ind w:left="144"/>
              <w:rPr>
                <w:bCs/>
              </w:rPr>
            </w:pPr>
            <w:r w:rsidRPr="00331594">
              <w:rPr>
                <w:bCs/>
              </w:rPr>
              <w:t>Not Hispanic/Latino</w:t>
            </w:r>
          </w:p>
        </w:tc>
        <w:tc>
          <w:tcPr>
            <w:tcW w:w="1800" w:type="dxa"/>
            <w:shd w:val="clear" w:color="auto" w:fill="auto"/>
          </w:tcPr>
          <w:p w14:paraId="6F7A46E2" w14:textId="609DA17F" w:rsidR="006C55A2" w:rsidRPr="00331594" w:rsidRDefault="00EB6010" w:rsidP="00E2035F">
            <w:pPr>
              <w:pStyle w:val="BodyText"/>
              <w:rPr>
                <w:bCs/>
              </w:rPr>
            </w:pPr>
            <w:r>
              <w:rPr>
                <w:color w:val="000000"/>
              </w:rPr>
              <w:t>84.3</w:t>
            </w:r>
            <w:r w:rsidR="006C55A2" w:rsidRPr="00331594">
              <w:rPr>
                <w:color w:val="000000"/>
              </w:rPr>
              <w:t>%</w:t>
            </w:r>
          </w:p>
        </w:tc>
      </w:tr>
      <w:tr w:rsidR="006C55A2" w:rsidRPr="008440BF" w14:paraId="5C0B061D" w14:textId="77777777" w:rsidTr="00FB028B">
        <w:trPr>
          <w:cantSplit/>
          <w:trHeight w:val="300"/>
          <w:jc w:val="center"/>
        </w:trPr>
        <w:tc>
          <w:tcPr>
            <w:tcW w:w="4315" w:type="dxa"/>
            <w:shd w:val="clear" w:color="auto" w:fill="auto"/>
            <w:vAlign w:val="center"/>
          </w:tcPr>
          <w:p w14:paraId="727DCF39" w14:textId="5F3141BB" w:rsidR="006C55A2" w:rsidRPr="00331594" w:rsidRDefault="00331594" w:rsidP="00FB028B">
            <w:pPr>
              <w:pStyle w:val="BodyText"/>
              <w:rPr>
                <w:b/>
              </w:rPr>
            </w:pPr>
            <w:r w:rsidRPr="00331594">
              <w:rPr>
                <w:color w:val="000000"/>
              </w:rPr>
              <w:t xml:space="preserve">   Patient Declines or is Unable to Respond</w:t>
            </w:r>
          </w:p>
        </w:tc>
        <w:tc>
          <w:tcPr>
            <w:tcW w:w="1800" w:type="dxa"/>
            <w:shd w:val="clear" w:color="auto" w:fill="auto"/>
          </w:tcPr>
          <w:p w14:paraId="5F83BD88" w14:textId="6C87F364" w:rsidR="006C55A2" w:rsidRPr="00331594" w:rsidRDefault="00331594" w:rsidP="00E2035F">
            <w:pPr>
              <w:pStyle w:val="BodyText"/>
              <w:rPr>
                <w:b/>
              </w:rPr>
            </w:pPr>
            <w:r w:rsidRPr="00331594">
              <w:rPr>
                <w:color w:val="000000"/>
              </w:rPr>
              <w:t>&lt;1.0</w:t>
            </w:r>
            <w:r w:rsidR="006C55A2" w:rsidRPr="00331594">
              <w:rPr>
                <w:color w:val="000000"/>
              </w:rPr>
              <w:t>%</w:t>
            </w:r>
          </w:p>
        </w:tc>
      </w:tr>
      <w:tr w:rsidR="006C55A2" w:rsidRPr="008440BF" w14:paraId="0B5F847C" w14:textId="77777777" w:rsidTr="00FB028B">
        <w:trPr>
          <w:cantSplit/>
          <w:trHeight w:val="300"/>
          <w:jc w:val="center"/>
        </w:trPr>
        <w:tc>
          <w:tcPr>
            <w:tcW w:w="4315" w:type="dxa"/>
            <w:shd w:val="clear" w:color="auto" w:fill="auto"/>
          </w:tcPr>
          <w:p w14:paraId="2DF65C1B" w14:textId="77777777" w:rsidR="006C55A2" w:rsidRPr="00331594" w:rsidRDefault="006C55A2" w:rsidP="00FB028B">
            <w:pPr>
              <w:pStyle w:val="BodyText"/>
              <w:ind w:left="144"/>
              <w:rPr>
                <w:bCs/>
              </w:rPr>
            </w:pPr>
            <w:r w:rsidRPr="00331594">
              <w:rPr>
                <w:bCs/>
              </w:rPr>
              <w:t>Total</w:t>
            </w:r>
          </w:p>
        </w:tc>
        <w:tc>
          <w:tcPr>
            <w:tcW w:w="1800" w:type="dxa"/>
            <w:shd w:val="clear" w:color="auto" w:fill="auto"/>
          </w:tcPr>
          <w:p w14:paraId="5F383BEB" w14:textId="77777777" w:rsidR="006C55A2" w:rsidRPr="00331594" w:rsidRDefault="006C55A2" w:rsidP="00E2035F">
            <w:pPr>
              <w:pStyle w:val="BodyText"/>
              <w:rPr>
                <w:bCs/>
              </w:rPr>
            </w:pPr>
            <w:r w:rsidRPr="00331594">
              <w:rPr>
                <w:bCs/>
              </w:rPr>
              <w:t>100.0%</w:t>
            </w:r>
          </w:p>
        </w:tc>
      </w:tr>
      <w:tr w:rsidR="006C55A2" w:rsidRPr="008440BF" w14:paraId="1BB4C837" w14:textId="77777777" w:rsidTr="00FB028B">
        <w:trPr>
          <w:cantSplit/>
          <w:trHeight w:val="300"/>
          <w:jc w:val="center"/>
        </w:trPr>
        <w:tc>
          <w:tcPr>
            <w:tcW w:w="4315" w:type="dxa"/>
            <w:tcBorders>
              <w:bottom w:val="single" w:sz="4" w:space="0" w:color="auto"/>
            </w:tcBorders>
            <w:shd w:val="clear" w:color="auto" w:fill="F2F2F2" w:themeFill="background1" w:themeFillShade="F2"/>
          </w:tcPr>
          <w:p w14:paraId="6A6A41EA" w14:textId="1ADC95D6" w:rsidR="006C55A2" w:rsidRPr="004D0977" w:rsidRDefault="006C55A2" w:rsidP="00FB028B">
            <w:pPr>
              <w:pStyle w:val="BodyText"/>
              <w:rPr>
                <w:b/>
              </w:rPr>
            </w:pPr>
            <w:r w:rsidRPr="004D0977">
              <w:rPr>
                <w:b/>
              </w:rPr>
              <w:t>Patient Origin</w:t>
            </w:r>
            <w:r w:rsidR="004D0977" w:rsidRPr="004D0977">
              <w:rPr>
                <w:b/>
              </w:rPr>
              <w:t xml:space="preserve"> by County</w:t>
            </w:r>
          </w:p>
        </w:tc>
        <w:tc>
          <w:tcPr>
            <w:tcW w:w="1800" w:type="dxa"/>
            <w:tcBorders>
              <w:bottom w:val="single" w:sz="4" w:space="0" w:color="auto"/>
            </w:tcBorders>
            <w:shd w:val="clear" w:color="auto" w:fill="F2F2F2" w:themeFill="background1" w:themeFillShade="F2"/>
          </w:tcPr>
          <w:p w14:paraId="096FA90B" w14:textId="77777777" w:rsidR="006C55A2" w:rsidRPr="006C55A2" w:rsidRDefault="006C55A2" w:rsidP="00FB028B">
            <w:pPr>
              <w:pStyle w:val="BodyText"/>
              <w:rPr>
                <w:b/>
                <w:highlight w:val="yellow"/>
              </w:rPr>
            </w:pPr>
          </w:p>
        </w:tc>
      </w:tr>
      <w:tr w:rsidR="006C55A2" w:rsidRPr="008440BF" w14:paraId="6BFF3652" w14:textId="77777777" w:rsidTr="00FB028B">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171A8D2" w14:textId="1C5C6339" w:rsidR="006C55A2" w:rsidRPr="00E50FA5" w:rsidRDefault="004D0977" w:rsidP="00FB028B">
            <w:pPr>
              <w:pStyle w:val="BodyText"/>
              <w:ind w:left="144"/>
              <w:rPr>
                <w:bCs/>
              </w:rPr>
            </w:pPr>
            <w:r w:rsidRPr="00E50FA5">
              <w:rPr>
                <w:rFonts w:eastAsia="Times New Roman"/>
              </w:rPr>
              <w:t>Worcester County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006634AB" w14:textId="0D21A2D9" w:rsidR="006C55A2" w:rsidRPr="00E50FA5" w:rsidRDefault="004D0977" w:rsidP="00E2035F">
            <w:pPr>
              <w:pStyle w:val="BodyText"/>
              <w:rPr>
                <w:color w:val="000000"/>
              </w:rPr>
            </w:pPr>
            <w:r w:rsidRPr="00E50FA5">
              <w:rPr>
                <w:color w:val="000000"/>
              </w:rPr>
              <w:t>44</w:t>
            </w:r>
            <w:r w:rsidR="00E50FA5" w:rsidRPr="00E50FA5">
              <w:rPr>
                <w:color w:val="000000"/>
              </w:rPr>
              <w:t>.1</w:t>
            </w:r>
            <w:r w:rsidR="006C55A2" w:rsidRPr="00E50FA5">
              <w:rPr>
                <w:color w:val="000000"/>
              </w:rPr>
              <w:t>%</w:t>
            </w:r>
          </w:p>
        </w:tc>
      </w:tr>
      <w:tr w:rsidR="006C55A2" w:rsidRPr="008440BF" w14:paraId="38D73715" w14:textId="77777777" w:rsidTr="00FB028B">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38D3E7F4" w14:textId="662AA893" w:rsidR="006C55A2" w:rsidRPr="00E50FA5" w:rsidRDefault="00E50FA5" w:rsidP="00FB028B">
            <w:pPr>
              <w:pStyle w:val="BodyText"/>
              <w:ind w:left="144"/>
              <w:rPr>
                <w:bCs/>
              </w:rPr>
            </w:pPr>
            <w:r w:rsidRPr="00E50FA5">
              <w:rPr>
                <w:rFonts w:eastAsia="Times New Roman"/>
              </w:rPr>
              <w:t>Hampden County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47648E5" w14:textId="594C2BFF" w:rsidR="006C55A2" w:rsidRPr="00E50FA5" w:rsidRDefault="00E50FA5" w:rsidP="00E2035F">
            <w:pPr>
              <w:pStyle w:val="BodyText"/>
              <w:rPr>
                <w:color w:val="000000"/>
              </w:rPr>
            </w:pPr>
            <w:r w:rsidRPr="00E50FA5">
              <w:rPr>
                <w:color w:val="000000"/>
              </w:rPr>
              <w:t>30.9</w:t>
            </w:r>
            <w:r w:rsidR="006C55A2" w:rsidRPr="00E50FA5">
              <w:rPr>
                <w:color w:val="000000"/>
              </w:rPr>
              <w:t>%</w:t>
            </w:r>
          </w:p>
        </w:tc>
      </w:tr>
      <w:tr w:rsidR="006C55A2" w:rsidRPr="008440BF" w14:paraId="2CA73F20" w14:textId="77777777" w:rsidTr="00FB028B">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3368FBD1" w14:textId="19434836" w:rsidR="006C55A2" w:rsidRPr="00E50FA5" w:rsidRDefault="00E50FA5" w:rsidP="00FB028B">
            <w:pPr>
              <w:pStyle w:val="BodyText"/>
              <w:ind w:left="144"/>
              <w:rPr>
                <w:bCs/>
              </w:rPr>
            </w:pPr>
            <w:r w:rsidRPr="00E50FA5">
              <w:rPr>
                <w:rFonts w:eastAsia="Times New Roman"/>
              </w:rPr>
              <w:t>Middlesex County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5D915CF0" w14:textId="32679849" w:rsidR="006C55A2" w:rsidRPr="00E50FA5" w:rsidRDefault="00E50FA5" w:rsidP="00E2035F">
            <w:pPr>
              <w:pStyle w:val="BodyText"/>
              <w:rPr>
                <w:color w:val="000000"/>
              </w:rPr>
            </w:pPr>
            <w:r w:rsidRPr="00E50FA5">
              <w:rPr>
                <w:color w:val="000000"/>
              </w:rPr>
              <w:t>7.8</w:t>
            </w:r>
            <w:r w:rsidR="006C55A2" w:rsidRPr="00E50FA5">
              <w:rPr>
                <w:color w:val="000000"/>
              </w:rPr>
              <w:t>%</w:t>
            </w:r>
          </w:p>
        </w:tc>
      </w:tr>
      <w:tr w:rsidR="006C55A2" w:rsidRPr="008440BF" w14:paraId="18F8E1F1" w14:textId="77777777" w:rsidTr="00FB028B">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311A0001" w14:textId="53F6399D" w:rsidR="006C55A2" w:rsidRPr="009A219A" w:rsidRDefault="006C55A2" w:rsidP="00FB028B">
            <w:pPr>
              <w:pStyle w:val="BodyText"/>
              <w:ind w:left="144"/>
              <w:rPr>
                <w:bCs/>
              </w:rPr>
            </w:pPr>
            <w:r w:rsidRPr="009A219A">
              <w:rPr>
                <w:bCs/>
              </w:rPr>
              <w:lastRenderedPageBreak/>
              <w:t>All other patient origins</w:t>
            </w:r>
            <w:r w:rsidR="009A219A">
              <w:rPr>
                <w:rStyle w:val="FootnoteReference"/>
                <w:bCs/>
              </w:rPr>
              <w:footnoteReference w:id="6"/>
            </w:r>
          </w:p>
        </w:tc>
        <w:tc>
          <w:tcPr>
            <w:tcW w:w="1800" w:type="dxa"/>
            <w:tcBorders>
              <w:top w:val="single" w:sz="4" w:space="0" w:color="auto"/>
              <w:left w:val="single" w:sz="4" w:space="0" w:color="auto"/>
              <w:bottom w:val="single" w:sz="4" w:space="0" w:color="auto"/>
              <w:right w:val="single" w:sz="4" w:space="0" w:color="auto"/>
            </w:tcBorders>
          </w:tcPr>
          <w:p w14:paraId="4D7EEA8C" w14:textId="14030C29" w:rsidR="006C55A2" w:rsidRPr="009A219A" w:rsidRDefault="009A219A" w:rsidP="00E2035F">
            <w:pPr>
              <w:pStyle w:val="BodyText"/>
              <w:rPr>
                <w:color w:val="000000"/>
              </w:rPr>
            </w:pPr>
            <w:r w:rsidRPr="009A219A">
              <w:rPr>
                <w:color w:val="000000"/>
              </w:rPr>
              <w:t>17.2</w:t>
            </w:r>
            <w:r w:rsidR="006C55A2" w:rsidRPr="009A219A">
              <w:rPr>
                <w:color w:val="000000"/>
              </w:rPr>
              <w:t>%</w:t>
            </w:r>
          </w:p>
        </w:tc>
      </w:tr>
      <w:tr w:rsidR="006C55A2" w:rsidRPr="008440BF" w14:paraId="03054384" w14:textId="77777777" w:rsidTr="00FB028B">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1F008F4D" w14:textId="77777777" w:rsidR="006C55A2" w:rsidRPr="009A219A" w:rsidRDefault="006C55A2" w:rsidP="00FB028B">
            <w:pPr>
              <w:pStyle w:val="BodyText"/>
              <w:ind w:left="144"/>
              <w:rPr>
                <w:bCs/>
              </w:rPr>
            </w:pPr>
            <w:r w:rsidRPr="009A219A">
              <w:rPr>
                <w:bCs/>
              </w:rPr>
              <w:t>Total</w:t>
            </w:r>
          </w:p>
        </w:tc>
        <w:tc>
          <w:tcPr>
            <w:tcW w:w="1800" w:type="dxa"/>
            <w:tcBorders>
              <w:top w:val="single" w:sz="4" w:space="0" w:color="auto"/>
              <w:left w:val="single" w:sz="4" w:space="0" w:color="auto"/>
              <w:bottom w:val="single" w:sz="4" w:space="0" w:color="auto"/>
              <w:right w:val="single" w:sz="4" w:space="0" w:color="auto"/>
            </w:tcBorders>
          </w:tcPr>
          <w:p w14:paraId="73865203" w14:textId="77777777" w:rsidR="006C55A2" w:rsidRPr="009A219A" w:rsidRDefault="006C55A2" w:rsidP="00E2035F">
            <w:pPr>
              <w:pStyle w:val="BodyText"/>
              <w:rPr>
                <w:color w:val="000000"/>
              </w:rPr>
            </w:pPr>
            <w:r w:rsidRPr="009A219A">
              <w:rPr>
                <w:color w:val="000000"/>
              </w:rPr>
              <w:t>100.0%</w:t>
            </w:r>
          </w:p>
        </w:tc>
      </w:tr>
      <w:tr w:rsidR="006C55A2" w:rsidRPr="008440BF" w14:paraId="7445F1C0" w14:textId="77777777" w:rsidTr="00FB028B">
        <w:trPr>
          <w:cantSplit/>
          <w:trHeight w:val="300"/>
          <w:jc w:val="center"/>
        </w:trPr>
        <w:tc>
          <w:tcPr>
            <w:tcW w:w="4315" w:type="dxa"/>
            <w:tcBorders>
              <w:top w:val="single" w:sz="4" w:space="0" w:color="auto"/>
            </w:tcBorders>
            <w:shd w:val="clear" w:color="auto" w:fill="F2F2F2" w:themeFill="background1" w:themeFillShade="F2"/>
          </w:tcPr>
          <w:p w14:paraId="7BFBCD55" w14:textId="77777777" w:rsidR="006C55A2" w:rsidRPr="008440BF" w:rsidRDefault="006C55A2" w:rsidP="00FB028B">
            <w:pPr>
              <w:pStyle w:val="BodyText"/>
              <w:rPr>
                <w:b/>
              </w:rPr>
            </w:pPr>
            <w:r w:rsidRPr="008440BF">
              <w:rPr>
                <w:b/>
              </w:rPr>
              <w:t>Payer Mix</w:t>
            </w:r>
          </w:p>
        </w:tc>
        <w:tc>
          <w:tcPr>
            <w:tcW w:w="1800" w:type="dxa"/>
            <w:tcBorders>
              <w:top w:val="single" w:sz="4" w:space="0" w:color="auto"/>
            </w:tcBorders>
            <w:shd w:val="clear" w:color="auto" w:fill="F2F2F2" w:themeFill="background1" w:themeFillShade="F2"/>
          </w:tcPr>
          <w:p w14:paraId="0601206F" w14:textId="77777777" w:rsidR="006C55A2" w:rsidRPr="006C55A2" w:rsidRDefault="006C55A2" w:rsidP="00FB028B">
            <w:pPr>
              <w:pStyle w:val="BodyText"/>
              <w:rPr>
                <w:bCs/>
                <w:highlight w:val="yellow"/>
              </w:rPr>
            </w:pPr>
          </w:p>
        </w:tc>
      </w:tr>
      <w:tr w:rsidR="00D51FF0" w:rsidRPr="008440BF" w14:paraId="457145A8" w14:textId="77777777" w:rsidTr="00FB028B">
        <w:trPr>
          <w:cantSplit/>
          <w:trHeight w:val="300"/>
          <w:jc w:val="center"/>
        </w:trPr>
        <w:tc>
          <w:tcPr>
            <w:tcW w:w="4315" w:type="dxa"/>
            <w:vAlign w:val="center"/>
          </w:tcPr>
          <w:p w14:paraId="3A585221" w14:textId="4910FEF8" w:rsidR="00D51FF0" w:rsidRPr="008440BF" w:rsidRDefault="00D51FF0" w:rsidP="00D51FF0">
            <w:pPr>
              <w:pStyle w:val="BodyText"/>
              <w:ind w:left="144"/>
              <w:rPr>
                <w:b/>
              </w:rPr>
            </w:pPr>
            <w:r>
              <w:rPr>
                <w:color w:val="000000"/>
              </w:rPr>
              <w:t>Commercial</w:t>
            </w:r>
          </w:p>
        </w:tc>
        <w:tc>
          <w:tcPr>
            <w:tcW w:w="1800" w:type="dxa"/>
          </w:tcPr>
          <w:p w14:paraId="69538DBC" w14:textId="5FBE6631" w:rsidR="00D51FF0" w:rsidRPr="006C55A2" w:rsidRDefault="006E3E80" w:rsidP="00D51FF0">
            <w:pPr>
              <w:pStyle w:val="BodyText"/>
              <w:rPr>
                <w:bCs/>
                <w:highlight w:val="yellow"/>
              </w:rPr>
            </w:pPr>
            <w:r>
              <w:rPr>
                <w:color w:val="000000"/>
              </w:rPr>
              <w:t>36.3</w:t>
            </w:r>
            <w:r w:rsidR="00D51FF0" w:rsidRPr="001F6533">
              <w:rPr>
                <w:color w:val="000000"/>
              </w:rPr>
              <w:t>%</w:t>
            </w:r>
          </w:p>
        </w:tc>
      </w:tr>
      <w:tr w:rsidR="00D51FF0" w:rsidRPr="008440BF" w14:paraId="777F10EC" w14:textId="77777777" w:rsidTr="00FB028B">
        <w:trPr>
          <w:cantSplit/>
          <w:trHeight w:val="300"/>
          <w:jc w:val="center"/>
        </w:trPr>
        <w:tc>
          <w:tcPr>
            <w:tcW w:w="4315" w:type="dxa"/>
            <w:vAlign w:val="center"/>
          </w:tcPr>
          <w:p w14:paraId="258A0823" w14:textId="7FFD8B3E" w:rsidR="00D51FF0" w:rsidRPr="008440BF" w:rsidRDefault="00D51FF0" w:rsidP="00D51FF0">
            <w:pPr>
              <w:pStyle w:val="BodyText"/>
              <w:rPr>
                <w:b/>
              </w:rPr>
            </w:pPr>
            <w:r>
              <w:rPr>
                <w:color w:val="000000"/>
              </w:rPr>
              <w:t xml:space="preserve">   Medicaid</w:t>
            </w:r>
          </w:p>
        </w:tc>
        <w:tc>
          <w:tcPr>
            <w:tcW w:w="1800" w:type="dxa"/>
          </w:tcPr>
          <w:p w14:paraId="3B66F2D8" w14:textId="4C223EFF" w:rsidR="00D51FF0" w:rsidRPr="006C55A2" w:rsidRDefault="00D51FF0" w:rsidP="00D51FF0">
            <w:pPr>
              <w:pStyle w:val="BodyText"/>
              <w:rPr>
                <w:bCs/>
                <w:highlight w:val="yellow"/>
              </w:rPr>
            </w:pPr>
            <w:r w:rsidRPr="001F6533">
              <w:rPr>
                <w:color w:val="000000"/>
              </w:rPr>
              <w:t>18.</w:t>
            </w:r>
            <w:r w:rsidR="006E3E80">
              <w:rPr>
                <w:color w:val="000000"/>
              </w:rPr>
              <w:t>6</w:t>
            </w:r>
            <w:r w:rsidRPr="001F6533">
              <w:rPr>
                <w:color w:val="000000"/>
              </w:rPr>
              <w:t>%</w:t>
            </w:r>
          </w:p>
        </w:tc>
      </w:tr>
      <w:tr w:rsidR="00D51FF0" w:rsidRPr="008440BF" w14:paraId="7C70AFD7" w14:textId="77777777" w:rsidTr="00FB028B">
        <w:trPr>
          <w:cantSplit/>
          <w:trHeight w:val="300"/>
          <w:jc w:val="center"/>
        </w:trPr>
        <w:tc>
          <w:tcPr>
            <w:tcW w:w="4315" w:type="dxa"/>
            <w:vAlign w:val="center"/>
          </w:tcPr>
          <w:p w14:paraId="60B9205F" w14:textId="61006EDE" w:rsidR="00D51FF0" w:rsidRPr="00E5526C" w:rsidRDefault="00D51FF0" w:rsidP="00D51FF0">
            <w:pPr>
              <w:pStyle w:val="BodyText"/>
              <w:ind w:left="144"/>
              <w:rPr>
                <w:b/>
              </w:rPr>
            </w:pPr>
            <w:r>
              <w:rPr>
                <w:color w:val="000000"/>
              </w:rPr>
              <w:t>Medicare</w:t>
            </w:r>
          </w:p>
        </w:tc>
        <w:tc>
          <w:tcPr>
            <w:tcW w:w="1800" w:type="dxa"/>
          </w:tcPr>
          <w:p w14:paraId="391BD96B" w14:textId="60198A7C" w:rsidR="00D51FF0" w:rsidRPr="00E5526C" w:rsidRDefault="00D51FF0" w:rsidP="00D51FF0">
            <w:pPr>
              <w:pStyle w:val="BodyText"/>
              <w:rPr>
                <w:bCs/>
              </w:rPr>
            </w:pPr>
            <w:r w:rsidRPr="00E5526C">
              <w:rPr>
                <w:color w:val="000000"/>
              </w:rPr>
              <w:t>28.</w:t>
            </w:r>
            <w:r w:rsidR="006E3E80">
              <w:rPr>
                <w:color w:val="000000"/>
              </w:rPr>
              <w:t>4</w:t>
            </w:r>
            <w:r w:rsidRPr="00E5526C">
              <w:rPr>
                <w:color w:val="000000"/>
              </w:rPr>
              <w:t>%</w:t>
            </w:r>
          </w:p>
        </w:tc>
      </w:tr>
      <w:tr w:rsidR="00D51FF0" w:rsidRPr="008440BF" w14:paraId="6C9EFCBC" w14:textId="77777777" w:rsidTr="00FB028B">
        <w:trPr>
          <w:cantSplit/>
          <w:trHeight w:val="300"/>
          <w:jc w:val="center"/>
        </w:trPr>
        <w:tc>
          <w:tcPr>
            <w:tcW w:w="4315" w:type="dxa"/>
            <w:vAlign w:val="center"/>
          </w:tcPr>
          <w:p w14:paraId="0A16C05F" w14:textId="60C106FE" w:rsidR="00D51FF0" w:rsidRPr="00946517" w:rsidRDefault="00D51FF0" w:rsidP="00D51FF0">
            <w:pPr>
              <w:pStyle w:val="BodyText"/>
              <w:ind w:left="144"/>
              <w:rPr>
                <w:b/>
              </w:rPr>
            </w:pPr>
            <w:r w:rsidRPr="00946517">
              <w:rPr>
                <w:color w:val="000000"/>
              </w:rPr>
              <w:t>Managed Medicaid</w:t>
            </w:r>
          </w:p>
        </w:tc>
        <w:tc>
          <w:tcPr>
            <w:tcW w:w="1800" w:type="dxa"/>
          </w:tcPr>
          <w:p w14:paraId="25DEBA54" w14:textId="5333BEC4" w:rsidR="00D51FF0" w:rsidRPr="00946517" w:rsidRDefault="00D51FF0" w:rsidP="00D51FF0">
            <w:pPr>
              <w:pStyle w:val="BodyText"/>
              <w:rPr>
                <w:bCs/>
              </w:rPr>
            </w:pPr>
            <w:r w:rsidRPr="00473E63">
              <w:rPr>
                <w:color w:val="000000"/>
              </w:rPr>
              <w:t>4.</w:t>
            </w:r>
            <w:r w:rsidR="00F40BA3" w:rsidRPr="00473E63">
              <w:rPr>
                <w:color w:val="000000"/>
              </w:rPr>
              <w:t>4</w:t>
            </w:r>
            <w:r w:rsidRPr="00473E63">
              <w:rPr>
                <w:color w:val="000000"/>
              </w:rPr>
              <w:t>%</w:t>
            </w:r>
          </w:p>
        </w:tc>
      </w:tr>
      <w:tr w:rsidR="00D51FF0" w:rsidRPr="008440BF" w14:paraId="6CC7C00A" w14:textId="77777777" w:rsidTr="00FB028B">
        <w:trPr>
          <w:cantSplit/>
          <w:trHeight w:val="300"/>
          <w:jc w:val="center"/>
        </w:trPr>
        <w:tc>
          <w:tcPr>
            <w:tcW w:w="4315" w:type="dxa"/>
            <w:vAlign w:val="center"/>
          </w:tcPr>
          <w:p w14:paraId="2A52986E" w14:textId="01C8B9DD" w:rsidR="00D51FF0" w:rsidRPr="008440BF" w:rsidRDefault="00D51FF0" w:rsidP="00D51FF0">
            <w:pPr>
              <w:pStyle w:val="BodyText"/>
              <w:ind w:left="144"/>
              <w:rPr>
                <w:b/>
              </w:rPr>
            </w:pPr>
            <w:r>
              <w:rPr>
                <w:color w:val="000000"/>
              </w:rPr>
              <w:t>Managed Medicare</w:t>
            </w:r>
          </w:p>
        </w:tc>
        <w:tc>
          <w:tcPr>
            <w:tcW w:w="1800" w:type="dxa"/>
          </w:tcPr>
          <w:p w14:paraId="3DAE8F99" w14:textId="68DF0BD7" w:rsidR="00D51FF0" w:rsidRPr="006C55A2" w:rsidRDefault="00D51FF0" w:rsidP="00D51FF0">
            <w:pPr>
              <w:pStyle w:val="BodyText"/>
              <w:rPr>
                <w:bCs/>
                <w:highlight w:val="yellow"/>
              </w:rPr>
            </w:pPr>
            <w:r w:rsidRPr="00E5526C">
              <w:rPr>
                <w:color w:val="000000"/>
              </w:rPr>
              <w:t>11.</w:t>
            </w:r>
            <w:r w:rsidR="00743FF9">
              <w:rPr>
                <w:color w:val="000000"/>
              </w:rPr>
              <w:t>8</w:t>
            </w:r>
            <w:r w:rsidRPr="00E5526C">
              <w:rPr>
                <w:color w:val="000000"/>
              </w:rPr>
              <w:t>%</w:t>
            </w:r>
          </w:p>
        </w:tc>
      </w:tr>
      <w:tr w:rsidR="00D51FF0" w:rsidRPr="008440BF" w14:paraId="1FECCB96" w14:textId="77777777" w:rsidTr="00FB028B">
        <w:trPr>
          <w:cantSplit/>
          <w:trHeight w:val="300"/>
          <w:jc w:val="center"/>
        </w:trPr>
        <w:tc>
          <w:tcPr>
            <w:tcW w:w="4315" w:type="dxa"/>
            <w:vAlign w:val="center"/>
          </w:tcPr>
          <w:p w14:paraId="48974C80" w14:textId="0C8EF289" w:rsidR="00D51FF0" w:rsidRPr="008440BF" w:rsidRDefault="00D51FF0" w:rsidP="00D51FF0">
            <w:pPr>
              <w:pStyle w:val="BodyText"/>
              <w:ind w:left="144"/>
              <w:rPr>
                <w:color w:val="000000"/>
              </w:rPr>
            </w:pPr>
            <w:r>
              <w:rPr>
                <w:color w:val="000000"/>
              </w:rPr>
              <w:t>Other</w:t>
            </w:r>
          </w:p>
        </w:tc>
        <w:tc>
          <w:tcPr>
            <w:tcW w:w="1800" w:type="dxa"/>
          </w:tcPr>
          <w:p w14:paraId="6F5EB904" w14:textId="626E48FD" w:rsidR="00D51FF0" w:rsidRPr="00E5526C" w:rsidRDefault="00F34666" w:rsidP="00D51FF0">
            <w:pPr>
              <w:pStyle w:val="BodyText"/>
              <w:rPr>
                <w:color w:val="000000"/>
              </w:rPr>
            </w:pPr>
            <w:r>
              <w:rPr>
                <w:color w:val="000000"/>
              </w:rPr>
              <w:t>0.5</w:t>
            </w:r>
            <w:r w:rsidR="00D51FF0" w:rsidRPr="00946517">
              <w:rPr>
                <w:color w:val="000000"/>
              </w:rPr>
              <w:t>%</w:t>
            </w:r>
          </w:p>
        </w:tc>
      </w:tr>
      <w:tr w:rsidR="006C55A2" w:rsidRPr="008440BF" w14:paraId="2E1A9ECA" w14:textId="77777777" w:rsidTr="00FB028B">
        <w:trPr>
          <w:cantSplit/>
          <w:trHeight w:val="300"/>
          <w:jc w:val="center"/>
        </w:trPr>
        <w:tc>
          <w:tcPr>
            <w:tcW w:w="4315" w:type="dxa"/>
          </w:tcPr>
          <w:p w14:paraId="461F2935" w14:textId="77777777" w:rsidR="006C55A2" w:rsidRPr="008440BF" w:rsidRDefault="006C55A2" w:rsidP="00FB028B">
            <w:pPr>
              <w:pStyle w:val="BodyText"/>
              <w:ind w:left="144"/>
              <w:rPr>
                <w:b/>
              </w:rPr>
            </w:pPr>
            <w:r w:rsidRPr="008440BF">
              <w:t>Total</w:t>
            </w:r>
          </w:p>
        </w:tc>
        <w:tc>
          <w:tcPr>
            <w:tcW w:w="1800" w:type="dxa"/>
          </w:tcPr>
          <w:p w14:paraId="347CAD8C" w14:textId="77777777" w:rsidR="006C55A2" w:rsidRPr="006C55A2" w:rsidRDefault="006C55A2" w:rsidP="00E2035F">
            <w:pPr>
              <w:pStyle w:val="BodyText"/>
              <w:rPr>
                <w:bCs/>
                <w:highlight w:val="yellow"/>
              </w:rPr>
            </w:pPr>
            <w:r w:rsidRPr="00743FF9">
              <w:t>100.0%</w:t>
            </w:r>
          </w:p>
        </w:tc>
      </w:tr>
    </w:tbl>
    <w:p w14:paraId="5D34B074" w14:textId="77777777" w:rsidR="005C38FE" w:rsidRPr="00E53597" w:rsidRDefault="005C38FE" w:rsidP="00892713">
      <w:pPr>
        <w:pStyle w:val="Heading1"/>
        <w:spacing w:before="0" w:line="240" w:lineRule="auto"/>
        <w:rPr>
          <w:rFonts w:asciiTheme="minorHAnsi" w:eastAsia="Calibri" w:hAnsiTheme="minorHAnsi" w:cstheme="minorHAnsi"/>
          <w:highlight w:val="yellow"/>
        </w:rPr>
      </w:pPr>
      <w:bookmarkStart w:id="30" w:name="_Toc17731309"/>
      <w:bookmarkStart w:id="31" w:name="_Toc18922398"/>
      <w:bookmarkStart w:id="32" w:name="_Toc157428827"/>
      <w:bookmarkEnd w:id="18"/>
      <w:bookmarkEnd w:id="19"/>
      <w:bookmarkEnd w:id="20"/>
      <w:bookmarkEnd w:id="21"/>
      <w:bookmarkEnd w:id="22"/>
      <w:bookmarkEnd w:id="23"/>
      <w:bookmarkEnd w:id="28"/>
      <w:bookmarkEnd w:id="29"/>
    </w:p>
    <w:p w14:paraId="71952509" w14:textId="431DC097" w:rsidR="00AC68E5" w:rsidRPr="000D5F2D" w:rsidRDefault="00AC68E5" w:rsidP="6CE004FB">
      <w:pPr>
        <w:pStyle w:val="Heading1"/>
        <w:spacing w:before="0" w:line="240" w:lineRule="auto"/>
        <w:rPr>
          <w:rFonts w:asciiTheme="minorHAnsi" w:eastAsia="Calibri" w:hAnsiTheme="minorHAnsi" w:cstheme="minorBidi"/>
        </w:rPr>
      </w:pPr>
      <w:bookmarkStart w:id="33" w:name="_Toc169264786"/>
      <w:bookmarkStart w:id="34" w:name="_Toc203037128"/>
      <w:r w:rsidRPr="000D5F2D">
        <w:rPr>
          <w:rFonts w:asciiTheme="minorHAnsi" w:eastAsia="Calibri" w:hAnsiTheme="minorHAnsi" w:cstheme="minorBidi"/>
        </w:rPr>
        <w:t>Factor 1</w:t>
      </w:r>
      <w:r w:rsidR="00B85B1D" w:rsidRPr="000D5F2D">
        <w:rPr>
          <w:rFonts w:asciiTheme="minorHAnsi" w:eastAsia="Calibri" w:hAnsiTheme="minorHAnsi" w:cstheme="minorBidi"/>
        </w:rPr>
        <w:t>a</w:t>
      </w:r>
      <w:r w:rsidRPr="000D5F2D">
        <w:rPr>
          <w:rFonts w:asciiTheme="minorHAnsi" w:eastAsia="Calibri" w:hAnsiTheme="minorHAnsi" w:cstheme="minorBidi"/>
        </w:rPr>
        <w:t>: Patient Panel Need</w:t>
      </w:r>
      <w:bookmarkEnd w:id="30"/>
      <w:bookmarkEnd w:id="31"/>
      <w:bookmarkEnd w:id="32"/>
      <w:bookmarkEnd w:id="33"/>
      <w:bookmarkEnd w:id="34"/>
    </w:p>
    <w:p w14:paraId="0E03173C" w14:textId="77777777" w:rsidR="00DE4CD3" w:rsidRPr="00E53597" w:rsidRDefault="00DE4CD3" w:rsidP="00DE4CD3">
      <w:pPr>
        <w:rPr>
          <w:rFonts w:eastAsia="Calibri"/>
          <w:highlight w:val="yellow"/>
        </w:rPr>
      </w:pPr>
    </w:p>
    <w:p w14:paraId="54F5E88C" w14:textId="260793C3" w:rsidR="006B02BE" w:rsidRPr="00E53597" w:rsidRDefault="006B02BE" w:rsidP="00E347B4">
      <w:pPr>
        <w:rPr>
          <w:rFonts w:eastAsia="Calibri"/>
          <w:highlight w:val="yellow"/>
        </w:rPr>
      </w:pPr>
      <w:bookmarkStart w:id="35" w:name="_Toc28797402"/>
      <w:bookmarkStart w:id="36" w:name="_Toc17151180"/>
      <w:bookmarkStart w:id="37" w:name="_Toc17322392"/>
      <w:bookmarkStart w:id="38" w:name="_Toc18922408"/>
      <w:bookmarkStart w:id="39" w:name="_Toc17322387"/>
      <w:bookmarkStart w:id="40" w:name="_Toc18922403"/>
      <w:bookmarkEnd w:id="15"/>
      <w:r w:rsidRPr="008020FA">
        <w:rPr>
          <w:rFonts w:eastAsia="Calibri"/>
        </w:rPr>
        <w:t>The Applicant attribute</w:t>
      </w:r>
      <w:r w:rsidR="00867E8B" w:rsidRPr="008020FA">
        <w:rPr>
          <w:rFonts w:eastAsia="Calibri"/>
        </w:rPr>
        <w:t>s</w:t>
      </w:r>
      <w:r w:rsidRPr="008020FA">
        <w:rPr>
          <w:rFonts w:eastAsia="Calibri"/>
        </w:rPr>
        <w:t xml:space="preserve"> need for the </w:t>
      </w:r>
      <w:r w:rsidR="00867E8B" w:rsidRPr="008020FA">
        <w:rPr>
          <w:rFonts w:eastAsia="Calibri"/>
        </w:rPr>
        <w:t xml:space="preserve">Proposed </w:t>
      </w:r>
      <w:r w:rsidR="00506075" w:rsidRPr="008020FA">
        <w:rPr>
          <w:rFonts w:eastAsia="Calibri"/>
        </w:rPr>
        <w:t xml:space="preserve">Transfer of </w:t>
      </w:r>
      <w:r w:rsidR="000B526E" w:rsidRPr="008020FA">
        <w:rPr>
          <w:rFonts w:eastAsia="Calibri"/>
        </w:rPr>
        <w:t>Ownership</w:t>
      </w:r>
      <w:r w:rsidR="00506075" w:rsidRPr="008020FA">
        <w:rPr>
          <w:rFonts w:eastAsia="Calibri"/>
        </w:rPr>
        <w:t xml:space="preserve"> </w:t>
      </w:r>
      <w:r w:rsidRPr="008020FA">
        <w:rPr>
          <w:rFonts w:eastAsia="Calibri"/>
        </w:rPr>
        <w:t xml:space="preserve">to </w:t>
      </w:r>
      <w:r w:rsidR="00D25A39" w:rsidRPr="008020FA">
        <w:rPr>
          <w:rFonts w:eastAsia="Calibri"/>
        </w:rPr>
        <w:t>the following:</w:t>
      </w:r>
    </w:p>
    <w:p w14:paraId="73528BFF" w14:textId="57C9C6CB" w:rsidR="00E96737" w:rsidRPr="001A45D2" w:rsidRDefault="00E96737" w:rsidP="001A45D2">
      <w:pPr>
        <w:widowControl w:val="0"/>
        <w:tabs>
          <w:tab w:val="left" w:pos="901"/>
        </w:tabs>
        <w:autoSpaceDE w:val="0"/>
        <w:autoSpaceDN w:val="0"/>
        <w:spacing w:before="74"/>
        <w:ind w:right="225"/>
        <w:rPr>
          <w:rFonts w:ascii="Calibri" w:eastAsia="Garamond" w:hAnsi="Calibri" w:cs="Calibri"/>
        </w:rPr>
      </w:pPr>
    </w:p>
    <w:p w14:paraId="48224434" w14:textId="050F07E8" w:rsidR="007D506D" w:rsidRDefault="007D506D" w:rsidP="002420B6">
      <w:pPr>
        <w:pStyle w:val="ListParagraph"/>
        <w:numPr>
          <w:ilvl w:val="0"/>
          <w:numId w:val="4"/>
        </w:numPr>
        <w:spacing w:after="240" w:line="240" w:lineRule="auto"/>
        <w:textAlignment w:val="baseline"/>
        <w:rPr>
          <w:rFonts w:ascii="Calibri" w:eastAsia="Calibri" w:hAnsi="Calibri" w:cs="Calibri"/>
          <w:spacing w:val="-1"/>
          <w:sz w:val="24"/>
          <w:szCs w:val="24"/>
        </w:rPr>
      </w:pPr>
      <w:r w:rsidRPr="007D506D">
        <w:rPr>
          <w:rFonts w:ascii="Calibri" w:eastAsia="Calibri" w:hAnsi="Calibri" w:cs="Calibri"/>
          <w:spacing w:val="-1"/>
          <w:sz w:val="24"/>
          <w:szCs w:val="24"/>
        </w:rPr>
        <w:t xml:space="preserve">Need to </w:t>
      </w:r>
      <w:r w:rsidR="00D17BBD">
        <w:rPr>
          <w:rFonts w:ascii="Calibri" w:eastAsia="Calibri" w:hAnsi="Calibri" w:cs="Calibri"/>
          <w:spacing w:val="-1"/>
          <w:sz w:val="24"/>
          <w:szCs w:val="24"/>
        </w:rPr>
        <w:t>Maintain Access</w:t>
      </w:r>
      <w:r w:rsidR="00770FE8">
        <w:rPr>
          <w:rFonts w:ascii="Calibri" w:eastAsia="Calibri" w:hAnsi="Calibri" w:cs="Calibri"/>
          <w:spacing w:val="-1"/>
          <w:sz w:val="24"/>
          <w:szCs w:val="24"/>
        </w:rPr>
        <w:t xml:space="preserve"> to LTCH Services</w:t>
      </w:r>
      <w:r w:rsidRPr="007D506D">
        <w:rPr>
          <w:rFonts w:ascii="Calibri" w:eastAsia="Calibri" w:hAnsi="Calibri" w:cs="Calibri"/>
          <w:spacing w:val="-1"/>
          <w:sz w:val="24"/>
          <w:szCs w:val="24"/>
        </w:rPr>
        <w:t xml:space="preserve"> </w:t>
      </w:r>
    </w:p>
    <w:p w14:paraId="3CD0772F" w14:textId="298EC2E4" w:rsidR="002420B6" w:rsidRPr="002420B6" w:rsidRDefault="002420B6" w:rsidP="002420B6">
      <w:pPr>
        <w:pStyle w:val="ListParagraph"/>
        <w:numPr>
          <w:ilvl w:val="0"/>
          <w:numId w:val="4"/>
        </w:numPr>
        <w:spacing w:after="240" w:line="240" w:lineRule="auto"/>
        <w:textAlignment w:val="baseline"/>
        <w:rPr>
          <w:rFonts w:ascii="Calibri" w:eastAsia="Calibri" w:hAnsi="Calibri" w:cs="Calibri"/>
          <w:spacing w:val="-1"/>
          <w:sz w:val="24"/>
          <w:szCs w:val="24"/>
        </w:rPr>
      </w:pPr>
      <w:r w:rsidRPr="006B2DE8">
        <w:rPr>
          <w:rFonts w:ascii="Calibri" w:eastAsia="Calibri" w:hAnsi="Calibri" w:cs="Calibri"/>
          <w:spacing w:val="-1"/>
          <w:sz w:val="24"/>
          <w:szCs w:val="24"/>
        </w:rPr>
        <w:t xml:space="preserve">Need to </w:t>
      </w:r>
      <w:r w:rsidR="00E84770">
        <w:rPr>
          <w:rFonts w:ascii="Calibri" w:eastAsia="Calibri" w:hAnsi="Calibri" w:cs="Calibri"/>
          <w:spacing w:val="-1"/>
          <w:sz w:val="24"/>
          <w:szCs w:val="24"/>
        </w:rPr>
        <w:t>Increase</w:t>
      </w:r>
      <w:r w:rsidRPr="006B2DE8">
        <w:rPr>
          <w:rFonts w:ascii="Calibri" w:eastAsia="Calibri" w:hAnsi="Calibri" w:cs="Calibri"/>
          <w:spacing w:val="-1"/>
          <w:sz w:val="24"/>
          <w:szCs w:val="24"/>
        </w:rPr>
        <w:t xml:space="preserve"> Access to </w:t>
      </w:r>
      <w:r w:rsidR="00077806">
        <w:rPr>
          <w:rFonts w:ascii="Calibri" w:eastAsia="Calibri" w:hAnsi="Calibri" w:cs="Calibri"/>
          <w:spacing w:val="-1"/>
          <w:sz w:val="24"/>
          <w:szCs w:val="24"/>
        </w:rPr>
        <w:t>L</w:t>
      </w:r>
      <w:r w:rsidR="00901B6B">
        <w:rPr>
          <w:rFonts w:ascii="Calibri" w:eastAsia="Calibri" w:hAnsi="Calibri" w:cs="Calibri"/>
          <w:spacing w:val="-1"/>
          <w:sz w:val="24"/>
          <w:szCs w:val="24"/>
        </w:rPr>
        <w:t>TCH</w:t>
      </w:r>
      <w:r w:rsidR="00387B2B">
        <w:rPr>
          <w:rFonts w:ascii="Calibri" w:eastAsia="Calibri" w:hAnsi="Calibri" w:cs="Calibri"/>
          <w:spacing w:val="-1"/>
          <w:sz w:val="24"/>
          <w:szCs w:val="24"/>
        </w:rPr>
        <w:t xml:space="preserve"> Services </w:t>
      </w:r>
      <w:r w:rsidRPr="006B2DE8">
        <w:rPr>
          <w:rFonts w:ascii="Calibri" w:eastAsia="Calibri" w:hAnsi="Calibri" w:cs="Calibri"/>
          <w:spacing w:val="-1"/>
          <w:sz w:val="24"/>
          <w:szCs w:val="24"/>
        </w:rPr>
        <w:t>for the Patient Panel</w:t>
      </w:r>
    </w:p>
    <w:p w14:paraId="6AA554D2" w14:textId="53AFD3FD" w:rsidR="007E6798" w:rsidRPr="007E6798" w:rsidRDefault="007E6798" w:rsidP="007E6798">
      <w:pPr>
        <w:pStyle w:val="ListParagraph"/>
        <w:numPr>
          <w:ilvl w:val="0"/>
          <w:numId w:val="4"/>
        </w:numPr>
        <w:spacing w:after="240" w:line="240" w:lineRule="auto"/>
        <w:textAlignment w:val="baseline"/>
        <w:rPr>
          <w:rFonts w:ascii="Calibri" w:eastAsia="Calibri" w:hAnsi="Calibri" w:cs="Calibri"/>
          <w:spacing w:val="-1"/>
          <w:sz w:val="24"/>
          <w:szCs w:val="24"/>
        </w:rPr>
      </w:pPr>
      <w:r w:rsidRPr="002B0DC0">
        <w:rPr>
          <w:rFonts w:ascii="Calibri" w:eastAsia="Calibri" w:hAnsi="Calibri" w:cs="Calibri"/>
          <w:spacing w:val="-1"/>
          <w:sz w:val="24"/>
          <w:szCs w:val="24"/>
        </w:rPr>
        <w:t xml:space="preserve">Need to Assist </w:t>
      </w:r>
      <w:r w:rsidR="00221CBD">
        <w:rPr>
          <w:rFonts w:ascii="Calibri" w:eastAsia="Calibri" w:hAnsi="Calibri" w:cs="Calibri"/>
          <w:spacing w:val="-1"/>
          <w:sz w:val="24"/>
          <w:szCs w:val="24"/>
        </w:rPr>
        <w:t>w</w:t>
      </w:r>
      <w:r w:rsidRPr="002B0DC0">
        <w:rPr>
          <w:rFonts w:ascii="Calibri" w:eastAsia="Calibri" w:hAnsi="Calibri" w:cs="Calibri"/>
          <w:spacing w:val="-1"/>
          <w:sz w:val="24"/>
          <w:szCs w:val="24"/>
        </w:rPr>
        <w:t>ith Throughput Issues</w:t>
      </w:r>
      <w:r w:rsidR="00E016A9">
        <w:rPr>
          <w:rFonts w:ascii="Calibri" w:eastAsia="Calibri" w:hAnsi="Calibri" w:cs="Calibri"/>
          <w:spacing w:val="-1"/>
          <w:sz w:val="24"/>
          <w:szCs w:val="24"/>
        </w:rPr>
        <w:t xml:space="preserve"> in Acute Care Hospitals</w:t>
      </w:r>
    </w:p>
    <w:p w14:paraId="71C572B4" w14:textId="77777777" w:rsidR="00142C69" w:rsidRDefault="00142C69" w:rsidP="002420B6">
      <w:pPr>
        <w:textAlignment w:val="baseline"/>
        <w:rPr>
          <w:rFonts w:ascii="Calibri" w:eastAsia="Calibri" w:hAnsi="Calibri" w:cs="Calibri"/>
          <w:b/>
          <w:bCs/>
          <w:spacing w:val="-1"/>
          <w:highlight w:val="yellow"/>
        </w:rPr>
      </w:pPr>
    </w:p>
    <w:p w14:paraId="6F84FDDA" w14:textId="7D2F5C15" w:rsidR="007D506D" w:rsidRPr="007D506D" w:rsidRDefault="007D506D" w:rsidP="009902D1">
      <w:pPr>
        <w:pStyle w:val="ListParagraph"/>
        <w:numPr>
          <w:ilvl w:val="0"/>
          <w:numId w:val="28"/>
        </w:numPr>
        <w:spacing w:after="0" w:line="240" w:lineRule="auto"/>
        <w:textAlignment w:val="baseline"/>
        <w:rPr>
          <w:rFonts w:ascii="Calibri" w:eastAsia="Calibri" w:hAnsi="Calibri" w:cs="Calibri"/>
          <w:b/>
          <w:bCs/>
          <w:spacing w:val="-1"/>
          <w:sz w:val="24"/>
          <w:szCs w:val="24"/>
        </w:rPr>
      </w:pPr>
      <w:r w:rsidRPr="007D506D">
        <w:rPr>
          <w:rFonts w:ascii="Calibri" w:eastAsia="Calibri" w:hAnsi="Calibri" w:cs="Calibri"/>
          <w:b/>
          <w:bCs/>
          <w:spacing w:val="-1"/>
          <w:sz w:val="24"/>
          <w:szCs w:val="24"/>
        </w:rPr>
        <w:t xml:space="preserve">Need to </w:t>
      </w:r>
      <w:r w:rsidR="00770FE8">
        <w:rPr>
          <w:rFonts w:ascii="Calibri" w:eastAsia="Calibri" w:hAnsi="Calibri" w:cs="Calibri"/>
          <w:b/>
          <w:bCs/>
          <w:spacing w:val="-1"/>
          <w:sz w:val="24"/>
          <w:szCs w:val="24"/>
        </w:rPr>
        <w:t>Maintain Access to LTCH Services</w:t>
      </w:r>
      <w:r w:rsidRPr="007D506D">
        <w:rPr>
          <w:rFonts w:ascii="Calibri" w:eastAsia="Calibri" w:hAnsi="Calibri" w:cs="Calibri"/>
          <w:b/>
          <w:bCs/>
          <w:spacing w:val="-1"/>
          <w:sz w:val="24"/>
          <w:szCs w:val="24"/>
        </w:rPr>
        <w:t xml:space="preserve"> </w:t>
      </w:r>
    </w:p>
    <w:p w14:paraId="302F9567" w14:textId="58A5B336" w:rsidR="007D506D" w:rsidRDefault="007D506D" w:rsidP="00D454ED">
      <w:r w:rsidRPr="007D506D">
        <w:rPr>
          <w:rFonts w:cs="Times New Roman"/>
        </w:rPr>
        <w:t xml:space="preserve">The Applicant asserts that the Hospital </w:t>
      </w:r>
      <w:r w:rsidR="006659D7">
        <w:rPr>
          <w:rFonts w:cs="Times New Roman"/>
        </w:rPr>
        <w:t>provides</w:t>
      </w:r>
      <w:r w:rsidR="00EE2F2D">
        <w:rPr>
          <w:rFonts w:cs="Times New Roman"/>
        </w:rPr>
        <w:t xml:space="preserve"> needed</w:t>
      </w:r>
      <w:r w:rsidRPr="007D506D">
        <w:rPr>
          <w:rFonts w:cs="Times New Roman"/>
        </w:rPr>
        <w:t xml:space="preserve"> access to long-term hospital services.</w:t>
      </w:r>
      <w:r w:rsidR="004A586C">
        <w:rPr>
          <w:rFonts w:cs="Times New Roman"/>
        </w:rPr>
        <w:t xml:space="preserve"> Although the Applicant did not assert there were current concerns about the viability of the Hospital,</w:t>
      </w:r>
      <w:r>
        <w:t xml:space="preserve"> </w:t>
      </w:r>
      <w:r w:rsidRPr="009815CE">
        <w:t xml:space="preserve">the SNF </w:t>
      </w:r>
      <w:r>
        <w:t xml:space="preserve">owned by Vibra </w:t>
      </w:r>
      <w:r w:rsidRPr="009815CE">
        <w:t xml:space="preserve">on the same campus likely would have been at risk for closure if </w:t>
      </w:r>
      <w:r>
        <w:t xml:space="preserve">Vibra </w:t>
      </w:r>
      <w:r w:rsidRPr="009815CE">
        <w:t>had been unable to find a buyer</w:t>
      </w:r>
      <w:r>
        <w:t xml:space="preserve">. </w:t>
      </w:r>
      <w:r w:rsidR="009136BD">
        <w:t xml:space="preserve">The Applicant </w:t>
      </w:r>
      <w:r w:rsidR="003E1D9E">
        <w:t xml:space="preserve">requested to package the </w:t>
      </w:r>
      <w:r w:rsidR="00842A61">
        <w:t>LTCH and SNF into one sale in the interest of</w:t>
      </w:r>
      <w:r w:rsidR="003E1D9E">
        <w:t xml:space="preserve"> preserv</w:t>
      </w:r>
      <w:r w:rsidR="00842A61">
        <w:t>ing</w:t>
      </w:r>
      <w:r w:rsidR="003E1D9E">
        <w:t xml:space="preserve"> continuity of care </w:t>
      </w:r>
      <w:r w:rsidR="00842A61">
        <w:t>between the two facilities.</w:t>
      </w:r>
      <w:r w:rsidR="003E1D9E" w:rsidRPr="009815CE">
        <w:t xml:space="preserve"> </w:t>
      </w:r>
      <w:r w:rsidRPr="009815CE">
        <w:t xml:space="preserve">As a result of the </w:t>
      </w:r>
      <w:r>
        <w:t>Proposed Project</w:t>
      </w:r>
      <w:r w:rsidRPr="009815CE">
        <w:t>, a party</w:t>
      </w:r>
      <w:r w:rsidR="00770FE8">
        <w:rPr>
          <w:rStyle w:val="FootnoteReference"/>
        </w:rPr>
        <w:footnoteReference w:id="7"/>
      </w:r>
      <w:r w:rsidRPr="009815CE">
        <w:t xml:space="preserve"> </w:t>
      </w:r>
      <w:r w:rsidR="476DB23F" w:rsidRPr="009815CE">
        <w:t>related</w:t>
      </w:r>
      <w:r w:rsidRPr="009815CE">
        <w:t xml:space="preserve"> to the Applicant will own the real property which houses the Hospital and SNF. This will remove the current real estate owner and bring both the Hospital and the real estate under the control of the principals of Everest. By removing the sale-leaseback structure in favor of an operator owned real estate structure, </w:t>
      </w:r>
      <w:r w:rsidR="00024F53">
        <w:t xml:space="preserve">the </w:t>
      </w:r>
      <w:r w:rsidRPr="009815CE">
        <w:t xml:space="preserve">Applicant aims to remove the financial uncertainty that is often associated with </w:t>
      </w:r>
      <w:r w:rsidRPr="00967E5A">
        <w:t>Real Estate Investment Trust</w:t>
      </w:r>
      <w:r>
        <w:t>s (</w:t>
      </w:r>
      <w:r w:rsidRPr="009815CE">
        <w:t>REIT</w:t>
      </w:r>
      <w:r w:rsidR="00024F53">
        <w:t>s</w:t>
      </w:r>
      <w:r>
        <w:t>)</w:t>
      </w:r>
      <w:r w:rsidRPr="009815CE">
        <w:t xml:space="preserve"> and bring</w:t>
      </w:r>
      <w:r w:rsidR="00B64509">
        <w:t xml:space="preserve"> long-term</w:t>
      </w:r>
      <w:r w:rsidRPr="009815CE">
        <w:t xml:space="preserve"> financial stability to the Hospital. </w:t>
      </w:r>
      <w:r>
        <w:t>The</w:t>
      </w:r>
      <w:r w:rsidRPr="009815CE">
        <w:t xml:space="preserve"> Applicant anticipates that this financial stability will enable </w:t>
      </w:r>
      <w:r w:rsidR="00D74FE8">
        <w:t xml:space="preserve">the </w:t>
      </w:r>
      <w:r w:rsidRPr="009815CE">
        <w:t>Applicant to pursue opportunities to improve patient access and delivery of care</w:t>
      </w:r>
      <w:r w:rsidR="00B42034">
        <w:t>, as described in detail in Factor 1b</w:t>
      </w:r>
      <w:r w:rsidRPr="009815CE">
        <w:t>.</w:t>
      </w:r>
      <w:r w:rsidR="00975778">
        <w:t xml:space="preserve"> </w:t>
      </w:r>
      <w:r w:rsidR="00C8378D">
        <w:lastRenderedPageBreak/>
        <w:t xml:space="preserve">Additional details on the </w:t>
      </w:r>
      <w:r w:rsidR="009D7F89">
        <w:t>Applicant</w:t>
      </w:r>
      <w:r w:rsidR="00C8378D">
        <w:t>’s</w:t>
      </w:r>
      <w:r w:rsidR="009D7F89">
        <w:t xml:space="preserve"> plan to improve the financial viability of the </w:t>
      </w:r>
      <w:r w:rsidR="00975BF3">
        <w:t>Hospital</w:t>
      </w:r>
      <w:r w:rsidR="00C8378D">
        <w:t xml:space="preserve"> are detail</w:t>
      </w:r>
      <w:r w:rsidR="004C56B0">
        <w:t>ed</w:t>
      </w:r>
      <w:r w:rsidR="00C8378D">
        <w:t xml:space="preserve"> in Factor 1f and include</w:t>
      </w:r>
      <w:r w:rsidR="00B946D8">
        <w:t xml:space="preserve"> </w:t>
      </w:r>
      <w:r w:rsidR="00975BF3">
        <w:t>operational efficiencies</w:t>
      </w:r>
      <w:r w:rsidR="00FB19DE">
        <w:t xml:space="preserve"> created by </w:t>
      </w:r>
      <w:r w:rsidR="005D2B01" w:rsidRPr="59D5926F">
        <w:rPr>
          <w:rFonts w:cs="Times New Roman"/>
        </w:rPr>
        <w:t xml:space="preserve">the Hospital’s shared campus with the Meadows (the </w:t>
      </w:r>
      <w:r w:rsidR="0041446B" w:rsidRPr="59D5926F">
        <w:rPr>
          <w:rFonts w:cs="Times New Roman"/>
        </w:rPr>
        <w:t>on-site SNF)</w:t>
      </w:r>
      <w:r w:rsidR="007E291A">
        <w:t>, expan</w:t>
      </w:r>
      <w:r w:rsidR="00B946D8">
        <w:t>sion of</w:t>
      </w:r>
      <w:r w:rsidR="007E291A">
        <w:t xml:space="preserve"> underutilized services, and discontinu</w:t>
      </w:r>
      <w:r w:rsidR="00B946D8">
        <w:t>ation of</w:t>
      </w:r>
      <w:r w:rsidR="007E291A">
        <w:t xml:space="preserve"> </w:t>
      </w:r>
      <w:r w:rsidR="00B946D8">
        <w:t>the Hospital’s travel staffing</w:t>
      </w:r>
      <w:r w:rsidR="007E291A">
        <w:t xml:space="preserve"> </w:t>
      </w:r>
      <w:r w:rsidR="00B946D8">
        <w:t>agency</w:t>
      </w:r>
      <w:r w:rsidR="00C8378D">
        <w:t>.</w:t>
      </w:r>
    </w:p>
    <w:p w14:paraId="09EA30F2" w14:textId="77777777" w:rsidR="001A7E8E" w:rsidRDefault="001A7E8E" w:rsidP="00D454ED">
      <w:pPr>
        <w:rPr>
          <w:sz w:val="12"/>
          <w:szCs w:val="12"/>
        </w:rPr>
      </w:pPr>
    </w:p>
    <w:p w14:paraId="040B8E15" w14:textId="77777777" w:rsidR="00642135" w:rsidRPr="00D454ED" w:rsidRDefault="00642135" w:rsidP="00D454ED">
      <w:pPr>
        <w:rPr>
          <w:sz w:val="12"/>
          <w:szCs w:val="12"/>
        </w:rPr>
      </w:pPr>
    </w:p>
    <w:p w14:paraId="72CA2B89" w14:textId="4EBCCAAA" w:rsidR="002420B6" w:rsidRPr="00077806" w:rsidRDefault="002420B6" w:rsidP="00C81CB5">
      <w:pPr>
        <w:pStyle w:val="ListParagraph"/>
        <w:numPr>
          <w:ilvl w:val="0"/>
          <w:numId w:val="28"/>
        </w:numPr>
        <w:autoSpaceDE w:val="0"/>
        <w:autoSpaceDN w:val="0"/>
        <w:adjustRightInd w:val="0"/>
        <w:spacing w:after="0"/>
        <w:rPr>
          <w:rFonts w:cs="Times New Roman"/>
          <w:b/>
          <w:bCs/>
          <w:sz w:val="24"/>
          <w:szCs w:val="24"/>
        </w:rPr>
      </w:pPr>
      <w:r w:rsidRPr="00077806">
        <w:rPr>
          <w:rFonts w:ascii="Calibri" w:eastAsia="Calibri" w:hAnsi="Calibri" w:cs="Calibri"/>
          <w:b/>
          <w:bCs/>
          <w:spacing w:val="-1"/>
          <w:sz w:val="24"/>
          <w:szCs w:val="24"/>
        </w:rPr>
        <w:t>Need to</w:t>
      </w:r>
      <w:r w:rsidR="00E84770">
        <w:rPr>
          <w:rFonts w:ascii="Calibri" w:eastAsia="Calibri" w:hAnsi="Calibri" w:cs="Calibri"/>
          <w:b/>
          <w:bCs/>
          <w:spacing w:val="-1"/>
          <w:sz w:val="24"/>
          <w:szCs w:val="24"/>
        </w:rPr>
        <w:t xml:space="preserve"> Increase</w:t>
      </w:r>
      <w:r w:rsidRPr="00077806">
        <w:rPr>
          <w:rFonts w:ascii="Calibri" w:eastAsia="Calibri" w:hAnsi="Calibri" w:cs="Calibri"/>
          <w:b/>
          <w:bCs/>
          <w:spacing w:val="-1"/>
          <w:sz w:val="24"/>
          <w:szCs w:val="24"/>
        </w:rPr>
        <w:t xml:space="preserve"> Access to </w:t>
      </w:r>
      <w:r w:rsidR="00387B2B">
        <w:rPr>
          <w:rFonts w:ascii="Calibri" w:eastAsia="Calibri" w:hAnsi="Calibri" w:cs="Calibri"/>
          <w:b/>
          <w:bCs/>
          <w:spacing w:val="-1"/>
          <w:sz w:val="24"/>
          <w:szCs w:val="24"/>
        </w:rPr>
        <w:t>LTCH</w:t>
      </w:r>
      <w:r w:rsidRPr="00077806">
        <w:rPr>
          <w:rFonts w:ascii="Calibri" w:eastAsia="Calibri" w:hAnsi="Calibri" w:cs="Calibri"/>
          <w:b/>
          <w:bCs/>
          <w:spacing w:val="-1"/>
          <w:sz w:val="24"/>
          <w:szCs w:val="24"/>
        </w:rPr>
        <w:t xml:space="preserve"> </w:t>
      </w:r>
      <w:r w:rsidR="00387B2B">
        <w:rPr>
          <w:rFonts w:ascii="Calibri" w:eastAsia="Calibri" w:hAnsi="Calibri" w:cs="Calibri"/>
          <w:b/>
          <w:bCs/>
          <w:spacing w:val="-1"/>
          <w:sz w:val="24"/>
          <w:szCs w:val="24"/>
        </w:rPr>
        <w:t xml:space="preserve">Services </w:t>
      </w:r>
      <w:r w:rsidRPr="00077806">
        <w:rPr>
          <w:rFonts w:ascii="Calibri" w:eastAsia="Calibri" w:hAnsi="Calibri" w:cs="Calibri"/>
          <w:b/>
          <w:bCs/>
          <w:spacing w:val="-1"/>
          <w:sz w:val="24"/>
          <w:szCs w:val="24"/>
        </w:rPr>
        <w:t>for the Patient Panel</w:t>
      </w:r>
      <w:bookmarkStart w:id="41" w:name="_Hlk191364837"/>
    </w:p>
    <w:p w14:paraId="5727755C" w14:textId="67D90664" w:rsidR="001815E0" w:rsidRDefault="00E602EE" w:rsidP="002420B6">
      <w:pPr>
        <w:textAlignment w:val="baseline"/>
        <w:rPr>
          <w:rFonts w:cs="Times New Roman"/>
        </w:rPr>
      </w:pPr>
      <w:r>
        <w:rPr>
          <w:rFonts w:cs="Times New Roman"/>
        </w:rPr>
        <w:t xml:space="preserve">The Hospital </w:t>
      </w:r>
      <w:r w:rsidR="002D68AD">
        <w:rPr>
          <w:rFonts w:cs="Times New Roman"/>
        </w:rPr>
        <w:t>is currently</w:t>
      </w:r>
      <w:r>
        <w:rPr>
          <w:rFonts w:cs="Times New Roman"/>
        </w:rPr>
        <w:t xml:space="preserve"> operating at </w:t>
      </w:r>
      <w:r w:rsidR="00BF53F1">
        <w:rPr>
          <w:rFonts w:cs="Times New Roman"/>
        </w:rPr>
        <w:t>50% capacity</w:t>
      </w:r>
      <w:r w:rsidR="0016356D">
        <w:rPr>
          <w:rFonts w:cs="Times New Roman"/>
        </w:rPr>
        <w:t xml:space="preserve"> </w:t>
      </w:r>
      <w:r w:rsidR="003A1D6D">
        <w:rPr>
          <w:rFonts w:cs="Times New Roman"/>
        </w:rPr>
        <w:t xml:space="preserve">due to </w:t>
      </w:r>
      <w:r w:rsidR="000E6C06">
        <w:rPr>
          <w:rFonts w:cs="Times New Roman"/>
        </w:rPr>
        <w:t>workforce shortages</w:t>
      </w:r>
      <w:r w:rsidR="00D307D0">
        <w:rPr>
          <w:rFonts w:cs="Times New Roman"/>
        </w:rPr>
        <w:t xml:space="preserve">. </w:t>
      </w:r>
      <w:r w:rsidR="002C4F00">
        <w:rPr>
          <w:rFonts w:cs="Times New Roman"/>
        </w:rPr>
        <w:t>In addition</w:t>
      </w:r>
      <w:r w:rsidR="0010189A">
        <w:rPr>
          <w:rFonts w:cs="Times New Roman"/>
        </w:rPr>
        <w:t xml:space="preserve"> to the Hospital’s lower capacity, t</w:t>
      </w:r>
      <w:r w:rsidR="002420B6">
        <w:rPr>
          <w:rFonts w:cs="Times New Roman"/>
        </w:rPr>
        <w:t>he closure of Vibra Hospital of Western Massachusetts in Springfield in 2023, along with the closure of a number of regional skilled nursing facilities in recent years</w:t>
      </w:r>
      <w:r w:rsidR="002420B6">
        <w:rPr>
          <w:rStyle w:val="FootnoteReference"/>
          <w:rFonts w:cs="Times New Roman"/>
        </w:rPr>
        <w:footnoteReference w:id="8"/>
      </w:r>
      <w:r w:rsidR="002420B6">
        <w:rPr>
          <w:rFonts w:cs="Times New Roman"/>
        </w:rPr>
        <w:t xml:space="preserve"> </w:t>
      </w:r>
      <w:r w:rsidR="0010189A">
        <w:rPr>
          <w:rFonts w:cs="Times New Roman"/>
        </w:rPr>
        <w:t xml:space="preserve">has </w:t>
      </w:r>
      <w:r w:rsidR="002420B6">
        <w:rPr>
          <w:rFonts w:cs="Times New Roman"/>
        </w:rPr>
        <w:t xml:space="preserve">widened already existing gaps in patients’ access to post-acute services. </w:t>
      </w:r>
      <w:bookmarkEnd w:id="41"/>
      <w:r w:rsidR="00CC18F2">
        <w:rPr>
          <w:rFonts w:cs="Times New Roman"/>
        </w:rPr>
        <w:t xml:space="preserve">Given the high acuity of patients appropriate for the LTCH as well as the specialized nature of the </w:t>
      </w:r>
      <w:r w:rsidR="00F52E33">
        <w:rPr>
          <w:rFonts w:cs="Times New Roman"/>
        </w:rPr>
        <w:t xml:space="preserve">care provided, the recent reduction in access </w:t>
      </w:r>
      <w:r w:rsidR="002F6A64">
        <w:rPr>
          <w:rFonts w:cs="Times New Roman"/>
        </w:rPr>
        <w:t xml:space="preserve">means that patients are waiting longer </w:t>
      </w:r>
      <w:r w:rsidR="00BE55EA">
        <w:rPr>
          <w:rFonts w:cs="Times New Roman"/>
        </w:rPr>
        <w:t xml:space="preserve">in settings not designed for their needs to be able to access the appropriate level of care. </w:t>
      </w:r>
      <w:r w:rsidR="00274169" w:rsidRPr="00510C64">
        <w:rPr>
          <w:rFonts w:cs="Times New Roman"/>
        </w:rPr>
        <w:t xml:space="preserve">LTCHs </w:t>
      </w:r>
      <w:r w:rsidR="00274169">
        <w:rPr>
          <w:rFonts w:cs="Times New Roman"/>
        </w:rPr>
        <w:t>treat</w:t>
      </w:r>
      <w:r w:rsidR="000F643E">
        <w:rPr>
          <w:rFonts w:cs="Times New Roman"/>
        </w:rPr>
        <w:t xml:space="preserve"> high acuity </w:t>
      </w:r>
      <w:r w:rsidR="00274169">
        <w:rPr>
          <w:rFonts w:cs="Times New Roman"/>
        </w:rPr>
        <w:t xml:space="preserve">patients who </w:t>
      </w:r>
      <w:r w:rsidR="000F643E">
        <w:rPr>
          <w:rFonts w:cs="Times New Roman"/>
        </w:rPr>
        <w:t>require</w:t>
      </w:r>
      <w:r w:rsidR="00274169">
        <w:rPr>
          <w:rFonts w:cs="Times New Roman"/>
        </w:rPr>
        <w:t xml:space="preserve"> extended hospital stay</w:t>
      </w:r>
      <w:r w:rsidR="00642135">
        <w:rPr>
          <w:rStyle w:val="EndnoteReference"/>
          <w:rFonts w:cs="Times New Roman"/>
        </w:rPr>
        <w:endnoteReference w:id="3"/>
      </w:r>
      <w:r w:rsidR="00642135">
        <w:rPr>
          <w:rFonts w:cs="Times New Roman"/>
        </w:rPr>
        <w:t>.  LTCHs serve a high</w:t>
      </w:r>
      <w:r w:rsidR="003A1D6D">
        <w:rPr>
          <w:rFonts w:cs="Times New Roman"/>
        </w:rPr>
        <w:t xml:space="preserve"> </w:t>
      </w:r>
      <w:r w:rsidR="00642135">
        <w:rPr>
          <w:rFonts w:cs="Times New Roman"/>
        </w:rPr>
        <w:t>acuity patient mix that requires specialized clinical teams and programs for respiratory, infectious disease and other comorbidities.</w:t>
      </w:r>
      <w:r w:rsidR="00642135">
        <w:rPr>
          <w:rStyle w:val="EndnoteReference"/>
          <w:rFonts w:cs="Times New Roman"/>
        </w:rPr>
        <w:endnoteReference w:id="4"/>
      </w:r>
      <w:r w:rsidR="00642135">
        <w:rPr>
          <w:rFonts w:cs="Times New Roman"/>
        </w:rPr>
        <w:t xml:space="preserve"> </w:t>
      </w:r>
      <w:r w:rsidR="00274169">
        <w:rPr>
          <w:rFonts w:cs="Times New Roman"/>
        </w:rPr>
        <w:t xml:space="preserve"> </w:t>
      </w:r>
      <w:r w:rsidR="00E40767">
        <w:rPr>
          <w:rFonts w:cs="Times New Roman"/>
        </w:rPr>
        <w:t xml:space="preserve">Table 3 illustrates the </w:t>
      </w:r>
      <w:r w:rsidR="00060238">
        <w:rPr>
          <w:rFonts w:cs="Times New Roman"/>
        </w:rPr>
        <w:t>top d</w:t>
      </w:r>
      <w:r w:rsidR="00835113">
        <w:rPr>
          <w:rFonts w:cs="Times New Roman"/>
        </w:rPr>
        <w:t>iagnoses treated by the Hospital</w:t>
      </w:r>
      <w:r w:rsidR="00B51D91">
        <w:rPr>
          <w:rFonts w:cs="Times New Roman"/>
        </w:rPr>
        <w:t xml:space="preserve"> in the past 5 years</w:t>
      </w:r>
      <w:r w:rsidR="006E64F6">
        <w:rPr>
          <w:rFonts w:cs="Times New Roman"/>
        </w:rPr>
        <w:t>.</w:t>
      </w:r>
    </w:p>
    <w:p w14:paraId="18F494A7" w14:textId="77777777" w:rsidR="00B51D91" w:rsidRDefault="00B51D91" w:rsidP="002420B6">
      <w:pPr>
        <w:textAlignment w:val="baseline"/>
        <w:rPr>
          <w:rFonts w:cs="Times New Roman"/>
        </w:rPr>
      </w:pPr>
    </w:p>
    <w:p w14:paraId="291CB0A7" w14:textId="5815BF09" w:rsidR="00B51D91" w:rsidRPr="006E64F6" w:rsidRDefault="00B51D91" w:rsidP="002A2303">
      <w:pPr>
        <w:jc w:val="center"/>
        <w:rPr>
          <w:rFonts w:cs="Times New Roman"/>
          <w:b/>
          <w:bCs/>
          <w:color w:val="234170" w:themeColor="text2" w:themeShade="BF"/>
        </w:rPr>
      </w:pPr>
      <w:r w:rsidRPr="006E64F6">
        <w:rPr>
          <w:rFonts w:cs="Times New Roman"/>
          <w:b/>
          <w:bCs/>
          <w:color w:val="234170" w:themeColor="text2" w:themeShade="BF"/>
          <w:u w:val="single"/>
        </w:rPr>
        <w:t>Table 3:</w:t>
      </w:r>
      <w:r w:rsidRPr="006E64F6">
        <w:rPr>
          <w:rFonts w:cs="Times New Roman"/>
          <w:b/>
          <w:bCs/>
          <w:color w:val="234170" w:themeColor="text2" w:themeShade="BF"/>
        </w:rPr>
        <w:t xml:space="preserve"> </w:t>
      </w:r>
      <w:r w:rsidR="002A2303" w:rsidRPr="006E64F6">
        <w:rPr>
          <w:rFonts w:cs="Times New Roman"/>
          <w:b/>
          <w:bCs/>
          <w:color w:val="234170" w:themeColor="text2" w:themeShade="BF"/>
        </w:rPr>
        <w:t>Top Annual Admit Diagnosis</w:t>
      </w:r>
      <w:r w:rsidR="006E7CCA" w:rsidRPr="006E64F6">
        <w:rPr>
          <w:rFonts w:cs="Times New Roman"/>
          <w:b/>
          <w:bCs/>
          <w:color w:val="234170" w:themeColor="text2" w:themeShade="BF"/>
        </w:rPr>
        <w:t xml:space="preserve"> </w:t>
      </w:r>
      <w:r w:rsidR="002A2303" w:rsidRPr="006E64F6">
        <w:rPr>
          <w:rFonts w:cs="Times New Roman"/>
          <w:b/>
          <w:bCs/>
          <w:color w:val="234170" w:themeColor="text2" w:themeShade="BF"/>
        </w:rPr>
        <w:t xml:space="preserve">by </w:t>
      </w:r>
      <w:r w:rsidR="006E7CCA" w:rsidRPr="006E64F6">
        <w:rPr>
          <w:rFonts w:cs="Times New Roman"/>
          <w:b/>
          <w:bCs/>
          <w:color w:val="234170" w:themeColor="text2" w:themeShade="BF"/>
        </w:rPr>
        <w:t>Diagnosis Related Group (DRG)</w:t>
      </w:r>
    </w:p>
    <w:tbl>
      <w:tblPr>
        <w:tblStyle w:val="TableGrid"/>
        <w:tblW w:w="0" w:type="auto"/>
        <w:jc w:val="center"/>
        <w:tblLook w:val="04A0" w:firstRow="1" w:lastRow="0" w:firstColumn="1" w:lastColumn="0" w:noHBand="0" w:noVBand="1"/>
      </w:tblPr>
      <w:tblGrid>
        <w:gridCol w:w="781"/>
        <w:gridCol w:w="81"/>
        <w:gridCol w:w="3728"/>
        <w:gridCol w:w="990"/>
        <w:gridCol w:w="920"/>
        <w:gridCol w:w="703"/>
      </w:tblGrid>
      <w:tr w:rsidR="00232460" w:rsidRPr="009C0A41" w14:paraId="48D49909" w14:textId="77777777" w:rsidTr="001435F8">
        <w:trPr>
          <w:cantSplit/>
          <w:trHeight w:val="300"/>
          <w:tblHeader/>
          <w:jc w:val="center"/>
        </w:trPr>
        <w:tc>
          <w:tcPr>
            <w:tcW w:w="862" w:type="dxa"/>
            <w:gridSpan w:val="2"/>
            <w:shd w:val="clear" w:color="auto" w:fill="CFDCF0" w:themeFill="text2" w:themeFillTint="33"/>
            <w:noWrap/>
            <w:hideMark/>
          </w:tcPr>
          <w:p w14:paraId="5E7A1AF6" w14:textId="77777777" w:rsidR="00232460" w:rsidRPr="009C0A41" w:rsidRDefault="00232460" w:rsidP="00FB028B">
            <w:pPr>
              <w:jc w:val="center"/>
              <w:rPr>
                <w:rFonts w:cs="Times New Roman"/>
                <w:b/>
              </w:rPr>
            </w:pPr>
            <w:r w:rsidRPr="009C0A41">
              <w:rPr>
                <w:rFonts w:cs="Times New Roman"/>
                <w:b/>
              </w:rPr>
              <w:t>DRG</w:t>
            </w:r>
          </w:p>
        </w:tc>
        <w:tc>
          <w:tcPr>
            <w:tcW w:w="3728" w:type="dxa"/>
            <w:shd w:val="clear" w:color="auto" w:fill="CFDCF0" w:themeFill="text2" w:themeFillTint="33"/>
            <w:noWrap/>
            <w:hideMark/>
          </w:tcPr>
          <w:p w14:paraId="0D69459C" w14:textId="77777777" w:rsidR="00232460" w:rsidRPr="009C0A41" w:rsidRDefault="00232460" w:rsidP="00FB028B">
            <w:pPr>
              <w:jc w:val="center"/>
              <w:rPr>
                <w:rFonts w:cs="Times New Roman"/>
                <w:b/>
              </w:rPr>
            </w:pPr>
            <w:r w:rsidRPr="009C0A41">
              <w:rPr>
                <w:rFonts w:cs="Times New Roman"/>
                <w:b/>
              </w:rPr>
              <w:t>Description</w:t>
            </w:r>
          </w:p>
        </w:tc>
        <w:tc>
          <w:tcPr>
            <w:tcW w:w="990" w:type="dxa"/>
            <w:shd w:val="clear" w:color="auto" w:fill="CFDCF0" w:themeFill="text2" w:themeFillTint="33"/>
            <w:noWrap/>
            <w:vAlign w:val="center"/>
            <w:hideMark/>
          </w:tcPr>
          <w:p w14:paraId="16162E7D" w14:textId="77777777" w:rsidR="00232460" w:rsidRPr="009C0A41" w:rsidRDefault="00232460" w:rsidP="00FB028B">
            <w:pPr>
              <w:jc w:val="center"/>
              <w:rPr>
                <w:rFonts w:cs="Times New Roman"/>
                <w:b/>
              </w:rPr>
            </w:pPr>
            <w:r w:rsidRPr="009C0A41">
              <w:rPr>
                <w:rFonts w:cs="Times New Roman"/>
                <w:b/>
              </w:rPr>
              <w:t>2022</w:t>
            </w:r>
          </w:p>
        </w:tc>
        <w:tc>
          <w:tcPr>
            <w:tcW w:w="920" w:type="dxa"/>
            <w:shd w:val="clear" w:color="auto" w:fill="CFDCF0" w:themeFill="text2" w:themeFillTint="33"/>
          </w:tcPr>
          <w:p w14:paraId="6C021ED0" w14:textId="77777777" w:rsidR="00232460" w:rsidRPr="009C0A41" w:rsidRDefault="00232460" w:rsidP="00FB028B">
            <w:pPr>
              <w:jc w:val="center"/>
              <w:rPr>
                <w:rFonts w:cs="Times New Roman"/>
                <w:b/>
              </w:rPr>
            </w:pPr>
            <w:r w:rsidRPr="009C0A41">
              <w:rPr>
                <w:rFonts w:cs="Times New Roman"/>
                <w:b/>
              </w:rPr>
              <w:t>2023</w:t>
            </w:r>
          </w:p>
        </w:tc>
        <w:tc>
          <w:tcPr>
            <w:tcW w:w="703" w:type="dxa"/>
            <w:shd w:val="clear" w:color="auto" w:fill="CFDCF0" w:themeFill="text2" w:themeFillTint="33"/>
          </w:tcPr>
          <w:p w14:paraId="2865149D" w14:textId="77777777" w:rsidR="00232460" w:rsidRPr="009C0A41" w:rsidRDefault="00232460" w:rsidP="00FB028B">
            <w:pPr>
              <w:jc w:val="center"/>
              <w:rPr>
                <w:rFonts w:cs="Times New Roman"/>
                <w:b/>
              </w:rPr>
            </w:pPr>
            <w:r w:rsidRPr="009C0A41">
              <w:rPr>
                <w:rFonts w:cs="Times New Roman"/>
                <w:b/>
              </w:rPr>
              <w:t>2024</w:t>
            </w:r>
          </w:p>
        </w:tc>
      </w:tr>
      <w:tr w:rsidR="00232460" w:rsidRPr="009C0A41" w14:paraId="0F6DA13F" w14:textId="77777777" w:rsidTr="001435F8">
        <w:trPr>
          <w:cantSplit/>
          <w:trHeight w:val="300"/>
          <w:jc w:val="center"/>
        </w:trPr>
        <w:tc>
          <w:tcPr>
            <w:tcW w:w="862" w:type="dxa"/>
            <w:gridSpan w:val="2"/>
            <w:noWrap/>
            <w:hideMark/>
          </w:tcPr>
          <w:p w14:paraId="1EFFCB7C" w14:textId="77777777" w:rsidR="00232460" w:rsidRPr="009C0A41" w:rsidRDefault="00232460" w:rsidP="00FB028B">
            <w:pPr>
              <w:jc w:val="center"/>
              <w:rPr>
                <w:rFonts w:cs="Times New Roman"/>
              </w:rPr>
            </w:pPr>
            <w:r w:rsidRPr="009C0A41">
              <w:rPr>
                <w:rFonts w:cs="Times New Roman"/>
              </w:rPr>
              <w:t>189</w:t>
            </w:r>
          </w:p>
        </w:tc>
        <w:tc>
          <w:tcPr>
            <w:tcW w:w="3728" w:type="dxa"/>
            <w:noWrap/>
            <w:hideMark/>
          </w:tcPr>
          <w:p w14:paraId="562E0606" w14:textId="77777777" w:rsidR="00232460" w:rsidRPr="009C0A41" w:rsidRDefault="00232460" w:rsidP="00FB028B">
            <w:pPr>
              <w:jc w:val="center"/>
              <w:rPr>
                <w:rFonts w:cs="Times New Roman"/>
              </w:rPr>
            </w:pPr>
            <w:r w:rsidRPr="009C0A41">
              <w:rPr>
                <w:rFonts w:cs="Times New Roman"/>
              </w:rPr>
              <w:t>Pulmonary edema &amp; respiratory failure</w:t>
            </w:r>
          </w:p>
        </w:tc>
        <w:tc>
          <w:tcPr>
            <w:tcW w:w="990" w:type="dxa"/>
            <w:noWrap/>
            <w:hideMark/>
          </w:tcPr>
          <w:p w14:paraId="346FCD2A" w14:textId="77777777" w:rsidR="00232460" w:rsidRPr="009C0A41" w:rsidRDefault="00232460" w:rsidP="00FB028B">
            <w:pPr>
              <w:jc w:val="center"/>
              <w:rPr>
                <w:rFonts w:cs="Times New Roman"/>
              </w:rPr>
            </w:pPr>
            <w:r w:rsidRPr="009C0A41">
              <w:rPr>
                <w:rFonts w:cs="Times New Roman"/>
              </w:rPr>
              <w:t>122</w:t>
            </w:r>
          </w:p>
        </w:tc>
        <w:tc>
          <w:tcPr>
            <w:tcW w:w="920" w:type="dxa"/>
          </w:tcPr>
          <w:p w14:paraId="401E89B7" w14:textId="77777777" w:rsidR="00232460" w:rsidRPr="009C0A41" w:rsidRDefault="00232460" w:rsidP="00FB028B">
            <w:pPr>
              <w:jc w:val="center"/>
              <w:rPr>
                <w:rFonts w:cs="Times New Roman"/>
              </w:rPr>
            </w:pPr>
            <w:r w:rsidRPr="009C0A41">
              <w:rPr>
                <w:rFonts w:cs="Times New Roman"/>
              </w:rPr>
              <w:t>92</w:t>
            </w:r>
          </w:p>
        </w:tc>
        <w:tc>
          <w:tcPr>
            <w:tcW w:w="703" w:type="dxa"/>
          </w:tcPr>
          <w:p w14:paraId="6E9619EE" w14:textId="77777777" w:rsidR="00232460" w:rsidRPr="009C0A41" w:rsidRDefault="00232460" w:rsidP="00FB028B">
            <w:pPr>
              <w:jc w:val="center"/>
              <w:rPr>
                <w:rFonts w:cs="Times New Roman"/>
              </w:rPr>
            </w:pPr>
            <w:r w:rsidRPr="009C0A41">
              <w:rPr>
                <w:rFonts w:cs="Times New Roman"/>
              </w:rPr>
              <w:t>75</w:t>
            </w:r>
          </w:p>
        </w:tc>
      </w:tr>
      <w:tr w:rsidR="00232460" w:rsidRPr="009C0A41" w14:paraId="1B9CF96C" w14:textId="77777777" w:rsidTr="001435F8">
        <w:trPr>
          <w:cantSplit/>
          <w:trHeight w:val="300"/>
          <w:jc w:val="center"/>
        </w:trPr>
        <w:tc>
          <w:tcPr>
            <w:tcW w:w="862" w:type="dxa"/>
            <w:gridSpan w:val="2"/>
            <w:noWrap/>
            <w:hideMark/>
          </w:tcPr>
          <w:p w14:paraId="7BCFA302" w14:textId="77777777" w:rsidR="00232460" w:rsidRPr="009C0A41" w:rsidRDefault="00232460" w:rsidP="00FB028B">
            <w:pPr>
              <w:jc w:val="center"/>
              <w:rPr>
                <w:rFonts w:cs="Times New Roman"/>
              </w:rPr>
            </w:pPr>
            <w:r w:rsidRPr="009C0A41">
              <w:rPr>
                <w:rFonts w:cs="Times New Roman"/>
              </w:rPr>
              <w:t>208</w:t>
            </w:r>
          </w:p>
        </w:tc>
        <w:tc>
          <w:tcPr>
            <w:tcW w:w="3728" w:type="dxa"/>
            <w:noWrap/>
            <w:hideMark/>
          </w:tcPr>
          <w:p w14:paraId="67AD7B9C" w14:textId="77777777" w:rsidR="00232460" w:rsidRPr="009C0A41" w:rsidRDefault="00232460" w:rsidP="00FB028B">
            <w:pPr>
              <w:jc w:val="center"/>
              <w:rPr>
                <w:rFonts w:cs="Times New Roman"/>
              </w:rPr>
            </w:pPr>
            <w:r w:rsidRPr="009C0A41">
              <w:rPr>
                <w:rFonts w:cs="Times New Roman"/>
              </w:rPr>
              <w:t>Respiratory system diagnosis w ventilator support, &lt; 96 hours</w:t>
            </w:r>
          </w:p>
        </w:tc>
        <w:tc>
          <w:tcPr>
            <w:tcW w:w="990" w:type="dxa"/>
            <w:noWrap/>
            <w:hideMark/>
          </w:tcPr>
          <w:p w14:paraId="62B5F8BD" w14:textId="77777777" w:rsidR="00232460" w:rsidRPr="009C0A41" w:rsidRDefault="00232460" w:rsidP="00FB028B">
            <w:pPr>
              <w:jc w:val="center"/>
              <w:rPr>
                <w:rFonts w:cs="Times New Roman"/>
              </w:rPr>
            </w:pPr>
            <w:r w:rsidRPr="009C0A41">
              <w:rPr>
                <w:rFonts w:cs="Times New Roman"/>
              </w:rPr>
              <w:t>75</w:t>
            </w:r>
          </w:p>
        </w:tc>
        <w:tc>
          <w:tcPr>
            <w:tcW w:w="920" w:type="dxa"/>
          </w:tcPr>
          <w:p w14:paraId="7A14640A" w14:textId="77777777" w:rsidR="00232460" w:rsidRPr="009C0A41" w:rsidRDefault="00232460" w:rsidP="00FB028B">
            <w:pPr>
              <w:jc w:val="center"/>
              <w:rPr>
                <w:rFonts w:cs="Times New Roman"/>
              </w:rPr>
            </w:pPr>
            <w:r w:rsidRPr="009C0A41">
              <w:rPr>
                <w:rFonts w:cs="Times New Roman"/>
              </w:rPr>
              <w:t>13</w:t>
            </w:r>
          </w:p>
        </w:tc>
        <w:tc>
          <w:tcPr>
            <w:tcW w:w="703" w:type="dxa"/>
          </w:tcPr>
          <w:p w14:paraId="7B4EDDB9" w14:textId="77777777" w:rsidR="00232460" w:rsidRPr="009C0A41" w:rsidRDefault="00232460" w:rsidP="00FB028B">
            <w:pPr>
              <w:jc w:val="center"/>
              <w:rPr>
                <w:rFonts w:cs="Times New Roman"/>
              </w:rPr>
            </w:pPr>
            <w:r w:rsidRPr="009C0A41">
              <w:rPr>
                <w:rFonts w:cs="Times New Roman"/>
              </w:rPr>
              <w:t>50</w:t>
            </w:r>
          </w:p>
        </w:tc>
      </w:tr>
      <w:tr w:rsidR="00232460" w:rsidRPr="009C0A41" w14:paraId="6CFB46F2" w14:textId="77777777" w:rsidTr="001435F8">
        <w:trPr>
          <w:cantSplit/>
          <w:trHeight w:val="300"/>
          <w:jc w:val="center"/>
        </w:trPr>
        <w:tc>
          <w:tcPr>
            <w:tcW w:w="862" w:type="dxa"/>
            <w:gridSpan w:val="2"/>
            <w:noWrap/>
          </w:tcPr>
          <w:p w14:paraId="70195768" w14:textId="77777777" w:rsidR="00232460" w:rsidRPr="009C0A41" w:rsidRDefault="00232460" w:rsidP="00FB028B">
            <w:pPr>
              <w:jc w:val="center"/>
              <w:rPr>
                <w:rFonts w:cs="Times New Roman"/>
              </w:rPr>
            </w:pPr>
            <w:r w:rsidRPr="009C0A41">
              <w:rPr>
                <w:rFonts w:cs="Times New Roman"/>
              </w:rPr>
              <w:t>207</w:t>
            </w:r>
          </w:p>
        </w:tc>
        <w:tc>
          <w:tcPr>
            <w:tcW w:w="3728" w:type="dxa"/>
            <w:noWrap/>
          </w:tcPr>
          <w:p w14:paraId="173B334F" w14:textId="77777777" w:rsidR="00232460" w:rsidRPr="009C0A41" w:rsidRDefault="00232460" w:rsidP="00FB028B">
            <w:pPr>
              <w:jc w:val="center"/>
              <w:rPr>
                <w:rFonts w:cs="Times New Roman"/>
              </w:rPr>
            </w:pPr>
            <w:r w:rsidRPr="009C0A41">
              <w:rPr>
                <w:rFonts w:cs="Times New Roman"/>
              </w:rPr>
              <w:t xml:space="preserve">Respiratory system diagnosis w ventilator support, </w:t>
            </w:r>
          </w:p>
          <w:p w14:paraId="552C215C" w14:textId="77777777" w:rsidR="00232460" w:rsidRPr="009C0A41" w:rsidRDefault="00232460" w:rsidP="00FB028B">
            <w:pPr>
              <w:jc w:val="center"/>
              <w:rPr>
                <w:rFonts w:cs="Times New Roman"/>
              </w:rPr>
            </w:pPr>
            <w:r w:rsidRPr="009C0A41">
              <w:rPr>
                <w:rFonts w:cs="Times New Roman"/>
              </w:rPr>
              <w:t>≥ 96 hours</w:t>
            </w:r>
          </w:p>
        </w:tc>
        <w:tc>
          <w:tcPr>
            <w:tcW w:w="990" w:type="dxa"/>
            <w:noWrap/>
          </w:tcPr>
          <w:p w14:paraId="79EF6546" w14:textId="77777777" w:rsidR="00232460" w:rsidRPr="009C0A41" w:rsidRDefault="00232460" w:rsidP="00FB028B">
            <w:pPr>
              <w:jc w:val="center"/>
              <w:rPr>
                <w:rFonts w:cs="Times New Roman"/>
              </w:rPr>
            </w:pPr>
          </w:p>
        </w:tc>
        <w:tc>
          <w:tcPr>
            <w:tcW w:w="920" w:type="dxa"/>
          </w:tcPr>
          <w:p w14:paraId="700D2723" w14:textId="77777777" w:rsidR="00232460" w:rsidRPr="009C0A41" w:rsidRDefault="00232460" w:rsidP="00FB028B">
            <w:pPr>
              <w:jc w:val="center"/>
              <w:rPr>
                <w:rFonts w:cs="Times New Roman"/>
              </w:rPr>
            </w:pPr>
            <w:r w:rsidRPr="009C0A41">
              <w:rPr>
                <w:rFonts w:cs="Times New Roman"/>
              </w:rPr>
              <w:t>47</w:t>
            </w:r>
          </w:p>
        </w:tc>
        <w:tc>
          <w:tcPr>
            <w:tcW w:w="703" w:type="dxa"/>
          </w:tcPr>
          <w:p w14:paraId="43A35B88" w14:textId="77777777" w:rsidR="00232460" w:rsidRPr="009C0A41" w:rsidRDefault="00232460" w:rsidP="00FB028B">
            <w:pPr>
              <w:jc w:val="center"/>
              <w:rPr>
                <w:rFonts w:cs="Times New Roman"/>
              </w:rPr>
            </w:pPr>
            <w:r w:rsidRPr="009C0A41">
              <w:rPr>
                <w:rFonts w:cs="Times New Roman"/>
              </w:rPr>
              <w:t>11</w:t>
            </w:r>
          </w:p>
        </w:tc>
      </w:tr>
      <w:tr w:rsidR="00232460" w:rsidRPr="009C0A41" w14:paraId="7E38E227" w14:textId="77777777" w:rsidTr="001435F8">
        <w:trPr>
          <w:cantSplit/>
          <w:trHeight w:val="300"/>
          <w:jc w:val="center"/>
        </w:trPr>
        <w:tc>
          <w:tcPr>
            <w:tcW w:w="862" w:type="dxa"/>
            <w:gridSpan w:val="2"/>
            <w:noWrap/>
            <w:hideMark/>
          </w:tcPr>
          <w:p w14:paraId="7EDDAA3F" w14:textId="77777777" w:rsidR="00232460" w:rsidRPr="009C0A41" w:rsidRDefault="00232460" w:rsidP="00FB028B">
            <w:pPr>
              <w:jc w:val="center"/>
              <w:rPr>
                <w:rFonts w:cs="Times New Roman"/>
              </w:rPr>
            </w:pPr>
            <w:r w:rsidRPr="009C0A41">
              <w:rPr>
                <w:rFonts w:cs="Times New Roman"/>
              </w:rPr>
              <w:t>539</w:t>
            </w:r>
          </w:p>
        </w:tc>
        <w:tc>
          <w:tcPr>
            <w:tcW w:w="3728" w:type="dxa"/>
            <w:noWrap/>
            <w:hideMark/>
          </w:tcPr>
          <w:p w14:paraId="18D9284D" w14:textId="0BD71A20" w:rsidR="00232460" w:rsidRPr="009C0A41" w:rsidRDefault="00232460" w:rsidP="00FB028B">
            <w:pPr>
              <w:jc w:val="center"/>
              <w:rPr>
                <w:rFonts w:cs="Times New Roman"/>
              </w:rPr>
            </w:pPr>
            <w:r w:rsidRPr="009C0A41">
              <w:rPr>
                <w:rFonts w:cs="Times New Roman"/>
              </w:rPr>
              <w:t xml:space="preserve">Osteomyelitis w </w:t>
            </w:r>
            <w:r w:rsidR="004B53C1" w:rsidRPr="004B53C1">
              <w:rPr>
                <w:rFonts w:cs="Times New Roman"/>
              </w:rPr>
              <w:t>Major Complications or Comorbidities</w:t>
            </w:r>
            <w:r w:rsidR="006E4BB5">
              <w:rPr>
                <w:rFonts w:cs="Times New Roman"/>
              </w:rPr>
              <w:t xml:space="preserve"> (MCC)</w:t>
            </w:r>
          </w:p>
        </w:tc>
        <w:tc>
          <w:tcPr>
            <w:tcW w:w="990" w:type="dxa"/>
            <w:noWrap/>
            <w:hideMark/>
          </w:tcPr>
          <w:p w14:paraId="45A37FBE" w14:textId="77777777" w:rsidR="00232460" w:rsidRPr="009C0A41" w:rsidRDefault="00232460" w:rsidP="00FB028B">
            <w:pPr>
              <w:jc w:val="center"/>
              <w:rPr>
                <w:rFonts w:cs="Times New Roman"/>
              </w:rPr>
            </w:pPr>
          </w:p>
        </w:tc>
        <w:tc>
          <w:tcPr>
            <w:tcW w:w="920" w:type="dxa"/>
          </w:tcPr>
          <w:p w14:paraId="2C68708B" w14:textId="77777777" w:rsidR="00232460" w:rsidRPr="009C0A41" w:rsidRDefault="00232460" w:rsidP="00FB028B">
            <w:pPr>
              <w:jc w:val="center"/>
              <w:rPr>
                <w:rFonts w:cs="Times New Roman"/>
              </w:rPr>
            </w:pPr>
          </w:p>
        </w:tc>
        <w:tc>
          <w:tcPr>
            <w:tcW w:w="703" w:type="dxa"/>
          </w:tcPr>
          <w:p w14:paraId="3DB25A24" w14:textId="77777777" w:rsidR="00232460" w:rsidRPr="009C0A41" w:rsidRDefault="00232460" w:rsidP="00FB028B">
            <w:pPr>
              <w:jc w:val="center"/>
              <w:rPr>
                <w:rFonts w:cs="Times New Roman"/>
              </w:rPr>
            </w:pPr>
            <w:r w:rsidRPr="009C0A41">
              <w:rPr>
                <w:rFonts w:cs="Times New Roman"/>
              </w:rPr>
              <w:t>&lt;11</w:t>
            </w:r>
          </w:p>
        </w:tc>
      </w:tr>
      <w:tr w:rsidR="00232460" w:rsidRPr="009C0A41" w14:paraId="4D6B7A33" w14:textId="77777777" w:rsidTr="001435F8">
        <w:trPr>
          <w:cantSplit/>
          <w:trHeight w:val="300"/>
          <w:jc w:val="center"/>
        </w:trPr>
        <w:tc>
          <w:tcPr>
            <w:tcW w:w="862" w:type="dxa"/>
            <w:gridSpan w:val="2"/>
            <w:noWrap/>
            <w:hideMark/>
          </w:tcPr>
          <w:p w14:paraId="6748F285" w14:textId="77777777" w:rsidR="00232460" w:rsidRPr="009C0A41" w:rsidRDefault="00232460" w:rsidP="00FB028B">
            <w:pPr>
              <w:jc w:val="center"/>
              <w:rPr>
                <w:rFonts w:cs="Times New Roman"/>
              </w:rPr>
            </w:pPr>
            <w:r w:rsidRPr="009C0A41">
              <w:rPr>
                <w:rFonts w:cs="Times New Roman"/>
              </w:rPr>
              <w:t>682</w:t>
            </w:r>
          </w:p>
        </w:tc>
        <w:tc>
          <w:tcPr>
            <w:tcW w:w="3728" w:type="dxa"/>
            <w:noWrap/>
            <w:hideMark/>
          </w:tcPr>
          <w:p w14:paraId="748CB7FF" w14:textId="77777777" w:rsidR="00232460" w:rsidRPr="009C0A41" w:rsidRDefault="00232460" w:rsidP="00FB028B">
            <w:pPr>
              <w:jc w:val="center"/>
              <w:rPr>
                <w:rFonts w:cs="Times New Roman"/>
              </w:rPr>
            </w:pPr>
            <w:r w:rsidRPr="009C0A41">
              <w:rPr>
                <w:rFonts w:cs="Times New Roman"/>
              </w:rPr>
              <w:t>Renal failure w MCC</w:t>
            </w:r>
          </w:p>
        </w:tc>
        <w:tc>
          <w:tcPr>
            <w:tcW w:w="990" w:type="dxa"/>
            <w:noWrap/>
            <w:hideMark/>
          </w:tcPr>
          <w:p w14:paraId="40546633" w14:textId="77777777" w:rsidR="00232460" w:rsidRPr="009C0A41" w:rsidRDefault="00232460" w:rsidP="00FB028B">
            <w:pPr>
              <w:jc w:val="center"/>
              <w:rPr>
                <w:rFonts w:cs="Times New Roman"/>
              </w:rPr>
            </w:pPr>
          </w:p>
        </w:tc>
        <w:tc>
          <w:tcPr>
            <w:tcW w:w="920" w:type="dxa"/>
          </w:tcPr>
          <w:p w14:paraId="00E17824" w14:textId="77777777" w:rsidR="00232460" w:rsidRPr="009C0A41" w:rsidRDefault="00232460" w:rsidP="00FB028B">
            <w:pPr>
              <w:jc w:val="center"/>
              <w:rPr>
                <w:rFonts w:cs="Times New Roman"/>
              </w:rPr>
            </w:pPr>
          </w:p>
        </w:tc>
        <w:tc>
          <w:tcPr>
            <w:tcW w:w="703" w:type="dxa"/>
          </w:tcPr>
          <w:p w14:paraId="64CAA6BD" w14:textId="77777777" w:rsidR="00232460" w:rsidRPr="009C0A41" w:rsidRDefault="00232460" w:rsidP="00FB028B">
            <w:pPr>
              <w:jc w:val="center"/>
              <w:rPr>
                <w:rFonts w:cs="Times New Roman"/>
              </w:rPr>
            </w:pPr>
            <w:r w:rsidRPr="009C0A41">
              <w:rPr>
                <w:rFonts w:cs="Times New Roman"/>
              </w:rPr>
              <w:t>&lt;11</w:t>
            </w:r>
          </w:p>
        </w:tc>
      </w:tr>
      <w:tr w:rsidR="00232460" w:rsidRPr="009C0A41" w14:paraId="6122CD1D" w14:textId="77777777" w:rsidTr="001435F8">
        <w:trPr>
          <w:cantSplit/>
          <w:trHeight w:val="300"/>
          <w:jc w:val="center"/>
        </w:trPr>
        <w:tc>
          <w:tcPr>
            <w:tcW w:w="862" w:type="dxa"/>
            <w:gridSpan w:val="2"/>
            <w:noWrap/>
            <w:hideMark/>
          </w:tcPr>
          <w:p w14:paraId="2F3BDE28" w14:textId="77777777" w:rsidR="00232460" w:rsidRPr="009C0A41" w:rsidRDefault="00232460" w:rsidP="00FB028B">
            <w:pPr>
              <w:jc w:val="center"/>
              <w:rPr>
                <w:rFonts w:cs="Times New Roman"/>
              </w:rPr>
            </w:pPr>
            <w:r w:rsidRPr="009C0A41">
              <w:rPr>
                <w:rFonts w:cs="Times New Roman"/>
              </w:rPr>
              <w:t>871</w:t>
            </w:r>
          </w:p>
        </w:tc>
        <w:tc>
          <w:tcPr>
            <w:tcW w:w="3728" w:type="dxa"/>
            <w:noWrap/>
            <w:hideMark/>
          </w:tcPr>
          <w:p w14:paraId="26C66007" w14:textId="7604AB55" w:rsidR="00232460" w:rsidRPr="009C0A41" w:rsidRDefault="00232460" w:rsidP="00FB028B">
            <w:pPr>
              <w:jc w:val="center"/>
              <w:rPr>
                <w:rFonts w:cs="Times New Roman"/>
              </w:rPr>
            </w:pPr>
            <w:r w:rsidRPr="009C0A41">
              <w:rPr>
                <w:rFonts w:cs="Times New Roman"/>
              </w:rPr>
              <w:t xml:space="preserve">Septicemia w/o </w:t>
            </w:r>
            <w:r w:rsidR="00484BCD">
              <w:rPr>
                <w:rFonts w:cs="Times New Roman"/>
              </w:rPr>
              <w:t>M</w:t>
            </w:r>
            <w:r w:rsidR="00484BCD" w:rsidRPr="00484BCD">
              <w:rPr>
                <w:rFonts w:cs="Times New Roman"/>
              </w:rPr>
              <w:t xml:space="preserve">echanical </w:t>
            </w:r>
            <w:r w:rsidR="00484BCD">
              <w:rPr>
                <w:rFonts w:cs="Times New Roman"/>
              </w:rPr>
              <w:t>V</w:t>
            </w:r>
            <w:r w:rsidR="00484BCD" w:rsidRPr="00484BCD">
              <w:rPr>
                <w:rFonts w:cs="Times New Roman"/>
              </w:rPr>
              <w:t xml:space="preserve">entilation </w:t>
            </w:r>
            <w:r w:rsidR="00484BCD">
              <w:rPr>
                <w:rFonts w:cs="Times New Roman"/>
              </w:rPr>
              <w:t>(</w:t>
            </w:r>
            <w:r w:rsidRPr="009C0A41">
              <w:rPr>
                <w:rFonts w:cs="Times New Roman"/>
              </w:rPr>
              <w:t>MV</w:t>
            </w:r>
            <w:r w:rsidR="00484BCD">
              <w:rPr>
                <w:rFonts w:cs="Times New Roman"/>
              </w:rPr>
              <w:t>)</w:t>
            </w:r>
            <w:r w:rsidRPr="009C0A41">
              <w:rPr>
                <w:rFonts w:cs="Times New Roman"/>
              </w:rPr>
              <w:t xml:space="preserve"> 96+ hours w MCC</w:t>
            </w:r>
          </w:p>
        </w:tc>
        <w:tc>
          <w:tcPr>
            <w:tcW w:w="990" w:type="dxa"/>
            <w:noWrap/>
            <w:hideMark/>
          </w:tcPr>
          <w:p w14:paraId="0F5A0957" w14:textId="77777777" w:rsidR="00232460" w:rsidRPr="009C0A41" w:rsidRDefault="00232460" w:rsidP="00FB028B">
            <w:pPr>
              <w:jc w:val="center"/>
              <w:rPr>
                <w:rFonts w:cs="Times New Roman"/>
              </w:rPr>
            </w:pPr>
            <w:r w:rsidRPr="009C0A41">
              <w:rPr>
                <w:rFonts w:cs="Times New Roman"/>
              </w:rPr>
              <w:t>&lt;11</w:t>
            </w:r>
          </w:p>
        </w:tc>
        <w:tc>
          <w:tcPr>
            <w:tcW w:w="920" w:type="dxa"/>
          </w:tcPr>
          <w:p w14:paraId="0C24FAD1" w14:textId="77777777" w:rsidR="00232460" w:rsidRPr="009C0A41" w:rsidRDefault="00232460" w:rsidP="00FB028B">
            <w:pPr>
              <w:jc w:val="center"/>
              <w:rPr>
                <w:rFonts w:cs="Times New Roman"/>
              </w:rPr>
            </w:pPr>
          </w:p>
        </w:tc>
        <w:tc>
          <w:tcPr>
            <w:tcW w:w="703" w:type="dxa"/>
          </w:tcPr>
          <w:p w14:paraId="01B6E95A" w14:textId="77777777" w:rsidR="00232460" w:rsidRPr="009C0A41" w:rsidRDefault="00232460" w:rsidP="00FB028B">
            <w:pPr>
              <w:jc w:val="center"/>
              <w:rPr>
                <w:rFonts w:cs="Times New Roman"/>
              </w:rPr>
            </w:pPr>
          </w:p>
        </w:tc>
      </w:tr>
      <w:tr w:rsidR="00232460" w:rsidRPr="009C0A41" w14:paraId="01125C8B" w14:textId="77777777" w:rsidTr="001435F8">
        <w:trPr>
          <w:cantSplit/>
          <w:trHeight w:val="300"/>
          <w:jc w:val="center"/>
        </w:trPr>
        <w:tc>
          <w:tcPr>
            <w:tcW w:w="862" w:type="dxa"/>
            <w:gridSpan w:val="2"/>
            <w:noWrap/>
            <w:hideMark/>
          </w:tcPr>
          <w:p w14:paraId="0F23C890" w14:textId="77777777" w:rsidR="00232460" w:rsidRPr="009C0A41" w:rsidRDefault="00232460" w:rsidP="00FB028B">
            <w:pPr>
              <w:jc w:val="center"/>
              <w:rPr>
                <w:rFonts w:cs="Times New Roman"/>
              </w:rPr>
            </w:pPr>
            <w:r w:rsidRPr="009C0A41">
              <w:rPr>
                <w:rFonts w:cs="Times New Roman"/>
              </w:rPr>
              <w:t>872</w:t>
            </w:r>
          </w:p>
        </w:tc>
        <w:tc>
          <w:tcPr>
            <w:tcW w:w="3728" w:type="dxa"/>
            <w:noWrap/>
            <w:hideMark/>
          </w:tcPr>
          <w:p w14:paraId="6AD20823" w14:textId="77777777" w:rsidR="00232460" w:rsidRPr="009C0A41" w:rsidRDefault="00232460" w:rsidP="00FB028B">
            <w:pPr>
              <w:jc w:val="center"/>
              <w:rPr>
                <w:rFonts w:cs="Times New Roman"/>
              </w:rPr>
            </w:pPr>
            <w:r w:rsidRPr="009C0A41">
              <w:rPr>
                <w:rFonts w:cs="Times New Roman"/>
              </w:rPr>
              <w:t>Septicemia w/o MV 96+ hours w/o MCC</w:t>
            </w:r>
          </w:p>
        </w:tc>
        <w:tc>
          <w:tcPr>
            <w:tcW w:w="990" w:type="dxa"/>
            <w:noWrap/>
            <w:hideMark/>
          </w:tcPr>
          <w:p w14:paraId="3AFF6C51" w14:textId="77777777" w:rsidR="00232460" w:rsidRPr="009C0A41" w:rsidRDefault="00232460" w:rsidP="00FB028B">
            <w:pPr>
              <w:jc w:val="center"/>
              <w:rPr>
                <w:rFonts w:cs="Times New Roman"/>
              </w:rPr>
            </w:pPr>
            <w:r w:rsidRPr="009C0A41">
              <w:rPr>
                <w:rFonts w:cs="Times New Roman"/>
              </w:rPr>
              <w:t>&lt;11</w:t>
            </w:r>
          </w:p>
        </w:tc>
        <w:tc>
          <w:tcPr>
            <w:tcW w:w="920" w:type="dxa"/>
          </w:tcPr>
          <w:p w14:paraId="73EB2D6C" w14:textId="77777777" w:rsidR="00232460" w:rsidRPr="009C0A41" w:rsidRDefault="00232460" w:rsidP="00FB028B">
            <w:pPr>
              <w:jc w:val="center"/>
              <w:rPr>
                <w:rFonts w:cs="Times New Roman"/>
              </w:rPr>
            </w:pPr>
          </w:p>
        </w:tc>
        <w:tc>
          <w:tcPr>
            <w:tcW w:w="703" w:type="dxa"/>
          </w:tcPr>
          <w:p w14:paraId="203A8BD0" w14:textId="77777777" w:rsidR="00232460" w:rsidRPr="009C0A41" w:rsidRDefault="00232460" w:rsidP="00FB028B">
            <w:pPr>
              <w:jc w:val="center"/>
              <w:rPr>
                <w:rFonts w:cs="Times New Roman"/>
              </w:rPr>
            </w:pPr>
          </w:p>
        </w:tc>
      </w:tr>
      <w:tr w:rsidR="00232460" w:rsidRPr="009C0A41" w14:paraId="69338903" w14:textId="77777777" w:rsidTr="001435F8">
        <w:trPr>
          <w:cantSplit/>
          <w:trHeight w:val="300"/>
          <w:jc w:val="center"/>
        </w:trPr>
        <w:tc>
          <w:tcPr>
            <w:tcW w:w="862" w:type="dxa"/>
            <w:gridSpan w:val="2"/>
            <w:noWrap/>
            <w:hideMark/>
          </w:tcPr>
          <w:p w14:paraId="3874F9E4" w14:textId="77777777" w:rsidR="00232460" w:rsidRPr="009C0A41" w:rsidRDefault="00232460" w:rsidP="00FB028B">
            <w:pPr>
              <w:jc w:val="center"/>
              <w:rPr>
                <w:rFonts w:cs="Times New Roman"/>
              </w:rPr>
            </w:pPr>
            <w:r w:rsidRPr="009C0A41">
              <w:rPr>
                <w:rFonts w:cs="Times New Roman"/>
              </w:rPr>
              <w:t>949</w:t>
            </w:r>
          </w:p>
        </w:tc>
        <w:tc>
          <w:tcPr>
            <w:tcW w:w="3728" w:type="dxa"/>
            <w:noWrap/>
            <w:hideMark/>
          </w:tcPr>
          <w:p w14:paraId="7AA37EE9" w14:textId="14229571" w:rsidR="00232460" w:rsidRPr="009C0A41" w:rsidRDefault="00232460" w:rsidP="00FB028B">
            <w:pPr>
              <w:jc w:val="center"/>
              <w:rPr>
                <w:rFonts w:cs="Times New Roman"/>
              </w:rPr>
            </w:pPr>
            <w:r w:rsidRPr="009C0A41">
              <w:rPr>
                <w:rFonts w:cs="Times New Roman"/>
              </w:rPr>
              <w:t xml:space="preserve">Aftercare w </w:t>
            </w:r>
            <w:r w:rsidR="00AD08B4">
              <w:rPr>
                <w:rFonts w:cs="Times New Roman"/>
              </w:rPr>
              <w:t>C</w:t>
            </w:r>
            <w:r w:rsidR="00AD08B4" w:rsidRPr="00AD08B4">
              <w:rPr>
                <w:rFonts w:cs="Times New Roman"/>
              </w:rPr>
              <w:t xml:space="preserve">omplication or </w:t>
            </w:r>
            <w:r w:rsidR="00AD08B4">
              <w:rPr>
                <w:rFonts w:cs="Times New Roman"/>
              </w:rPr>
              <w:t>C</w:t>
            </w:r>
            <w:r w:rsidR="00AD08B4" w:rsidRPr="00AD08B4">
              <w:rPr>
                <w:rFonts w:cs="Times New Roman"/>
              </w:rPr>
              <w:t xml:space="preserve">omorbidity </w:t>
            </w:r>
            <w:r w:rsidR="00AD08B4">
              <w:rPr>
                <w:rFonts w:cs="Times New Roman"/>
              </w:rPr>
              <w:t>(</w:t>
            </w:r>
            <w:r w:rsidRPr="009C0A41">
              <w:rPr>
                <w:rFonts w:cs="Times New Roman"/>
              </w:rPr>
              <w:t>CC</w:t>
            </w:r>
            <w:r w:rsidR="00AD08B4">
              <w:rPr>
                <w:rFonts w:cs="Times New Roman"/>
              </w:rPr>
              <w:t>)</w:t>
            </w:r>
            <w:r w:rsidRPr="009C0A41">
              <w:rPr>
                <w:rFonts w:cs="Times New Roman"/>
              </w:rPr>
              <w:t>/MCC</w:t>
            </w:r>
          </w:p>
        </w:tc>
        <w:tc>
          <w:tcPr>
            <w:tcW w:w="990" w:type="dxa"/>
            <w:noWrap/>
            <w:hideMark/>
          </w:tcPr>
          <w:p w14:paraId="0D534B5B" w14:textId="77777777" w:rsidR="00232460" w:rsidRPr="009C0A41" w:rsidRDefault="00232460" w:rsidP="00FB028B">
            <w:pPr>
              <w:jc w:val="center"/>
              <w:rPr>
                <w:rFonts w:cs="Times New Roman"/>
              </w:rPr>
            </w:pPr>
            <w:r w:rsidRPr="009C0A41">
              <w:rPr>
                <w:rFonts w:cs="Times New Roman"/>
              </w:rPr>
              <w:t>11</w:t>
            </w:r>
          </w:p>
        </w:tc>
        <w:tc>
          <w:tcPr>
            <w:tcW w:w="920" w:type="dxa"/>
          </w:tcPr>
          <w:p w14:paraId="4F7E8CEB" w14:textId="77777777" w:rsidR="00232460" w:rsidRPr="009C0A41" w:rsidRDefault="00232460" w:rsidP="00FB028B">
            <w:pPr>
              <w:jc w:val="center"/>
              <w:rPr>
                <w:rFonts w:cs="Times New Roman"/>
              </w:rPr>
            </w:pPr>
            <w:r w:rsidRPr="009C0A41">
              <w:rPr>
                <w:rFonts w:cs="Times New Roman"/>
              </w:rPr>
              <w:t>11</w:t>
            </w:r>
          </w:p>
        </w:tc>
        <w:tc>
          <w:tcPr>
            <w:tcW w:w="703" w:type="dxa"/>
          </w:tcPr>
          <w:p w14:paraId="44F0E950" w14:textId="77777777" w:rsidR="00232460" w:rsidRPr="009C0A41" w:rsidRDefault="00232460" w:rsidP="00FB028B">
            <w:pPr>
              <w:jc w:val="center"/>
              <w:rPr>
                <w:rFonts w:cs="Times New Roman"/>
              </w:rPr>
            </w:pPr>
            <w:r w:rsidRPr="009C0A41">
              <w:rPr>
                <w:rFonts w:cs="Times New Roman"/>
              </w:rPr>
              <w:t>&lt;11</w:t>
            </w:r>
          </w:p>
        </w:tc>
      </w:tr>
      <w:tr w:rsidR="00232460" w:rsidRPr="009C0A41" w14:paraId="3BC6AF52" w14:textId="77777777" w:rsidTr="001435F8">
        <w:trPr>
          <w:cantSplit/>
          <w:trHeight w:val="300"/>
          <w:jc w:val="center"/>
        </w:trPr>
        <w:tc>
          <w:tcPr>
            <w:tcW w:w="862" w:type="dxa"/>
            <w:gridSpan w:val="2"/>
            <w:noWrap/>
          </w:tcPr>
          <w:p w14:paraId="791C27F4" w14:textId="77777777" w:rsidR="00232460" w:rsidRPr="009C0A41" w:rsidRDefault="00232460" w:rsidP="00FB028B">
            <w:pPr>
              <w:jc w:val="center"/>
              <w:rPr>
                <w:rFonts w:cs="Times New Roman"/>
              </w:rPr>
            </w:pPr>
            <w:r w:rsidRPr="009C0A41">
              <w:rPr>
                <w:rFonts w:cs="Times New Roman"/>
              </w:rPr>
              <w:t>177</w:t>
            </w:r>
          </w:p>
        </w:tc>
        <w:tc>
          <w:tcPr>
            <w:tcW w:w="3728" w:type="dxa"/>
            <w:noWrap/>
          </w:tcPr>
          <w:p w14:paraId="4835C31C" w14:textId="77777777" w:rsidR="00232460" w:rsidRPr="009C0A41" w:rsidRDefault="00232460" w:rsidP="00FB028B">
            <w:pPr>
              <w:jc w:val="center"/>
              <w:rPr>
                <w:rFonts w:cs="Times New Roman"/>
              </w:rPr>
            </w:pPr>
            <w:r w:rsidRPr="009C0A41">
              <w:rPr>
                <w:rFonts w:cs="Times New Roman"/>
              </w:rPr>
              <w:t>Respiratory infections and inflammation</w:t>
            </w:r>
          </w:p>
        </w:tc>
        <w:tc>
          <w:tcPr>
            <w:tcW w:w="990" w:type="dxa"/>
            <w:noWrap/>
          </w:tcPr>
          <w:p w14:paraId="6CED0A7C" w14:textId="77777777" w:rsidR="00232460" w:rsidRPr="009C0A41" w:rsidRDefault="00232460" w:rsidP="00FB028B">
            <w:pPr>
              <w:jc w:val="center"/>
              <w:rPr>
                <w:rFonts w:cs="Times New Roman"/>
              </w:rPr>
            </w:pPr>
          </w:p>
        </w:tc>
        <w:tc>
          <w:tcPr>
            <w:tcW w:w="920" w:type="dxa"/>
          </w:tcPr>
          <w:p w14:paraId="5CB82CD5" w14:textId="77777777" w:rsidR="00232460" w:rsidRPr="009C0A41" w:rsidRDefault="00232460" w:rsidP="00FB028B">
            <w:pPr>
              <w:jc w:val="center"/>
              <w:rPr>
                <w:rFonts w:cs="Times New Roman"/>
              </w:rPr>
            </w:pPr>
            <w:r w:rsidRPr="009C0A41">
              <w:rPr>
                <w:rFonts w:cs="Times New Roman"/>
              </w:rPr>
              <w:t>&lt;11</w:t>
            </w:r>
          </w:p>
        </w:tc>
        <w:tc>
          <w:tcPr>
            <w:tcW w:w="703" w:type="dxa"/>
          </w:tcPr>
          <w:p w14:paraId="209CD5E6" w14:textId="77777777" w:rsidR="00232460" w:rsidRPr="009C0A41" w:rsidRDefault="00232460" w:rsidP="00FB028B">
            <w:pPr>
              <w:jc w:val="center"/>
              <w:rPr>
                <w:rFonts w:cs="Times New Roman"/>
              </w:rPr>
            </w:pPr>
          </w:p>
        </w:tc>
      </w:tr>
      <w:tr w:rsidR="00232460" w:rsidRPr="009C0A41" w14:paraId="0C60C062" w14:textId="77777777" w:rsidTr="001435F8">
        <w:trPr>
          <w:cantSplit/>
          <w:trHeight w:val="297"/>
          <w:jc w:val="center"/>
        </w:trPr>
        <w:tc>
          <w:tcPr>
            <w:tcW w:w="781" w:type="dxa"/>
            <w:shd w:val="clear" w:color="auto" w:fill="CFDCF0" w:themeFill="text2" w:themeFillTint="33"/>
            <w:noWrap/>
            <w:vAlign w:val="center"/>
          </w:tcPr>
          <w:p w14:paraId="5040C3AA" w14:textId="77777777" w:rsidR="00232460" w:rsidRPr="009C0A41" w:rsidRDefault="00232460" w:rsidP="00FB028B">
            <w:pPr>
              <w:jc w:val="right"/>
              <w:rPr>
                <w:rFonts w:cs="Times New Roman"/>
                <w:b/>
              </w:rPr>
            </w:pPr>
          </w:p>
        </w:tc>
        <w:tc>
          <w:tcPr>
            <w:tcW w:w="3809" w:type="dxa"/>
            <w:gridSpan w:val="2"/>
            <w:shd w:val="clear" w:color="auto" w:fill="CFDCF0" w:themeFill="text2" w:themeFillTint="33"/>
            <w:vAlign w:val="center"/>
          </w:tcPr>
          <w:p w14:paraId="5F9F39A8" w14:textId="77777777" w:rsidR="00232460" w:rsidRPr="009C0A41" w:rsidRDefault="00232460" w:rsidP="00FB028B">
            <w:pPr>
              <w:jc w:val="right"/>
              <w:rPr>
                <w:rFonts w:cs="Times New Roman"/>
                <w:b/>
              </w:rPr>
            </w:pPr>
            <w:r w:rsidRPr="009C0A41">
              <w:rPr>
                <w:rFonts w:cs="Times New Roman"/>
                <w:b/>
              </w:rPr>
              <w:t>Total</w:t>
            </w:r>
          </w:p>
        </w:tc>
        <w:tc>
          <w:tcPr>
            <w:tcW w:w="990" w:type="dxa"/>
            <w:shd w:val="clear" w:color="auto" w:fill="CFDCF0" w:themeFill="text2" w:themeFillTint="33"/>
            <w:noWrap/>
          </w:tcPr>
          <w:p w14:paraId="6C96917E" w14:textId="77777777" w:rsidR="00232460" w:rsidRPr="009C0A41" w:rsidRDefault="00232460" w:rsidP="00FB028B">
            <w:pPr>
              <w:jc w:val="center"/>
              <w:rPr>
                <w:rFonts w:cs="Times New Roman"/>
                <w:b/>
              </w:rPr>
            </w:pPr>
            <w:r w:rsidRPr="009C0A41">
              <w:rPr>
                <w:rFonts w:cs="Times New Roman"/>
                <w:b/>
              </w:rPr>
              <w:t>220</w:t>
            </w:r>
          </w:p>
        </w:tc>
        <w:tc>
          <w:tcPr>
            <w:tcW w:w="920" w:type="dxa"/>
            <w:shd w:val="clear" w:color="auto" w:fill="CFDCF0" w:themeFill="text2" w:themeFillTint="33"/>
          </w:tcPr>
          <w:p w14:paraId="67587D84" w14:textId="77777777" w:rsidR="00232460" w:rsidRPr="009C0A41" w:rsidRDefault="00232460" w:rsidP="00FB028B">
            <w:pPr>
              <w:jc w:val="center"/>
              <w:rPr>
                <w:rFonts w:cs="Times New Roman"/>
                <w:b/>
              </w:rPr>
            </w:pPr>
            <w:r w:rsidRPr="009C0A41">
              <w:rPr>
                <w:rFonts w:cs="Times New Roman"/>
                <w:b/>
              </w:rPr>
              <w:t>171</w:t>
            </w:r>
          </w:p>
        </w:tc>
        <w:tc>
          <w:tcPr>
            <w:tcW w:w="703" w:type="dxa"/>
            <w:shd w:val="clear" w:color="auto" w:fill="CFDCF0" w:themeFill="text2" w:themeFillTint="33"/>
          </w:tcPr>
          <w:p w14:paraId="48D41CC6" w14:textId="77777777" w:rsidR="00232460" w:rsidRPr="009C0A41" w:rsidRDefault="00232460" w:rsidP="00FB028B">
            <w:pPr>
              <w:jc w:val="center"/>
              <w:rPr>
                <w:rFonts w:cs="Times New Roman"/>
                <w:b/>
              </w:rPr>
            </w:pPr>
            <w:r w:rsidRPr="009C0A41">
              <w:rPr>
                <w:rFonts w:cs="Times New Roman"/>
                <w:b/>
              </w:rPr>
              <w:t>151</w:t>
            </w:r>
          </w:p>
        </w:tc>
      </w:tr>
    </w:tbl>
    <w:p w14:paraId="29F95D39" w14:textId="77777777" w:rsidR="00B51D91" w:rsidRDefault="00B51D91" w:rsidP="002420B6">
      <w:pPr>
        <w:textAlignment w:val="baseline"/>
        <w:rPr>
          <w:rFonts w:cs="Times New Roman"/>
        </w:rPr>
      </w:pPr>
    </w:p>
    <w:p w14:paraId="50F515F6" w14:textId="466AB3DA" w:rsidR="002420B6" w:rsidRPr="00415EEE" w:rsidRDefault="0035625D" w:rsidP="002420B6">
      <w:pPr>
        <w:textAlignment w:val="baseline"/>
        <w:rPr>
          <w:rFonts w:cs="Times New Roman"/>
        </w:rPr>
      </w:pPr>
      <w:r w:rsidRPr="002033AD">
        <w:rPr>
          <w:rFonts w:cs="Times New Roman"/>
        </w:rPr>
        <w:lastRenderedPageBreak/>
        <w:t>The</w:t>
      </w:r>
      <w:r>
        <w:rPr>
          <w:rFonts w:cs="Times New Roman"/>
        </w:rPr>
        <w:t>se</w:t>
      </w:r>
      <w:r w:rsidRPr="002033AD">
        <w:rPr>
          <w:rFonts w:cs="Times New Roman"/>
        </w:rPr>
        <w:t xml:space="preserve"> conditions </w:t>
      </w:r>
      <w:r>
        <w:rPr>
          <w:rFonts w:cs="Times New Roman"/>
        </w:rPr>
        <w:t xml:space="preserve">require </w:t>
      </w:r>
      <w:r w:rsidR="009328E5">
        <w:rPr>
          <w:rFonts w:cs="Times New Roman"/>
        </w:rPr>
        <w:t>specialized</w:t>
      </w:r>
      <w:r>
        <w:rPr>
          <w:rFonts w:cs="Times New Roman"/>
        </w:rPr>
        <w:t xml:space="preserve"> care and expertise when presented alongside </w:t>
      </w:r>
      <w:r w:rsidRPr="002033AD">
        <w:rPr>
          <w:rFonts w:cs="Times New Roman"/>
        </w:rPr>
        <w:t xml:space="preserve">one or more other </w:t>
      </w:r>
      <w:r>
        <w:rPr>
          <w:rFonts w:cs="Times New Roman"/>
        </w:rPr>
        <w:t>chronic conditions</w:t>
      </w:r>
      <w:r w:rsidRPr="002033AD">
        <w:rPr>
          <w:rFonts w:cs="Times New Roman"/>
        </w:rPr>
        <w:t xml:space="preserve"> </w:t>
      </w:r>
      <w:r>
        <w:rPr>
          <w:rFonts w:cs="Times New Roman"/>
        </w:rPr>
        <w:t>such as cardiovascular disease, infectious disease, and stroke</w:t>
      </w:r>
      <w:r w:rsidRPr="002033AD">
        <w:rPr>
          <w:rFonts w:cs="Times New Roman"/>
        </w:rPr>
        <w:t>.</w:t>
      </w:r>
      <w:r w:rsidR="004702A8">
        <w:rPr>
          <w:rFonts w:cs="Times New Roman"/>
        </w:rPr>
        <w:t xml:space="preserve"> The Applicant asserts that the Hospital </w:t>
      </w:r>
      <w:r w:rsidR="00D273AB">
        <w:rPr>
          <w:rFonts w:cs="Times New Roman"/>
        </w:rPr>
        <w:t>plays an</w:t>
      </w:r>
      <w:r w:rsidR="004702A8" w:rsidRPr="59D5926F">
        <w:rPr>
          <w:rFonts w:cs="Times New Roman"/>
        </w:rPr>
        <w:t xml:space="preserve"> </w:t>
      </w:r>
      <w:r w:rsidR="00D273AB" w:rsidRPr="59D5926F">
        <w:rPr>
          <w:rFonts w:cs="Times New Roman"/>
        </w:rPr>
        <w:t>i</w:t>
      </w:r>
      <w:r w:rsidR="00D273AB">
        <w:rPr>
          <w:rFonts w:cs="Times New Roman"/>
        </w:rPr>
        <w:t>mportant role</w:t>
      </w:r>
      <w:r w:rsidR="00D273AB" w:rsidRPr="59D5926F">
        <w:rPr>
          <w:rFonts w:cs="Times New Roman"/>
        </w:rPr>
        <w:t xml:space="preserve"> </w:t>
      </w:r>
      <w:r w:rsidR="00D273AB">
        <w:rPr>
          <w:rFonts w:cs="Times New Roman"/>
        </w:rPr>
        <w:t>in providing</w:t>
      </w:r>
      <w:r w:rsidR="004702A8">
        <w:rPr>
          <w:rFonts w:cs="Times New Roman"/>
        </w:rPr>
        <w:t xml:space="preserve"> the Patient Panel has access to long-term hospital services</w:t>
      </w:r>
      <w:r w:rsidR="00415EEE">
        <w:rPr>
          <w:rFonts w:cs="Times New Roman"/>
        </w:rPr>
        <w:t xml:space="preserve">. </w:t>
      </w:r>
      <w:r w:rsidR="002420B6">
        <w:t>To highlight acute care hospitals</w:t>
      </w:r>
      <w:r w:rsidR="00C3362E">
        <w:t>’ reliance on the Hospital</w:t>
      </w:r>
      <w:r w:rsidR="002420B6">
        <w:t xml:space="preserve">, the Applicant provided Table </w:t>
      </w:r>
      <w:r w:rsidR="00415EEE">
        <w:t>4</w:t>
      </w:r>
      <w:r w:rsidR="002420B6">
        <w:t xml:space="preserve"> showing the volume of referrals from </w:t>
      </w:r>
      <w:r w:rsidR="00420BA9">
        <w:t>hospitals across the Commonwealth</w:t>
      </w:r>
      <w:r w:rsidR="002420B6">
        <w:t>.</w:t>
      </w:r>
      <w:r w:rsidR="00873949">
        <w:t xml:space="preserve"> The Applicant notes that referrals increased beginning in 2023 after </w:t>
      </w:r>
      <w:r w:rsidR="00873949" w:rsidRPr="00AE2C33">
        <w:t xml:space="preserve">Vibra Hospital increased its outreach programs and other marketing efforts to referring providers.  </w:t>
      </w:r>
    </w:p>
    <w:p w14:paraId="65586D7C" w14:textId="77777777" w:rsidR="002420B6" w:rsidRDefault="002420B6" w:rsidP="002420B6">
      <w:pPr>
        <w:textAlignment w:val="baseline"/>
      </w:pPr>
    </w:p>
    <w:p w14:paraId="0C6D1633" w14:textId="6CFE5480" w:rsidR="002420B6" w:rsidRPr="00CC197E" w:rsidRDefault="002420B6" w:rsidP="002420B6">
      <w:pPr>
        <w:jc w:val="center"/>
        <w:textAlignment w:val="baseline"/>
        <w:rPr>
          <w:b/>
          <w:bCs/>
          <w:color w:val="234170" w:themeColor="text2" w:themeShade="BF"/>
        </w:rPr>
      </w:pPr>
      <w:r w:rsidRPr="00CC197E">
        <w:rPr>
          <w:b/>
          <w:bCs/>
          <w:color w:val="234170" w:themeColor="text2" w:themeShade="BF"/>
          <w:u w:val="single"/>
        </w:rPr>
        <w:t xml:space="preserve">Table </w:t>
      </w:r>
      <w:r w:rsidR="00415EEE">
        <w:rPr>
          <w:b/>
          <w:bCs/>
          <w:color w:val="234170" w:themeColor="text2" w:themeShade="BF"/>
          <w:u w:val="single"/>
        </w:rPr>
        <w:t>4</w:t>
      </w:r>
      <w:r w:rsidRPr="00CC197E">
        <w:rPr>
          <w:b/>
          <w:bCs/>
          <w:color w:val="234170" w:themeColor="text2" w:themeShade="BF"/>
          <w:u w:val="single"/>
        </w:rPr>
        <w:t>:</w:t>
      </w:r>
      <w:r w:rsidRPr="00CC197E">
        <w:rPr>
          <w:b/>
          <w:bCs/>
          <w:color w:val="234170" w:themeColor="text2" w:themeShade="BF"/>
        </w:rPr>
        <w:t xml:space="preserve"> Volume of Intake Referrals from Acute Care Hospitals</w:t>
      </w:r>
    </w:p>
    <w:tbl>
      <w:tblPr>
        <w:tblStyle w:val="ListTable1Light-Accent1"/>
        <w:tblW w:w="7767" w:type="dxa"/>
        <w:jc w:val="center"/>
        <w:tblLook w:val="04A0" w:firstRow="1" w:lastRow="0" w:firstColumn="1" w:lastColumn="0" w:noHBand="0" w:noVBand="1"/>
      </w:tblPr>
      <w:tblGrid>
        <w:gridCol w:w="4329"/>
        <w:gridCol w:w="1146"/>
        <w:gridCol w:w="1146"/>
        <w:gridCol w:w="1146"/>
      </w:tblGrid>
      <w:tr w:rsidR="002420B6" w:rsidRPr="00E93FD0" w14:paraId="73ACE149" w14:textId="77777777" w:rsidTr="00EF5FB4">
        <w:trPr>
          <w:cnfStyle w:val="100000000000" w:firstRow="1" w:lastRow="0" w:firstColumn="0" w:lastColumn="0" w:oddVBand="0" w:evenVBand="0" w:oddHBand="0" w:evenHBand="0" w:firstRowFirstColumn="0" w:firstRowLastColumn="0" w:lastRowFirstColumn="0" w:lastRowLastColumn="0"/>
          <w:cantSplit/>
          <w:trHeight w:hRule="exact" w:val="317"/>
          <w:tblHeader/>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4FF9686F" w14:textId="77777777" w:rsidR="002420B6" w:rsidRPr="00E93FD0" w:rsidRDefault="002420B6" w:rsidP="00FB028B">
            <w:pPr>
              <w:rPr>
                <w:rFonts w:ascii="Calibri" w:eastAsia="Times New Roman" w:hAnsi="Calibri" w:cs="Calibri"/>
                <w:b w:val="0"/>
                <w:bCs w:val="0"/>
                <w:sz w:val="24"/>
                <w:szCs w:val="24"/>
              </w:rPr>
            </w:pPr>
            <w:r w:rsidRPr="00E93FD0">
              <w:rPr>
                <w:rFonts w:ascii="Calibri" w:eastAsia="Times New Roman" w:hAnsi="Calibri" w:cs="Calibri"/>
                <w:sz w:val="24"/>
                <w:szCs w:val="24"/>
              </w:rPr>
              <w:t>Referring Provider</w:t>
            </w:r>
          </w:p>
        </w:tc>
        <w:tc>
          <w:tcPr>
            <w:tcW w:w="1146" w:type="dxa"/>
            <w:noWrap/>
            <w:vAlign w:val="center"/>
            <w:hideMark/>
          </w:tcPr>
          <w:p w14:paraId="2E285639" w14:textId="77777777" w:rsidR="002420B6" w:rsidRPr="00E93FD0" w:rsidRDefault="002420B6" w:rsidP="00FB028B">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24"/>
                <w:szCs w:val="24"/>
              </w:rPr>
            </w:pPr>
            <w:r w:rsidRPr="00E93FD0">
              <w:rPr>
                <w:rFonts w:ascii="Aptos Narrow" w:eastAsia="Times New Roman" w:hAnsi="Aptos Narrow" w:cs="Times New Roman"/>
                <w:sz w:val="24"/>
                <w:szCs w:val="24"/>
              </w:rPr>
              <w:t>2022</w:t>
            </w:r>
          </w:p>
        </w:tc>
        <w:tc>
          <w:tcPr>
            <w:tcW w:w="1146" w:type="dxa"/>
            <w:noWrap/>
            <w:vAlign w:val="center"/>
            <w:hideMark/>
          </w:tcPr>
          <w:p w14:paraId="5C8091C3" w14:textId="77777777" w:rsidR="002420B6" w:rsidRPr="00E93FD0" w:rsidRDefault="002420B6" w:rsidP="00FB028B">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24"/>
                <w:szCs w:val="24"/>
              </w:rPr>
            </w:pPr>
            <w:r w:rsidRPr="00E93FD0">
              <w:rPr>
                <w:rFonts w:ascii="Aptos Narrow" w:eastAsia="Times New Roman" w:hAnsi="Aptos Narrow" w:cs="Times New Roman"/>
                <w:sz w:val="24"/>
                <w:szCs w:val="24"/>
              </w:rPr>
              <w:t>2023</w:t>
            </w:r>
          </w:p>
        </w:tc>
        <w:tc>
          <w:tcPr>
            <w:tcW w:w="1146" w:type="dxa"/>
            <w:noWrap/>
            <w:vAlign w:val="center"/>
            <w:hideMark/>
          </w:tcPr>
          <w:p w14:paraId="4B64C380" w14:textId="77777777" w:rsidR="002420B6" w:rsidRPr="00E93FD0" w:rsidRDefault="002420B6" w:rsidP="00FB028B">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24"/>
                <w:szCs w:val="24"/>
              </w:rPr>
            </w:pPr>
            <w:r w:rsidRPr="00E93FD0">
              <w:rPr>
                <w:rFonts w:ascii="Aptos Narrow" w:eastAsia="Times New Roman" w:hAnsi="Aptos Narrow" w:cs="Times New Roman"/>
                <w:sz w:val="24"/>
                <w:szCs w:val="24"/>
              </w:rPr>
              <w:t>2024</w:t>
            </w:r>
          </w:p>
        </w:tc>
      </w:tr>
      <w:tr w:rsidR="002420B6" w:rsidRPr="00E93FD0" w14:paraId="26EF681E"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4A4B9AEA" w14:textId="77777777" w:rsidR="002420B6" w:rsidRPr="00E93FD0" w:rsidRDefault="002420B6" w:rsidP="00FB028B">
            <w:pPr>
              <w:rPr>
                <w:rFonts w:ascii="Aptos Narrow" w:eastAsia="Times New Roman" w:hAnsi="Aptos Narrow" w:cs="Times New Roman"/>
              </w:rPr>
            </w:pPr>
            <w:r w:rsidRPr="00E93FD0">
              <w:rPr>
                <w:rFonts w:ascii="Aptos Narrow" w:eastAsia="Times New Roman" w:hAnsi="Aptos Narrow" w:cs="Times New Roman"/>
              </w:rPr>
              <w:t>UMass Memorial University</w:t>
            </w:r>
          </w:p>
        </w:tc>
        <w:tc>
          <w:tcPr>
            <w:tcW w:w="1146" w:type="dxa"/>
            <w:noWrap/>
            <w:vAlign w:val="center"/>
            <w:hideMark/>
          </w:tcPr>
          <w:p w14:paraId="5182E457" w14:textId="77777777" w:rsidR="002420B6" w:rsidRPr="00E93FD0"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100</w:t>
            </w:r>
          </w:p>
        </w:tc>
        <w:tc>
          <w:tcPr>
            <w:tcW w:w="1146" w:type="dxa"/>
            <w:vAlign w:val="center"/>
            <w:hideMark/>
          </w:tcPr>
          <w:p w14:paraId="257EB593" w14:textId="77777777" w:rsidR="002420B6" w:rsidRPr="00E93FD0"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224</w:t>
            </w:r>
          </w:p>
        </w:tc>
        <w:tc>
          <w:tcPr>
            <w:tcW w:w="1146" w:type="dxa"/>
            <w:noWrap/>
            <w:vAlign w:val="center"/>
            <w:hideMark/>
          </w:tcPr>
          <w:p w14:paraId="09088553" w14:textId="77777777" w:rsidR="002420B6" w:rsidRPr="00E93FD0"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195</w:t>
            </w:r>
          </w:p>
        </w:tc>
      </w:tr>
      <w:tr w:rsidR="002420B6" w:rsidRPr="00E93FD0" w14:paraId="2E6984AE"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497A0BC2" w14:textId="77777777" w:rsidR="002420B6" w:rsidRPr="00E93FD0" w:rsidRDefault="002420B6" w:rsidP="00FB028B">
            <w:pPr>
              <w:rPr>
                <w:rFonts w:ascii="Aptos Narrow" w:eastAsia="Times New Roman" w:hAnsi="Aptos Narrow" w:cs="Times New Roman"/>
              </w:rPr>
            </w:pPr>
            <w:r w:rsidRPr="00E93FD0">
              <w:rPr>
                <w:rFonts w:ascii="Aptos Narrow" w:eastAsia="Times New Roman" w:hAnsi="Aptos Narrow" w:cs="Times New Roman"/>
              </w:rPr>
              <w:t>Baystate Medical Center</w:t>
            </w:r>
          </w:p>
        </w:tc>
        <w:tc>
          <w:tcPr>
            <w:tcW w:w="1146" w:type="dxa"/>
            <w:noWrap/>
            <w:vAlign w:val="center"/>
            <w:hideMark/>
          </w:tcPr>
          <w:p w14:paraId="6A21E88A" w14:textId="77777777" w:rsidR="002420B6" w:rsidRPr="00E93FD0"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45</w:t>
            </w:r>
          </w:p>
        </w:tc>
        <w:tc>
          <w:tcPr>
            <w:tcW w:w="1146" w:type="dxa"/>
            <w:vAlign w:val="center"/>
            <w:hideMark/>
          </w:tcPr>
          <w:p w14:paraId="31E2F8E2" w14:textId="77777777" w:rsidR="002420B6" w:rsidRPr="00E93FD0"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146</w:t>
            </w:r>
          </w:p>
        </w:tc>
        <w:tc>
          <w:tcPr>
            <w:tcW w:w="1146" w:type="dxa"/>
            <w:noWrap/>
            <w:vAlign w:val="center"/>
            <w:hideMark/>
          </w:tcPr>
          <w:p w14:paraId="6B72CE84" w14:textId="77777777" w:rsidR="002420B6" w:rsidRPr="00E93FD0"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133</w:t>
            </w:r>
          </w:p>
        </w:tc>
      </w:tr>
      <w:tr w:rsidR="002420B6" w:rsidRPr="00E93FD0" w14:paraId="6B48BB36"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2113E240" w14:textId="77777777" w:rsidR="002420B6" w:rsidRPr="00E93FD0" w:rsidRDefault="002420B6" w:rsidP="00FB028B">
            <w:pPr>
              <w:rPr>
                <w:rFonts w:ascii="Aptos Narrow" w:eastAsia="Times New Roman" w:hAnsi="Aptos Narrow" w:cs="Times New Roman"/>
              </w:rPr>
            </w:pPr>
            <w:r w:rsidRPr="00E93FD0">
              <w:rPr>
                <w:rFonts w:ascii="Aptos Narrow" w:eastAsia="Times New Roman" w:hAnsi="Aptos Narrow" w:cs="Times New Roman"/>
              </w:rPr>
              <w:t>St. Vincent's Hospital</w:t>
            </w:r>
          </w:p>
        </w:tc>
        <w:tc>
          <w:tcPr>
            <w:tcW w:w="1146" w:type="dxa"/>
            <w:noWrap/>
            <w:vAlign w:val="center"/>
            <w:hideMark/>
          </w:tcPr>
          <w:p w14:paraId="12DB7F54" w14:textId="77777777" w:rsidR="002420B6" w:rsidRPr="00E93FD0"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31</w:t>
            </w:r>
          </w:p>
        </w:tc>
        <w:tc>
          <w:tcPr>
            <w:tcW w:w="1146" w:type="dxa"/>
            <w:vAlign w:val="center"/>
            <w:hideMark/>
          </w:tcPr>
          <w:p w14:paraId="09B07756" w14:textId="77777777" w:rsidR="002420B6" w:rsidRPr="00E93FD0"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60</w:t>
            </w:r>
          </w:p>
        </w:tc>
        <w:tc>
          <w:tcPr>
            <w:tcW w:w="1146" w:type="dxa"/>
            <w:noWrap/>
            <w:vAlign w:val="center"/>
            <w:hideMark/>
          </w:tcPr>
          <w:p w14:paraId="51DECC19" w14:textId="77777777" w:rsidR="002420B6" w:rsidRPr="00E93FD0"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49</w:t>
            </w:r>
          </w:p>
        </w:tc>
      </w:tr>
      <w:tr w:rsidR="002420B6" w:rsidRPr="009E1729" w14:paraId="4117581C"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noWrap/>
            <w:vAlign w:val="center"/>
            <w:hideMark/>
          </w:tcPr>
          <w:p w14:paraId="6043088B"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UMass Memorial</w:t>
            </w:r>
          </w:p>
        </w:tc>
        <w:tc>
          <w:tcPr>
            <w:tcW w:w="1146" w:type="dxa"/>
            <w:noWrap/>
            <w:vAlign w:val="center"/>
            <w:hideMark/>
          </w:tcPr>
          <w:p w14:paraId="06AB9524"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45</w:t>
            </w:r>
          </w:p>
        </w:tc>
        <w:tc>
          <w:tcPr>
            <w:tcW w:w="1146" w:type="dxa"/>
            <w:vAlign w:val="center"/>
            <w:hideMark/>
          </w:tcPr>
          <w:p w14:paraId="7F8534FB"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90</w:t>
            </w:r>
          </w:p>
        </w:tc>
        <w:tc>
          <w:tcPr>
            <w:tcW w:w="1146" w:type="dxa"/>
            <w:noWrap/>
            <w:vAlign w:val="center"/>
            <w:hideMark/>
          </w:tcPr>
          <w:p w14:paraId="344E7626"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67</w:t>
            </w:r>
          </w:p>
        </w:tc>
      </w:tr>
      <w:tr w:rsidR="002420B6" w:rsidRPr="009E1729" w14:paraId="57508664"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379C0EE0"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Leominster Hospital</w:t>
            </w:r>
          </w:p>
        </w:tc>
        <w:tc>
          <w:tcPr>
            <w:tcW w:w="1146" w:type="dxa"/>
            <w:noWrap/>
            <w:vAlign w:val="center"/>
            <w:hideMark/>
          </w:tcPr>
          <w:p w14:paraId="78F38602"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17</w:t>
            </w:r>
          </w:p>
        </w:tc>
        <w:tc>
          <w:tcPr>
            <w:tcW w:w="1146" w:type="dxa"/>
            <w:vAlign w:val="center"/>
            <w:hideMark/>
          </w:tcPr>
          <w:p w14:paraId="3168E460"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32</w:t>
            </w:r>
          </w:p>
        </w:tc>
        <w:tc>
          <w:tcPr>
            <w:tcW w:w="1146" w:type="dxa"/>
            <w:noWrap/>
            <w:vAlign w:val="center"/>
            <w:hideMark/>
          </w:tcPr>
          <w:p w14:paraId="200E1536"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21</w:t>
            </w:r>
          </w:p>
        </w:tc>
      </w:tr>
      <w:tr w:rsidR="002420B6" w:rsidRPr="009E1729" w14:paraId="16B76363"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474098FF"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Harrington Memorial Hospital</w:t>
            </w:r>
          </w:p>
        </w:tc>
        <w:tc>
          <w:tcPr>
            <w:tcW w:w="1146" w:type="dxa"/>
            <w:noWrap/>
            <w:vAlign w:val="center"/>
            <w:hideMark/>
          </w:tcPr>
          <w:p w14:paraId="143A5358"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1C9C0F3E"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21</w:t>
            </w:r>
          </w:p>
        </w:tc>
        <w:tc>
          <w:tcPr>
            <w:tcW w:w="1146" w:type="dxa"/>
            <w:noWrap/>
            <w:vAlign w:val="center"/>
            <w:hideMark/>
          </w:tcPr>
          <w:p w14:paraId="2A0180D0"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r>
      <w:tr w:rsidR="002420B6" w:rsidRPr="009E1729" w14:paraId="18E171D7"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146C8CCF"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Mercy Medical Center Springfield</w:t>
            </w:r>
          </w:p>
        </w:tc>
        <w:tc>
          <w:tcPr>
            <w:tcW w:w="1146" w:type="dxa"/>
            <w:noWrap/>
            <w:vAlign w:val="center"/>
            <w:hideMark/>
          </w:tcPr>
          <w:p w14:paraId="23628B63"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168A128F"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34</w:t>
            </w:r>
          </w:p>
        </w:tc>
        <w:tc>
          <w:tcPr>
            <w:tcW w:w="1146" w:type="dxa"/>
            <w:noWrap/>
            <w:vAlign w:val="center"/>
            <w:hideMark/>
          </w:tcPr>
          <w:p w14:paraId="49F6B743"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90</w:t>
            </w:r>
          </w:p>
        </w:tc>
      </w:tr>
      <w:tr w:rsidR="002420B6" w:rsidRPr="009E1729" w14:paraId="32A4CE2B"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1BD8F92F"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Cooley Dickinson Hospital</w:t>
            </w:r>
          </w:p>
        </w:tc>
        <w:tc>
          <w:tcPr>
            <w:tcW w:w="1146" w:type="dxa"/>
            <w:noWrap/>
            <w:vAlign w:val="center"/>
            <w:hideMark/>
          </w:tcPr>
          <w:p w14:paraId="6DDC3CC3"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351409FD"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16</w:t>
            </w:r>
          </w:p>
        </w:tc>
        <w:tc>
          <w:tcPr>
            <w:tcW w:w="1146" w:type="dxa"/>
            <w:noWrap/>
            <w:vAlign w:val="center"/>
            <w:hideMark/>
          </w:tcPr>
          <w:p w14:paraId="5CD00035"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r>
      <w:tr w:rsidR="002420B6" w:rsidRPr="009E1729" w14:paraId="5C52050A"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77860416"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Lahey Hospital and Medical Center</w:t>
            </w:r>
          </w:p>
        </w:tc>
        <w:tc>
          <w:tcPr>
            <w:tcW w:w="1146" w:type="dxa"/>
            <w:noWrap/>
            <w:vAlign w:val="center"/>
            <w:hideMark/>
          </w:tcPr>
          <w:p w14:paraId="6B57B03C"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1E10CB89"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51</w:t>
            </w:r>
          </w:p>
        </w:tc>
        <w:tc>
          <w:tcPr>
            <w:tcW w:w="1146" w:type="dxa"/>
            <w:noWrap/>
            <w:vAlign w:val="center"/>
            <w:hideMark/>
          </w:tcPr>
          <w:p w14:paraId="055D033E"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18</w:t>
            </w:r>
          </w:p>
        </w:tc>
      </w:tr>
      <w:tr w:rsidR="002420B6" w:rsidRPr="009E1729" w14:paraId="25AFBAEF"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51982E38"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Brigham &amp; Women's Hospital</w:t>
            </w:r>
          </w:p>
        </w:tc>
        <w:tc>
          <w:tcPr>
            <w:tcW w:w="1146" w:type="dxa"/>
            <w:noWrap/>
            <w:vAlign w:val="center"/>
            <w:hideMark/>
          </w:tcPr>
          <w:p w14:paraId="5631EF29" w14:textId="77777777" w:rsidR="002420B6" w:rsidRPr="00490853"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rPr>
            </w:pPr>
            <w:r>
              <w:rPr>
                <w:rFonts w:ascii="Aptos Narrow" w:eastAsia="Times New Roman" w:hAnsi="Aptos Narrow" w:cs="Times New Roman"/>
                <w:color w:val="000000"/>
              </w:rPr>
              <w:t>&lt;11</w:t>
            </w:r>
          </w:p>
        </w:tc>
        <w:tc>
          <w:tcPr>
            <w:tcW w:w="1146" w:type="dxa"/>
            <w:vAlign w:val="center"/>
            <w:hideMark/>
          </w:tcPr>
          <w:p w14:paraId="54B0E969"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29</w:t>
            </w:r>
          </w:p>
        </w:tc>
        <w:tc>
          <w:tcPr>
            <w:tcW w:w="1146" w:type="dxa"/>
            <w:noWrap/>
            <w:vAlign w:val="center"/>
            <w:hideMark/>
          </w:tcPr>
          <w:p w14:paraId="21F7421B"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15</w:t>
            </w:r>
          </w:p>
        </w:tc>
      </w:tr>
      <w:tr w:rsidR="002420B6" w:rsidRPr="009E1729" w14:paraId="7E83D986"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61A33458"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Holyoke Medical Center</w:t>
            </w:r>
          </w:p>
        </w:tc>
        <w:tc>
          <w:tcPr>
            <w:tcW w:w="1146" w:type="dxa"/>
            <w:noWrap/>
            <w:vAlign w:val="center"/>
            <w:hideMark/>
          </w:tcPr>
          <w:p w14:paraId="4D1C05C9"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4716C67D"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17</w:t>
            </w:r>
          </w:p>
        </w:tc>
        <w:tc>
          <w:tcPr>
            <w:tcW w:w="1146" w:type="dxa"/>
            <w:noWrap/>
            <w:vAlign w:val="center"/>
            <w:hideMark/>
          </w:tcPr>
          <w:p w14:paraId="4FC9746A"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17</w:t>
            </w:r>
          </w:p>
        </w:tc>
      </w:tr>
      <w:tr w:rsidR="002420B6" w:rsidRPr="009E1729" w14:paraId="32AA4ADC"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233CF3C6"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Massachusetts General Hospital</w:t>
            </w:r>
          </w:p>
        </w:tc>
        <w:tc>
          <w:tcPr>
            <w:tcW w:w="1146" w:type="dxa"/>
            <w:noWrap/>
            <w:vAlign w:val="center"/>
            <w:hideMark/>
          </w:tcPr>
          <w:p w14:paraId="7460C3C6"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3F4382C2"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1BFC21D3"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16</w:t>
            </w:r>
          </w:p>
        </w:tc>
      </w:tr>
      <w:tr w:rsidR="002420B6" w:rsidRPr="009E1729" w14:paraId="61CF6CC2"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4A069E08"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Henry Heywood Hospital</w:t>
            </w:r>
          </w:p>
        </w:tc>
        <w:tc>
          <w:tcPr>
            <w:tcW w:w="1146" w:type="dxa"/>
            <w:noWrap/>
            <w:vAlign w:val="center"/>
            <w:hideMark/>
          </w:tcPr>
          <w:p w14:paraId="7AE97703"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6987B3AF"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31</w:t>
            </w:r>
          </w:p>
        </w:tc>
        <w:tc>
          <w:tcPr>
            <w:tcW w:w="1146" w:type="dxa"/>
            <w:noWrap/>
            <w:vAlign w:val="center"/>
            <w:hideMark/>
          </w:tcPr>
          <w:p w14:paraId="16053BAF"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20</w:t>
            </w:r>
          </w:p>
        </w:tc>
      </w:tr>
      <w:tr w:rsidR="002420B6" w:rsidRPr="009E1729" w14:paraId="20D8012E"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6D8C338D"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Metro West Framingham</w:t>
            </w:r>
          </w:p>
        </w:tc>
        <w:tc>
          <w:tcPr>
            <w:tcW w:w="1146" w:type="dxa"/>
            <w:noWrap/>
            <w:vAlign w:val="center"/>
            <w:hideMark/>
          </w:tcPr>
          <w:p w14:paraId="36A2A9B3"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19550D13"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15</w:t>
            </w:r>
          </w:p>
        </w:tc>
        <w:tc>
          <w:tcPr>
            <w:tcW w:w="1146" w:type="dxa"/>
            <w:noWrap/>
            <w:vAlign w:val="center"/>
            <w:hideMark/>
          </w:tcPr>
          <w:p w14:paraId="6EE34B98"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19</w:t>
            </w:r>
          </w:p>
        </w:tc>
      </w:tr>
      <w:tr w:rsidR="002420B6" w:rsidRPr="009E1729" w14:paraId="6E23C2E8"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19B1F809"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Emerson Hospital</w:t>
            </w:r>
          </w:p>
        </w:tc>
        <w:tc>
          <w:tcPr>
            <w:tcW w:w="1146" w:type="dxa"/>
            <w:noWrap/>
            <w:vAlign w:val="center"/>
            <w:hideMark/>
          </w:tcPr>
          <w:p w14:paraId="5B853F32"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21D63769"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40</w:t>
            </w:r>
          </w:p>
        </w:tc>
        <w:tc>
          <w:tcPr>
            <w:tcW w:w="1146" w:type="dxa"/>
            <w:noWrap/>
            <w:vAlign w:val="center"/>
            <w:hideMark/>
          </w:tcPr>
          <w:p w14:paraId="32186D3E"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27</w:t>
            </w:r>
          </w:p>
        </w:tc>
      </w:tr>
      <w:tr w:rsidR="002420B6" w:rsidRPr="009E1729" w14:paraId="418E5112"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6CF920E2"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Beth Israel Deaconess Medical Center</w:t>
            </w:r>
          </w:p>
        </w:tc>
        <w:tc>
          <w:tcPr>
            <w:tcW w:w="1146" w:type="dxa"/>
            <w:noWrap/>
            <w:vAlign w:val="center"/>
            <w:hideMark/>
          </w:tcPr>
          <w:p w14:paraId="2C6F7FCE"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4C86C57F"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48</w:t>
            </w:r>
          </w:p>
        </w:tc>
        <w:tc>
          <w:tcPr>
            <w:tcW w:w="1146" w:type="dxa"/>
            <w:noWrap/>
            <w:vAlign w:val="center"/>
            <w:hideMark/>
          </w:tcPr>
          <w:p w14:paraId="695373CC"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25</w:t>
            </w:r>
          </w:p>
        </w:tc>
      </w:tr>
      <w:tr w:rsidR="002420B6" w:rsidRPr="009E1729" w14:paraId="002AA45D"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0BC8F1F7"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Beverly Hospital</w:t>
            </w:r>
          </w:p>
        </w:tc>
        <w:tc>
          <w:tcPr>
            <w:tcW w:w="1146" w:type="dxa"/>
            <w:noWrap/>
            <w:vAlign w:val="center"/>
            <w:hideMark/>
          </w:tcPr>
          <w:p w14:paraId="36F73CB7"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45E103DC"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645DDE6B"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r>
      <w:tr w:rsidR="002420B6" w:rsidRPr="009E1729" w14:paraId="730C08FA"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7EF03010"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Boston Medical Center</w:t>
            </w:r>
          </w:p>
        </w:tc>
        <w:tc>
          <w:tcPr>
            <w:tcW w:w="1146" w:type="dxa"/>
            <w:noWrap/>
            <w:vAlign w:val="center"/>
            <w:hideMark/>
          </w:tcPr>
          <w:p w14:paraId="5F70E36D"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1146" w:type="dxa"/>
            <w:vAlign w:val="center"/>
            <w:hideMark/>
          </w:tcPr>
          <w:p w14:paraId="08D1C05E"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71CD7B9C"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r>
      <w:tr w:rsidR="002420B6" w:rsidRPr="009E1729" w14:paraId="6A9C438E"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2FC16205"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Milford Regional Hospital</w:t>
            </w:r>
          </w:p>
        </w:tc>
        <w:tc>
          <w:tcPr>
            <w:tcW w:w="1146" w:type="dxa"/>
            <w:noWrap/>
            <w:vAlign w:val="center"/>
            <w:hideMark/>
          </w:tcPr>
          <w:p w14:paraId="28DA35C1"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564D0215"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46</w:t>
            </w:r>
          </w:p>
        </w:tc>
        <w:tc>
          <w:tcPr>
            <w:tcW w:w="1146" w:type="dxa"/>
            <w:noWrap/>
            <w:vAlign w:val="center"/>
            <w:hideMark/>
          </w:tcPr>
          <w:p w14:paraId="6355B8B8"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25</w:t>
            </w:r>
          </w:p>
        </w:tc>
      </w:tr>
      <w:tr w:rsidR="002420B6" w:rsidRPr="009E1729" w14:paraId="326C236C"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07D8A131" w14:textId="77777777" w:rsidR="002420B6" w:rsidRPr="009E1729" w:rsidRDefault="002420B6" w:rsidP="00FB028B">
            <w:pPr>
              <w:rPr>
                <w:rFonts w:ascii="Aptos Narrow" w:eastAsia="Times New Roman" w:hAnsi="Aptos Narrow" w:cs="Times New Roman"/>
                <w:color w:val="000000"/>
              </w:rPr>
            </w:pPr>
            <w:r w:rsidRPr="009E1729">
              <w:rPr>
                <w:rFonts w:ascii="Aptos Narrow" w:eastAsia="Times New Roman" w:hAnsi="Aptos Narrow" w:cs="Times New Roman"/>
                <w:color w:val="000000"/>
              </w:rPr>
              <w:t>Tufts New England Medical Center</w:t>
            </w:r>
          </w:p>
        </w:tc>
        <w:tc>
          <w:tcPr>
            <w:tcW w:w="1146" w:type="dxa"/>
            <w:noWrap/>
            <w:vAlign w:val="center"/>
            <w:hideMark/>
          </w:tcPr>
          <w:p w14:paraId="1CAC78EB"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1FA797FB"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37</w:t>
            </w:r>
          </w:p>
        </w:tc>
        <w:tc>
          <w:tcPr>
            <w:tcW w:w="1146" w:type="dxa"/>
            <w:noWrap/>
            <w:vAlign w:val="center"/>
            <w:hideMark/>
          </w:tcPr>
          <w:p w14:paraId="7B7E2C08"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33</w:t>
            </w:r>
          </w:p>
        </w:tc>
      </w:tr>
      <w:tr w:rsidR="002420B6" w:rsidRPr="009E1729" w14:paraId="640107AC"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tcPr>
          <w:p w14:paraId="7997AB17" w14:textId="77777777" w:rsidR="002420B6" w:rsidRPr="009E1729" w:rsidRDefault="002420B6" w:rsidP="00FB028B">
            <w:pPr>
              <w:rPr>
                <w:rFonts w:ascii="Aptos Narrow" w:eastAsia="Times New Roman" w:hAnsi="Aptos Narrow" w:cs="Times New Roman"/>
                <w:color w:val="000000"/>
              </w:rPr>
            </w:pPr>
            <w:r>
              <w:rPr>
                <w:rFonts w:ascii="Aptos Narrow" w:eastAsia="Times New Roman" w:hAnsi="Aptos Narrow" w:cs="Times New Roman"/>
                <w:color w:val="000000"/>
              </w:rPr>
              <w:t>Other Massachusetts</w:t>
            </w:r>
            <w:r>
              <w:rPr>
                <w:rStyle w:val="FootnoteReference"/>
                <w:rFonts w:ascii="Aptos Narrow" w:eastAsia="Times New Roman" w:hAnsi="Aptos Narrow" w:cs="Times New Roman"/>
                <w:color w:val="000000"/>
              </w:rPr>
              <w:footnoteReference w:id="9"/>
            </w:r>
          </w:p>
        </w:tc>
        <w:tc>
          <w:tcPr>
            <w:tcW w:w="1146" w:type="dxa"/>
            <w:noWrap/>
            <w:vAlign w:val="center"/>
          </w:tcPr>
          <w:p w14:paraId="4A8B8EC9"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tcPr>
          <w:p w14:paraId="66F1918E"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111</w:t>
            </w:r>
          </w:p>
        </w:tc>
        <w:tc>
          <w:tcPr>
            <w:tcW w:w="1146" w:type="dxa"/>
            <w:noWrap/>
            <w:vAlign w:val="center"/>
          </w:tcPr>
          <w:p w14:paraId="5C69DAF0" w14:textId="77777777" w:rsidR="002420B6" w:rsidRPr="009E1729"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86</w:t>
            </w:r>
          </w:p>
        </w:tc>
      </w:tr>
      <w:tr w:rsidR="002420B6" w:rsidRPr="009E1729" w14:paraId="0F0B1AB0" w14:textId="77777777" w:rsidTr="00EF5FB4">
        <w:trPr>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tcPr>
          <w:p w14:paraId="16902D33" w14:textId="77777777" w:rsidR="002420B6" w:rsidRDefault="002420B6" w:rsidP="00FB028B">
            <w:pPr>
              <w:rPr>
                <w:rFonts w:ascii="Aptos Narrow" w:eastAsia="Times New Roman" w:hAnsi="Aptos Narrow" w:cs="Times New Roman"/>
                <w:color w:val="000000"/>
              </w:rPr>
            </w:pPr>
            <w:r>
              <w:rPr>
                <w:rFonts w:ascii="Aptos Narrow" w:eastAsia="Times New Roman" w:hAnsi="Aptos Narrow" w:cs="Times New Roman"/>
                <w:color w:val="000000"/>
              </w:rPr>
              <w:t>Out of State</w:t>
            </w:r>
            <w:r>
              <w:rPr>
                <w:rStyle w:val="FootnoteReference"/>
                <w:rFonts w:ascii="Aptos Narrow" w:eastAsia="Times New Roman" w:hAnsi="Aptos Narrow" w:cs="Times New Roman"/>
                <w:color w:val="000000"/>
              </w:rPr>
              <w:footnoteReference w:id="10"/>
            </w:r>
          </w:p>
        </w:tc>
        <w:tc>
          <w:tcPr>
            <w:tcW w:w="1146" w:type="dxa"/>
            <w:noWrap/>
            <w:vAlign w:val="center"/>
          </w:tcPr>
          <w:p w14:paraId="3422BD98"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tcPr>
          <w:p w14:paraId="33D02F4F"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109</w:t>
            </w:r>
          </w:p>
        </w:tc>
        <w:tc>
          <w:tcPr>
            <w:tcW w:w="1146" w:type="dxa"/>
            <w:noWrap/>
            <w:vAlign w:val="center"/>
          </w:tcPr>
          <w:p w14:paraId="54B3C14A" w14:textId="77777777" w:rsidR="002420B6" w:rsidRPr="009E1729" w:rsidRDefault="002420B6" w:rsidP="00FB028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104</w:t>
            </w:r>
          </w:p>
        </w:tc>
      </w:tr>
      <w:tr w:rsidR="002420B6" w:rsidRPr="009E1729" w14:paraId="2284BC17" w14:textId="77777777" w:rsidTr="00EF5FB4">
        <w:trPr>
          <w:cnfStyle w:val="000000100000" w:firstRow="0" w:lastRow="0" w:firstColumn="0" w:lastColumn="0" w:oddVBand="0" w:evenVBand="0" w:oddHBand="1" w:evenHBand="0" w:firstRowFirstColumn="0" w:firstRowLastColumn="0" w:lastRowFirstColumn="0" w:lastRowLastColumn="0"/>
          <w:cantSplit/>
          <w:trHeight w:hRule="exact" w:val="317"/>
          <w:jc w:val="center"/>
        </w:trPr>
        <w:tc>
          <w:tcPr>
            <w:cnfStyle w:val="001000000000" w:firstRow="0" w:lastRow="0" w:firstColumn="1" w:lastColumn="0" w:oddVBand="0" w:evenVBand="0" w:oddHBand="0" w:evenHBand="0" w:firstRowFirstColumn="0" w:firstRowLastColumn="0" w:lastRowFirstColumn="0" w:lastRowLastColumn="0"/>
            <w:tcW w:w="4329" w:type="dxa"/>
            <w:vAlign w:val="center"/>
          </w:tcPr>
          <w:p w14:paraId="380B8D82" w14:textId="77777777" w:rsidR="002420B6" w:rsidRPr="00490853" w:rsidRDefault="002420B6" w:rsidP="00FB028B">
            <w:pPr>
              <w:rPr>
                <w:rFonts w:ascii="Aptos Narrow" w:eastAsia="Times New Roman" w:hAnsi="Aptos Narrow" w:cs="Times New Roman"/>
                <w:color w:val="000000"/>
              </w:rPr>
            </w:pPr>
            <w:r w:rsidRPr="00490853">
              <w:rPr>
                <w:rFonts w:ascii="Aptos Narrow" w:eastAsia="Times New Roman" w:hAnsi="Aptos Narrow" w:cs="Times New Roman"/>
                <w:color w:val="000000"/>
              </w:rPr>
              <w:lastRenderedPageBreak/>
              <w:t>Total Referrals</w:t>
            </w:r>
          </w:p>
        </w:tc>
        <w:tc>
          <w:tcPr>
            <w:tcW w:w="1146" w:type="dxa"/>
            <w:noWrap/>
            <w:vAlign w:val="center"/>
          </w:tcPr>
          <w:p w14:paraId="2E407737" w14:textId="77777777" w:rsidR="002420B6" w:rsidRPr="00490853"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490853">
              <w:rPr>
                <w:rFonts w:ascii="Aptos Narrow" w:eastAsia="Times New Roman" w:hAnsi="Aptos Narrow" w:cs="Times New Roman"/>
                <w:b/>
                <w:bCs/>
                <w:color w:val="000000"/>
              </w:rPr>
              <w:t>339</w:t>
            </w:r>
          </w:p>
        </w:tc>
        <w:tc>
          <w:tcPr>
            <w:tcW w:w="1146" w:type="dxa"/>
            <w:vAlign w:val="center"/>
          </w:tcPr>
          <w:p w14:paraId="7A2A3B4A" w14:textId="77777777" w:rsidR="002420B6" w:rsidRPr="00490853"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490853">
              <w:rPr>
                <w:rFonts w:ascii="Aptos Narrow" w:eastAsia="Times New Roman" w:hAnsi="Aptos Narrow" w:cs="Times New Roman"/>
                <w:b/>
                <w:bCs/>
                <w:color w:val="000000"/>
              </w:rPr>
              <w:t>1176</w:t>
            </w:r>
          </w:p>
        </w:tc>
        <w:tc>
          <w:tcPr>
            <w:tcW w:w="1146" w:type="dxa"/>
            <w:noWrap/>
            <w:vAlign w:val="center"/>
          </w:tcPr>
          <w:p w14:paraId="41317C92" w14:textId="77777777" w:rsidR="002420B6" w:rsidRPr="00490853" w:rsidRDefault="002420B6" w:rsidP="00FB028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490853">
              <w:rPr>
                <w:rFonts w:ascii="Aptos Narrow" w:eastAsia="Times New Roman" w:hAnsi="Aptos Narrow" w:cs="Times New Roman"/>
                <w:b/>
                <w:bCs/>
                <w:color w:val="000000"/>
              </w:rPr>
              <w:t>989</w:t>
            </w:r>
          </w:p>
        </w:tc>
      </w:tr>
    </w:tbl>
    <w:p w14:paraId="4BBF881A" w14:textId="77777777" w:rsidR="002E410C" w:rsidRDefault="002E410C" w:rsidP="005C7DE4">
      <w:pPr>
        <w:autoSpaceDE w:val="0"/>
        <w:autoSpaceDN w:val="0"/>
        <w:adjustRightInd w:val="0"/>
        <w:rPr>
          <w:rFonts w:cs="Times New Roman"/>
        </w:rPr>
      </w:pPr>
    </w:p>
    <w:p w14:paraId="3BA7A32E" w14:textId="4D42E965" w:rsidR="00531120" w:rsidRDefault="001D4974" w:rsidP="005C7DE4">
      <w:pPr>
        <w:autoSpaceDE w:val="0"/>
        <w:autoSpaceDN w:val="0"/>
        <w:adjustRightInd w:val="0"/>
        <w:rPr>
          <w:rFonts w:cs="Times New Roman"/>
        </w:rPr>
      </w:pPr>
      <w:r>
        <w:rPr>
          <w:rFonts w:cs="Times New Roman"/>
        </w:rPr>
        <w:t>Increasing</w:t>
      </w:r>
      <w:r w:rsidR="00C807EF" w:rsidRPr="00CA1677">
        <w:rPr>
          <w:rFonts w:cs="Times New Roman"/>
        </w:rPr>
        <w:t xml:space="preserve"> patient access to the Hospital </w:t>
      </w:r>
      <w:r w:rsidR="00924214">
        <w:rPr>
          <w:rFonts w:cs="Times New Roman"/>
        </w:rPr>
        <w:t xml:space="preserve">through the Proposed Project </w:t>
      </w:r>
      <w:r w:rsidR="002B17CF" w:rsidRPr="00CA1677">
        <w:rPr>
          <w:rFonts w:cs="Times New Roman"/>
        </w:rPr>
        <w:t xml:space="preserve">will allow </w:t>
      </w:r>
      <w:r w:rsidR="009E2BC3">
        <w:rPr>
          <w:rFonts w:cs="Times New Roman"/>
        </w:rPr>
        <w:t xml:space="preserve">more of </w:t>
      </w:r>
      <w:r w:rsidR="002B17CF" w:rsidRPr="00CA1677">
        <w:rPr>
          <w:rFonts w:cs="Times New Roman"/>
        </w:rPr>
        <w:t>the Patient Panel to receive the appropriate level of car</w:t>
      </w:r>
      <w:r w:rsidR="00DD5B0D" w:rsidRPr="00CA1677">
        <w:rPr>
          <w:rFonts w:cs="Times New Roman"/>
        </w:rPr>
        <w:t>e</w:t>
      </w:r>
      <w:r w:rsidR="005C7DE4">
        <w:rPr>
          <w:rFonts w:cs="Times New Roman"/>
        </w:rPr>
        <w:t xml:space="preserve"> in a setting designed to provide that care</w:t>
      </w:r>
      <w:r w:rsidR="00DD5B0D" w:rsidRPr="00CA1677">
        <w:rPr>
          <w:rFonts w:cs="Times New Roman"/>
        </w:rPr>
        <w:t xml:space="preserve">, while also </w:t>
      </w:r>
      <w:r w:rsidR="00256E3C" w:rsidRPr="00CA1677">
        <w:rPr>
          <w:rFonts w:cs="Times New Roman"/>
        </w:rPr>
        <w:t xml:space="preserve">helping acute care hospitals to </w:t>
      </w:r>
      <w:r w:rsidR="00CA1677" w:rsidRPr="00CA1677">
        <w:rPr>
          <w:rFonts w:cs="Times New Roman"/>
        </w:rPr>
        <w:t>open beds.</w:t>
      </w:r>
    </w:p>
    <w:p w14:paraId="29F9DACE" w14:textId="77777777" w:rsidR="001D4974" w:rsidRDefault="001D4974" w:rsidP="005C7DE4">
      <w:pPr>
        <w:autoSpaceDE w:val="0"/>
        <w:autoSpaceDN w:val="0"/>
        <w:adjustRightInd w:val="0"/>
        <w:rPr>
          <w:rFonts w:cs="Times New Roman"/>
        </w:rPr>
      </w:pPr>
    </w:p>
    <w:p w14:paraId="17C26DB2" w14:textId="4905054A" w:rsidR="009A4F1C" w:rsidRPr="005B4B4F" w:rsidRDefault="009E2BC3" w:rsidP="005B4B4F">
      <w:pPr>
        <w:pStyle w:val="ListParagraph"/>
        <w:spacing w:after="0" w:line="240" w:lineRule="auto"/>
        <w:ind w:left="0"/>
        <w:rPr>
          <w:sz w:val="24"/>
          <w:szCs w:val="24"/>
        </w:rPr>
      </w:pPr>
      <w:r w:rsidRPr="005B4B4F">
        <w:rPr>
          <w:sz w:val="24"/>
          <w:szCs w:val="24"/>
        </w:rPr>
        <w:t xml:space="preserve">The Applicant asserts that </w:t>
      </w:r>
      <w:r w:rsidR="00F432A9" w:rsidRPr="005B4B4F">
        <w:rPr>
          <w:sz w:val="24"/>
          <w:szCs w:val="24"/>
        </w:rPr>
        <w:t xml:space="preserve">workforce shortages have been a </w:t>
      </w:r>
      <w:r w:rsidRPr="005B4B4F">
        <w:rPr>
          <w:sz w:val="24"/>
          <w:szCs w:val="24"/>
        </w:rPr>
        <w:t xml:space="preserve">barrier to increasing patient access to Hospital </w:t>
      </w:r>
      <w:r w:rsidR="00C75AC3" w:rsidRPr="005B4B4F">
        <w:rPr>
          <w:sz w:val="24"/>
          <w:szCs w:val="24"/>
        </w:rPr>
        <w:t>services.</w:t>
      </w:r>
      <w:r w:rsidR="00380EEA" w:rsidRPr="005B4B4F">
        <w:rPr>
          <w:sz w:val="24"/>
          <w:szCs w:val="24"/>
        </w:rPr>
        <w:t xml:space="preserve"> </w:t>
      </w:r>
      <w:r w:rsidR="00DD6B65" w:rsidRPr="005B4B4F">
        <w:rPr>
          <w:sz w:val="24"/>
          <w:szCs w:val="24"/>
        </w:rPr>
        <w:t xml:space="preserve">As previously mentioned, the Hospital’s dialysis service was offline in 2024 due to the loss of the provider, but the provider has been </w:t>
      </w:r>
      <w:r w:rsidR="00BD7813" w:rsidRPr="00BD7813">
        <w:rPr>
          <w:sz w:val="24"/>
          <w:szCs w:val="24"/>
        </w:rPr>
        <w:t>replaced,</w:t>
      </w:r>
      <w:r w:rsidR="00DD6B65" w:rsidRPr="005B4B4F">
        <w:rPr>
          <w:sz w:val="24"/>
          <w:szCs w:val="24"/>
        </w:rPr>
        <w:t xml:space="preserve"> and the service is set to resume this year.  </w:t>
      </w:r>
      <w:r w:rsidR="00380EEA" w:rsidRPr="005B4B4F">
        <w:rPr>
          <w:sz w:val="24"/>
          <w:szCs w:val="24"/>
        </w:rPr>
        <w:t>Although t</w:t>
      </w:r>
      <w:r w:rsidR="004377B3" w:rsidRPr="005B4B4F">
        <w:rPr>
          <w:sz w:val="24"/>
          <w:szCs w:val="24"/>
        </w:rPr>
        <w:t xml:space="preserve">he </w:t>
      </w:r>
      <w:r w:rsidR="009A4F1C" w:rsidRPr="005B4B4F">
        <w:rPr>
          <w:sz w:val="24"/>
          <w:szCs w:val="24"/>
        </w:rPr>
        <w:t>Hospital</w:t>
      </w:r>
      <w:r w:rsidR="004377B3" w:rsidRPr="005B4B4F">
        <w:rPr>
          <w:sz w:val="24"/>
          <w:szCs w:val="24"/>
        </w:rPr>
        <w:t xml:space="preserve"> is staffed </w:t>
      </w:r>
      <w:r w:rsidR="00380EEA" w:rsidRPr="005B4B4F">
        <w:rPr>
          <w:sz w:val="24"/>
          <w:szCs w:val="24"/>
        </w:rPr>
        <w:t xml:space="preserve">appropriately </w:t>
      </w:r>
      <w:r w:rsidR="004377B3" w:rsidRPr="005B4B4F">
        <w:rPr>
          <w:sz w:val="24"/>
          <w:szCs w:val="24"/>
        </w:rPr>
        <w:t>to</w:t>
      </w:r>
      <w:r w:rsidR="00380EEA" w:rsidRPr="005B4B4F">
        <w:rPr>
          <w:sz w:val="24"/>
          <w:szCs w:val="24"/>
        </w:rPr>
        <w:t xml:space="preserve"> current</w:t>
      </w:r>
      <w:r w:rsidR="004377B3" w:rsidRPr="005B4B4F">
        <w:rPr>
          <w:sz w:val="24"/>
          <w:szCs w:val="24"/>
        </w:rPr>
        <w:t xml:space="preserve"> census</w:t>
      </w:r>
      <w:r w:rsidR="00F55EC2" w:rsidRPr="005B4B4F">
        <w:rPr>
          <w:rStyle w:val="FootnoteReference"/>
          <w:sz w:val="24"/>
          <w:szCs w:val="24"/>
        </w:rPr>
        <w:footnoteReference w:id="11"/>
      </w:r>
      <w:r w:rsidR="004377B3" w:rsidRPr="005B4B4F">
        <w:rPr>
          <w:sz w:val="24"/>
          <w:szCs w:val="24"/>
        </w:rPr>
        <w:t xml:space="preserve"> and patient acuity</w:t>
      </w:r>
      <w:r w:rsidR="00380EEA" w:rsidRPr="005B4B4F">
        <w:rPr>
          <w:sz w:val="24"/>
          <w:szCs w:val="24"/>
        </w:rPr>
        <w:t>, with increased efforts to support staff recruitment and retention, the Applicant anticipates the Hospital census will increase accordingly.</w:t>
      </w:r>
      <w:r w:rsidR="00380488" w:rsidRPr="005B4B4F">
        <w:rPr>
          <w:sz w:val="24"/>
          <w:szCs w:val="24"/>
        </w:rPr>
        <w:t xml:space="preserve"> </w:t>
      </w:r>
      <w:r w:rsidR="00283C00" w:rsidRPr="005B4B4F">
        <w:rPr>
          <w:sz w:val="24"/>
          <w:szCs w:val="24"/>
        </w:rPr>
        <w:t xml:space="preserve">Currently, the Hospital utilizes </w:t>
      </w:r>
      <w:r w:rsidR="00283C00" w:rsidRPr="00B66AD4">
        <w:rPr>
          <w:rFonts w:cs="Times New Roman"/>
          <w:sz w:val="24"/>
          <w:szCs w:val="24"/>
        </w:rPr>
        <w:t xml:space="preserve">Vibra Travels program </w:t>
      </w:r>
      <w:r w:rsidR="00EF1F15" w:rsidRPr="00B66AD4">
        <w:rPr>
          <w:rFonts w:cs="Times New Roman"/>
          <w:sz w:val="24"/>
          <w:szCs w:val="24"/>
        </w:rPr>
        <w:t>(</w:t>
      </w:r>
      <w:r w:rsidR="00283C00" w:rsidRPr="00B66AD4">
        <w:rPr>
          <w:rFonts w:cs="Times New Roman"/>
          <w:sz w:val="24"/>
          <w:szCs w:val="24"/>
        </w:rPr>
        <w:t>Vibra’s travel staffing agency</w:t>
      </w:r>
      <w:r w:rsidR="00EF1F15" w:rsidRPr="00B66AD4">
        <w:rPr>
          <w:rFonts w:cs="Times New Roman"/>
          <w:sz w:val="24"/>
          <w:szCs w:val="24"/>
        </w:rPr>
        <w:t>) to supplement its contingent of full</w:t>
      </w:r>
      <w:r w:rsidR="00715FEC">
        <w:rPr>
          <w:rFonts w:cs="Times New Roman"/>
          <w:sz w:val="24"/>
          <w:szCs w:val="24"/>
        </w:rPr>
        <w:t>-</w:t>
      </w:r>
      <w:r w:rsidR="00EF1F15" w:rsidRPr="00B66AD4">
        <w:rPr>
          <w:rFonts w:cs="Times New Roman"/>
          <w:sz w:val="24"/>
          <w:szCs w:val="24"/>
        </w:rPr>
        <w:t>time staff</w:t>
      </w:r>
      <w:r w:rsidR="00283C00" w:rsidRPr="00B66AD4">
        <w:rPr>
          <w:rFonts w:cs="Times New Roman"/>
          <w:sz w:val="24"/>
          <w:szCs w:val="24"/>
        </w:rPr>
        <w:t xml:space="preserve">. </w:t>
      </w:r>
      <w:r w:rsidR="004377B3" w:rsidRPr="005B4B4F">
        <w:rPr>
          <w:sz w:val="24"/>
          <w:szCs w:val="24"/>
        </w:rPr>
        <w:t xml:space="preserve">The Applicant intends to </w:t>
      </w:r>
      <w:r w:rsidR="0005672F" w:rsidRPr="005B4B4F">
        <w:rPr>
          <w:sz w:val="24"/>
          <w:szCs w:val="24"/>
        </w:rPr>
        <w:t xml:space="preserve">move away from the use of travel staff and </w:t>
      </w:r>
      <w:r w:rsidR="004377B3" w:rsidRPr="005B4B4F">
        <w:rPr>
          <w:sz w:val="24"/>
          <w:szCs w:val="24"/>
        </w:rPr>
        <w:t>invest in staff through recruitment, hiring, and retention practices.</w:t>
      </w:r>
      <w:r w:rsidR="00B66AD4" w:rsidRPr="59D5926F">
        <w:rPr>
          <w:sz w:val="24"/>
          <w:szCs w:val="24"/>
        </w:rPr>
        <w:t xml:space="preserve"> </w:t>
      </w:r>
      <w:r w:rsidR="00AC11CF" w:rsidRPr="003E29F5">
        <w:rPr>
          <w:sz w:val="24"/>
          <w:szCs w:val="24"/>
        </w:rPr>
        <w:t>After</w:t>
      </w:r>
      <w:r w:rsidR="009A4F1C" w:rsidRPr="003E29F5">
        <w:rPr>
          <w:sz w:val="24"/>
          <w:szCs w:val="24"/>
        </w:rPr>
        <w:t xml:space="preserve"> the proposed transaction, </w:t>
      </w:r>
      <w:r w:rsidR="00221B8D" w:rsidRPr="003E29F5">
        <w:rPr>
          <w:sz w:val="24"/>
          <w:szCs w:val="24"/>
        </w:rPr>
        <w:t>the</w:t>
      </w:r>
      <w:r w:rsidR="009A4F1C" w:rsidRPr="003E29F5">
        <w:rPr>
          <w:sz w:val="24"/>
          <w:szCs w:val="24"/>
        </w:rPr>
        <w:t xml:space="preserve"> Applicant </w:t>
      </w:r>
      <w:r w:rsidR="00221B8D" w:rsidRPr="003E29F5">
        <w:rPr>
          <w:sz w:val="24"/>
          <w:szCs w:val="24"/>
        </w:rPr>
        <w:t>plans</w:t>
      </w:r>
      <w:r w:rsidR="009A4F1C" w:rsidRPr="003E29F5">
        <w:rPr>
          <w:sz w:val="24"/>
          <w:szCs w:val="24"/>
        </w:rPr>
        <w:t xml:space="preserve"> to </w:t>
      </w:r>
      <w:r w:rsidR="00221B8D" w:rsidRPr="003E29F5">
        <w:rPr>
          <w:sz w:val="24"/>
          <w:szCs w:val="24"/>
        </w:rPr>
        <w:t>analyze</w:t>
      </w:r>
      <w:r w:rsidR="009A4F1C" w:rsidRPr="003E29F5">
        <w:rPr>
          <w:sz w:val="24"/>
          <w:szCs w:val="24"/>
        </w:rPr>
        <w:t xml:space="preserve"> the Hospital’s personnel needs, enhance the Hospital’s existing human resources infrastructure and utilize other marketing techniques to boost recruitment and hiring, and implement a long-term worker retention strategy emphasizing a personal approach by Hospital leadership. </w:t>
      </w:r>
      <w:r w:rsidR="00221B8D" w:rsidRPr="003E29F5">
        <w:rPr>
          <w:sz w:val="24"/>
          <w:szCs w:val="24"/>
        </w:rPr>
        <w:t>In order</w:t>
      </w:r>
      <w:r w:rsidR="009A4F1C" w:rsidRPr="003E29F5">
        <w:rPr>
          <w:sz w:val="24"/>
          <w:szCs w:val="24"/>
        </w:rPr>
        <w:t xml:space="preserve"> to understand the existing staffing needs, </w:t>
      </w:r>
      <w:r w:rsidR="00ED3630">
        <w:rPr>
          <w:sz w:val="24"/>
          <w:szCs w:val="24"/>
        </w:rPr>
        <w:t>the</w:t>
      </w:r>
      <w:r w:rsidR="009A4F1C" w:rsidRPr="003E29F5">
        <w:rPr>
          <w:sz w:val="24"/>
          <w:szCs w:val="24"/>
        </w:rPr>
        <w:t xml:space="preserve"> Applicant plans to survey current staff, establish an onsite presence, and have regular and ongoing discussions with the Director of Nursing. Based on the feedback received, </w:t>
      </w:r>
      <w:r w:rsidR="4C888E25" w:rsidRPr="003E29F5">
        <w:rPr>
          <w:sz w:val="24"/>
          <w:szCs w:val="24"/>
        </w:rPr>
        <w:t>the</w:t>
      </w:r>
      <w:r w:rsidR="009A4F1C" w:rsidRPr="003E29F5">
        <w:rPr>
          <w:sz w:val="24"/>
          <w:szCs w:val="24"/>
        </w:rPr>
        <w:t xml:space="preserve"> Applicant will develop a plan to address these needs. </w:t>
      </w:r>
      <w:r w:rsidR="003E29F5">
        <w:rPr>
          <w:sz w:val="24"/>
          <w:szCs w:val="24"/>
        </w:rPr>
        <w:t>The</w:t>
      </w:r>
      <w:r w:rsidR="009A4F1C" w:rsidRPr="005B4B4F">
        <w:rPr>
          <w:sz w:val="24"/>
          <w:szCs w:val="24"/>
        </w:rPr>
        <w:t xml:space="preserve"> Applicant plans to utilize recruitment software that connects providers to potential candidates and will strengthen its relationships with local clinical training programs, both of which are sources of potential hires who can also develop into longstanding employees. </w:t>
      </w:r>
      <w:r w:rsidR="00221B8D" w:rsidRPr="005B4B4F">
        <w:rPr>
          <w:sz w:val="24"/>
          <w:szCs w:val="24"/>
        </w:rPr>
        <w:t xml:space="preserve">The </w:t>
      </w:r>
      <w:r w:rsidR="009A4F1C" w:rsidRPr="005B4B4F">
        <w:rPr>
          <w:sz w:val="24"/>
          <w:szCs w:val="24"/>
        </w:rPr>
        <w:t xml:space="preserve">Applicant will also utilize standard marketing approaches including signing and referral incentives, as well as use of social media. </w:t>
      </w:r>
      <w:r w:rsidR="001E3DA4">
        <w:rPr>
          <w:sz w:val="24"/>
          <w:szCs w:val="24"/>
        </w:rPr>
        <w:t xml:space="preserve">The </w:t>
      </w:r>
      <w:r w:rsidR="001E3DA4" w:rsidRPr="59D5926F">
        <w:rPr>
          <w:sz w:val="24"/>
          <w:szCs w:val="24"/>
        </w:rPr>
        <w:t xml:space="preserve">Applicant plans to monitor recruitment progress using Apploi platform, which distributes job postings online and provides automated workflows for the hiring process. </w:t>
      </w:r>
      <w:r w:rsidR="00BD7813" w:rsidRPr="59D5926F">
        <w:rPr>
          <w:sz w:val="24"/>
          <w:szCs w:val="24"/>
        </w:rPr>
        <w:t xml:space="preserve">The </w:t>
      </w:r>
      <w:r w:rsidR="001E3DA4" w:rsidRPr="59D5926F">
        <w:rPr>
          <w:sz w:val="24"/>
          <w:szCs w:val="24"/>
        </w:rPr>
        <w:t xml:space="preserve">Applicant plans to monitor retention internally by using employee satisfaction and exit surveys to measure engagement and focus on new employees who often need additional onboarding support. </w:t>
      </w:r>
      <w:r w:rsidR="00EB0F66" w:rsidRPr="59D5926F">
        <w:rPr>
          <w:sz w:val="24"/>
          <w:szCs w:val="24"/>
        </w:rPr>
        <w:t xml:space="preserve">The </w:t>
      </w:r>
      <w:r w:rsidR="00C75AC3" w:rsidRPr="59D5926F">
        <w:rPr>
          <w:sz w:val="24"/>
          <w:szCs w:val="24"/>
        </w:rPr>
        <w:t>Applicant anticipates</w:t>
      </w:r>
      <w:r w:rsidR="00EB0F66" w:rsidRPr="59D5926F">
        <w:rPr>
          <w:sz w:val="24"/>
          <w:szCs w:val="24"/>
        </w:rPr>
        <w:t xml:space="preserve"> </w:t>
      </w:r>
      <w:r w:rsidR="395F3535" w:rsidRPr="59D5926F">
        <w:rPr>
          <w:sz w:val="24"/>
          <w:szCs w:val="24"/>
        </w:rPr>
        <w:t>that,</w:t>
      </w:r>
      <w:r w:rsidR="00EB0F66" w:rsidRPr="59D5926F">
        <w:rPr>
          <w:sz w:val="24"/>
          <w:szCs w:val="24"/>
        </w:rPr>
        <w:t xml:space="preserve"> when adequately supported by these monitoring and recruitment efforts, they will be able to address workforce shortages and </w:t>
      </w:r>
      <w:r w:rsidR="00F0392F" w:rsidRPr="59D5926F">
        <w:rPr>
          <w:sz w:val="24"/>
          <w:szCs w:val="24"/>
        </w:rPr>
        <w:t>employ</w:t>
      </w:r>
      <w:r w:rsidR="00EB0F66" w:rsidRPr="59D5926F">
        <w:rPr>
          <w:sz w:val="24"/>
          <w:szCs w:val="24"/>
        </w:rPr>
        <w:t xml:space="preserve"> </w:t>
      </w:r>
      <w:r w:rsidR="00F0392F" w:rsidRPr="59D5926F">
        <w:rPr>
          <w:sz w:val="24"/>
          <w:szCs w:val="24"/>
        </w:rPr>
        <w:t>sufficient</w:t>
      </w:r>
      <w:r w:rsidR="00EB0F66" w:rsidRPr="59D5926F">
        <w:rPr>
          <w:sz w:val="24"/>
          <w:szCs w:val="24"/>
        </w:rPr>
        <w:t xml:space="preserve"> staff</w:t>
      </w:r>
      <w:r w:rsidR="00F0392F" w:rsidRPr="59D5926F">
        <w:rPr>
          <w:sz w:val="24"/>
          <w:szCs w:val="24"/>
        </w:rPr>
        <w:t xml:space="preserve"> from the</w:t>
      </w:r>
      <w:r w:rsidR="00EB0F66" w:rsidRPr="59D5926F">
        <w:rPr>
          <w:sz w:val="24"/>
          <w:szCs w:val="24"/>
        </w:rPr>
        <w:t xml:space="preserve"> communities throughout Central Massachusetts to meet its expected increase in census.</w:t>
      </w:r>
      <w:r w:rsidR="00EB0F66" w:rsidRPr="003E29F5">
        <w:rPr>
          <w:sz w:val="24"/>
          <w:szCs w:val="24"/>
        </w:rPr>
        <w:t xml:space="preserve"> </w:t>
      </w:r>
      <w:r w:rsidR="00CA61F5">
        <w:rPr>
          <w:sz w:val="24"/>
          <w:szCs w:val="24"/>
        </w:rPr>
        <w:t xml:space="preserve">The Applicant also anticipates some of the travel staff might become full-time employees as discussed in Factor 1f. </w:t>
      </w:r>
      <w:r w:rsidR="00221B8D" w:rsidRPr="005B4B4F">
        <w:rPr>
          <w:sz w:val="24"/>
          <w:szCs w:val="24"/>
        </w:rPr>
        <w:t xml:space="preserve">The </w:t>
      </w:r>
      <w:r w:rsidR="009A4F1C" w:rsidRPr="005B4B4F">
        <w:rPr>
          <w:sz w:val="24"/>
          <w:szCs w:val="24"/>
        </w:rPr>
        <w:t xml:space="preserve">Applicant </w:t>
      </w:r>
      <w:r w:rsidR="00221B8D" w:rsidRPr="005B4B4F">
        <w:rPr>
          <w:sz w:val="24"/>
          <w:szCs w:val="24"/>
        </w:rPr>
        <w:t>asserts</w:t>
      </w:r>
      <w:r w:rsidR="009A4F1C" w:rsidRPr="005B4B4F">
        <w:rPr>
          <w:sz w:val="24"/>
          <w:szCs w:val="24"/>
        </w:rPr>
        <w:t xml:space="preserve"> that maintaining staff </w:t>
      </w:r>
      <w:r w:rsidR="00B11AC8" w:rsidRPr="005B4B4F">
        <w:rPr>
          <w:sz w:val="24"/>
          <w:szCs w:val="24"/>
        </w:rPr>
        <w:t xml:space="preserve">goes beyond recruitment and hiring, </w:t>
      </w:r>
      <w:r w:rsidR="009A4F1C" w:rsidRPr="005B4B4F">
        <w:rPr>
          <w:sz w:val="24"/>
          <w:szCs w:val="24"/>
        </w:rPr>
        <w:t>requir</w:t>
      </w:r>
      <w:r w:rsidR="00B11AC8" w:rsidRPr="005B4B4F">
        <w:rPr>
          <w:sz w:val="24"/>
          <w:szCs w:val="24"/>
        </w:rPr>
        <w:t>ing</w:t>
      </w:r>
      <w:r w:rsidR="009A4F1C" w:rsidRPr="005B4B4F">
        <w:rPr>
          <w:sz w:val="24"/>
          <w:szCs w:val="24"/>
        </w:rPr>
        <w:t xml:space="preserve"> investment in employee satisfaction and management. </w:t>
      </w:r>
      <w:r w:rsidR="003346B7" w:rsidRPr="005B4B4F">
        <w:rPr>
          <w:sz w:val="24"/>
          <w:szCs w:val="24"/>
        </w:rPr>
        <w:t>The</w:t>
      </w:r>
      <w:r w:rsidR="009A4F1C" w:rsidRPr="005B4B4F">
        <w:rPr>
          <w:sz w:val="24"/>
          <w:szCs w:val="24"/>
        </w:rPr>
        <w:t xml:space="preserve"> Applicant </w:t>
      </w:r>
      <w:r w:rsidR="003346B7" w:rsidRPr="005B4B4F">
        <w:rPr>
          <w:sz w:val="24"/>
          <w:szCs w:val="24"/>
        </w:rPr>
        <w:t xml:space="preserve">stated </w:t>
      </w:r>
      <w:r w:rsidR="003346B7" w:rsidRPr="005B4B4F" w:rsidDel="00EB51AB">
        <w:rPr>
          <w:sz w:val="24"/>
          <w:szCs w:val="24"/>
        </w:rPr>
        <w:t>its</w:t>
      </w:r>
      <w:r w:rsidR="003346B7" w:rsidRPr="005B4B4F">
        <w:rPr>
          <w:sz w:val="24"/>
          <w:szCs w:val="24"/>
        </w:rPr>
        <w:t xml:space="preserve"> </w:t>
      </w:r>
      <w:r w:rsidR="009A4F1C" w:rsidRPr="005B4B4F">
        <w:rPr>
          <w:sz w:val="24"/>
          <w:szCs w:val="24"/>
        </w:rPr>
        <w:t>committed to creating a culture where leadership is readily available and on the premises to quickly step in when staffing or personnel issues arise.</w:t>
      </w:r>
      <w:r w:rsidR="00221B8D">
        <w:t xml:space="preserve"> </w:t>
      </w:r>
    </w:p>
    <w:p w14:paraId="0834A37F" w14:textId="18F6F4DF" w:rsidR="001D4974" w:rsidRDefault="001D4974" w:rsidP="005C7DE4">
      <w:pPr>
        <w:autoSpaceDE w:val="0"/>
        <w:autoSpaceDN w:val="0"/>
        <w:adjustRightInd w:val="0"/>
        <w:rPr>
          <w:rFonts w:cs="Times New Roman"/>
        </w:rPr>
      </w:pPr>
    </w:p>
    <w:p w14:paraId="7A1869D5" w14:textId="77777777" w:rsidR="005C7DE4" w:rsidRPr="005C7DE4" w:rsidRDefault="005C7DE4" w:rsidP="005C7DE4">
      <w:pPr>
        <w:autoSpaceDE w:val="0"/>
        <w:autoSpaceDN w:val="0"/>
        <w:adjustRightInd w:val="0"/>
        <w:rPr>
          <w:rFonts w:cs="Times New Roman"/>
        </w:rPr>
      </w:pPr>
    </w:p>
    <w:p w14:paraId="6ADACE23" w14:textId="500EED7E" w:rsidR="00194772" w:rsidRPr="007E6798" w:rsidRDefault="00194772" w:rsidP="009F3C5C">
      <w:pPr>
        <w:pStyle w:val="ListParagraph"/>
        <w:numPr>
          <w:ilvl w:val="0"/>
          <w:numId w:val="28"/>
        </w:numPr>
        <w:spacing w:after="0"/>
        <w:jc w:val="both"/>
        <w:textAlignment w:val="baseline"/>
        <w:rPr>
          <w:rFonts w:ascii="Calibri" w:eastAsia="Calibri" w:hAnsi="Calibri" w:cs="Calibri"/>
          <w:b/>
          <w:bCs/>
          <w:spacing w:val="-1"/>
        </w:rPr>
      </w:pPr>
      <w:r w:rsidRPr="007E6798">
        <w:rPr>
          <w:rFonts w:ascii="Calibri" w:eastAsia="Calibri" w:hAnsi="Calibri" w:cs="Calibri"/>
          <w:b/>
          <w:bCs/>
          <w:spacing w:val="-1"/>
        </w:rPr>
        <w:t>Need to Assist with Throughput Issues</w:t>
      </w:r>
      <w:r w:rsidR="00E016A9">
        <w:rPr>
          <w:rFonts w:ascii="Calibri" w:eastAsia="Calibri" w:hAnsi="Calibri" w:cs="Calibri"/>
          <w:b/>
          <w:bCs/>
          <w:spacing w:val="-1"/>
        </w:rPr>
        <w:t xml:space="preserve"> in Acute Care Hospitals</w:t>
      </w:r>
    </w:p>
    <w:p w14:paraId="4EEE4825" w14:textId="630E8942" w:rsidR="007C5E5B" w:rsidRDefault="00312581" w:rsidP="009F3C5C">
      <w:pPr>
        <w:autoSpaceDE w:val="0"/>
        <w:autoSpaceDN w:val="0"/>
        <w:adjustRightInd w:val="0"/>
      </w:pPr>
      <w:r>
        <w:rPr>
          <w:rFonts w:cs="Times New Roman"/>
        </w:rPr>
        <w:t xml:space="preserve">The Applicant states that </w:t>
      </w:r>
      <w:r w:rsidR="00AC5F90">
        <w:rPr>
          <w:rFonts w:cs="Times New Roman"/>
        </w:rPr>
        <w:t xml:space="preserve">patients in </w:t>
      </w:r>
      <w:r w:rsidR="00DC3117">
        <w:rPr>
          <w:rFonts w:cs="Times New Roman"/>
        </w:rPr>
        <w:t xml:space="preserve">acute </w:t>
      </w:r>
      <w:r w:rsidR="00476724">
        <w:rPr>
          <w:rFonts w:cs="Times New Roman"/>
        </w:rPr>
        <w:t>care hospitals are experiencing throughput issues</w:t>
      </w:r>
      <w:r w:rsidR="009F3C5C">
        <w:rPr>
          <w:rFonts w:cs="Times New Roman"/>
        </w:rPr>
        <w:t>,</w:t>
      </w:r>
      <w:r w:rsidR="002D0226">
        <w:rPr>
          <w:rFonts w:cs="Times New Roman"/>
        </w:rPr>
        <w:t xml:space="preserve"> and that </w:t>
      </w:r>
      <w:r w:rsidR="00C82886">
        <w:rPr>
          <w:rFonts w:cs="Times New Roman"/>
        </w:rPr>
        <w:t xml:space="preserve">access to LTCH placement is vital to </w:t>
      </w:r>
      <w:r w:rsidR="00695C1A">
        <w:rPr>
          <w:rFonts w:cs="Times New Roman"/>
        </w:rPr>
        <w:t xml:space="preserve">continuing patient </w:t>
      </w:r>
      <w:r w:rsidR="004844AC">
        <w:rPr>
          <w:rFonts w:cs="Times New Roman"/>
        </w:rPr>
        <w:t xml:space="preserve">treatment </w:t>
      </w:r>
      <w:r w:rsidR="00E53458">
        <w:rPr>
          <w:rFonts w:cs="Times New Roman"/>
        </w:rPr>
        <w:t>at</w:t>
      </w:r>
      <w:r w:rsidR="004844AC">
        <w:rPr>
          <w:rFonts w:cs="Times New Roman"/>
        </w:rPr>
        <w:t xml:space="preserve"> clinically appropriate levels of care</w:t>
      </w:r>
      <w:r w:rsidR="002D0226">
        <w:rPr>
          <w:rFonts w:cs="Times New Roman"/>
        </w:rPr>
        <w:t xml:space="preserve">. </w:t>
      </w:r>
      <w:r w:rsidR="00414EAB">
        <w:rPr>
          <w:rFonts w:cs="Times New Roman"/>
        </w:rPr>
        <w:t>As of December 2024</w:t>
      </w:r>
      <w:r w:rsidR="00414EAB" w:rsidRPr="00EA3B76">
        <w:rPr>
          <w:rFonts w:cs="Times New Roman"/>
        </w:rPr>
        <w:t xml:space="preserve">, </w:t>
      </w:r>
      <w:r w:rsidR="00414EAB">
        <w:rPr>
          <w:rFonts w:cs="Times New Roman"/>
        </w:rPr>
        <w:t>14.7% of all reported patients</w:t>
      </w:r>
      <w:r w:rsidR="007E0196">
        <w:rPr>
          <w:rFonts w:cs="Times New Roman"/>
        </w:rPr>
        <w:t xml:space="preserve"> across 38 acute care hospitals in Massachusetts</w:t>
      </w:r>
      <w:r w:rsidR="00414EAB">
        <w:rPr>
          <w:rFonts w:cs="Times New Roman"/>
        </w:rPr>
        <w:t xml:space="preserve"> awaited discharge to LT</w:t>
      </w:r>
      <w:r w:rsidR="00414EAB" w:rsidRPr="00EA3B76">
        <w:rPr>
          <w:rFonts w:cs="Times New Roman"/>
        </w:rPr>
        <w:t xml:space="preserve">CH </w:t>
      </w:r>
      <w:r w:rsidR="00414EAB">
        <w:rPr>
          <w:rFonts w:cs="Times New Roman"/>
        </w:rPr>
        <w:t xml:space="preserve">or </w:t>
      </w:r>
      <w:r w:rsidR="00CA61F5">
        <w:rPr>
          <w:rFonts w:cs="Times New Roman"/>
        </w:rPr>
        <w:t xml:space="preserve">Inpatient Rehabilitation Facilities </w:t>
      </w:r>
      <w:r w:rsidR="00DB6259">
        <w:rPr>
          <w:rFonts w:cs="Times New Roman"/>
        </w:rPr>
        <w:t>(</w:t>
      </w:r>
      <w:r w:rsidR="00414EAB">
        <w:rPr>
          <w:rFonts w:cs="Times New Roman"/>
        </w:rPr>
        <w:t>IRF</w:t>
      </w:r>
      <w:r w:rsidR="00DB6259">
        <w:rPr>
          <w:rFonts w:cs="Times New Roman"/>
        </w:rPr>
        <w:t>)</w:t>
      </w:r>
      <w:r w:rsidR="00414EAB">
        <w:rPr>
          <w:rFonts w:cs="Times New Roman"/>
        </w:rPr>
        <w:t xml:space="preserve"> </w:t>
      </w:r>
      <w:r w:rsidR="00414EAB" w:rsidRPr="00EA3B76">
        <w:rPr>
          <w:rFonts w:cs="Times New Roman"/>
        </w:rPr>
        <w:t>settings.</w:t>
      </w:r>
      <w:r w:rsidR="00AF1B6E">
        <w:rPr>
          <w:rFonts w:cs="Times New Roman"/>
          <w:vertAlign w:val="superscript"/>
        </w:rPr>
        <w:endnoteReference w:id="5"/>
      </w:r>
      <w:r w:rsidR="00AF1B6E" w:rsidRPr="00EA3B76">
        <w:rPr>
          <w:rFonts w:cs="Times New Roman"/>
        </w:rPr>
        <w:t xml:space="preserve"> </w:t>
      </w:r>
      <w:r w:rsidR="00414EAB" w:rsidRPr="00EA3B76">
        <w:rPr>
          <w:rFonts w:cs="Times New Roman"/>
        </w:rPr>
        <w:t xml:space="preserve">Of those patients awaiting discharge to an LTCH or IRF, </w:t>
      </w:r>
      <w:r w:rsidR="00414EAB">
        <w:rPr>
          <w:rFonts w:cs="Times New Roman"/>
        </w:rPr>
        <w:t>23%</w:t>
      </w:r>
      <w:r w:rsidR="00414EAB" w:rsidRPr="00EA3B76">
        <w:rPr>
          <w:rFonts w:cs="Times New Roman"/>
        </w:rPr>
        <w:t xml:space="preserve"> were waiting for more than 30</w:t>
      </w:r>
      <w:r w:rsidR="002A31FD">
        <w:rPr>
          <w:rFonts w:cs="Times New Roman"/>
        </w:rPr>
        <w:t xml:space="preserve"> </w:t>
      </w:r>
      <w:r w:rsidR="00414EAB" w:rsidRPr="00EA3B76">
        <w:rPr>
          <w:rFonts w:cs="Times New Roman"/>
        </w:rPr>
        <w:t>days.</w:t>
      </w:r>
      <w:r w:rsidR="00AF1B6E">
        <w:rPr>
          <w:rFonts w:cs="Times New Roman"/>
          <w:vertAlign w:val="superscript"/>
        </w:rPr>
        <w:endnoteReference w:id="6"/>
      </w:r>
      <w:r w:rsidR="00AF1B6E">
        <w:rPr>
          <w:rFonts w:cs="Times New Roman"/>
        </w:rPr>
        <w:t xml:space="preserve"> </w:t>
      </w:r>
      <w:r w:rsidR="00414EAB">
        <w:rPr>
          <w:rFonts w:cs="Times New Roman"/>
        </w:rPr>
        <w:t xml:space="preserve"> </w:t>
      </w:r>
      <w:r w:rsidRPr="00312581">
        <w:rPr>
          <w:rFonts w:cs="Times New Roman"/>
        </w:rPr>
        <w:t xml:space="preserve">Despite the </w:t>
      </w:r>
      <w:r w:rsidR="00FD708B">
        <w:rPr>
          <w:rFonts w:cs="Times New Roman"/>
        </w:rPr>
        <w:t>conclusion of</w:t>
      </w:r>
      <w:r w:rsidRPr="00312581">
        <w:rPr>
          <w:rFonts w:cs="Times New Roman"/>
        </w:rPr>
        <w:t xml:space="preserve"> the COVID-19 Public Health Emergency, the health care system continues to face stressors exacerbated by this throughput backlog</w:t>
      </w:r>
      <w:r w:rsidR="00414EAB">
        <w:rPr>
          <w:rFonts w:cs="Times New Roman"/>
        </w:rPr>
        <w:t xml:space="preserve">. </w:t>
      </w:r>
      <w:r w:rsidRPr="00312581">
        <w:rPr>
          <w:rFonts w:cs="Times New Roman"/>
        </w:rPr>
        <w:t xml:space="preserve">This backlog </w:t>
      </w:r>
      <w:r w:rsidR="00160B05">
        <w:rPr>
          <w:rFonts w:cs="Times New Roman"/>
        </w:rPr>
        <w:t>delays</w:t>
      </w:r>
      <w:r w:rsidRPr="00312581">
        <w:rPr>
          <w:rFonts w:cs="Times New Roman"/>
        </w:rPr>
        <w:t xml:space="preserve"> patients from reaching their appropriate care settings </w:t>
      </w:r>
      <w:r w:rsidR="00BB45AB">
        <w:rPr>
          <w:rFonts w:cs="Times New Roman"/>
        </w:rPr>
        <w:t xml:space="preserve">in a timely fashion </w:t>
      </w:r>
      <w:r w:rsidRPr="00312581">
        <w:rPr>
          <w:rFonts w:cs="Times New Roman"/>
        </w:rPr>
        <w:t xml:space="preserve">and </w:t>
      </w:r>
      <w:r w:rsidR="00BB45AB">
        <w:rPr>
          <w:rFonts w:cs="Times New Roman"/>
        </w:rPr>
        <w:t>forces</w:t>
      </w:r>
      <w:r w:rsidRPr="00312581">
        <w:rPr>
          <w:rFonts w:cs="Times New Roman"/>
        </w:rPr>
        <w:t xml:space="preserve"> providers </w:t>
      </w:r>
      <w:r w:rsidR="00BB45AB">
        <w:rPr>
          <w:rFonts w:cs="Times New Roman"/>
        </w:rPr>
        <w:t>to</w:t>
      </w:r>
      <w:r w:rsidRPr="00312581">
        <w:rPr>
          <w:rFonts w:cs="Times New Roman"/>
        </w:rPr>
        <w:t xml:space="preserve"> provide </w:t>
      </w:r>
      <w:r w:rsidR="00BB45AB">
        <w:rPr>
          <w:rFonts w:cs="Times New Roman"/>
        </w:rPr>
        <w:t xml:space="preserve">levels of </w:t>
      </w:r>
      <w:r w:rsidRPr="00312581">
        <w:rPr>
          <w:rFonts w:cs="Times New Roman"/>
        </w:rPr>
        <w:t xml:space="preserve">care </w:t>
      </w:r>
      <w:r w:rsidR="00BB45AB">
        <w:rPr>
          <w:rFonts w:cs="Times New Roman"/>
        </w:rPr>
        <w:t>inappropriate to their setting.</w:t>
      </w:r>
      <w:r w:rsidRPr="00312581">
        <w:rPr>
          <w:rFonts w:cs="Times New Roman"/>
        </w:rPr>
        <w:t xml:space="preserve"> For LTCH patients with comorbidities and medically complex post-acute care needs that require specialized treatment, the impact of this backlog is particularly serious and underscores the importance of LTCHs to the care continuum.</w:t>
      </w:r>
      <w:r w:rsidR="003A24BC" w:rsidRPr="00312581">
        <w:rPr>
          <w:rStyle w:val="EndnoteReference"/>
          <w:rFonts w:cs="Times New Roman"/>
        </w:rPr>
        <w:endnoteReference w:id="7"/>
      </w:r>
      <w:r w:rsidR="003A24BC">
        <w:rPr>
          <w:rFonts w:cs="Times New Roman"/>
        </w:rPr>
        <w:t xml:space="preserve"> </w:t>
      </w:r>
      <w:r w:rsidR="00735370">
        <w:rPr>
          <w:rFonts w:cs="Times New Roman"/>
        </w:rPr>
        <w:t xml:space="preserve">To </w:t>
      </w:r>
      <w:r w:rsidR="00AB1A30">
        <w:rPr>
          <w:rFonts w:cs="Times New Roman"/>
        </w:rPr>
        <w:t xml:space="preserve">better visualize the </w:t>
      </w:r>
      <w:r w:rsidR="009F2455">
        <w:rPr>
          <w:rFonts w:cs="Times New Roman"/>
        </w:rPr>
        <w:t xml:space="preserve">backlog of </w:t>
      </w:r>
      <w:r w:rsidR="009F2455" w:rsidRPr="00E93FD0">
        <w:t>patients in Massachusetts acute care hospitals awaiting discharge to LTCH or</w:t>
      </w:r>
      <w:r w:rsidR="00DB6259">
        <w:t xml:space="preserve"> IRF </w:t>
      </w:r>
      <w:r w:rsidR="009F2455" w:rsidRPr="00E93FD0">
        <w:t>settings</w:t>
      </w:r>
      <w:r w:rsidR="009F2455">
        <w:t xml:space="preserve">, </w:t>
      </w:r>
      <w:r w:rsidR="007751F9">
        <w:t>the Applicant provided Chart 1</w:t>
      </w:r>
      <w:r w:rsidR="0082110C">
        <w:t xml:space="preserve"> showing the increases over time.</w:t>
      </w:r>
    </w:p>
    <w:p w14:paraId="57361094" w14:textId="77777777" w:rsidR="007751F9" w:rsidRDefault="007751F9" w:rsidP="007E6798">
      <w:pPr>
        <w:autoSpaceDE w:val="0"/>
        <w:autoSpaceDN w:val="0"/>
        <w:adjustRightInd w:val="0"/>
      </w:pPr>
    </w:p>
    <w:p w14:paraId="5BCD0656" w14:textId="6158854A" w:rsidR="007751F9" w:rsidRPr="007751F9" w:rsidRDefault="007751F9" w:rsidP="004C67D5">
      <w:pPr>
        <w:autoSpaceDE w:val="0"/>
        <w:autoSpaceDN w:val="0"/>
        <w:adjustRightInd w:val="0"/>
        <w:jc w:val="center"/>
        <w:rPr>
          <w:b/>
          <w:bCs/>
          <w:color w:val="234170" w:themeColor="text2" w:themeShade="BF"/>
        </w:rPr>
      </w:pPr>
      <w:r w:rsidRPr="007751F9">
        <w:rPr>
          <w:b/>
          <w:bCs/>
          <w:color w:val="234170" w:themeColor="text2" w:themeShade="BF"/>
          <w:u w:val="single"/>
        </w:rPr>
        <w:t>Chart 1:</w:t>
      </w:r>
      <w:r w:rsidRPr="007751F9">
        <w:rPr>
          <w:b/>
          <w:bCs/>
          <w:color w:val="234170" w:themeColor="text2" w:themeShade="BF"/>
        </w:rPr>
        <w:t xml:space="preserve"> Massachusetts Acute Care Patients Awaiting Discharge to LTCH</w:t>
      </w:r>
      <w:r w:rsidR="005B40E9">
        <w:rPr>
          <w:rStyle w:val="EndnoteReference"/>
          <w:b/>
          <w:bCs/>
          <w:color w:val="234170" w:themeColor="text2" w:themeShade="BF"/>
        </w:rPr>
        <w:endnoteReference w:id="8"/>
      </w:r>
    </w:p>
    <w:p w14:paraId="7D6F23E0" w14:textId="6378E5D6" w:rsidR="007751F9" w:rsidRDefault="007751F9" w:rsidP="007E6798">
      <w:pPr>
        <w:autoSpaceDE w:val="0"/>
        <w:autoSpaceDN w:val="0"/>
        <w:adjustRightInd w:val="0"/>
        <w:rPr>
          <w:rFonts w:cs="Times New Roman"/>
        </w:rPr>
      </w:pPr>
    </w:p>
    <w:p w14:paraId="280DF503" w14:textId="3376AA31" w:rsidR="003F1ACC" w:rsidRDefault="007C5E5B" w:rsidP="00BB45AB">
      <w:pPr>
        <w:autoSpaceDE w:val="0"/>
        <w:autoSpaceDN w:val="0"/>
        <w:adjustRightInd w:val="0"/>
        <w:jc w:val="center"/>
        <w:rPr>
          <w:rFonts w:cs="Times New Roman"/>
        </w:rPr>
      </w:pPr>
      <w:r w:rsidRPr="00E93FD0">
        <w:rPr>
          <w:noProof/>
        </w:rPr>
        <w:drawing>
          <wp:inline distT="0" distB="0" distL="0" distR="0" wp14:anchorId="40A3EAA2" wp14:editId="38CCB562">
            <wp:extent cx="5861050" cy="2381250"/>
            <wp:effectExtent l="0" t="0" r="6350" b="0"/>
            <wp:docPr id="852144553" name="Chart 1" descr="Chart 1 shows a backlog of patients in Massachusetts acute care hospitals awaiting discharge to LTCH or IRF settings from April 2023 to February 2025, demonstrating that the number of patients awaiting discharge has trended upwards over time.">
              <a:extLst xmlns:a="http://schemas.openxmlformats.org/drawingml/2006/main">
                <a:ext uri="{FF2B5EF4-FFF2-40B4-BE49-F238E27FC236}">
                  <a16:creationId xmlns:a16="http://schemas.microsoft.com/office/drawing/2014/main" id="{27936718-733E-150C-46FF-741D21FBE6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D63782" w14:textId="151664F7" w:rsidR="007E6798" w:rsidRPr="00836E4E" w:rsidRDefault="009A5E96" w:rsidP="00836E4E">
      <w:pPr>
        <w:pStyle w:val="ListParagraph"/>
        <w:spacing w:before="240" w:after="0" w:line="240" w:lineRule="auto"/>
        <w:ind w:left="0"/>
        <w:rPr>
          <w:rFonts w:cs="Times New Roman"/>
          <w:sz w:val="24"/>
          <w:szCs w:val="24"/>
        </w:rPr>
      </w:pPr>
      <w:r>
        <w:rPr>
          <w:rFonts w:cs="Times New Roman"/>
          <w:sz w:val="24"/>
          <w:szCs w:val="24"/>
        </w:rPr>
        <w:t>The Applicant n</w:t>
      </w:r>
      <w:r w:rsidRPr="009A5E96">
        <w:rPr>
          <w:rFonts w:cs="Times New Roman"/>
          <w:sz w:val="24"/>
          <w:szCs w:val="24"/>
        </w:rPr>
        <w:t>ote</w:t>
      </w:r>
      <w:r>
        <w:rPr>
          <w:rFonts w:cs="Times New Roman"/>
          <w:sz w:val="24"/>
          <w:szCs w:val="24"/>
        </w:rPr>
        <w:t>s</w:t>
      </w:r>
      <w:r w:rsidRPr="009A5E96">
        <w:rPr>
          <w:rFonts w:cs="Times New Roman"/>
          <w:sz w:val="24"/>
          <w:szCs w:val="24"/>
        </w:rPr>
        <w:t xml:space="preserve"> that </w:t>
      </w:r>
      <w:r w:rsidR="00DE0D09">
        <w:rPr>
          <w:rFonts w:cs="Times New Roman"/>
          <w:sz w:val="24"/>
          <w:szCs w:val="24"/>
        </w:rPr>
        <w:t xml:space="preserve">the chart demonstrates that </w:t>
      </w:r>
      <w:r w:rsidRPr="009A5E96">
        <w:rPr>
          <w:rFonts w:cs="Times New Roman"/>
          <w:sz w:val="24"/>
          <w:szCs w:val="24"/>
        </w:rPr>
        <w:t xml:space="preserve">since </w:t>
      </w:r>
      <w:r w:rsidR="00752275">
        <w:rPr>
          <w:rFonts w:cs="Times New Roman"/>
          <w:sz w:val="24"/>
          <w:szCs w:val="24"/>
        </w:rPr>
        <w:t xml:space="preserve">the </w:t>
      </w:r>
      <w:r w:rsidR="00752275" w:rsidRPr="00E93FD0">
        <w:rPr>
          <w:rFonts w:cstheme="minorHAnsi"/>
          <w:sz w:val="24"/>
          <w:szCs w:val="24"/>
        </w:rPr>
        <w:t>Massachusetts Health &amp; Hospital Association</w:t>
      </w:r>
      <w:r w:rsidRPr="009A5E96">
        <w:rPr>
          <w:rFonts w:cs="Times New Roman"/>
          <w:sz w:val="24"/>
          <w:szCs w:val="24"/>
        </w:rPr>
        <w:t xml:space="preserve"> began separately tracking LTCH throughput data in April 2023, the number of patients awaiting discharge to LTCHs have trended upward over time</w:t>
      </w:r>
      <w:r w:rsidR="00636941">
        <w:rPr>
          <w:rFonts w:cs="Times New Roman"/>
          <w:sz w:val="24"/>
          <w:szCs w:val="24"/>
        </w:rPr>
        <w:t xml:space="preserve">. The Applicant </w:t>
      </w:r>
      <w:r w:rsidRPr="009A5E96">
        <w:rPr>
          <w:rFonts w:cs="Times New Roman"/>
          <w:sz w:val="24"/>
          <w:szCs w:val="24"/>
        </w:rPr>
        <w:t>suggest</w:t>
      </w:r>
      <w:r w:rsidR="004C67D5">
        <w:rPr>
          <w:rFonts w:cs="Times New Roman"/>
          <w:sz w:val="24"/>
          <w:szCs w:val="24"/>
        </w:rPr>
        <w:t>s that this indicates</w:t>
      </w:r>
      <w:r w:rsidRPr="009A5E96">
        <w:rPr>
          <w:rFonts w:cs="Times New Roman"/>
          <w:sz w:val="24"/>
          <w:szCs w:val="24"/>
        </w:rPr>
        <w:t xml:space="preserve"> that the need for LTCH services exist, but </w:t>
      </w:r>
      <w:r w:rsidRPr="004C67D5">
        <w:rPr>
          <w:rFonts w:cs="Times New Roman"/>
          <w:sz w:val="24"/>
          <w:szCs w:val="24"/>
        </w:rPr>
        <w:t>patients have not been able to receive such services.</w:t>
      </w:r>
      <w:r w:rsidR="00636941" w:rsidRPr="004C67D5">
        <w:rPr>
          <w:rFonts w:cs="Times New Roman"/>
          <w:sz w:val="24"/>
          <w:szCs w:val="24"/>
        </w:rPr>
        <w:t xml:space="preserve"> </w:t>
      </w:r>
      <w:r w:rsidR="00DE0D09">
        <w:rPr>
          <w:rFonts w:cs="Times New Roman"/>
          <w:sz w:val="24"/>
          <w:szCs w:val="24"/>
        </w:rPr>
        <w:t xml:space="preserve">The Proposed Project </w:t>
      </w:r>
      <w:r w:rsidR="00BE7E90">
        <w:rPr>
          <w:rFonts w:cs="Times New Roman"/>
          <w:sz w:val="24"/>
          <w:szCs w:val="24"/>
        </w:rPr>
        <w:t xml:space="preserve">aims to improve throughput by </w:t>
      </w:r>
      <w:r w:rsidR="00A0379C">
        <w:rPr>
          <w:rFonts w:cs="Times New Roman"/>
          <w:sz w:val="24"/>
          <w:szCs w:val="24"/>
        </w:rPr>
        <w:t>implementing operational changes that will allow the Hospital to</w:t>
      </w:r>
      <w:r w:rsidR="006B66F2" w:rsidRPr="00E93FD0">
        <w:rPr>
          <w:rFonts w:cs="Times New Roman"/>
          <w:sz w:val="24"/>
          <w:szCs w:val="28"/>
        </w:rPr>
        <w:t xml:space="preserve"> </w:t>
      </w:r>
      <w:r w:rsidR="006B66F2">
        <w:rPr>
          <w:rFonts w:cs="Times New Roman"/>
          <w:sz w:val="24"/>
          <w:szCs w:val="28"/>
        </w:rPr>
        <w:t>improve</w:t>
      </w:r>
      <w:r w:rsidR="006B66F2" w:rsidRPr="00E93FD0">
        <w:rPr>
          <w:rFonts w:cs="Times New Roman"/>
          <w:sz w:val="24"/>
          <w:szCs w:val="28"/>
        </w:rPr>
        <w:t xml:space="preserve"> </w:t>
      </w:r>
      <w:r w:rsidR="006B66F2">
        <w:rPr>
          <w:rFonts w:cs="Times New Roman"/>
          <w:sz w:val="24"/>
          <w:szCs w:val="28"/>
        </w:rPr>
        <w:t xml:space="preserve">current </w:t>
      </w:r>
      <w:r w:rsidR="006B66F2" w:rsidRPr="00E93FD0">
        <w:rPr>
          <w:rFonts w:cs="Times New Roman"/>
          <w:sz w:val="24"/>
          <w:szCs w:val="28"/>
        </w:rPr>
        <w:t>occupancy levels.</w:t>
      </w:r>
      <w:r w:rsidR="00A0379C">
        <w:rPr>
          <w:rFonts w:cs="Times New Roman"/>
          <w:sz w:val="24"/>
          <w:szCs w:val="24"/>
        </w:rPr>
        <w:t xml:space="preserve"> </w:t>
      </w:r>
      <w:r w:rsidR="00312581" w:rsidRPr="004C67D5">
        <w:rPr>
          <w:rFonts w:cs="Times New Roman"/>
          <w:sz w:val="24"/>
          <w:szCs w:val="24"/>
        </w:rPr>
        <w:t xml:space="preserve">By </w:t>
      </w:r>
      <w:r w:rsidR="006A7E5B">
        <w:rPr>
          <w:rFonts w:cs="Times New Roman"/>
          <w:sz w:val="24"/>
          <w:szCs w:val="24"/>
        </w:rPr>
        <w:t xml:space="preserve">improving </w:t>
      </w:r>
      <w:r w:rsidR="000A66E9">
        <w:rPr>
          <w:rFonts w:cs="Times New Roman"/>
          <w:sz w:val="24"/>
          <w:szCs w:val="24"/>
        </w:rPr>
        <w:t>operations and capacity,</w:t>
      </w:r>
      <w:r w:rsidR="00312581" w:rsidRPr="004C67D5">
        <w:rPr>
          <w:rFonts w:cs="Times New Roman"/>
          <w:sz w:val="24"/>
          <w:szCs w:val="24"/>
        </w:rPr>
        <w:t xml:space="preserve"> the Applicant will ensure that patients with chronic long-term needs have </w:t>
      </w:r>
      <w:r w:rsidR="000A66E9">
        <w:rPr>
          <w:rFonts w:cs="Times New Roman"/>
          <w:sz w:val="24"/>
          <w:szCs w:val="24"/>
        </w:rPr>
        <w:t xml:space="preserve">better </w:t>
      </w:r>
      <w:r w:rsidR="00312581" w:rsidRPr="004C67D5">
        <w:rPr>
          <w:rFonts w:cs="Times New Roman"/>
          <w:sz w:val="24"/>
          <w:szCs w:val="24"/>
        </w:rPr>
        <w:t>access to the appropriate care setting.</w:t>
      </w:r>
    </w:p>
    <w:p w14:paraId="6D23CC38" w14:textId="77777777" w:rsidR="007E6798" w:rsidRPr="00E53597" w:rsidRDefault="007E6798" w:rsidP="0DFD67C7">
      <w:pPr>
        <w:rPr>
          <w:rFonts w:ascii="Calibri" w:eastAsia="Calibri" w:hAnsi="Calibri" w:cs="Calibri"/>
          <w:highlight w:val="yellow"/>
        </w:rPr>
      </w:pPr>
    </w:p>
    <w:p w14:paraId="49E4205C" w14:textId="77777777" w:rsidR="00B874EE" w:rsidRPr="006B66F2" w:rsidRDefault="00B874EE" w:rsidP="00C43768">
      <w:pPr>
        <w:textAlignment w:val="baseline"/>
        <w:rPr>
          <w:rFonts w:ascii="Calibri" w:eastAsia="Aptos" w:hAnsi="Calibri" w:cs="Calibri"/>
          <w:b/>
          <w:bCs/>
          <w:i/>
          <w:iCs/>
        </w:rPr>
      </w:pPr>
      <w:r w:rsidRPr="006B66F2">
        <w:rPr>
          <w:rFonts w:ascii="Calibri" w:eastAsia="Aptos" w:hAnsi="Calibri" w:cs="Calibri"/>
          <w:b/>
          <w:bCs/>
          <w:i/>
          <w:iCs/>
        </w:rPr>
        <w:t>Analysis</w:t>
      </w:r>
    </w:p>
    <w:p w14:paraId="21FD2001" w14:textId="34C9533A" w:rsidR="00153BB3" w:rsidRDefault="00C43768" w:rsidP="00153BB3">
      <w:pPr>
        <w:rPr>
          <w:rFonts w:eastAsia="Calibri"/>
        </w:rPr>
      </w:pPr>
      <w:r w:rsidRPr="638F6CD6">
        <w:rPr>
          <w:rFonts w:ascii="Calibri" w:eastAsia="Calibri" w:hAnsi="Calibri"/>
          <w:lang w:val="en"/>
        </w:rPr>
        <w:t>The Applicant has established that there is an ongoing need for access to LTC services</w:t>
      </w:r>
      <w:r w:rsidR="004C2374" w:rsidRPr="638F6CD6">
        <w:rPr>
          <w:rFonts w:ascii="Calibri" w:eastAsia="Calibri" w:hAnsi="Calibri"/>
          <w:lang w:val="en"/>
        </w:rPr>
        <w:t xml:space="preserve">. Recent closures of several LTC facilities in the Commonwealth </w:t>
      </w:r>
      <w:r w:rsidR="00DF3FA1" w:rsidRPr="638F6CD6">
        <w:rPr>
          <w:rFonts w:ascii="Calibri" w:eastAsia="Calibri" w:hAnsi="Calibri"/>
          <w:lang w:val="en"/>
        </w:rPr>
        <w:t xml:space="preserve">place </w:t>
      </w:r>
      <w:r w:rsidR="001A31CD" w:rsidRPr="638F6CD6">
        <w:rPr>
          <w:rFonts w:ascii="Calibri" w:eastAsia="Calibri" w:hAnsi="Calibri"/>
          <w:lang w:val="en"/>
        </w:rPr>
        <w:t>greater</w:t>
      </w:r>
      <w:r w:rsidR="00DF3FA1" w:rsidRPr="638F6CD6">
        <w:rPr>
          <w:rFonts w:ascii="Calibri" w:eastAsia="Calibri" w:hAnsi="Calibri"/>
          <w:lang w:val="en"/>
        </w:rPr>
        <w:t xml:space="preserve"> emphasis on maintaining the available LTCH</w:t>
      </w:r>
      <w:r w:rsidR="000577A9" w:rsidRPr="638F6CD6">
        <w:rPr>
          <w:rFonts w:ascii="Calibri" w:eastAsia="Calibri" w:hAnsi="Calibri"/>
          <w:lang w:val="en"/>
        </w:rPr>
        <w:t>s. The Applicant demonstrate</w:t>
      </w:r>
      <w:r w:rsidR="00835F51" w:rsidRPr="638F6CD6">
        <w:rPr>
          <w:rFonts w:ascii="Calibri" w:eastAsia="Calibri" w:hAnsi="Calibri"/>
          <w:lang w:val="en"/>
        </w:rPr>
        <w:t xml:space="preserve">s that the Proposed Project will </w:t>
      </w:r>
      <w:r w:rsidR="007217B4" w:rsidRPr="638F6CD6">
        <w:rPr>
          <w:rFonts w:ascii="Calibri" w:eastAsia="Calibri" w:hAnsi="Calibri"/>
          <w:lang w:val="en"/>
        </w:rPr>
        <w:t xml:space="preserve">promote </w:t>
      </w:r>
      <w:r w:rsidR="00835F51" w:rsidRPr="638F6CD6">
        <w:rPr>
          <w:rFonts w:ascii="Calibri" w:eastAsia="Calibri" w:hAnsi="Calibri"/>
          <w:lang w:val="en"/>
        </w:rPr>
        <w:t>financial</w:t>
      </w:r>
      <w:r w:rsidR="007217B4" w:rsidRPr="638F6CD6">
        <w:rPr>
          <w:rFonts w:ascii="Calibri" w:eastAsia="Calibri" w:hAnsi="Calibri"/>
          <w:lang w:val="en"/>
        </w:rPr>
        <w:t xml:space="preserve"> stability,</w:t>
      </w:r>
      <w:r w:rsidR="00835F51" w:rsidRPr="638F6CD6">
        <w:rPr>
          <w:rFonts w:ascii="Calibri" w:eastAsia="Calibri" w:hAnsi="Calibri"/>
          <w:lang w:val="en"/>
        </w:rPr>
        <w:t xml:space="preserve"> </w:t>
      </w:r>
      <w:r w:rsidR="00D2264D">
        <w:rPr>
          <w:rFonts w:ascii="Calibri" w:eastAsia="Calibri" w:hAnsi="Calibri"/>
          <w:lang w:val="en"/>
        </w:rPr>
        <w:t xml:space="preserve">and </w:t>
      </w:r>
      <w:r w:rsidR="00F676C0" w:rsidRPr="638F6CD6">
        <w:rPr>
          <w:rFonts w:ascii="Calibri" w:eastAsia="Calibri" w:hAnsi="Calibri"/>
          <w:lang w:val="en"/>
        </w:rPr>
        <w:lastRenderedPageBreak/>
        <w:t>maintain</w:t>
      </w:r>
      <w:r w:rsidR="007217B4" w:rsidRPr="638F6CD6">
        <w:rPr>
          <w:rFonts w:ascii="Calibri" w:eastAsia="Calibri" w:hAnsi="Calibri"/>
          <w:lang w:val="en"/>
        </w:rPr>
        <w:t xml:space="preserve"> </w:t>
      </w:r>
      <w:r w:rsidR="617C485D" w:rsidRPr="59D5926F">
        <w:rPr>
          <w:rFonts w:ascii="Calibri" w:eastAsia="Calibri" w:hAnsi="Calibri"/>
          <w:lang w:val="en"/>
        </w:rPr>
        <w:t>or</w:t>
      </w:r>
      <w:r w:rsidR="00D2264D">
        <w:rPr>
          <w:rFonts w:ascii="Calibri" w:eastAsia="Calibri" w:hAnsi="Calibri"/>
          <w:lang w:val="en"/>
        </w:rPr>
        <w:t xml:space="preserve"> possibly,</w:t>
      </w:r>
      <w:r w:rsidR="007217B4" w:rsidRPr="638F6CD6">
        <w:rPr>
          <w:rFonts w:ascii="Calibri" w:eastAsia="Calibri" w:hAnsi="Calibri"/>
          <w:lang w:val="en"/>
        </w:rPr>
        <w:t xml:space="preserve"> increase</w:t>
      </w:r>
      <w:r w:rsidR="00F676C0" w:rsidRPr="638F6CD6">
        <w:rPr>
          <w:rFonts w:ascii="Calibri" w:eastAsia="Calibri" w:hAnsi="Calibri"/>
          <w:lang w:val="en"/>
        </w:rPr>
        <w:t xml:space="preserve"> access to the Hospital</w:t>
      </w:r>
      <w:r w:rsidR="00885DA5" w:rsidRPr="638F6CD6">
        <w:rPr>
          <w:rFonts w:ascii="Calibri" w:eastAsia="Calibri" w:hAnsi="Calibri"/>
          <w:lang w:val="en"/>
        </w:rPr>
        <w:t xml:space="preserve"> services. The </w:t>
      </w:r>
      <w:r w:rsidR="00E53458" w:rsidRPr="638F6CD6">
        <w:rPr>
          <w:rFonts w:ascii="Calibri" w:eastAsia="Calibri" w:hAnsi="Calibri"/>
          <w:lang w:val="en"/>
        </w:rPr>
        <w:t>Applicant anticipates</w:t>
      </w:r>
      <w:r w:rsidR="00885DA5" w:rsidRPr="638F6CD6">
        <w:rPr>
          <w:rFonts w:ascii="Calibri" w:eastAsia="Calibri" w:hAnsi="Calibri"/>
          <w:lang w:val="en"/>
        </w:rPr>
        <w:t xml:space="preserve"> </w:t>
      </w:r>
      <w:r w:rsidR="3F334E01" w:rsidRPr="59D5926F">
        <w:rPr>
          <w:rFonts w:ascii="Calibri" w:eastAsia="Calibri" w:hAnsi="Calibri"/>
          <w:lang w:val="en"/>
        </w:rPr>
        <w:t xml:space="preserve">that </w:t>
      </w:r>
      <w:r w:rsidR="00F676C0" w:rsidRPr="638F6CD6">
        <w:rPr>
          <w:rFonts w:ascii="Calibri" w:eastAsia="Calibri" w:hAnsi="Calibri"/>
          <w:lang w:val="en"/>
        </w:rPr>
        <w:t xml:space="preserve">operational changes </w:t>
      </w:r>
      <w:r w:rsidR="00885DA5" w:rsidRPr="638F6CD6">
        <w:rPr>
          <w:rFonts w:ascii="Calibri" w:eastAsia="Calibri" w:hAnsi="Calibri"/>
          <w:lang w:val="en"/>
        </w:rPr>
        <w:t>following the transfer of ownership will</w:t>
      </w:r>
      <w:r w:rsidR="00F676C0" w:rsidRPr="638F6CD6">
        <w:rPr>
          <w:rFonts w:ascii="Calibri" w:eastAsia="Calibri" w:hAnsi="Calibri"/>
          <w:lang w:val="en"/>
        </w:rPr>
        <w:t xml:space="preserve"> improve </w:t>
      </w:r>
      <w:r w:rsidR="0011244D" w:rsidRPr="638F6CD6">
        <w:rPr>
          <w:rFonts w:ascii="Calibri" w:eastAsia="Calibri" w:hAnsi="Calibri"/>
          <w:lang w:val="en"/>
        </w:rPr>
        <w:t>capacity, thus improving through</w:t>
      </w:r>
      <w:r w:rsidR="00AA4E4A">
        <w:rPr>
          <w:rFonts w:ascii="Calibri" w:eastAsia="Calibri" w:hAnsi="Calibri"/>
          <w:lang w:val="en"/>
        </w:rPr>
        <w:t>p</w:t>
      </w:r>
      <w:r w:rsidR="0011244D" w:rsidRPr="638F6CD6">
        <w:rPr>
          <w:rFonts w:ascii="Calibri" w:eastAsia="Calibri" w:hAnsi="Calibri"/>
          <w:lang w:val="en"/>
        </w:rPr>
        <w:t xml:space="preserve">ut for acute care hospitals. </w:t>
      </w:r>
      <w:r w:rsidRPr="638F6CD6">
        <w:rPr>
          <w:rFonts w:ascii="Calibri" w:eastAsia="Calibri" w:hAnsi="Calibri"/>
          <w:lang w:val="en"/>
        </w:rPr>
        <w:t xml:space="preserve">As a result, the </w:t>
      </w:r>
      <w:r w:rsidR="0011244D" w:rsidRPr="638F6CD6">
        <w:rPr>
          <w:rFonts w:ascii="Calibri" w:eastAsia="Calibri" w:hAnsi="Calibri"/>
        </w:rPr>
        <w:t>Proposed Project</w:t>
      </w:r>
      <w:r w:rsidRPr="638F6CD6">
        <w:rPr>
          <w:rFonts w:ascii="Calibri" w:eastAsia="Calibri" w:hAnsi="Calibri"/>
        </w:rPr>
        <w:t xml:space="preserve"> will </w:t>
      </w:r>
      <w:r w:rsidR="1F4550DD" w:rsidRPr="59D5926F">
        <w:rPr>
          <w:rFonts w:ascii="Calibri" w:eastAsia="Calibri" w:hAnsi="Calibri"/>
        </w:rPr>
        <w:t>allow</w:t>
      </w:r>
      <w:r w:rsidRPr="638F6CD6">
        <w:rPr>
          <w:rFonts w:ascii="Calibri" w:eastAsia="Calibri" w:hAnsi="Calibri"/>
        </w:rPr>
        <w:t xml:space="preserve"> the </w:t>
      </w:r>
      <w:r w:rsidR="0011244D" w:rsidRPr="638F6CD6">
        <w:rPr>
          <w:rFonts w:ascii="Calibri" w:eastAsia="Calibri" w:hAnsi="Calibri"/>
        </w:rPr>
        <w:t>Hospital</w:t>
      </w:r>
      <w:r w:rsidRPr="638F6CD6">
        <w:rPr>
          <w:rFonts w:ascii="Calibri" w:eastAsia="Calibri" w:hAnsi="Calibri"/>
        </w:rPr>
        <w:t xml:space="preserve"> </w:t>
      </w:r>
      <w:r w:rsidR="385431DC" w:rsidRPr="59D5926F">
        <w:rPr>
          <w:rFonts w:ascii="Calibri" w:eastAsia="Calibri" w:hAnsi="Calibri"/>
        </w:rPr>
        <w:t xml:space="preserve">to </w:t>
      </w:r>
      <w:r w:rsidR="00465268" w:rsidRPr="638F6CD6">
        <w:rPr>
          <w:rFonts w:ascii="Calibri" w:eastAsia="Calibri" w:hAnsi="Calibri"/>
        </w:rPr>
        <w:t>provide</w:t>
      </w:r>
      <w:r w:rsidRPr="638F6CD6">
        <w:rPr>
          <w:rFonts w:ascii="Calibri" w:eastAsia="Calibri" w:hAnsi="Calibri"/>
        </w:rPr>
        <w:t xml:space="preserve"> needed services to the </w:t>
      </w:r>
      <w:r w:rsidR="00AF0F2D" w:rsidRPr="638F6CD6">
        <w:rPr>
          <w:rFonts w:ascii="Calibri" w:eastAsia="Calibri" w:hAnsi="Calibri"/>
        </w:rPr>
        <w:t>Patient Panel</w:t>
      </w:r>
      <w:r w:rsidRPr="638F6CD6">
        <w:rPr>
          <w:rFonts w:ascii="Calibri" w:eastAsia="Calibri" w:hAnsi="Calibri"/>
        </w:rPr>
        <w:t>.</w:t>
      </w:r>
      <w:r w:rsidR="00153BB3" w:rsidRPr="638F6CD6">
        <w:rPr>
          <w:rFonts w:ascii="Calibri" w:eastAsia="Calibri" w:hAnsi="Calibri"/>
        </w:rPr>
        <w:t xml:space="preserve"> </w:t>
      </w:r>
      <w:r w:rsidR="00153BB3" w:rsidRPr="638F6CD6">
        <w:rPr>
          <w:rFonts w:eastAsia="Calibri"/>
        </w:rPr>
        <w:t>As a result, Staff finds that the Proposed Project meets the requirements of Factor 1a.</w:t>
      </w:r>
    </w:p>
    <w:p w14:paraId="789F3A55" w14:textId="06C18A8D" w:rsidR="00C43768" w:rsidRPr="00C717CE" w:rsidRDefault="00C43768" w:rsidP="00C43768">
      <w:pPr>
        <w:rPr>
          <w:rFonts w:ascii="Calibri" w:eastAsia="Calibri" w:hAnsi="Calibri"/>
        </w:rPr>
      </w:pPr>
    </w:p>
    <w:p w14:paraId="0D8F4833" w14:textId="587168E3" w:rsidR="005205FB" w:rsidRPr="007F4E79" w:rsidRDefault="00A43951" w:rsidP="007F4E79">
      <w:pPr>
        <w:pStyle w:val="Heading2"/>
        <w:spacing w:line="240" w:lineRule="auto"/>
        <w:rPr>
          <w:rFonts w:asciiTheme="minorHAnsi" w:hAnsiTheme="minorHAnsi" w:cstheme="minorBidi"/>
          <w:sz w:val="28"/>
          <w:szCs w:val="28"/>
        </w:rPr>
      </w:pPr>
      <w:bookmarkStart w:id="42" w:name="_Toc157428828"/>
      <w:bookmarkStart w:id="43" w:name="_Toc169264787"/>
      <w:bookmarkStart w:id="44" w:name="_Toc203037129"/>
      <w:r w:rsidRPr="00EE7EAC">
        <w:rPr>
          <w:rFonts w:asciiTheme="minorHAnsi" w:hAnsiTheme="minorHAnsi" w:cstheme="minorBidi"/>
          <w:sz w:val="28"/>
          <w:szCs w:val="28"/>
        </w:rPr>
        <w:t xml:space="preserve">Factor 1: b) </w:t>
      </w:r>
      <w:r w:rsidR="004954E4" w:rsidRPr="00EE7EAC">
        <w:rPr>
          <w:rFonts w:asciiTheme="minorHAnsi" w:hAnsiTheme="minorHAnsi" w:cstheme="minorBidi"/>
          <w:sz w:val="28"/>
          <w:szCs w:val="28"/>
        </w:rPr>
        <w:t>P</w:t>
      </w:r>
      <w:r w:rsidRPr="00EE7EAC">
        <w:rPr>
          <w:rFonts w:asciiTheme="minorHAnsi" w:hAnsiTheme="minorHAnsi" w:cstheme="minorBidi"/>
          <w:sz w:val="28"/>
          <w:szCs w:val="28"/>
        </w:rPr>
        <w:t>ublic health value, improved health outcomes and quality of life; assurances of health equity</w:t>
      </w:r>
      <w:bookmarkEnd w:id="35"/>
      <w:bookmarkEnd w:id="42"/>
      <w:bookmarkEnd w:id="43"/>
      <w:bookmarkEnd w:id="44"/>
      <w:r w:rsidR="00B767A9" w:rsidRPr="00EE7EAC">
        <w:rPr>
          <w:rFonts w:asciiTheme="minorHAnsi" w:hAnsiTheme="minorHAnsi" w:cstheme="minorBidi"/>
          <w:sz w:val="28"/>
          <w:szCs w:val="28"/>
        </w:rPr>
        <w:t xml:space="preserve"> </w:t>
      </w:r>
    </w:p>
    <w:p w14:paraId="4BAF254B" w14:textId="4C8ACE8F" w:rsidR="005205FB" w:rsidRPr="007E352E" w:rsidRDefault="005205FB" w:rsidP="005205FB">
      <w:r w:rsidRPr="007E352E">
        <w:t xml:space="preserve">In this section the Applicant must demonstrate that the Proposed Project adds measurable public health value in terms of improved health outcomes and quality of life for the Applicant’s existing </w:t>
      </w:r>
      <w:r w:rsidR="00DB4AF4">
        <w:t>P</w:t>
      </w:r>
      <w:r w:rsidRPr="007E352E">
        <w:t xml:space="preserve">atient </w:t>
      </w:r>
      <w:r w:rsidR="00DB4AF4">
        <w:t>P</w:t>
      </w:r>
      <w:r w:rsidRPr="007E352E">
        <w:t xml:space="preserve">anel, while providing reasonable assurances of health equity. </w:t>
      </w:r>
    </w:p>
    <w:p w14:paraId="6728B545" w14:textId="77777777" w:rsidR="007B1DAB" w:rsidRPr="00E53597" w:rsidRDefault="007B1DAB" w:rsidP="007B1DAB">
      <w:pPr>
        <w:rPr>
          <w:highlight w:val="yellow"/>
        </w:rPr>
      </w:pPr>
    </w:p>
    <w:p w14:paraId="7D1FC04F" w14:textId="32654F08" w:rsidR="00A84591" w:rsidRPr="00DB4AF4" w:rsidRDefault="002B07D6" w:rsidP="00CE2739">
      <w:pPr>
        <w:contextualSpacing/>
        <w:rPr>
          <w:b/>
          <w:bCs/>
        </w:rPr>
      </w:pPr>
      <w:bookmarkStart w:id="45" w:name="_Toc17149377"/>
      <w:bookmarkStart w:id="46" w:name="_Toc17151181"/>
      <w:bookmarkEnd w:id="36"/>
      <w:bookmarkEnd w:id="37"/>
      <w:bookmarkEnd w:id="38"/>
      <w:bookmarkEnd w:id="39"/>
      <w:bookmarkEnd w:id="40"/>
      <w:r w:rsidRPr="007E352E">
        <w:rPr>
          <w:b/>
          <w:bCs/>
        </w:rPr>
        <w:t>Public Health Value</w:t>
      </w:r>
      <w:r w:rsidR="005A385E" w:rsidRPr="007E352E">
        <w:rPr>
          <w:b/>
          <w:bCs/>
        </w:rPr>
        <w:t>-</w:t>
      </w:r>
      <w:r w:rsidRPr="007E352E">
        <w:rPr>
          <w:b/>
          <w:bCs/>
        </w:rPr>
        <w:t xml:space="preserve"> Health Outcomes, and Quality of Life</w:t>
      </w:r>
    </w:p>
    <w:p w14:paraId="397F4F3F" w14:textId="14120D81" w:rsidR="001F2990" w:rsidRDefault="002636EE" w:rsidP="003E1681">
      <w:pPr>
        <w:autoSpaceDE w:val="0"/>
        <w:autoSpaceDN w:val="0"/>
        <w:adjustRightInd w:val="0"/>
        <w:rPr>
          <w:rFonts w:cs="Times New Roman"/>
        </w:rPr>
      </w:pPr>
      <w:r>
        <w:rPr>
          <w:rFonts w:cs="Times New Roman"/>
        </w:rPr>
        <w:t xml:space="preserve">As discussed in the previous section, </w:t>
      </w:r>
      <w:r w:rsidR="0076602E" w:rsidRPr="00510C64">
        <w:rPr>
          <w:rFonts w:cs="Times New Roman"/>
        </w:rPr>
        <w:t xml:space="preserve">LTCHs </w:t>
      </w:r>
      <w:r w:rsidR="00FD1133">
        <w:rPr>
          <w:rFonts w:cs="Times New Roman"/>
        </w:rPr>
        <w:t>treat some of the most</w:t>
      </w:r>
      <w:r w:rsidR="0076602E">
        <w:rPr>
          <w:rFonts w:cs="Times New Roman"/>
        </w:rPr>
        <w:t xml:space="preserve"> </w:t>
      </w:r>
      <w:r w:rsidR="00FD1133">
        <w:rPr>
          <w:rFonts w:cs="Times New Roman"/>
        </w:rPr>
        <w:t>medically compromised</w:t>
      </w:r>
      <w:r w:rsidR="0076602E">
        <w:rPr>
          <w:rFonts w:cs="Times New Roman"/>
        </w:rPr>
        <w:t xml:space="preserve"> patients who need extended hospital stay</w:t>
      </w:r>
      <w:r w:rsidR="00A812C3">
        <w:rPr>
          <w:rFonts w:cs="Times New Roman"/>
        </w:rPr>
        <w:t>s</w:t>
      </w:r>
      <w:r w:rsidR="00FD1133">
        <w:rPr>
          <w:rFonts w:cs="Times New Roman"/>
        </w:rPr>
        <w:t xml:space="preserve">. </w:t>
      </w:r>
      <w:r w:rsidR="00ED6798">
        <w:rPr>
          <w:rFonts w:cs="Times New Roman"/>
        </w:rPr>
        <w:t xml:space="preserve">A patient </w:t>
      </w:r>
      <w:r w:rsidR="001D74A3">
        <w:rPr>
          <w:rFonts w:cs="Times New Roman"/>
        </w:rPr>
        <w:t xml:space="preserve">admitted to the Hospital </w:t>
      </w:r>
      <w:r w:rsidR="00ED6798">
        <w:rPr>
          <w:rFonts w:cs="Times New Roman"/>
        </w:rPr>
        <w:t xml:space="preserve">generally requires an extended hospital stay with daily physician visits, </w:t>
      </w:r>
      <w:r w:rsidR="00A812C3">
        <w:rPr>
          <w:rFonts w:cs="Times New Roman"/>
        </w:rPr>
        <w:t xml:space="preserve">and </w:t>
      </w:r>
      <w:r w:rsidR="00ED6798">
        <w:rPr>
          <w:rFonts w:cs="Times New Roman"/>
        </w:rPr>
        <w:t xml:space="preserve">24 hour respiratory and nursing care.  </w:t>
      </w:r>
      <w:r w:rsidR="001F2990">
        <w:rPr>
          <w:rFonts w:cs="Times New Roman"/>
        </w:rPr>
        <w:t>Once patients are discharged from LTCHs, evidence shows improved outcomes for those who received ventilator weaning in the LTCH setting</w:t>
      </w:r>
      <w:r w:rsidR="001F2990" w:rsidRPr="00EA3B76">
        <w:rPr>
          <w:rFonts w:cs="Times New Roman"/>
        </w:rPr>
        <w:t>.</w:t>
      </w:r>
      <w:r w:rsidR="00ED584E">
        <w:rPr>
          <w:rStyle w:val="EndnoteReference"/>
          <w:rFonts w:cs="Times New Roman"/>
        </w:rPr>
        <w:endnoteReference w:id="9"/>
      </w:r>
      <w:r w:rsidR="00ED584E" w:rsidRPr="00EA3B76">
        <w:rPr>
          <w:rFonts w:cs="Times New Roman"/>
        </w:rPr>
        <w:t xml:space="preserve"> </w:t>
      </w:r>
      <w:r w:rsidR="00ED584E">
        <w:rPr>
          <w:rFonts w:cs="Times New Roman"/>
        </w:rPr>
        <w:t>Studies</w:t>
      </w:r>
      <w:r w:rsidR="00ED584E" w:rsidRPr="00EA3B76">
        <w:rPr>
          <w:rFonts w:cs="Times New Roman"/>
        </w:rPr>
        <w:t xml:space="preserve"> also show that patients with complex medical illnesses which do not require ventilation also benefit from LTCH services.</w:t>
      </w:r>
      <w:r w:rsidR="00ED584E">
        <w:rPr>
          <w:rStyle w:val="EndnoteReference"/>
          <w:rFonts w:cs="Times New Roman"/>
        </w:rPr>
        <w:endnoteReference w:id="10"/>
      </w:r>
      <w:r w:rsidR="00ED584E">
        <w:rPr>
          <w:rFonts w:cs="Times New Roman"/>
        </w:rPr>
        <w:t xml:space="preserve"> </w:t>
      </w:r>
      <w:r w:rsidR="001F2990">
        <w:rPr>
          <w:rFonts w:cs="Times New Roman"/>
        </w:rPr>
        <w:t xml:space="preserve"> </w:t>
      </w:r>
      <w:r w:rsidR="00603E78">
        <w:rPr>
          <w:rFonts w:cs="Times New Roman"/>
        </w:rPr>
        <w:t xml:space="preserve">The Proposed Project </w:t>
      </w:r>
      <w:r w:rsidR="001D74A3">
        <w:rPr>
          <w:rFonts w:cs="Times New Roman"/>
        </w:rPr>
        <w:t xml:space="preserve">supports access to </w:t>
      </w:r>
      <w:r w:rsidR="0033748C">
        <w:rPr>
          <w:rFonts w:cs="Times New Roman"/>
        </w:rPr>
        <w:t xml:space="preserve">clinically </w:t>
      </w:r>
      <w:r w:rsidR="001D74A3">
        <w:rPr>
          <w:rFonts w:cs="Times New Roman"/>
        </w:rPr>
        <w:t xml:space="preserve">appropriate </w:t>
      </w:r>
      <w:r w:rsidR="00F01854">
        <w:rPr>
          <w:rFonts w:cs="Times New Roman"/>
        </w:rPr>
        <w:t>care settings for</w:t>
      </w:r>
      <w:r w:rsidR="001F2990">
        <w:rPr>
          <w:rFonts w:cs="Times New Roman"/>
        </w:rPr>
        <w:t xml:space="preserve"> patients with chronic long-term </w:t>
      </w:r>
      <w:r w:rsidR="0033748C">
        <w:rPr>
          <w:rFonts w:cs="Times New Roman"/>
        </w:rPr>
        <w:t>care needs</w:t>
      </w:r>
      <w:r w:rsidR="001F2990">
        <w:rPr>
          <w:rFonts w:cs="Times New Roman"/>
        </w:rPr>
        <w:t xml:space="preserve">. </w:t>
      </w:r>
    </w:p>
    <w:p w14:paraId="637F9732" w14:textId="77777777" w:rsidR="00960E4B" w:rsidRPr="00E53597" w:rsidRDefault="00960E4B" w:rsidP="00CE2739">
      <w:pPr>
        <w:contextualSpacing/>
        <w:rPr>
          <w:highlight w:val="yellow"/>
        </w:rPr>
      </w:pPr>
    </w:p>
    <w:p w14:paraId="6A6C3C6F" w14:textId="480F0BD4" w:rsidR="002E79C2" w:rsidRDefault="00E81FC0" w:rsidP="00E81FC0">
      <w:pPr>
        <w:autoSpaceDE w:val="0"/>
        <w:autoSpaceDN w:val="0"/>
        <w:adjustRightInd w:val="0"/>
        <w:rPr>
          <w:rFonts w:cs="Times New Roman"/>
        </w:rPr>
      </w:pPr>
      <w:r>
        <w:rPr>
          <w:rFonts w:cs="Times New Roman"/>
        </w:rPr>
        <w:t xml:space="preserve">The </w:t>
      </w:r>
      <w:r w:rsidR="001064A7">
        <w:rPr>
          <w:rFonts w:cs="Times New Roman"/>
        </w:rPr>
        <w:t>Applicant</w:t>
      </w:r>
      <w:r w:rsidR="0033748C">
        <w:rPr>
          <w:rFonts w:cs="Times New Roman"/>
        </w:rPr>
        <w:t>’s</w:t>
      </w:r>
      <w:r w:rsidR="001064A7">
        <w:rPr>
          <w:rFonts w:cs="Times New Roman"/>
        </w:rPr>
        <w:t xml:space="preserve"> </w:t>
      </w:r>
      <w:r w:rsidR="002E79C2" w:rsidRPr="002E79C2">
        <w:rPr>
          <w:rFonts w:cs="Times New Roman"/>
        </w:rPr>
        <w:t xml:space="preserve">leadership </w:t>
      </w:r>
      <w:r w:rsidR="00BD6E17" w:rsidRPr="00BD6E17">
        <w:rPr>
          <w:rFonts w:cs="Times New Roman"/>
        </w:rPr>
        <w:t>intends to have a regular and ongoing presence at the Hospital to support patient satisfaction by developing direct relationships with patients, family and staff.</w:t>
      </w:r>
      <w:r w:rsidR="00BD6E17">
        <w:rPr>
          <w:rFonts w:cs="Times New Roman"/>
        </w:rPr>
        <w:t xml:space="preserve"> </w:t>
      </w:r>
      <w:r w:rsidR="00724281">
        <w:rPr>
          <w:rFonts w:cs="Times New Roman"/>
        </w:rPr>
        <w:t>The Applicant plans to review the Hospital’s current comprehensive quality assurance program</w:t>
      </w:r>
      <w:r w:rsidR="006E605E">
        <w:rPr>
          <w:rFonts w:cs="Times New Roman"/>
        </w:rPr>
        <w:t xml:space="preserve"> and target </w:t>
      </w:r>
      <w:r w:rsidR="00724281">
        <w:rPr>
          <w:rFonts w:cs="Times New Roman"/>
        </w:rPr>
        <w:t xml:space="preserve">areas </w:t>
      </w:r>
      <w:r w:rsidR="006E605E">
        <w:rPr>
          <w:rFonts w:cs="Times New Roman"/>
        </w:rPr>
        <w:t>to</w:t>
      </w:r>
      <w:r w:rsidR="00724281" w:rsidRPr="00CB6C3A">
        <w:rPr>
          <w:rFonts w:cs="Times New Roman"/>
        </w:rPr>
        <w:t xml:space="preserve"> improve quality and delivery of care</w:t>
      </w:r>
      <w:r w:rsidR="00724281">
        <w:rPr>
          <w:rFonts w:cs="Times New Roman"/>
        </w:rPr>
        <w:t xml:space="preserve"> for the Patient Panel</w:t>
      </w:r>
      <w:r w:rsidR="00610A40">
        <w:rPr>
          <w:rFonts w:cs="Times New Roman"/>
        </w:rPr>
        <w:t>.</w:t>
      </w:r>
      <w:r>
        <w:rPr>
          <w:rFonts w:cs="Times New Roman"/>
        </w:rPr>
        <w:t xml:space="preserve"> Under the Applicant, Hospital leadership overseeing the quality assurance program will be involved in the day-to-day operations.  During the initial year of the Proposed Project, the Applicant</w:t>
      </w:r>
      <w:r w:rsidRPr="00CB6C3A">
        <w:rPr>
          <w:rFonts w:cs="Times New Roman"/>
        </w:rPr>
        <w:t xml:space="preserve"> will </w:t>
      </w:r>
      <w:r>
        <w:rPr>
          <w:rFonts w:cs="Times New Roman"/>
        </w:rPr>
        <w:t xml:space="preserve">collect and </w:t>
      </w:r>
      <w:r w:rsidRPr="00CB6C3A">
        <w:rPr>
          <w:rFonts w:cs="Times New Roman"/>
        </w:rPr>
        <w:t xml:space="preserve">analyze the Hospital’s </w:t>
      </w:r>
      <w:r>
        <w:rPr>
          <w:rFonts w:cs="Times New Roman"/>
        </w:rPr>
        <w:t xml:space="preserve">historic </w:t>
      </w:r>
      <w:r w:rsidRPr="00CB6C3A">
        <w:rPr>
          <w:rFonts w:cs="Times New Roman"/>
        </w:rPr>
        <w:t>patient outcomes</w:t>
      </w:r>
      <w:r>
        <w:rPr>
          <w:rFonts w:cs="Times New Roman"/>
        </w:rPr>
        <w:t xml:space="preserve"> and operations to identify </w:t>
      </w:r>
      <w:r w:rsidR="003A69BB">
        <w:rPr>
          <w:rFonts w:cs="Times New Roman"/>
        </w:rPr>
        <w:t xml:space="preserve">if there are any </w:t>
      </w:r>
      <w:r>
        <w:rPr>
          <w:rFonts w:cs="Times New Roman"/>
        </w:rPr>
        <w:t xml:space="preserve">areas for advancement, then set baselines and establish goals to work towards improvement.  </w:t>
      </w:r>
      <w:r w:rsidR="0021653B">
        <w:rPr>
          <w:rFonts w:cs="Times New Roman"/>
        </w:rPr>
        <w:t>T</w:t>
      </w:r>
      <w:r w:rsidR="00576464" w:rsidRPr="007618A0">
        <w:rPr>
          <w:rFonts w:cs="Times New Roman"/>
        </w:rPr>
        <w:t xml:space="preserve">he Applicant </w:t>
      </w:r>
      <w:r w:rsidR="00576464">
        <w:rPr>
          <w:rFonts w:cs="Times New Roman"/>
        </w:rPr>
        <w:t xml:space="preserve">plans to </w:t>
      </w:r>
      <w:r w:rsidR="00576464" w:rsidRPr="007618A0">
        <w:rPr>
          <w:rFonts w:cs="Times New Roman"/>
        </w:rPr>
        <w:t xml:space="preserve">improve health outcomes and </w:t>
      </w:r>
      <w:r w:rsidR="00576464">
        <w:rPr>
          <w:rFonts w:cs="Times New Roman"/>
        </w:rPr>
        <w:t>quality</w:t>
      </w:r>
      <w:r w:rsidR="00576464" w:rsidRPr="007618A0">
        <w:rPr>
          <w:rFonts w:cs="Times New Roman"/>
        </w:rPr>
        <w:t xml:space="preserve"> of life </w:t>
      </w:r>
      <w:r w:rsidR="00576464">
        <w:rPr>
          <w:rFonts w:cs="Times New Roman"/>
        </w:rPr>
        <w:t>by implementing</w:t>
      </w:r>
      <w:r w:rsidR="00576464" w:rsidRPr="007618A0">
        <w:rPr>
          <w:rFonts w:cs="Times New Roman"/>
        </w:rPr>
        <w:t xml:space="preserve"> standardized clinical practices, disease specific programs</w:t>
      </w:r>
      <w:r w:rsidR="00576464">
        <w:rPr>
          <w:rFonts w:cs="Times New Roman"/>
        </w:rPr>
        <w:t>,</w:t>
      </w:r>
      <w:r w:rsidR="00576464" w:rsidRPr="007618A0">
        <w:rPr>
          <w:rFonts w:cs="Times New Roman"/>
        </w:rPr>
        <w:t xml:space="preserve"> and best practices</w:t>
      </w:r>
      <w:r w:rsidR="00A812C3">
        <w:rPr>
          <w:rFonts w:cs="Times New Roman"/>
        </w:rPr>
        <w:t>,</w:t>
      </w:r>
      <w:r w:rsidR="00BD4E4E">
        <w:rPr>
          <w:rFonts w:cs="Times New Roman"/>
        </w:rPr>
        <w:t xml:space="preserve"> where necessary</w:t>
      </w:r>
      <w:r w:rsidR="00576464">
        <w:rPr>
          <w:rFonts w:cs="Times New Roman"/>
        </w:rPr>
        <w:t>.</w:t>
      </w:r>
    </w:p>
    <w:p w14:paraId="117AF94B" w14:textId="77777777" w:rsidR="002E79C2" w:rsidRDefault="002E79C2" w:rsidP="00735593">
      <w:pPr>
        <w:rPr>
          <w:rFonts w:cs="Times New Roman"/>
        </w:rPr>
      </w:pPr>
    </w:p>
    <w:p w14:paraId="2500DC08" w14:textId="2A8AAF24" w:rsidR="00D1343D" w:rsidRPr="001064A7" w:rsidRDefault="00735593" w:rsidP="00CE2739">
      <w:r w:rsidRPr="00410C6A">
        <w:t xml:space="preserve">To assess the impact of the Proposed Project, the Applicant proposed metrics, as well as metric projections for quality indicators that will measure the impact of the Proposed Project. The measures include </w:t>
      </w:r>
      <w:r w:rsidR="00EC1340">
        <w:t>clinical quality and patient satisfaction</w:t>
      </w:r>
      <w:r w:rsidRPr="00410C6A">
        <w:t xml:space="preserve">. The measures are presented in Appendix I and will be reported to DPH on an annual basis following implementation of the Proposed Project. </w:t>
      </w:r>
    </w:p>
    <w:p w14:paraId="69D7FF4E" w14:textId="77777777" w:rsidR="00A84591" w:rsidRPr="00E53597" w:rsidRDefault="00A84591" w:rsidP="00CE2739">
      <w:pPr>
        <w:contextualSpacing/>
        <w:rPr>
          <w:highlight w:val="yellow"/>
        </w:rPr>
      </w:pPr>
    </w:p>
    <w:p w14:paraId="6F672E90" w14:textId="5C2E0F1A" w:rsidR="00A84591" w:rsidRPr="00D3210C" w:rsidRDefault="00A84591" w:rsidP="00CE2739">
      <w:pPr>
        <w:contextualSpacing/>
        <w:rPr>
          <w:b/>
          <w:i/>
          <w:iCs/>
        </w:rPr>
      </w:pPr>
      <w:r w:rsidRPr="00D3210C">
        <w:rPr>
          <w:b/>
          <w:i/>
          <w:iCs/>
        </w:rPr>
        <w:t>Analysis</w:t>
      </w:r>
    </w:p>
    <w:p w14:paraId="3FA3668D" w14:textId="630C1F72" w:rsidR="00D3210C" w:rsidRPr="00185FBE" w:rsidRDefault="00D3210C" w:rsidP="00D3210C">
      <w:pPr>
        <w:rPr>
          <w:bCs/>
          <w:highlight w:val="yellow"/>
        </w:rPr>
      </w:pPr>
      <w:r w:rsidRPr="00EF3690">
        <w:rPr>
          <w:bCs/>
        </w:rPr>
        <w:t xml:space="preserve">Staff finds that </w:t>
      </w:r>
      <w:r>
        <w:rPr>
          <w:bCs/>
        </w:rPr>
        <w:t xml:space="preserve">the Applicant </w:t>
      </w:r>
      <w:r w:rsidR="002B450C">
        <w:rPr>
          <w:bCs/>
        </w:rPr>
        <w:t>has highlighted the public health benefit of access to LTCH services</w:t>
      </w:r>
      <w:r w:rsidRPr="0098242C">
        <w:rPr>
          <w:bCs/>
        </w:rPr>
        <w:t>.</w:t>
      </w:r>
      <w:r w:rsidRPr="0098242C">
        <w:t xml:space="preserve"> The </w:t>
      </w:r>
      <w:r w:rsidR="000C5F09">
        <w:t xml:space="preserve">Applicant has plans to </w:t>
      </w:r>
      <w:r w:rsidR="00181E4C">
        <w:t>analyze current operations and target areas for improvement based on the analysis in order to improve patient outcomes and patient satisfactions</w:t>
      </w:r>
      <w:r w:rsidRPr="0098242C">
        <w:t xml:space="preserve">. </w:t>
      </w:r>
      <w:r w:rsidR="00BC112C">
        <w:t xml:space="preserve">The Applicant has proposed </w:t>
      </w:r>
      <w:r w:rsidR="005E703D">
        <w:t xml:space="preserve">appropriate </w:t>
      </w:r>
      <w:r w:rsidR="00BC112C">
        <w:t>metrics to measure patient satisfaction and clinical quality</w:t>
      </w:r>
      <w:r w:rsidR="005C37B9">
        <w:t xml:space="preserve"> in their annual report to the </w:t>
      </w:r>
      <w:r w:rsidR="005C37B9">
        <w:lastRenderedPageBreak/>
        <w:t xml:space="preserve">Department. </w:t>
      </w:r>
      <w:r w:rsidRPr="0098242C">
        <w:t>As a result, Staff finds that the Applicant meets the requirements of the Public Health Value: Health Outcomes and Quality of Life part of Factor 1b.</w:t>
      </w:r>
    </w:p>
    <w:p w14:paraId="3A9B55CA" w14:textId="77777777" w:rsidR="00B56E64" w:rsidRPr="00E53597" w:rsidRDefault="00B56E64" w:rsidP="00B56E64">
      <w:pPr>
        <w:contextualSpacing/>
        <w:rPr>
          <w:highlight w:val="yellow"/>
        </w:rPr>
      </w:pPr>
    </w:p>
    <w:p w14:paraId="1F675047" w14:textId="4A35F12A" w:rsidR="00C957FC" w:rsidRPr="006F663C" w:rsidRDefault="0079060B" w:rsidP="006F663C">
      <w:pPr>
        <w:pStyle w:val="RNNum"/>
        <w:numPr>
          <w:ilvl w:val="0"/>
          <w:numId w:val="0"/>
        </w:numPr>
        <w:spacing w:after="0"/>
        <w:rPr>
          <w:b/>
          <w:bCs/>
          <w:szCs w:val="24"/>
        </w:rPr>
      </w:pPr>
      <w:r w:rsidRPr="009E1E3F">
        <w:rPr>
          <w:b/>
          <w:bCs/>
          <w:szCs w:val="24"/>
        </w:rPr>
        <w:t>Public Health Value- Health Equity</w:t>
      </w:r>
    </w:p>
    <w:p w14:paraId="133DE7C8" w14:textId="2D4AE0F9" w:rsidR="00A65F18" w:rsidRDefault="00301AC6" w:rsidP="00A65F18">
      <w:pPr>
        <w:autoSpaceDE w:val="0"/>
        <w:autoSpaceDN w:val="0"/>
        <w:adjustRightInd w:val="0"/>
        <w:rPr>
          <w:rFonts w:cs="Times New Roman"/>
        </w:rPr>
      </w:pPr>
      <w:r>
        <w:rPr>
          <w:rFonts w:cs="Times New Roman"/>
        </w:rPr>
        <w:t xml:space="preserve"> </w:t>
      </w:r>
      <w:r w:rsidR="00E629F4">
        <w:rPr>
          <w:rFonts w:cs="Times New Roman"/>
        </w:rPr>
        <w:t>The Hospital</w:t>
      </w:r>
      <w:r w:rsidR="0960722E" w:rsidRPr="47861FBE">
        <w:rPr>
          <w:rFonts w:cs="Times New Roman"/>
        </w:rPr>
        <w:t xml:space="preserve"> </w:t>
      </w:r>
      <w:r w:rsidR="0960722E" w:rsidRPr="485678E8">
        <w:rPr>
          <w:rFonts w:cs="Times New Roman"/>
        </w:rPr>
        <w:t xml:space="preserve">reports </w:t>
      </w:r>
      <w:r w:rsidR="0960722E" w:rsidRPr="632BF5F4">
        <w:rPr>
          <w:rFonts w:cs="Times New Roman"/>
        </w:rPr>
        <w:t>that it</w:t>
      </w:r>
      <w:r w:rsidR="00E629F4">
        <w:rPr>
          <w:rFonts w:cs="Times New Roman"/>
        </w:rPr>
        <w:t xml:space="preserve"> complies with all state and federal requirements to protect </w:t>
      </w:r>
      <w:r w:rsidR="009F0102">
        <w:rPr>
          <w:rFonts w:cs="Times New Roman"/>
        </w:rPr>
        <w:t>against discrimination</w:t>
      </w:r>
      <w:r w:rsidR="001C6657">
        <w:rPr>
          <w:rFonts w:cs="Times New Roman"/>
        </w:rPr>
        <w:t xml:space="preserve"> as well as provide culturally and linguistically appropriate services. </w:t>
      </w:r>
      <w:r w:rsidR="00F42E08">
        <w:rPr>
          <w:rFonts w:cs="Times New Roman"/>
        </w:rPr>
        <w:t xml:space="preserve">As previously noted in the </w:t>
      </w:r>
      <w:r w:rsidR="00BE7B02">
        <w:rPr>
          <w:rFonts w:cs="Times New Roman"/>
        </w:rPr>
        <w:t xml:space="preserve">Patient Panel demographics, </w:t>
      </w:r>
      <w:r w:rsidR="005A0793">
        <w:rPr>
          <w:rFonts w:cs="Times New Roman"/>
        </w:rPr>
        <w:t xml:space="preserve">nearly two thirds of its </w:t>
      </w:r>
      <w:r w:rsidR="00C62DE0">
        <w:rPr>
          <w:rFonts w:cs="Times New Roman"/>
        </w:rPr>
        <w:t xml:space="preserve">Patient Panel </w:t>
      </w:r>
      <w:r w:rsidR="00932DA8">
        <w:rPr>
          <w:rFonts w:cs="Times New Roman"/>
        </w:rPr>
        <w:t xml:space="preserve">are covered by </w:t>
      </w:r>
      <w:r w:rsidR="006847DD">
        <w:rPr>
          <w:rFonts w:cs="Times New Roman"/>
        </w:rPr>
        <w:t>a public payer.</w:t>
      </w:r>
    </w:p>
    <w:p w14:paraId="48F1B0D5" w14:textId="6BD8745B" w:rsidR="00A65F18" w:rsidRDefault="006F53E6" w:rsidP="00A65F18">
      <w:pPr>
        <w:autoSpaceDE w:val="0"/>
        <w:autoSpaceDN w:val="0"/>
        <w:adjustRightInd w:val="0"/>
        <w:rPr>
          <w:rFonts w:cs="Times New Roman"/>
        </w:rPr>
      </w:pPr>
      <w:r>
        <w:rPr>
          <w:rFonts w:cs="Times New Roman"/>
        </w:rPr>
        <w:t xml:space="preserve">The Hospital </w:t>
      </w:r>
      <w:r w:rsidR="00E629F4">
        <w:rPr>
          <w:rFonts w:cs="Times New Roman"/>
        </w:rPr>
        <w:t xml:space="preserve">provides </w:t>
      </w:r>
      <w:r w:rsidR="00AF7206">
        <w:rPr>
          <w:rFonts w:cs="Times New Roman"/>
        </w:rPr>
        <w:t>medical services</w:t>
      </w:r>
      <w:r>
        <w:rPr>
          <w:rFonts w:cs="Times New Roman"/>
        </w:rPr>
        <w:t xml:space="preserve"> to </w:t>
      </w:r>
      <w:r w:rsidR="00492CAB">
        <w:rPr>
          <w:rFonts w:cs="Times New Roman"/>
        </w:rPr>
        <w:t>inmates in the Commonwealth</w:t>
      </w:r>
      <w:r w:rsidR="0082595A">
        <w:rPr>
          <w:rFonts w:cs="Times New Roman"/>
        </w:rPr>
        <w:t xml:space="preserve"> through collaboration with nearby</w:t>
      </w:r>
      <w:r w:rsidR="00A65F18">
        <w:rPr>
          <w:rFonts w:cs="Times New Roman"/>
        </w:rPr>
        <w:t xml:space="preserve"> correctional</w:t>
      </w:r>
      <w:r w:rsidR="00AF7206">
        <w:rPr>
          <w:rFonts w:cs="Times New Roman"/>
        </w:rPr>
        <w:t xml:space="preserve"> facilities</w:t>
      </w:r>
      <w:r w:rsidR="00A65F18">
        <w:rPr>
          <w:rFonts w:cs="Times New Roman"/>
        </w:rPr>
        <w:t>.</w:t>
      </w:r>
      <w:r w:rsidR="009D7B21">
        <w:rPr>
          <w:rFonts w:cs="Times New Roman"/>
        </w:rPr>
        <w:t xml:space="preserve"> </w:t>
      </w:r>
      <w:r w:rsidR="00A65F18">
        <w:rPr>
          <w:rFonts w:cs="Times New Roman"/>
        </w:rPr>
        <w:t xml:space="preserve">Incarcerated individuals are </w:t>
      </w:r>
      <w:r w:rsidR="001C6657">
        <w:rPr>
          <w:rFonts w:cs="Times New Roman"/>
        </w:rPr>
        <w:t xml:space="preserve">often an </w:t>
      </w:r>
      <w:r w:rsidR="00373D05">
        <w:rPr>
          <w:rFonts w:cs="Times New Roman"/>
        </w:rPr>
        <w:t xml:space="preserve">overlooked population who are </w:t>
      </w:r>
      <w:r w:rsidR="00A65F18">
        <w:rPr>
          <w:rFonts w:cs="Times New Roman"/>
        </w:rPr>
        <w:t>at elevated risk for chronic conditions including pulmonary disorders, in part due to socioeconomic disadvantages and limited access to medical and social services prior to their incarceration.</w:t>
      </w:r>
      <w:r w:rsidR="003A24BC">
        <w:rPr>
          <w:rStyle w:val="EndnoteReference"/>
          <w:rFonts w:cs="Times New Roman"/>
        </w:rPr>
        <w:endnoteReference w:id="11"/>
      </w:r>
      <w:r w:rsidR="003A24BC">
        <w:rPr>
          <w:rFonts w:cs="Times New Roman"/>
        </w:rPr>
        <w:t xml:space="preserve"> </w:t>
      </w:r>
      <w:r w:rsidR="00A65F18">
        <w:rPr>
          <w:rFonts w:cs="Times New Roman"/>
        </w:rPr>
        <w:t xml:space="preserve"> </w:t>
      </w:r>
    </w:p>
    <w:p w14:paraId="6A33A1D7" w14:textId="77777777" w:rsidR="00A11358" w:rsidRPr="00CB1027" w:rsidRDefault="00A11358" w:rsidP="00CB1027">
      <w:pPr>
        <w:pStyle w:val="ListParagraph"/>
        <w:spacing w:after="0" w:line="240" w:lineRule="auto"/>
        <w:ind w:left="0"/>
        <w:rPr>
          <w:rFonts w:cstheme="minorHAnsi"/>
          <w:sz w:val="24"/>
          <w:szCs w:val="24"/>
        </w:rPr>
      </w:pPr>
    </w:p>
    <w:p w14:paraId="59A86824" w14:textId="7FA893EF" w:rsidR="002C1C4F" w:rsidRDefault="00710B48" w:rsidP="00F72C09">
      <w:pPr>
        <w:autoSpaceDE w:val="0"/>
        <w:autoSpaceDN w:val="0"/>
        <w:adjustRightInd w:val="0"/>
        <w:rPr>
          <w:rFonts w:cs="Times New Roman"/>
        </w:rPr>
      </w:pPr>
      <w:r>
        <w:rPr>
          <w:rFonts w:cs="Times New Roman"/>
        </w:rPr>
        <w:t>The Applicant plans to</w:t>
      </w:r>
      <w:r w:rsidRPr="00E151E6">
        <w:rPr>
          <w:rFonts w:cs="Times New Roman"/>
        </w:rPr>
        <w:t xml:space="preserve"> use the initial year after the closing of the proposed transaction to form community partnerships and educate itself </w:t>
      </w:r>
      <w:r>
        <w:rPr>
          <w:rFonts w:cs="Times New Roman"/>
        </w:rPr>
        <w:t>about the community’s health needs</w:t>
      </w:r>
      <w:r>
        <w:rPr>
          <w:rStyle w:val="FootnoteReference"/>
          <w:rFonts w:cs="Times New Roman"/>
        </w:rPr>
        <w:footnoteReference w:id="12"/>
      </w:r>
      <w:r>
        <w:rPr>
          <w:rFonts w:cs="Times New Roman"/>
        </w:rPr>
        <w:t xml:space="preserve"> </w:t>
      </w:r>
      <w:r w:rsidRPr="00E151E6">
        <w:rPr>
          <w:rFonts w:cs="Times New Roman"/>
        </w:rPr>
        <w:t>so that it can promote health equity specific to its local</w:t>
      </w:r>
      <w:r w:rsidR="69386D9F" w:rsidRPr="00E151E6">
        <w:rPr>
          <w:rFonts w:cs="Times New Roman"/>
        </w:rPr>
        <w:t>ity</w:t>
      </w:r>
      <w:r w:rsidRPr="00E151E6">
        <w:rPr>
          <w:rFonts w:cs="Times New Roman"/>
        </w:rPr>
        <w:t xml:space="preserve">.  </w:t>
      </w:r>
      <w:r w:rsidR="00605716">
        <w:rPr>
          <w:rFonts w:cs="Times New Roman"/>
        </w:rPr>
        <w:t>T</w:t>
      </w:r>
      <w:r w:rsidR="00A55083">
        <w:rPr>
          <w:rFonts w:cs="Times New Roman"/>
        </w:rPr>
        <w:t xml:space="preserve">he Applicant has proposed </w:t>
      </w:r>
      <w:r w:rsidRPr="00E151E6">
        <w:rPr>
          <w:rFonts w:cs="Times New Roman"/>
        </w:rPr>
        <w:t>participati</w:t>
      </w:r>
      <w:r w:rsidR="00A55083">
        <w:rPr>
          <w:rFonts w:cs="Times New Roman"/>
        </w:rPr>
        <w:t>on</w:t>
      </w:r>
      <w:r w:rsidRPr="00E151E6">
        <w:rPr>
          <w:rFonts w:cs="Times New Roman"/>
        </w:rPr>
        <w:t xml:space="preserve"> in </w:t>
      </w:r>
      <w:r w:rsidR="00605716">
        <w:rPr>
          <w:rFonts w:cs="Times New Roman"/>
        </w:rPr>
        <w:t xml:space="preserve">local </w:t>
      </w:r>
      <w:r w:rsidRPr="00E151E6">
        <w:rPr>
          <w:rFonts w:cs="Times New Roman"/>
        </w:rPr>
        <w:t xml:space="preserve">health fairs to educate </w:t>
      </w:r>
      <w:r w:rsidR="00605716">
        <w:rPr>
          <w:rFonts w:cs="Times New Roman"/>
        </w:rPr>
        <w:t xml:space="preserve">the public </w:t>
      </w:r>
      <w:r w:rsidRPr="00E151E6">
        <w:rPr>
          <w:rFonts w:cs="Times New Roman"/>
        </w:rPr>
        <w:t>on fall prevention, heart health</w:t>
      </w:r>
      <w:r>
        <w:rPr>
          <w:rFonts w:cs="Times New Roman"/>
        </w:rPr>
        <w:t>y</w:t>
      </w:r>
      <w:r w:rsidRPr="00E151E6">
        <w:rPr>
          <w:rFonts w:cs="Times New Roman"/>
        </w:rPr>
        <w:t xml:space="preserve"> lifestyles, nutrition, </w:t>
      </w:r>
      <w:r w:rsidR="00155014">
        <w:rPr>
          <w:rFonts w:cs="Times New Roman"/>
        </w:rPr>
        <w:t xml:space="preserve">and </w:t>
      </w:r>
      <w:r w:rsidRPr="00E151E6">
        <w:rPr>
          <w:rFonts w:cs="Times New Roman"/>
        </w:rPr>
        <w:t>exercise</w:t>
      </w:r>
      <w:r w:rsidR="00155014">
        <w:rPr>
          <w:rFonts w:cs="Times New Roman"/>
        </w:rPr>
        <w:t>;</w:t>
      </w:r>
      <w:r w:rsidRPr="00E151E6">
        <w:rPr>
          <w:rFonts w:cs="Times New Roman"/>
        </w:rPr>
        <w:t xml:space="preserve"> supporting local groups like</w:t>
      </w:r>
      <w:r>
        <w:rPr>
          <w:rFonts w:cs="Times New Roman"/>
        </w:rPr>
        <w:t xml:space="preserve"> the</w:t>
      </w:r>
      <w:r w:rsidRPr="00E151E6">
        <w:rPr>
          <w:rFonts w:cs="Times New Roman"/>
        </w:rPr>
        <w:t xml:space="preserve"> American Heart Association or ALS</w:t>
      </w:r>
      <w:r>
        <w:rPr>
          <w:rFonts w:cs="Times New Roman"/>
        </w:rPr>
        <w:t xml:space="preserve"> Association</w:t>
      </w:r>
      <w:r w:rsidR="00155014">
        <w:rPr>
          <w:rFonts w:cs="Times New Roman"/>
        </w:rPr>
        <w:t>;</w:t>
      </w:r>
      <w:r w:rsidRPr="00E151E6">
        <w:rPr>
          <w:rFonts w:cs="Times New Roman"/>
        </w:rPr>
        <w:t xml:space="preserve"> and partnering with other local providers</w:t>
      </w:r>
      <w:r w:rsidR="001F1306">
        <w:rPr>
          <w:rFonts w:cs="Times New Roman"/>
        </w:rPr>
        <w:t xml:space="preserve"> to improve the Hospital’s community integration</w:t>
      </w:r>
      <w:r>
        <w:rPr>
          <w:rFonts w:cs="Times New Roman"/>
        </w:rPr>
        <w:t xml:space="preserve">.  In addition, because the Hospital is located in an area with limited public transportation access, </w:t>
      </w:r>
      <w:r w:rsidR="00155014">
        <w:rPr>
          <w:rFonts w:cs="Times New Roman"/>
        </w:rPr>
        <w:t xml:space="preserve">the </w:t>
      </w:r>
      <w:r>
        <w:rPr>
          <w:rFonts w:cs="Times New Roman"/>
        </w:rPr>
        <w:t>Applicant plans to further explore and implement transportation services programs for eligible patients and their families with access challenges.</w:t>
      </w:r>
    </w:p>
    <w:p w14:paraId="303829D4" w14:textId="77777777" w:rsidR="00F72C09" w:rsidRPr="00F72C09" w:rsidRDefault="00F72C09" w:rsidP="00F72C09">
      <w:pPr>
        <w:autoSpaceDE w:val="0"/>
        <w:autoSpaceDN w:val="0"/>
        <w:adjustRightInd w:val="0"/>
        <w:rPr>
          <w:rFonts w:cs="Times New Roman"/>
        </w:rPr>
      </w:pPr>
    </w:p>
    <w:p w14:paraId="4DD81056" w14:textId="64D99A5B" w:rsidR="00621161" w:rsidRPr="00C24063" w:rsidRDefault="007B1DAB" w:rsidP="003F7CD2">
      <w:pPr>
        <w:pStyle w:val="RNNum"/>
        <w:numPr>
          <w:ilvl w:val="0"/>
          <w:numId w:val="0"/>
        </w:numPr>
        <w:spacing w:after="0"/>
        <w:rPr>
          <w:b/>
          <w:bCs/>
          <w:i/>
          <w:iCs/>
          <w:szCs w:val="24"/>
        </w:rPr>
      </w:pPr>
      <w:r w:rsidRPr="00C24063">
        <w:rPr>
          <w:b/>
          <w:bCs/>
          <w:i/>
          <w:iCs/>
          <w:szCs w:val="24"/>
        </w:rPr>
        <w:t>Analysis</w:t>
      </w:r>
    </w:p>
    <w:p w14:paraId="34445DF2" w14:textId="7AB29A1A" w:rsidR="00C24063" w:rsidRPr="0098242C" w:rsidRDefault="00C24063" w:rsidP="00C24063">
      <w:pPr>
        <w:rPr>
          <w:bCs/>
        </w:rPr>
      </w:pPr>
      <w:bookmarkStart w:id="47" w:name="_Toc18922409"/>
      <w:bookmarkStart w:id="48" w:name="_Toc17151150"/>
      <w:bookmarkStart w:id="49" w:name="_Toc17322394"/>
      <w:bookmarkEnd w:id="45"/>
      <w:bookmarkEnd w:id="46"/>
      <w:r w:rsidRPr="20D9BE65">
        <w:rPr>
          <w:color w:val="000000" w:themeColor="text1"/>
        </w:rPr>
        <w:t xml:space="preserve">Staff finds that the Applicant has sufficiently outlined ongoing efforts to advance health equity through language accessibility, </w:t>
      </w:r>
      <w:r w:rsidR="00D476CB" w:rsidRPr="20D9BE65">
        <w:rPr>
          <w:color w:val="000000" w:themeColor="text1"/>
        </w:rPr>
        <w:t xml:space="preserve">serving a high public payer mix, and providing care to </w:t>
      </w:r>
      <w:r w:rsidR="00F72C09" w:rsidRPr="20D9BE65">
        <w:rPr>
          <w:color w:val="000000" w:themeColor="text1"/>
        </w:rPr>
        <w:t>a marginalized incarcerated population</w:t>
      </w:r>
      <w:r w:rsidRPr="20D9BE65">
        <w:rPr>
          <w:color w:val="000000" w:themeColor="text1"/>
        </w:rPr>
        <w:t xml:space="preserve">. </w:t>
      </w:r>
      <w:r w:rsidRPr="0098242C">
        <w:t>As a result, Staff finds that the Applicant meets the requirements of the Public Health Value: Health Equity part of Factor 1b.</w:t>
      </w:r>
    </w:p>
    <w:p w14:paraId="462CDF9A" w14:textId="77777777" w:rsidR="003E2749" w:rsidRPr="00E53597" w:rsidRDefault="003E2749" w:rsidP="00B31381">
      <w:pPr>
        <w:pStyle w:val="Heading1"/>
        <w:spacing w:before="0" w:line="240" w:lineRule="auto"/>
        <w:rPr>
          <w:rFonts w:ascii="Garamond" w:hAnsi="Garamond"/>
          <w:sz w:val="24"/>
          <w:szCs w:val="24"/>
          <w:highlight w:val="yellow"/>
        </w:rPr>
      </w:pPr>
    </w:p>
    <w:p w14:paraId="4E8BED05" w14:textId="0507631E" w:rsidR="00BB7B4F" w:rsidRPr="0052130A" w:rsidRDefault="00BB7B4F" w:rsidP="6CE004FB">
      <w:pPr>
        <w:pStyle w:val="Heading1"/>
        <w:spacing w:before="0" w:line="240" w:lineRule="auto"/>
        <w:rPr>
          <w:rFonts w:asciiTheme="minorHAnsi" w:hAnsiTheme="minorHAnsi" w:cstheme="minorBidi"/>
        </w:rPr>
      </w:pPr>
      <w:bookmarkStart w:id="50" w:name="_Toc157428829"/>
      <w:bookmarkStart w:id="51" w:name="_Toc169264788"/>
      <w:bookmarkStart w:id="52" w:name="_Toc203037130"/>
      <w:r w:rsidRPr="0052130A">
        <w:rPr>
          <w:rFonts w:asciiTheme="minorHAnsi" w:hAnsiTheme="minorHAnsi" w:cstheme="minorBidi"/>
        </w:rPr>
        <w:t>Factor 1: c) Efficiency, Continuity of Care, Coordination of Care</w:t>
      </w:r>
      <w:bookmarkStart w:id="53" w:name="_Toc17322393"/>
      <w:bookmarkStart w:id="54" w:name="_Toc17748465"/>
      <w:bookmarkEnd w:id="47"/>
      <w:bookmarkEnd w:id="50"/>
      <w:bookmarkEnd w:id="51"/>
      <w:bookmarkEnd w:id="52"/>
    </w:p>
    <w:bookmarkEnd w:id="53"/>
    <w:bookmarkEnd w:id="54"/>
    <w:p w14:paraId="04DC7D8F" w14:textId="77777777" w:rsidR="005A1AA2" w:rsidRPr="00AD67ED" w:rsidRDefault="005A1AA2" w:rsidP="005A1AA2">
      <w:pPr>
        <w:autoSpaceDE w:val="0"/>
        <w:autoSpaceDN w:val="0"/>
        <w:adjustRightInd w:val="0"/>
        <w:rPr>
          <w:bCs/>
        </w:rPr>
      </w:pPr>
      <w:r w:rsidRPr="000E27D5">
        <w:rPr>
          <w:color w:val="000000"/>
        </w:rPr>
        <w:t>In</w:t>
      </w:r>
      <w:r w:rsidRPr="000E27D5">
        <w:t xml:space="preserve"> this section, staff will assess if the </w:t>
      </w:r>
      <w:r w:rsidRPr="00AD67ED">
        <w:rPr>
          <w:bCs/>
        </w:rPr>
        <w:t>Proposed Project will promote continuity of care, improved health outcomes, and enhanced quality of life</w:t>
      </w:r>
      <w:r>
        <w:rPr>
          <w:bCs/>
        </w:rPr>
        <w:t xml:space="preserve">. </w:t>
      </w:r>
      <w:r w:rsidRPr="45C967FF">
        <w:t xml:space="preserve">The Applicant </w:t>
      </w:r>
      <w:r>
        <w:t xml:space="preserve">demonstrated these factors as follows:  </w:t>
      </w:r>
    </w:p>
    <w:p w14:paraId="76F43D70" w14:textId="77777777" w:rsidR="008C5590" w:rsidRPr="00E53597" w:rsidRDefault="008C5590" w:rsidP="009C675A">
      <w:pPr>
        <w:contextualSpacing/>
        <w:rPr>
          <w:highlight w:val="yellow"/>
        </w:rPr>
      </w:pPr>
    </w:p>
    <w:p w14:paraId="7C0CD5C9" w14:textId="79B5F562" w:rsidR="00037E59" w:rsidRDefault="009C675A" w:rsidP="00037E59">
      <w:pPr>
        <w:ind w:left="720"/>
        <w:rPr>
          <w:rFonts w:cs="Times New Roman"/>
        </w:rPr>
      </w:pPr>
      <w:r w:rsidRPr="009C675A">
        <w:rPr>
          <w:rFonts w:cs="Times New Roman"/>
          <w:b/>
          <w:bCs/>
        </w:rPr>
        <w:t xml:space="preserve">Communication with </w:t>
      </w:r>
      <w:r w:rsidR="008528D4">
        <w:rPr>
          <w:rFonts w:cs="Times New Roman"/>
          <w:b/>
          <w:bCs/>
        </w:rPr>
        <w:t>Other Providers</w:t>
      </w:r>
      <w:r w:rsidRPr="009C675A">
        <w:rPr>
          <w:rFonts w:cs="Times New Roman"/>
          <w:b/>
          <w:bCs/>
        </w:rPr>
        <w:t>:</w:t>
      </w:r>
      <w:r>
        <w:rPr>
          <w:rFonts w:cs="Times New Roman"/>
        </w:rPr>
        <w:t xml:space="preserve"> </w:t>
      </w:r>
      <w:r w:rsidR="005570DC">
        <w:rPr>
          <w:rFonts w:cs="Times New Roman"/>
        </w:rPr>
        <w:t xml:space="preserve">At admission and upon patient request, the </w:t>
      </w:r>
      <w:r w:rsidR="00382C19">
        <w:rPr>
          <w:rFonts w:cs="Times New Roman"/>
        </w:rPr>
        <w:t xml:space="preserve">Hospital </w:t>
      </w:r>
      <w:r w:rsidR="005570DC">
        <w:rPr>
          <w:rFonts w:cs="Times New Roman"/>
        </w:rPr>
        <w:t>notifies the patient’s primary care provider.</w:t>
      </w:r>
      <w:r w:rsidR="005570DC" w:rsidRPr="00F5681B">
        <w:rPr>
          <w:rFonts w:cs="Times New Roman"/>
        </w:rPr>
        <w:t xml:space="preserve"> </w:t>
      </w:r>
      <w:r w:rsidR="005570DC">
        <w:rPr>
          <w:rFonts w:cs="Times New Roman"/>
        </w:rPr>
        <w:t xml:space="preserve">The patient’s </w:t>
      </w:r>
      <w:r w:rsidR="005570DC" w:rsidRPr="00F5681B">
        <w:rPr>
          <w:rFonts w:cs="Times New Roman"/>
        </w:rPr>
        <w:t>attending phys</w:t>
      </w:r>
      <w:r w:rsidR="005570DC">
        <w:rPr>
          <w:rFonts w:cs="Times New Roman"/>
        </w:rPr>
        <w:t xml:space="preserve">ician at the Hospital will communicate with the patient’s primary care provider </w:t>
      </w:r>
      <w:r w:rsidR="005570DC" w:rsidRPr="00F5681B">
        <w:rPr>
          <w:rFonts w:cs="Times New Roman"/>
        </w:rPr>
        <w:t xml:space="preserve">throughout the patients’ stay as needed. </w:t>
      </w:r>
      <w:r w:rsidR="00710C72">
        <w:rPr>
          <w:rFonts w:cs="Times New Roman"/>
        </w:rPr>
        <w:t xml:space="preserve">The Hospital </w:t>
      </w:r>
      <w:r w:rsidR="00190B47">
        <w:rPr>
          <w:rFonts w:cs="Times New Roman"/>
        </w:rPr>
        <w:t xml:space="preserve">communicates with any </w:t>
      </w:r>
      <w:r w:rsidR="00710C72">
        <w:rPr>
          <w:rFonts w:cs="Times New Roman"/>
        </w:rPr>
        <w:t xml:space="preserve">providers that will be involved with the patient’s post-discharge care. </w:t>
      </w:r>
      <w:r w:rsidR="005570DC" w:rsidRPr="00F5681B">
        <w:rPr>
          <w:rFonts w:cs="Times New Roman"/>
        </w:rPr>
        <w:t xml:space="preserve">Upon discharge, the patient discharge </w:t>
      </w:r>
      <w:r w:rsidR="000F1A77">
        <w:rPr>
          <w:rFonts w:cs="Times New Roman"/>
        </w:rPr>
        <w:t xml:space="preserve">and care plan </w:t>
      </w:r>
      <w:r w:rsidR="005570DC" w:rsidRPr="00F5681B">
        <w:rPr>
          <w:rFonts w:cs="Times New Roman"/>
        </w:rPr>
        <w:t xml:space="preserve">information </w:t>
      </w:r>
      <w:r w:rsidR="005570DC">
        <w:rPr>
          <w:rFonts w:cs="Times New Roman"/>
        </w:rPr>
        <w:t xml:space="preserve">is provided </w:t>
      </w:r>
      <w:r w:rsidR="005570DC" w:rsidRPr="00F5681B">
        <w:rPr>
          <w:rFonts w:cs="Times New Roman"/>
        </w:rPr>
        <w:t xml:space="preserve">to the </w:t>
      </w:r>
      <w:r w:rsidR="005570DC">
        <w:rPr>
          <w:rFonts w:cs="Times New Roman"/>
        </w:rPr>
        <w:t>patient’s primary care provider</w:t>
      </w:r>
      <w:r w:rsidR="000F1A77">
        <w:rPr>
          <w:rFonts w:cs="Times New Roman"/>
        </w:rPr>
        <w:t xml:space="preserve">, as well as any other post-discharge </w:t>
      </w:r>
      <w:r w:rsidR="00533AF3">
        <w:rPr>
          <w:rFonts w:cs="Times New Roman"/>
        </w:rPr>
        <w:t>care providers.</w:t>
      </w:r>
      <w:r w:rsidR="005570DC">
        <w:rPr>
          <w:rFonts w:cs="Times New Roman"/>
        </w:rPr>
        <w:t xml:space="preserve"> </w:t>
      </w:r>
      <w:r w:rsidR="00533AF3">
        <w:rPr>
          <w:rFonts w:cs="Times New Roman"/>
        </w:rPr>
        <w:t>F</w:t>
      </w:r>
      <w:r w:rsidR="005570DC" w:rsidRPr="00132BDB">
        <w:rPr>
          <w:rFonts w:cs="Times New Roman"/>
        </w:rPr>
        <w:t xml:space="preserve">ollow-up appointments will be made as </w:t>
      </w:r>
      <w:r w:rsidR="00533AF3">
        <w:rPr>
          <w:rFonts w:cs="Times New Roman"/>
        </w:rPr>
        <w:t>necessary</w:t>
      </w:r>
      <w:r w:rsidR="005570DC">
        <w:rPr>
          <w:rFonts w:cs="Times New Roman"/>
        </w:rPr>
        <w:t xml:space="preserve">.   </w:t>
      </w:r>
    </w:p>
    <w:p w14:paraId="28BC92E7" w14:textId="77777777" w:rsidR="00037E59" w:rsidRDefault="00037E59" w:rsidP="00037E59">
      <w:pPr>
        <w:ind w:left="720"/>
        <w:rPr>
          <w:rFonts w:cs="Times New Roman"/>
        </w:rPr>
      </w:pPr>
    </w:p>
    <w:p w14:paraId="55310C3E" w14:textId="570D48A1" w:rsidR="0074546D" w:rsidRDefault="00037E59" w:rsidP="00037E59">
      <w:pPr>
        <w:ind w:left="720"/>
        <w:rPr>
          <w:rFonts w:cs="Times New Roman"/>
        </w:rPr>
      </w:pPr>
      <w:r w:rsidRPr="00037E59">
        <w:rPr>
          <w:rFonts w:cs="Times New Roman"/>
          <w:b/>
          <w:bCs/>
        </w:rPr>
        <w:t>Coordination With On-Site SNF:</w:t>
      </w:r>
      <w:r>
        <w:rPr>
          <w:rFonts w:cs="Times New Roman"/>
        </w:rPr>
        <w:t xml:space="preserve"> </w:t>
      </w:r>
      <w:r w:rsidR="005570DC">
        <w:rPr>
          <w:rFonts w:cs="Times New Roman"/>
        </w:rPr>
        <w:t xml:space="preserve">The </w:t>
      </w:r>
      <w:r w:rsidR="00382C19">
        <w:rPr>
          <w:rFonts w:cs="Times New Roman"/>
        </w:rPr>
        <w:t xml:space="preserve">Hospital’s </w:t>
      </w:r>
      <w:r w:rsidR="006159DB">
        <w:rPr>
          <w:rFonts w:cs="Times New Roman"/>
        </w:rPr>
        <w:t xml:space="preserve">case management and clinical personnel communicate regularly with </w:t>
      </w:r>
      <w:r>
        <w:rPr>
          <w:rFonts w:cs="Times New Roman"/>
        </w:rPr>
        <w:t>the on-site</w:t>
      </w:r>
      <w:r w:rsidR="005570DC">
        <w:rPr>
          <w:rFonts w:cs="Times New Roman"/>
        </w:rPr>
        <w:t xml:space="preserve"> </w:t>
      </w:r>
      <w:r w:rsidR="006159DB">
        <w:rPr>
          <w:rFonts w:cs="Times New Roman"/>
        </w:rPr>
        <w:t>SNF to</w:t>
      </w:r>
      <w:r w:rsidR="000A68B2">
        <w:rPr>
          <w:rFonts w:cs="Times New Roman"/>
        </w:rPr>
        <w:t xml:space="preserve"> promote</w:t>
      </w:r>
      <w:r w:rsidR="005570DC">
        <w:rPr>
          <w:rFonts w:cs="Times New Roman"/>
        </w:rPr>
        <w:t xml:space="preserve"> a</w:t>
      </w:r>
      <w:r w:rsidR="006159DB">
        <w:rPr>
          <w:rFonts w:cs="Times New Roman"/>
        </w:rPr>
        <w:t xml:space="preserve"> cohesive transfer of patients </w:t>
      </w:r>
      <w:r w:rsidR="006159DB">
        <w:rPr>
          <w:rFonts w:cs="Times New Roman"/>
        </w:rPr>
        <w:lastRenderedPageBreak/>
        <w:t>between the facilities as appropriate for each patient’s individual needs.</w:t>
      </w:r>
      <w:r w:rsidR="006159DB" w:rsidRPr="00185B1C">
        <w:rPr>
          <w:rFonts w:cs="Times New Roman"/>
        </w:rPr>
        <w:t xml:space="preserve"> </w:t>
      </w:r>
      <w:r w:rsidR="006159DB">
        <w:rPr>
          <w:rFonts w:cs="Times New Roman"/>
        </w:rPr>
        <w:t>The</w:t>
      </w:r>
      <w:r w:rsidR="00382C19">
        <w:rPr>
          <w:rFonts w:cs="Times New Roman"/>
        </w:rPr>
        <w:t xml:space="preserve"> Hospital</w:t>
      </w:r>
      <w:r w:rsidR="006159DB">
        <w:rPr>
          <w:rFonts w:cs="Times New Roman"/>
        </w:rPr>
        <w:t xml:space="preserve"> also </w:t>
      </w:r>
      <w:r w:rsidR="006159DB" w:rsidRPr="00F5681B">
        <w:rPr>
          <w:rFonts w:cs="Times New Roman"/>
        </w:rPr>
        <w:t>coordinate</w:t>
      </w:r>
      <w:r w:rsidR="006159DB">
        <w:rPr>
          <w:rFonts w:cs="Times New Roman"/>
        </w:rPr>
        <w:t>s</w:t>
      </w:r>
      <w:r w:rsidR="006159DB" w:rsidRPr="00F5681B">
        <w:rPr>
          <w:rFonts w:cs="Times New Roman"/>
        </w:rPr>
        <w:t xml:space="preserve"> home discharges </w:t>
      </w:r>
      <w:r w:rsidR="006159DB">
        <w:rPr>
          <w:rFonts w:cs="Times New Roman"/>
        </w:rPr>
        <w:t xml:space="preserve">with the patient and their care team </w:t>
      </w:r>
      <w:r w:rsidR="006159DB" w:rsidRPr="00F5681B">
        <w:rPr>
          <w:rFonts w:cs="Times New Roman"/>
        </w:rPr>
        <w:t>to ensure proper durable medical equipment and community support is provided, as needed.</w:t>
      </w:r>
      <w:r w:rsidR="005570DC">
        <w:rPr>
          <w:rFonts w:cs="Times New Roman"/>
        </w:rPr>
        <w:t xml:space="preserve"> The </w:t>
      </w:r>
      <w:r w:rsidR="00382C19">
        <w:rPr>
          <w:rFonts w:cs="Times New Roman"/>
        </w:rPr>
        <w:t xml:space="preserve">Hospital </w:t>
      </w:r>
      <w:r w:rsidR="00340757">
        <w:rPr>
          <w:rFonts w:cs="Times New Roman"/>
        </w:rPr>
        <w:t>has a</w:t>
      </w:r>
      <w:r w:rsidR="006159DB">
        <w:rPr>
          <w:rFonts w:cs="Times New Roman"/>
        </w:rPr>
        <w:t xml:space="preserve"> senior </w:t>
      </w:r>
      <w:r w:rsidR="00340757">
        <w:rPr>
          <w:rFonts w:cs="Times New Roman"/>
        </w:rPr>
        <w:t xml:space="preserve">team with </w:t>
      </w:r>
      <w:r w:rsidR="006159DB">
        <w:rPr>
          <w:rFonts w:cs="Times New Roman"/>
        </w:rPr>
        <w:t xml:space="preserve">prior experience working with other post-acute care providers </w:t>
      </w:r>
      <w:r w:rsidR="00340757">
        <w:rPr>
          <w:rFonts w:cs="Times New Roman"/>
        </w:rPr>
        <w:t>to</w:t>
      </w:r>
      <w:r w:rsidR="006159DB">
        <w:rPr>
          <w:rFonts w:cs="Times New Roman"/>
        </w:rPr>
        <w:t xml:space="preserve"> focus on the integration of services specifically with area SNF operations.</w:t>
      </w:r>
    </w:p>
    <w:p w14:paraId="408FF961" w14:textId="77777777" w:rsidR="008D19E7" w:rsidRDefault="008D19E7" w:rsidP="00340757">
      <w:pPr>
        <w:rPr>
          <w:rFonts w:cs="Times New Roman"/>
        </w:rPr>
      </w:pPr>
    </w:p>
    <w:p w14:paraId="44D128C0" w14:textId="3DD7D461" w:rsidR="008D19E7" w:rsidRDefault="008528D4" w:rsidP="00037E59">
      <w:pPr>
        <w:ind w:left="720"/>
        <w:rPr>
          <w:rFonts w:cs="Times New Roman"/>
        </w:rPr>
      </w:pPr>
      <w:r w:rsidRPr="008528D4">
        <w:rPr>
          <w:rFonts w:cs="Times New Roman"/>
          <w:b/>
          <w:bCs/>
        </w:rPr>
        <w:t>Improved Intake System:</w:t>
      </w:r>
      <w:r w:rsidR="00031D93">
        <w:rPr>
          <w:rFonts w:cs="Times New Roman"/>
          <w:b/>
          <w:bCs/>
        </w:rPr>
        <w:t xml:space="preserve"> </w:t>
      </w:r>
      <w:r w:rsidR="00D65E8F">
        <w:rPr>
          <w:rFonts w:cs="Times New Roman"/>
        </w:rPr>
        <w:t xml:space="preserve">The Hospital and Vibra Hospital of Southeastern Massachusetts </w:t>
      </w:r>
      <w:r w:rsidR="00D31A9A">
        <w:rPr>
          <w:rFonts w:cs="Times New Roman"/>
        </w:rPr>
        <w:t>(Vibra Southeastern)</w:t>
      </w:r>
      <w:r w:rsidR="001294D1" w:rsidRPr="3FF153B9">
        <w:rPr>
          <w:rFonts w:cs="Times New Roman"/>
        </w:rPr>
        <w:t xml:space="preserve"> </w:t>
      </w:r>
      <w:r>
        <w:rPr>
          <w:rFonts w:cs="Times New Roman"/>
        </w:rPr>
        <w:t xml:space="preserve">currently </w:t>
      </w:r>
      <w:r w:rsidR="008D19E7" w:rsidRPr="002E79C2">
        <w:rPr>
          <w:rFonts w:cs="Times New Roman"/>
        </w:rPr>
        <w:t>ha</w:t>
      </w:r>
      <w:r w:rsidR="00D65E8F">
        <w:rPr>
          <w:rFonts w:cs="Times New Roman"/>
        </w:rPr>
        <w:t>ve</w:t>
      </w:r>
      <w:r w:rsidR="008D19E7" w:rsidRPr="002E79C2">
        <w:rPr>
          <w:rFonts w:cs="Times New Roman"/>
        </w:rPr>
        <w:t xml:space="preserve"> a centralized referral/intake system and other shared back-office resources that serve both </w:t>
      </w:r>
      <w:r w:rsidR="001C6657">
        <w:rPr>
          <w:rFonts w:cs="Times New Roman"/>
        </w:rPr>
        <w:t>facilities</w:t>
      </w:r>
      <w:r w:rsidR="00705312">
        <w:rPr>
          <w:rStyle w:val="FootnoteReference"/>
          <w:rFonts w:cs="Times New Roman"/>
        </w:rPr>
        <w:footnoteReference w:id="13"/>
      </w:r>
      <w:r w:rsidR="008D19E7" w:rsidRPr="002E79C2">
        <w:rPr>
          <w:rFonts w:cs="Times New Roman"/>
        </w:rPr>
        <w:t xml:space="preserve">.  The two facilities are more than 75 miles from each other, </w:t>
      </w:r>
      <w:r w:rsidR="00312990">
        <w:rPr>
          <w:rFonts w:cs="Times New Roman"/>
        </w:rPr>
        <w:t xml:space="preserve">and although the Hospital takes referrals from throughout the Commonwealth, the majority come from </w:t>
      </w:r>
      <w:r w:rsidR="00110D0F">
        <w:rPr>
          <w:rFonts w:cs="Times New Roman"/>
        </w:rPr>
        <w:t xml:space="preserve">regional acute care hospitals, resulting in </w:t>
      </w:r>
      <w:r w:rsidR="7CCB8517">
        <w:rPr>
          <w:rFonts w:cs="Times New Roman"/>
        </w:rPr>
        <w:t xml:space="preserve">the </w:t>
      </w:r>
      <w:r w:rsidR="00110D0F">
        <w:rPr>
          <w:rFonts w:cs="Times New Roman"/>
        </w:rPr>
        <w:t xml:space="preserve">two facilities primarily </w:t>
      </w:r>
      <w:r w:rsidR="008D19E7" w:rsidRPr="002E79C2">
        <w:rPr>
          <w:rFonts w:cs="Times New Roman"/>
        </w:rPr>
        <w:t xml:space="preserve">serving different acute care hospital partners. </w:t>
      </w:r>
      <w:r w:rsidR="00110D0F">
        <w:rPr>
          <w:rFonts w:cs="Times New Roman"/>
        </w:rPr>
        <w:t>The Applicant anticipates u</w:t>
      </w:r>
      <w:r w:rsidR="008D19E7" w:rsidRPr="002E79C2">
        <w:rPr>
          <w:rFonts w:cs="Times New Roman"/>
        </w:rPr>
        <w:t xml:space="preserve">ncoupling these systems and creating a referral/intake process that is specific to the Hospital </w:t>
      </w:r>
      <w:r w:rsidR="00FC5158">
        <w:rPr>
          <w:rFonts w:cs="Times New Roman"/>
        </w:rPr>
        <w:t xml:space="preserve">that </w:t>
      </w:r>
      <w:r w:rsidR="00110D0F">
        <w:rPr>
          <w:rFonts w:cs="Times New Roman"/>
        </w:rPr>
        <w:t xml:space="preserve">will </w:t>
      </w:r>
      <w:r w:rsidR="008D19E7" w:rsidRPr="002E79C2">
        <w:rPr>
          <w:rFonts w:cs="Times New Roman"/>
        </w:rPr>
        <w:t>positively impact patient access in Central and Western Massachusetts</w:t>
      </w:r>
      <w:r w:rsidR="00991749">
        <w:rPr>
          <w:rFonts w:cs="Times New Roman"/>
        </w:rPr>
        <w:t xml:space="preserve">, helping </w:t>
      </w:r>
      <w:r w:rsidR="008D19E7" w:rsidRPr="002E79C2">
        <w:rPr>
          <w:rFonts w:cs="Times New Roman"/>
        </w:rPr>
        <w:t xml:space="preserve">with throughput. </w:t>
      </w:r>
      <w:r w:rsidR="00991749">
        <w:rPr>
          <w:rFonts w:cs="Times New Roman"/>
        </w:rPr>
        <w:t xml:space="preserve">The Applicant states that </w:t>
      </w:r>
      <w:r w:rsidR="00AF69FD">
        <w:rPr>
          <w:rFonts w:cs="Times New Roman"/>
        </w:rPr>
        <w:t>separating</w:t>
      </w:r>
      <w:r w:rsidR="00AF69FD" w:rsidRPr="002E79C2">
        <w:rPr>
          <w:rFonts w:cs="Times New Roman"/>
        </w:rPr>
        <w:t xml:space="preserve"> </w:t>
      </w:r>
      <w:r w:rsidR="008D19E7" w:rsidRPr="002E79C2">
        <w:rPr>
          <w:rFonts w:cs="Times New Roman"/>
        </w:rPr>
        <w:t xml:space="preserve">operations </w:t>
      </w:r>
      <w:r w:rsidR="00991749">
        <w:rPr>
          <w:rFonts w:cs="Times New Roman"/>
        </w:rPr>
        <w:t>will</w:t>
      </w:r>
      <w:r w:rsidR="008D19E7" w:rsidRPr="002E79C2">
        <w:rPr>
          <w:rFonts w:cs="Times New Roman"/>
        </w:rPr>
        <w:t xml:space="preserve"> result in more resources directly invested to promote the Hospital and </w:t>
      </w:r>
      <w:r w:rsidR="00960217">
        <w:rPr>
          <w:rFonts w:cs="Times New Roman"/>
        </w:rPr>
        <w:t>to</w:t>
      </w:r>
      <w:r w:rsidR="008D19E7" w:rsidRPr="002E79C2">
        <w:rPr>
          <w:rFonts w:cs="Times New Roman"/>
        </w:rPr>
        <w:t xml:space="preserve"> enhance patient programming.  </w:t>
      </w:r>
    </w:p>
    <w:p w14:paraId="66F4FE2E" w14:textId="77777777" w:rsidR="000058AF" w:rsidRDefault="000058AF" w:rsidP="00340757">
      <w:pPr>
        <w:rPr>
          <w:rFonts w:cs="Times New Roman"/>
        </w:rPr>
      </w:pPr>
    </w:p>
    <w:p w14:paraId="17F8E02C" w14:textId="1BFB65A8" w:rsidR="000058AF" w:rsidRDefault="00D5748B" w:rsidP="00991749">
      <w:pPr>
        <w:ind w:left="720"/>
        <w:rPr>
          <w:rFonts w:cs="Times New Roman"/>
        </w:rPr>
      </w:pPr>
      <w:r w:rsidRPr="6E65E20B">
        <w:rPr>
          <w:rFonts w:cs="Times New Roman"/>
          <w:b/>
          <w:bCs/>
        </w:rPr>
        <w:t>Efficiency Consultant:</w:t>
      </w:r>
      <w:r w:rsidRPr="6E65E20B">
        <w:rPr>
          <w:rFonts w:cs="Times New Roman"/>
        </w:rPr>
        <w:t xml:space="preserve"> </w:t>
      </w:r>
      <w:r w:rsidR="000058AF" w:rsidRPr="6E65E20B">
        <w:rPr>
          <w:rFonts w:cs="Times New Roman"/>
        </w:rPr>
        <w:t>Upon completion of the Proposed Project, the Applicant plans to have a consulting agreement with another regional LTCH provider with over 20 years of experience</w:t>
      </w:r>
      <w:r w:rsidR="00BB21C4">
        <w:rPr>
          <w:rStyle w:val="FootnoteReference"/>
          <w:rFonts w:cs="Times New Roman"/>
        </w:rPr>
        <w:footnoteReference w:id="14"/>
      </w:r>
      <w:r w:rsidR="000058AF" w:rsidRPr="6E65E20B">
        <w:rPr>
          <w:rFonts w:cs="Times New Roman"/>
        </w:rPr>
        <w:t xml:space="preserve"> </w:t>
      </w:r>
      <w:r w:rsidR="005D0E6D">
        <w:rPr>
          <w:rFonts w:cs="Times New Roman"/>
        </w:rPr>
        <w:t>to provide</w:t>
      </w:r>
      <w:r w:rsidR="000058AF" w:rsidRPr="6E65E20B">
        <w:rPr>
          <w:rFonts w:cs="Times New Roman"/>
        </w:rPr>
        <w:t xml:space="preserve"> operational support in an effort to </w:t>
      </w:r>
      <w:r w:rsidR="00520852" w:rsidRPr="6E65E20B">
        <w:rPr>
          <w:rFonts w:cs="Times New Roman"/>
        </w:rPr>
        <w:t>identify areas to improve efficiency</w:t>
      </w:r>
      <w:r w:rsidR="000058AF" w:rsidRPr="6E65E20B">
        <w:rPr>
          <w:rFonts w:cs="Times New Roman"/>
        </w:rPr>
        <w:t xml:space="preserve">.  This includes assistance with admissions, marketing, provider contracting, case management, and revenue cycle.  </w:t>
      </w:r>
    </w:p>
    <w:p w14:paraId="188A3E3F" w14:textId="77777777" w:rsidR="006159DB" w:rsidRDefault="006159DB" w:rsidP="0074546D">
      <w:pPr>
        <w:contextualSpacing/>
        <w:rPr>
          <w:b/>
          <w:bCs/>
          <w:i/>
          <w:iCs/>
          <w:highlight w:val="yellow"/>
        </w:rPr>
      </w:pPr>
    </w:p>
    <w:p w14:paraId="044CCCB1" w14:textId="745CC82C" w:rsidR="0074546D" w:rsidRPr="006D10B4" w:rsidRDefault="0074546D" w:rsidP="0074546D">
      <w:pPr>
        <w:contextualSpacing/>
        <w:rPr>
          <w:b/>
          <w:bCs/>
          <w:i/>
          <w:iCs/>
        </w:rPr>
      </w:pPr>
      <w:r w:rsidRPr="00955274">
        <w:rPr>
          <w:b/>
          <w:bCs/>
          <w:i/>
          <w:iCs/>
        </w:rPr>
        <w:t>Analysis</w:t>
      </w:r>
    </w:p>
    <w:bookmarkEnd w:id="48"/>
    <w:bookmarkEnd w:id="49"/>
    <w:p w14:paraId="5ECBEEE9" w14:textId="0343FAD6" w:rsidR="006D10B4" w:rsidRPr="00DE2BA8" w:rsidRDefault="006D10B4" w:rsidP="006D10B4">
      <w:pPr>
        <w:autoSpaceDE w:val="0"/>
        <w:autoSpaceDN w:val="0"/>
        <w:adjustRightInd w:val="0"/>
        <w:rPr>
          <w:rFonts w:ascii="Calibri" w:hAnsi="Calibri" w:cs="Calibri"/>
          <w:color w:val="FF0000"/>
          <w:highlight w:val="yellow"/>
        </w:rPr>
      </w:pPr>
      <w:r w:rsidRPr="00A77410">
        <w:t xml:space="preserve">Staff finds </w:t>
      </w:r>
      <w:r w:rsidRPr="00A77410">
        <w:rPr>
          <w:rFonts w:ascii="Calibri" w:hAnsi="Calibri" w:cs="Calibri"/>
          <w:color w:val="000000"/>
        </w:rPr>
        <w:t xml:space="preserve">that the Proposed Project’s </w:t>
      </w:r>
      <w:r w:rsidR="00CB6361">
        <w:rPr>
          <w:rFonts w:ascii="Calibri" w:hAnsi="Calibri" w:cs="Calibri"/>
          <w:color w:val="000000"/>
        </w:rPr>
        <w:t xml:space="preserve">emphasis on care coordination with primary care and SNF providers, as well as a focus on </w:t>
      </w:r>
      <w:r w:rsidR="000C6D72">
        <w:rPr>
          <w:rFonts w:ascii="Calibri" w:hAnsi="Calibri" w:cs="Calibri"/>
          <w:color w:val="000000"/>
        </w:rPr>
        <w:t>improving the Hospital’s operation procedures</w:t>
      </w:r>
      <w:r w:rsidR="00AD78A9">
        <w:rPr>
          <w:rFonts w:ascii="Calibri" w:hAnsi="Calibri" w:cs="Calibri"/>
          <w:color w:val="000000"/>
        </w:rPr>
        <w:t xml:space="preserve">, </w:t>
      </w:r>
      <w:r w:rsidR="00D115ED">
        <w:rPr>
          <w:rFonts w:ascii="Calibri" w:hAnsi="Calibri" w:cs="Calibri"/>
          <w:color w:val="000000"/>
        </w:rPr>
        <w:t xml:space="preserve">will </w:t>
      </w:r>
      <w:r>
        <w:rPr>
          <w:rFonts w:ascii="Calibri" w:hAnsi="Calibri" w:cs="Calibri"/>
          <w:color w:val="000000"/>
        </w:rPr>
        <w:t>contribut</w:t>
      </w:r>
      <w:r w:rsidR="00D115ED">
        <w:rPr>
          <w:rFonts w:ascii="Calibri" w:hAnsi="Calibri" w:cs="Calibri"/>
          <w:color w:val="000000"/>
        </w:rPr>
        <w:t xml:space="preserve">e </w:t>
      </w:r>
      <w:r w:rsidRPr="00A77410">
        <w:rPr>
          <w:rFonts w:ascii="Calibri" w:hAnsi="Calibri" w:cs="Calibri"/>
          <w:color w:val="000000"/>
        </w:rPr>
        <w:t xml:space="preserve">positively to efficiency, continuity, and coordination of care. </w:t>
      </w:r>
      <w:r w:rsidRPr="00A77410">
        <w:t>As a result, Staff finds that the Proposed Project meets the requirements of Factor 1c.</w:t>
      </w:r>
    </w:p>
    <w:p w14:paraId="3E46B0E2" w14:textId="77777777" w:rsidR="00621161" w:rsidRPr="00E53597" w:rsidRDefault="00621161" w:rsidP="00621161">
      <w:pPr>
        <w:pStyle w:val="ListParagraph"/>
        <w:spacing w:after="0" w:line="240" w:lineRule="auto"/>
        <w:ind w:left="360"/>
        <w:rPr>
          <w:highlight w:val="yellow"/>
        </w:rPr>
      </w:pPr>
    </w:p>
    <w:p w14:paraId="42B5BE4E" w14:textId="5064B562" w:rsidR="007B1DAB" w:rsidRPr="002F0B5C" w:rsidRDefault="00371842" w:rsidP="002F0B5C">
      <w:pPr>
        <w:pStyle w:val="Heading1"/>
        <w:spacing w:before="0" w:line="240" w:lineRule="auto"/>
        <w:rPr>
          <w:rFonts w:asciiTheme="minorHAnsi" w:hAnsiTheme="minorHAnsi" w:cstheme="minorBidi"/>
        </w:rPr>
      </w:pPr>
      <w:bookmarkStart w:id="55" w:name="_Toc18922415"/>
      <w:bookmarkStart w:id="56" w:name="_Toc157428830"/>
      <w:bookmarkStart w:id="57" w:name="_Toc169264789"/>
      <w:bookmarkStart w:id="58" w:name="_Toc203037131"/>
      <w:r w:rsidRPr="00E53597">
        <w:rPr>
          <w:rFonts w:asciiTheme="minorHAnsi" w:hAnsiTheme="minorHAnsi" w:cstheme="minorBidi"/>
        </w:rPr>
        <w:t>Factor 1: d) Consultatio</w:t>
      </w:r>
      <w:bookmarkEnd w:id="55"/>
      <w:r w:rsidR="00114B38" w:rsidRPr="00E53597">
        <w:rPr>
          <w:rFonts w:asciiTheme="minorHAnsi" w:hAnsiTheme="minorHAnsi" w:cstheme="minorBidi"/>
        </w:rPr>
        <w:t>n</w:t>
      </w:r>
      <w:bookmarkEnd w:id="56"/>
      <w:bookmarkEnd w:id="57"/>
      <w:bookmarkEnd w:id="58"/>
      <w:r w:rsidR="008B3C74" w:rsidRPr="00E53597">
        <w:rPr>
          <w:rFonts w:asciiTheme="minorHAnsi" w:hAnsiTheme="minorHAnsi" w:cstheme="minorBidi"/>
        </w:rPr>
        <w:t xml:space="preserve"> </w:t>
      </w:r>
    </w:p>
    <w:p w14:paraId="5EB74BF8" w14:textId="77777777" w:rsidR="00FF52C0" w:rsidRPr="00E53597" w:rsidRDefault="00C12BBA" w:rsidP="00FF52C0">
      <w:r w:rsidRPr="00E53597">
        <w:t xml:space="preserve">The Applicant has provided evidence of consultation, both prior to and after the Filing Date, with all </w:t>
      </w:r>
      <w:r w:rsidR="00C06F05" w:rsidRPr="00E53597">
        <w:t>government agencies that have</w:t>
      </w:r>
      <w:r w:rsidRPr="00E53597">
        <w:t xml:space="preserve"> licensure, certification, or ot</w:t>
      </w:r>
      <w:r w:rsidR="00C06F05" w:rsidRPr="00E53597">
        <w:t>her regulatory oversight, which has been done and will not be addressed further in this report.</w:t>
      </w:r>
      <w:bookmarkStart w:id="59" w:name="_Toc157428831"/>
      <w:bookmarkStart w:id="60" w:name="_Toc18922416"/>
    </w:p>
    <w:p w14:paraId="4CEFFA80" w14:textId="77777777" w:rsidR="004137EA" w:rsidRPr="00E53597" w:rsidRDefault="004137EA" w:rsidP="00FF52C0">
      <w:pPr>
        <w:rPr>
          <w:highlight w:val="yellow"/>
        </w:rPr>
      </w:pPr>
    </w:p>
    <w:p w14:paraId="3649F9F1" w14:textId="3721CAD6" w:rsidR="007B1DAB" w:rsidRPr="002F0B5C" w:rsidRDefault="004137EA" w:rsidP="002F0B5C">
      <w:pPr>
        <w:pStyle w:val="Heading1"/>
        <w:spacing w:before="0" w:line="240" w:lineRule="auto"/>
        <w:rPr>
          <w:rFonts w:asciiTheme="minorHAnsi" w:hAnsiTheme="minorHAnsi" w:cstheme="minorBidi"/>
          <w:b w:val="0"/>
          <w:bCs w:val="0"/>
          <w:highlight w:val="yellow"/>
        </w:rPr>
      </w:pPr>
      <w:bookmarkStart w:id="61" w:name="_Toc169264790"/>
      <w:bookmarkStart w:id="62" w:name="_Toc203037132"/>
      <w:r w:rsidRPr="00B03C80">
        <w:rPr>
          <w:rFonts w:asciiTheme="minorHAnsi" w:hAnsiTheme="minorHAnsi" w:cstheme="minorBidi"/>
        </w:rPr>
        <w:t xml:space="preserve">Factor </w:t>
      </w:r>
      <w:r w:rsidR="00076B1A" w:rsidRPr="00B03C80">
        <w:rPr>
          <w:rStyle w:val="Heading1Char"/>
          <w:rFonts w:asciiTheme="minorHAnsi" w:hAnsiTheme="minorHAnsi" w:cstheme="minorBidi"/>
          <w:b/>
          <w:bCs/>
        </w:rPr>
        <w:t>1: e) Evidence of Sound Community Engagement through the Patient Panel</w:t>
      </w:r>
      <w:bookmarkEnd w:id="59"/>
      <w:bookmarkEnd w:id="61"/>
      <w:bookmarkEnd w:id="62"/>
      <w:r w:rsidR="0074546D" w:rsidRPr="00B03C80">
        <w:rPr>
          <w:rStyle w:val="Heading1Char"/>
          <w:rFonts w:asciiTheme="minorHAnsi" w:hAnsiTheme="minorHAnsi" w:cstheme="minorBidi"/>
        </w:rPr>
        <w:t xml:space="preserve"> </w:t>
      </w:r>
      <w:r w:rsidR="008B3C74" w:rsidRPr="00E53597">
        <w:rPr>
          <w:rStyle w:val="Heading1Char"/>
          <w:rFonts w:asciiTheme="minorHAnsi" w:hAnsiTheme="minorHAnsi" w:cstheme="minorHAnsi"/>
          <w:highlight w:val="yellow"/>
        </w:rPr>
        <w:t xml:space="preserve"> </w:t>
      </w:r>
    </w:p>
    <w:p w14:paraId="705387AA" w14:textId="57C97D0A" w:rsidR="00811286" w:rsidRPr="00E53597" w:rsidRDefault="655BAC20" w:rsidP="007C36FF">
      <w:pPr>
        <w:contextualSpacing/>
      </w:pPr>
      <w:r w:rsidRPr="00E53597">
        <w:rPr>
          <w:rFonts w:eastAsia="Calibri"/>
        </w:rPr>
        <w:t>The Department’s Guideline</w:t>
      </w:r>
      <w:r w:rsidR="00B73799" w:rsidRPr="00E53597">
        <w:rPr>
          <w:rFonts w:eastAsia="Calibri"/>
          <w:vertAlign w:val="superscript"/>
        </w:rPr>
        <w:endnoteReference w:id="12"/>
      </w:r>
      <w:r w:rsidR="7C4B4F30" w:rsidRPr="00E53597">
        <w:rPr>
          <w:rFonts w:eastAsia="Calibri"/>
        </w:rPr>
        <w:t xml:space="preserve"> </w:t>
      </w:r>
      <w:r w:rsidRPr="00E53597">
        <w:rPr>
          <w:rFonts w:eastAsia="Calibri"/>
        </w:rPr>
        <w:t>for community engagement defines “community” as the Patient Panel and requires that</w:t>
      </w:r>
      <w:r w:rsidR="463A19E8" w:rsidRPr="00E53597">
        <w:rPr>
          <w:rFonts w:eastAsia="Calibri"/>
        </w:rPr>
        <w:t>,</w:t>
      </w:r>
      <w:r w:rsidRPr="00E53597">
        <w:rPr>
          <w:rFonts w:eastAsia="Calibri"/>
        </w:rPr>
        <w:t xml:space="preserve"> at minimum, the Applicant must “consult” with groups representative of the Applicant</w:t>
      </w:r>
      <w:r w:rsidR="5F10DBE3" w:rsidRPr="00E53597">
        <w:rPr>
          <w:rFonts w:eastAsia="Calibri"/>
        </w:rPr>
        <w:t>’</w:t>
      </w:r>
      <w:r w:rsidRPr="00E53597">
        <w:rPr>
          <w:rFonts w:eastAsia="Calibri"/>
        </w:rPr>
        <w:t xml:space="preserve">s Patient Panel. Regulations state that </w:t>
      </w:r>
      <w:r w:rsidR="2BE9604C" w:rsidRPr="00E53597">
        <w:rPr>
          <w:rFonts w:eastAsia="Calibri"/>
        </w:rPr>
        <w:t xml:space="preserve">efforts in </w:t>
      </w:r>
      <w:r w:rsidRPr="00E53597">
        <w:rPr>
          <w:rFonts w:eastAsia="Calibri"/>
        </w:rPr>
        <w:t>such consultation</w:t>
      </w:r>
      <w:r w:rsidR="2BE9604C" w:rsidRPr="00E53597">
        <w:rPr>
          <w:rFonts w:eastAsia="Calibri"/>
        </w:rPr>
        <w:t xml:space="preserve"> should </w:t>
      </w:r>
      <w:r w:rsidRPr="00E53597">
        <w:rPr>
          <w:rFonts w:eastAsia="Calibri"/>
        </w:rPr>
        <w:t xml:space="preserve">consist of </w:t>
      </w:r>
      <w:r w:rsidR="2BE9604C" w:rsidRPr="00E53597">
        <w:rPr>
          <w:rFonts w:eastAsia="Calibri"/>
        </w:rPr>
        <w:t>engaging</w:t>
      </w:r>
      <w:r w:rsidRPr="00E53597">
        <w:rPr>
          <w:rFonts w:eastAsia="Calibri"/>
        </w:rPr>
        <w:t xml:space="preserve"> </w:t>
      </w:r>
      <w:r w:rsidRPr="00E53597">
        <w:t>“community coalition</w:t>
      </w:r>
      <w:r w:rsidR="2BE9604C" w:rsidRPr="00E53597">
        <w:t>s</w:t>
      </w:r>
      <w:r w:rsidRPr="00E53597">
        <w:t xml:space="preserve"> statistically representative of the </w:t>
      </w:r>
      <w:r w:rsidR="2BE9604C" w:rsidRPr="00E53597">
        <w:t>P</w:t>
      </w:r>
      <w:r w:rsidRPr="00E53597">
        <w:t xml:space="preserve">atient </w:t>
      </w:r>
      <w:r w:rsidR="2BE9604C" w:rsidRPr="00E53597">
        <w:t>P</w:t>
      </w:r>
      <w:r w:rsidRPr="00E53597">
        <w:t>anel.”</w:t>
      </w:r>
      <w:r w:rsidR="00B73799" w:rsidRPr="00E53597">
        <w:rPr>
          <w:vertAlign w:val="superscript"/>
        </w:rPr>
        <w:endnoteReference w:id="13"/>
      </w:r>
      <w:r w:rsidR="7C4B4F30" w:rsidRPr="00E53597">
        <w:t xml:space="preserve"> </w:t>
      </w:r>
    </w:p>
    <w:p w14:paraId="36532BC4" w14:textId="5E36902C" w:rsidR="00963E82" w:rsidRPr="00E53597" w:rsidRDefault="00963E82" w:rsidP="007C36FF">
      <w:pPr>
        <w:contextualSpacing/>
        <w:rPr>
          <w:highlight w:val="yellow"/>
        </w:rPr>
      </w:pPr>
    </w:p>
    <w:p w14:paraId="1FC4B83C" w14:textId="75270433" w:rsidR="0041497A" w:rsidRDefault="003F6949" w:rsidP="002F0B5C">
      <w:pPr>
        <w:autoSpaceDE w:val="0"/>
        <w:autoSpaceDN w:val="0"/>
        <w:adjustRightInd w:val="0"/>
      </w:pPr>
      <w:r w:rsidRPr="0041497A">
        <w:rPr>
          <w:rFonts w:eastAsia="Calibri"/>
        </w:rPr>
        <w:t xml:space="preserve">In addition to advertising the </w:t>
      </w:r>
      <w:r w:rsidR="000606BE" w:rsidRPr="0041497A">
        <w:rPr>
          <w:rFonts w:eastAsia="Calibri"/>
        </w:rPr>
        <w:t>Proposed Project in the local newspaper, t</w:t>
      </w:r>
      <w:r w:rsidR="008B3C74" w:rsidRPr="0041497A">
        <w:rPr>
          <w:rFonts w:eastAsia="Calibri"/>
        </w:rPr>
        <w:t xml:space="preserve">he Applicant </w:t>
      </w:r>
      <w:r w:rsidR="000606BE" w:rsidRPr="0041497A">
        <w:rPr>
          <w:rFonts w:eastAsia="Calibri"/>
        </w:rPr>
        <w:t xml:space="preserve">held a </w:t>
      </w:r>
      <w:r w:rsidR="007E1783" w:rsidRPr="0041497A">
        <w:rPr>
          <w:rFonts w:eastAsia="Calibri"/>
        </w:rPr>
        <w:t xml:space="preserve">live Zoom presentation about the Proposed Project on October </w:t>
      </w:r>
      <w:r w:rsidR="00813FC0" w:rsidRPr="0041497A">
        <w:rPr>
          <w:rFonts w:eastAsia="Calibri"/>
        </w:rPr>
        <w:t xml:space="preserve">29, 2024. </w:t>
      </w:r>
      <w:r w:rsidR="0041497A" w:rsidRPr="0041497A">
        <w:t>The notice of the live</w:t>
      </w:r>
      <w:r w:rsidR="002F0B5C">
        <w:t xml:space="preserve"> </w:t>
      </w:r>
      <w:r w:rsidR="0041497A" w:rsidRPr="0041497A">
        <w:t>presentation was provided to Hospital patients, staff and community partners and included a copy of the presentation embedded with the notice.  The notice also invited the community to submit written</w:t>
      </w:r>
      <w:r w:rsidR="002F0B5C">
        <w:t xml:space="preserve"> </w:t>
      </w:r>
      <w:r w:rsidR="0041497A" w:rsidRPr="0041497A">
        <w:t>comments</w:t>
      </w:r>
      <w:r w:rsidR="002F0B5C">
        <w:t xml:space="preserve"> and </w:t>
      </w:r>
      <w:r w:rsidR="0041497A" w:rsidRPr="0041497A">
        <w:t xml:space="preserve">questions in advance of the presentation.  There were no questions or comments </w:t>
      </w:r>
      <w:r w:rsidR="002F0B5C">
        <w:t xml:space="preserve">from the public </w:t>
      </w:r>
      <w:r w:rsidR="0041497A" w:rsidRPr="0041497A">
        <w:t>about the Proposed Project.</w:t>
      </w:r>
    </w:p>
    <w:p w14:paraId="0916F6EA" w14:textId="77777777" w:rsidR="0056071D" w:rsidRPr="0056071D" w:rsidRDefault="0056071D" w:rsidP="0056071D">
      <w:pPr>
        <w:spacing w:after="120"/>
        <w:ind w:left="360"/>
      </w:pPr>
    </w:p>
    <w:p w14:paraId="65D1143C" w14:textId="77777777" w:rsidR="008B3C74" w:rsidRPr="0041497A" w:rsidRDefault="008B3C74" w:rsidP="008B3C74">
      <w:pPr>
        <w:spacing w:after="120"/>
        <w:rPr>
          <w:rFonts w:ascii="Calibri" w:eastAsia="Calibri" w:hAnsi="Calibri" w:cs="Calibri"/>
          <w:b/>
          <w:i/>
        </w:rPr>
      </w:pPr>
      <w:r w:rsidRPr="0041497A">
        <w:rPr>
          <w:rFonts w:ascii="Calibri" w:eastAsia="Calibri" w:hAnsi="Calibri" w:cs="Calibri"/>
          <w:b/>
          <w:i/>
        </w:rPr>
        <w:t>Analysis</w:t>
      </w:r>
    </w:p>
    <w:p w14:paraId="6D51C9C1" w14:textId="6C5D862E" w:rsidR="008B3C74" w:rsidRPr="0041497A" w:rsidRDefault="008B3C74" w:rsidP="008B3C74">
      <w:pPr>
        <w:spacing w:after="120"/>
        <w:rPr>
          <w:rFonts w:ascii="Calibri" w:eastAsia="Calibri" w:hAnsi="Calibri" w:cs="Calibri"/>
        </w:rPr>
      </w:pPr>
      <w:r w:rsidRPr="0041497A">
        <w:rPr>
          <w:rFonts w:ascii="Calibri" w:eastAsia="Calibri" w:hAnsi="Calibri" w:cs="Calibri"/>
        </w:rPr>
        <w:t>Staff reviewed the information on the Applicant’s community engagement and finds that it has met the required community engagement standard of Consult in the planning phase of the Proposed Project.</w:t>
      </w:r>
    </w:p>
    <w:p w14:paraId="449FA9CA" w14:textId="59DF3252" w:rsidR="00892713" w:rsidRPr="006B2696" w:rsidRDefault="00E40FAA" w:rsidP="006B2696">
      <w:pPr>
        <w:pStyle w:val="Heading1"/>
        <w:spacing w:line="240" w:lineRule="auto"/>
        <w:rPr>
          <w:rFonts w:asciiTheme="minorHAnsi" w:hAnsiTheme="minorHAnsi" w:cstheme="minorBidi"/>
        </w:rPr>
      </w:pPr>
      <w:bookmarkStart w:id="63" w:name="_Toc18922417"/>
      <w:bookmarkStart w:id="64" w:name="_Toc157428832"/>
      <w:bookmarkStart w:id="65" w:name="_Toc169264791"/>
      <w:bookmarkStart w:id="66" w:name="_Toc203037133"/>
      <w:bookmarkStart w:id="67" w:name="_Toc17322399"/>
      <w:bookmarkEnd w:id="60"/>
      <w:r w:rsidRPr="00042A1E">
        <w:rPr>
          <w:rFonts w:asciiTheme="minorHAnsi" w:hAnsiTheme="minorHAnsi" w:cstheme="minorBidi"/>
        </w:rPr>
        <w:t xml:space="preserve">Factor 1: f) Competition </w:t>
      </w:r>
      <w:r w:rsidR="00471349" w:rsidRPr="00042A1E">
        <w:rPr>
          <w:rFonts w:asciiTheme="minorHAnsi" w:hAnsiTheme="minorHAnsi" w:cstheme="minorBidi"/>
        </w:rPr>
        <w:t>on Price, Total Medical Expenses (</w:t>
      </w:r>
      <w:r w:rsidR="00371842" w:rsidRPr="00042A1E">
        <w:rPr>
          <w:rFonts w:asciiTheme="minorHAnsi" w:hAnsiTheme="minorHAnsi" w:cstheme="minorBidi"/>
        </w:rPr>
        <w:t>TME</w:t>
      </w:r>
      <w:r w:rsidR="00471349" w:rsidRPr="00042A1E">
        <w:rPr>
          <w:rFonts w:asciiTheme="minorHAnsi" w:hAnsiTheme="minorHAnsi" w:cstheme="minorBidi"/>
        </w:rPr>
        <w:t>), Costs and Other Measures of Health Care Spending</w:t>
      </w:r>
      <w:bookmarkEnd w:id="63"/>
      <w:bookmarkEnd w:id="64"/>
      <w:bookmarkEnd w:id="65"/>
      <w:bookmarkEnd w:id="66"/>
    </w:p>
    <w:p w14:paraId="7E5688E9" w14:textId="70A4C8AD" w:rsidR="0078700D" w:rsidRDefault="00C43448" w:rsidP="00AC0EA6">
      <w:pPr>
        <w:spacing w:after="240"/>
        <w:rPr>
          <w:rFonts w:cs="Times New Roman"/>
        </w:rPr>
      </w:pPr>
      <w:bookmarkStart w:id="68" w:name="_Hlk155903708"/>
      <w:bookmarkStart w:id="69" w:name="_Hlk17663634"/>
      <w:bookmarkEnd w:id="67"/>
      <w:r w:rsidRPr="00042A1E">
        <w:rPr>
          <w:rFonts w:ascii="Calibri" w:eastAsia="PMingLiU" w:hAnsi="Calibri" w:cs="Times New Roman"/>
          <w:szCs w:val="22"/>
        </w:rPr>
        <w:t xml:space="preserve">The Applicant states the Proposed </w:t>
      </w:r>
      <w:r w:rsidR="00042A1E" w:rsidRPr="00042A1E">
        <w:rPr>
          <w:rFonts w:ascii="Calibri" w:eastAsia="PMingLiU" w:hAnsi="Calibri" w:cs="Times New Roman"/>
          <w:szCs w:val="22"/>
        </w:rPr>
        <w:t>Project</w:t>
      </w:r>
      <w:r w:rsidRPr="00042A1E">
        <w:rPr>
          <w:rFonts w:ascii="Calibri" w:eastAsia="PMingLiU" w:hAnsi="Calibri" w:cs="Times New Roman"/>
          <w:szCs w:val="22"/>
        </w:rPr>
        <w:t xml:space="preserve"> is not anticipated to have an adverse impact on competition in the Massachusetts health care market based on price, total medical expense (“TME”), provider costs, or other recognized measures of health care spending. </w:t>
      </w:r>
      <w:r w:rsidR="00633C08" w:rsidRPr="007618A0">
        <w:rPr>
          <w:rFonts w:cs="Times New Roman"/>
        </w:rPr>
        <w:t>The Hospital is a certified Medicare and MassHealth provider that serv</w:t>
      </w:r>
      <w:r w:rsidR="00633C08">
        <w:rPr>
          <w:rFonts w:cs="Times New Roman"/>
        </w:rPr>
        <w:t>es</w:t>
      </w:r>
      <w:r w:rsidR="00633C08" w:rsidRPr="007618A0">
        <w:rPr>
          <w:rFonts w:cs="Times New Roman"/>
        </w:rPr>
        <w:t xml:space="preserve"> the entire Commonwealth</w:t>
      </w:r>
      <w:r w:rsidR="00264439">
        <w:rPr>
          <w:rFonts w:cs="Times New Roman"/>
        </w:rPr>
        <w:t xml:space="preserve"> and</w:t>
      </w:r>
      <w:r w:rsidR="00633C08" w:rsidRPr="007618A0">
        <w:rPr>
          <w:rFonts w:cs="Times New Roman"/>
        </w:rPr>
        <w:t xml:space="preserve"> has a large public payer mix (approximately </w:t>
      </w:r>
      <w:r w:rsidR="004D08DE">
        <w:rPr>
          <w:rFonts w:cs="Times New Roman"/>
        </w:rPr>
        <w:t>62</w:t>
      </w:r>
      <w:r w:rsidR="00633C08" w:rsidRPr="007618A0">
        <w:rPr>
          <w:rFonts w:cs="Times New Roman"/>
        </w:rPr>
        <w:t>%).  The</w:t>
      </w:r>
      <w:r w:rsidR="00633C08">
        <w:rPr>
          <w:rFonts w:cs="Times New Roman"/>
        </w:rPr>
        <w:t xml:space="preserve"> Applicant anticipates that the</w:t>
      </w:r>
      <w:r w:rsidR="00633C08" w:rsidRPr="007618A0">
        <w:rPr>
          <w:rFonts w:cs="Times New Roman"/>
        </w:rPr>
        <w:t xml:space="preserve"> Proposed Project </w:t>
      </w:r>
      <w:r w:rsidR="00633C08">
        <w:rPr>
          <w:rFonts w:cs="Times New Roman"/>
        </w:rPr>
        <w:t xml:space="preserve">will </w:t>
      </w:r>
      <w:r w:rsidR="00925B84">
        <w:rPr>
          <w:rFonts w:cs="Times New Roman"/>
        </w:rPr>
        <w:t xml:space="preserve">likely </w:t>
      </w:r>
      <w:r w:rsidR="00633C08" w:rsidRPr="007618A0">
        <w:rPr>
          <w:rFonts w:cs="Times New Roman"/>
        </w:rPr>
        <w:t xml:space="preserve">have a net neutral </w:t>
      </w:r>
      <w:r w:rsidR="00633C08">
        <w:rPr>
          <w:rFonts w:cs="Times New Roman"/>
        </w:rPr>
        <w:t xml:space="preserve">impact </w:t>
      </w:r>
      <w:r w:rsidR="00633C08" w:rsidRPr="007618A0">
        <w:rPr>
          <w:rFonts w:cs="Times New Roman"/>
        </w:rPr>
        <w:t>or reduce the Hospital’s TME.</w:t>
      </w:r>
      <w:r w:rsidR="004039DD">
        <w:rPr>
          <w:rFonts w:cs="Times New Roman"/>
        </w:rPr>
        <w:t xml:space="preserve"> </w:t>
      </w:r>
    </w:p>
    <w:p w14:paraId="198C4997" w14:textId="4E915160" w:rsidR="0078700D" w:rsidRDefault="004039DD" w:rsidP="00AC0EA6">
      <w:pPr>
        <w:spacing w:after="240"/>
        <w:rPr>
          <w:rFonts w:cs="Times New Roman"/>
          <w:szCs w:val="28"/>
        </w:rPr>
      </w:pPr>
      <w:r>
        <w:rPr>
          <w:rFonts w:cs="Times New Roman"/>
        </w:rPr>
        <w:t xml:space="preserve">The </w:t>
      </w:r>
      <w:r w:rsidRPr="00E93FD0">
        <w:rPr>
          <w:rFonts w:cs="Times New Roman"/>
          <w:szCs w:val="28"/>
        </w:rPr>
        <w:t xml:space="preserve">Applicant aims to harness operational efficiencies that are created through the Hospital’s shared campus with the Meadows (the SNF that Applicant is also acquiring </w:t>
      </w:r>
      <w:r w:rsidR="004C103E">
        <w:rPr>
          <w:rFonts w:cs="Times New Roman"/>
          <w:szCs w:val="28"/>
        </w:rPr>
        <w:t>under the Sales Agreement and OTA</w:t>
      </w:r>
      <w:r w:rsidR="00B277FB">
        <w:rPr>
          <w:rFonts w:cs="Times New Roman"/>
          <w:szCs w:val="28"/>
        </w:rPr>
        <w:t xml:space="preserve"> (</w:t>
      </w:r>
      <w:r w:rsidRPr="00E93FD0">
        <w:rPr>
          <w:rFonts w:cs="Times New Roman"/>
          <w:szCs w:val="28"/>
        </w:rPr>
        <w:t>this transaction)</w:t>
      </w:r>
      <w:r w:rsidR="00F82EE1">
        <w:rPr>
          <w:rFonts w:cs="Times New Roman"/>
          <w:szCs w:val="28"/>
        </w:rPr>
        <w:t>)</w:t>
      </w:r>
      <w:r w:rsidRPr="00E93FD0">
        <w:rPr>
          <w:rFonts w:cs="Times New Roman"/>
          <w:szCs w:val="28"/>
        </w:rPr>
        <w:t>. Such efficiencies may include bulk purchasing</w:t>
      </w:r>
      <w:r w:rsidR="0078700D">
        <w:rPr>
          <w:rFonts w:cs="Times New Roman"/>
          <w:szCs w:val="28"/>
        </w:rPr>
        <w:t>,</w:t>
      </w:r>
      <w:r w:rsidRPr="00E93FD0">
        <w:rPr>
          <w:rFonts w:cs="Times New Roman"/>
          <w:szCs w:val="28"/>
        </w:rPr>
        <w:t xml:space="preserve"> shared contracting services, </w:t>
      </w:r>
      <w:r w:rsidR="0078700D">
        <w:rPr>
          <w:rFonts w:cs="Times New Roman"/>
          <w:szCs w:val="28"/>
        </w:rPr>
        <w:t xml:space="preserve">and </w:t>
      </w:r>
      <w:r w:rsidR="0078700D">
        <w:rPr>
          <w:rFonts w:cs="Times New Roman"/>
        </w:rPr>
        <w:t xml:space="preserve">sharing of certain </w:t>
      </w:r>
      <w:r w:rsidR="00E53458">
        <w:rPr>
          <w:rFonts w:cs="Times New Roman"/>
        </w:rPr>
        <w:t>back-office</w:t>
      </w:r>
      <w:r w:rsidR="0078700D">
        <w:rPr>
          <w:rFonts w:cs="Times New Roman"/>
        </w:rPr>
        <w:t xml:space="preserve"> services such as housekeeping and dining</w:t>
      </w:r>
      <w:r w:rsidR="0078700D">
        <w:rPr>
          <w:rFonts w:cs="Times New Roman"/>
          <w:szCs w:val="28"/>
        </w:rPr>
        <w:t>. The</w:t>
      </w:r>
      <w:r w:rsidRPr="00E93FD0">
        <w:rPr>
          <w:rFonts w:cs="Times New Roman"/>
          <w:szCs w:val="28"/>
        </w:rPr>
        <w:t xml:space="preserve"> Applicant anticipates </w:t>
      </w:r>
      <w:r w:rsidR="00CA7862">
        <w:rPr>
          <w:rFonts w:cs="Times New Roman"/>
          <w:szCs w:val="28"/>
        </w:rPr>
        <w:t xml:space="preserve">this </w:t>
      </w:r>
      <w:r w:rsidRPr="00E93FD0">
        <w:rPr>
          <w:rFonts w:cs="Times New Roman"/>
          <w:szCs w:val="28"/>
        </w:rPr>
        <w:t xml:space="preserve">will result in cost savings to the Hospital. </w:t>
      </w:r>
      <w:r w:rsidR="0078700D">
        <w:rPr>
          <w:rFonts w:cs="Times New Roman"/>
        </w:rPr>
        <w:t>The Applicant has also identified additional under-utilized services including rehabilitation, dialysis, and telemetry</w:t>
      </w:r>
      <w:r w:rsidR="0078700D" w:rsidRPr="007618A0">
        <w:rPr>
          <w:rFonts w:cs="Times New Roman"/>
        </w:rPr>
        <w:t xml:space="preserve"> </w:t>
      </w:r>
      <w:r w:rsidR="0078700D">
        <w:rPr>
          <w:rFonts w:cs="Times New Roman"/>
        </w:rPr>
        <w:t>that it will explore expanding to optimize the services</w:t>
      </w:r>
      <w:r w:rsidR="00CA7862">
        <w:rPr>
          <w:rFonts w:cs="Times New Roman"/>
        </w:rPr>
        <w:t xml:space="preserve"> provided to the Patient Panel</w:t>
      </w:r>
      <w:r w:rsidR="0078700D">
        <w:rPr>
          <w:rFonts w:cs="Times New Roman"/>
        </w:rPr>
        <w:t>.</w:t>
      </w:r>
    </w:p>
    <w:p w14:paraId="4B62CA9A" w14:textId="1D3CC820" w:rsidR="00FD1ED0" w:rsidRPr="005B4B4F" w:rsidRDefault="004039DD" w:rsidP="1603F167">
      <w:pPr>
        <w:pStyle w:val="pf0"/>
        <w:spacing w:after="0" w:afterAutospacing="0"/>
        <w:contextualSpacing/>
        <w:rPr>
          <w:rStyle w:val="cf01"/>
          <w:rFonts w:asciiTheme="minorHAnsi" w:hAnsiTheme="minorHAnsi" w:cstheme="minorBidi"/>
          <w:sz w:val="24"/>
          <w:szCs w:val="24"/>
        </w:rPr>
      </w:pPr>
      <w:r w:rsidRPr="005B4B4F">
        <w:rPr>
          <w:rFonts w:asciiTheme="minorHAnsi" w:hAnsiTheme="minorHAnsi" w:cstheme="minorBidi"/>
        </w:rPr>
        <w:t xml:space="preserve">Though </w:t>
      </w:r>
      <w:r w:rsidR="716B78BA" w:rsidRPr="005B4B4F">
        <w:rPr>
          <w:rFonts w:asciiTheme="minorHAnsi" w:hAnsiTheme="minorHAnsi" w:cstheme="minorBidi"/>
        </w:rPr>
        <w:t xml:space="preserve">the </w:t>
      </w:r>
      <w:r w:rsidRPr="005B4B4F">
        <w:rPr>
          <w:rFonts w:asciiTheme="minorHAnsi" w:hAnsiTheme="minorHAnsi" w:cstheme="minorBidi"/>
        </w:rPr>
        <w:t xml:space="preserve">Applicant does not plan to make significant changes to the Hospital’s clinical operations, </w:t>
      </w:r>
      <w:r w:rsidR="00CA7862" w:rsidRPr="005B4B4F">
        <w:rPr>
          <w:rFonts w:asciiTheme="minorHAnsi" w:hAnsiTheme="minorHAnsi" w:cstheme="minorBidi"/>
        </w:rPr>
        <w:t xml:space="preserve">it will no longer use </w:t>
      </w:r>
      <w:r w:rsidR="004C103E" w:rsidRPr="005B4B4F">
        <w:rPr>
          <w:rFonts w:asciiTheme="minorHAnsi" w:hAnsiTheme="minorHAnsi" w:cstheme="minorBidi"/>
        </w:rPr>
        <w:t xml:space="preserve">Vibra Healthcare, LLC or Vibra Healthcare II, LLC </w:t>
      </w:r>
      <w:r w:rsidR="00CA7862" w:rsidRPr="005B4B4F">
        <w:rPr>
          <w:rFonts w:asciiTheme="minorHAnsi" w:hAnsiTheme="minorHAnsi" w:cstheme="minorBidi"/>
        </w:rPr>
        <w:t>corporate or administrative functions,</w:t>
      </w:r>
      <w:r w:rsidR="00EB31C9" w:rsidRPr="005B4B4F">
        <w:rPr>
          <w:rFonts w:asciiTheme="minorHAnsi" w:hAnsiTheme="minorHAnsi" w:cstheme="minorBidi"/>
        </w:rPr>
        <w:t xml:space="preserve"> which </w:t>
      </w:r>
      <w:r w:rsidR="002B5CB2" w:rsidRPr="005B4B4F">
        <w:rPr>
          <w:rFonts w:asciiTheme="minorHAnsi" w:hAnsiTheme="minorHAnsi" w:cstheme="minorBidi"/>
        </w:rPr>
        <w:t xml:space="preserve">the Applicant expects will </w:t>
      </w:r>
      <w:r w:rsidR="00EB31C9" w:rsidRPr="005B4B4F">
        <w:rPr>
          <w:rFonts w:asciiTheme="minorHAnsi" w:hAnsiTheme="minorHAnsi" w:cstheme="minorBidi"/>
        </w:rPr>
        <w:t xml:space="preserve">significantly reduce the corporate overhead </w:t>
      </w:r>
      <w:r w:rsidR="6F9BC635" w:rsidRPr="1603F167">
        <w:rPr>
          <w:rFonts w:asciiTheme="minorHAnsi" w:hAnsiTheme="minorHAnsi" w:cstheme="minorBidi"/>
        </w:rPr>
        <w:t>expenses</w:t>
      </w:r>
      <w:r w:rsidR="00EB31C9" w:rsidRPr="005B4B4F">
        <w:rPr>
          <w:rFonts w:asciiTheme="minorHAnsi" w:hAnsiTheme="minorHAnsi" w:cstheme="minorBidi"/>
        </w:rPr>
        <w:t xml:space="preserve">. The Applicant also plans to </w:t>
      </w:r>
      <w:r w:rsidRPr="005B4B4F">
        <w:rPr>
          <w:rFonts w:asciiTheme="minorHAnsi" w:hAnsiTheme="minorHAnsi" w:cstheme="minorBidi"/>
        </w:rPr>
        <w:t xml:space="preserve">discontinue the use of the Vibra Travels program, which </w:t>
      </w:r>
      <w:r w:rsidR="006C5B30" w:rsidRPr="1603F167">
        <w:rPr>
          <w:rFonts w:asciiTheme="minorHAnsi" w:hAnsiTheme="minorHAnsi" w:cstheme="minorBidi"/>
        </w:rPr>
        <w:t xml:space="preserve">is </w:t>
      </w:r>
      <w:r w:rsidR="00A854E0" w:rsidRPr="005B4B4F">
        <w:rPr>
          <w:rFonts w:asciiTheme="minorHAnsi" w:hAnsiTheme="minorHAnsi" w:cstheme="minorBidi"/>
        </w:rPr>
        <w:t>the Hospital’s</w:t>
      </w:r>
      <w:r w:rsidR="007246A9" w:rsidRPr="005B4B4F">
        <w:rPr>
          <w:rFonts w:asciiTheme="minorHAnsi" w:hAnsiTheme="minorHAnsi" w:cstheme="minorBidi"/>
        </w:rPr>
        <w:t xml:space="preserve"> </w:t>
      </w:r>
      <w:r w:rsidRPr="005B4B4F">
        <w:rPr>
          <w:rFonts w:asciiTheme="minorHAnsi" w:hAnsiTheme="minorHAnsi" w:cstheme="minorBidi"/>
        </w:rPr>
        <w:t xml:space="preserve">travel staffing agency. </w:t>
      </w:r>
      <w:r w:rsidR="00CA7862" w:rsidRPr="005B4B4F">
        <w:rPr>
          <w:rFonts w:asciiTheme="minorHAnsi" w:hAnsiTheme="minorHAnsi" w:cstheme="minorBidi"/>
        </w:rPr>
        <w:t xml:space="preserve">The </w:t>
      </w:r>
      <w:r w:rsidRPr="005B4B4F">
        <w:rPr>
          <w:rFonts w:asciiTheme="minorHAnsi" w:hAnsiTheme="minorHAnsi" w:cstheme="minorBidi"/>
        </w:rPr>
        <w:t xml:space="preserve">Applicant anticipates that this will significantly lower the fees associated with staffing. </w:t>
      </w:r>
      <w:r w:rsidR="00FD794A" w:rsidRPr="005B4B4F">
        <w:rPr>
          <w:rFonts w:asciiTheme="minorHAnsi" w:hAnsiTheme="minorHAnsi" w:cstheme="minorBidi"/>
        </w:rPr>
        <w:t xml:space="preserve"> </w:t>
      </w:r>
      <w:r w:rsidR="00A42804" w:rsidRPr="1603F167">
        <w:rPr>
          <w:rFonts w:asciiTheme="minorHAnsi" w:hAnsiTheme="minorHAnsi" w:cstheme="minorBidi"/>
        </w:rPr>
        <w:t>In support of this effort, t</w:t>
      </w:r>
      <w:r w:rsidR="00BB145E" w:rsidRPr="1603F167">
        <w:rPr>
          <w:rFonts w:asciiTheme="minorHAnsi" w:hAnsiTheme="minorHAnsi" w:cstheme="minorBidi"/>
        </w:rPr>
        <w:t xml:space="preserve">he </w:t>
      </w:r>
      <w:r w:rsidR="00FD794A" w:rsidRPr="1603F167">
        <w:rPr>
          <w:rFonts w:asciiTheme="minorHAnsi" w:hAnsiTheme="minorHAnsi" w:cstheme="minorBidi"/>
        </w:rPr>
        <w:t>Applicant</w:t>
      </w:r>
      <w:r w:rsidR="00A2673A" w:rsidRPr="1603F167">
        <w:rPr>
          <w:rFonts w:asciiTheme="minorHAnsi" w:hAnsiTheme="minorHAnsi" w:cstheme="minorBidi"/>
        </w:rPr>
        <w:t xml:space="preserve"> anticipates offering a competitive compensation and benefits package</w:t>
      </w:r>
      <w:r w:rsidR="00B316AA" w:rsidRPr="1603F167">
        <w:rPr>
          <w:rFonts w:asciiTheme="minorHAnsi" w:hAnsiTheme="minorHAnsi" w:cstheme="minorBidi"/>
        </w:rPr>
        <w:t>. Th</w:t>
      </w:r>
      <w:r w:rsidR="00CA296D" w:rsidRPr="1603F167">
        <w:rPr>
          <w:rFonts w:asciiTheme="minorHAnsi" w:hAnsiTheme="minorHAnsi" w:cstheme="minorBidi"/>
        </w:rPr>
        <w:t>e Applicant anticipates that it</w:t>
      </w:r>
      <w:r w:rsidR="00B316AA" w:rsidRPr="1603F167">
        <w:rPr>
          <w:rFonts w:asciiTheme="minorHAnsi" w:hAnsiTheme="minorHAnsi" w:cstheme="minorBidi"/>
        </w:rPr>
        <w:t xml:space="preserve">s compensation and benefits package </w:t>
      </w:r>
      <w:r w:rsidR="00CA296D" w:rsidRPr="1603F167">
        <w:rPr>
          <w:rFonts w:asciiTheme="minorHAnsi" w:hAnsiTheme="minorHAnsi" w:cstheme="minorBidi"/>
        </w:rPr>
        <w:t xml:space="preserve">combined will result in some travel staff </w:t>
      </w:r>
      <w:r w:rsidR="00A42804" w:rsidRPr="1603F167">
        <w:rPr>
          <w:rFonts w:asciiTheme="minorHAnsi" w:hAnsiTheme="minorHAnsi" w:cstheme="minorBidi"/>
        </w:rPr>
        <w:t xml:space="preserve">seeking direct employment by the Hospital, rather than transferring to another location. </w:t>
      </w:r>
      <w:r w:rsidR="00C13F97" w:rsidRPr="1603F167">
        <w:rPr>
          <w:rFonts w:asciiTheme="minorHAnsi" w:hAnsiTheme="minorHAnsi" w:cstheme="minorBidi"/>
        </w:rPr>
        <w:t xml:space="preserve">Given that </w:t>
      </w:r>
      <w:r w:rsidR="00FD1ED0" w:rsidRPr="1603F167">
        <w:rPr>
          <w:rStyle w:val="cf01"/>
          <w:rFonts w:asciiTheme="minorHAnsi" w:hAnsiTheme="minorHAnsi" w:cstheme="minorBidi"/>
          <w:sz w:val="24"/>
          <w:szCs w:val="24"/>
        </w:rPr>
        <w:t>t</w:t>
      </w:r>
      <w:r w:rsidR="00FD1ED0" w:rsidRPr="005B4B4F">
        <w:rPr>
          <w:rStyle w:val="cf01"/>
          <w:rFonts w:asciiTheme="minorHAnsi" w:hAnsiTheme="minorHAnsi" w:cstheme="minorBidi"/>
          <w:sz w:val="24"/>
          <w:szCs w:val="24"/>
        </w:rPr>
        <w:t xml:space="preserve">he Hospital </w:t>
      </w:r>
      <w:r w:rsidR="00C75AC3" w:rsidRPr="005B4B4F">
        <w:rPr>
          <w:rStyle w:val="cf01"/>
          <w:rFonts w:asciiTheme="minorHAnsi" w:hAnsiTheme="minorHAnsi" w:cstheme="minorBidi"/>
          <w:sz w:val="24"/>
          <w:szCs w:val="24"/>
        </w:rPr>
        <w:t xml:space="preserve">and </w:t>
      </w:r>
      <w:r w:rsidR="00C75AC3" w:rsidRPr="1603F167">
        <w:rPr>
          <w:rStyle w:val="cf01"/>
          <w:rFonts w:asciiTheme="minorHAnsi" w:hAnsiTheme="minorHAnsi" w:cstheme="minorBidi"/>
          <w:sz w:val="24"/>
          <w:szCs w:val="24"/>
        </w:rPr>
        <w:t>Vibra</w:t>
      </w:r>
      <w:r w:rsidR="00FD1ED0" w:rsidRPr="005B4B4F">
        <w:rPr>
          <w:rStyle w:val="cf01"/>
          <w:rFonts w:asciiTheme="minorHAnsi" w:hAnsiTheme="minorHAnsi" w:cstheme="minorBidi"/>
          <w:sz w:val="24"/>
          <w:szCs w:val="24"/>
        </w:rPr>
        <w:t xml:space="preserve"> Southeastern</w:t>
      </w:r>
      <w:r w:rsidR="003024B3" w:rsidRPr="1603F167">
        <w:rPr>
          <w:rStyle w:val="cf01"/>
          <w:rFonts w:asciiTheme="minorHAnsi" w:hAnsiTheme="minorHAnsi" w:cstheme="minorBidi"/>
          <w:sz w:val="24"/>
          <w:szCs w:val="24"/>
        </w:rPr>
        <w:t xml:space="preserve"> </w:t>
      </w:r>
      <w:r w:rsidR="00FD1ED0" w:rsidRPr="005B4B4F">
        <w:rPr>
          <w:rStyle w:val="cf01"/>
          <w:rFonts w:asciiTheme="minorHAnsi" w:hAnsiTheme="minorHAnsi" w:cstheme="minorBidi"/>
          <w:sz w:val="24"/>
          <w:szCs w:val="24"/>
        </w:rPr>
        <w:t>are located roughly 70 miles away from one another and each facility has its own direct care staff</w:t>
      </w:r>
      <w:r w:rsidR="00A94226" w:rsidRPr="1603F167">
        <w:rPr>
          <w:rStyle w:val="cf01"/>
          <w:rFonts w:asciiTheme="minorHAnsi" w:hAnsiTheme="minorHAnsi" w:cstheme="minorBidi"/>
          <w:sz w:val="24"/>
          <w:szCs w:val="24"/>
        </w:rPr>
        <w:t xml:space="preserve">, the </w:t>
      </w:r>
      <w:r w:rsidR="001F7B80" w:rsidRPr="1603F167">
        <w:rPr>
          <w:rStyle w:val="cf01"/>
          <w:rFonts w:asciiTheme="minorHAnsi" w:hAnsiTheme="minorHAnsi" w:cstheme="minorBidi"/>
          <w:sz w:val="24"/>
          <w:szCs w:val="24"/>
        </w:rPr>
        <w:t xml:space="preserve">Applicant </w:t>
      </w:r>
      <w:r w:rsidR="00A94226" w:rsidRPr="1603F167">
        <w:rPr>
          <w:rStyle w:val="cf01"/>
          <w:rFonts w:asciiTheme="minorHAnsi" w:hAnsiTheme="minorHAnsi" w:cstheme="minorBidi"/>
          <w:sz w:val="24"/>
          <w:szCs w:val="24"/>
        </w:rPr>
        <w:t xml:space="preserve">believes the Hospital is unlikely to attract </w:t>
      </w:r>
      <w:r w:rsidR="00A42804" w:rsidRPr="1603F167">
        <w:rPr>
          <w:rStyle w:val="cf01"/>
          <w:rFonts w:asciiTheme="minorHAnsi" w:hAnsiTheme="minorHAnsi" w:cstheme="minorBidi"/>
          <w:sz w:val="24"/>
          <w:szCs w:val="24"/>
        </w:rPr>
        <w:t>or hire staff away</w:t>
      </w:r>
      <w:r w:rsidR="00A94226" w:rsidRPr="1603F167">
        <w:rPr>
          <w:rStyle w:val="cf01"/>
          <w:rFonts w:asciiTheme="minorHAnsi" w:hAnsiTheme="minorHAnsi" w:cstheme="minorBidi"/>
          <w:sz w:val="24"/>
          <w:szCs w:val="24"/>
        </w:rPr>
        <w:t xml:space="preserve"> from Vibra Southeastern</w:t>
      </w:r>
      <w:r w:rsidR="00A42804" w:rsidRPr="1603F167">
        <w:rPr>
          <w:rStyle w:val="cf01"/>
          <w:rFonts w:asciiTheme="minorHAnsi" w:hAnsiTheme="minorHAnsi" w:cstheme="minorBidi"/>
          <w:sz w:val="24"/>
          <w:szCs w:val="24"/>
        </w:rPr>
        <w:t>.</w:t>
      </w:r>
      <w:r w:rsidR="00A94226" w:rsidRPr="1603F167">
        <w:rPr>
          <w:rStyle w:val="cf01"/>
          <w:rFonts w:asciiTheme="minorHAnsi" w:hAnsiTheme="minorHAnsi" w:cstheme="minorBidi"/>
          <w:sz w:val="24"/>
          <w:szCs w:val="24"/>
        </w:rPr>
        <w:t xml:space="preserve"> </w:t>
      </w:r>
    </w:p>
    <w:p w14:paraId="19AF2F7F" w14:textId="28036358" w:rsidR="00FD794A" w:rsidRPr="00C13F97" w:rsidRDefault="00FD794A" w:rsidP="00FD1ED0">
      <w:pPr>
        <w:pStyle w:val="pf0"/>
        <w:spacing w:after="0" w:afterAutospacing="0"/>
        <w:contextualSpacing/>
        <w:rPr>
          <w:rFonts w:asciiTheme="minorHAnsi" w:hAnsiTheme="minorHAnsi" w:cstheme="minorHAnsi"/>
        </w:rPr>
      </w:pPr>
    </w:p>
    <w:p w14:paraId="66F75168" w14:textId="70BDDF52" w:rsidR="00C43448" w:rsidRPr="00042A1E" w:rsidRDefault="00C43448" w:rsidP="638F6CD6">
      <w:pPr>
        <w:spacing w:after="240"/>
        <w:rPr>
          <w:rFonts w:ascii="Calibri" w:eastAsia="PMingLiU" w:hAnsi="Calibri" w:cs="Times New Roman"/>
        </w:rPr>
      </w:pPr>
    </w:p>
    <w:bookmarkEnd w:id="68"/>
    <w:p w14:paraId="56E4235C" w14:textId="43BE4F55" w:rsidR="00C43448" w:rsidRPr="00F74108" w:rsidRDefault="00863E19" w:rsidP="00F74108">
      <w:pPr>
        <w:spacing w:before="240"/>
        <w:rPr>
          <w:rFonts w:ascii="Calibri" w:eastAsia="PMingLiU" w:hAnsi="Calibri" w:cs="Times New Roman"/>
          <w:b/>
          <w:bCs/>
          <w:i/>
          <w:iCs/>
        </w:rPr>
      </w:pPr>
      <w:r w:rsidRPr="00F74108">
        <w:rPr>
          <w:rFonts w:ascii="Calibri" w:eastAsia="PMingLiU" w:hAnsi="Calibri" w:cs="Times New Roman"/>
          <w:b/>
          <w:bCs/>
          <w:i/>
          <w:iCs/>
        </w:rPr>
        <w:lastRenderedPageBreak/>
        <w:t>Analysis</w:t>
      </w:r>
    </w:p>
    <w:p w14:paraId="0A3D0CA1" w14:textId="2BA1363E" w:rsidR="00144A1D" w:rsidRDefault="00F74108" w:rsidP="00144A1D">
      <w:pPr>
        <w:ind w:right="114"/>
      </w:pPr>
      <w:r w:rsidRPr="00175571">
        <w:rPr>
          <w:bCs/>
          <w:iCs/>
        </w:rPr>
        <w:t xml:space="preserve">The </w:t>
      </w:r>
      <w:r w:rsidR="00434E22">
        <w:rPr>
          <w:bCs/>
          <w:iCs/>
        </w:rPr>
        <w:t>Proposed Project has the potential</w:t>
      </w:r>
      <w:r>
        <w:rPr>
          <w:bCs/>
          <w:iCs/>
        </w:rPr>
        <w:t xml:space="preserve"> to </w:t>
      </w:r>
      <w:r w:rsidRPr="00175571">
        <w:rPr>
          <w:bCs/>
          <w:iCs/>
        </w:rPr>
        <w:t xml:space="preserve">reduce the total </w:t>
      </w:r>
      <w:r>
        <w:rPr>
          <w:bCs/>
          <w:iCs/>
        </w:rPr>
        <w:t>medical expenses</w:t>
      </w:r>
      <w:r w:rsidRPr="00175571">
        <w:rPr>
          <w:bCs/>
          <w:iCs/>
        </w:rPr>
        <w:t xml:space="preserve"> through </w:t>
      </w:r>
      <w:r w:rsidR="0078700D">
        <w:rPr>
          <w:bCs/>
          <w:iCs/>
        </w:rPr>
        <w:t xml:space="preserve">operational efficiencies, and </w:t>
      </w:r>
      <w:r w:rsidR="00434E22">
        <w:rPr>
          <w:bCs/>
          <w:iCs/>
        </w:rPr>
        <w:t>improved staffing practices</w:t>
      </w:r>
      <w:r w:rsidR="0078700D">
        <w:rPr>
          <w:bCs/>
          <w:iCs/>
        </w:rPr>
        <w:t xml:space="preserve">. </w:t>
      </w:r>
      <w:r w:rsidR="00144A1D">
        <w:t xml:space="preserve">These efficiencies </w:t>
      </w:r>
      <w:r w:rsidR="00144A1D" w:rsidRPr="00E1669C">
        <w:t>can result in an overall reduction in healthcare costs. Staff finds that the Proposed Project will likely compete on the basis of price, TME provider costs, and other measures of health care spending.</w:t>
      </w:r>
    </w:p>
    <w:p w14:paraId="23E392D3" w14:textId="77777777" w:rsidR="00144A1D" w:rsidRPr="00E1669C" w:rsidRDefault="00144A1D" w:rsidP="00144A1D">
      <w:pPr>
        <w:ind w:right="114"/>
      </w:pPr>
    </w:p>
    <w:p w14:paraId="326FCC18" w14:textId="77777777" w:rsidR="00EC6251" w:rsidRPr="00E1669C" w:rsidRDefault="00EC6251" w:rsidP="00EC6251">
      <w:pPr>
        <w:pStyle w:val="Heading2"/>
        <w:spacing w:before="0" w:line="240" w:lineRule="auto"/>
        <w:ind w:left="180"/>
        <w:contextualSpacing/>
        <w:rPr>
          <w:rFonts w:asciiTheme="minorHAnsi" w:hAnsiTheme="minorHAnsi" w:cstheme="minorHAnsi"/>
          <w:i/>
          <w:iCs/>
          <w:sz w:val="24"/>
          <w:szCs w:val="24"/>
        </w:rPr>
      </w:pPr>
      <w:bookmarkStart w:id="70" w:name="_Toc99993058"/>
      <w:bookmarkStart w:id="71" w:name="_Toc144207774"/>
      <w:bookmarkStart w:id="72" w:name="_Toc192247635"/>
      <w:bookmarkStart w:id="73" w:name="_Toc203037134"/>
      <w:r w:rsidRPr="00E1669C">
        <w:rPr>
          <w:rFonts w:asciiTheme="minorHAnsi" w:hAnsiTheme="minorHAnsi" w:cstheme="minorHAnsi"/>
          <w:i/>
          <w:iCs/>
          <w:sz w:val="24"/>
          <w:szCs w:val="24"/>
        </w:rPr>
        <w:t>Summary, FACTOR 1</w:t>
      </w:r>
      <w:bookmarkEnd w:id="70"/>
      <w:bookmarkEnd w:id="71"/>
      <w:bookmarkEnd w:id="72"/>
      <w:bookmarkEnd w:id="73"/>
      <w:r w:rsidRPr="00E1669C">
        <w:rPr>
          <w:rFonts w:asciiTheme="minorHAnsi" w:hAnsiTheme="minorHAnsi" w:cstheme="minorHAnsi"/>
          <w:i/>
          <w:iCs/>
          <w:sz w:val="24"/>
          <w:szCs w:val="24"/>
        </w:rPr>
        <w:t xml:space="preserve"> </w:t>
      </w:r>
    </w:p>
    <w:p w14:paraId="05F587AB" w14:textId="77777777" w:rsidR="00EC6251" w:rsidRPr="00E1669C" w:rsidRDefault="00EC6251" w:rsidP="00EC6251">
      <w:pPr>
        <w:ind w:left="180"/>
      </w:pPr>
      <w:r w:rsidRPr="00E1669C">
        <w:t xml:space="preserve">As a result of the information provided by the Applicant and additional analysis, staff finds that the Applicant has demonstrated that the Proposed Project meets Factor 1. </w:t>
      </w:r>
    </w:p>
    <w:bookmarkEnd w:id="69"/>
    <w:p w14:paraId="3020A853" w14:textId="77777777" w:rsidR="00471349" w:rsidRPr="00E53597" w:rsidRDefault="00471349" w:rsidP="005D1C6E">
      <w:pPr>
        <w:pStyle w:val="Heading1"/>
        <w:spacing w:before="0" w:line="240" w:lineRule="auto"/>
        <w:rPr>
          <w:rFonts w:asciiTheme="minorHAnsi" w:hAnsiTheme="minorHAnsi" w:cstheme="minorHAnsi"/>
          <w:highlight w:val="yellow"/>
        </w:rPr>
      </w:pPr>
    </w:p>
    <w:p w14:paraId="44B4C547" w14:textId="675431F1" w:rsidR="00794127" w:rsidRPr="00FB6AD3" w:rsidRDefault="00664406" w:rsidP="00FB6AD3">
      <w:pPr>
        <w:pStyle w:val="Heading1"/>
        <w:spacing w:before="0" w:line="240" w:lineRule="auto"/>
        <w:rPr>
          <w:rFonts w:asciiTheme="minorHAnsi" w:hAnsiTheme="minorHAnsi" w:cstheme="minorBidi"/>
        </w:rPr>
      </w:pPr>
      <w:bookmarkStart w:id="74" w:name="_Toc157428834"/>
      <w:bookmarkStart w:id="75" w:name="_Toc169264792"/>
      <w:bookmarkStart w:id="76" w:name="_Toc203037135"/>
      <w:r w:rsidRPr="00C81551">
        <w:rPr>
          <w:rFonts w:asciiTheme="minorHAnsi" w:hAnsiTheme="minorHAnsi" w:cstheme="minorBidi"/>
        </w:rPr>
        <w:t>Factor</w:t>
      </w:r>
      <w:r w:rsidR="002D535F" w:rsidRPr="00C81551">
        <w:rPr>
          <w:rFonts w:asciiTheme="minorHAnsi" w:hAnsiTheme="minorHAnsi" w:cstheme="minorBidi"/>
        </w:rPr>
        <w:t xml:space="preserve"> 2: Cost </w:t>
      </w:r>
      <w:r w:rsidR="00471349" w:rsidRPr="00C81551">
        <w:rPr>
          <w:rFonts w:asciiTheme="minorHAnsi" w:hAnsiTheme="minorHAnsi" w:cstheme="minorBidi"/>
        </w:rPr>
        <w:t>C</w:t>
      </w:r>
      <w:r w:rsidR="002D535F" w:rsidRPr="00C81551">
        <w:rPr>
          <w:rFonts w:asciiTheme="minorHAnsi" w:hAnsiTheme="minorHAnsi" w:cstheme="minorBidi"/>
        </w:rPr>
        <w:t>ontainment, Improved Public Health Outcomes and Delivery System Transformation</w:t>
      </w:r>
      <w:bookmarkEnd w:id="74"/>
      <w:bookmarkEnd w:id="75"/>
      <w:bookmarkEnd w:id="76"/>
      <w:r w:rsidR="006839DB" w:rsidRPr="00C81551">
        <w:rPr>
          <w:rFonts w:asciiTheme="minorHAnsi" w:hAnsiTheme="minorHAnsi" w:cstheme="minorBidi"/>
        </w:rPr>
        <w:t xml:space="preserve"> </w:t>
      </w:r>
    </w:p>
    <w:p w14:paraId="17D03A40" w14:textId="4B9B8078" w:rsidR="00937EA6" w:rsidRPr="00937EA6" w:rsidRDefault="00937EA6" w:rsidP="00FB6AD3">
      <w:pPr>
        <w:rPr>
          <w:color w:val="000000" w:themeColor="text1"/>
        </w:rPr>
      </w:pPr>
      <w:r w:rsidRPr="002A3EEE">
        <w:rPr>
          <w:color w:val="000000" w:themeColor="text1"/>
        </w:rPr>
        <w:t>For Factor 2 the Applicant must demonstrate that the Proposed Project will meaningfully contribute to the Commonwealth’s goals for cost containment, improved public health outcomes, and delivery system transformation beyond the Patient Panel.</w:t>
      </w:r>
    </w:p>
    <w:p w14:paraId="78BA6D21" w14:textId="77777777" w:rsidR="00937EA6" w:rsidRPr="00C81551" w:rsidRDefault="00937EA6" w:rsidP="00794127"/>
    <w:p w14:paraId="31B8143D" w14:textId="77777777" w:rsidR="00F31C84" w:rsidRDefault="004A2DCA" w:rsidP="00F31C84">
      <w:pPr>
        <w:rPr>
          <w:rFonts w:eastAsia="Calibri"/>
          <w:b/>
          <w:bCs/>
        </w:rPr>
      </w:pPr>
      <w:r w:rsidRPr="00C81551">
        <w:rPr>
          <w:rFonts w:eastAsia="Calibri"/>
          <w:b/>
          <w:bCs/>
        </w:rPr>
        <w:t>Cost Containment</w:t>
      </w:r>
    </w:p>
    <w:p w14:paraId="7CB72884" w14:textId="38D8D514" w:rsidR="00EC232E" w:rsidRDefault="00F03BEA" w:rsidP="00F63341">
      <w:pPr>
        <w:rPr>
          <w:rFonts w:cs="Times New Roman"/>
        </w:rPr>
      </w:pPr>
      <w:r w:rsidRPr="00F63341">
        <w:rPr>
          <w:rFonts w:cs="Times New Roman"/>
        </w:rPr>
        <w:t>Placing</w:t>
      </w:r>
      <w:r w:rsidR="00605A1D" w:rsidRPr="00F63341">
        <w:rPr>
          <w:rFonts w:cs="Times New Roman"/>
        </w:rPr>
        <w:t xml:space="preserve"> patients in need of long-term hospital services into </w:t>
      </w:r>
      <w:r w:rsidR="001A768F">
        <w:rPr>
          <w:rFonts w:cs="Times New Roman"/>
        </w:rPr>
        <w:t xml:space="preserve">clinically appropriate level of care </w:t>
      </w:r>
      <w:r w:rsidR="00605A1D" w:rsidRPr="00F63341">
        <w:rPr>
          <w:rFonts w:cs="Times New Roman"/>
        </w:rPr>
        <w:t>opens up capacity at the acute care hospitals</w:t>
      </w:r>
      <w:r w:rsidR="006268CC" w:rsidRPr="00F63341">
        <w:rPr>
          <w:rFonts w:cs="Times New Roman"/>
        </w:rPr>
        <w:t>,</w:t>
      </w:r>
      <w:r w:rsidR="00605A1D" w:rsidRPr="00F63341">
        <w:rPr>
          <w:rFonts w:cs="Times New Roman"/>
        </w:rPr>
        <w:t xml:space="preserve"> which </w:t>
      </w:r>
      <w:r w:rsidR="006268CC" w:rsidRPr="00F63341">
        <w:rPr>
          <w:rFonts w:cs="Times New Roman"/>
        </w:rPr>
        <w:t>the Applicant anticipates</w:t>
      </w:r>
      <w:r w:rsidR="00605A1D" w:rsidRPr="00F63341">
        <w:rPr>
          <w:rFonts w:cs="Times New Roman"/>
        </w:rPr>
        <w:t xml:space="preserve"> will reduce the burden on the </w:t>
      </w:r>
      <w:r w:rsidR="001A768F">
        <w:rPr>
          <w:rFonts w:cs="Times New Roman"/>
        </w:rPr>
        <w:t xml:space="preserve">overall </w:t>
      </w:r>
      <w:r w:rsidR="00605A1D" w:rsidRPr="00F63341">
        <w:rPr>
          <w:rFonts w:cs="Times New Roman"/>
        </w:rPr>
        <w:t>acute hospital system.  Applicant’s plan to improve care coordination at the time of discharge is part of its strategy for reducing preventable and costly hospital readmissions.</w:t>
      </w:r>
      <w:r w:rsidR="003A24BC">
        <w:rPr>
          <w:rStyle w:val="EndnoteReference"/>
          <w:rFonts w:cs="Times New Roman"/>
        </w:rPr>
        <w:endnoteReference w:id="14"/>
      </w:r>
      <w:r w:rsidR="003A24BC" w:rsidRPr="00F63341">
        <w:rPr>
          <w:rFonts w:cs="Times New Roman"/>
        </w:rPr>
        <w:t xml:space="preserve"> </w:t>
      </w:r>
      <w:r w:rsidR="00C81BD4" w:rsidRPr="00F63341">
        <w:rPr>
          <w:rFonts w:cs="Times New Roman"/>
        </w:rPr>
        <w:t xml:space="preserve">  </w:t>
      </w:r>
    </w:p>
    <w:p w14:paraId="4DD4395E" w14:textId="77777777" w:rsidR="00EC232E" w:rsidRDefault="00EC232E" w:rsidP="00F63341">
      <w:pPr>
        <w:rPr>
          <w:rFonts w:cs="Times New Roman"/>
        </w:rPr>
      </w:pPr>
    </w:p>
    <w:p w14:paraId="75C51BBD" w14:textId="2829EC45" w:rsidR="00642BC2" w:rsidRPr="005B4B4F" w:rsidRDefault="00C81BD4" w:rsidP="00642BC2">
      <w:pPr>
        <w:spacing w:line="276" w:lineRule="auto"/>
        <w:rPr>
          <w:rStyle w:val="cf01"/>
          <w:rFonts w:asciiTheme="minorHAnsi" w:hAnsiTheme="minorHAnsi" w:cstheme="minorHAnsi"/>
          <w:sz w:val="24"/>
          <w:szCs w:val="24"/>
        </w:rPr>
      </w:pPr>
      <w:r w:rsidRPr="00F63341">
        <w:rPr>
          <w:rFonts w:cs="Times New Roman"/>
        </w:rPr>
        <w:t xml:space="preserve">The presence of LTCHs enable </w:t>
      </w:r>
      <w:r w:rsidR="00675893">
        <w:rPr>
          <w:rFonts w:cs="Times New Roman"/>
        </w:rPr>
        <w:t>throughput from</w:t>
      </w:r>
      <w:r w:rsidRPr="00F63341">
        <w:rPr>
          <w:rFonts w:cs="Times New Roman"/>
        </w:rPr>
        <w:t xml:space="preserve"> acute care hospital</w:t>
      </w:r>
      <w:r w:rsidR="00675893">
        <w:rPr>
          <w:rFonts w:cs="Times New Roman"/>
        </w:rPr>
        <w:t xml:space="preserve">s to a more appropriate level of care, resulting in the availability </w:t>
      </w:r>
      <w:r w:rsidR="00C75AC3">
        <w:rPr>
          <w:rFonts w:cs="Times New Roman"/>
        </w:rPr>
        <w:t>of hospital</w:t>
      </w:r>
      <w:r w:rsidR="00134B06">
        <w:rPr>
          <w:rFonts w:cs="Times New Roman"/>
        </w:rPr>
        <w:t xml:space="preserve"> levels of care, including ICU beds, for </w:t>
      </w:r>
      <w:r w:rsidR="00545ED7">
        <w:rPr>
          <w:rFonts w:cs="Times New Roman"/>
        </w:rPr>
        <w:t>high</w:t>
      </w:r>
      <w:r w:rsidR="00134B06">
        <w:rPr>
          <w:rFonts w:cs="Times New Roman"/>
        </w:rPr>
        <w:t>er</w:t>
      </w:r>
      <w:r w:rsidR="00545ED7">
        <w:rPr>
          <w:rFonts w:cs="Times New Roman"/>
        </w:rPr>
        <w:t xml:space="preserve"> acuity </w:t>
      </w:r>
      <w:r w:rsidRPr="00F63341">
        <w:rPr>
          <w:rFonts w:cs="Times New Roman"/>
        </w:rPr>
        <w:t xml:space="preserve">patients. </w:t>
      </w:r>
      <w:r w:rsidR="00642BC2" w:rsidRPr="005B4B4F">
        <w:rPr>
          <w:rStyle w:val="cf01"/>
          <w:rFonts w:asciiTheme="minorHAnsi" w:hAnsiTheme="minorHAnsi" w:cstheme="minorHAnsi"/>
          <w:sz w:val="24"/>
          <w:szCs w:val="24"/>
        </w:rPr>
        <w:t>In March 2025, the Massachusetts Health &amp; Hospital Association reported to the Health Policy Commission and the Joint Committee on Health Care Financing that hospitals spend $400 million annually to care for patients who were awaiting discharge to the appropriate post acute settings.</w:t>
      </w:r>
      <w:r w:rsidR="00642BC2" w:rsidRPr="00642BC2">
        <w:rPr>
          <w:rStyle w:val="EndnoteReference"/>
        </w:rPr>
        <w:endnoteReference w:id="15"/>
      </w:r>
      <w:r w:rsidR="00642BC2" w:rsidRPr="005B4B4F">
        <w:rPr>
          <w:rStyle w:val="cf01"/>
          <w:rFonts w:asciiTheme="minorHAnsi" w:hAnsiTheme="minorHAnsi" w:cstheme="minorHAnsi"/>
          <w:sz w:val="24"/>
          <w:szCs w:val="24"/>
        </w:rPr>
        <w:t xml:space="preserve"> </w:t>
      </w:r>
      <w:r w:rsidR="00DA5FA8">
        <w:rPr>
          <w:rStyle w:val="cf01"/>
          <w:rFonts w:asciiTheme="minorHAnsi" w:hAnsiTheme="minorHAnsi" w:cstheme="minorHAnsi"/>
          <w:sz w:val="24"/>
          <w:szCs w:val="24"/>
        </w:rPr>
        <w:t xml:space="preserve">The Applicant notes that it </w:t>
      </w:r>
      <w:r w:rsidR="00642BC2" w:rsidRPr="005B4B4F">
        <w:rPr>
          <w:rStyle w:val="cf01"/>
          <w:rFonts w:asciiTheme="minorHAnsi" w:hAnsiTheme="minorHAnsi" w:cstheme="minorHAnsi"/>
          <w:sz w:val="24"/>
          <w:szCs w:val="24"/>
        </w:rPr>
        <w:t xml:space="preserve">is difficult to quantify the cost of care in an inpatient setting, as the cost will fluctuate based on each patient’s specific needs. </w:t>
      </w:r>
      <w:r w:rsidR="00DA5FA8">
        <w:rPr>
          <w:rStyle w:val="cf01"/>
          <w:rFonts w:asciiTheme="minorHAnsi" w:hAnsiTheme="minorHAnsi" w:cstheme="minorHAnsi"/>
          <w:sz w:val="24"/>
          <w:szCs w:val="24"/>
        </w:rPr>
        <w:t xml:space="preserve">The Applicant also </w:t>
      </w:r>
      <w:r w:rsidR="000D07EE">
        <w:rPr>
          <w:rStyle w:val="cf01"/>
          <w:rFonts w:asciiTheme="minorHAnsi" w:hAnsiTheme="minorHAnsi" w:cstheme="minorHAnsi"/>
          <w:sz w:val="24"/>
          <w:szCs w:val="24"/>
        </w:rPr>
        <w:t>notes the difficulty in</w:t>
      </w:r>
      <w:r w:rsidR="00642BC2" w:rsidRPr="005B4B4F">
        <w:rPr>
          <w:rStyle w:val="cf01"/>
          <w:rFonts w:asciiTheme="minorHAnsi" w:hAnsiTheme="minorHAnsi" w:cstheme="minorHAnsi"/>
          <w:sz w:val="24"/>
          <w:szCs w:val="24"/>
        </w:rPr>
        <w:t xml:space="preserve"> compar</w:t>
      </w:r>
      <w:r w:rsidR="000D07EE">
        <w:rPr>
          <w:rStyle w:val="cf01"/>
          <w:rFonts w:asciiTheme="minorHAnsi" w:hAnsiTheme="minorHAnsi" w:cstheme="minorHAnsi"/>
          <w:sz w:val="24"/>
          <w:szCs w:val="24"/>
        </w:rPr>
        <w:t>ing</w:t>
      </w:r>
      <w:r w:rsidR="00642BC2" w:rsidRPr="005B4B4F">
        <w:rPr>
          <w:rStyle w:val="cf01"/>
          <w:rFonts w:asciiTheme="minorHAnsi" w:hAnsiTheme="minorHAnsi" w:cstheme="minorHAnsi"/>
          <w:sz w:val="24"/>
          <w:szCs w:val="24"/>
        </w:rPr>
        <w:t xml:space="preserve"> the cost of caring for a patient in a short-term acute care hospital (STACH) versus an LTCH, as LTCH patients are the most critically ill and medically complex, and are likely to have greater needs than many STACH patients.</w:t>
      </w:r>
    </w:p>
    <w:p w14:paraId="25C61E0B" w14:textId="77777777" w:rsidR="00642BC2" w:rsidRPr="005B4B4F" w:rsidRDefault="00642BC2" w:rsidP="00642BC2">
      <w:pPr>
        <w:spacing w:line="276" w:lineRule="auto"/>
        <w:rPr>
          <w:rStyle w:val="cf01"/>
          <w:rFonts w:asciiTheme="minorHAnsi" w:hAnsiTheme="minorHAnsi" w:cstheme="minorHAnsi"/>
          <w:sz w:val="24"/>
          <w:szCs w:val="24"/>
        </w:rPr>
      </w:pPr>
    </w:p>
    <w:p w14:paraId="3C7B538E" w14:textId="26FF1166" w:rsidR="00642BC2" w:rsidRPr="005B4B4F" w:rsidRDefault="000D07EE" w:rsidP="00642BC2">
      <w:pPr>
        <w:spacing w:line="276" w:lineRule="auto"/>
        <w:rPr>
          <w:rStyle w:val="cf01"/>
          <w:rFonts w:asciiTheme="minorHAnsi" w:hAnsiTheme="minorHAnsi" w:cstheme="minorHAnsi"/>
          <w:sz w:val="24"/>
          <w:szCs w:val="24"/>
        </w:rPr>
      </w:pPr>
      <w:r>
        <w:rPr>
          <w:rStyle w:val="cf01"/>
          <w:rFonts w:asciiTheme="minorHAnsi" w:hAnsiTheme="minorHAnsi" w:cstheme="minorHAnsi"/>
          <w:sz w:val="24"/>
          <w:szCs w:val="24"/>
        </w:rPr>
        <w:t xml:space="preserve">In an effort to provide </w:t>
      </w:r>
      <w:r w:rsidR="00536E37">
        <w:rPr>
          <w:rStyle w:val="cf01"/>
          <w:rFonts w:asciiTheme="minorHAnsi" w:hAnsiTheme="minorHAnsi" w:cstheme="minorHAnsi"/>
          <w:sz w:val="24"/>
          <w:szCs w:val="24"/>
        </w:rPr>
        <w:t>a basis for comparison, the Applicant cited t</w:t>
      </w:r>
      <w:r w:rsidR="00642BC2" w:rsidRPr="005B4B4F">
        <w:rPr>
          <w:rStyle w:val="cf01"/>
          <w:rFonts w:asciiTheme="minorHAnsi" w:hAnsiTheme="minorHAnsi" w:cstheme="minorHAnsi"/>
          <w:sz w:val="24"/>
          <w:szCs w:val="24"/>
        </w:rPr>
        <w:t>he American Hospital Directory</w:t>
      </w:r>
      <w:r w:rsidR="00536E37">
        <w:rPr>
          <w:rStyle w:val="cf01"/>
          <w:rFonts w:asciiTheme="minorHAnsi" w:hAnsiTheme="minorHAnsi" w:cstheme="minorHAnsi"/>
          <w:sz w:val="24"/>
          <w:szCs w:val="24"/>
        </w:rPr>
        <w:t xml:space="preserve"> report,</w:t>
      </w:r>
      <w:r w:rsidR="00642BC2" w:rsidRPr="005B4B4F">
        <w:rPr>
          <w:rStyle w:val="cf01"/>
          <w:rFonts w:asciiTheme="minorHAnsi" w:hAnsiTheme="minorHAnsi" w:cstheme="minorHAnsi"/>
          <w:sz w:val="24"/>
          <w:szCs w:val="24"/>
        </w:rPr>
        <w:t xml:space="preserve"> published </w:t>
      </w:r>
      <w:r w:rsidR="00536E37">
        <w:rPr>
          <w:rStyle w:val="cf01"/>
          <w:rFonts w:asciiTheme="minorHAnsi" w:hAnsiTheme="minorHAnsi" w:cstheme="minorHAnsi"/>
          <w:sz w:val="24"/>
          <w:szCs w:val="24"/>
        </w:rPr>
        <w:t>in</w:t>
      </w:r>
      <w:r w:rsidR="00642BC2" w:rsidRPr="005B4B4F">
        <w:rPr>
          <w:rStyle w:val="cf01"/>
          <w:rFonts w:asciiTheme="minorHAnsi" w:hAnsiTheme="minorHAnsi" w:cstheme="minorHAnsi"/>
          <w:sz w:val="24"/>
          <w:szCs w:val="24"/>
        </w:rPr>
        <w:t xml:space="preserve"> November 2014</w:t>
      </w:r>
      <w:r w:rsidR="00536E37">
        <w:rPr>
          <w:rStyle w:val="cf01"/>
          <w:rFonts w:asciiTheme="minorHAnsi" w:hAnsiTheme="minorHAnsi" w:cstheme="minorHAnsi"/>
          <w:sz w:val="24"/>
          <w:szCs w:val="24"/>
        </w:rPr>
        <w:t>,</w:t>
      </w:r>
      <w:r w:rsidR="00642BC2" w:rsidRPr="005B4B4F">
        <w:rPr>
          <w:rStyle w:val="cf01"/>
          <w:rFonts w:asciiTheme="minorHAnsi" w:hAnsiTheme="minorHAnsi" w:cstheme="minorHAnsi"/>
          <w:sz w:val="24"/>
          <w:szCs w:val="24"/>
        </w:rPr>
        <w:t xml:space="preserve"> comparing the per-day estimated facility costs for the providing care in a STACH versus an LTCH.</w:t>
      </w:r>
      <w:r w:rsidR="00642BC2" w:rsidRPr="00642BC2">
        <w:rPr>
          <w:rStyle w:val="EndnoteReference"/>
        </w:rPr>
        <w:endnoteReference w:id="16"/>
      </w:r>
      <w:r w:rsidR="00642BC2" w:rsidRPr="005B4B4F">
        <w:rPr>
          <w:rStyle w:val="cf01"/>
          <w:rFonts w:asciiTheme="minorHAnsi" w:hAnsiTheme="minorHAnsi" w:cstheme="minorHAnsi"/>
          <w:sz w:val="24"/>
          <w:szCs w:val="24"/>
        </w:rPr>
        <w:t xml:space="preserve"> T</w:t>
      </w:r>
      <w:r w:rsidR="006F29F5">
        <w:rPr>
          <w:rStyle w:val="cf01"/>
          <w:rFonts w:asciiTheme="minorHAnsi" w:hAnsiTheme="minorHAnsi" w:cstheme="minorHAnsi"/>
          <w:sz w:val="24"/>
          <w:szCs w:val="24"/>
        </w:rPr>
        <w:t xml:space="preserve">he Applicant </w:t>
      </w:r>
      <w:r w:rsidR="00642BC2" w:rsidRPr="005B4B4F">
        <w:rPr>
          <w:rStyle w:val="cf01"/>
          <w:rFonts w:asciiTheme="minorHAnsi" w:hAnsiTheme="minorHAnsi" w:cstheme="minorHAnsi"/>
          <w:sz w:val="24"/>
          <w:szCs w:val="24"/>
        </w:rPr>
        <w:t>applied an inflation rate of 28.3%</w:t>
      </w:r>
      <w:r w:rsidR="004E221A">
        <w:rPr>
          <w:rStyle w:val="cf01"/>
          <w:rFonts w:asciiTheme="minorHAnsi" w:hAnsiTheme="minorHAnsi" w:cstheme="minorHAnsi"/>
          <w:sz w:val="24"/>
          <w:szCs w:val="24"/>
        </w:rPr>
        <w:t xml:space="preserve"> to this data</w:t>
      </w:r>
      <w:r w:rsidR="00642BC2" w:rsidRPr="005B4B4F">
        <w:rPr>
          <w:rStyle w:val="cf01"/>
          <w:rFonts w:asciiTheme="minorHAnsi" w:hAnsiTheme="minorHAnsi" w:cstheme="minorHAnsi"/>
          <w:sz w:val="24"/>
          <w:szCs w:val="24"/>
        </w:rPr>
        <w:t xml:space="preserve">, which </w:t>
      </w:r>
      <w:r w:rsidR="004E221A">
        <w:rPr>
          <w:rStyle w:val="cf01"/>
          <w:rFonts w:asciiTheme="minorHAnsi" w:hAnsiTheme="minorHAnsi" w:cstheme="minorHAnsi"/>
          <w:sz w:val="24"/>
          <w:szCs w:val="24"/>
        </w:rPr>
        <w:t>i</w:t>
      </w:r>
      <w:r w:rsidR="00642BC2" w:rsidRPr="005B4B4F">
        <w:rPr>
          <w:rStyle w:val="cf01"/>
          <w:rFonts w:asciiTheme="minorHAnsi" w:hAnsiTheme="minorHAnsi" w:cstheme="minorHAnsi"/>
          <w:sz w:val="24"/>
          <w:szCs w:val="24"/>
        </w:rPr>
        <w:t>s the percentage CPI increase from November 2014 to May 2025 for Medical Care for the Boston-Cambridge-Newton Core Based Statistical Area (CBSA) of Massachusetts.</w:t>
      </w:r>
      <w:r w:rsidR="00642BC2" w:rsidRPr="00642BC2">
        <w:rPr>
          <w:rStyle w:val="EndnoteReference"/>
        </w:rPr>
        <w:endnoteReference w:id="17"/>
      </w:r>
    </w:p>
    <w:p w14:paraId="624133F8" w14:textId="77777777" w:rsidR="00642BC2" w:rsidRPr="005B4B4F" w:rsidRDefault="00642BC2" w:rsidP="00642BC2">
      <w:pPr>
        <w:spacing w:line="276" w:lineRule="auto"/>
        <w:rPr>
          <w:rStyle w:val="cf01"/>
          <w:rFonts w:asciiTheme="minorHAnsi" w:hAnsiTheme="minorHAnsi" w:cstheme="minorHAnsi"/>
          <w:sz w:val="24"/>
          <w:szCs w:val="24"/>
        </w:rPr>
      </w:pPr>
    </w:p>
    <w:p w14:paraId="7A739292" w14:textId="72AFB18F" w:rsidR="00642BC2" w:rsidRDefault="004E221A" w:rsidP="00642BC2">
      <w:pPr>
        <w:spacing w:line="276" w:lineRule="auto"/>
        <w:rPr>
          <w:rStyle w:val="cf01"/>
          <w:rFonts w:asciiTheme="minorHAnsi" w:hAnsiTheme="minorHAnsi" w:cstheme="minorHAnsi"/>
          <w:sz w:val="24"/>
          <w:szCs w:val="24"/>
        </w:rPr>
      </w:pPr>
      <w:r>
        <w:rPr>
          <w:rStyle w:val="cf01"/>
          <w:rFonts w:asciiTheme="minorHAnsi" w:hAnsiTheme="minorHAnsi" w:cstheme="minorHAnsi"/>
          <w:sz w:val="24"/>
          <w:szCs w:val="24"/>
        </w:rPr>
        <w:t>Table 5</w:t>
      </w:r>
      <w:r w:rsidR="00642BC2" w:rsidRPr="005B4B4F">
        <w:rPr>
          <w:rStyle w:val="cf01"/>
          <w:rFonts w:asciiTheme="minorHAnsi" w:hAnsiTheme="minorHAnsi" w:cstheme="minorHAnsi"/>
          <w:sz w:val="24"/>
          <w:szCs w:val="24"/>
        </w:rPr>
        <w:t xml:space="preserve"> is a rough calculation of the per-day cost of care in an STACH versus an LTCH in May 2025, arranged by DRG code</w:t>
      </w:r>
      <w:r w:rsidR="00A912B4">
        <w:rPr>
          <w:rStyle w:val="cf01"/>
          <w:rFonts w:asciiTheme="minorHAnsi" w:hAnsiTheme="minorHAnsi" w:cstheme="minorHAnsi"/>
          <w:sz w:val="24"/>
          <w:szCs w:val="24"/>
        </w:rPr>
        <w:t xml:space="preserve">, showing that </w:t>
      </w:r>
      <w:r w:rsidR="00B97350">
        <w:rPr>
          <w:rStyle w:val="cf01"/>
          <w:rFonts w:asciiTheme="minorHAnsi" w:hAnsiTheme="minorHAnsi" w:cstheme="minorHAnsi"/>
          <w:sz w:val="24"/>
          <w:szCs w:val="24"/>
        </w:rPr>
        <w:t xml:space="preserve">the cost per pay </w:t>
      </w:r>
      <w:r w:rsidR="00C7192F">
        <w:rPr>
          <w:rStyle w:val="cf01"/>
          <w:rFonts w:asciiTheme="minorHAnsi" w:hAnsiTheme="minorHAnsi" w:cstheme="minorHAnsi"/>
          <w:sz w:val="24"/>
          <w:szCs w:val="24"/>
        </w:rPr>
        <w:t>is consistently lower in the LTCH setting</w:t>
      </w:r>
      <w:r w:rsidR="00642BC2" w:rsidRPr="005B4B4F">
        <w:rPr>
          <w:rStyle w:val="cf01"/>
          <w:rFonts w:asciiTheme="minorHAnsi" w:hAnsiTheme="minorHAnsi" w:cstheme="minorHAnsi"/>
          <w:sz w:val="24"/>
          <w:szCs w:val="24"/>
        </w:rPr>
        <w:t>:</w:t>
      </w:r>
    </w:p>
    <w:p w14:paraId="3CEA459C" w14:textId="77777777" w:rsidR="00CD4AD3" w:rsidRDefault="00CD4AD3" w:rsidP="00642BC2">
      <w:pPr>
        <w:spacing w:line="276" w:lineRule="auto"/>
        <w:rPr>
          <w:rStyle w:val="cf01"/>
          <w:rFonts w:asciiTheme="minorHAnsi" w:hAnsiTheme="minorHAnsi" w:cstheme="minorHAnsi"/>
          <w:sz w:val="24"/>
          <w:szCs w:val="24"/>
        </w:rPr>
      </w:pPr>
    </w:p>
    <w:p w14:paraId="3ECAF74E" w14:textId="74686FF5" w:rsidR="00642BC2" w:rsidRPr="005B4B4F" w:rsidRDefault="00CD4AD3" w:rsidP="00662C0D">
      <w:pPr>
        <w:spacing w:line="276" w:lineRule="auto"/>
        <w:jc w:val="center"/>
        <w:rPr>
          <w:rStyle w:val="cf01"/>
          <w:rFonts w:asciiTheme="minorHAnsi" w:hAnsiTheme="minorHAnsi" w:cstheme="minorHAnsi"/>
          <w:b/>
          <w:bCs/>
          <w:color w:val="234170" w:themeColor="text2" w:themeShade="BF"/>
          <w:sz w:val="24"/>
          <w:szCs w:val="24"/>
        </w:rPr>
      </w:pPr>
      <w:r w:rsidRPr="00662C0D">
        <w:rPr>
          <w:rStyle w:val="cf01"/>
          <w:rFonts w:asciiTheme="minorHAnsi" w:hAnsiTheme="minorHAnsi" w:cstheme="minorHAnsi"/>
          <w:b/>
          <w:bCs/>
          <w:color w:val="234170" w:themeColor="text2" w:themeShade="BF"/>
          <w:sz w:val="24"/>
          <w:szCs w:val="24"/>
          <w:u w:val="single"/>
        </w:rPr>
        <w:t xml:space="preserve">Table </w:t>
      </w:r>
      <w:r w:rsidR="00D34793" w:rsidRPr="00662C0D">
        <w:rPr>
          <w:rStyle w:val="cf01"/>
          <w:rFonts w:asciiTheme="minorHAnsi" w:hAnsiTheme="minorHAnsi" w:cstheme="minorHAnsi"/>
          <w:b/>
          <w:bCs/>
          <w:color w:val="234170" w:themeColor="text2" w:themeShade="BF"/>
          <w:sz w:val="24"/>
          <w:szCs w:val="24"/>
          <w:u w:val="single"/>
        </w:rPr>
        <w:t>5</w:t>
      </w:r>
      <w:r w:rsidRPr="00662C0D">
        <w:rPr>
          <w:rStyle w:val="cf01"/>
          <w:rFonts w:asciiTheme="minorHAnsi" w:hAnsiTheme="minorHAnsi" w:cstheme="minorHAnsi"/>
          <w:b/>
          <w:bCs/>
          <w:color w:val="234170" w:themeColor="text2" w:themeShade="BF"/>
          <w:sz w:val="24"/>
          <w:szCs w:val="24"/>
          <w:u w:val="single"/>
        </w:rPr>
        <w:t>:</w:t>
      </w:r>
      <w:r w:rsidRPr="00662C0D">
        <w:rPr>
          <w:rStyle w:val="cf01"/>
          <w:rFonts w:asciiTheme="minorHAnsi" w:hAnsiTheme="minorHAnsi" w:cstheme="minorHAnsi"/>
          <w:b/>
          <w:bCs/>
          <w:color w:val="234170" w:themeColor="text2" w:themeShade="BF"/>
          <w:sz w:val="24"/>
          <w:szCs w:val="24"/>
        </w:rPr>
        <w:t xml:space="preserve"> Cost Per Day </w:t>
      </w:r>
      <w:r w:rsidR="00D34793" w:rsidRPr="00662C0D">
        <w:rPr>
          <w:rStyle w:val="cf01"/>
          <w:rFonts w:asciiTheme="minorHAnsi" w:hAnsiTheme="minorHAnsi" w:cstheme="minorHAnsi"/>
          <w:b/>
          <w:bCs/>
          <w:color w:val="234170" w:themeColor="text2" w:themeShade="BF"/>
          <w:sz w:val="24"/>
          <w:szCs w:val="24"/>
        </w:rPr>
        <w:t>S</w:t>
      </w:r>
      <w:r w:rsidR="00D34793" w:rsidRPr="005B4B4F">
        <w:rPr>
          <w:rStyle w:val="cf01"/>
          <w:rFonts w:asciiTheme="minorHAnsi" w:hAnsiTheme="minorHAnsi" w:cstheme="minorHAnsi"/>
          <w:b/>
          <w:bCs/>
          <w:color w:val="234170" w:themeColor="text2" w:themeShade="BF"/>
          <w:sz w:val="24"/>
          <w:szCs w:val="24"/>
        </w:rPr>
        <w:t>hort</w:t>
      </w:r>
      <w:r w:rsidR="00D34793" w:rsidRPr="00662C0D">
        <w:rPr>
          <w:rStyle w:val="cf01"/>
          <w:rFonts w:asciiTheme="minorHAnsi" w:hAnsiTheme="minorHAnsi" w:cstheme="minorHAnsi"/>
          <w:b/>
          <w:bCs/>
          <w:color w:val="234170" w:themeColor="text2" w:themeShade="BF"/>
          <w:sz w:val="24"/>
          <w:szCs w:val="24"/>
        </w:rPr>
        <w:t xml:space="preserve"> T</w:t>
      </w:r>
      <w:r w:rsidR="00D34793" w:rsidRPr="005B4B4F">
        <w:rPr>
          <w:rStyle w:val="cf01"/>
          <w:rFonts w:asciiTheme="minorHAnsi" w:hAnsiTheme="minorHAnsi" w:cstheme="minorHAnsi"/>
          <w:b/>
          <w:bCs/>
          <w:color w:val="234170" w:themeColor="text2" w:themeShade="BF"/>
          <w:sz w:val="24"/>
          <w:szCs w:val="24"/>
        </w:rPr>
        <w:t xml:space="preserve">erm </w:t>
      </w:r>
      <w:r w:rsidR="00D34793" w:rsidRPr="00662C0D">
        <w:rPr>
          <w:rStyle w:val="cf01"/>
          <w:rFonts w:asciiTheme="minorHAnsi" w:hAnsiTheme="minorHAnsi" w:cstheme="minorHAnsi"/>
          <w:b/>
          <w:bCs/>
          <w:color w:val="234170" w:themeColor="text2" w:themeShade="BF"/>
          <w:sz w:val="24"/>
          <w:szCs w:val="24"/>
        </w:rPr>
        <w:t>A</w:t>
      </w:r>
      <w:r w:rsidR="00D34793" w:rsidRPr="005B4B4F">
        <w:rPr>
          <w:rStyle w:val="cf01"/>
          <w:rFonts w:asciiTheme="minorHAnsi" w:hAnsiTheme="minorHAnsi" w:cstheme="minorHAnsi"/>
          <w:b/>
          <w:bCs/>
          <w:color w:val="234170" w:themeColor="text2" w:themeShade="BF"/>
          <w:sz w:val="24"/>
          <w:szCs w:val="24"/>
        </w:rPr>
        <w:t xml:space="preserve">cute </w:t>
      </w:r>
      <w:r w:rsidR="00D34793" w:rsidRPr="00662C0D">
        <w:rPr>
          <w:rStyle w:val="cf01"/>
          <w:rFonts w:asciiTheme="minorHAnsi" w:hAnsiTheme="minorHAnsi" w:cstheme="minorHAnsi"/>
          <w:b/>
          <w:bCs/>
          <w:color w:val="234170" w:themeColor="text2" w:themeShade="BF"/>
          <w:sz w:val="24"/>
          <w:szCs w:val="24"/>
        </w:rPr>
        <w:t>C</w:t>
      </w:r>
      <w:r w:rsidR="00D34793" w:rsidRPr="005B4B4F">
        <w:rPr>
          <w:rStyle w:val="cf01"/>
          <w:rFonts w:asciiTheme="minorHAnsi" w:hAnsiTheme="minorHAnsi" w:cstheme="minorHAnsi"/>
          <w:b/>
          <w:bCs/>
          <w:color w:val="234170" w:themeColor="text2" w:themeShade="BF"/>
          <w:sz w:val="24"/>
          <w:szCs w:val="24"/>
        </w:rPr>
        <w:t xml:space="preserve">are </w:t>
      </w:r>
      <w:r w:rsidR="00D34793" w:rsidRPr="00662C0D">
        <w:rPr>
          <w:rStyle w:val="cf01"/>
          <w:rFonts w:asciiTheme="minorHAnsi" w:hAnsiTheme="minorHAnsi" w:cstheme="minorHAnsi"/>
          <w:b/>
          <w:bCs/>
          <w:color w:val="234170" w:themeColor="text2" w:themeShade="BF"/>
          <w:sz w:val="24"/>
          <w:szCs w:val="24"/>
        </w:rPr>
        <w:t>H</w:t>
      </w:r>
      <w:r w:rsidR="00D34793" w:rsidRPr="005B4B4F">
        <w:rPr>
          <w:rStyle w:val="cf01"/>
          <w:rFonts w:asciiTheme="minorHAnsi" w:hAnsiTheme="minorHAnsi" w:cstheme="minorHAnsi"/>
          <w:b/>
          <w:bCs/>
          <w:color w:val="234170" w:themeColor="text2" w:themeShade="BF"/>
          <w:sz w:val="24"/>
          <w:szCs w:val="24"/>
        </w:rPr>
        <w:t>ospital (STACH) versus an LTCH</w:t>
      </w:r>
    </w:p>
    <w:tbl>
      <w:tblPr>
        <w:tblStyle w:val="TableGrid"/>
        <w:tblW w:w="9445" w:type="dxa"/>
        <w:tblLook w:val="04A0" w:firstRow="1" w:lastRow="0" w:firstColumn="1" w:lastColumn="0" w:noHBand="0" w:noVBand="1"/>
      </w:tblPr>
      <w:tblGrid>
        <w:gridCol w:w="1255"/>
        <w:gridCol w:w="3690"/>
        <w:gridCol w:w="2430"/>
        <w:gridCol w:w="2070"/>
      </w:tblGrid>
      <w:tr w:rsidR="00F375F8" w:rsidRPr="00642BC2" w14:paraId="34093A2B" w14:textId="77777777" w:rsidTr="006C11E8">
        <w:trPr>
          <w:cantSplit/>
          <w:trHeight w:val="740"/>
          <w:tblHeader/>
        </w:trPr>
        <w:tc>
          <w:tcPr>
            <w:tcW w:w="1255" w:type="dxa"/>
            <w:vAlign w:val="center"/>
            <w:hideMark/>
          </w:tcPr>
          <w:p w14:paraId="0B7E4661" w14:textId="77777777" w:rsidR="00F375F8" w:rsidRPr="005B4B4F" w:rsidRDefault="00F375F8" w:rsidP="00924064">
            <w:pPr>
              <w:jc w:val="center"/>
              <w:rPr>
                <w:rFonts w:eastAsia="Times New Roman"/>
                <w:color w:val="000000"/>
              </w:rPr>
            </w:pPr>
            <w:r w:rsidRPr="005B4B4F">
              <w:rPr>
                <w:rFonts w:eastAsia="Times New Roman"/>
                <w:color w:val="000000"/>
              </w:rPr>
              <w:t>MS DRG</w:t>
            </w:r>
          </w:p>
        </w:tc>
        <w:tc>
          <w:tcPr>
            <w:tcW w:w="3690" w:type="dxa"/>
            <w:shd w:val="clear" w:color="auto" w:fill="FFFFFF" w:themeFill="background1"/>
            <w:vAlign w:val="center"/>
          </w:tcPr>
          <w:p w14:paraId="065E9EF4" w14:textId="2AF76623" w:rsidR="00F375F8" w:rsidRPr="005B4B4F" w:rsidRDefault="00F375F8" w:rsidP="00924064">
            <w:pPr>
              <w:jc w:val="center"/>
              <w:rPr>
                <w:rFonts w:eastAsia="Times New Roman"/>
                <w:color w:val="000000"/>
              </w:rPr>
            </w:pPr>
            <w:r>
              <w:rPr>
                <w:rFonts w:eastAsia="Times New Roman"/>
                <w:color w:val="000000"/>
              </w:rPr>
              <w:t>Code Description</w:t>
            </w:r>
          </w:p>
        </w:tc>
        <w:tc>
          <w:tcPr>
            <w:tcW w:w="2430" w:type="dxa"/>
            <w:shd w:val="clear" w:color="auto" w:fill="FFFFFF" w:themeFill="background1"/>
            <w:vAlign w:val="center"/>
            <w:hideMark/>
          </w:tcPr>
          <w:p w14:paraId="7704B474" w14:textId="77777777" w:rsidR="00F375F8" w:rsidRPr="005B4B4F" w:rsidRDefault="00F375F8" w:rsidP="00924064">
            <w:pPr>
              <w:jc w:val="center"/>
              <w:rPr>
                <w:rFonts w:eastAsia="Times New Roman"/>
                <w:color w:val="000000"/>
              </w:rPr>
            </w:pPr>
            <w:r w:rsidRPr="005B4B4F">
              <w:rPr>
                <w:rFonts w:eastAsia="Times New Roman"/>
                <w:color w:val="000000"/>
              </w:rPr>
              <w:t>STACH Cost per Day (May 2025)</w:t>
            </w:r>
          </w:p>
        </w:tc>
        <w:tc>
          <w:tcPr>
            <w:tcW w:w="2070" w:type="dxa"/>
            <w:shd w:val="clear" w:color="auto" w:fill="FFFFFF" w:themeFill="background1"/>
            <w:vAlign w:val="center"/>
          </w:tcPr>
          <w:p w14:paraId="2E6D5957" w14:textId="01B30A10" w:rsidR="00F375F8" w:rsidRPr="005B4B4F" w:rsidRDefault="00F375F8" w:rsidP="00924064">
            <w:pPr>
              <w:jc w:val="center"/>
              <w:rPr>
                <w:rFonts w:eastAsia="Times New Roman"/>
                <w:color w:val="000000"/>
              </w:rPr>
            </w:pPr>
            <w:r w:rsidRPr="005B4B4F">
              <w:rPr>
                <w:rFonts w:eastAsia="Times New Roman"/>
                <w:color w:val="000000"/>
              </w:rPr>
              <w:t>LTCH Cost per Day (May 2025)</w:t>
            </w:r>
          </w:p>
        </w:tc>
      </w:tr>
      <w:tr w:rsidR="00F375F8" w:rsidRPr="00642BC2" w14:paraId="78AD6EEE" w14:textId="77777777" w:rsidTr="006C11E8">
        <w:trPr>
          <w:cantSplit/>
          <w:trHeight w:val="432"/>
        </w:trPr>
        <w:tc>
          <w:tcPr>
            <w:tcW w:w="1255" w:type="dxa"/>
            <w:noWrap/>
            <w:vAlign w:val="center"/>
            <w:hideMark/>
          </w:tcPr>
          <w:p w14:paraId="61095C1C" w14:textId="77777777" w:rsidR="00F375F8" w:rsidRPr="005B4B4F" w:rsidRDefault="00F375F8" w:rsidP="00924064">
            <w:pPr>
              <w:jc w:val="center"/>
              <w:rPr>
                <w:rFonts w:eastAsia="Times New Roman"/>
                <w:color w:val="000000"/>
              </w:rPr>
            </w:pPr>
            <w:r w:rsidRPr="005B4B4F">
              <w:rPr>
                <w:rFonts w:eastAsia="Times New Roman"/>
                <w:color w:val="000000"/>
              </w:rPr>
              <w:t>004</w:t>
            </w:r>
          </w:p>
        </w:tc>
        <w:tc>
          <w:tcPr>
            <w:tcW w:w="3690" w:type="dxa"/>
            <w:shd w:val="clear" w:color="auto" w:fill="FFFFFF" w:themeFill="background1"/>
            <w:vAlign w:val="center"/>
          </w:tcPr>
          <w:p w14:paraId="3F1F8BDE" w14:textId="0F1FCE05" w:rsidR="00F375F8" w:rsidRPr="005B4B4F" w:rsidRDefault="00577CAC" w:rsidP="00924064">
            <w:pPr>
              <w:jc w:val="center"/>
              <w:rPr>
                <w:rFonts w:eastAsia="Times New Roman"/>
                <w:color w:val="000000"/>
              </w:rPr>
            </w:pPr>
            <w:r w:rsidRPr="00577CAC">
              <w:rPr>
                <w:rFonts w:eastAsia="Times New Roman"/>
                <w:color w:val="000000"/>
              </w:rPr>
              <w:t>Tracheostomy with Mechanical Ventilation greater than 96 hours</w:t>
            </w:r>
          </w:p>
        </w:tc>
        <w:tc>
          <w:tcPr>
            <w:tcW w:w="2430" w:type="dxa"/>
            <w:shd w:val="clear" w:color="auto" w:fill="FFFFFF" w:themeFill="background1"/>
            <w:noWrap/>
            <w:vAlign w:val="center"/>
            <w:hideMark/>
          </w:tcPr>
          <w:p w14:paraId="38459A7E" w14:textId="77777777" w:rsidR="00F375F8" w:rsidRPr="005B4B4F" w:rsidRDefault="00F375F8" w:rsidP="00924064">
            <w:pPr>
              <w:jc w:val="center"/>
              <w:rPr>
                <w:rFonts w:eastAsia="Times New Roman"/>
                <w:color w:val="000000"/>
              </w:rPr>
            </w:pPr>
            <w:r w:rsidRPr="005B4B4F">
              <w:rPr>
                <w:rFonts w:eastAsia="Times New Roman"/>
                <w:color w:val="000000"/>
              </w:rPr>
              <w:t>$  3,381.99</w:t>
            </w:r>
          </w:p>
        </w:tc>
        <w:tc>
          <w:tcPr>
            <w:tcW w:w="2070" w:type="dxa"/>
            <w:shd w:val="clear" w:color="auto" w:fill="FFFFFF" w:themeFill="background1"/>
            <w:vAlign w:val="center"/>
          </w:tcPr>
          <w:p w14:paraId="2004F165" w14:textId="77777777" w:rsidR="00F375F8" w:rsidRPr="005B4B4F" w:rsidRDefault="00F375F8" w:rsidP="00924064">
            <w:pPr>
              <w:jc w:val="center"/>
              <w:rPr>
                <w:rFonts w:eastAsia="Times New Roman"/>
                <w:color w:val="000000"/>
              </w:rPr>
            </w:pPr>
            <w:r w:rsidRPr="005B4B4F">
              <w:rPr>
                <w:rFonts w:eastAsia="Times New Roman"/>
                <w:color w:val="000000"/>
              </w:rPr>
              <w:t>$  2,333.78</w:t>
            </w:r>
          </w:p>
        </w:tc>
      </w:tr>
      <w:tr w:rsidR="00F375F8" w:rsidRPr="00642BC2" w14:paraId="210936F0" w14:textId="77777777" w:rsidTr="006C11E8">
        <w:trPr>
          <w:cantSplit/>
          <w:trHeight w:val="432"/>
        </w:trPr>
        <w:tc>
          <w:tcPr>
            <w:tcW w:w="1255" w:type="dxa"/>
            <w:noWrap/>
            <w:vAlign w:val="center"/>
            <w:hideMark/>
          </w:tcPr>
          <w:p w14:paraId="308585FD" w14:textId="77777777" w:rsidR="00F375F8" w:rsidRPr="005B4B4F" w:rsidRDefault="00F375F8" w:rsidP="00924064">
            <w:pPr>
              <w:jc w:val="center"/>
              <w:rPr>
                <w:rFonts w:eastAsia="Times New Roman"/>
                <w:color w:val="000000"/>
              </w:rPr>
            </w:pPr>
            <w:r w:rsidRPr="005B4B4F">
              <w:rPr>
                <w:rFonts w:eastAsia="Times New Roman"/>
                <w:color w:val="000000"/>
              </w:rPr>
              <w:t>177</w:t>
            </w:r>
          </w:p>
        </w:tc>
        <w:tc>
          <w:tcPr>
            <w:tcW w:w="3690" w:type="dxa"/>
            <w:shd w:val="clear" w:color="auto" w:fill="FFFFFF" w:themeFill="background1"/>
            <w:vAlign w:val="center"/>
          </w:tcPr>
          <w:p w14:paraId="0D72198C" w14:textId="03C26428" w:rsidR="00F375F8" w:rsidRPr="005B4B4F" w:rsidRDefault="004D148A" w:rsidP="00924064">
            <w:pPr>
              <w:jc w:val="center"/>
              <w:rPr>
                <w:rFonts w:eastAsia="Times New Roman"/>
                <w:color w:val="000000"/>
              </w:rPr>
            </w:pPr>
            <w:r w:rsidRPr="004D148A">
              <w:rPr>
                <w:rFonts w:eastAsia="Times New Roman"/>
                <w:color w:val="000000"/>
              </w:rPr>
              <w:t xml:space="preserve">Respiratory Infections and Inflammations with </w:t>
            </w:r>
            <w:r w:rsidR="001D0970" w:rsidRPr="001D0970">
              <w:rPr>
                <w:rFonts w:eastAsia="Times New Roman"/>
                <w:color w:val="000000"/>
              </w:rPr>
              <w:t>Major Complication or Comorbidity</w:t>
            </w:r>
          </w:p>
        </w:tc>
        <w:tc>
          <w:tcPr>
            <w:tcW w:w="2430" w:type="dxa"/>
            <w:shd w:val="clear" w:color="auto" w:fill="FFFFFF" w:themeFill="background1"/>
            <w:noWrap/>
            <w:vAlign w:val="center"/>
            <w:hideMark/>
          </w:tcPr>
          <w:p w14:paraId="6D4AD324" w14:textId="77777777" w:rsidR="00F375F8" w:rsidRPr="005B4B4F" w:rsidRDefault="00F375F8" w:rsidP="00924064">
            <w:pPr>
              <w:jc w:val="center"/>
              <w:rPr>
                <w:rFonts w:eastAsia="Times New Roman"/>
                <w:color w:val="000000"/>
              </w:rPr>
            </w:pPr>
            <w:r w:rsidRPr="005B4B4F">
              <w:rPr>
                <w:rFonts w:eastAsia="Times New Roman"/>
                <w:color w:val="000000"/>
              </w:rPr>
              <w:t>$  2,387.66</w:t>
            </w:r>
          </w:p>
        </w:tc>
        <w:tc>
          <w:tcPr>
            <w:tcW w:w="2070" w:type="dxa"/>
            <w:shd w:val="clear" w:color="auto" w:fill="FFFFFF" w:themeFill="background1"/>
            <w:vAlign w:val="center"/>
          </w:tcPr>
          <w:p w14:paraId="26F1B067" w14:textId="77777777" w:rsidR="00F375F8" w:rsidRPr="005B4B4F" w:rsidRDefault="00F375F8" w:rsidP="00924064">
            <w:pPr>
              <w:jc w:val="center"/>
              <w:rPr>
                <w:rFonts w:eastAsia="Times New Roman"/>
                <w:color w:val="000000"/>
              </w:rPr>
            </w:pPr>
            <w:r w:rsidRPr="005B4B4F">
              <w:rPr>
                <w:rFonts w:eastAsia="Times New Roman"/>
                <w:color w:val="000000"/>
              </w:rPr>
              <w:t>$  1,637.11</w:t>
            </w:r>
          </w:p>
        </w:tc>
      </w:tr>
      <w:tr w:rsidR="00F375F8" w:rsidRPr="00642BC2" w14:paraId="5A9E9B62" w14:textId="77777777" w:rsidTr="006C11E8">
        <w:trPr>
          <w:cantSplit/>
          <w:trHeight w:val="432"/>
        </w:trPr>
        <w:tc>
          <w:tcPr>
            <w:tcW w:w="1255" w:type="dxa"/>
            <w:noWrap/>
            <w:vAlign w:val="center"/>
            <w:hideMark/>
          </w:tcPr>
          <w:p w14:paraId="798D4EA8" w14:textId="77777777" w:rsidR="00F375F8" w:rsidRPr="005B4B4F" w:rsidRDefault="00F375F8" w:rsidP="00924064">
            <w:pPr>
              <w:jc w:val="center"/>
              <w:rPr>
                <w:rFonts w:eastAsia="Times New Roman"/>
                <w:color w:val="000000"/>
              </w:rPr>
            </w:pPr>
            <w:r w:rsidRPr="005B4B4F">
              <w:rPr>
                <w:rFonts w:eastAsia="Times New Roman"/>
                <w:color w:val="000000"/>
              </w:rPr>
              <w:t>193</w:t>
            </w:r>
          </w:p>
        </w:tc>
        <w:tc>
          <w:tcPr>
            <w:tcW w:w="3690" w:type="dxa"/>
            <w:shd w:val="clear" w:color="auto" w:fill="FFFFFF" w:themeFill="background1"/>
            <w:vAlign w:val="center"/>
          </w:tcPr>
          <w:p w14:paraId="3D0F6916" w14:textId="5D678179" w:rsidR="00F375F8" w:rsidRPr="005B4B4F" w:rsidRDefault="00CD0CFE" w:rsidP="00924064">
            <w:pPr>
              <w:jc w:val="center"/>
              <w:rPr>
                <w:rFonts w:eastAsia="Times New Roman"/>
                <w:color w:val="000000"/>
              </w:rPr>
            </w:pPr>
            <w:r w:rsidRPr="00CD0CFE">
              <w:rPr>
                <w:rFonts w:eastAsia="Times New Roman"/>
                <w:color w:val="000000"/>
              </w:rPr>
              <w:t>Simple Pneumonia and Pleurisy with Major Complication or Comorbidity</w:t>
            </w:r>
          </w:p>
        </w:tc>
        <w:tc>
          <w:tcPr>
            <w:tcW w:w="2430" w:type="dxa"/>
            <w:shd w:val="clear" w:color="auto" w:fill="FFFFFF" w:themeFill="background1"/>
            <w:noWrap/>
            <w:vAlign w:val="center"/>
            <w:hideMark/>
          </w:tcPr>
          <w:p w14:paraId="133F33C2" w14:textId="77777777" w:rsidR="00F375F8" w:rsidRPr="005B4B4F" w:rsidRDefault="00F375F8" w:rsidP="00924064">
            <w:pPr>
              <w:jc w:val="center"/>
              <w:rPr>
                <w:rFonts w:eastAsia="Times New Roman"/>
                <w:color w:val="000000"/>
              </w:rPr>
            </w:pPr>
            <w:r w:rsidRPr="005B4B4F">
              <w:rPr>
                <w:rFonts w:eastAsia="Times New Roman"/>
                <w:color w:val="000000"/>
              </w:rPr>
              <w:t>$  2,288.87</w:t>
            </w:r>
          </w:p>
        </w:tc>
        <w:tc>
          <w:tcPr>
            <w:tcW w:w="2070" w:type="dxa"/>
            <w:shd w:val="clear" w:color="auto" w:fill="FFFFFF" w:themeFill="background1"/>
            <w:vAlign w:val="center"/>
          </w:tcPr>
          <w:p w14:paraId="7DF928C9" w14:textId="77777777" w:rsidR="00F375F8" w:rsidRPr="005B4B4F" w:rsidRDefault="00F375F8" w:rsidP="00924064">
            <w:pPr>
              <w:jc w:val="center"/>
              <w:rPr>
                <w:rFonts w:eastAsia="Times New Roman"/>
                <w:color w:val="000000"/>
              </w:rPr>
            </w:pPr>
            <w:r w:rsidRPr="005B4B4F">
              <w:rPr>
                <w:rFonts w:eastAsia="Times New Roman"/>
                <w:color w:val="000000"/>
              </w:rPr>
              <w:t>$  1,584.51</w:t>
            </w:r>
          </w:p>
        </w:tc>
      </w:tr>
      <w:tr w:rsidR="00F375F8" w:rsidRPr="00642BC2" w14:paraId="79ADA113" w14:textId="77777777" w:rsidTr="006C11E8">
        <w:trPr>
          <w:cantSplit/>
          <w:trHeight w:val="432"/>
        </w:trPr>
        <w:tc>
          <w:tcPr>
            <w:tcW w:w="1255" w:type="dxa"/>
            <w:noWrap/>
            <w:vAlign w:val="center"/>
            <w:hideMark/>
          </w:tcPr>
          <w:p w14:paraId="11BBDBE4" w14:textId="77777777" w:rsidR="00F375F8" w:rsidRPr="005B4B4F" w:rsidRDefault="00F375F8" w:rsidP="00924064">
            <w:pPr>
              <w:jc w:val="center"/>
              <w:rPr>
                <w:rFonts w:eastAsia="Times New Roman"/>
                <w:color w:val="000000"/>
              </w:rPr>
            </w:pPr>
            <w:r w:rsidRPr="005B4B4F">
              <w:rPr>
                <w:rFonts w:eastAsia="Times New Roman"/>
                <w:color w:val="000000"/>
              </w:rPr>
              <w:t>207</w:t>
            </w:r>
          </w:p>
        </w:tc>
        <w:tc>
          <w:tcPr>
            <w:tcW w:w="3690" w:type="dxa"/>
            <w:shd w:val="clear" w:color="auto" w:fill="FFFFFF" w:themeFill="background1"/>
            <w:vAlign w:val="center"/>
          </w:tcPr>
          <w:p w14:paraId="241A7021" w14:textId="77777777" w:rsidR="00FC7A6D" w:rsidRPr="009C0A41" w:rsidRDefault="00FC7A6D" w:rsidP="00FC7A6D">
            <w:pPr>
              <w:jc w:val="center"/>
              <w:rPr>
                <w:rFonts w:cs="Times New Roman"/>
              </w:rPr>
            </w:pPr>
            <w:r w:rsidRPr="009C0A41">
              <w:rPr>
                <w:rFonts w:cs="Times New Roman"/>
              </w:rPr>
              <w:t xml:space="preserve">Respiratory system diagnosis w ventilator support, </w:t>
            </w:r>
          </w:p>
          <w:p w14:paraId="6EEF72C5" w14:textId="254C6FFE" w:rsidR="00F375F8" w:rsidRPr="005B4B4F" w:rsidRDefault="00FC7A6D" w:rsidP="00FC7A6D">
            <w:pPr>
              <w:jc w:val="center"/>
              <w:rPr>
                <w:rFonts w:eastAsia="Times New Roman"/>
                <w:color w:val="000000"/>
              </w:rPr>
            </w:pPr>
            <w:r w:rsidRPr="009C0A41">
              <w:rPr>
                <w:rFonts w:cs="Times New Roman"/>
              </w:rPr>
              <w:t>≥ 96 hours</w:t>
            </w:r>
          </w:p>
        </w:tc>
        <w:tc>
          <w:tcPr>
            <w:tcW w:w="2430" w:type="dxa"/>
            <w:shd w:val="clear" w:color="auto" w:fill="FFFFFF" w:themeFill="background1"/>
            <w:noWrap/>
            <w:vAlign w:val="center"/>
            <w:hideMark/>
          </w:tcPr>
          <w:p w14:paraId="7312F190" w14:textId="77777777" w:rsidR="00F375F8" w:rsidRPr="005B4B4F" w:rsidRDefault="00F375F8" w:rsidP="00924064">
            <w:pPr>
              <w:jc w:val="center"/>
              <w:rPr>
                <w:rFonts w:eastAsia="Times New Roman"/>
                <w:color w:val="000000"/>
              </w:rPr>
            </w:pPr>
            <w:r w:rsidRPr="005B4B4F">
              <w:rPr>
                <w:rFonts w:eastAsia="Times New Roman"/>
                <w:color w:val="000000"/>
              </w:rPr>
              <w:t>$  3,258.82</w:t>
            </w:r>
          </w:p>
        </w:tc>
        <w:tc>
          <w:tcPr>
            <w:tcW w:w="2070" w:type="dxa"/>
            <w:shd w:val="clear" w:color="auto" w:fill="FFFFFF" w:themeFill="background1"/>
            <w:vAlign w:val="center"/>
          </w:tcPr>
          <w:p w14:paraId="3E4F0CDF" w14:textId="77777777" w:rsidR="00F375F8" w:rsidRPr="005B4B4F" w:rsidRDefault="00F375F8" w:rsidP="00924064">
            <w:pPr>
              <w:jc w:val="center"/>
              <w:rPr>
                <w:rFonts w:eastAsia="Times New Roman"/>
                <w:color w:val="000000"/>
              </w:rPr>
            </w:pPr>
            <w:r w:rsidRPr="005B4B4F">
              <w:rPr>
                <w:rFonts w:eastAsia="Times New Roman"/>
                <w:color w:val="000000"/>
              </w:rPr>
              <w:t>$  2,142.61</w:t>
            </w:r>
          </w:p>
        </w:tc>
      </w:tr>
      <w:tr w:rsidR="00392ECA" w:rsidRPr="00642BC2" w14:paraId="6199F55E" w14:textId="77777777" w:rsidTr="006C11E8">
        <w:trPr>
          <w:cantSplit/>
          <w:trHeight w:val="432"/>
        </w:trPr>
        <w:tc>
          <w:tcPr>
            <w:tcW w:w="1255" w:type="dxa"/>
            <w:noWrap/>
            <w:vAlign w:val="center"/>
            <w:hideMark/>
          </w:tcPr>
          <w:p w14:paraId="15093C7B" w14:textId="77777777" w:rsidR="00392ECA" w:rsidRPr="005B4B4F" w:rsidRDefault="00392ECA" w:rsidP="00392ECA">
            <w:pPr>
              <w:jc w:val="center"/>
              <w:rPr>
                <w:rFonts w:eastAsia="Times New Roman"/>
                <w:color w:val="000000"/>
              </w:rPr>
            </w:pPr>
            <w:r w:rsidRPr="005B4B4F">
              <w:rPr>
                <w:rFonts w:eastAsia="Times New Roman"/>
                <w:color w:val="000000"/>
              </w:rPr>
              <w:t>208</w:t>
            </w:r>
          </w:p>
        </w:tc>
        <w:tc>
          <w:tcPr>
            <w:tcW w:w="3690" w:type="dxa"/>
            <w:shd w:val="clear" w:color="auto" w:fill="FFFFFF" w:themeFill="background1"/>
          </w:tcPr>
          <w:p w14:paraId="1E6207CA" w14:textId="01E7926A" w:rsidR="00392ECA" w:rsidRPr="005B4B4F" w:rsidRDefault="00392ECA" w:rsidP="00392ECA">
            <w:pPr>
              <w:jc w:val="center"/>
              <w:rPr>
                <w:rFonts w:eastAsia="Times New Roman"/>
                <w:color w:val="000000"/>
              </w:rPr>
            </w:pPr>
            <w:r w:rsidRPr="009C0A41">
              <w:rPr>
                <w:rFonts w:cs="Times New Roman"/>
              </w:rPr>
              <w:t>Respiratory system diagnosis w ventilator support, &lt; 96 hours</w:t>
            </w:r>
          </w:p>
        </w:tc>
        <w:tc>
          <w:tcPr>
            <w:tcW w:w="2430" w:type="dxa"/>
            <w:shd w:val="clear" w:color="auto" w:fill="FFFFFF" w:themeFill="background1"/>
            <w:noWrap/>
            <w:vAlign w:val="center"/>
            <w:hideMark/>
          </w:tcPr>
          <w:p w14:paraId="31D18057" w14:textId="77777777" w:rsidR="00392ECA" w:rsidRPr="005B4B4F" w:rsidRDefault="00392ECA" w:rsidP="00392ECA">
            <w:pPr>
              <w:jc w:val="center"/>
              <w:rPr>
                <w:rFonts w:eastAsia="Times New Roman"/>
                <w:color w:val="000000"/>
              </w:rPr>
            </w:pPr>
            <w:r w:rsidRPr="005B4B4F">
              <w:rPr>
                <w:rFonts w:eastAsia="Times New Roman"/>
                <w:color w:val="000000"/>
              </w:rPr>
              <w:t>$  2,761.02</w:t>
            </w:r>
          </w:p>
        </w:tc>
        <w:tc>
          <w:tcPr>
            <w:tcW w:w="2070" w:type="dxa"/>
            <w:shd w:val="clear" w:color="auto" w:fill="FFFFFF" w:themeFill="background1"/>
            <w:vAlign w:val="center"/>
          </w:tcPr>
          <w:p w14:paraId="0FE50FC0" w14:textId="77777777" w:rsidR="00392ECA" w:rsidRPr="005B4B4F" w:rsidRDefault="00392ECA" w:rsidP="00392ECA">
            <w:pPr>
              <w:jc w:val="center"/>
              <w:rPr>
                <w:rFonts w:eastAsia="Times New Roman"/>
                <w:color w:val="000000"/>
              </w:rPr>
            </w:pPr>
            <w:r w:rsidRPr="005B4B4F">
              <w:rPr>
                <w:rFonts w:eastAsia="Times New Roman"/>
                <w:color w:val="000000"/>
              </w:rPr>
              <w:t>$  2,007.90</w:t>
            </w:r>
          </w:p>
        </w:tc>
      </w:tr>
      <w:tr w:rsidR="00392ECA" w:rsidRPr="00642BC2" w14:paraId="5DD2ACB3" w14:textId="77777777" w:rsidTr="006C11E8">
        <w:trPr>
          <w:cantSplit/>
          <w:trHeight w:val="432"/>
        </w:trPr>
        <w:tc>
          <w:tcPr>
            <w:tcW w:w="1255" w:type="dxa"/>
            <w:noWrap/>
            <w:vAlign w:val="center"/>
            <w:hideMark/>
          </w:tcPr>
          <w:p w14:paraId="6A66EEF6" w14:textId="77777777" w:rsidR="00392ECA" w:rsidRPr="005B4B4F" w:rsidRDefault="00392ECA" w:rsidP="00392ECA">
            <w:pPr>
              <w:jc w:val="center"/>
              <w:rPr>
                <w:rFonts w:eastAsia="Times New Roman"/>
                <w:color w:val="000000"/>
              </w:rPr>
            </w:pPr>
            <w:r w:rsidRPr="005B4B4F">
              <w:rPr>
                <w:rFonts w:eastAsia="Times New Roman"/>
                <w:color w:val="000000"/>
              </w:rPr>
              <w:t>297</w:t>
            </w:r>
          </w:p>
        </w:tc>
        <w:tc>
          <w:tcPr>
            <w:tcW w:w="3690" w:type="dxa"/>
            <w:shd w:val="clear" w:color="auto" w:fill="FFFFFF" w:themeFill="background1"/>
            <w:vAlign w:val="center"/>
          </w:tcPr>
          <w:p w14:paraId="09EA4F14" w14:textId="6200684F" w:rsidR="00392ECA" w:rsidRPr="005B4B4F" w:rsidRDefault="000A7A6B" w:rsidP="00392ECA">
            <w:pPr>
              <w:jc w:val="center"/>
              <w:rPr>
                <w:rFonts w:eastAsia="Times New Roman"/>
                <w:color w:val="000000"/>
              </w:rPr>
            </w:pPr>
            <w:r w:rsidRPr="000A7A6B">
              <w:rPr>
                <w:rFonts w:eastAsia="Times New Roman"/>
                <w:color w:val="000000"/>
              </w:rPr>
              <w:t>Cardiac Arrest, Unexplained with</w:t>
            </w:r>
            <w:r>
              <w:rPr>
                <w:rFonts w:eastAsia="Times New Roman"/>
                <w:color w:val="000000"/>
              </w:rPr>
              <w:t xml:space="preserve"> </w:t>
            </w:r>
            <w:r w:rsidRPr="000A7A6B">
              <w:rPr>
                <w:rFonts w:eastAsia="Times New Roman"/>
                <w:color w:val="000000"/>
              </w:rPr>
              <w:t>Complication or Comorbidity</w:t>
            </w:r>
          </w:p>
        </w:tc>
        <w:tc>
          <w:tcPr>
            <w:tcW w:w="2430" w:type="dxa"/>
            <w:shd w:val="clear" w:color="auto" w:fill="FFFFFF" w:themeFill="background1"/>
            <w:noWrap/>
            <w:vAlign w:val="center"/>
            <w:hideMark/>
          </w:tcPr>
          <w:p w14:paraId="7CE86178" w14:textId="77777777" w:rsidR="00392ECA" w:rsidRPr="005B4B4F" w:rsidRDefault="00392ECA" w:rsidP="00392ECA">
            <w:pPr>
              <w:jc w:val="center"/>
              <w:rPr>
                <w:rFonts w:eastAsia="Times New Roman"/>
                <w:color w:val="000000"/>
              </w:rPr>
            </w:pPr>
            <w:r w:rsidRPr="005B4B4F">
              <w:rPr>
                <w:rFonts w:eastAsia="Times New Roman"/>
                <w:color w:val="000000"/>
              </w:rPr>
              <w:t>$  2,417.17</w:t>
            </w:r>
          </w:p>
        </w:tc>
        <w:tc>
          <w:tcPr>
            <w:tcW w:w="2070" w:type="dxa"/>
            <w:shd w:val="clear" w:color="auto" w:fill="FFFFFF" w:themeFill="background1"/>
            <w:vAlign w:val="center"/>
          </w:tcPr>
          <w:p w14:paraId="0C7E215D" w14:textId="77777777" w:rsidR="00392ECA" w:rsidRPr="005B4B4F" w:rsidRDefault="00392ECA" w:rsidP="00392ECA">
            <w:pPr>
              <w:jc w:val="center"/>
              <w:rPr>
                <w:rFonts w:eastAsia="Times New Roman"/>
                <w:color w:val="000000"/>
              </w:rPr>
            </w:pPr>
            <w:r w:rsidRPr="005B4B4F">
              <w:rPr>
                <w:rFonts w:eastAsia="Times New Roman"/>
                <w:color w:val="000000"/>
              </w:rPr>
              <w:t>$  1,666.62</w:t>
            </w:r>
          </w:p>
        </w:tc>
      </w:tr>
      <w:tr w:rsidR="00392ECA" w:rsidRPr="00642BC2" w14:paraId="712B08A1" w14:textId="77777777" w:rsidTr="006C11E8">
        <w:trPr>
          <w:cantSplit/>
          <w:trHeight w:val="432"/>
        </w:trPr>
        <w:tc>
          <w:tcPr>
            <w:tcW w:w="1255" w:type="dxa"/>
            <w:noWrap/>
            <w:vAlign w:val="center"/>
            <w:hideMark/>
          </w:tcPr>
          <w:p w14:paraId="7638268A" w14:textId="77777777" w:rsidR="00392ECA" w:rsidRPr="005B4B4F" w:rsidRDefault="00392ECA" w:rsidP="00392ECA">
            <w:pPr>
              <w:jc w:val="center"/>
              <w:rPr>
                <w:rFonts w:eastAsia="Times New Roman"/>
                <w:color w:val="000000"/>
              </w:rPr>
            </w:pPr>
            <w:r w:rsidRPr="005B4B4F">
              <w:rPr>
                <w:rFonts w:eastAsia="Times New Roman"/>
                <w:color w:val="000000"/>
              </w:rPr>
              <w:t>853</w:t>
            </w:r>
          </w:p>
        </w:tc>
        <w:tc>
          <w:tcPr>
            <w:tcW w:w="3690" w:type="dxa"/>
            <w:shd w:val="clear" w:color="auto" w:fill="FFFFFF" w:themeFill="background1"/>
            <w:vAlign w:val="center"/>
          </w:tcPr>
          <w:p w14:paraId="632B8254" w14:textId="159E2AC2" w:rsidR="00392ECA" w:rsidRPr="005B4B4F" w:rsidRDefault="008209D7" w:rsidP="00392ECA">
            <w:pPr>
              <w:jc w:val="center"/>
              <w:rPr>
                <w:rFonts w:eastAsia="Times New Roman"/>
                <w:color w:val="000000"/>
              </w:rPr>
            </w:pPr>
            <w:r w:rsidRPr="008209D7">
              <w:rPr>
                <w:rFonts w:eastAsia="Times New Roman"/>
                <w:color w:val="000000"/>
              </w:rPr>
              <w:t>Infectious and Parasitic Diseases with O.R. Procedure with</w:t>
            </w:r>
            <w:r>
              <w:rPr>
                <w:rFonts w:eastAsia="Times New Roman"/>
                <w:color w:val="000000"/>
              </w:rPr>
              <w:t xml:space="preserve"> </w:t>
            </w:r>
            <w:r w:rsidRPr="008209D7">
              <w:rPr>
                <w:rFonts w:eastAsia="Times New Roman"/>
                <w:color w:val="000000"/>
              </w:rPr>
              <w:t>Major Complication or Comorbidity</w:t>
            </w:r>
          </w:p>
        </w:tc>
        <w:tc>
          <w:tcPr>
            <w:tcW w:w="2430" w:type="dxa"/>
            <w:shd w:val="clear" w:color="auto" w:fill="FFFFFF" w:themeFill="background1"/>
            <w:noWrap/>
            <w:vAlign w:val="center"/>
            <w:hideMark/>
          </w:tcPr>
          <w:p w14:paraId="1733B6A5" w14:textId="77777777" w:rsidR="00392ECA" w:rsidRPr="005B4B4F" w:rsidRDefault="00392ECA" w:rsidP="00392ECA">
            <w:pPr>
              <w:jc w:val="center"/>
              <w:rPr>
                <w:rFonts w:eastAsia="Times New Roman"/>
                <w:color w:val="000000"/>
              </w:rPr>
            </w:pPr>
            <w:r w:rsidRPr="005B4B4F">
              <w:rPr>
                <w:rFonts w:eastAsia="Times New Roman"/>
                <w:color w:val="000000"/>
              </w:rPr>
              <w:t>$  3,157.46</w:t>
            </w:r>
          </w:p>
        </w:tc>
        <w:tc>
          <w:tcPr>
            <w:tcW w:w="2070" w:type="dxa"/>
            <w:shd w:val="clear" w:color="auto" w:fill="FFFFFF" w:themeFill="background1"/>
            <w:vAlign w:val="center"/>
          </w:tcPr>
          <w:p w14:paraId="382B5365" w14:textId="77777777" w:rsidR="00392ECA" w:rsidRPr="005B4B4F" w:rsidRDefault="00392ECA" w:rsidP="00392ECA">
            <w:pPr>
              <w:jc w:val="center"/>
              <w:rPr>
                <w:rFonts w:eastAsia="Times New Roman"/>
                <w:color w:val="000000"/>
              </w:rPr>
            </w:pPr>
            <w:r w:rsidRPr="005B4B4F">
              <w:rPr>
                <w:rFonts w:eastAsia="Times New Roman"/>
                <w:color w:val="000000"/>
              </w:rPr>
              <w:t>$  1,848.80</w:t>
            </w:r>
          </w:p>
        </w:tc>
      </w:tr>
      <w:tr w:rsidR="00392ECA" w:rsidRPr="00642BC2" w14:paraId="08176073" w14:textId="77777777" w:rsidTr="006C11E8">
        <w:trPr>
          <w:cantSplit/>
          <w:trHeight w:val="432"/>
        </w:trPr>
        <w:tc>
          <w:tcPr>
            <w:tcW w:w="1255" w:type="dxa"/>
            <w:noWrap/>
            <w:vAlign w:val="center"/>
            <w:hideMark/>
          </w:tcPr>
          <w:p w14:paraId="1AF6F882" w14:textId="77777777" w:rsidR="00392ECA" w:rsidRPr="005B4B4F" w:rsidRDefault="00392ECA" w:rsidP="00392ECA">
            <w:pPr>
              <w:jc w:val="center"/>
              <w:rPr>
                <w:rFonts w:eastAsia="Times New Roman"/>
                <w:color w:val="000000"/>
              </w:rPr>
            </w:pPr>
            <w:r w:rsidRPr="005B4B4F">
              <w:rPr>
                <w:rFonts w:eastAsia="Times New Roman"/>
                <w:color w:val="000000"/>
              </w:rPr>
              <w:t>870</w:t>
            </w:r>
          </w:p>
        </w:tc>
        <w:tc>
          <w:tcPr>
            <w:tcW w:w="3690" w:type="dxa"/>
            <w:shd w:val="clear" w:color="auto" w:fill="FFFFFF" w:themeFill="background1"/>
            <w:vAlign w:val="center"/>
          </w:tcPr>
          <w:p w14:paraId="0FA85BFC" w14:textId="356137F2" w:rsidR="00392ECA" w:rsidRPr="005B4B4F" w:rsidRDefault="00376096" w:rsidP="00392ECA">
            <w:pPr>
              <w:jc w:val="center"/>
              <w:rPr>
                <w:rFonts w:eastAsia="Times New Roman"/>
                <w:color w:val="000000"/>
              </w:rPr>
            </w:pPr>
            <w:r w:rsidRPr="00376096">
              <w:rPr>
                <w:rFonts w:eastAsia="Times New Roman"/>
                <w:color w:val="000000"/>
              </w:rPr>
              <w:t>Septicemia or severe sepsis with mechanical ventilation &gt;96 hours or peripheral extracorporeal membrane oxygenation </w:t>
            </w:r>
          </w:p>
        </w:tc>
        <w:tc>
          <w:tcPr>
            <w:tcW w:w="2430" w:type="dxa"/>
            <w:shd w:val="clear" w:color="auto" w:fill="FFFFFF" w:themeFill="background1"/>
            <w:noWrap/>
            <w:vAlign w:val="center"/>
            <w:hideMark/>
          </w:tcPr>
          <w:p w14:paraId="48DD9455" w14:textId="77777777" w:rsidR="00392ECA" w:rsidRPr="005B4B4F" w:rsidRDefault="00392ECA" w:rsidP="00392ECA">
            <w:pPr>
              <w:jc w:val="center"/>
              <w:rPr>
                <w:rFonts w:eastAsia="Times New Roman"/>
                <w:color w:val="000000"/>
              </w:rPr>
            </w:pPr>
            <w:r w:rsidRPr="005B4B4F">
              <w:rPr>
                <w:rFonts w:eastAsia="Times New Roman"/>
                <w:color w:val="000000"/>
              </w:rPr>
              <w:t>$  3,682.21</w:t>
            </w:r>
          </w:p>
        </w:tc>
        <w:tc>
          <w:tcPr>
            <w:tcW w:w="2070" w:type="dxa"/>
            <w:shd w:val="clear" w:color="auto" w:fill="FFFFFF" w:themeFill="background1"/>
            <w:vAlign w:val="center"/>
          </w:tcPr>
          <w:p w14:paraId="7AB836B3" w14:textId="77777777" w:rsidR="00392ECA" w:rsidRPr="005B4B4F" w:rsidRDefault="00392ECA" w:rsidP="00392ECA">
            <w:pPr>
              <w:jc w:val="center"/>
              <w:rPr>
                <w:rFonts w:eastAsia="Times New Roman"/>
                <w:color w:val="000000"/>
              </w:rPr>
            </w:pPr>
            <w:r w:rsidRPr="005B4B4F">
              <w:rPr>
                <w:rFonts w:eastAsia="Times New Roman"/>
                <w:color w:val="000000"/>
              </w:rPr>
              <w:t>$  2,013.03</w:t>
            </w:r>
          </w:p>
        </w:tc>
      </w:tr>
      <w:tr w:rsidR="00392ECA" w:rsidRPr="00642BC2" w14:paraId="70022750" w14:textId="77777777" w:rsidTr="006C11E8">
        <w:trPr>
          <w:cantSplit/>
          <w:trHeight w:val="432"/>
        </w:trPr>
        <w:tc>
          <w:tcPr>
            <w:tcW w:w="1255" w:type="dxa"/>
            <w:noWrap/>
            <w:vAlign w:val="center"/>
            <w:hideMark/>
          </w:tcPr>
          <w:p w14:paraId="03DBD327" w14:textId="77777777" w:rsidR="00392ECA" w:rsidRPr="005B4B4F" w:rsidRDefault="00392ECA" w:rsidP="00392ECA">
            <w:pPr>
              <w:jc w:val="center"/>
              <w:rPr>
                <w:rFonts w:eastAsia="Times New Roman"/>
                <w:color w:val="000000"/>
              </w:rPr>
            </w:pPr>
            <w:r w:rsidRPr="005B4B4F">
              <w:rPr>
                <w:rFonts w:eastAsia="Times New Roman"/>
                <w:color w:val="000000"/>
              </w:rPr>
              <w:t>871</w:t>
            </w:r>
          </w:p>
        </w:tc>
        <w:tc>
          <w:tcPr>
            <w:tcW w:w="3690" w:type="dxa"/>
            <w:shd w:val="clear" w:color="auto" w:fill="FFFFFF" w:themeFill="background1"/>
            <w:vAlign w:val="center"/>
          </w:tcPr>
          <w:p w14:paraId="23403B90" w14:textId="50623D30" w:rsidR="00392ECA" w:rsidRPr="005B4B4F" w:rsidRDefault="00827CE0" w:rsidP="00392ECA">
            <w:pPr>
              <w:jc w:val="center"/>
              <w:rPr>
                <w:rFonts w:eastAsia="Times New Roman"/>
                <w:color w:val="000000"/>
              </w:rPr>
            </w:pPr>
            <w:r w:rsidRPr="00827CE0">
              <w:rPr>
                <w:rFonts w:eastAsia="Times New Roman"/>
                <w:color w:val="000000"/>
              </w:rPr>
              <w:t>Septicemia or Severe Sepsis without Mechanical Ventilation &gt;96 hours with Major Complication or Comorbidity</w:t>
            </w:r>
          </w:p>
        </w:tc>
        <w:tc>
          <w:tcPr>
            <w:tcW w:w="2430" w:type="dxa"/>
            <w:shd w:val="clear" w:color="auto" w:fill="FFFFFF" w:themeFill="background1"/>
            <w:noWrap/>
            <w:vAlign w:val="center"/>
            <w:hideMark/>
          </w:tcPr>
          <w:p w14:paraId="7239C639" w14:textId="77777777" w:rsidR="00392ECA" w:rsidRPr="005B4B4F" w:rsidRDefault="00392ECA" w:rsidP="00392ECA">
            <w:pPr>
              <w:jc w:val="center"/>
              <w:rPr>
                <w:rFonts w:eastAsia="Times New Roman"/>
                <w:color w:val="000000"/>
              </w:rPr>
            </w:pPr>
            <w:r w:rsidRPr="005B4B4F">
              <w:rPr>
                <w:rFonts w:eastAsia="Times New Roman"/>
                <w:color w:val="000000"/>
              </w:rPr>
              <w:t>$  2,589.09</w:t>
            </w:r>
          </w:p>
        </w:tc>
        <w:tc>
          <w:tcPr>
            <w:tcW w:w="2070" w:type="dxa"/>
            <w:shd w:val="clear" w:color="auto" w:fill="FFFFFF" w:themeFill="background1"/>
            <w:vAlign w:val="center"/>
          </w:tcPr>
          <w:p w14:paraId="307768F4" w14:textId="77777777" w:rsidR="00392ECA" w:rsidRPr="005B4B4F" w:rsidRDefault="00392ECA" w:rsidP="00392ECA">
            <w:pPr>
              <w:jc w:val="center"/>
              <w:rPr>
                <w:rFonts w:eastAsia="Times New Roman"/>
                <w:color w:val="000000"/>
              </w:rPr>
            </w:pPr>
            <w:r w:rsidRPr="005B4B4F">
              <w:rPr>
                <w:rFonts w:eastAsia="Times New Roman"/>
                <w:color w:val="000000"/>
              </w:rPr>
              <w:t>$  1,612.73</w:t>
            </w:r>
          </w:p>
        </w:tc>
      </w:tr>
    </w:tbl>
    <w:p w14:paraId="1DAB1DA1" w14:textId="77777777" w:rsidR="00642BC2" w:rsidRPr="005B4B4F" w:rsidRDefault="00642BC2" w:rsidP="00642BC2">
      <w:pPr>
        <w:spacing w:line="229" w:lineRule="exact"/>
        <w:rPr>
          <w:rStyle w:val="cf01"/>
          <w:rFonts w:asciiTheme="minorHAnsi" w:hAnsiTheme="minorHAnsi" w:cstheme="minorHAnsi"/>
          <w:sz w:val="24"/>
          <w:szCs w:val="24"/>
        </w:rPr>
      </w:pPr>
    </w:p>
    <w:p w14:paraId="049B45D3" w14:textId="60EFD393" w:rsidR="007963D0" w:rsidRDefault="00642BC2" w:rsidP="004A6045">
      <w:pPr>
        <w:rPr>
          <w:rFonts w:cs="Times New Roman"/>
        </w:rPr>
      </w:pPr>
      <w:r w:rsidRPr="005B4B4F">
        <w:rPr>
          <w:rStyle w:val="cf01"/>
          <w:rFonts w:asciiTheme="minorHAnsi" w:hAnsiTheme="minorHAnsi" w:cstheme="minorHAnsi"/>
          <w:sz w:val="24"/>
          <w:szCs w:val="24"/>
        </w:rPr>
        <w:t>By comparison, a recent state-by-state breakdown on average costs of hospital stays in the US for 2025 found that the average cost per inpatient day at STACH in Massachusetts was $3,529.</w:t>
      </w:r>
      <w:r w:rsidRPr="00642BC2">
        <w:rPr>
          <w:rStyle w:val="EndnoteReference"/>
        </w:rPr>
        <w:endnoteReference w:id="18"/>
      </w:r>
      <w:r w:rsidRPr="005B4B4F">
        <w:rPr>
          <w:rStyle w:val="cf01"/>
          <w:rFonts w:asciiTheme="minorHAnsi" w:hAnsiTheme="minorHAnsi" w:cstheme="minorHAnsi"/>
          <w:sz w:val="24"/>
          <w:szCs w:val="24"/>
        </w:rPr>
        <w:t xml:space="preserve"> </w:t>
      </w:r>
      <w:r w:rsidRPr="00642BC2">
        <w:t>As previously noted, we presume that the average cost of a patient who will be discharged to an LTCH would be significantly higher, as these patients are more likely to have more complicated medical issues than patients discharged to other post-acute settings.</w:t>
      </w:r>
    </w:p>
    <w:p w14:paraId="2530211E" w14:textId="15A56187" w:rsidR="000E750E" w:rsidRPr="00F63341" w:rsidRDefault="00C81BD4" w:rsidP="004A6045">
      <w:pPr>
        <w:rPr>
          <w:highlight w:val="green"/>
        </w:rPr>
      </w:pPr>
      <w:r w:rsidRPr="00F63341">
        <w:rPr>
          <w:rFonts w:cs="Times New Roman"/>
        </w:rPr>
        <w:t>LTCHs are particularly adept and experienced in the treatment of high acuity patients, such as those needing placement on a ventilator.</w:t>
      </w:r>
      <w:r w:rsidR="00F63341" w:rsidRPr="00F63341">
        <w:rPr>
          <w:rFonts w:cs="Times New Roman"/>
        </w:rPr>
        <w:t xml:space="preserve"> </w:t>
      </w:r>
      <w:r w:rsidR="004A6045">
        <w:t>P</w:t>
      </w:r>
      <w:r w:rsidR="004A6045" w:rsidRPr="00F63341">
        <w:t xml:space="preserve">rolonged ventilation in an acute care setting </w:t>
      </w:r>
      <w:r w:rsidR="004A6045">
        <w:t>is costly. T</w:t>
      </w:r>
      <w:r w:rsidR="004A6045" w:rsidRPr="00F63341">
        <w:t xml:space="preserve">he Agency for Healthcare Research and Quality cites research studies showing that each day that </w:t>
      </w:r>
      <w:r w:rsidR="004A6045" w:rsidRPr="00DC4829">
        <w:t>a patient spends on a ventilator in an acute care setting costs an average of $2,300 per day, rising to $3,900 after the fourth day.</w:t>
      </w:r>
      <w:r w:rsidR="000E750E" w:rsidRPr="00DC4829">
        <w:rPr>
          <w:rStyle w:val="EndnoteReference"/>
        </w:rPr>
        <w:endnoteReference w:id="19"/>
      </w:r>
      <w:r w:rsidR="000E750E" w:rsidRPr="00DC4829">
        <w:t xml:space="preserve"> </w:t>
      </w:r>
      <w:r w:rsidR="004D5540" w:rsidRPr="00DC4829">
        <w:t xml:space="preserve">The Applicant notes that </w:t>
      </w:r>
      <w:r w:rsidR="00DC4829" w:rsidRPr="00DC4829">
        <w:t xml:space="preserve">approximately 20% </w:t>
      </w:r>
      <w:r w:rsidR="00DC4829" w:rsidRPr="005B4B4F">
        <w:rPr>
          <w:rStyle w:val="cf01"/>
          <w:rFonts w:asciiTheme="minorHAnsi" w:hAnsiTheme="minorHAnsi" w:cstheme="minorHAnsi"/>
          <w:sz w:val="24"/>
          <w:szCs w:val="24"/>
        </w:rPr>
        <w:t>of the Hospital’s census require ventilation.</w:t>
      </w:r>
    </w:p>
    <w:p w14:paraId="724C3900" w14:textId="77777777" w:rsidR="000E750E" w:rsidRDefault="000E750E" w:rsidP="00F63341"/>
    <w:p w14:paraId="13CE98C9" w14:textId="6B949BCC" w:rsidR="00F63341" w:rsidRDefault="000E750E" w:rsidP="00F63341">
      <w:r w:rsidRPr="00F63341">
        <w:lastRenderedPageBreak/>
        <w:t>A 2021 study examining Medicare claims data from 2014-2015 found that, on the whole, patients who were intubated at an acute care hospital and were discharged to an LTCH to wean off the ventilator were more likely to be weaned when discharged earlier to the LTCH.</w:t>
      </w:r>
      <w:r w:rsidRPr="00E93FD0">
        <w:rPr>
          <w:rStyle w:val="EndnoteReference"/>
        </w:rPr>
        <w:endnoteReference w:id="20"/>
      </w:r>
      <w:r w:rsidRPr="00F63341">
        <w:t xml:space="preserve"> The study showed that each additional day spent in an acute care setting after intubation reduced the odds of weaning in an LTCH by 11.6%. The study explains that for those critically ill patients who will</w:t>
      </w:r>
      <w:r>
        <w:t xml:space="preserve"> benefit from </w:t>
      </w:r>
      <w:r w:rsidR="00EB51AB">
        <w:t>LTCH</w:t>
      </w:r>
      <w:r w:rsidRPr="00F63341">
        <w:t>, timely transition to an LTCH is not only beneficial to the individual, but to the hospital system as a whole</w:t>
      </w:r>
      <w:r>
        <w:t xml:space="preserve"> by assisting with</w:t>
      </w:r>
      <w:r w:rsidRPr="00F63341">
        <w:t xml:space="preserve"> hospital throughput issues</w:t>
      </w:r>
      <w:r>
        <w:t xml:space="preserve">. </w:t>
      </w:r>
      <w:r w:rsidRPr="00F63341">
        <w:t xml:space="preserve"> </w:t>
      </w:r>
      <w:r>
        <w:t>Improving</w:t>
      </w:r>
      <w:r w:rsidRPr="00F63341">
        <w:t xml:space="preserve"> patient ventilation outcomes by enabling patients to transition from an acute care setting to an LTCH where they can receive appropriate specialized care </w:t>
      </w:r>
      <w:r>
        <w:t>(</w:t>
      </w:r>
      <w:r w:rsidRPr="00F63341">
        <w:t>such as weaning protocols and rehabilitation</w:t>
      </w:r>
      <w:r>
        <w:t>)</w:t>
      </w:r>
      <w:r w:rsidRPr="00F63341">
        <w:t xml:space="preserve">, </w:t>
      </w:r>
      <w:r>
        <w:t>is likely to lower</w:t>
      </w:r>
      <w:r w:rsidRPr="00F63341">
        <w:t xml:space="preserve"> the rates of hospital readmissions, which the </w:t>
      </w:r>
      <w:r>
        <w:t>Applicant notes is i</w:t>
      </w:r>
      <w:r w:rsidRPr="00F63341">
        <w:t>dentified as an area of cost concern</w:t>
      </w:r>
      <w:r>
        <w:t xml:space="preserve"> in the Commonwealth</w:t>
      </w:r>
      <w:r w:rsidRPr="00F63341">
        <w:t>.</w:t>
      </w:r>
      <w:r w:rsidRPr="00E93FD0">
        <w:rPr>
          <w:rStyle w:val="EndnoteReference"/>
        </w:rPr>
        <w:endnoteReference w:id="21"/>
      </w:r>
      <w:r w:rsidRPr="00F63341">
        <w:t xml:space="preserve"> </w:t>
      </w:r>
      <w:r w:rsidR="00F63341" w:rsidRPr="00F63341">
        <w:t xml:space="preserve"> </w:t>
      </w:r>
    </w:p>
    <w:p w14:paraId="6E57C454" w14:textId="77777777" w:rsidR="00910A2E" w:rsidRDefault="00910A2E" w:rsidP="00174F97">
      <w:pPr>
        <w:rPr>
          <w:rFonts w:cs="Times New Roman"/>
        </w:rPr>
      </w:pPr>
    </w:p>
    <w:p w14:paraId="717547BB" w14:textId="77777777" w:rsidR="00910A2E" w:rsidRPr="004A6045" w:rsidRDefault="00910A2E" w:rsidP="00910A2E">
      <w:pPr>
        <w:contextualSpacing/>
        <w:rPr>
          <w:b/>
          <w:i/>
          <w:iCs/>
          <w:color w:val="000000" w:themeColor="text1"/>
        </w:rPr>
      </w:pPr>
      <w:r w:rsidRPr="004A6045">
        <w:rPr>
          <w:b/>
          <w:i/>
          <w:iCs/>
          <w:color w:val="000000" w:themeColor="text1"/>
        </w:rPr>
        <w:t>Analysis: Cost Containment</w:t>
      </w:r>
    </w:p>
    <w:p w14:paraId="3B4DB75C" w14:textId="28B8584B" w:rsidR="00910A2E" w:rsidRPr="002A3EEE" w:rsidRDefault="00910A2E" w:rsidP="00910A2E">
      <w:pPr>
        <w:spacing w:line="259" w:lineRule="auto"/>
        <w:ind w:right="114"/>
        <w:rPr>
          <w:color w:val="000000" w:themeColor="text1"/>
        </w:rPr>
      </w:pPr>
      <w:r w:rsidRPr="004A6045">
        <w:rPr>
          <w:color w:val="000000" w:themeColor="text1"/>
        </w:rPr>
        <w:t xml:space="preserve">Staff finds that the Applicant has adequately explained how it aligns with cost containment goals through </w:t>
      </w:r>
      <w:r w:rsidR="004A6045" w:rsidRPr="004A6045">
        <w:rPr>
          <w:color w:val="000000" w:themeColor="text1"/>
        </w:rPr>
        <w:t>improved</w:t>
      </w:r>
      <w:r w:rsidRPr="004A6045">
        <w:rPr>
          <w:color w:val="000000" w:themeColor="text1"/>
        </w:rPr>
        <w:t xml:space="preserve"> access to </w:t>
      </w:r>
      <w:r w:rsidR="004A6045" w:rsidRPr="004A6045">
        <w:rPr>
          <w:color w:val="000000" w:themeColor="text1"/>
        </w:rPr>
        <w:t>the appropriate treatment setting for high acuity patients</w:t>
      </w:r>
      <w:r w:rsidRPr="004A6045">
        <w:rPr>
          <w:color w:val="000000" w:themeColor="text1"/>
        </w:rPr>
        <w:t>. Therefore, DoN Staff can conclude that the Proposed Project will likely meet the cost containment component of Factor 2.</w:t>
      </w:r>
    </w:p>
    <w:p w14:paraId="1FF46B5D" w14:textId="77777777" w:rsidR="00605A1D" w:rsidRDefault="00605A1D" w:rsidP="00174F97">
      <w:pPr>
        <w:rPr>
          <w:rFonts w:cs="Times New Roman"/>
        </w:rPr>
      </w:pPr>
    </w:p>
    <w:p w14:paraId="60C34AD7" w14:textId="6AB43F7C" w:rsidR="00794127" w:rsidRPr="00910A2E" w:rsidRDefault="004A2DCA" w:rsidP="00A744AA">
      <w:pPr>
        <w:rPr>
          <w:rFonts w:eastAsia="Calibri"/>
          <w:b/>
        </w:rPr>
      </w:pPr>
      <w:r w:rsidRPr="00910A2E">
        <w:rPr>
          <w:rFonts w:eastAsia="Calibri"/>
          <w:b/>
        </w:rPr>
        <w:t>P</w:t>
      </w:r>
      <w:r w:rsidR="00794127" w:rsidRPr="00910A2E">
        <w:rPr>
          <w:rFonts w:eastAsia="Calibri"/>
          <w:b/>
        </w:rPr>
        <w:t>ublic Health Outcomes</w:t>
      </w:r>
    </w:p>
    <w:p w14:paraId="09FEA637" w14:textId="3F29C271" w:rsidR="00794127" w:rsidRDefault="00E36162" w:rsidP="00A744AA">
      <w:pPr>
        <w:rPr>
          <w:rFonts w:cs="Times New Roman"/>
        </w:rPr>
      </w:pPr>
      <w:r>
        <w:rPr>
          <w:rFonts w:cs="Times New Roman"/>
        </w:rPr>
        <w:t>As mentioned earlier, t</w:t>
      </w:r>
      <w:r w:rsidR="00C22210">
        <w:rPr>
          <w:rFonts w:cs="Times New Roman"/>
        </w:rPr>
        <w:t xml:space="preserve">he Applicant </w:t>
      </w:r>
      <w:r>
        <w:rPr>
          <w:rFonts w:cs="Times New Roman"/>
        </w:rPr>
        <w:t xml:space="preserve">plans to </w:t>
      </w:r>
      <w:r w:rsidR="005658BA">
        <w:rPr>
          <w:rFonts w:cs="Times New Roman"/>
        </w:rPr>
        <w:t>analyze</w:t>
      </w:r>
      <w:r w:rsidR="00C22210">
        <w:rPr>
          <w:rFonts w:cs="Times New Roman"/>
        </w:rPr>
        <w:t xml:space="preserve"> the Hospital’s quality assurance </w:t>
      </w:r>
      <w:r>
        <w:rPr>
          <w:rFonts w:cs="Times New Roman"/>
        </w:rPr>
        <w:t>data</w:t>
      </w:r>
      <w:r w:rsidR="00C22210">
        <w:rPr>
          <w:rFonts w:cs="Times New Roman"/>
        </w:rPr>
        <w:t xml:space="preserve"> </w:t>
      </w:r>
      <w:r w:rsidR="005658BA">
        <w:rPr>
          <w:rFonts w:cs="Times New Roman"/>
        </w:rPr>
        <w:t>and target areas of focus</w:t>
      </w:r>
      <w:r w:rsidR="00C22210">
        <w:rPr>
          <w:rFonts w:cs="Times New Roman"/>
        </w:rPr>
        <w:t xml:space="preserve">.  </w:t>
      </w:r>
      <w:r w:rsidR="00A744AA">
        <w:rPr>
          <w:rFonts w:cs="Times New Roman"/>
        </w:rPr>
        <w:t>T</w:t>
      </w:r>
      <w:r w:rsidR="00C22210">
        <w:rPr>
          <w:rFonts w:cs="Times New Roman"/>
        </w:rPr>
        <w:t xml:space="preserve">he Applicant is planning to </w:t>
      </w:r>
      <w:r w:rsidR="005658BA">
        <w:rPr>
          <w:rFonts w:cs="Times New Roman"/>
        </w:rPr>
        <w:t>concentrate on</w:t>
      </w:r>
      <w:r w:rsidR="00C22210">
        <w:rPr>
          <w:rFonts w:cs="Times New Roman"/>
        </w:rPr>
        <w:t xml:space="preserve"> </w:t>
      </w:r>
      <w:r w:rsidR="00A744AA">
        <w:rPr>
          <w:rFonts w:cs="Times New Roman"/>
        </w:rPr>
        <w:t>the Hospital’s</w:t>
      </w:r>
      <w:r w:rsidR="00C22210">
        <w:rPr>
          <w:rFonts w:cs="Times New Roman"/>
        </w:rPr>
        <w:t xml:space="preserve"> rehabilitation, dialysis, and telemetry services to provide comprehensive care and optimize its resources.</w:t>
      </w:r>
      <w:r w:rsidR="00884D30" w:rsidRPr="00E93FD0">
        <w:rPr>
          <w:rFonts w:cs="Times New Roman"/>
        </w:rPr>
        <w:t xml:space="preserve"> </w:t>
      </w:r>
      <w:r w:rsidR="00FE714A">
        <w:rPr>
          <w:rFonts w:cs="Times New Roman"/>
        </w:rPr>
        <w:t xml:space="preserve">The </w:t>
      </w:r>
      <w:r w:rsidR="00884D30" w:rsidRPr="00E93FD0">
        <w:rPr>
          <w:rFonts w:cs="Times New Roman"/>
        </w:rPr>
        <w:t xml:space="preserve">Applicant </w:t>
      </w:r>
      <w:r w:rsidR="00FB25D9">
        <w:rPr>
          <w:rFonts w:cs="Times New Roman"/>
        </w:rPr>
        <w:t xml:space="preserve">also stated its goal </w:t>
      </w:r>
      <w:r w:rsidR="00884D30" w:rsidRPr="00E93FD0">
        <w:rPr>
          <w:rFonts w:cs="Times New Roman"/>
        </w:rPr>
        <w:t xml:space="preserve">to increase clinical acuity in both the Hospital and the SNF so that both facilities have the resources and personnel to accept higher acuity patients. </w:t>
      </w:r>
      <w:r w:rsidR="001206D7">
        <w:rPr>
          <w:rFonts w:cs="Times New Roman"/>
        </w:rPr>
        <w:t>Better</w:t>
      </w:r>
      <w:r w:rsidR="00FB25D9">
        <w:rPr>
          <w:rFonts w:cs="Times New Roman"/>
        </w:rPr>
        <w:t xml:space="preserve"> access to </w:t>
      </w:r>
      <w:r w:rsidR="001206D7">
        <w:rPr>
          <w:rFonts w:cs="Times New Roman"/>
        </w:rPr>
        <w:t xml:space="preserve">long term </w:t>
      </w:r>
      <w:r w:rsidR="00FB25D9">
        <w:rPr>
          <w:rFonts w:cs="Times New Roman"/>
        </w:rPr>
        <w:t xml:space="preserve">care </w:t>
      </w:r>
      <w:r w:rsidR="00BB41F1">
        <w:rPr>
          <w:rFonts w:cs="Times New Roman"/>
        </w:rPr>
        <w:t>has the potential to improve outcomes for patients as well as improve</w:t>
      </w:r>
      <w:r w:rsidR="001206D7">
        <w:rPr>
          <w:rFonts w:cs="Times New Roman"/>
        </w:rPr>
        <w:t xml:space="preserve"> through</w:t>
      </w:r>
      <w:r w:rsidR="00A636D2">
        <w:rPr>
          <w:rFonts w:cs="Times New Roman"/>
        </w:rPr>
        <w:t>p</w:t>
      </w:r>
      <w:r w:rsidR="001206D7">
        <w:rPr>
          <w:rFonts w:cs="Times New Roman"/>
        </w:rPr>
        <w:t>ut for acute care hospitals</w:t>
      </w:r>
      <w:r w:rsidR="00884D30" w:rsidRPr="00E93FD0">
        <w:rPr>
          <w:rFonts w:cs="Times New Roman"/>
        </w:rPr>
        <w:t>.</w:t>
      </w:r>
    </w:p>
    <w:p w14:paraId="1DA29386" w14:textId="77777777" w:rsidR="00C22210" w:rsidRDefault="00C22210" w:rsidP="00174F97">
      <w:pPr>
        <w:rPr>
          <w:rFonts w:eastAsia="Calibri"/>
          <w:b/>
          <w:highlight w:val="yellow"/>
        </w:rPr>
      </w:pPr>
    </w:p>
    <w:p w14:paraId="071F8535" w14:textId="77777777" w:rsidR="0053724E" w:rsidRPr="00790B8F" w:rsidRDefault="0053724E" w:rsidP="0053724E">
      <w:pPr>
        <w:contextualSpacing/>
        <w:rPr>
          <w:b/>
          <w:i/>
          <w:iCs/>
          <w:color w:val="000000" w:themeColor="text1"/>
        </w:rPr>
      </w:pPr>
      <w:r w:rsidRPr="00790B8F">
        <w:rPr>
          <w:b/>
          <w:i/>
          <w:iCs/>
          <w:color w:val="000000" w:themeColor="text1"/>
        </w:rPr>
        <w:t>Analysis: Public Health Outcomes</w:t>
      </w:r>
    </w:p>
    <w:p w14:paraId="3DA07B0C" w14:textId="7D881855" w:rsidR="0053724E" w:rsidRPr="003A24BC" w:rsidRDefault="0053724E" w:rsidP="003A24BC">
      <w:pPr>
        <w:spacing w:line="259" w:lineRule="auto"/>
        <w:ind w:right="114"/>
        <w:rPr>
          <w:color w:val="000000" w:themeColor="text1"/>
        </w:rPr>
      </w:pPr>
      <w:r w:rsidRPr="00790B8F">
        <w:rPr>
          <w:color w:val="000000" w:themeColor="text1"/>
        </w:rPr>
        <w:t xml:space="preserve">Staff finds that the </w:t>
      </w:r>
      <w:r w:rsidR="001206D7" w:rsidRPr="00790B8F">
        <w:rPr>
          <w:color w:val="000000" w:themeColor="text1"/>
        </w:rPr>
        <w:t xml:space="preserve">Applicant’s plans to </w:t>
      </w:r>
      <w:r w:rsidR="00A44BC4" w:rsidRPr="00790B8F">
        <w:rPr>
          <w:color w:val="000000" w:themeColor="text1"/>
        </w:rPr>
        <w:t xml:space="preserve">analyze current quality outcomes, determine areas for improvement, and </w:t>
      </w:r>
      <w:r w:rsidR="000E2691" w:rsidRPr="00790B8F">
        <w:rPr>
          <w:color w:val="000000" w:themeColor="text1"/>
        </w:rPr>
        <w:t>enhance the capacity to admit higher acuity patients has the potential to improve health outcomes for patients</w:t>
      </w:r>
      <w:r w:rsidRPr="00790B8F">
        <w:rPr>
          <w:color w:val="000000" w:themeColor="text1"/>
        </w:rPr>
        <w:t>. Therefore, DoN Staff can conclude that the Proposed Project will likely meet the Public Health Outcomes component of Factor 2.</w:t>
      </w:r>
    </w:p>
    <w:p w14:paraId="3BBE1B06" w14:textId="77777777" w:rsidR="0053724E" w:rsidRPr="0053724E" w:rsidRDefault="0053724E" w:rsidP="00174F97">
      <w:pPr>
        <w:rPr>
          <w:rFonts w:eastAsia="Calibri"/>
          <w:b/>
        </w:rPr>
      </w:pPr>
    </w:p>
    <w:p w14:paraId="48C36289" w14:textId="5FA004C8" w:rsidR="00BA6C02" w:rsidRPr="00D22DED" w:rsidRDefault="00794127" w:rsidP="00D361BE">
      <w:pPr>
        <w:tabs>
          <w:tab w:val="left" w:pos="720"/>
        </w:tabs>
        <w:rPr>
          <w:rFonts w:eastAsia="Calibri"/>
          <w:b/>
        </w:rPr>
      </w:pPr>
      <w:r w:rsidRPr="0053724E">
        <w:rPr>
          <w:rFonts w:eastAsia="Calibri"/>
          <w:b/>
        </w:rPr>
        <w:t>Delivery System Transformation</w:t>
      </w:r>
    </w:p>
    <w:p w14:paraId="3ED277F1" w14:textId="23B4E281" w:rsidR="008668CA" w:rsidRDefault="008668CA" w:rsidP="00D361BE">
      <w:pPr>
        <w:rPr>
          <w:rFonts w:cs="Times New Roman"/>
        </w:rPr>
      </w:pPr>
      <w:r>
        <w:rPr>
          <w:rFonts w:cs="Times New Roman"/>
        </w:rPr>
        <w:t>The Hospital considers the</w:t>
      </w:r>
      <w:r w:rsidR="00D64AEA" w:rsidDel="000B644A">
        <w:rPr>
          <w:rFonts w:cs="Times New Roman"/>
        </w:rPr>
        <w:t xml:space="preserve"> needs and challenges </w:t>
      </w:r>
      <w:r w:rsidR="00C75AC3">
        <w:rPr>
          <w:rFonts w:cs="Times New Roman"/>
        </w:rPr>
        <w:t>along with</w:t>
      </w:r>
      <w:r w:rsidR="00166F77">
        <w:rPr>
          <w:rFonts w:cs="Times New Roman"/>
        </w:rPr>
        <w:t xml:space="preserve"> the patient’s </w:t>
      </w:r>
      <w:r w:rsidR="00D64AEA" w:rsidDel="000B644A">
        <w:rPr>
          <w:rFonts w:cs="Times New Roman"/>
        </w:rPr>
        <w:t>care continuum</w:t>
      </w:r>
      <w:r>
        <w:rPr>
          <w:rFonts w:cs="Times New Roman"/>
        </w:rPr>
        <w:t xml:space="preserve"> </w:t>
      </w:r>
      <w:r w:rsidR="00F006A0">
        <w:rPr>
          <w:rFonts w:cs="Times New Roman"/>
        </w:rPr>
        <w:t xml:space="preserve">and works to </w:t>
      </w:r>
      <w:r w:rsidR="00C75AC3">
        <w:rPr>
          <w:rFonts w:cs="Times New Roman"/>
        </w:rPr>
        <w:t xml:space="preserve">begin </w:t>
      </w:r>
      <w:r w:rsidR="00C75AC3" w:rsidDel="000B644A">
        <w:rPr>
          <w:rFonts w:cs="Times New Roman"/>
        </w:rPr>
        <w:t>identifying</w:t>
      </w:r>
      <w:r w:rsidR="00D64AEA" w:rsidDel="000B644A">
        <w:rPr>
          <w:rFonts w:cs="Times New Roman"/>
        </w:rPr>
        <w:t xml:space="preserve"> post-discharge challenges </w:t>
      </w:r>
      <w:r w:rsidR="00F006A0">
        <w:rPr>
          <w:rFonts w:cs="Times New Roman"/>
        </w:rPr>
        <w:t>upon</w:t>
      </w:r>
      <w:r w:rsidR="00D64AEA" w:rsidDel="000B644A">
        <w:rPr>
          <w:rFonts w:cs="Times New Roman"/>
        </w:rPr>
        <w:t xml:space="preserve"> patient </w:t>
      </w:r>
      <w:r w:rsidR="00F006A0">
        <w:rPr>
          <w:rFonts w:cs="Times New Roman"/>
        </w:rPr>
        <w:t>admission.</w:t>
      </w:r>
      <w:r w:rsidR="002D16A8" w:rsidDel="000B644A">
        <w:rPr>
          <w:rFonts w:cs="Times New Roman"/>
        </w:rPr>
        <w:t xml:space="preserve"> </w:t>
      </w:r>
      <w:r w:rsidR="00F006A0">
        <w:rPr>
          <w:rFonts w:cs="Times New Roman"/>
        </w:rPr>
        <w:t>For example, a</w:t>
      </w:r>
      <w:r w:rsidR="005233DB">
        <w:rPr>
          <w:rFonts w:cs="Times New Roman"/>
        </w:rPr>
        <w:t>s discussed in factor 1</w:t>
      </w:r>
      <w:r w:rsidR="005F4E5B">
        <w:rPr>
          <w:rFonts w:cs="Times New Roman"/>
        </w:rPr>
        <w:t>c, t</w:t>
      </w:r>
      <w:r w:rsidR="002D16A8">
        <w:rPr>
          <w:rFonts w:cs="Times New Roman"/>
        </w:rPr>
        <w:t xml:space="preserve">he Hospital holds regular interdisciplinary team meetings to discuss patient discharge needs, which enables case managers to coordinate with providers that will be involved with the patient’s post-discharge care.  Such regular communication between the Hospital and </w:t>
      </w:r>
      <w:r w:rsidR="008138A0">
        <w:rPr>
          <w:rFonts w:cs="Times New Roman"/>
        </w:rPr>
        <w:t>any identified potential post-</w:t>
      </w:r>
      <w:r w:rsidR="00FE714A">
        <w:rPr>
          <w:rFonts w:cs="Times New Roman"/>
        </w:rPr>
        <w:t xml:space="preserve">discharge </w:t>
      </w:r>
      <w:r w:rsidR="004F5084">
        <w:rPr>
          <w:rFonts w:cs="Times New Roman"/>
        </w:rPr>
        <w:t xml:space="preserve">provider </w:t>
      </w:r>
      <w:r w:rsidR="002D16A8">
        <w:rPr>
          <w:rFonts w:cs="Times New Roman"/>
        </w:rPr>
        <w:t xml:space="preserve">throughout the duration of a patient’s hospitalization </w:t>
      </w:r>
      <w:r w:rsidR="009A55CE">
        <w:rPr>
          <w:rFonts w:cs="Times New Roman"/>
        </w:rPr>
        <w:t>ensures</w:t>
      </w:r>
      <w:r w:rsidR="002D16A8">
        <w:rPr>
          <w:rFonts w:cs="Times New Roman"/>
        </w:rPr>
        <w:t xml:space="preserve"> that the appropriate providers and programs are involved and consulted well ahead of the patient’s discharge. </w:t>
      </w:r>
      <w:r>
        <w:rPr>
          <w:rFonts w:cs="Times New Roman"/>
        </w:rPr>
        <w:t>Additionally, the close proximity of the Meadows SNF to the Hospital enables both facilities to work cohesively for patients transitioning to Meadows SNF ahead of discharge.</w:t>
      </w:r>
    </w:p>
    <w:p w14:paraId="7920657F" w14:textId="77777777" w:rsidR="00D361BE" w:rsidRDefault="00D361BE" w:rsidP="00D361BE">
      <w:pPr>
        <w:rPr>
          <w:rFonts w:cs="Times New Roman"/>
        </w:rPr>
      </w:pPr>
    </w:p>
    <w:p w14:paraId="105E2573" w14:textId="5A69CE34" w:rsidR="002D16A8" w:rsidRDefault="002D16A8" w:rsidP="006871A2">
      <w:pPr>
        <w:rPr>
          <w:rFonts w:cs="Times New Roman"/>
        </w:rPr>
      </w:pPr>
      <w:r>
        <w:rPr>
          <w:rFonts w:cs="Times New Roman"/>
        </w:rPr>
        <w:lastRenderedPageBreak/>
        <w:t>Th</w:t>
      </w:r>
      <w:r w:rsidR="009A55CE">
        <w:rPr>
          <w:rFonts w:cs="Times New Roman"/>
        </w:rPr>
        <w:t xml:space="preserve">e discharge planning </w:t>
      </w:r>
      <w:r>
        <w:rPr>
          <w:rFonts w:cs="Times New Roman"/>
        </w:rPr>
        <w:t xml:space="preserve">process is </w:t>
      </w:r>
      <w:r w:rsidR="009A55CE">
        <w:rPr>
          <w:rFonts w:cs="Times New Roman"/>
        </w:rPr>
        <w:t>woven in</w:t>
      </w:r>
      <w:r w:rsidR="009E143D">
        <w:rPr>
          <w:rFonts w:cs="Times New Roman"/>
        </w:rPr>
        <w:t>to</w:t>
      </w:r>
      <w:r>
        <w:rPr>
          <w:rFonts w:cs="Times New Roman"/>
        </w:rPr>
        <w:t xml:space="preserve"> the Hospital’s policies and procedures</w:t>
      </w:r>
      <w:r w:rsidR="009E143D">
        <w:rPr>
          <w:rFonts w:cs="Times New Roman"/>
        </w:rPr>
        <w:t>. The process</w:t>
      </w:r>
      <w:r>
        <w:rPr>
          <w:rFonts w:cs="Times New Roman"/>
        </w:rPr>
        <w:t xml:space="preserve"> identifies </w:t>
      </w:r>
      <w:r w:rsidR="007F4DB7">
        <w:rPr>
          <w:rFonts w:cs="Times New Roman"/>
        </w:rPr>
        <w:t>many</w:t>
      </w:r>
      <w:r>
        <w:rPr>
          <w:rFonts w:cs="Times New Roman"/>
        </w:rPr>
        <w:t xml:space="preserve"> factors that </w:t>
      </w:r>
      <w:r w:rsidR="006871A2">
        <w:rPr>
          <w:rFonts w:cs="Times New Roman"/>
        </w:rPr>
        <w:t>could impact successful discharge</w:t>
      </w:r>
      <w:r>
        <w:rPr>
          <w:rFonts w:cs="Times New Roman"/>
        </w:rPr>
        <w:t xml:space="preserve">, </w:t>
      </w:r>
      <w:r w:rsidR="006871A2">
        <w:rPr>
          <w:rFonts w:cs="Times New Roman"/>
        </w:rPr>
        <w:t>including</w:t>
      </w:r>
      <w:r>
        <w:rPr>
          <w:rFonts w:cs="Times New Roman"/>
        </w:rPr>
        <w:t xml:space="preserve"> patient functionality, patient caregiver supports, financial and social support systems, sociocultural and religious practices, emotional and mental status, and social determinants of health (e.g. availability/accessibility to adequate housing and transportation, language barriers). </w:t>
      </w:r>
      <w:r w:rsidR="006871A2">
        <w:rPr>
          <w:rFonts w:cs="Times New Roman"/>
        </w:rPr>
        <w:t>T</w:t>
      </w:r>
      <w:r>
        <w:rPr>
          <w:rFonts w:cs="Times New Roman"/>
        </w:rPr>
        <w:t xml:space="preserve">o ensure continuity of care related to patient’s needs, the </w:t>
      </w:r>
      <w:r w:rsidR="006871A2">
        <w:rPr>
          <w:rFonts w:cs="Times New Roman"/>
        </w:rPr>
        <w:t xml:space="preserve">Hospital </w:t>
      </w:r>
      <w:r>
        <w:rPr>
          <w:rFonts w:cs="Times New Roman"/>
        </w:rPr>
        <w:t>makes r</w:t>
      </w:r>
      <w:r w:rsidRPr="00E43851">
        <w:rPr>
          <w:rFonts w:cs="Times New Roman"/>
        </w:rPr>
        <w:t>eferrals</w:t>
      </w:r>
      <w:r w:rsidR="006871A2">
        <w:rPr>
          <w:rFonts w:cs="Times New Roman"/>
        </w:rPr>
        <w:t xml:space="preserve"> when needed</w:t>
      </w:r>
      <w:r>
        <w:rPr>
          <w:rFonts w:cs="Times New Roman"/>
        </w:rPr>
        <w:t xml:space="preserve">, subject to patient choice and </w:t>
      </w:r>
      <w:r w:rsidRPr="00E43851">
        <w:rPr>
          <w:rFonts w:cs="Times New Roman"/>
        </w:rPr>
        <w:t>relevant to the discharge plan and patient goals/preferences of treatment, to extended care providers, community-based resources</w:t>
      </w:r>
      <w:r>
        <w:rPr>
          <w:rFonts w:cs="Times New Roman"/>
        </w:rPr>
        <w:t>, durable medical equipment,</w:t>
      </w:r>
      <w:r w:rsidRPr="00E43851">
        <w:rPr>
          <w:rFonts w:cs="Times New Roman"/>
        </w:rPr>
        <w:t xml:space="preserve"> and/or specialized ambulatory services (physical therapy, occupational therapy, home health, hospice, mental health, wound care,</w:t>
      </w:r>
      <w:r>
        <w:rPr>
          <w:rFonts w:cs="Times New Roman"/>
        </w:rPr>
        <w:t xml:space="preserve"> dialysis,</w:t>
      </w:r>
      <w:r w:rsidRPr="00E43851">
        <w:rPr>
          <w:rFonts w:cs="Times New Roman"/>
        </w:rPr>
        <w:t xml:space="preserve"> infusion clinics, </w:t>
      </w:r>
      <w:r>
        <w:rPr>
          <w:rFonts w:cs="Times New Roman"/>
        </w:rPr>
        <w:t xml:space="preserve">skilled nursing facility, etc.).  The Applicant recognizes that post-discharge care requires a variety of resources and works with home care agencies and non-providers as appropriate to address client’s other supportive needs (e.g., working with home improvement retailors to install in-home grab bars and other modifiers, provide special equipment).  </w:t>
      </w:r>
    </w:p>
    <w:p w14:paraId="06CF61A5" w14:textId="77777777" w:rsidR="002D16A8" w:rsidRDefault="002D16A8" w:rsidP="00D157F8">
      <w:pPr>
        <w:autoSpaceDE w:val="0"/>
        <w:autoSpaceDN w:val="0"/>
        <w:adjustRightInd w:val="0"/>
        <w:rPr>
          <w:rFonts w:cs="Times New Roman"/>
        </w:rPr>
      </w:pPr>
    </w:p>
    <w:p w14:paraId="5CE19CE4" w14:textId="6C97B121" w:rsidR="002D16A8" w:rsidRDefault="002D16A8" w:rsidP="00D157F8">
      <w:pPr>
        <w:autoSpaceDE w:val="0"/>
        <w:autoSpaceDN w:val="0"/>
        <w:adjustRightInd w:val="0"/>
        <w:rPr>
          <w:rFonts w:cs="Times New Roman"/>
        </w:rPr>
      </w:pPr>
      <w:r>
        <w:rPr>
          <w:rFonts w:cs="Times New Roman"/>
        </w:rPr>
        <w:t>The Applicant will also assist patients with s</w:t>
      </w:r>
      <w:r w:rsidRPr="008749CD">
        <w:rPr>
          <w:rFonts w:cs="Times New Roman"/>
        </w:rPr>
        <w:t xml:space="preserve">cheduling post-discharge follow-up appointments with primary care providers and/or specialists as applicable. </w:t>
      </w:r>
      <w:r>
        <w:rPr>
          <w:rFonts w:cs="Times New Roman"/>
        </w:rPr>
        <w:t xml:space="preserve">The Applicant ensures </w:t>
      </w:r>
      <w:r w:rsidRPr="008749CD">
        <w:rPr>
          <w:rFonts w:cs="Times New Roman"/>
        </w:rPr>
        <w:t xml:space="preserve">the transfer of medically necessary information for continuity of care for post-discharge services and/or follow-up needs of </w:t>
      </w:r>
      <w:r w:rsidR="00C52F2B">
        <w:rPr>
          <w:rFonts w:cs="Times New Roman"/>
        </w:rPr>
        <w:t xml:space="preserve">the </w:t>
      </w:r>
      <w:r w:rsidRPr="008749CD">
        <w:rPr>
          <w:rFonts w:cs="Times New Roman"/>
        </w:rPr>
        <w:t>patient</w:t>
      </w:r>
      <w:r>
        <w:rPr>
          <w:rFonts w:cs="Times New Roman"/>
        </w:rPr>
        <w:t xml:space="preserve">.  The Applicant will also provide relevant training to the patient and designated supportive caregiver as applicable.   </w:t>
      </w:r>
    </w:p>
    <w:p w14:paraId="6CAF0712" w14:textId="77777777" w:rsidR="00090D28" w:rsidRDefault="00090D28" w:rsidP="00D157F8">
      <w:pPr>
        <w:autoSpaceDE w:val="0"/>
        <w:autoSpaceDN w:val="0"/>
        <w:adjustRightInd w:val="0"/>
        <w:rPr>
          <w:rFonts w:cs="Times New Roman"/>
        </w:rPr>
      </w:pPr>
    </w:p>
    <w:p w14:paraId="5BF864CC" w14:textId="69297471" w:rsidR="00090D28" w:rsidRDefault="006871A2" w:rsidP="00090D28">
      <w:pPr>
        <w:pStyle w:val="ListParagraph"/>
        <w:spacing w:after="0" w:line="240" w:lineRule="auto"/>
        <w:ind w:left="0"/>
        <w:rPr>
          <w:sz w:val="24"/>
          <w:szCs w:val="24"/>
        </w:rPr>
      </w:pPr>
      <w:r>
        <w:rPr>
          <w:rFonts w:cs="Times New Roman"/>
          <w:sz w:val="24"/>
          <w:szCs w:val="24"/>
        </w:rPr>
        <w:t xml:space="preserve">In addition to these processes that are already in place to address </w:t>
      </w:r>
      <w:r w:rsidR="009177E5">
        <w:rPr>
          <w:rFonts w:cs="Times New Roman"/>
          <w:sz w:val="24"/>
          <w:szCs w:val="24"/>
        </w:rPr>
        <w:t xml:space="preserve">patients’ </w:t>
      </w:r>
      <w:r>
        <w:rPr>
          <w:rFonts w:cs="Times New Roman"/>
          <w:sz w:val="24"/>
          <w:szCs w:val="24"/>
        </w:rPr>
        <w:t>SDoH</w:t>
      </w:r>
      <w:r w:rsidR="0064230F">
        <w:rPr>
          <w:rFonts w:cs="Times New Roman"/>
          <w:sz w:val="24"/>
          <w:szCs w:val="24"/>
        </w:rPr>
        <w:t>, t</w:t>
      </w:r>
      <w:r w:rsidR="00090D28" w:rsidRPr="00CB1027">
        <w:rPr>
          <w:rFonts w:cs="Times New Roman"/>
          <w:sz w:val="24"/>
          <w:szCs w:val="24"/>
        </w:rPr>
        <w:t xml:space="preserve">he Applicant stated its </w:t>
      </w:r>
      <w:r w:rsidR="0064230F">
        <w:rPr>
          <w:rFonts w:cs="Times New Roman"/>
          <w:sz w:val="24"/>
          <w:szCs w:val="24"/>
        </w:rPr>
        <w:t>plan to</w:t>
      </w:r>
      <w:r w:rsidR="00090D28" w:rsidRPr="00CB1027">
        <w:rPr>
          <w:rFonts w:cs="Times New Roman"/>
          <w:sz w:val="24"/>
          <w:szCs w:val="24"/>
        </w:rPr>
        <w:t xml:space="preserve"> explor</w:t>
      </w:r>
      <w:r w:rsidR="0064230F">
        <w:rPr>
          <w:rFonts w:cs="Times New Roman"/>
          <w:sz w:val="24"/>
          <w:szCs w:val="24"/>
        </w:rPr>
        <w:t>e</w:t>
      </w:r>
      <w:r w:rsidR="00090D28" w:rsidRPr="00CB1027">
        <w:rPr>
          <w:rFonts w:cs="Times New Roman"/>
          <w:sz w:val="24"/>
          <w:szCs w:val="24"/>
        </w:rPr>
        <w:t xml:space="preserve"> additional opportunities to expand its contributions in the local community</w:t>
      </w:r>
      <w:r w:rsidR="001F31FA">
        <w:rPr>
          <w:rFonts w:cs="Times New Roman"/>
          <w:sz w:val="24"/>
          <w:szCs w:val="24"/>
        </w:rPr>
        <w:t xml:space="preserve"> after the Proposed Project has completed</w:t>
      </w:r>
      <w:r w:rsidR="00090D28" w:rsidRPr="00CB1027">
        <w:rPr>
          <w:rFonts w:cs="Times New Roman"/>
          <w:sz w:val="24"/>
          <w:szCs w:val="24"/>
        </w:rPr>
        <w:t xml:space="preserve">.  </w:t>
      </w:r>
      <w:r w:rsidR="00090D28">
        <w:rPr>
          <w:rFonts w:cs="Times New Roman"/>
          <w:sz w:val="24"/>
          <w:szCs w:val="24"/>
        </w:rPr>
        <w:t>A</w:t>
      </w:r>
      <w:r w:rsidR="00090D28" w:rsidRPr="615C7083">
        <w:rPr>
          <w:sz w:val="24"/>
          <w:szCs w:val="24"/>
        </w:rPr>
        <w:t xml:space="preserve">lthough it serves a Patient Panel from a broad geographic area, the Hospital is in a rural area with limited public transportation access. As a result, the Applicant plans to implement transportation services programs for eligible patients and their families with access challenges. This includes connecting with local hotels to develop potential discounts so that families and friends can be local while their loved ones are in the Hospital.  </w:t>
      </w:r>
    </w:p>
    <w:p w14:paraId="0A117D16" w14:textId="77777777" w:rsidR="00090D28" w:rsidRPr="008749CD" w:rsidRDefault="00090D28" w:rsidP="00D157F8">
      <w:pPr>
        <w:autoSpaceDE w:val="0"/>
        <w:autoSpaceDN w:val="0"/>
        <w:adjustRightInd w:val="0"/>
        <w:rPr>
          <w:rFonts w:cs="Times New Roman"/>
        </w:rPr>
      </w:pPr>
    </w:p>
    <w:p w14:paraId="58905D8C" w14:textId="564CC3E3" w:rsidR="0037053A" w:rsidRDefault="0037053A" w:rsidP="00174F97">
      <w:pPr>
        <w:rPr>
          <w:rFonts w:cs="Times New Roman"/>
        </w:rPr>
      </w:pPr>
    </w:p>
    <w:p w14:paraId="0608ECCE" w14:textId="61174279" w:rsidR="00F31C84" w:rsidRPr="00CB20F0" w:rsidRDefault="00F31C84" w:rsidP="00F31C84">
      <w:pPr>
        <w:rPr>
          <w:b/>
          <w:bCs/>
          <w:color w:val="000000" w:themeColor="text1"/>
        </w:rPr>
      </w:pPr>
      <w:r w:rsidRPr="00CB20F0">
        <w:rPr>
          <w:b/>
          <w:i/>
          <w:iCs/>
          <w:color w:val="000000" w:themeColor="text1"/>
        </w:rPr>
        <w:t>Analysis</w:t>
      </w:r>
      <w:r w:rsidR="008379B8">
        <w:rPr>
          <w:b/>
          <w:i/>
          <w:iCs/>
          <w:color w:val="000000" w:themeColor="text1"/>
        </w:rPr>
        <w:t>: System Delivery Transformation</w:t>
      </w:r>
    </w:p>
    <w:p w14:paraId="1F714267" w14:textId="3E9A6B1E" w:rsidR="00F31C84" w:rsidRPr="002A3EEE" w:rsidRDefault="00F31C84" w:rsidP="00F31C84">
      <w:pPr>
        <w:spacing w:line="259" w:lineRule="auto"/>
        <w:ind w:right="114"/>
        <w:rPr>
          <w:color w:val="000000" w:themeColor="text1"/>
        </w:rPr>
      </w:pPr>
      <w:r w:rsidRPr="00CB20F0">
        <w:rPr>
          <w:bCs/>
          <w:color w:val="000000" w:themeColor="text1"/>
        </w:rPr>
        <w:t xml:space="preserve">Central to the goal of Delivery System Transformation is the integration of social services and community-based expertise. The Applicant </w:t>
      </w:r>
      <w:r w:rsidR="00CE284D" w:rsidRPr="00CB20F0">
        <w:rPr>
          <w:bCs/>
          <w:color w:val="000000" w:themeColor="text1"/>
        </w:rPr>
        <w:t xml:space="preserve">has a discharge process </w:t>
      </w:r>
      <w:r w:rsidR="003534C1" w:rsidRPr="00CB20F0">
        <w:rPr>
          <w:bCs/>
          <w:color w:val="000000" w:themeColor="text1"/>
        </w:rPr>
        <w:t>embedded in its policies to incorporate</w:t>
      </w:r>
      <w:r w:rsidRPr="00CB20F0">
        <w:rPr>
          <w:bCs/>
          <w:color w:val="000000" w:themeColor="text1"/>
        </w:rPr>
        <w:t xml:space="preserve"> SDoH factors </w:t>
      </w:r>
      <w:r w:rsidR="003534C1" w:rsidRPr="00CB20F0">
        <w:rPr>
          <w:bCs/>
          <w:color w:val="000000" w:themeColor="text1"/>
        </w:rPr>
        <w:t>linkages</w:t>
      </w:r>
      <w:r w:rsidRPr="00CB20F0">
        <w:rPr>
          <w:bCs/>
          <w:color w:val="000000" w:themeColor="text1"/>
        </w:rPr>
        <w:t xml:space="preserve"> to needed community resources</w:t>
      </w:r>
      <w:r w:rsidR="003534C1" w:rsidRPr="00CB20F0">
        <w:rPr>
          <w:bCs/>
          <w:color w:val="000000" w:themeColor="text1"/>
        </w:rPr>
        <w:t xml:space="preserve"> as part of its discharge planning process</w:t>
      </w:r>
      <w:r w:rsidRPr="00CB20F0">
        <w:rPr>
          <w:bCs/>
          <w:color w:val="000000" w:themeColor="text1"/>
        </w:rPr>
        <w:t xml:space="preserve">. </w:t>
      </w:r>
      <w:r w:rsidR="003534C1" w:rsidRPr="00CB20F0">
        <w:rPr>
          <w:bCs/>
          <w:color w:val="000000" w:themeColor="text1"/>
        </w:rPr>
        <w:t xml:space="preserve">The Applicant also has plans to expand its community </w:t>
      </w:r>
      <w:r w:rsidR="009E449E" w:rsidRPr="00CB20F0">
        <w:rPr>
          <w:bCs/>
          <w:color w:val="000000" w:themeColor="text1"/>
        </w:rPr>
        <w:t xml:space="preserve">resources in order to </w:t>
      </w:r>
      <w:r w:rsidR="00CB20F0" w:rsidRPr="00CB20F0">
        <w:rPr>
          <w:bCs/>
          <w:color w:val="000000" w:themeColor="text1"/>
        </w:rPr>
        <w:t xml:space="preserve">improve patients’ access to resources. </w:t>
      </w:r>
      <w:r w:rsidRPr="00CB20F0">
        <w:rPr>
          <w:color w:val="000000" w:themeColor="text1"/>
        </w:rPr>
        <w:t>Therefore, DoN Staff can conclude that the Proposed Project will likely meet the Delivery System Transformation component of Factor 2.</w:t>
      </w:r>
    </w:p>
    <w:p w14:paraId="50E7203F" w14:textId="77777777" w:rsidR="00D64AEA" w:rsidRPr="00E53597" w:rsidRDefault="00D64AEA" w:rsidP="00174F97">
      <w:pPr>
        <w:rPr>
          <w:rFonts w:eastAsia="Calibri"/>
          <w:highlight w:val="yellow"/>
        </w:rPr>
      </w:pPr>
    </w:p>
    <w:p w14:paraId="74837248" w14:textId="77777777" w:rsidR="008379B8" w:rsidRPr="008379B8" w:rsidRDefault="008379B8" w:rsidP="008379B8">
      <w:pPr>
        <w:pStyle w:val="Heading1"/>
        <w:spacing w:before="0" w:line="240" w:lineRule="auto"/>
        <w:ind w:left="180"/>
        <w:rPr>
          <w:rFonts w:asciiTheme="minorHAnsi" w:hAnsiTheme="minorHAnsi" w:cstheme="minorHAnsi"/>
          <w:b w:val="0"/>
          <w:bCs w:val="0"/>
          <w:sz w:val="24"/>
          <w:szCs w:val="24"/>
        </w:rPr>
      </w:pPr>
      <w:bookmarkStart w:id="77" w:name="_Toc99993060"/>
      <w:bookmarkStart w:id="78" w:name="_Toc144207776"/>
      <w:bookmarkStart w:id="79" w:name="_Toc192247637"/>
      <w:bookmarkStart w:id="80" w:name="_Toc203037136"/>
      <w:bookmarkStart w:id="81" w:name="_Toc17748725"/>
      <w:bookmarkStart w:id="82" w:name="_Toc17748726"/>
      <w:r w:rsidRPr="008379B8">
        <w:rPr>
          <w:rFonts w:asciiTheme="minorHAnsi" w:hAnsiTheme="minorHAnsi" w:cstheme="minorHAnsi"/>
          <w:b w:val="0"/>
          <w:sz w:val="24"/>
          <w:szCs w:val="24"/>
        </w:rPr>
        <w:t>Summary, FACTOR 2</w:t>
      </w:r>
      <w:bookmarkEnd w:id="77"/>
      <w:bookmarkEnd w:id="78"/>
      <w:bookmarkEnd w:id="79"/>
      <w:bookmarkEnd w:id="80"/>
      <w:r w:rsidRPr="008379B8">
        <w:rPr>
          <w:rFonts w:asciiTheme="minorHAnsi" w:hAnsiTheme="minorHAnsi" w:cstheme="minorHAnsi"/>
          <w:b w:val="0"/>
          <w:sz w:val="24"/>
          <w:szCs w:val="24"/>
        </w:rPr>
        <w:t xml:space="preserve"> </w:t>
      </w:r>
    </w:p>
    <w:p w14:paraId="71C41B54" w14:textId="15EDBE39" w:rsidR="008379B8" w:rsidRPr="00CF443C" w:rsidRDefault="008379B8" w:rsidP="008379B8">
      <w:pPr>
        <w:tabs>
          <w:tab w:val="left" w:pos="3240"/>
        </w:tabs>
        <w:ind w:left="180"/>
      </w:pPr>
      <w:r w:rsidRPr="00CF443C">
        <w:t xml:space="preserve">As a result of </w:t>
      </w:r>
      <w:r w:rsidR="00C52F2B" w:rsidRPr="00CF443C">
        <w:t>the information</w:t>
      </w:r>
      <w:r w:rsidRPr="00CF443C">
        <w:t xml:space="preserve"> provided, staff finds that the Proposed Project has sufficiently met the requirements of Factor 2.</w:t>
      </w:r>
    </w:p>
    <w:p w14:paraId="2F22143A" w14:textId="77777777" w:rsidR="004D508A" w:rsidRPr="00E53597" w:rsidRDefault="004D508A" w:rsidP="005D1C6E">
      <w:pPr>
        <w:contextualSpacing/>
        <w:rPr>
          <w:rFonts w:ascii="Garamond" w:eastAsia="Calibri" w:hAnsi="Garamond"/>
          <w:bCs/>
          <w:highlight w:val="yellow"/>
        </w:rPr>
      </w:pPr>
    </w:p>
    <w:p w14:paraId="0FD849BB" w14:textId="610D225D" w:rsidR="00DE4CD3" w:rsidRPr="008379B8" w:rsidRDefault="002D535F" w:rsidP="00A644DA">
      <w:pPr>
        <w:pStyle w:val="Heading1"/>
        <w:spacing w:before="0" w:line="240" w:lineRule="auto"/>
        <w:contextualSpacing/>
        <w:rPr>
          <w:rFonts w:asciiTheme="minorHAnsi" w:hAnsiTheme="minorHAnsi" w:cstheme="minorBidi"/>
        </w:rPr>
      </w:pPr>
      <w:bookmarkStart w:id="83" w:name="_Toc157428835"/>
      <w:bookmarkStart w:id="84" w:name="_Toc169264793"/>
      <w:bookmarkStart w:id="85" w:name="_Toc203037137"/>
      <w:r w:rsidRPr="00E53597">
        <w:rPr>
          <w:rFonts w:asciiTheme="minorHAnsi" w:hAnsiTheme="minorHAnsi" w:cstheme="minorBidi"/>
        </w:rPr>
        <w:lastRenderedPageBreak/>
        <w:t>Factor 3: Relevant Licensure/Oversight Compliance</w:t>
      </w:r>
      <w:bookmarkEnd w:id="81"/>
      <w:bookmarkEnd w:id="83"/>
      <w:bookmarkEnd w:id="84"/>
      <w:bookmarkEnd w:id="85"/>
      <w:r w:rsidR="008F1B14" w:rsidRPr="00E53597">
        <w:rPr>
          <w:rFonts w:asciiTheme="minorHAnsi" w:hAnsiTheme="minorHAnsi" w:cstheme="minorBidi"/>
        </w:rPr>
        <w:t xml:space="preserve"> </w:t>
      </w:r>
    </w:p>
    <w:p w14:paraId="685EFDFE" w14:textId="564693CA" w:rsidR="002D535F" w:rsidRPr="00E53597" w:rsidRDefault="5E2AB898" w:rsidP="005D1C6E">
      <w:pPr>
        <w:contextualSpacing/>
      </w:pPr>
      <w:r w:rsidRPr="00E53597">
        <w:t xml:space="preserve">The Applicant has provided evidence of compliance and good standing with federal, state, and local laws and regulations and </w:t>
      </w:r>
      <w:r w:rsidR="4F1AAE1E" w:rsidRPr="00E53597">
        <w:t xml:space="preserve">this Factor </w:t>
      </w:r>
      <w:r w:rsidRPr="00E53597">
        <w:t>will not be addressed further in this report. As a result of information provided by the Applicant, staff finds the Applicant has reasonably met the standards of Factor 3.</w:t>
      </w:r>
    </w:p>
    <w:p w14:paraId="745D1D6C" w14:textId="77777777" w:rsidR="004E3B63" w:rsidRPr="00E53597" w:rsidRDefault="004E3B63" w:rsidP="005D1C6E">
      <w:pPr>
        <w:pStyle w:val="Heading1"/>
        <w:spacing w:before="0" w:line="240" w:lineRule="auto"/>
        <w:contextualSpacing/>
        <w:rPr>
          <w:rFonts w:ascii="Garamond" w:hAnsi="Garamond"/>
          <w:highlight w:val="yellow"/>
        </w:rPr>
      </w:pPr>
    </w:p>
    <w:p w14:paraId="215ABF9D" w14:textId="516ED3F3" w:rsidR="00A644DA" w:rsidRPr="008379B8" w:rsidRDefault="002D535F" w:rsidP="008379B8">
      <w:pPr>
        <w:pStyle w:val="Heading1"/>
        <w:spacing w:before="0" w:line="240" w:lineRule="auto"/>
        <w:contextualSpacing/>
        <w:rPr>
          <w:rFonts w:asciiTheme="minorHAnsi" w:hAnsiTheme="minorHAnsi" w:cstheme="minorBidi"/>
        </w:rPr>
      </w:pPr>
      <w:bookmarkStart w:id="86" w:name="_Toc157428836"/>
      <w:bookmarkStart w:id="87" w:name="_Toc169264794"/>
      <w:bookmarkStart w:id="88" w:name="_Toc203037138"/>
      <w:r w:rsidRPr="00222DC3">
        <w:rPr>
          <w:rFonts w:asciiTheme="minorHAnsi" w:hAnsiTheme="minorHAnsi" w:cstheme="minorBidi"/>
        </w:rPr>
        <w:t>Factor 4: Demonstration of Sufficient Funds Independent CPA Analysis</w:t>
      </w:r>
      <w:bookmarkEnd w:id="82"/>
      <w:bookmarkEnd w:id="86"/>
      <w:bookmarkEnd w:id="87"/>
      <w:bookmarkEnd w:id="88"/>
      <w:r w:rsidR="00983114" w:rsidRPr="00222DC3">
        <w:rPr>
          <w:rFonts w:asciiTheme="minorHAnsi" w:hAnsiTheme="minorHAnsi" w:cstheme="minorBidi"/>
        </w:rPr>
        <w:t xml:space="preserve"> </w:t>
      </w:r>
    </w:p>
    <w:p w14:paraId="1D5553DD" w14:textId="3C92AB9F" w:rsidR="00940CC4" w:rsidRPr="00222DC3" w:rsidRDefault="00940CC4" w:rsidP="00174F97">
      <w:pPr>
        <w:spacing w:after="160"/>
        <w:rPr>
          <w:rFonts w:eastAsia="Aptos"/>
        </w:rPr>
      </w:pPr>
      <w:r w:rsidRPr="00222DC3">
        <w:rPr>
          <w:rFonts w:eastAsia="Aptos"/>
        </w:rPr>
        <w:t>Under factor 4, the Applicant must demonstrate that it has sufficient funds available for capital and operating costs necessary to support the Proposed Project without negative effects or consequences to the existing Patient Panel. Documentation sufficient to make suc</w:t>
      </w:r>
      <w:r w:rsidR="001377F3" w:rsidRPr="00222DC3">
        <w:rPr>
          <w:rFonts w:eastAsia="Aptos"/>
        </w:rPr>
        <w:t xml:space="preserve">h </w:t>
      </w:r>
      <w:r w:rsidR="00174F97" w:rsidRPr="00222DC3">
        <w:rPr>
          <w:rFonts w:eastAsia="Aptos"/>
        </w:rPr>
        <w:t>a finding</w:t>
      </w:r>
      <w:r w:rsidRPr="00222DC3">
        <w:rPr>
          <w:rFonts w:eastAsia="Aptos"/>
        </w:rPr>
        <w:t xml:space="preserve"> must be supported by an analysis by an independent CPA. </w:t>
      </w:r>
    </w:p>
    <w:p w14:paraId="303244E6" w14:textId="2B2DEE3D" w:rsidR="00940CC4" w:rsidRPr="002D38AA" w:rsidRDefault="00940CC4" w:rsidP="002D38AA">
      <w:pPr>
        <w:spacing w:after="160"/>
        <w:rPr>
          <w:rFonts w:eastAsia="Aptos"/>
        </w:rPr>
      </w:pPr>
      <w:r w:rsidRPr="002D38AA">
        <w:rPr>
          <w:rFonts w:eastAsia="Aptos"/>
        </w:rPr>
        <w:t xml:space="preserve">The CPA analysis included a review of </w:t>
      </w:r>
      <w:r w:rsidR="00075DBB">
        <w:rPr>
          <w:rFonts w:eastAsia="Aptos"/>
        </w:rPr>
        <w:t xml:space="preserve">numerous documents </w:t>
      </w:r>
      <w:r w:rsidR="00075DBB" w:rsidRPr="008440BF">
        <w:t>in order to form an opinion as to the reasonableness and feasibility of the projections regarding the Proposed Project including</w:t>
      </w:r>
      <w:r w:rsidR="00075DBB">
        <w:t>:</w:t>
      </w:r>
      <w:r w:rsidR="00075DBB" w:rsidRPr="002D38AA">
        <w:rPr>
          <w:rFonts w:eastAsia="Aptos"/>
        </w:rPr>
        <w:t xml:space="preserve"> </w:t>
      </w:r>
      <w:r w:rsidR="00836828" w:rsidRPr="002D38AA">
        <w:rPr>
          <w:rFonts w:eastAsia="Aptos"/>
        </w:rPr>
        <w:t xml:space="preserve">the Financial Model </w:t>
      </w:r>
      <w:r w:rsidR="009A571B" w:rsidRPr="002D38AA">
        <w:rPr>
          <w:rFonts w:eastAsia="Aptos"/>
        </w:rPr>
        <w:t>for 2025-2029</w:t>
      </w:r>
      <w:r w:rsidR="002D38AA">
        <w:rPr>
          <w:rFonts w:eastAsia="Aptos"/>
        </w:rPr>
        <w:t>;</w:t>
      </w:r>
      <w:r w:rsidR="009A571B" w:rsidRPr="002D38AA">
        <w:rPr>
          <w:rFonts w:eastAsia="Aptos"/>
        </w:rPr>
        <w:t xml:space="preserve"> Financial Statements from 2019-2023</w:t>
      </w:r>
      <w:r w:rsidR="002D38AA">
        <w:rPr>
          <w:rFonts w:eastAsia="Aptos"/>
        </w:rPr>
        <w:t xml:space="preserve">; </w:t>
      </w:r>
      <w:r w:rsidR="008E1DAE" w:rsidRPr="002D38AA">
        <w:rPr>
          <w:rFonts w:eastAsia="Aptos"/>
        </w:rPr>
        <w:t>Census, Admission and Discharge Data 2019-2023</w:t>
      </w:r>
      <w:r w:rsidR="002D38AA">
        <w:rPr>
          <w:rFonts w:eastAsia="Aptos"/>
        </w:rPr>
        <w:t>;</w:t>
      </w:r>
      <w:r w:rsidR="002D38AA" w:rsidRPr="002D38AA">
        <w:rPr>
          <w:rFonts w:eastAsia="Aptos"/>
        </w:rPr>
        <w:t xml:space="preserve"> and documents relevant to reimbursement rates.</w:t>
      </w:r>
      <w:r w:rsidR="0022245E">
        <w:rPr>
          <w:rFonts w:eastAsia="Aptos"/>
        </w:rPr>
        <w:t xml:space="preserve"> </w:t>
      </w:r>
      <w:r w:rsidR="0022245E" w:rsidRPr="008440BF">
        <w:t>The CPA assessed the reasonableness</w:t>
      </w:r>
      <w:r w:rsidR="0022245E" w:rsidRPr="008440BF">
        <w:rPr>
          <w:rStyle w:val="FootnoteReference"/>
        </w:rPr>
        <w:footnoteReference w:id="15"/>
      </w:r>
      <w:r w:rsidR="0022245E" w:rsidRPr="008440BF">
        <w:t xml:space="preserve"> of assumptions used in the preparation and feasibility</w:t>
      </w:r>
      <w:r w:rsidR="0022245E" w:rsidRPr="008440BF">
        <w:rPr>
          <w:rStyle w:val="FootnoteReference"/>
        </w:rPr>
        <w:footnoteReference w:id="16"/>
      </w:r>
      <w:r w:rsidR="0022245E" w:rsidRPr="008440BF">
        <w:t xml:space="preserve"> of the projections with regards to the </w:t>
      </w:r>
      <w:r w:rsidR="0022245E" w:rsidRPr="0022245E">
        <w:t xml:space="preserve">Proposed Project. </w:t>
      </w:r>
    </w:p>
    <w:p w14:paraId="0AEEE481" w14:textId="5272422B" w:rsidR="00940CC4" w:rsidRPr="006F4383" w:rsidRDefault="44C8D818" w:rsidP="008379B8">
      <w:pPr>
        <w:rPr>
          <w:rFonts w:eastAsia="Aptos"/>
          <w:bCs/>
        </w:rPr>
      </w:pPr>
      <w:r w:rsidRPr="006F4383">
        <w:rPr>
          <w:rFonts w:eastAsia="Aptos"/>
          <w:b/>
          <w:bCs/>
        </w:rPr>
        <w:t>Revenues</w:t>
      </w:r>
    </w:p>
    <w:p w14:paraId="71A650CD" w14:textId="3419FF09" w:rsidR="00940CC4" w:rsidRDefault="00940CC4" w:rsidP="008379B8">
      <w:pPr>
        <w:rPr>
          <w:rFonts w:eastAsia="Aptos"/>
        </w:rPr>
      </w:pPr>
      <w:r w:rsidRPr="00623B34">
        <w:rPr>
          <w:rFonts w:eastAsia="Aptos"/>
        </w:rPr>
        <w:t xml:space="preserve">Projected </w:t>
      </w:r>
      <w:r w:rsidR="004D7079">
        <w:rPr>
          <w:rFonts w:eastAsia="Aptos"/>
        </w:rPr>
        <w:t>total</w:t>
      </w:r>
      <w:r w:rsidR="00CE3F8B">
        <w:rPr>
          <w:rFonts w:eastAsia="Aptos"/>
        </w:rPr>
        <w:t xml:space="preserve"> </w:t>
      </w:r>
      <w:r w:rsidRPr="00623B34">
        <w:rPr>
          <w:rFonts w:eastAsia="Aptos"/>
        </w:rPr>
        <w:t xml:space="preserve">revenue is </w:t>
      </w:r>
      <w:r w:rsidR="00623B34">
        <w:rPr>
          <w:rFonts w:eastAsia="Aptos"/>
        </w:rPr>
        <w:t>projected</w:t>
      </w:r>
      <w:r w:rsidRPr="00623B34">
        <w:rPr>
          <w:rFonts w:eastAsia="Aptos"/>
        </w:rPr>
        <w:t xml:space="preserve"> to grow </w:t>
      </w:r>
      <w:r w:rsidR="00636834">
        <w:rPr>
          <w:rFonts w:eastAsia="Aptos"/>
        </w:rPr>
        <w:t xml:space="preserve">by 47% from </w:t>
      </w:r>
      <w:r w:rsidR="00390A1A">
        <w:rPr>
          <w:rFonts w:eastAsia="Aptos"/>
        </w:rPr>
        <w:t>2025-2029</w:t>
      </w:r>
      <w:r w:rsidR="00623B34" w:rsidRPr="00623B34">
        <w:rPr>
          <w:rFonts w:eastAsia="Aptos"/>
        </w:rPr>
        <w:t xml:space="preserve">. </w:t>
      </w:r>
      <w:r w:rsidR="00390A1A">
        <w:rPr>
          <w:rFonts w:eastAsia="Aptos"/>
        </w:rPr>
        <w:t>Increases in gross revenue are</w:t>
      </w:r>
      <w:r w:rsidR="00CE3F8B">
        <w:rPr>
          <w:rFonts w:eastAsia="Aptos"/>
        </w:rPr>
        <w:t xml:space="preserve"> driven by gains in patient </w:t>
      </w:r>
      <w:r w:rsidR="00CE3F8B" w:rsidRPr="00BC7896">
        <w:rPr>
          <w:rFonts w:eastAsia="Aptos"/>
        </w:rPr>
        <w:t>occupancy, as</w:t>
      </w:r>
      <w:r w:rsidR="0016356D">
        <w:rPr>
          <w:rFonts w:eastAsia="Aptos"/>
        </w:rPr>
        <w:t xml:space="preserve"> the Hospital</w:t>
      </w:r>
      <w:r w:rsidR="00CE3F8B" w:rsidRPr="00BC7896">
        <w:rPr>
          <w:rFonts w:eastAsia="Aptos"/>
        </w:rPr>
        <w:t xml:space="preserve"> is currently operating at only 50% occupancy</w:t>
      </w:r>
      <w:r w:rsidR="00C00BF2">
        <w:rPr>
          <w:rFonts w:eastAsia="Aptos"/>
        </w:rPr>
        <w:t xml:space="preserve">. </w:t>
      </w:r>
      <w:r w:rsidR="00BC7896" w:rsidRPr="00BC7896">
        <w:rPr>
          <w:rFonts w:eastAsia="Aptos"/>
        </w:rPr>
        <w:t>I</w:t>
      </w:r>
      <w:r w:rsidRPr="00BC7896">
        <w:rPr>
          <w:rFonts w:eastAsia="Aptos"/>
        </w:rPr>
        <w:t xml:space="preserve">n order to determine the reasonableness of the projected revenue, the CPA reviewed the underlying assumptions </w:t>
      </w:r>
      <w:r w:rsidRPr="00ED6A94">
        <w:rPr>
          <w:rFonts w:eastAsia="Aptos"/>
        </w:rPr>
        <w:t>upon which Management relied that includes historical operating results. As a result of the analysis, the CPA conclude</w:t>
      </w:r>
      <w:r w:rsidR="00BC7896" w:rsidRPr="00ED6A94">
        <w:rPr>
          <w:rFonts w:eastAsia="Aptos"/>
        </w:rPr>
        <w:t>d</w:t>
      </w:r>
      <w:r w:rsidRPr="00ED6A94">
        <w:rPr>
          <w:rFonts w:eastAsia="Aptos"/>
        </w:rPr>
        <w:t xml:space="preserve"> that the revenue growth projected by the Applicant reflects a reasonable estimation of future revenue of </w:t>
      </w:r>
      <w:r w:rsidR="00BC7896" w:rsidRPr="00ED6A94">
        <w:rPr>
          <w:rFonts w:eastAsia="Aptos"/>
        </w:rPr>
        <w:t>the Applicant</w:t>
      </w:r>
      <w:r w:rsidRPr="00ED6A94">
        <w:rPr>
          <w:rFonts w:eastAsia="Aptos"/>
        </w:rPr>
        <w:t>.</w:t>
      </w:r>
    </w:p>
    <w:p w14:paraId="0D4D2C53" w14:textId="77777777" w:rsidR="008379B8" w:rsidRPr="00ED6A94" w:rsidRDefault="008379B8" w:rsidP="008379B8">
      <w:pPr>
        <w:rPr>
          <w:rFonts w:eastAsia="Aptos"/>
          <w:highlight w:val="yellow"/>
        </w:rPr>
      </w:pPr>
    </w:p>
    <w:p w14:paraId="1476C89A" w14:textId="77777777" w:rsidR="00940CC4" w:rsidRPr="00ED6A94" w:rsidRDefault="00940CC4" w:rsidP="008379B8">
      <w:pPr>
        <w:rPr>
          <w:rFonts w:eastAsia="Aptos"/>
          <w:b/>
          <w:bCs/>
        </w:rPr>
      </w:pPr>
      <w:r w:rsidRPr="00ED6A94">
        <w:rPr>
          <w:rFonts w:eastAsia="Aptos"/>
          <w:b/>
          <w:bCs/>
        </w:rPr>
        <w:t>Expenses</w:t>
      </w:r>
    </w:p>
    <w:p w14:paraId="0C64D2D0" w14:textId="460F5FF2" w:rsidR="00A644DA" w:rsidRPr="00ED6A94" w:rsidRDefault="44C8D818" w:rsidP="008379B8">
      <w:pPr>
        <w:rPr>
          <w:rFonts w:eastAsia="Aptos"/>
          <w:highlight w:val="yellow"/>
        </w:rPr>
      </w:pPr>
      <w:r w:rsidRPr="00ED6A94">
        <w:rPr>
          <w:rFonts w:eastAsia="Aptos"/>
        </w:rPr>
        <w:t xml:space="preserve">Total expenses are projected to grow by </w:t>
      </w:r>
      <w:r w:rsidR="0051298A" w:rsidRPr="00ED6A94">
        <w:rPr>
          <w:rFonts w:eastAsia="Aptos"/>
        </w:rPr>
        <w:t>approximately 3</w:t>
      </w:r>
      <w:r w:rsidR="009C43D4" w:rsidRPr="00ED6A94">
        <w:rPr>
          <w:rFonts w:eastAsia="Aptos"/>
        </w:rPr>
        <w:t>2</w:t>
      </w:r>
      <w:r w:rsidR="0051298A" w:rsidRPr="00ED6A94">
        <w:rPr>
          <w:rFonts w:eastAsia="Aptos"/>
        </w:rPr>
        <w:t xml:space="preserve">% </w:t>
      </w:r>
      <w:r w:rsidR="009C43D4" w:rsidRPr="00ED6A94">
        <w:rPr>
          <w:rFonts w:eastAsia="Aptos"/>
        </w:rPr>
        <w:t>in the first year of operation, followed by</w:t>
      </w:r>
      <w:r w:rsidR="0015765F" w:rsidRPr="00ED6A94">
        <w:rPr>
          <w:rFonts w:eastAsia="Aptos"/>
        </w:rPr>
        <w:t xml:space="preserve"> relatively consistent growth of </w:t>
      </w:r>
      <w:r w:rsidR="00DA6CDD" w:rsidRPr="00ED6A94">
        <w:rPr>
          <w:rFonts w:eastAsia="Aptos"/>
        </w:rPr>
        <w:t xml:space="preserve">1% </w:t>
      </w:r>
      <w:r w:rsidR="00306C03" w:rsidRPr="00ED6A94">
        <w:rPr>
          <w:rFonts w:eastAsia="Aptos"/>
        </w:rPr>
        <w:t>for the remainder of the projected years</w:t>
      </w:r>
      <w:r w:rsidR="0051298A" w:rsidRPr="00ED6A94">
        <w:rPr>
          <w:rFonts w:eastAsia="Aptos"/>
        </w:rPr>
        <w:t xml:space="preserve">. </w:t>
      </w:r>
      <w:r w:rsidR="004802BF" w:rsidRPr="00E93FD0">
        <w:rPr>
          <w:rFonts w:cs="Times New Roman"/>
          <w:szCs w:val="28"/>
        </w:rPr>
        <w:t xml:space="preserve">The expense increase is tied to this </w:t>
      </w:r>
      <w:r w:rsidR="004802BF">
        <w:rPr>
          <w:rFonts w:cs="Times New Roman"/>
          <w:szCs w:val="28"/>
        </w:rPr>
        <w:t xml:space="preserve">anticipated </w:t>
      </w:r>
      <w:r w:rsidR="004802BF" w:rsidRPr="00E93FD0">
        <w:rPr>
          <w:rFonts w:cs="Times New Roman"/>
          <w:szCs w:val="28"/>
        </w:rPr>
        <w:t xml:space="preserve">occupancy increase as there are a number of expenses which are variable based on occupancy (i.e. patient nursing staffing which is based on hours of nursing care per patient day). </w:t>
      </w:r>
      <w:r w:rsidR="00127488" w:rsidRPr="00ED6A94">
        <w:rPr>
          <w:rFonts w:eastAsia="Aptos"/>
        </w:rPr>
        <w:t>The projections assume that operating expenses</w:t>
      </w:r>
      <w:r w:rsidR="007D3EB5" w:rsidRPr="00ED6A94">
        <w:rPr>
          <w:rFonts w:eastAsia="Aptos"/>
        </w:rPr>
        <w:t xml:space="preserve"> will become more efficient based on higher utilization.</w:t>
      </w:r>
    </w:p>
    <w:p w14:paraId="169B6604" w14:textId="77777777" w:rsidR="00BE2235" w:rsidRPr="00ED6A94" w:rsidRDefault="00BE2235" w:rsidP="00174F97">
      <w:pPr>
        <w:rPr>
          <w:rFonts w:eastAsia="Aptos"/>
        </w:rPr>
      </w:pPr>
    </w:p>
    <w:p w14:paraId="381FBA98" w14:textId="042CA544" w:rsidR="0002130C" w:rsidRPr="00ED6A94" w:rsidRDefault="0002130C" w:rsidP="00C00BF2">
      <w:pPr>
        <w:pStyle w:val="BodyText"/>
        <w:spacing w:after="0"/>
        <w:rPr>
          <w:b/>
          <w:bCs/>
          <w:sz w:val="24"/>
          <w:szCs w:val="24"/>
        </w:rPr>
      </w:pPr>
      <w:r w:rsidRPr="00ED6A94">
        <w:rPr>
          <w:b/>
          <w:bCs/>
          <w:sz w:val="24"/>
          <w:szCs w:val="24"/>
        </w:rPr>
        <w:t>Lease agreement, Capital Expenses, and Cash Flows</w:t>
      </w:r>
    </w:p>
    <w:p w14:paraId="355D3418" w14:textId="6880E4F5" w:rsidR="009F3F7B" w:rsidRPr="00ED6A94" w:rsidRDefault="00D04370" w:rsidP="00C00BF2">
      <w:pPr>
        <w:pStyle w:val="FootnoteText"/>
        <w:rPr>
          <w:rFonts w:eastAsia="Aptos"/>
          <w:sz w:val="24"/>
          <w:szCs w:val="24"/>
        </w:rPr>
      </w:pPr>
      <w:r w:rsidRPr="00ED6A94">
        <w:rPr>
          <w:rFonts w:eastAsia="Aptos"/>
          <w:sz w:val="24"/>
          <w:szCs w:val="24"/>
        </w:rPr>
        <w:t xml:space="preserve">The CPA Report noted that the Applicant is planning to finance 80% of the </w:t>
      </w:r>
      <w:r w:rsidR="00FF14BA" w:rsidRPr="00ED6A94">
        <w:rPr>
          <w:rFonts w:eastAsia="Aptos"/>
          <w:sz w:val="24"/>
          <w:szCs w:val="24"/>
        </w:rPr>
        <w:t>purchase price and the remainder will be funded by member</w:t>
      </w:r>
      <w:r w:rsidR="002566B3" w:rsidRPr="00ED6A94">
        <w:rPr>
          <w:rFonts w:eastAsia="Aptos"/>
          <w:sz w:val="24"/>
          <w:szCs w:val="24"/>
        </w:rPr>
        <w:t>s</w:t>
      </w:r>
      <w:r w:rsidR="00FF14BA" w:rsidRPr="00ED6A94">
        <w:rPr>
          <w:rFonts w:eastAsia="Aptos"/>
          <w:sz w:val="24"/>
          <w:szCs w:val="24"/>
        </w:rPr>
        <w:t xml:space="preserve"> equity.</w:t>
      </w:r>
      <w:r w:rsidR="00056213" w:rsidRPr="00ED6A94">
        <w:rPr>
          <w:rFonts w:eastAsia="Aptos"/>
          <w:sz w:val="24"/>
          <w:szCs w:val="24"/>
        </w:rPr>
        <w:t xml:space="preserve"> </w:t>
      </w:r>
      <w:r w:rsidR="00E04EE5" w:rsidRPr="00ED6A94">
        <w:rPr>
          <w:rFonts w:eastAsia="Aptos"/>
          <w:sz w:val="24"/>
          <w:szCs w:val="24"/>
        </w:rPr>
        <w:t xml:space="preserve">The lease agreement will call for rent </w:t>
      </w:r>
      <w:r w:rsidR="00E531BC" w:rsidRPr="00ED6A94">
        <w:rPr>
          <w:rFonts w:eastAsia="Aptos"/>
          <w:sz w:val="24"/>
          <w:szCs w:val="24"/>
        </w:rPr>
        <w:t xml:space="preserve">satisfactory to cover the realty’s debt </w:t>
      </w:r>
      <w:r w:rsidR="00D9252D" w:rsidRPr="00ED6A94">
        <w:rPr>
          <w:rFonts w:eastAsia="Aptos"/>
          <w:sz w:val="24"/>
          <w:szCs w:val="24"/>
        </w:rPr>
        <w:t xml:space="preserve">service plus additional rent sufficient to ensure a debt service coverage ratio </w:t>
      </w:r>
      <w:r w:rsidR="00B457B5" w:rsidRPr="00ED6A94">
        <w:rPr>
          <w:rFonts w:eastAsia="Aptos"/>
          <w:sz w:val="24"/>
          <w:szCs w:val="24"/>
        </w:rPr>
        <w:t xml:space="preserve">of 1.35. The </w:t>
      </w:r>
      <w:r w:rsidR="00DA6578" w:rsidRPr="00ED6A94">
        <w:rPr>
          <w:rFonts w:eastAsia="Aptos"/>
          <w:sz w:val="24"/>
          <w:szCs w:val="24"/>
        </w:rPr>
        <w:t>t</w:t>
      </w:r>
      <w:r w:rsidR="00B457B5" w:rsidRPr="00ED6A94">
        <w:rPr>
          <w:rFonts w:eastAsia="Aptos"/>
          <w:sz w:val="24"/>
          <w:szCs w:val="24"/>
        </w:rPr>
        <w:t xml:space="preserve">enant (LTCH and SNF) will be responsible for all taxes, </w:t>
      </w:r>
      <w:r w:rsidR="00A318BA" w:rsidRPr="00ED6A94">
        <w:rPr>
          <w:rFonts w:eastAsia="Aptos"/>
          <w:sz w:val="24"/>
          <w:szCs w:val="24"/>
        </w:rPr>
        <w:t xml:space="preserve">insurances, maintenance, escrows, repairs, and other additional costs necessary to ensure the </w:t>
      </w:r>
      <w:r w:rsidR="003F4A13" w:rsidRPr="00ED6A94">
        <w:rPr>
          <w:rFonts w:eastAsia="Aptos"/>
          <w:sz w:val="24"/>
          <w:szCs w:val="24"/>
        </w:rPr>
        <w:t>lease is triple net.</w:t>
      </w:r>
      <w:r w:rsidR="00AC3E45" w:rsidRPr="00ED6A94">
        <w:rPr>
          <w:rFonts w:eastAsia="Aptos"/>
          <w:sz w:val="24"/>
          <w:szCs w:val="24"/>
        </w:rPr>
        <w:t xml:space="preserve"> </w:t>
      </w:r>
      <w:r w:rsidR="001C6437" w:rsidRPr="00ED6A94">
        <w:rPr>
          <w:rFonts w:eastAsia="Aptos"/>
          <w:sz w:val="24"/>
          <w:szCs w:val="24"/>
        </w:rPr>
        <w:t xml:space="preserve">Annual rent </w:t>
      </w:r>
      <w:r w:rsidR="00805166" w:rsidRPr="00ED6A94">
        <w:rPr>
          <w:rFonts w:eastAsia="Aptos"/>
          <w:sz w:val="24"/>
          <w:szCs w:val="24"/>
        </w:rPr>
        <w:t xml:space="preserve">and other </w:t>
      </w:r>
      <w:r w:rsidR="00805166" w:rsidRPr="00ED6A94">
        <w:rPr>
          <w:rFonts w:eastAsia="Aptos"/>
          <w:sz w:val="24"/>
          <w:szCs w:val="24"/>
        </w:rPr>
        <w:lastRenderedPageBreak/>
        <w:t xml:space="preserve">costs </w:t>
      </w:r>
      <w:r w:rsidR="001C6437" w:rsidRPr="00ED6A94">
        <w:rPr>
          <w:rFonts w:eastAsia="Aptos"/>
          <w:sz w:val="24"/>
          <w:szCs w:val="24"/>
        </w:rPr>
        <w:t xml:space="preserve">for the LTCH </w:t>
      </w:r>
      <w:r w:rsidR="00C52F2B" w:rsidRPr="00ED6A94">
        <w:rPr>
          <w:rFonts w:eastAsia="Aptos"/>
          <w:sz w:val="24"/>
          <w:szCs w:val="24"/>
        </w:rPr>
        <w:t>are</w:t>
      </w:r>
      <w:r w:rsidR="00282DA3" w:rsidRPr="00ED6A94">
        <w:rPr>
          <w:sz w:val="24"/>
          <w:szCs w:val="24"/>
        </w:rPr>
        <w:t xml:space="preserve"> based on the number of licensed beds. For the purpose of the</w:t>
      </w:r>
      <w:r w:rsidR="004802BF">
        <w:rPr>
          <w:rStyle w:val="FootnoteReference"/>
          <w:sz w:val="24"/>
          <w:szCs w:val="24"/>
        </w:rPr>
        <w:footnoteReference w:id="17"/>
      </w:r>
      <w:r w:rsidR="00282DA3" w:rsidRPr="00ED6A94">
        <w:rPr>
          <w:sz w:val="24"/>
          <w:szCs w:val="24"/>
        </w:rPr>
        <w:t xml:space="preserve"> projections, the LTCH would be responsible for 36.43% of the annual rent (based </w:t>
      </w:r>
      <w:r w:rsidR="001F35FE" w:rsidRPr="00ED6A94">
        <w:rPr>
          <w:sz w:val="24"/>
          <w:szCs w:val="24"/>
        </w:rPr>
        <w:t>on</w:t>
      </w:r>
      <w:r w:rsidR="00282DA3" w:rsidRPr="00ED6A94">
        <w:rPr>
          <w:sz w:val="24"/>
          <w:szCs w:val="24"/>
        </w:rPr>
        <w:t xml:space="preserve"> 47 LTCH beds out of the 129 combined LTCH &amp; SNF beds.</w:t>
      </w:r>
      <w:r w:rsidR="00805166" w:rsidRPr="00ED6A94">
        <w:rPr>
          <w:sz w:val="24"/>
          <w:szCs w:val="24"/>
        </w:rPr>
        <w:t>)</w:t>
      </w:r>
      <w:r w:rsidR="00FF0E0A" w:rsidRPr="00ED6A94">
        <w:rPr>
          <w:sz w:val="24"/>
          <w:szCs w:val="24"/>
        </w:rPr>
        <w:t xml:space="preserve"> </w:t>
      </w:r>
      <w:r w:rsidR="009F3F7B" w:rsidRPr="00ED6A94">
        <w:rPr>
          <w:rFonts w:eastAsia="Aptos"/>
          <w:sz w:val="24"/>
          <w:szCs w:val="24"/>
        </w:rPr>
        <w:t xml:space="preserve">The CPA report shows that the impact of the rent on operating expenses would </w:t>
      </w:r>
      <w:r w:rsidR="00DF14A9" w:rsidRPr="00ED6A94">
        <w:rPr>
          <w:rFonts w:eastAsia="Aptos"/>
          <w:sz w:val="24"/>
          <w:szCs w:val="24"/>
        </w:rPr>
        <w:t>experience a net loss in 2025</w:t>
      </w:r>
      <w:r w:rsidR="005130F7" w:rsidRPr="00ED6A94">
        <w:rPr>
          <w:rFonts w:eastAsia="Aptos"/>
          <w:sz w:val="24"/>
          <w:szCs w:val="24"/>
        </w:rPr>
        <w:t>, followed by a steep increase in net income</w:t>
      </w:r>
      <w:r w:rsidR="00005CB3" w:rsidRPr="00ED6A94">
        <w:rPr>
          <w:rFonts w:eastAsia="Aptos"/>
          <w:sz w:val="24"/>
          <w:szCs w:val="24"/>
        </w:rPr>
        <w:t xml:space="preserve"> </w:t>
      </w:r>
      <w:r w:rsidR="007D3B9B" w:rsidRPr="00ED6A94">
        <w:rPr>
          <w:rFonts w:eastAsia="Aptos"/>
          <w:sz w:val="24"/>
          <w:szCs w:val="24"/>
        </w:rPr>
        <w:t>from 2026 -202</w:t>
      </w:r>
      <w:r w:rsidR="00415B3B" w:rsidRPr="00ED6A94">
        <w:rPr>
          <w:rFonts w:eastAsia="Aptos"/>
          <w:sz w:val="24"/>
          <w:szCs w:val="24"/>
        </w:rPr>
        <w:t>9 based on normalization of utilization and improved margins.</w:t>
      </w:r>
    </w:p>
    <w:p w14:paraId="74BDCB2B" w14:textId="77777777" w:rsidR="00FF0E0A" w:rsidRPr="00ED6A94" w:rsidRDefault="00FF0E0A" w:rsidP="00FF0E0A">
      <w:pPr>
        <w:pStyle w:val="FootnoteText"/>
        <w:rPr>
          <w:sz w:val="24"/>
          <w:szCs w:val="24"/>
        </w:rPr>
      </w:pPr>
    </w:p>
    <w:p w14:paraId="03BB46E6" w14:textId="7CC920DD" w:rsidR="00994D2B" w:rsidRPr="00ED6A94" w:rsidRDefault="00940CC4" w:rsidP="000369C6">
      <w:pPr>
        <w:pStyle w:val="BodyText"/>
        <w:ind w:right="593"/>
        <w:jc w:val="both"/>
        <w:rPr>
          <w:sz w:val="24"/>
          <w:szCs w:val="24"/>
        </w:rPr>
      </w:pPr>
      <w:r w:rsidRPr="00ED6A94">
        <w:rPr>
          <w:rFonts w:eastAsia="Aptos"/>
          <w:sz w:val="24"/>
          <w:szCs w:val="24"/>
        </w:rPr>
        <w:t xml:space="preserve">As a result of its analysis the CPA </w:t>
      </w:r>
      <w:r w:rsidR="00994D2B" w:rsidRPr="00ED6A94">
        <w:rPr>
          <w:sz w:val="24"/>
          <w:szCs w:val="24"/>
        </w:rPr>
        <w:t>determined that the Projections are reasonable and feasible, and not likely</w:t>
      </w:r>
      <w:r w:rsidR="00994D2B" w:rsidRPr="00ED6A94">
        <w:rPr>
          <w:spacing w:val="-2"/>
          <w:sz w:val="24"/>
          <w:szCs w:val="24"/>
        </w:rPr>
        <w:t xml:space="preserve"> </w:t>
      </w:r>
      <w:r w:rsidR="00994D2B" w:rsidRPr="00ED6A94">
        <w:rPr>
          <w:sz w:val="24"/>
          <w:szCs w:val="24"/>
        </w:rPr>
        <w:t>to</w:t>
      </w:r>
      <w:r w:rsidR="00994D2B" w:rsidRPr="00ED6A94">
        <w:rPr>
          <w:spacing w:val="-3"/>
          <w:sz w:val="24"/>
          <w:szCs w:val="24"/>
        </w:rPr>
        <w:t xml:space="preserve"> </w:t>
      </w:r>
      <w:r w:rsidR="00994D2B" w:rsidRPr="00ED6A94">
        <w:rPr>
          <w:sz w:val="24"/>
          <w:szCs w:val="24"/>
        </w:rPr>
        <w:t>have</w:t>
      </w:r>
      <w:r w:rsidR="00994D2B" w:rsidRPr="00ED6A94">
        <w:rPr>
          <w:spacing w:val="-3"/>
          <w:sz w:val="24"/>
          <w:szCs w:val="24"/>
        </w:rPr>
        <w:t xml:space="preserve"> </w:t>
      </w:r>
      <w:r w:rsidR="00994D2B" w:rsidRPr="00ED6A94">
        <w:rPr>
          <w:sz w:val="24"/>
          <w:szCs w:val="24"/>
        </w:rPr>
        <w:t>a</w:t>
      </w:r>
      <w:r w:rsidR="00994D2B" w:rsidRPr="00ED6A94">
        <w:rPr>
          <w:spacing w:val="-4"/>
          <w:sz w:val="24"/>
          <w:szCs w:val="24"/>
        </w:rPr>
        <w:t xml:space="preserve"> </w:t>
      </w:r>
      <w:r w:rsidR="00994D2B" w:rsidRPr="00ED6A94">
        <w:rPr>
          <w:sz w:val="24"/>
          <w:szCs w:val="24"/>
        </w:rPr>
        <w:t>negative</w:t>
      </w:r>
      <w:r w:rsidR="00994D2B" w:rsidRPr="00ED6A94">
        <w:rPr>
          <w:spacing w:val="-1"/>
          <w:sz w:val="24"/>
          <w:szCs w:val="24"/>
        </w:rPr>
        <w:t xml:space="preserve"> </w:t>
      </w:r>
      <w:r w:rsidR="00994D2B" w:rsidRPr="00ED6A94">
        <w:rPr>
          <w:sz w:val="24"/>
          <w:szCs w:val="24"/>
        </w:rPr>
        <w:t>impact</w:t>
      </w:r>
      <w:r w:rsidR="00994D2B" w:rsidRPr="00ED6A94">
        <w:rPr>
          <w:spacing w:val="-4"/>
          <w:sz w:val="24"/>
          <w:szCs w:val="24"/>
        </w:rPr>
        <w:t xml:space="preserve"> </w:t>
      </w:r>
      <w:r w:rsidR="00994D2B" w:rsidRPr="00ED6A94">
        <w:rPr>
          <w:sz w:val="24"/>
          <w:szCs w:val="24"/>
        </w:rPr>
        <w:t>on</w:t>
      </w:r>
      <w:r w:rsidR="00994D2B" w:rsidRPr="00ED6A94">
        <w:rPr>
          <w:spacing w:val="-3"/>
          <w:sz w:val="24"/>
          <w:szCs w:val="24"/>
        </w:rPr>
        <w:t xml:space="preserve"> </w:t>
      </w:r>
      <w:r w:rsidR="00994D2B" w:rsidRPr="00ED6A94">
        <w:rPr>
          <w:sz w:val="24"/>
          <w:szCs w:val="24"/>
        </w:rPr>
        <w:t>the</w:t>
      </w:r>
      <w:r w:rsidR="00994D2B" w:rsidRPr="00ED6A94">
        <w:rPr>
          <w:spacing w:val="-3"/>
          <w:sz w:val="24"/>
          <w:szCs w:val="24"/>
        </w:rPr>
        <w:t xml:space="preserve"> </w:t>
      </w:r>
      <w:r w:rsidR="00994D2B" w:rsidRPr="00ED6A94">
        <w:rPr>
          <w:sz w:val="24"/>
          <w:szCs w:val="24"/>
        </w:rPr>
        <w:t>patient</w:t>
      </w:r>
      <w:r w:rsidR="00994D2B" w:rsidRPr="00ED6A94">
        <w:rPr>
          <w:spacing w:val="-4"/>
          <w:sz w:val="24"/>
          <w:szCs w:val="24"/>
        </w:rPr>
        <w:t xml:space="preserve"> </w:t>
      </w:r>
      <w:r w:rsidR="00994D2B" w:rsidRPr="00ED6A94">
        <w:rPr>
          <w:sz w:val="24"/>
          <w:szCs w:val="24"/>
        </w:rPr>
        <w:t>panel</w:t>
      </w:r>
      <w:r w:rsidR="00994D2B" w:rsidRPr="00ED6A94">
        <w:rPr>
          <w:spacing w:val="-5"/>
          <w:sz w:val="24"/>
          <w:szCs w:val="24"/>
        </w:rPr>
        <w:t xml:space="preserve"> </w:t>
      </w:r>
      <w:r w:rsidR="00994D2B" w:rsidRPr="00ED6A94">
        <w:rPr>
          <w:sz w:val="24"/>
          <w:szCs w:val="24"/>
        </w:rPr>
        <w:t>or</w:t>
      </w:r>
      <w:r w:rsidR="00994D2B" w:rsidRPr="00ED6A94">
        <w:rPr>
          <w:spacing w:val="-3"/>
          <w:sz w:val="24"/>
          <w:szCs w:val="24"/>
        </w:rPr>
        <w:t xml:space="preserve"> </w:t>
      </w:r>
      <w:r w:rsidR="00994D2B" w:rsidRPr="00ED6A94">
        <w:rPr>
          <w:sz w:val="24"/>
          <w:szCs w:val="24"/>
        </w:rPr>
        <w:t>result</w:t>
      </w:r>
      <w:r w:rsidR="00994D2B" w:rsidRPr="00ED6A94">
        <w:rPr>
          <w:spacing w:val="-4"/>
          <w:sz w:val="24"/>
          <w:szCs w:val="24"/>
        </w:rPr>
        <w:t xml:space="preserve"> </w:t>
      </w:r>
      <w:r w:rsidR="00994D2B" w:rsidRPr="00ED6A94">
        <w:rPr>
          <w:sz w:val="24"/>
          <w:szCs w:val="24"/>
        </w:rPr>
        <w:t>in</w:t>
      </w:r>
      <w:r w:rsidR="00994D2B" w:rsidRPr="00ED6A94">
        <w:rPr>
          <w:spacing w:val="-3"/>
          <w:sz w:val="24"/>
          <w:szCs w:val="24"/>
        </w:rPr>
        <w:t xml:space="preserve"> </w:t>
      </w:r>
      <w:r w:rsidR="00994D2B" w:rsidRPr="00ED6A94">
        <w:rPr>
          <w:sz w:val="24"/>
          <w:szCs w:val="24"/>
        </w:rPr>
        <w:t>a</w:t>
      </w:r>
      <w:r w:rsidR="00994D2B" w:rsidRPr="00ED6A94">
        <w:rPr>
          <w:spacing w:val="-1"/>
          <w:sz w:val="24"/>
          <w:szCs w:val="24"/>
        </w:rPr>
        <w:t xml:space="preserve"> </w:t>
      </w:r>
      <w:r w:rsidR="00994D2B" w:rsidRPr="00ED6A94">
        <w:rPr>
          <w:sz w:val="24"/>
          <w:szCs w:val="24"/>
        </w:rPr>
        <w:t>liquidation</w:t>
      </w:r>
      <w:r w:rsidR="00994D2B" w:rsidRPr="00ED6A94">
        <w:rPr>
          <w:spacing w:val="-3"/>
          <w:sz w:val="24"/>
          <w:szCs w:val="24"/>
        </w:rPr>
        <w:t xml:space="preserve"> </w:t>
      </w:r>
      <w:r w:rsidR="00994D2B" w:rsidRPr="00ED6A94">
        <w:rPr>
          <w:sz w:val="24"/>
          <w:szCs w:val="24"/>
        </w:rPr>
        <w:t>of</w:t>
      </w:r>
      <w:r w:rsidR="00994D2B" w:rsidRPr="00ED6A94">
        <w:rPr>
          <w:spacing w:val="-4"/>
          <w:sz w:val="24"/>
          <w:szCs w:val="24"/>
        </w:rPr>
        <w:t xml:space="preserve"> </w:t>
      </w:r>
      <w:r w:rsidR="00994D2B" w:rsidRPr="00ED6A94">
        <w:rPr>
          <w:sz w:val="24"/>
          <w:szCs w:val="24"/>
        </w:rPr>
        <w:t>assets</w:t>
      </w:r>
      <w:r w:rsidR="00994D2B" w:rsidRPr="00ED6A94">
        <w:rPr>
          <w:spacing w:val="-4"/>
          <w:sz w:val="24"/>
          <w:szCs w:val="24"/>
        </w:rPr>
        <w:t xml:space="preserve"> </w:t>
      </w:r>
      <w:r w:rsidR="00994D2B" w:rsidRPr="00ED6A94">
        <w:rPr>
          <w:sz w:val="24"/>
          <w:szCs w:val="24"/>
        </w:rPr>
        <w:t>of the project.</w:t>
      </w:r>
    </w:p>
    <w:p w14:paraId="15C5D121" w14:textId="429B8819" w:rsidR="00940CC4" w:rsidRPr="00ED6A94" w:rsidRDefault="00940CC4" w:rsidP="00174F97">
      <w:pPr>
        <w:spacing w:after="160"/>
        <w:rPr>
          <w:rFonts w:eastAsia="Aptos"/>
          <w:highlight w:val="yellow"/>
        </w:rPr>
      </w:pPr>
    </w:p>
    <w:p w14:paraId="2009F3AB" w14:textId="77777777" w:rsidR="00D6712E" w:rsidRPr="00ED6A94" w:rsidRDefault="00D6712E" w:rsidP="00A36DE4">
      <w:pPr>
        <w:pStyle w:val="BodyText"/>
        <w:spacing w:after="0"/>
        <w:rPr>
          <w:b/>
          <w:bCs/>
          <w:sz w:val="24"/>
          <w:szCs w:val="24"/>
        </w:rPr>
      </w:pPr>
      <w:r w:rsidRPr="00ED6A94">
        <w:rPr>
          <w:b/>
          <w:bCs/>
          <w:sz w:val="24"/>
          <w:szCs w:val="24"/>
        </w:rPr>
        <w:t>CPA’s Conclusion of Feasibility</w:t>
      </w:r>
    </w:p>
    <w:p w14:paraId="1B8F1F60" w14:textId="6005CE88" w:rsidR="00765B88" w:rsidRPr="00ED6A94" w:rsidRDefault="00D6712E" w:rsidP="00A36DE4">
      <w:pPr>
        <w:pStyle w:val="BodyText"/>
        <w:spacing w:after="0"/>
        <w:rPr>
          <w:sz w:val="24"/>
          <w:szCs w:val="24"/>
        </w:rPr>
      </w:pPr>
      <w:r w:rsidRPr="00ED6A94">
        <w:rPr>
          <w:sz w:val="24"/>
          <w:szCs w:val="24"/>
        </w:rPr>
        <w:t>As a result of its analysis the CPA states that:</w:t>
      </w:r>
    </w:p>
    <w:p w14:paraId="6C00EF1E" w14:textId="7B12E597" w:rsidR="00765B88" w:rsidRPr="00ED6A94" w:rsidRDefault="00994D2B" w:rsidP="00A36DE4">
      <w:pPr>
        <w:pStyle w:val="BodyText"/>
        <w:spacing w:before="75"/>
        <w:ind w:left="720" w:right="595"/>
        <w:rPr>
          <w:i/>
          <w:iCs/>
          <w:sz w:val="24"/>
          <w:szCs w:val="24"/>
        </w:rPr>
      </w:pPr>
      <w:r w:rsidRPr="00ED6A94">
        <w:rPr>
          <w:i/>
          <w:iCs/>
          <w:sz w:val="24"/>
          <w:szCs w:val="24"/>
        </w:rPr>
        <w:t>“</w:t>
      </w:r>
      <w:r w:rsidR="00765B88" w:rsidRPr="00ED6A94">
        <w:rPr>
          <w:i/>
          <w:iCs/>
          <w:sz w:val="24"/>
          <w:szCs w:val="24"/>
        </w:rPr>
        <w:t>Based on the applicant’s financial resources as well as existing relationships with lending institutions, this process is expected to be completed pursuant to the terms</w:t>
      </w:r>
      <w:r w:rsidR="00765B88" w:rsidRPr="00ED6A94">
        <w:rPr>
          <w:i/>
          <w:iCs/>
          <w:spacing w:val="-2"/>
          <w:sz w:val="24"/>
          <w:szCs w:val="24"/>
        </w:rPr>
        <w:t xml:space="preserve"> </w:t>
      </w:r>
      <w:r w:rsidR="00765B88" w:rsidRPr="00ED6A94">
        <w:rPr>
          <w:i/>
          <w:iCs/>
          <w:sz w:val="24"/>
          <w:szCs w:val="24"/>
        </w:rPr>
        <w:t>of the</w:t>
      </w:r>
      <w:r w:rsidR="00765B88" w:rsidRPr="00ED6A94">
        <w:rPr>
          <w:i/>
          <w:iCs/>
          <w:spacing w:val="-1"/>
          <w:sz w:val="24"/>
          <w:szCs w:val="24"/>
        </w:rPr>
        <w:t xml:space="preserve"> </w:t>
      </w:r>
      <w:r w:rsidR="00765B88" w:rsidRPr="00ED6A94">
        <w:rPr>
          <w:i/>
          <w:iCs/>
          <w:sz w:val="24"/>
          <w:szCs w:val="24"/>
        </w:rPr>
        <w:t>asset purchase</w:t>
      </w:r>
      <w:r w:rsidR="00765B88" w:rsidRPr="00ED6A94">
        <w:rPr>
          <w:i/>
          <w:iCs/>
          <w:spacing w:val="-1"/>
          <w:sz w:val="24"/>
          <w:szCs w:val="24"/>
        </w:rPr>
        <w:t xml:space="preserve"> </w:t>
      </w:r>
      <w:r w:rsidR="00765B88" w:rsidRPr="00ED6A94">
        <w:rPr>
          <w:i/>
          <w:iCs/>
          <w:sz w:val="24"/>
          <w:szCs w:val="24"/>
        </w:rPr>
        <w:t>agreements. We have</w:t>
      </w:r>
      <w:r w:rsidR="00765B88" w:rsidRPr="00ED6A94">
        <w:rPr>
          <w:i/>
          <w:iCs/>
          <w:spacing w:val="-1"/>
          <w:sz w:val="24"/>
          <w:szCs w:val="24"/>
        </w:rPr>
        <w:t xml:space="preserve"> </w:t>
      </w:r>
      <w:r w:rsidR="00765B88" w:rsidRPr="00ED6A94">
        <w:rPr>
          <w:i/>
          <w:iCs/>
          <w:sz w:val="24"/>
          <w:szCs w:val="24"/>
        </w:rPr>
        <w:t>no reason to believe that the applicant will not be able to obtain financing. Based on the projected financial information prepared by the applicant, the proposed project is financially feasible.</w:t>
      </w:r>
      <w:r w:rsidRPr="00ED6A94">
        <w:rPr>
          <w:i/>
          <w:iCs/>
          <w:sz w:val="24"/>
          <w:szCs w:val="24"/>
        </w:rPr>
        <w:t>”</w:t>
      </w:r>
    </w:p>
    <w:p w14:paraId="1A080E17" w14:textId="1FD1B34F" w:rsidR="001F2A30" w:rsidRPr="003C63E1" w:rsidRDefault="001F2A30" w:rsidP="00A36DE4">
      <w:pPr>
        <w:spacing w:before="240"/>
        <w:rPr>
          <w:rFonts w:eastAsia="Calibri"/>
          <w:b/>
          <w:bCs/>
          <w:i/>
          <w:iCs/>
        </w:rPr>
      </w:pPr>
      <w:r w:rsidRPr="003C63E1">
        <w:rPr>
          <w:rFonts w:eastAsia="Calibri"/>
          <w:b/>
          <w:bCs/>
          <w:i/>
          <w:iCs/>
        </w:rPr>
        <w:t xml:space="preserve">Factor 4 Analysis </w:t>
      </w:r>
    </w:p>
    <w:p w14:paraId="3CC36793" w14:textId="3C20E32D" w:rsidR="00906F30" w:rsidRDefault="00275607" w:rsidP="00A36DE4">
      <w:r>
        <w:t>S</w:t>
      </w:r>
      <w:r w:rsidRPr="008440BF">
        <w:t>taff finds the CPA analysis to be acceptable and that the Applicant has met the requirements of Factor 4.</w:t>
      </w:r>
    </w:p>
    <w:p w14:paraId="30715F56" w14:textId="77777777" w:rsidR="00994D2B" w:rsidRPr="00E53597" w:rsidRDefault="00994D2B" w:rsidP="00174F97">
      <w:pPr>
        <w:rPr>
          <w:rFonts w:eastAsia="Calibri"/>
          <w:highlight w:val="yellow"/>
        </w:rPr>
      </w:pPr>
    </w:p>
    <w:p w14:paraId="0E6E047F" w14:textId="77777777" w:rsidR="007D56AA" w:rsidRPr="00E53597" w:rsidRDefault="002D535F" w:rsidP="6CE004FB">
      <w:pPr>
        <w:pStyle w:val="Heading1"/>
        <w:spacing w:before="0" w:line="240" w:lineRule="auto"/>
        <w:contextualSpacing/>
        <w:rPr>
          <w:rFonts w:asciiTheme="minorHAnsi" w:hAnsiTheme="minorHAnsi" w:cstheme="minorBidi"/>
        </w:rPr>
      </w:pPr>
      <w:bookmarkStart w:id="89" w:name="_Toc157428837"/>
      <w:bookmarkStart w:id="90" w:name="_Toc169264795"/>
      <w:bookmarkStart w:id="91" w:name="_Toc203037139"/>
      <w:r w:rsidRPr="00E53597">
        <w:rPr>
          <w:rFonts w:asciiTheme="minorHAnsi" w:hAnsiTheme="minorHAnsi" w:cstheme="minorBidi"/>
        </w:rPr>
        <w:t>Factor 5: Relative Merit</w:t>
      </w:r>
      <w:bookmarkEnd w:id="89"/>
      <w:bookmarkEnd w:id="90"/>
      <w:bookmarkEnd w:id="91"/>
      <w:r w:rsidR="00E255D1" w:rsidRPr="00E53597">
        <w:rPr>
          <w:rFonts w:asciiTheme="minorHAnsi" w:hAnsiTheme="minorHAnsi" w:cstheme="minorBidi"/>
        </w:rPr>
        <w:t xml:space="preserve"> </w:t>
      </w:r>
    </w:p>
    <w:p w14:paraId="21EFEEA8" w14:textId="396F87DC" w:rsidR="002D535F" w:rsidRPr="00E53597" w:rsidRDefault="00E255D1" w:rsidP="6CE004FB">
      <w:pPr>
        <w:pStyle w:val="Heading1"/>
        <w:spacing w:before="0" w:line="240" w:lineRule="auto"/>
        <w:contextualSpacing/>
        <w:rPr>
          <w:rFonts w:asciiTheme="minorHAnsi" w:hAnsiTheme="minorHAnsi" w:cstheme="minorBidi"/>
        </w:rPr>
      </w:pPr>
      <w:bookmarkStart w:id="92" w:name="_Toc169264796"/>
      <w:bookmarkStart w:id="93" w:name="_Toc203037140"/>
      <w:r w:rsidRPr="00E53597">
        <w:rPr>
          <w:rFonts w:asciiTheme="minorHAnsi" w:hAnsiTheme="minorHAnsi" w:cstheme="minorBidi"/>
          <w:b w:val="0"/>
          <w:bCs w:val="0"/>
          <w:i/>
          <w:iCs/>
          <w:color w:val="auto"/>
          <w:sz w:val="24"/>
          <w:szCs w:val="24"/>
        </w:rPr>
        <w:t>Transfers of Ownership</w:t>
      </w:r>
      <w:r w:rsidR="007D56AA" w:rsidRPr="00E53597">
        <w:rPr>
          <w:rFonts w:asciiTheme="minorHAnsi" w:hAnsiTheme="minorHAnsi" w:cstheme="minorBidi"/>
          <w:b w:val="0"/>
          <w:bCs w:val="0"/>
          <w:i/>
          <w:iCs/>
          <w:color w:val="auto"/>
          <w:sz w:val="24"/>
          <w:szCs w:val="24"/>
        </w:rPr>
        <w:t xml:space="preserve"> are exempt from this </w:t>
      </w:r>
      <w:r w:rsidR="00734DC8" w:rsidRPr="00E53597">
        <w:rPr>
          <w:rFonts w:asciiTheme="minorHAnsi" w:hAnsiTheme="minorHAnsi" w:cstheme="minorBidi"/>
          <w:b w:val="0"/>
          <w:bCs w:val="0"/>
          <w:i/>
          <w:iCs/>
          <w:color w:val="auto"/>
          <w:sz w:val="24"/>
          <w:szCs w:val="24"/>
        </w:rPr>
        <w:t>factor.</w:t>
      </w:r>
      <w:bookmarkEnd w:id="92"/>
      <w:bookmarkEnd w:id="93"/>
    </w:p>
    <w:p w14:paraId="1AB25283" w14:textId="523FB8A8" w:rsidR="00923527" w:rsidRPr="00E53597" w:rsidRDefault="00923527" w:rsidP="00B31381">
      <w:pPr>
        <w:pStyle w:val="Heading1"/>
        <w:tabs>
          <w:tab w:val="left" w:pos="8910"/>
        </w:tabs>
        <w:spacing w:before="0" w:line="240" w:lineRule="auto"/>
        <w:rPr>
          <w:rFonts w:asciiTheme="minorHAnsi" w:eastAsia="Times New Roman" w:hAnsiTheme="minorHAnsi" w:cstheme="minorHAnsi"/>
        </w:rPr>
      </w:pPr>
      <w:bookmarkStart w:id="94" w:name="_Toc17151192"/>
      <w:bookmarkStart w:id="95" w:name="_Toc17322410"/>
    </w:p>
    <w:p w14:paraId="37A24A9A" w14:textId="77777777" w:rsidR="007D56AA" w:rsidRPr="00E53597" w:rsidRDefault="00FF3353" w:rsidP="6CE004FB">
      <w:pPr>
        <w:pStyle w:val="Heading1"/>
        <w:spacing w:before="0" w:line="240" w:lineRule="auto"/>
        <w:rPr>
          <w:rFonts w:asciiTheme="minorHAnsi" w:eastAsia="Times New Roman" w:hAnsiTheme="minorHAnsi" w:cstheme="minorBidi"/>
        </w:rPr>
      </w:pPr>
      <w:bookmarkStart w:id="96" w:name="_Toc169264797"/>
      <w:bookmarkStart w:id="97" w:name="_Toc203037141"/>
      <w:bookmarkStart w:id="98" w:name="_Toc150336177"/>
      <w:bookmarkStart w:id="99" w:name="_Toc157428838"/>
      <w:r w:rsidRPr="00E53597">
        <w:rPr>
          <w:rFonts w:asciiTheme="minorHAnsi" w:eastAsia="Times New Roman" w:hAnsiTheme="minorHAnsi" w:cstheme="minorBidi"/>
        </w:rPr>
        <w:t>Factor 6: Community-based Health Initiatives</w:t>
      </w:r>
      <w:bookmarkEnd w:id="96"/>
      <w:bookmarkEnd w:id="97"/>
      <w:r w:rsidRPr="00E53597">
        <w:rPr>
          <w:rFonts w:asciiTheme="minorHAnsi" w:eastAsia="Times New Roman" w:hAnsiTheme="minorHAnsi" w:cstheme="minorBidi"/>
        </w:rPr>
        <w:t xml:space="preserve"> </w:t>
      </w:r>
      <w:bookmarkEnd w:id="98"/>
      <w:bookmarkEnd w:id="99"/>
    </w:p>
    <w:p w14:paraId="28431165" w14:textId="6B745452" w:rsidR="00E255D1" w:rsidRPr="00E53597" w:rsidRDefault="007D56AA" w:rsidP="6CE004FB">
      <w:pPr>
        <w:pStyle w:val="Heading1"/>
        <w:spacing w:before="0" w:line="240" w:lineRule="auto"/>
        <w:rPr>
          <w:rFonts w:asciiTheme="minorHAnsi" w:eastAsia="Times New Roman" w:hAnsiTheme="minorHAnsi" w:cstheme="minorBidi"/>
        </w:rPr>
      </w:pPr>
      <w:bookmarkStart w:id="100" w:name="_Toc169264798"/>
      <w:bookmarkStart w:id="101" w:name="_Toc203037142"/>
      <w:r w:rsidRPr="00E53597">
        <w:rPr>
          <w:rFonts w:asciiTheme="minorHAnsi" w:hAnsiTheme="minorHAnsi" w:cstheme="minorBidi"/>
          <w:b w:val="0"/>
          <w:bCs w:val="0"/>
          <w:i/>
          <w:iCs/>
          <w:color w:val="auto"/>
          <w:sz w:val="24"/>
          <w:szCs w:val="24"/>
        </w:rPr>
        <w:t xml:space="preserve">Transfers of Ownership are exempt from this </w:t>
      </w:r>
      <w:r w:rsidR="00734DC8" w:rsidRPr="00E53597">
        <w:rPr>
          <w:rFonts w:asciiTheme="minorHAnsi" w:hAnsiTheme="minorHAnsi" w:cstheme="minorBidi"/>
          <w:b w:val="0"/>
          <w:bCs w:val="0"/>
          <w:i/>
          <w:iCs/>
          <w:color w:val="auto"/>
          <w:sz w:val="24"/>
          <w:szCs w:val="24"/>
        </w:rPr>
        <w:t>factor.</w:t>
      </w:r>
      <w:bookmarkEnd w:id="100"/>
      <w:bookmarkEnd w:id="101"/>
    </w:p>
    <w:p w14:paraId="34F6CE1E" w14:textId="2FFF1A06" w:rsidR="00FF3353" w:rsidRPr="00E53597" w:rsidRDefault="00FF3353" w:rsidP="00FF3353">
      <w:pPr>
        <w:pStyle w:val="Heading1"/>
        <w:spacing w:before="0" w:line="240" w:lineRule="auto"/>
        <w:rPr>
          <w:rFonts w:asciiTheme="minorHAnsi" w:eastAsia="Times New Roman" w:hAnsiTheme="minorHAnsi" w:cstheme="minorHAnsi"/>
          <w:highlight w:val="yellow"/>
        </w:rPr>
      </w:pPr>
    </w:p>
    <w:p w14:paraId="7C159929" w14:textId="4660C094" w:rsidR="00BB40B4" w:rsidRPr="00E53597" w:rsidRDefault="00BB40B4" w:rsidP="00A36DE4">
      <w:pPr>
        <w:pStyle w:val="Heading1"/>
        <w:spacing w:before="0"/>
        <w:rPr>
          <w:rFonts w:asciiTheme="minorHAnsi" w:hAnsiTheme="minorHAnsi" w:cstheme="minorBidi"/>
          <w:sz w:val="24"/>
          <w:szCs w:val="24"/>
        </w:rPr>
      </w:pPr>
      <w:bookmarkStart w:id="102" w:name="_Toc157428840"/>
      <w:bookmarkStart w:id="103" w:name="_Toc169264799"/>
      <w:bookmarkStart w:id="104" w:name="_Toc203037143"/>
      <w:bookmarkEnd w:id="94"/>
      <w:bookmarkEnd w:id="95"/>
      <w:r w:rsidRPr="00E53597">
        <w:rPr>
          <w:rFonts w:asciiTheme="minorHAnsi" w:hAnsiTheme="minorHAnsi" w:cstheme="minorBidi"/>
        </w:rPr>
        <w:t>Findings and Recommendations</w:t>
      </w:r>
      <w:bookmarkEnd w:id="102"/>
      <w:bookmarkEnd w:id="103"/>
      <w:bookmarkEnd w:id="104"/>
    </w:p>
    <w:p w14:paraId="1E42FA23" w14:textId="63F748E8" w:rsidR="00BD6E17" w:rsidRPr="00CC0152" w:rsidRDefault="1E443917" w:rsidP="00691BEC">
      <w:pPr>
        <w:rPr>
          <w:rFonts w:eastAsia="Times New Roman"/>
        </w:rPr>
      </w:pPr>
      <w:r w:rsidRPr="00E53597">
        <w:t xml:space="preserve">Based upon a review of the materials submitted, </w:t>
      </w:r>
      <w:r w:rsidR="2B88F0D9" w:rsidRPr="00E53597">
        <w:t xml:space="preserve">staff </w:t>
      </w:r>
      <w:r w:rsidR="01567A5E" w:rsidRPr="00E53597">
        <w:t xml:space="preserve">finds </w:t>
      </w:r>
      <w:r w:rsidR="165E1BF1" w:rsidRPr="00E53597">
        <w:t>that</w:t>
      </w:r>
      <w:r w:rsidRPr="00E53597">
        <w:t xml:space="preserve"> the Applicant has met each </w:t>
      </w:r>
      <w:r w:rsidR="009914F5">
        <w:t xml:space="preserve">applicable </w:t>
      </w:r>
      <w:r w:rsidRPr="00E53597">
        <w:t xml:space="preserve">DoN factor and recommends approval of this Application for </w:t>
      </w:r>
      <w:r w:rsidR="04B50501" w:rsidRPr="00E53597">
        <w:t>Transfer of Ownership</w:t>
      </w:r>
      <w:r w:rsidR="165E1BF1" w:rsidRPr="00E53597">
        <w:rPr>
          <w:rFonts w:eastAsia="Times New Roman"/>
        </w:rPr>
        <w:t xml:space="preserve">, subject to all applicable Standard </w:t>
      </w:r>
      <w:r w:rsidR="475176C5" w:rsidRPr="00E53597">
        <w:rPr>
          <w:rFonts w:eastAsia="Times New Roman"/>
        </w:rPr>
        <w:t>and Other conditions</w:t>
      </w:r>
      <w:r w:rsidR="165E1BF1" w:rsidRPr="00E53597">
        <w:rPr>
          <w:rFonts w:eastAsia="Times New Roman"/>
        </w:rPr>
        <w:t>.</w:t>
      </w:r>
      <w:r w:rsidR="00691BEC" w:rsidRPr="00E53597">
        <w:rPr>
          <w:rFonts w:eastAsia="Times New Roman"/>
          <w:vertAlign w:val="superscript"/>
        </w:rPr>
        <w:footnoteReference w:id="18"/>
      </w:r>
    </w:p>
    <w:p w14:paraId="406DD7E8" w14:textId="77777777" w:rsidR="00FE449F" w:rsidRPr="002A3EEE" w:rsidRDefault="00FE449F" w:rsidP="00FE449F">
      <w:pPr>
        <w:pStyle w:val="Heading1"/>
        <w:rPr>
          <w:rFonts w:asciiTheme="minorHAnsi" w:hAnsiTheme="minorHAnsi" w:cstheme="minorHAnsi"/>
          <w:color w:val="000000" w:themeColor="text1"/>
        </w:rPr>
      </w:pPr>
      <w:bookmarkStart w:id="105" w:name="_Toc118903980"/>
      <w:bookmarkStart w:id="106" w:name="_Toc195703194"/>
      <w:bookmarkStart w:id="107" w:name="_Toc203037144"/>
      <w:r w:rsidRPr="002A3EEE">
        <w:rPr>
          <w:rFonts w:asciiTheme="minorHAnsi" w:hAnsiTheme="minorHAnsi" w:cstheme="minorHAnsi"/>
          <w:color w:val="000000" w:themeColor="text1"/>
        </w:rPr>
        <w:t>Appendix I: Measures for Annual Reporting</w:t>
      </w:r>
      <w:bookmarkEnd w:id="105"/>
      <w:bookmarkEnd w:id="106"/>
      <w:bookmarkEnd w:id="107"/>
    </w:p>
    <w:p w14:paraId="68E26B26" w14:textId="77777777" w:rsidR="00C534AD" w:rsidRDefault="00C534AD" w:rsidP="001B10BB"/>
    <w:p w14:paraId="4A7491C7" w14:textId="22C703E4" w:rsidR="004D0667" w:rsidRDefault="004B4FEE" w:rsidP="006F663C">
      <w:pPr>
        <w:pStyle w:val="ListParagraph"/>
        <w:numPr>
          <w:ilvl w:val="0"/>
          <w:numId w:val="25"/>
        </w:numPr>
        <w:autoSpaceDE w:val="0"/>
        <w:autoSpaceDN w:val="0"/>
        <w:adjustRightInd w:val="0"/>
        <w:spacing w:after="0" w:line="240" w:lineRule="auto"/>
        <w:rPr>
          <w:rFonts w:cstheme="minorHAnsi"/>
          <w:sz w:val="24"/>
          <w:szCs w:val="24"/>
          <w:u w:val="single"/>
        </w:rPr>
      </w:pPr>
      <w:r>
        <w:rPr>
          <w:rFonts w:cstheme="minorHAnsi"/>
          <w:sz w:val="24"/>
          <w:szCs w:val="24"/>
          <w:u w:val="single"/>
        </w:rPr>
        <w:lastRenderedPageBreak/>
        <w:t xml:space="preserve">Increased Capacity: </w:t>
      </w:r>
      <w:r w:rsidR="00E253A0">
        <w:rPr>
          <w:rFonts w:cstheme="minorHAnsi"/>
          <w:sz w:val="24"/>
          <w:szCs w:val="24"/>
          <w:u w:val="single"/>
        </w:rPr>
        <w:t xml:space="preserve">The </w:t>
      </w:r>
      <w:r w:rsidR="00CC0152">
        <w:rPr>
          <w:rFonts w:cstheme="minorHAnsi"/>
          <w:sz w:val="24"/>
          <w:szCs w:val="24"/>
          <w:u w:val="single"/>
        </w:rPr>
        <w:t>Applicant</w:t>
      </w:r>
      <w:r w:rsidR="00274201">
        <w:rPr>
          <w:rFonts w:cstheme="minorHAnsi"/>
          <w:sz w:val="24"/>
          <w:szCs w:val="24"/>
          <w:u w:val="single"/>
        </w:rPr>
        <w:t xml:space="preserve"> will improve staffing levels, which should </w:t>
      </w:r>
      <w:r w:rsidR="00140B0A">
        <w:rPr>
          <w:rFonts w:cstheme="minorHAnsi"/>
          <w:sz w:val="24"/>
          <w:szCs w:val="24"/>
          <w:u w:val="single"/>
        </w:rPr>
        <w:t>allow for increased capacity at the Hospital.</w:t>
      </w:r>
    </w:p>
    <w:p w14:paraId="21E08251" w14:textId="6F6D6D48" w:rsidR="00140B0A" w:rsidRDefault="00140B0A" w:rsidP="00140B0A">
      <w:pPr>
        <w:autoSpaceDE w:val="0"/>
        <w:autoSpaceDN w:val="0"/>
        <w:adjustRightInd w:val="0"/>
        <w:ind w:left="1440"/>
        <w:rPr>
          <w:u w:val="single"/>
        </w:rPr>
      </w:pPr>
      <w:r w:rsidRPr="00D44FB8">
        <w:rPr>
          <w:i/>
          <w:iCs/>
          <w:u w:val="single"/>
        </w:rPr>
        <w:t>Measure</w:t>
      </w:r>
      <w:r w:rsidR="00401E0A" w:rsidRPr="00D44FB8">
        <w:rPr>
          <w:i/>
          <w:iCs/>
          <w:u w:val="single"/>
        </w:rPr>
        <w:t xml:space="preserve"> A:</w:t>
      </w:r>
      <w:r w:rsidR="00401E0A">
        <w:rPr>
          <w:u w:val="single"/>
        </w:rPr>
        <w:t xml:space="preserve"> The </w:t>
      </w:r>
      <w:r w:rsidR="00CC0152">
        <w:rPr>
          <w:u w:val="single"/>
        </w:rPr>
        <w:t>Applicant</w:t>
      </w:r>
      <w:r w:rsidR="00401E0A">
        <w:rPr>
          <w:u w:val="single"/>
        </w:rPr>
        <w:t xml:space="preserve"> will report annually on the facility’s capacity</w:t>
      </w:r>
      <w:r w:rsidR="00F42D73">
        <w:rPr>
          <w:u w:val="single"/>
        </w:rPr>
        <w:t>, using the current 50% capacity as a baseline.</w:t>
      </w:r>
    </w:p>
    <w:p w14:paraId="2C751156" w14:textId="7C58FA2E" w:rsidR="00F42D73" w:rsidRDefault="00F42D73" w:rsidP="00140B0A">
      <w:pPr>
        <w:autoSpaceDE w:val="0"/>
        <w:autoSpaceDN w:val="0"/>
        <w:adjustRightInd w:val="0"/>
        <w:ind w:left="1440"/>
        <w:rPr>
          <w:u w:val="single"/>
        </w:rPr>
      </w:pPr>
      <w:r w:rsidRPr="00D44FB8">
        <w:rPr>
          <w:i/>
          <w:iCs/>
          <w:u w:val="single"/>
        </w:rPr>
        <w:t>Measure B:</w:t>
      </w:r>
      <w:r>
        <w:rPr>
          <w:u w:val="single"/>
        </w:rPr>
        <w:t xml:space="preserve"> The </w:t>
      </w:r>
      <w:r w:rsidR="00CC0152">
        <w:rPr>
          <w:u w:val="single"/>
        </w:rPr>
        <w:t xml:space="preserve">Applicant </w:t>
      </w:r>
      <w:r>
        <w:rPr>
          <w:u w:val="single"/>
        </w:rPr>
        <w:t xml:space="preserve">will report annually on the </w:t>
      </w:r>
      <w:r w:rsidR="00DD3B22">
        <w:rPr>
          <w:u w:val="single"/>
        </w:rPr>
        <w:t xml:space="preserve">Direct Care Staffing </w:t>
      </w:r>
      <w:r w:rsidR="00F1430E">
        <w:rPr>
          <w:u w:val="single"/>
        </w:rPr>
        <w:t xml:space="preserve">levels (in FTE’s), providing the current (FY2025) staffing levels as a </w:t>
      </w:r>
      <w:r w:rsidR="00447DF8">
        <w:rPr>
          <w:u w:val="single"/>
        </w:rPr>
        <w:t>baseline</w:t>
      </w:r>
      <w:r w:rsidR="0047337B">
        <w:rPr>
          <w:u w:val="single"/>
        </w:rPr>
        <w:t>.</w:t>
      </w:r>
    </w:p>
    <w:p w14:paraId="23ABDA74" w14:textId="77777777" w:rsidR="0047337B" w:rsidRDefault="0047337B" w:rsidP="00140B0A">
      <w:pPr>
        <w:autoSpaceDE w:val="0"/>
        <w:autoSpaceDN w:val="0"/>
        <w:adjustRightInd w:val="0"/>
        <w:ind w:left="1440"/>
        <w:rPr>
          <w:u w:val="single"/>
        </w:rPr>
      </w:pPr>
    </w:p>
    <w:p w14:paraId="79B0B953" w14:textId="6E0A98E1" w:rsidR="0047337B" w:rsidRPr="005B4B4F" w:rsidRDefault="0047337B" w:rsidP="005B4B4F">
      <w:pPr>
        <w:pStyle w:val="ListParagraph"/>
        <w:numPr>
          <w:ilvl w:val="1"/>
          <w:numId w:val="30"/>
        </w:numPr>
        <w:rPr>
          <w:sz w:val="24"/>
          <w:szCs w:val="24"/>
        </w:rPr>
      </w:pPr>
      <w:r w:rsidRPr="00D44FB8">
        <w:rPr>
          <w:i/>
          <w:iCs/>
          <w:sz w:val="24"/>
          <w:szCs w:val="24"/>
          <w:u w:val="single"/>
        </w:rPr>
        <w:t>Monitoring:</w:t>
      </w:r>
      <w:r w:rsidRPr="00D44FB8">
        <w:rPr>
          <w:sz w:val="24"/>
          <w:szCs w:val="24"/>
          <w:u w:val="single"/>
        </w:rPr>
        <w:t xml:space="preserve"> The </w:t>
      </w:r>
      <w:r w:rsidR="00CC0152">
        <w:rPr>
          <w:sz w:val="24"/>
          <w:szCs w:val="24"/>
          <w:u w:val="single"/>
        </w:rPr>
        <w:t>Applicant</w:t>
      </w:r>
      <w:r w:rsidRPr="00D44FB8">
        <w:rPr>
          <w:sz w:val="24"/>
          <w:szCs w:val="24"/>
          <w:u w:val="single"/>
        </w:rPr>
        <w:t xml:space="preserve"> will </w:t>
      </w:r>
      <w:r w:rsidRPr="00D44FB8">
        <w:rPr>
          <w:sz w:val="24"/>
          <w:szCs w:val="24"/>
        </w:rPr>
        <w:t>provide an a</w:t>
      </w:r>
      <w:r w:rsidR="00D44FB8" w:rsidRPr="00D44FB8">
        <w:rPr>
          <w:sz w:val="24"/>
          <w:szCs w:val="24"/>
        </w:rPr>
        <w:t>nalysis for</w:t>
      </w:r>
      <w:r w:rsidRPr="00D44FB8">
        <w:rPr>
          <w:sz w:val="24"/>
          <w:szCs w:val="24"/>
        </w:rPr>
        <w:t xml:space="preserve"> any reduction in </w:t>
      </w:r>
      <w:r w:rsidR="00D44FB8" w:rsidRPr="00D44FB8">
        <w:rPr>
          <w:sz w:val="24"/>
          <w:szCs w:val="24"/>
        </w:rPr>
        <w:t>capacity and</w:t>
      </w:r>
      <w:r w:rsidR="00EF4AB9" w:rsidRPr="00D44FB8">
        <w:rPr>
          <w:sz w:val="24"/>
          <w:szCs w:val="24"/>
        </w:rPr>
        <w:t>/or</w:t>
      </w:r>
      <w:r w:rsidR="00D44FB8" w:rsidRPr="00D44FB8">
        <w:rPr>
          <w:sz w:val="24"/>
          <w:szCs w:val="24"/>
        </w:rPr>
        <w:t xml:space="preserve"> </w:t>
      </w:r>
      <w:r w:rsidRPr="00D44FB8">
        <w:rPr>
          <w:sz w:val="24"/>
          <w:szCs w:val="24"/>
        </w:rPr>
        <w:t>staffing levels, including a plan to address these losses.</w:t>
      </w:r>
    </w:p>
    <w:p w14:paraId="4F504BE4" w14:textId="0BC29D0B" w:rsidR="0047337B" w:rsidRPr="00140B0A" w:rsidRDefault="0047337B" w:rsidP="00140B0A">
      <w:pPr>
        <w:autoSpaceDE w:val="0"/>
        <w:autoSpaceDN w:val="0"/>
        <w:adjustRightInd w:val="0"/>
        <w:ind w:left="1440"/>
        <w:rPr>
          <w:u w:val="single"/>
        </w:rPr>
      </w:pPr>
    </w:p>
    <w:p w14:paraId="3AFAAC0E" w14:textId="127ADFD4" w:rsidR="00D91ED4" w:rsidRPr="00D91ED4" w:rsidRDefault="00D91ED4" w:rsidP="006F663C">
      <w:pPr>
        <w:pStyle w:val="ListParagraph"/>
        <w:numPr>
          <w:ilvl w:val="0"/>
          <w:numId w:val="25"/>
        </w:numPr>
        <w:autoSpaceDE w:val="0"/>
        <w:autoSpaceDN w:val="0"/>
        <w:adjustRightInd w:val="0"/>
        <w:spacing w:after="0" w:line="240" w:lineRule="auto"/>
        <w:rPr>
          <w:rFonts w:cstheme="minorHAnsi"/>
          <w:sz w:val="24"/>
          <w:szCs w:val="24"/>
          <w:u w:val="single"/>
        </w:rPr>
      </w:pPr>
      <w:r w:rsidRPr="004E7411">
        <w:rPr>
          <w:rFonts w:cstheme="minorHAnsi"/>
          <w:b/>
          <w:bCs/>
          <w:sz w:val="24"/>
          <w:szCs w:val="24"/>
        </w:rPr>
        <w:t>Patient Satisfaction</w:t>
      </w:r>
      <w:r w:rsidR="00923879">
        <w:rPr>
          <w:rFonts w:cstheme="minorHAnsi"/>
          <w:b/>
          <w:bCs/>
          <w:sz w:val="24"/>
          <w:szCs w:val="24"/>
        </w:rPr>
        <w:t>:</w:t>
      </w:r>
      <w:r w:rsidR="00923879" w:rsidRPr="00D91ED4">
        <w:rPr>
          <w:rFonts w:cstheme="minorHAnsi"/>
          <w:sz w:val="24"/>
          <w:szCs w:val="24"/>
        </w:rPr>
        <w:t xml:space="preserve"> The</w:t>
      </w:r>
      <w:r w:rsidRPr="00D91ED4">
        <w:rPr>
          <w:rFonts w:cstheme="minorHAnsi"/>
          <w:sz w:val="24"/>
          <w:szCs w:val="24"/>
        </w:rPr>
        <w:t xml:space="preserve"> </w:t>
      </w:r>
      <w:r w:rsidR="00BD1C06">
        <w:rPr>
          <w:rFonts w:cstheme="minorHAnsi"/>
          <w:sz w:val="24"/>
          <w:szCs w:val="24"/>
        </w:rPr>
        <w:t>Holder</w:t>
      </w:r>
      <w:r w:rsidRPr="00D91ED4">
        <w:rPr>
          <w:rFonts w:cstheme="minorHAnsi"/>
          <w:sz w:val="24"/>
          <w:szCs w:val="24"/>
        </w:rPr>
        <w:t xml:space="preserve"> will review patient satisfaction levels with LTCH services.   </w:t>
      </w:r>
    </w:p>
    <w:p w14:paraId="3DA777EB" w14:textId="77777777" w:rsidR="00D91ED4" w:rsidRPr="00D91ED4" w:rsidRDefault="00D91ED4" w:rsidP="006F663C">
      <w:pPr>
        <w:autoSpaceDE w:val="0"/>
        <w:autoSpaceDN w:val="0"/>
        <w:adjustRightInd w:val="0"/>
        <w:ind w:left="1440"/>
      </w:pPr>
    </w:p>
    <w:p w14:paraId="5CB03C40" w14:textId="7EC2EDF3" w:rsidR="00D91ED4" w:rsidRPr="00D91ED4" w:rsidRDefault="00D91ED4" w:rsidP="006F663C">
      <w:pPr>
        <w:autoSpaceDE w:val="0"/>
        <w:autoSpaceDN w:val="0"/>
        <w:adjustRightInd w:val="0"/>
        <w:ind w:left="1440"/>
      </w:pPr>
      <w:r w:rsidRPr="004E7411">
        <w:rPr>
          <w:i/>
          <w:iCs/>
        </w:rPr>
        <w:t>Measure:</w:t>
      </w:r>
      <w:r w:rsidRPr="00D91ED4">
        <w:t xml:space="preserve"> The Hospital’s Exceptional Care program will be provided to all eligible patients.  The program </w:t>
      </w:r>
      <w:r w:rsidR="00465268">
        <w:t xml:space="preserve">will </w:t>
      </w:r>
      <w:r w:rsidRPr="00D91ED4">
        <w:t xml:space="preserve">focus on the following key areas: </w:t>
      </w:r>
    </w:p>
    <w:p w14:paraId="700440D5" w14:textId="22D6DC9B" w:rsidR="00D91ED4" w:rsidRPr="00D91ED4" w:rsidRDefault="00D91ED4" w:rsidP="006F663C">
      <w:pPr>
        <w:pStyle w:val="xmsonormal"/>
        <w:numPr>
          <w:ilvl w:val="0"/>
          <w:numId w:val="26"/>
        </w:numPr>
        <w:shd w:val="clear" w:color="auto" w:fill="FFFFFF"/>
        <w:rPr>
          <w:rFonts w:asciiTheme="minorHAnsi" w:eastAsia="Times New Roman" w:hAnsiTheme="minorHAnsi" w:cstheme="minorHAnsi"/>
          <w:color w:val="201F1E"/>
        </w:rPr>
      </w:pPr>
      <w:r w:rsidRPr="00D91ED4">
        <w:rPr>
          <w:rFonts w:asciiTheme="minorHAnsi" w:eastAsia="Times New Roman" w:hAnsiTheme="minorHAnsi" w:cstheme="minorHAnsi"/>
          <w:color w:val="000000"/>
          <w:bdr w:val="none" w:sz="0" w:space="0" w:color="auto" w:frame="1"/>
        </w:rPr>
        <w:t xml:space="preserve">Delivering exceptional experiences for </w:t>
      </w:r>
      <w:r w:rsidR="00465268">
        <w:rPr>
          <w:rFonts w:asciiTheme="minorHAnsi" w:eastAsia="Times New Roman" w:hAnsiTheme="minorHAnsi" w:cstheme="minorHAnsi"/>
          <w:color w:val="000000"/>
          <w:bdr w:val="none" w:sz="0" w:space="0" w:color="auto" w:frame="1"/>
        </w:rPr>
        <w:t>Hospital</w:t>
      </w:r>
      <w:r w:rsidR="00465268" w:rsidRPr="00D91ED4">
        <w:rPr>
          <w:rFonts w:asciiTheme="minorHAnsi" w:eastAsia="Times New Roman" w:hAnsiTheme="minorHAnsi" w:cstheme="minorHAnsi"/>
          <w:color w:val="000000"/>
          <w:bdr w:val="none" w:sz="0" w:space="0" w:color="auto" w:frame="1"/>
        </w:rPr>
        <w:t xml:space="preserve"> </w:t>
      </w:r>
      <w:r w:rsidRPr="00D91ED4">
        <w:rPr>
          <w:rFonts w:asciiTheme="minorHAnsi" w:eastAsia="Times New Roman" w:hAnsiTheme="minorHAnsi" w:cstheme="minorHAnsi"/>
          <w:color w:val="000000"/>
          <w:bdr w:val="none" w:sz="0" w:space="0" w:color="auto" w:frame="1"/>
        </w:rPr>
        <w:t>patients</w:t>
      </w:r>
      <w:r w:rsidR="00465268">
        <w:rPr>
          <w:rFonts w:asciiTheme="minorHAnsi" w:eastAsia="Times New Roman" w:hAnsiTheme="minorHAnsi" w:cstheme="minorHAnsi"/>
          <w:color w:val="000000"/>
          <w:bdr w:val="none" w:sz="0" w:space="0" w:color="auto" w:frame="1"/>
        </w:rPr>
        <w:t>;</w:t>
      </w:r>
      <w:r w:rsidRPr="00D91ED4">
        <w:rPr>
          <w:rFonts w:asciiTheme="minorHAnsi" w:eastAsia="Times New Roman" w:hAnsiTheme="minorHAnsi" w:cstheme="minorHAnsi"/>
          <w:color w:val="000000"/>
          <w:bdr w:val="none" w:sz="0" w:space="0" w:color="auto" w:frame="1"/>
        </w:rPr>
        <w:t> </w:t>
      </w:r>
    </w:p>
    <w:p w14:paraId="6E38268F" w14:textId="7120C4F8" w:rsidR="00D91ED4" w:rsidRPr="00D91ED4" w:rsidRDefault="00D91ED4" w:rsidP="006F663C">
      <w:pPr>
        <w:pStyle w:val="xmsonormal"/>
        <w:numPr>
          <w:ilvl w:val="0"/>
          <w:numId w:val="26"/>
        </w:numPr>
        <w:shd w:val="clear" w:color="auto" w:fill="FFFFFF"/>
        <w:rPr>
          <w:rFonts w:asciiTheme="minorHAnsi" w:eastAsia="Times New Roman" w:hAnsiTheme="minorHAnsi" w:cstheme="minorHAnsi"/>
          <w:color w:val="201F1E"/>
        </w:rPr>
      </w:pPr>
      <w:r w:rsidRPr="00D91ED4">
        <w:rPr>
          <w:rFonts w:asciiTheme="minorHAnsi" w:eastAsia="Times New Roman" w:hAnsiTheme="minorHAnsi" w:cstheme="minorHAnsi"/>
          <w:color w:val="000000"/>
          <w:bdr w:val="none" w:sz="0" w:space="0" w:color="auto" w:frame="1"/>
        </w:rPr>
        <w:t>Ensuring safe and quality outcomes</w:t>
      </w:r>
      <w:r w:rsidR="00465268">
        <w:rPr>
          <w:rFonts w:asciiTheme="minorHAnsi" w:eastAsia="Times New Roman" w:hAnsiTheme="minorHAnsi" w:cstheme="minorHAnsi"/>
          <w:color w:val="000000"/>
          <w:bdr w:val="none" w:sz="0" w:space="0" w:color="auto" w:frame="1"/>
        </w:rPr>
        <w:t>; and</w:t>
      </w:r>
    </w:p>
    <w:p w14:paraId="68D90F43" w14:textId="0CA54AF8" w:rsidR="00D91ED4" w:rsidRPr="004E7411" w:rsidRDefault="00D91ED4" w:rsidP="006F663C">
      <w:pPr>
        <w:pStyle w:val="xmsonormal"/>
        <w:numPr>
          <w:ilvl w:val="0"/>
          <w:numId w:val="26"/>
        </w:numPr>
        <w:shd w:val="clear" w:color="auto" w:fill="FFFFFF"/>
        <w:rPr>
          <w:rFonts w:asciiTheme="minorHAnsi" w:eastAsia="Times New Roman" w:hAnsiTheme="minorHAnsi" w:cstheme="minorHAnsi"/>
          <w:color w:val="201F1E"/>
        </w:rPr>
      </w:pPr>
      <w:r w:rsidRPr="00D91ED4">
        <w:rPr>
          <w:rFonts w:asciiTheme="minorHAnsi" w:eastAsia="Times New Roman" w:hAnsiTheme="minorHAnsi" w:cstheme="minorHAnsi"/>
          <w:color w:val="000000"/>
          <w:bdr w:val="none" w:sz="0" w:space="0" w:color="auto" w:frame="1"/>
        </w:rPr>
        <w:t>Engaging</w:t>
      </w:r>
      <w:r w:rsidR="00465268">
        <w:rPr>
          <w:rFonts w:asciiTheme="minorHAnsi" w:eastAsia="Times New Roman" w:hAnsiTheme="minorHAnsi" w:cstheme="minorHAnsi"/>
          <w:color w:val="000000"/>
          <w:bdr w:val="none" w:sz="0" w:space="0" w:color="auto" w:frame="1"/>
        </w:rPr>
        <w:t xml:space="preserve"> Hospital’s</w:t>
      </w:r>
      <w:r w:rsidRPr="00D91ED4">
        <w:rPr>
          <w:rFonts w:asciiTheme="minorHAnsi" w:eastAsia="Times New Roman" w:hAnsiTheme="minorHAnsi" w:cstheme="minorHAnsi"/>
          <w:color w:val="000000"/>
          <w:bdr w:val="none" w:sz="0" w:space="0" w:color="auto" w:frame="1"/>
        </w:rPr>
        <w:t xml:space="preserve"> patients and their loved ones in their care plan</w:t>
      </w:r>
      <w:r w:rsidR="00465268">
        <w:rPr>
          <w:rFonts w:asciiTheme="minorHAnsi" w:eastAsia="Times New Roman" w:hAnsiTheme="minorHAnsi" w:cstheme="minorHAnsi"/>
          <w:color w:val="000000"/>
          <w:bdr w:val="none" w:sz="0" w:space="0" w:color="auto" w:frame="1"/>
        </w:rPr>
        <w:t>.</w:t>
      </w:r>
      <w:r w:rsidRPr="00D91ED4">
        <w:rPr>
          <w:rFonts w:asciiTheme="minorHAnsi" w:eastAsia="Times New Roman" w:hAnsiTheme="minorHAnsi" w:cstheme="minorHAnsi"/>
          <w:color w:val="000000"/>
          <w:bdr w:val="none" w:sz="0" w:space="0" w:color="auto" w:frame="1"/>
        </w:rPr>
        <w:t> </w:t>
      </w:r>
    </w:p>
    <w:p w14:paraId="6A2B5FDE" w14:textId="1DD3A25D" w:rsidR="00D91ED4" w:rsidRPr="00D91ED4" w:rsidRDefault="00D91ED4" w:rsidP="006F663C">
      <w:pPr>
        <w:autoSpaceDE w:val="0"/>
        <w:autoSpaceDN w:val="0"/>
        <w:adjustRightInd w:val="0"/>
        <w:ind w:left="1440"/>
      </w:pPr>
      <w:r w:rsidRPr="004E7411">
        <w:rPr>
          <w:i/>
          <w:iCs/>
        </w:rPr>
        <w:t>Projections:</w:t>
      </w:r>
      <w:r w:rsidRPr="00D91ED4">
        <w:t xml:space="preserve"> Since the Proposed Project has not occurred, the Applicant will establish a benchmark of 92%</w:t>
      </w:r>
      <w:r w:rsidR="007E2C99">
        <w:rPr>
          <w:rStyle w:val="FootnoteReference"/>
        </w:rPr>
        <w:footnoteReference w:id="19"/>
      </w:r>
      <w:r w:rsidRPr="00D91ED4">
        <w:t xml:space="preserve"> for the overall rating of care.   </w:t>
      </w:r>
    </w:p>
    <w:p w14:paraId="1D09C262" w14:textId="4FA61F93" w:rsidR="00D91ED4" w:rsidRDefault="00D91ED4" w:rsidP="006F663C">
      <w:pPr>
        <w:autoSpaceDE w:val="0"/>
        <w:autoSpaceDN w:val="0"/>
        <w:adjustRightInd w:val="0"/>
        <w:ind w:left="1440"/>
      </w:pPr>
      <w:r w:rsidRPr="004E7411">
        <w:rPr>
          <w:i/>
          <w:iCs/>
        </w:rPr>
        <w:t>Monitoring:</w:t>
      </w:r>
      <w:r w:rsidRPr="00D91ED4">
        <w:t xml:space="preserve"> Any category receiving less than </w:t>
      </w:r>
      <w:r w:rsidR="00923879" w:rsidRPr="00D91ED4">
        <w:t>the national</w:t>
      </w:r>
      <w:r w:rsidRPr="00D91ED4">
        <w:t xml:space="preserve"> benchmark will be evaluated and policy changes instituted as appropriate.  Metrics will be reviewed monthly. </w:t>
      </w:r>
    </w:p>
    <w:p w14:paraId="6771AC8E" w14:textId="77777777" w:rsidR="004E7411" w:rsidRPr="00D91ED4" w:rsidRDefault="004E7411" w:rsidP="00D91ED4">
      <w:pPr>
        <w:autoSpaceDE w:val="0"/>
        <w:autoSpaceDN w:val="0"/>
        <w:adjustRightInd w:val="0"/>
        <w:ind w:left="1440"/>
        <w:jc w:val="both"/>
      </w:pPr>
    </w:p>
    <w:p w14:paraId="391BC3BD" w14:textId="4A86A8E6" w:rsidR="00D91ED4" w:rsidRPr="004E7411" w:rsidRDefault="00D91ED4" w:rsidP="006F663C">
      <w:pPr>
        <w:pStyle w:val="ListParagraph"/>
        <w:numPr>
          <w:ilvl w:val="0"/>
          <w:numId w:val="25"/>
        </w:numPr>
        <w:autoSpaceDE w:val="0"/>
        <w:autoSpaceDN w:val="0"/>
        <w:adjustRightInd w:val="0"/>
        <w:spacing w:after="0" w:line="240" w:lineRule="auto"/>
        <w:rPr>
          <w:rFonts w:cstheme="minorHAnsi"/>
          <w:sz w:val="24"/>
          <w:szCs w:val="24"/>
        </w:rPr>
      </w:pPr>
      <w:r w:rsidRPr="004E7411">
        <w:rPr>
          <w:rFonts w:cstheme="minorHAnsi"/>
          <w:b/>
          <w:bCs/>
          <w:sz w:val="24"/>
          <w:szCs w:val="24"/>
        </w:rPr>
        <w:t>Clinical Quality</w:t>
      </w:r>
      <w:r w:rsidR="004E7411" w:rsidRPr="004E7411">
        <w:rPr>
          <w:rFonts w:cstheme="minorHAnsi"/>
          <w:sz w:val="24"/>
          <w:szCs w:val="24"/>
        </w:rPr>
        <w:t xml:space="preserve"> - </w:t>
      </w:r>
      <w:r w:rsidRPr="004E7411">
        <w:rPr>
          <w:b/>
          <w:bCs/>
          <w:sz w:val="24"/>
          <w:szCs w:val="24"/>
        </w:rPr>
        <w:t>Vent Wean Rates</w:t>
      </w:r>
      <w:r w:rsidR="004E7411" w:rsidRPr="004E7411">
        <w:rPr>
          <w:b/>
          <w:bCs/>
          <w:sz w:val="24"/>
          <w:szCs w:val="24"/>
        </w:rPr>
        <w:t>:</w:t>
      </w:r>
      <w:r w:rsidRPr="004E7411">
        <w:rPr>
          <w:sz w:val="24"/>
          <w:szCs w:val="24"/>
        </w:rPr>
        <w:t xml:space="preserve">    </w:t>
      </w:r>
      <w:r w:rsidR="004E7411">
        <w:rPr>
          <w:sz w:val="24"/>
          <w:szCs w:val="24"/>
        </w:rPr>
        <w:t>One</w:t>
      </w:r>
      <w:r w:rsidRPr="004E7411">
        <w:rPr>
          <w:sz w:val="24"/>
          <w:szCs w:val="24"/>
        </w:rPr>
        <w:t xml:space="preserve"> of the top five diagnosis for the Hospital is respiratory illness.  This measure evaluates the number of patients that are weaned from ventilators, i.e. decreasing the degree of ventilator support and allowing the patient to assume a greater proportion of their own ventilation. </w:t>
      </w:r>
    </w:p>
    <w:p w14:paraId="28ED4C5B" w14:textId="04423558" w:rsidR="002C1F27" w:rsidRPr="002C1F27" w:rsidRDefault="00D91ED4" w:rsidP="006F663C">
      <w:pPr>
        <w:pStyle w:val="ListParagraph"/>
        <w:autoSpaceDE w:val="0"/>
        <w:autoSpaceDN w:val="0"/>
        <w:adjustRightInd w:val="0"/>
        <w:ind w:left="1440"/>
        <w:rPr>
          <w:rFonts w:cstheme="minorHAnsi"/>
          <w:sz w:val="24"/>
          <w:szCs w:val="24"/>
        </w:rPr>
      </w:pPr>
      <w:r w:rsidRPr="002C1F27">
        <w:rPr>
          <w:rFonts w:cstheme="minorHAnsi"/>
          <w:i/>
          <w:iCs/>
          <w:sz w:val="24"/>
          <w:szCs w:val="24"/>
        </w:rPr>
        <w:t>Measure:</w:t>
      </w:r>
      <w:r w:rsidR="002C1F27">
        <w:rPr>
          <w:rFonts w:cstheme="minorHAnsi"/>
          <w:i/>
          <w:iCs/>
          <w:sz w:val="24"/>
          <w:szCs w:val="24"/>
        </w:rPr>
        <w:t xml:space="preserve"> </w:t>
      </w:r>
      <w:r w:rsidRPr="002C1F27">
        <w:rPr>
          <w:rFonts w:cstheme="minorHAnsi"/>
          <w:sz w:val="24"/>
          <w:szCs w:val="24"/>
        </w:rPr>
        <w:t xml:space="preserve">The wean rate is determined by the number of patients on a ventilator at admission that are successfully weaned (≥48 hours) at the time of discharge. </w:t>
      </w:r>
    </w:p>
    <w:p w14:paraId="1BD2E259" w14:textId="4686F6E4" w:rsidR="002C1F27" w:rsidRPr="002C1F27" w:rsidRDefault="00D91ED4" w:rsidP="006F663C">
      <w:pPr>
        <w:pStyle w:val="ListParagraph"/>
        <w:autoSpaceDE w:val="0"/>
        <w:autoSpaceDN w:val="0"/>
        <w:adjustRightInd w:val="0"/>
        <w:ind w:left="1440"/>
        <w:rPr>
          <w:rFonts w:cstheme="minorHAnsi"/>
          <w:sz w:val="24"/>
          <w:szCs w:val="24"/>
        </w:rPr>
      </w:pPr>
      <w:r w:rsidRPr="002C1F27">
        <w:rPr>
          <w:rFonts w:cstheme="minorHAnsi"/>
          <w:i/>
          <w:iCs/>
          <w:sz w:val="24"/>
          <w:szCs w:val="24"/>
        </w:rPr>
        <w:t>Projections:</w:t>
      </w:r>
      <w:r w:rsidRPr="002C1F27">
        <w:rPr>
          <w:rFonts w:cstheme="minorHAnsi"/>
          <w:sz w:val="24"/>
          <w:szCs w:val="24"/>
        </w:rPr>
        <w:t xml:space="preserve"> The Hospital has demonstrated a wean rate from ventilators that is higher than the national average.  For the reporting period of April 1, </w:t>
      </w:r>
      <w:r w:rsidR="000950BE" w:rsidRPr="002C1F27">
        <w:rPr>
          <w:rFonts w:cstheme="minorHAnsi"/>
          <w:sz w:val="24"/>
          <w:szCs w:val="24"/>
        </w:rPr>
        <w:t>2023,</w:t>
      </w:r>
      <w:r w:rsidRPr="002C1F27">
        <w:rPr>
          <w:rFonts w:cstheme="minorHAnsi"/>
          <w:sz w:val="24"/>
          <w:szCs w:val="24"/>
        </w:rPr>
        <w:t xml:space="preserve"> through March 30, 2024, the Hospital reported a wean rate of 67.5% compared to the national average of 52.9%.</w:t>
      </w:r>
      <w:r w:rsidR="000E750E" w:rsidRPr="002C1F27">
        <w:rPr>
          <w:rStyle w:val="EndnoteReference"/>
          <w:rFonts w:cstheme="minorHAnsi"/>
          <w:sz w:val="24"/>
          <w:szCs w:val="24"/>
        </w:rPr>
        <w:endnoteReference w:id="22"/>
      </w:r>
      <w:r w:rsidR="000E750E" w:rsidRPr="002C1F27">
        <w:rPr>
          <w:rFonts w:cstheme="minorHAnsi"/>
          <w:sz w:val="24"/>
          <w:szCs w:val="24"/>
        </w:rPr>
        <w:t xml:space="preserve"> </w:t>
      </w:r>
      <w:r w:rsidRPr="002C1F27">
        <w:rPr>
          <w:rFonts w:cstheme="minorHAnsi"/>
          <w:sz w:val="24"/>
          <w:szCs w:val="24"/>
        </w:rPr>
        <w:t xml:space="preserve">Since the Proposed Project has not occurred, the Applicant will maintain its wean rate of 67.5% for this measure and reassess as Applicant collects data.  </w:t>
      </w:r>
    </w:p>
    <w:p w14:paraId="601DDD48" w14:textId="368730C1" w:rsidR="00D91ED4" w:rsidRDefault="00D91ED4" w:rsidP="006F663C">
      <w:pPr>
        <w:pStyle w:val="ListParagraph"/>
        <w:autoSpaceDE w:val="0"/>
        <w:autoSpaceDN w:val="0"/>
        <w:adjustRightInd w:val="0"/>
        <w:ind w:left="1440"/>
        <w:rPr>
          <w:rFonts w:cstheme="minorHAnsi"/>
          <w:color w:val="FF0000"/>
          <w:sz w:val="24"/>
          <w:szCs w:val="24"/>
        </w:rPr>
      </w:pPr>
      <w:r w:rsidRPr="002C1F27">
        <w:rPr>
          <w:rFonts w:cstheme="minorHAnsi"/>
          <w:i/>
          <w:iCs/>
          <w:sz w:val="24"/>
          <w:szCs w:val="24"/>
        </w:rPr>
        <w:t>Monitoring</w:t>
      </w:r>
      <w:r w:rsidR="000950BE" w:rsidRPr="002C1F27">
        <w:rPr>
          <w:rFonts w:cstheme="minorHAnsi"/>
          <w:i/>
          <w:iCs/>
          <w:sz w:val="24"/>
          <w:szCs w:val="24"/>
        </w:rPr>
        <w:t>:</w:t>
      </w:r>
      <w:r w:rsidR="000950BE" w:rsidRPr="002C1F27">
        <w:rPr>
          <w:rFonts w:cstheme="minorHAnsi"/>
          <w:sz w:val="24"/>
          <w:szCs w:val="24"/>
        </w:rPr>
        <w:t xml:space="preserve"> Reviewed</w:t>
      </w:r>
      <w:r w:rsidRPr="002C1F27">
        <w:rPr>
          <w:rFonts w:cstheme="minorHAnsi"/>
          <w:sz w:val="24"/>
          <w:szCs w:val="24"/>
        </w:rPr>
        <w:t xml:space="preserve"> monthly</w:t>
      </w:r>
      <w:r w:rsidRPr="002C1F27">
        <w:rPr>
          <w:rFonts w:cstheme="minorHAnsi"/>
          <w:color w:val="FF0000"/>
          <w:sz w:val="24"/>
          <w:szCs w:val="24"/>
        </w:rPr>
        <w:t xml:space="preserve"> </w:t>
      </w:r>
    </w:p>
    <w:p w14:paraId="110047D2" w14:textId="77777777" w:rsidR="002C1F27" w:rsidRPr="002C1F27" w:rsidRDefault="002C1F27" w:rsidP="002C1F27">
      <w:pPr>
        <w:pStyle w:val="ListParagraph"/>
        <w:autoSpaceDE w:val="0"/>
        <w:autoSpaceDN w:val="0"/>
        <w:adjustRightInd w:val="0"/>
        <w:ind w:left="1440"/>
        <w:jc w:val="both"/>
        <w:rPr>
          <w:rFonts w:cstheme="minorHAnsi"/>
          <w:sz w:val="24"/>
          <w:szCs w:val="24"/>
        </w:rPr>
      </w:pPr>
    </w:p>
    <w:p w14:paraId="6025CFCD" w14:textId="482BAC52" w:rsidR="00D91ED4" w:rsidRPr="006F663C" w:rsidRDefault="002C1F27" w:rsidP="006F663C">
      <w:pPr>
        <w:pStyle w:val="ListParagraph"/>
        <w:numPr>
          <w:ilvl w:val="0"/>
          <w:numId w:val="25"/>
        </w:numPr>
        <w:autoSpaceDE w:val="0"/>
        <w:autoSpaceDN w:val="0"/>
        <w:adjustRightInd w:val="0"/>
        <w:rPr>
          <w:sz w:val="24"/>
          <w:szCs w:val="24"/>
          <w:u w:val="single"/>
        </w:rPr>
      </w:pPr>
      <w:r w:rsidRPr="006F663C">
        <w:rPr>
          <w:b/>
          <w:bCs/>
          <w:sz w:val="24"/>
          <w:szCs w:val="24"/>
        </w:rPr>
        <w:t xml:space="preserve">Clinical Quality - </w:t>
      </w:r>
      <w:r w:rsidR="00D91ED4" w:rsidRPr="006F663C">
        <w:rPr>
          <w:b/>
          <w:bCs/>
          <w:sz w:val="24"/>
          <w:szCs w:val="24"/>
        </w:rPr>
        <w:t>New or Worsened HAPUs</w:t>
      </w:r>
      <w:r w:rsidR="00D91ED4" w:rsidRPr="006F663C">
        <w:rPr>
          <w:rStyle w:val="FootnoteReference"/>
          <w:rFonts w:cstheme="minorHAnsi"/>
          <w:b/>
          <w:bCs/>
          <w:sz w:val="24"/>
          <w:szCs w:val="24"/>
        </w:rPr>
        <w:footnoteReference w:id="20"/>
      </w:r>
      <w:r w:rsidR="006F663C">
        <w:rPr>
          <w:b/>
          <w:bCs/>
          <w:sz w:val="24"/>
          <w:szCs w:val="24"/>
        </w:rPr>
        <w:t xml:space="preserve">: </w:t>
      </w:r>
      <w:r w:rsidR="00D91ED4" w:rsidRPr="006F663C">
        <w:rPr>
          <w:sz w:val="24"/>
          <w:szCs w:val="24"/>
        </w:rPr>
        <w:t xml:space="preserve">LTCHs by their nature serve chronic conditions that include complex wounds.  For the reporting period of April 1, </w:t>
      </w:r>
      <w:r w:rsidR="000950BE" w:rsidRPr="006F663C">
        <w:rPr>
          <w:sz w:val="24"/>
          <w:szCs w:val="24"/>
        </w:rPr>
        <w:t>2023,</w:t>
      </w:r>
      <w:r w:rsidR="00D91ED4" w:rsidRPr="006F663C">
        <w:rPr>
          <w:sz w:val="24"/>
          <w:szCs w:val="24"/>
        </w:rPr>
        <w:t xml:space="preserve"> through March 30, </w:t>
      </w:r>
      <w:r w:rsidR="00D91ED4" w:rsidRPr="006F663C">
        <w:rPr>
          <w:sz w:val="24"/>
          <w:szCs w:val="24"/>
        </w:rPr>
        <w:lastRenderedPageBreak/>
        <w:t xml:space="preserve">2024, the Hospital reported that 9.5% of its patients had any stage of pressure ulcers that were new or worsened, compared to the national average of 2.4%. </w:t>
      </w:r>
    </w:p>
    <w:p w14:paraId="4C4346E7" w14:textId="2F77978D" w:rsidR="00D91ED4" w:rsidRPr="006F663C" w:rsidRDefault="00D91ED4" w:rsidP="006F663C">
      <w:pPr>
        <w:pStyle w:val="ListParagraph"/>
        <w:autoSpaceDE w:val="0"/>
        <w:autoSpaceDN w:val="0"/>
        <w:adjustRightInd w:val="0"/>
        <w:ind w:left="1440"/>
        <w:rPr>
          <w:rFonts w:cstheme="minorHAnsi"/>
          <w:sz w:val="24"/>
          <w:szCs w:val="24"/>
        </w:rPr>
      </w:pPr>
      <w:r w:rsidRPr="006F663C">
        <w:rPr>
          <w:rFonts w:cstheme="minorHAnsi"/>
          <w:i/>
          <w:iCs/>
          <w:sz w:val="24"/>
          <w:szCs w:val="24"/>
        </w:rPr>
        <w:t>Measure:</w:t>
      </w:r>
      <w:r w:rsidRPr="00D91ED4">
        <w:rPr>
          <w:rFonts w:cstheme="minorHAnsi"/>
          <w:sz w:val="24"/>
          <w:szCs w:val="24"/>
        </w:rPr>
        <w:t xml:space="preserve"> The number of patients with Stage 2-4 pressure ulcers, or unstageable pressure ulcers due to slough/eschar, non-removable dressing/device, or deep tissue injury, that were not present or were at a lesser stage on admission.</w:t>
      </w:r>
    </w:p>
    <w:p w14:paraId="6E8F88CE" w14:textId="0EAFA728" w:rsidR="006F663C" w:rsidRDefault="00D91ED4" w:rsidP="006F663C">
      <w:pPr>
        <w:pStyle w:val="ListParagraph"/>
        <w:autoSpaceDE w:val="0"/>
        <w:autoSpaceDN w:val="0"/>
        <w:adjustRightInd w:val="0"/>
        <w:ind w:left="1440"/>
        <w:rPr>
          <w:rFonts w:cstheme="minorHAnsi"/>
          <w:sz w:val="24"/>
          <w:szCs w:val="24"/>
        </w:rPr>
      </w:pPr>
      <w:r w:rsidRPr="006F663C">
        <w:rPr>
          <w:rFonts w:cstheme="minorHAnsi"/>
          <w:i/>
          <w:iCs/>
          <w:sz w:val="24"/>
          <w:szCs w:val="24"/>
        </w:rPr>
        <w:t>Projections:</w:t>
      </w:r>
      <w:r w:rsidR="006F663C">
        <w:rPr>
          <w:rFonts w:cstheme="minorHAnsi"/>
          <w:sz w:val="24"/>
          <w:szCs w:val="24"/>
        </w:rPr>
        <w:t xml:space="preserve"> </w:t>
      </w:r>
      <w:r w:rsidRPr="00D91ED4">
        <w:rPr>
          <w:rFonts w:cstheme="minorHAnsi"/>
          <w:sz w:val="24"/>
          <w:szCs w:val="24"/>
        </w:rPr>
        <w:t xml:space="preserve">Since the proposed project has not occurred, the Applicant plans to collect and assess the relevant patient data and address areas of need with respect to this measure. </w:t>
      </w:r>
      <w:r w:rsidR="00CC0152">
        <w:rPr>
          <w:rFonts w:cstheme="minorHAnsi"/>
          <w:sz w:val="24"/>
          <w:szCs w:val="24"/>
        </w:rPr>
        <w:t>Applicant</w:t>
      </w:r>
      <w:r w:rsidRPr="00D91ED4">
        <w:rPr>
          <w:rFonts w:cstheme="minorHAnsi"/>
          <w:sz w:val="24"/>
          <w:szCs w:val="24"/>
        </w:rPr>
        <w:t>’s provisional projected discharge rates for this measure are as follows: 7.2% at the end of Year 1; 4.9% in Year 2; and 2.5% in Year 3, consistent with the national average.  As stated above, Applicant will reassess its projections as it collects data and further familiarizes itself with the patient population.</w:t>
      </w:r>
    </w:p>
    <w:p w14:paraId="03AB6460" w14:textId="56D96F4C" w:rsidR="00FE449F" w:rsidRPr="006F663C" w:rsidRDefault="00D91ED4" w:rsidP="006F663C">
      <w:pPr>
        <w:pStyle w:val="ListParagraph"/>
        <w:autoSpaceDE w:val="0"/>
        <w:autoSpaceDN w:val="0"/>
        <w:adjustRightInd w:val="0"/>
        <w:ind w:left="1440"/>
        <w:rPr>
          <w:rFonts w:cstheme="minorHAnsi"/>
          <w:sz w:val="24"/>
          <w:szCs w:val="24"/>
        </w:rPr>
      </w:pPr>
      <w:r w:rsidRPr="006F663C">
        <w:rPr>
          <w:rFonts w:cstheme="minorHAnsi"/>
          <w:i/>
          <w:iCs/>
          <w:sz w:val="24"/>
          <w:szCs w:val="24"/>
        </w:rPr>
        <w:t>Monitoring:</w:t>
      </w:r>
      <w:r w:rsidRPr="00D91ED4">
        <w:rPr>
          <w:rFonts w:cstheme="minorHAnsi"/>
          <w:sz w:val="24"/>
          <w:szCs w:val="24"/>
        </w:rPr>
        <w:t xml:space="preserve"> Reviewed quarterly   </w:t>
      </w:r>
    </w:p>
    <w:p w14:paraId="7FBA6EF1" w14:textId="3C695C65" w:rsidR="00FE449F" w:rsidRPr="00FA0BC2" w:rsidRDefault="00FA0BC2" w:rsidP="00FA0BC2">
      <w:pPr>
        <w:pStyle w:val="Heading1"/>
        <w:rPr>
          <w:rFonts w:asciiTheme="minorHAnsi" w:hAnsiTheme="minorHAnsi" w:cstheme="minorHAnsi"/>
          <w:b w:val="0"/>
          <w:bCs w:val="0"/>
          <w:iCs/>
          <w:color w:val="000000" w:themeColor="text1"/>
        </w:rPr>
      </w:pPr>
      <w:bookmarkStart w:id="108" w:name="_Toc195703196"/>
      <w:bookmarkStart w:id="109" w:name="_Toc203037145"/>
      <w:r w:rsidRPr="002A3EEE">
        <w:rPr>
          <w:rFonts w:asciiTheme="minorHAnsi" w:hAnsiTheme="minorHAnsi" w:cstheme="minorHAnsi"/>
          <w:iCs/>
          <w:color w:val="000000" w:themeColor="text1"/>
        </w:rPr>
        <w:t>REFERENCES</w:t>
      </w:r>
      <w:bookmarkEnd w:id="108"/>
      <w:bookmarkEnd w:id="109"/>
    </w:p>
    <w:sectPr w:rsidR="00FE449F" w:rsidRPr="00FA0BC2" w:rsidSect="00FC3910">
      <w:headerReference w:type="even" r:id="rId12"/>
      <w:headerReference w:type="default" r:id="rId13"/>
      <w:footerReference w:type="even" r:id="rId14"/>
      <w:footerReference w:type="default" r:id="rId15"/>
      <w:headerReference w:type="first" r:id="rId16"/>
      <w:footerReference w:type="first" r:id="rId17"/>
      <w:endnotePr>
        <w:numFmt w:val="lowerLetter"/>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2C1F" w14:textId="77777777" w:rsidR="002E6CF5" w:rsidRDefault="002E6CF5" w:rsidP="008C0709">
      <w:r>
        <w:separator/>
      </w:r>
    </w:p>
  </w:endnote>
  <w:endnote w:type="continuationSeparator" w:id="0">
    <w:p w14:paraId="3C25A9AB" w14:textId="77777777" w:rsidR="002E6CF5" w:rsidRDefault="002E6CF5" w:rsidP="008C0709">
      <w:r>
        <w:continuationSeparator/>
      </w:r>
    </w:p>
  </w:endnote>
  <w:endnote w:type="continuationNotice" w:id="1">
    <w:p w14:paraId="4BDFFBE5" w14:textId="77777777" w:rsidR="002E6CF5" w:rsidRDefault="002E6CF5"/>
  </w:endnote>
  <w:endnote w:id="2">
    <w:p w14:paraId="1F2A8490" w14:textId="19CD44D7" w:rsidR="007926B0" w:rsidRPr="00C31577" w:rsidRDefault="007926B0" w:rsidP="007926B0">
      <w:pPr>
        <w:pStyle w:val="EndnoteText"/>
        <w:rPr>
          <w:rFonts w:cstheme="minorHAnsi"/>
        </w:rPr>
      </w:pPr>
      <w:r w:rsidRPr="00C31577">
        <w:rPr>
          <w:rStyle w:val="EndnoteReference"/>
          <w:rFonts w:cstheme="minorHAnsi"/>
        </w:rPr>
        <w:endnoteRef/>
      </w:r>
      <w:r w:rsidRPr="00C31577">
        <w:rPr>
          <w:rFonts w:cstheme="minorHAnsi"/>
        </w:rPr>
        <w:t xml:space="preserve"> United States Census Bureau, </w:t>
      </w:r>
      <w:hyperlink r:id="rId1" w:history="1">
        <w:r w:rsidRPr="002A38D6">
          <w:rPr>
            <w:rStyle w:val="Hyperlink"/>
            <w:rFonts w:cstheme="minorHAnsi"/>
            <w:i/>
            <w:iCs/>
            <w:color w:val="000000" w:themeColor="text1"/>
            <w:u w:val="none"/>
          </w:rPr>
          <w:t>Quick Facts</w:t>
        </w:r>
        <w:r w:rsidR="00B42BF1" w:rsidRPr="002A38D6">
          <w:rPr>
            <w:rStyle w:val="Hyperlink"/>
            <w:rFonts w:cstheme="minorHAnsi"/>
            <w:i/>
            <w:iCs/>
            <w:color w:val="000000" w:themeColor="text1"/>
            <w:u w:val="none"/>
          </w:rPr>
          <w:t xml:space="preserve"> July 1, 2023 (V2023)</w:t>
        </w:r>
        <w:r w:rsidRPr="002A38D6">
          <w:rPr>
            <w:rStyle w:val="Hyperlink"/>
            <w:rFonts w:cstheme="minorHAnsi"/>
            <w:color w:val="000000" w:themeColor="text1"/>
            <w:u w:val="none"/>
          </w:rPr>
          <w:t>,</w:t>
        </w:r>
      </w:hyperlink>
      <w:r w:rsidRPr="002A38D6">
        <w:rPr>
          <w:rFonts w:cstheme="minorHAnsi"/>
          <w:color w:val="000000" w:themeColor="text1"/>
        </w:rPr>
        <w:t xml:space="preserve"> </w:t>
      </w:r>
      <w:r w:rsidRPr="002A38D6">
        <w:rPr>
          <w:rFonts w:cstheme="minorHAnsi"/>
          <w:color w:val="000000" w:themeColor="text1"/>
          <w:shd w:val="clear" w:color="auto" w:fill="FFFFFF"/>
        </w:rPr>
        <w:t xml:space="preserve">Retrieved </w:t>
      </w:r>
      <w:r w:rsidR="00B7612C" w:rsidRPr="00C31577">
        <w:rPr>
          <w:rFonts w:cstheme="minorHAnsi"/>
          <w:color w:val="414042"/>
          <w:shd w:val="clear" w:color="auto" w:fill="FFFFFF"/>
        </w:rPr>
        <w:t>April 25, 2025</w:t>
      </w:r>
      <w:r w:rsidRPr="00C31577">
        <w:rPr>
          <w:rFonts w:cstheme="minorHAnsi"/>
          <w:color w:val="414042"/>
          <w:shd w:val="clear" w:color="auto" w:fill="FFFFFF"/>
        </w:rPr>
        <w:t>, from</w:t>
      </w:r>
      <w:r w:rsidR="00B7612C" w:rsidRPr="00C31577">
        <w:rPr>
          <w:rFonts w:cstheme="minorHAnsi"/>
        </w:rPr>
        <w:t xml:space="preserve"> </w:t>
      </w:r>
      <w:hyperlink r:id="rId2" w:history="1">
        <w:r w:rsidR="0068063A" w:rsidRPr="00C31577">
          <w:rPr>
            <w:rStyle w:val="Hyperlink"/>
            <w:rFonts w:cstheme="minorHAnsi"/>
            <w:color w:val="234170" w:themeColor="text2" w:themeShade="BF"/>
          </w:rPr>
          <w:t>https://www.census.gov/quickfacts/fact/table/MA/PST045223</w:t>
        </w:r>
      </w:hyperlink>
      <w:r w:rsidR="0068063A" w:rsidRPr="00C31577">
        <w:rPr>
          <w:rFonts w:cstheme="minorHAnsi"/>
        </w:rPr>
        <w:t xml:space="preserve"> </w:t>
      </w:r>
      <w:r w:rsidRPr="00C31577">
        <w:rPr>
          <w:rFonts w:cstheme="minorHAnsi"/>
        </w:rPr>
        <w:t>.</w:t>
      </w:r>
    </w:p>
  </w:endnote>
  <w:endnote w:id="3">
    <w:p w14:paraId="2511B323" w14:textId="145779FB" w:rsidR="00642135" w:rsidRPr="00C31577" w:rsidRDefault="00642135" w:rsidP="00274169">
      <w:pPr>
        <w:pStyle w:val="EndnoteText"/>
        <w:rPr>
          <w:rFonts w:cstheme="minorHAnsi"/>
        </w:rPr>
      </w:pPr>
      <w:r w:rsidRPr="00C31577">
        <w:rPr>
          <w:rStyle w:val="EndnoteReference"/>
          <w:rFonts w:cstheme="minorHAnsi"/>
        </w:rPr>
        <w:endnoteRef/>
      </w:r>
      <w:r w:rsidRPr="00C31577">
        <w:rPr>
          <w:rFonts w:cstheme="minorHAnsi"/>
        </w:rPr>
        <w:t xml:space="preserve"> See </w:t>
      </w:r>
      <w:hyperlink r:id="rId3" w:history="1">
        <w:r w:rsidRPr="002A38D6">
          <w:rPr>
            <w:rStyle w:val="Hyperlink"/>
            <w:rFonts w:cstheme="minorHAnsi"/>
            <w:color w:val="000000" w:themeColor="text1"/>
            <w:u w:val="none"/>
          </w:rPr>
          <w:t>AHA Fact Sheet: Long-term Care Hospitals</w:t>
        </w:r>
      </w:hyperlink>
      <w:r w:rsidRPr="002A38D6">
        <w:rPr>
          <w:rFonts w:cstheme="minorHAnsi"/>
          <w:color w:val="000000" w:themeColor="text1"/>
        </w:rPr>
        <w:t xml:space="preserve"> at</w:t>
      </w:r>
      <w:r w:rsidRPr="00C31577">
        <w:rPr>
          <w:rFonts w:cstheme="minorHAnsi"/>
        </w:rPr>
        <w:t xml:space="preserve">: </w:t>
      </w:r>
      <w:hyperlink r:id="rId4" w:history="1">
        <w:r w:rsidRPr="00C31577">
          <w:rPr>
            <w:rStyle w:val="Hyperlink"/>
            <w:rFonts w:cstheme="minorHAnsi"/>
            <w:color w:val="2C395D" w:themeColor="accent1" w:themeShade="80"/>
          </w:rPr>
          <w:t>https://www.aha.org/system/files/media/file/2019/04/fact-sheet-ltch-0319.pdf</w:t>
        </w:r>
      </w:hyperlink>
      <w:r w:rsidRPr="00C31577">
        <w:rPr>
          <w:rFonts w:cstheme="minorHAnsi"/>
          <w:color w:val="2C395D" w:themeColor="accent1" w:themeShade="80"/>
        </w:rPr>
        <w:t xml:space="preserve">  </w:t>
      </w:r>
      <w:r w:rsidRPr="00C31577">
        <w:rPr>
          <w:rFonts w:cstheme="minorHAnsi"/>
        </w:rPr>
        <w:t>(March 2019).</w:t>
      </w:r>
    </w:p>
  </w:endnote>
  <w:endnote w:id="4">
    <w:p w14:paraId="3311FF7C" w14:textId="77777777" w:rsidR="00642135" w:rsidRPr="00C31577" w:rsidRDefault="00642135" w:rsidP="00274169">
      <w:pPr>
        <w:pStyle w:val="EndnoteText"/>
        <w:rPr>
          <w:rFonts w:cstheme="minorHAnsi"/>
        </w:rPr>
      </w:pPr>
      <w:r w:rsidRPr="00C31577">
        <w:rPr>
          <w:rStyle w:val="EndnoteReference"/>
          <w:rFonts w:cstheme="minorHAnsi"/>
        </w:rPr>
        <w:endnoteRef/>
      </w:r>
      <w:r w:rsidRPr="00C31577">
        <w:rPr>
          <w:rFonts w:cstheme="minorHAnsi"/>
        </w:rPr>
        <w:t xml:space="preserve"> </w:t>
      </w:r>
      <w:r w:rsidRPr="00C31577">
        <w:rPr>
          <w:rFonts w:cstheme="minorHAnsi"/>
          <w:i/>
          <w:iCs/>
        </w:rPr>
        <w:t>Id.</w:t>
      </w:r>
    </w:p>
  </w:endnote>
  <w:endnote w:id="5">
    <w:p w14:paraId="1AC4BDFF" w14:textId="1783627C" w:rsidR="00AF1B6E" w:rsidRPr="00C31577" w:rsidRDefault="00AF1B6E" w:rsidP="00414EAB">
      <w:pPr>
        <w:pStyle w:val="EndnoteText"/>
        <w:rPr>
          <w:rFonts w:cstheme="minorHAnsi"/>
        </w:rPr>
      </w:pPr>
      <w:r w:rsidRPr="00C31577">
        <w:rPr>
          <w:rStyle w:val="EndnoteReference"/>
          <w:rFonts w:cstheme="minorHAnsi"/>
        </w:rPr>
        <w:endnoteRef/>
      </w:r>
      <w:r w:rsidRPr="00C31577">
        <w:rPr>
          <w:rFonts w:cstheme="minorHAnsi"/>
        </w:rPr>
        <w:t xml:space="preserve"> </w:t>
      </w:r>
      <w:hyperlink r:id="rId5" w:history="1">
        <w:r w:rsidRPr="002A38D6">
          <w:rPr>
            <w:rStyle w:val="Hyperlink"/>
            <w:rFonts w:cstheme="minorHAnsi"/>
            <w:i/>
            <w:color w:val="000000" w:themeColor="text1"/>
            <w:u w:val="none"/>
          </w:rPr>
          <w:t>Throughput Survey Report</w:t>
        </w:r>
      </w:hyperlink>
      <w:r w:rsidRPr="002A38D6">
        <w:rPr>
          <w:rFonts w:cstheme="minorHAnsi"/>
          <w:color w:val="000000" w:themeColor="text1"/>
        </w:rPr>
        <w:t xml:space="preserve">, </w:t>
      </w:r>
      <w:r w:rsidRPr="002A38D6">
        <w:rPr>
          <w:rFonts w:cstheme="minorHAnsi"/>
          <w:smallCaps/>
          <w:color w:val="000000" w:themeColor="text1"/>
        </w:rPr>
        <w:t>Mass</w:t>
      </w:r>
      <w:r w:rsidRPr="00C31577">
        <w:rPr>
          <w:rFonts w:cstheme="minorHAnsi"/>
          <w:smallCaps/>
        </w:rPr>
        <w:t>. Health &amp; Hosp. Assn</w:t>
      </w:r>
      <w:r w:rsidRPr="00C31577">
        <w:rPr>
          <w:rFonts w:cstheme="minorHAnsi"/>
        </w:rPr>
        <w:t xml:space="preserve"> (Dec. 2024), </w:t>
      </w:r>
      <w:hyperlink r:id="rId6" w:history="1">
        <w:r w:rsidR="000E750E" w:rsidRPr="00C31577">
          <w:rPr>
            <w:rStyle w:val="Hyperlink"/>
            <w:rFonts w:cstheme="minorHAnsi"/>
            <w:color w:val="234170" w:themeColor="text2" w:themeShade="BF"/>
          </w:rPr>
          <w:t>https://mhalink.informz.net/mhalink/data/images/December%202024%20Throughput%20Survey%20Report%20Draft%20v2.pdf</w:t>
        </w:r>
      </w:hyperlink>
      <w:r w:rsidR="000E750E" w:rsidRPr="00C31577">
        <w:rPr>
          <w:rFonts w:cstheme="minorHAnsi"/>
        </w:rPr>
        <w:t xml:space="preserve"> </w:t>
      </w:r>
      <w:r w:rsidRPr="00C31577">
        <w:rPr>
          <w:rFonts w:cstheme="minorHAnsi"/>
        </w:rPr>
        <w:t>.</w:t>
      </w:r>
    </w:p>
  </w:endnote>
  <w:endnote w:id="6">
    <w:p w14:paraId="08B9B25C" w14:textId="3053401A" w:rsidR="00AF1B6E" w:rsidRPr="00C31577" w:rsidRDefault="00AF1B6E" w:rsidP="00414EAB">
      <w:pPr>
        <w:pStyle w:val="EndnoteText"/>
        <w:rPr>
          <w:rFonts w:cstheme="minorHAnsi"/>
        </w:rPr>
      </w:pPr>
      <w:r w:rsidRPr="00C31577">
        <w:rPr>
          <w:rStyle w:val="EndnoteReference"/>
          <w:rFonts w:cstheme="minorHAnsi"/>
        </w:rPr>
        <w:endnoteRef/>
      </w:r>
      <w:r w:rsidRPr="00C31577">
        <w:rPr>
          <w:rFonts w:cstheme="minorHAnsi"/>
        </w:rPr>
        <w:t xml:space="preserve"> </w:t>
      </w:r>
      <w:hyperlink r:id="rId7" w:history="1">
        <w:r w:rsidR="00EE7A0C" w:rsidRPr="002A38D6">
          <w:rPr>
            <w:rStyle w:val="Hyperlink"/>
            <w:rFonts w:cstheme="minorHAnsi"/>
            <w:i/>
            <w:color w:val="000000" w:themeColor="text1"/>
            <w:u w:val="none"/>
          </w:rPr>
          <w:t>Throughput Survey Report</w:t>
        </w:r>
      </w:hyperlink>
      <w:r w:rsidR="00EE7A0C" w:rsidRPr="002A38D6">
        <w:rPr>
          <w:rFonts w:cstheme="minorHAnsi"/>
          <w:color w:val="000000" w:themeColor="text1"/>
        </w:rPr>
        <w:t xml:space="preserve">, </w:t>
      </w:r>
      <w:r w:rsidR="00EE7A0C" w:rsidRPr="002A38D6">
        <w:rPr>
          <w:rFonts w:cstheme="minorHAnsi"/>
          <w:smallCaps/>
          <w:color w:val="000000" w:themeColor="text1"/>
        </w:rPr>
        <w:t>Mass</w:t>
      </w:r>
      <w:r w:rsidR="00EE7A0C" w:rsidRPr="00C31577">
        <w:rPr>
          <w:rFonts w:cstheme="minorHAnsi"/>
          <w:smallCaps/>
        </w:rPr>
        <w:t>. Health &amp; Hosp. Assn</w:t>
      </w:r>
      <w:r w:rsidR="00EE7A0C" w:rsidRPr="00C31577">
        <w:rPr>
          <w:rFonts w:cstheme="minorHAnsi"/>
        </w:rPr>
        <w:t xml:space="preserve"> (Dec. 2024), </w:t>
      </w:r>
      <w:hyperlink r:id="rId8" w:history="1">
        <w:r w:rsidR="00EE7A0C" w:rsidRPr="00C31577">
          <w:rPr>
            <w:rStyle w:val="Hyperlink"/>
            <w:rFonts w:cstheme="minorHAnsi"/>
            <w:color w:val="234170" w:themeColor="text2" w:themeShade="BF"/>
          </w:rPr>
          <w:t>https://mhalink.informz.net/mhalink/data/images/December%202024%20Throughput%20Survey%20Report%20Draft%20v2.pdf</w:t>
        </w:r>
      </w:hyperlink>
      <w:r w:rsidR="00EE7A0C" w:rsidRPr="00C31577">
        <w:rPr>
          <w:rFonts w:cstheme="minorHAnsi"/>
        </w:rPr>
        <w:t xml:space="preserve"> .</w:t>
      </w:r>
    </w:p>
  </w:endnote>
  <w:endnote w:id="7">
    <w:p w14:paraId="4B775945" w14:textId="77777777" w:rsidR="003A24BC" w:rsidRPr="00C31577" w:rsidRDefault="003A24BC" w:rsidP="00312581">
      <w:pPr>
        <w:pStyle w:val="EndnoteText"/>
        <w:rPr>
          <w:rFonts w:cstheme="minorHAnsi"/>
        </w:rPr>
      </w:pPr>
      <w:r w:rsidRPr="00C31577">
        <w:rPr>
          <w:rStyle w:val="EndnoteReference"/>
          <w:rFonts w:cstheme="minorHAnsi"/>
        </w:rPr>
        <w:endnoteRef/>
      </w:r>
      <w:r w:rsidRPr="00C31577">
        <w:rPr>
          <w:rFonts w:cstheme="minorHAnsi"/>
        </w:rPr>
        <w:t xml:space="preserve"> The backlog facing patients that are transferring to post-acute facilities remains an issue, most recently highlighted by the planned closure of New England Sinai Hospital in Stoughton. (“‘The planned closure of New England Sinai adds yet another layer of fragility to our state’s healthcare system,’ said MHA Vice President of Clinical Affairs Patricia Noga, R.N. ‘We know it is already a massive challenge for patients to find post-acute care services and for hospitals to discharge individuals to the next level of care.’” </w:t>
      </w:r>
      <w:r w:rsidRPr="00C31577">
        <w:rPr>
          <w:rFonts w:cstheme="minorHAnsi"/>
          <w:i/>
        </w:rPr>
        <w:t>Monday Report, New England Sinai Closure Adds to SE Mass. Capacity Problem</w:t>
      </w:r>
      <w:r w:rsidRPr="00C31577">
        <w:rPr>
          <w:rFonts w:cstheme="minorHAnsi"/>
        </w:rPr>
        <w:t xml:space="preserve">, </w:t>
      </w:r>
      <w:r w:rsidRPr="00C31577">
        <w:rPr>
          <w:rFonts w:cstheme="minorHAnsi"/>
          <w:smallCaps/>
        </w:rPr>
        <w:t>Mass. Health &amp; Hosp. Assn,</w:t>
      </w:r>
      <w:r w:rsidRPr="00C31577">
        <w:rPr>
          <w:rFonts w:cstheme="minorHAnsi"/>
        </w:rPr>
        <w:t xml:space="preserve"> Electronic mail, Dec. 11, 2023.).</w:t>
      </w:r>
    </w:p>
  </w:endnote>
  <w:endnote w:id="8">
    <w:p w14:paraId="1BFE58BA" w14:textId="38B0C20B" w:rsidR="005B40E9" w:rsidRPr="00C31577" w:rsidRDefault="005B40E9">
      <w:pPr>
        <w:pStyle w:val="EndnoteText"/>
        <w:rPr>
          <w:rFonts w:cstheme="minorHAnsi"/>
        </w:rPr>
      </w:pPr>
      <w:r w:rsidRPr="00C31577">
        <w:rPr>
          <w:rStyle w:val="EndnoteReference"/>
          <w:rFonts w:cstheme="minorHAnsi"/>
        </w:rPr>
        <w:endnoteRef/>
      </w:r>
      <w:r w:rsidRPr="00C31577">
        <w:rPr>
          <w:rFonts w:cstheme="minorHAnsi"/>
        </w:rPr>
        <w:t xml:space="preserve"> MHA, </w:t>
      </w:r>
      <w:hyperlink r:id="rId9" w:history="1">
        <w:r w:rsidRPr="00FB0A21">
          <w:rPr>
            <w:rStyle w:val="Hyperlink"/>
            <w:rFonts w:cstheme="minorHAnsi"/>
            <w:color w:val="000000" w:themeColor="text1"/>
            <w:u w:val="none"/>
          </w:rPr>
          <w:t>Monthly Throughput Survey Reports,</w:t>
        </w:r>
      </w:hyperlink>
      <w:r w:rsidRPr="00FB0A21">
        <w:rPr>
          <w:rFonts w:cstheme="minorHAnsi"/>
          <w:color w:val="000000" w:themeColor="text1"/>
        </w:rPr>
        <w:t xml:space="preserve"> MASS</w:t>
      </w:r>
      <w:r w:rsidRPr="00C31577">
        <w:rPr>
          <w:rFonts w:cstheme="minorHAnsi"/>
        </w:rPr>
        <w:t xml:space="preserve">. HEALTH &amp; HOSP. ASSN, </w:t>
      </w:r>
      <w:hyperlink r:id="rId10" w:history="1">
        <w:r w:rsidR="000E750E" w:rsidRPr="00C31577">
          <w:rPr>
            <w:rStyle w:val="Hyperlink"/>
            <w:rFonts w:cstheme="minorHAnsi"/>
            <w:color w:val="234170" w:themeColor="text2" w:themeShade="BF"/>
          </w:rPr>
          <w:t>https://www.mhalink.org/throughputreports/</w:t>
        </w:r>
      </w:hyperlink>
      <w:r w:rsidR="000E750E" w:rsidRPr="00C31577">
        <w:rPr>
          <w:rFonts w:cstheme="minorHAnsi"/>
        </w:rPr>
        <w:t xml:space="preserve"> </w:t>
      </w:r>
      <w:r w:rsidRPr="00C31577">
        <w:rPr>
          <w:rFonts w:cstheme="minorHAnsi"/>
        </w:rPr>
        <w:t>.</w:t>
      </w:r>
    </w:p>
  </w:endnote>
  <w:endnote w:id="9">
    <w:p w14:paraId="640FF495" w14:textId="700A1243" w:rsidR="00ED584E" w:rsidRPr="00C31577" w:rsidRDefault="00ED584E" w:rsidP="001F2990">
      <w:pPr>
        <w:pStyle w:val="EndnoteText"/>
        <w:rPr>
          <w:rFonts w:cstheme="minorHAnsi"/>
        </w:rPr>
      </w:pPr>
      <w:r w:rsidRPr="00C31577">
        <w:rPr>
          <w:rStyle w:val="EndnoteReference"/>
          <w:rFonts w:cstheme="minorHAnsi"/>
        </w:rPr>
        <w:endnoteRef/>
      </w:r>
      <w:r w:rsidRPr="00C31577">
        <w:rPr>
          <w:rFonts w:cstheme="minorHAnsi"/>
        </w:rPr>
        <w:t xml:space="preserve"> </w:t>
      </w:r>
      <w:r w:rsidRPr="00C31577">
        <w:rPr>
          <w:rFonts w:cstheme="minorHAnsi"/>
          <w:szCs w:val="24"/>
        </w:rPr>
        <w:t xml:space="preserve">See e.g., A. Jubran, B. J.B. Grant, L. A. Duffner  et al., </w:t>
      </w:r>
      <w:hyperlink r:id="rId11" w:history="1">
        <w:r w:rsidRPr="00FB0A21">
          <w:rPr>
            <w:rStyle w:val="Hyperlink"/>
            <w:rFonts w:cstheme="minorHAnsi"/>
            <w:i/>
            <w:color w:val="000000" w:themeColor="text1"/>
            <w:szCs w:val="24"/>
            <w:u w:val="none"/>
          </w:rPr>
          <w:t>Long-term Outcome after Prolonged Mechanical Ventilation</w:t>
        </w:r>
      </w:hyperlink>
      <w:r w:rsidRPr="00FB0A21">
        <w:rPr>
          <w:rFonts w:cstheme="minorHAnsi"/>
          <w:color w:val="000000" w:themeColor="text1"/>
          <w:szCs w:val="24"/>
        </w:rPr>
        <w:t xml:space="preserve">, 199 </w:t>
      </w:r>
      <w:r w:rsidRPr="00C31577">
        <w:rPr>
          <w:rFonts w:cstheme="minorHAnsi"/>
          <w:smallCaps/>
          <w:szCs w:val="24"/>
        </w:rPr>
        <w:t>Am J. Respiratory &amp; Crit. Care Med</w:t>
      </w:r>
      <w:r w:rsidRPr="00C31577">
        <w:rPr>
          <w:rFonts w:cstheme="minorHAnsi"/>
          <w:szCs w:val="24"/>
        </w:rPr>
        <w:t xml:space="preserve">. 1508 (June 15, 2019), </w:t>
      </w:r>
      <w:hyperlink r:id="rId12" w:history="1">
        <w:r w:rsidRPr="00C31577">
          <w:rPr>
            <w:rStyle w:val="Hyperlink"/>
            <w:rFonts w:cstheme="minorHAnsi"/>
            <w:color w:val="234170" w:themeColor="text2" w:themeShade="BF"/>
            <w:szCs w:val="24"/>
          </w:rPr>
          <w:t>https://www.ncbi.nlm.nih.gov/pmc/articles/PMC6580672/pdf/rccm.201806-1131OC.pdf</w:t>
        </w:r>
      </w:hyperlink>
      <w:r w:rsidRPr="00C31577">
        <w:rPr>
          <w:rFonts w:cstheme="minorHAnsi"/>
          <w:szCs w:val="24"/>
        </w:rPr>
        <w:t>.</w:t>
      </w:r>
    </w:p>
  </w:endnote>
  <w:endnote w:id="10">
    <w:p w14:paraId="5326EA05" w14:textId="31724F7F" w:rsidR="00ED584E" w:rsidRPr="00C31577" w:rsidRDefault="00ED584E" w:rsidP="001F2990">
      <w:pPr>
        <w:pStyle w:val="EndnoteText"/>
        <w:rPr>
          <w:rFonts w:cstheme="minorHAnsi"/>
        </w:rPr>
      </w:pPr>
      <w:r w:rsidRPr="00C31577">
        <w:rPr>
          <w:rStyle w:val="EndnoteReference"/>
          <w:rFonts w:cstheme="minorHAnsi"/>
        </w:rPr>
        <w:endnoteRef/>
      </w:r>
      <w:r w:rsidRPr="00C31577">
        <w:rPr>
          <w:rFonts w:cstheme="minorHAnsi"/>
        </w:rPr>
        <w:t xml:space="preserve"> </w:t>
      </w:r>
      <w:r w:rsidRPr="00C31577">
        <w:rPr>
          <w:rFonts w:cstheme="minorHAnsi"/>
          <w:szCs w:val="24"/>
        </w:rPr>
        <w:t xml:space="preserve">See L. Koenig et al., </w:t>
      </w:r>
      <w:hyperlink r:id="rId13" w:history="1">
        <w:r w:rsidRPr="00FB0A21">
          <w:rPr>
            <w:rStyle w:val="Hyperlink"/>
            <w:rFonts w:cstheme="minorHAnsi"/>
            <w:i/>
            <w:color w:val="000000" w:themeColor="text1"/>
            <w:szCs w:val="24"/>
            <w:u w:val="none"/>
          </w:rPr>
          <w:t>The Role of Long-term Acute Care Hospitals in Treating the Critically Ill and Medically Complex An Analysis of Nonventilator Patients</w:t>
        </w:r>
      </w:hyperlink>
      <w:r w:rsidRPr="00FB0A21">
        <w:rPr>
          <w:rFonts w:cstheme="minorHAnsi"/>
          <w:color w:val="000000" w:themeColor="text1"/>
          <w:szCs w:val="24"/>
        </w:rPr>
        <w:t xml:space="preserve">, 53 </w:t>
      </w:r>
      <w:r w:rsidRPr="00C31577">
        <w:rPr>
          <w:rFonts w:cstheme="minorHAnsi"/>
          <w:smallCaps/>
          <w:szCs w:val="24"/>
        </w:rPr>
        <w:t>Med. Care</w:t>
      </w:r>
      <w:r w:rsidRPr="00C31577">
        <w:rPr>
          <w:rFonts w:cstheme="minorHAnsi"/>
          <w:szCs w:val="24"/>
        </w:rPr>
        <w:t xml:space="preserve"> 582 (July 2015), </w:t>
      </w:r>
      <w:hyperlink r:id="rId14" w:history="1">
        <w:r w:rsidRPr="00C31577">
          <w:rPr>
            <w:rStyle w:val="Hyperlink"/>
            <w:rFonts w:cstheme="minorHAnsi"/>
            <w:color w:val="234170" w:themeColor="text2" w:themeShade="BF"/>
            <w:szCs w:val="24"/>
          </w:rPr>
          <w:t>https://journals.lww.com/lww-medicalcare/Fulltext/2015/07000/The_Role_of_Long_term_Acute_Care_Hospitals_in.5.aspx</w:t>
        </w:r>
      </w:hyperlink>
      <w:r w:rsidRPr="00C31577">
        <w:rPr>
          <w:rFonts w:cstheme="minorHAnsi"/>
          <w:szCs w:val="24"/>
        </w:rPr>
        <w:t>.</w:t>
      </w:r>
    </w:p>
  </w:endnote>
  <w:endnote w:id="11">
    <w:p w14:paraId="7B19B8A9" w14:textId="77777777" w:rsidR="003A24BC" w:rsidRPr="00C31577" w:rsidRDefault="003A24BC" w:rsidP="00A65F18">
      <w:pPr>
        <w:pStyle w:val="EndnoteText"/>
        <w:rPr>
          <w:rFonts w:cstheme="minorHAnsi"/>
        </w:rPr>
      </w:pPr>
      <w:r w:rsidRPr="00C31577">
        <w:rPr>
          <w:rStyle w:val="EndnoteReference"/>
          <w:rFonts w:cstheme="minorHAnsi"/>
        </w:rPr>
        <w:endnoteRef/>
      </w:r>
      <w:r w:rsidRPr="00C31577">
        <w:rPr>
          <w:rFonts w:cstheme="minorHAnsi"/>
        </w:rPr>
        <w:t xml:space="preserve"> E.M. Viglianti, et al., </w:t>
      </w:r>
      <w:r w:rsidRPr="00C31577">
        <w:rPr>
          <w:rFonts w:cstheme="minorHAnsi"/>
          <w:i/>
        </w:rPr>
        <w:t>Mass Incarceration and Pulmonary Health: Guidance for Clinicians</w:t>
      </w:r>
      <w:r w:rsidRPr="00C31577">
        <w:rPr>
          <w:rFonts w:cstheme="minorHAnsi"/>
        </w:rPr>
        <w:t xml:space="preserve">, 15 </w:t>
      </w:r>
      <w:r w:rsidRPr="00C31577">
        <w:rPr>
          <w:rFonts w:cstheme="minorHAnsi"/>
          <w:smallCaps/>
        </w:rPr>
        <w:t>Annals Am. Thoracic Soc’y</w:t>
      </w:r>
      <w:r w:rsidRPr="00C31577">
        <w:rPr>
          <w:rFonts w:cstheme="minorHAnsi"/>
        </w:rPr>
        <w:t xml:space="preserve"> 409 (2018).</w:t>
      </w:r>
    </w:p>
  </w:endnote>
  <w:endnote w:id="12">
    <w:p w14:paraId="03C4F38B" w14:textId="42A8D62B" w:rsidR="00B73799" w:rsidRPr="00C31577" w:rsidRDefault="00B73799" w:rsidP="00076B1A">
      <w:pPr>
        <w:pStyle w:val="EndnoteText"/>
        <w:contextualSpacing/>
        <w:rPr>
          <w:rFonts w:cstheme="minorHAnsi"/>
        </w:rPr>
      </w:pPr>
      <w:r w:rsidRPr="00C31577">
        <w:rPr>
          <w:rStyle w:val="EndnoteReference"/>
          <w:rFonts w:cstheme="minorHAnsi"/>
        </w:rPr>
        <w:endnoteRef/>
      </w:r>
      <w:r w:rsidRPr="00C31577">
        <w:rPr>
          <w:rFonts w:cstheme="minorHAnsi"/>
        </w:rPr>
        <w:t xml:space="preserve"> </w:t>
      </w:r>
      <w:r w:rsidRPr="00C31577">
        <w:rPr>
          <w:rFonts w:eastAsia="Times New Roman" w:cstheme="minorHAnsi"/>
        </w:rPr>
        <w:t>Community Engagement Standards for Community Health Planning Guideline. https://www.mass.gov/doc/community-engagement-guidelines-for-community-health-planning-pdf/download.</w:t>
      </w:r>
      <w:r w:rsidRPr="00C31577">
        <w:rPr>
          <w:rFonts w:cstheme="minorHAnsi"/>
        </w:rPr>
        <w:t xml:space="preserve"> </w:t>
      </w:r>
    </w:p>
  </w:endnote>
  <w:endnote w:id="13">
    <w:p w14:paraId="35BFD950" w14:textId="64686429" w:rsidR="00B73799" w:rsidRPr="00C31577" w:rsidRDefault="00B73799" w:rsidP="00076B1A">
      <w:pPr>
        <w:pStyle w:val="EndnoteText"/>
        <w:rPr>
          <w:rFonts w:cstheme="minorHAnsi"/>
        </w:rPr>
      </w:pPr>
      <w:r w:rsidRPr="00C31577">
        <w:rPr>
          <w:rStyle w:val="EndnoteReference"/>
          <w:rFonts w:cstheme="minorHAnsi"/>
        </w:rPr>
        <w:endnoteRef/>
      </w:r>
      <w:r w:rsidRPr="00C31577">
        <w:rPr>
          <w:rFonts w:cstheme="minorHAnsi"/>
        </w:rPr>
        <w:t xml:space="preserve"> </w:t>
      </w:r>
      <w:hyperlink r:id="rId15" w:history="1">
        <w:r w:rsidRPr="00C31577">
          <w:rPr>
            <w:rStyle w:val="Hyperlink"/>
            <w:rFonts w:cstheme="minorHAnsi"/>
            <w:color w:val="234170" w:themeColor="text2" w:themeShade="BF"/>
            <w:u w:val="none"/>
          </w:rPr>
          <w:t>DoN Regulation 100.210 (A)(1)(e)</w:t>
        </w:r>
        <w:r w:rsidRPr="00C31577">
          <w:rPr>
            <w:rStyle w:val="Hyperlink"/>
            <w:rFonts w:cstheme="minorHAnsi"/>
            <w:color w:val="234170" w:themeColor="text2" w:themeShade="BF"/>
          </w:rPr>
          <w:t>.</w:t>
        </w:r>
      </w:hyperlink>
      <w:r w:rsidRPr="00C31577">
        <w:rPr>
          <w:rFonts w:cstheme="minorHAnsi"/>
        </w:rPr>
        <w:t xml:space="preserve"> </w:t>
      </w:r>
      <w:hyperlink r:id="rId16" w:history="1">
        <w:r w:rsidRPr="00C31577">
          <w:rPr>
            <w:rStyle w:val="Hyperlink"/>
            <w:rFonts w:cstheme="minorHAnsi"/>
            <w:color w:val="auto"/>
          </w:rPr>
          <w:t>at</w:t>
        </w:r>
        <w:r w:rsidRPr="00C31577">
          <w:rPr>
            <w:rStyle w:val="Hyperlink"/>
            <w:rFonts w:cstheme="minorHAnsi"/>
            <w:color w:val="234170" w:themeColor="text2" w:themeShade="BF"/>
          </w:rPr>
          <w:t xml:space="preserve"> https://www.mass.gov/files/documents/2018/12/31/jud-lib-105cmr100.pdf</w:t>
        </w:r>
      </w:hyperlink>
      <w:r w:rsidR="000E750E" w:rsidRPr="00C31577">
        <w:rPr>
          <w:rFonts w:cstheme="minorHAnsi"/>
        </w:rPr>
        <w:t xml:space="preserve"> </w:t>
      </w:r>
      <w:r w:rsidRPr="00C31577">
        <w:rPr>
          <w:rStyle w:val="Hyperlink"/>
          <w:rFonts w:cstheme="minorHAnsi"/>
          <w:color w:val="auto"/>
          <w:u w:val="none"/>
        </w:rPr>
        <w:t>.</w:t>
      </w:r>
    </w:p>
  </w:endnote>
  <w:endnote w:id="14">
    <w:p w14:paraId="3B8016E3" w14:textId="282322DB" w:rsidR="003A24BC" w:rsidRPr="00C31577" w:rsidRDefault="003A24BC" w:rsidP="00605A1D">
      <w:pPr>
        <w:pStyle w:val="EndnoteText"/>
        <w:rPr>
          <w:rFonts w:cstheme="minorHAnsi"/>
        </w:rPr>
      </w:pPr>
      <w:r w:rsidRPr="00C31577">
        <w:rPr>
          <w:rStyle w:val="EndnoteReference"/>
          <w:rFonts w:cstheme="minorHAnsi"/>
        </w:rPr>
        <w:endnoteRef/>
      </w:r>
      <w:r w:rsidRPr="00C31577">
        <w:rPr>
          <w:rFonts w:cstheme="minorHAnsi"/>
        </w:rPr>
        <w:t xml:space="preserve"> A.J. Weiss, et al., </w:t>
      </w:r>
      <w:hyperlink r:id="rId17" w:anchor=":~:text=The%20average%20readmission%20cost%20was,%2416%2C400%20for%20privately%20insured%20stays" w:history="1">
        <w:r w:rsidRPr="00512B09">
          <w:rPr>
            <w:rStyle w:val="Hyperlink"/>
            <w:rFonts w:cstheme="minorHAnsi"/>
            <w:i/>
            <w:color w:val="000000" w:themeColor="text1"/>
            <w:u w:val="none"/>
          </w:rPr>
          <w:t>Overview of Clinical Conditions With Frequent and Costly Hospital Readmissions by Payer, 2018</w:t>
        </w:r>
        <w:r w:rsidRPr="00512B09">
          <w:rPr>
            <w:rStyle w:val="Hyperlink"/>
            <w:rFonts w:cstheme="minorHAnsi"/>
            <w:color w:val="000000" w:themeColor="text1"/>
            <w:u w:val="none"/>
          </w:rPr>
          <w:t>,</w:t>
        </w:r>
      </w:hyperlink>
      <w:r w:rsidRPr="00512B09">
        <w:rPr>
          <w:rFonts w:cstheme="minorHAnsi"/>
          <w:color w:val="000000" w:themeColor="text1"/>
        </w:rPr>
        <w:t xml:space="preserve"> AHRQ </w:t>
      </w:r>
      <w:r w:rsidRPr="00C31577">
        <w:rPr>
          <w:rFonts w:cstheme="minorHAnsi"/>
        </w:rPr>
        <w:t xml:space="preserve">Statistical Brief, July 2021, </w:t>
      </w:r>
      <w:hyperlink r:id="rId18" w:anchor=":~:text=The%20average%20readmission%20cost%20was,%2416%2C400%20for%20privately%20insured%20stays" w:history="1">
        <w:r w:rsidR="000E750E" w:rsidRPr="00C31577">
          <w:rPr>
            <w:rStyle w:val="Hyperlink"/>
            <w:rFonts w:cstheme="minorHAnsi"/>
            <w:color w:val="234170" w:themeColor="text2" w:themeShade="BF"/>
          </w:rPr>
          <w:t>https://hcup-us.ahrq.gov/reports/statbriefs/sb278-Conditions-Frequent-Readmissions-By-Payer-2018.jsp#:~:text=The%20average%20readmission%20cost%20was,%2416%2C400%20for%20privately%20insured%20stays</w:t>
        </w:r>
      </w:hyperlink>
      <w:r w:rsidR="000E750E" w:rsidRPr="00C31577">
        <w:rPr>
          <w:rFonts w:cstheme="minorHAnsi"/>
        </w:rPr>
        <w:t xml:space="preserve"> </w:t>
      </w:r>
      <w:r w:rsidRPr="00C31577">
        <w:rPr>
          <w:rFonts w:cstheme="minorHAnsi"/>
        </w:rPr>
        <w:t>.</w:t>
      </w:r>
    </w:p>
  </w:endnote>
  <w:endnote w:id="15">
    <w:p w14:paraId="1BF81207" w14:textId="743D6A9E" w:rsidR="00642BC2" w:rsidRPr="00C31577" w:rsidRDefault="00642BC2" w:rsidP="00642BC2">
      <w:pPr>
        <w:pStyle w:val="EndnoteText"/>
        <w:rPr>
          <w:rFonts w:cstheme="minorHAnsi"/>
        </w:rPr>
      </w:pPr>
      <w:r w:rsidRPr="00C31577">
        <w:rPr>
          <w:rStyle w:val="EndnoteReference"/>
          <w:rFonts w:cstheme="minorHAnsi"/>
        </w:rPr>
        <w:endnoteRef/>
      </w:r>
      <w:r w:rsidRPr="00C31577">
        <w:rPr>
          <w:rFonts w:cstheme="minorHAnsi"/>
        </w:rPr>
        <w:t xml:space="preserve"> </w:t>
      </w:r>
      <w:hyperlink r:id="rId19" w:history="1">
        <w:r w:rsidRPr="00730A60">
          <w:rPr>
            <w:rStyle w:val="Hyperlink"/>
            <w:rFonts w:cstheme="minorHAnsi"/>
            <w:smallCaps/>
            <w:color w:val="000000" w:themeColor="text1"/>
            <w:u w:val="none"/>
          </w:rPr>
          <w:t>Mass. Health &amp; Hosp. Assn, Testimony Regarding the Potential Modification of the  2026 Healthcare Cost Growth Benchmark</w:t>
        </w:r>
      </w:hyperlink>
      <w:r w:rsidRPr="00730A60">
        <w:rPr>
          <w:rFonts w:cstheme="minorHAnsi"/>
          <w:color w:val="000000" w:themeColor="text1"/>
        </w:rPr>
        <w:t xml:space="preserve"> </w:t>
      </w:r>
      <w:r w:rsidRPr="00C31577">
        <w:rPr>
          <w:rFonts w:cstheme="minorHAnsi"/>
        </w:rPr>
        <w:t xml:space="preserve">(Mar. 14, 2025), </w:t>
      </w:r>
      <w:hyperlink r:id="rId20" w:history="1">
        <w:r w:rsidRPr="00C31577">
          <w:rPr>
            <w:rStyle w:val="Hyperlink"/>
            <w:rFonts w:cstheme="minorHAnsi"/>
            <w:color w:val="42558C" w:themeColor="accent1" w:themeShade="BF"/>
          </w:rPr>
          <w:t>https://masshpc.gov/sites/default/files/2025-03/2025_Benchmark_Testimony_MHA.pdf</w:t>
        </w:r>
      </w:hyperlink>
      <w:r w:rsidRPr="00C31577">
        <w:rPr>
          <w:rFonts w:cstheme="minorHAnsi"/>
          <w:color w:val="42558C" w:themeColor="accent1" w:themeShade="BF"/>
        </w:rPr>
        <w:t xml:space="preserve">. </w:t>
      </w:r>
    </w:p>
  </w:endnote>
  <w:endnote w:id="16">
    <w:p w14:paraId="16D86406" w14:textId="435DCA06" w:rsidR="00642BC2" w:rsidRPr="00C31577" w:rsidRDefault="00642BC2" w:rsidP="00642BC2">
      <w:pPr>
        <w:pStyle w:val="EndnoteText"/>
        <w:rPr>
          <w:rFonts w:cstheme="minorHAnsi"/>
        </w:rPr>
      </w:pPr>
      <w:r w:rsidRPr="00C31577">
        <w:rPr>
          <w:rStyle w:val="EndnoteReference"/>
          <w:rFonts w:cstheme="minorHAnsi"/>
        </w:rPr>
        <w:endnoteRef/>
      </w:r>
      <w:r w:rsidRPr="00C31577">
        <w:rPr>
          <w:rFonts w:cstheme="minorHAnsi"/>
        </w:rPr>
        <w:t xml:space="preserve"> </w:t>
      </w:r>
      <w:hyperlink r:id="rId21" w:history="1">
        <w:r w:rsidRPr="00730A60">
          <w:rPr>
            <w:rStyle w:val="Hyperlink"/>
            <w:rFonts w:cstheme="minorHAnsi"/>
            <w:smallCaps/>
            <w:color w:val="000000" w:themeColor="text1"/>
            <w:u w:val="none"/>
          </w:rPr>
          <w:t>Am. Hosp. Directory</w:t>
        </w:r>
        <w:r w:rsidRPr="00730A60">
          <w:rPr>
            <w:rStyle w:val="Hyperlink"/>
            <w:rFonts w:cstheme="minorHAnsi"/>
            <w:color w:val="000000" w:themeColor="text1"/>
            <w:u w:val="none"/>
          </w:rPr>
          <w:t xml:space="preserve">, </w:t>
        </w:r>
        <w:r w:rsidRPr="00730A60">
          <w:rPr>
            <w:rStyle w:val="Hyperlink"/>
            <w:rFonts w:cstheme="minorHAnsi"/>
            <w:smallCaps/>
            <w:color w:val="000000" w:themeColor="text1"/>
            <w:u w:val="none"/>
          </w:rPr>
          <w:t>Cost analysis: STACHs Versus LTACHs</w:t>
        </w:r>
      </w:hyperlink>
      <w:r w:rsidRPr="00730A60">
        <w:rPr>
          <w:rFonts w:cstheme="minorHAnsi"/>
          <w:color w:val="000000" w:themeColor="text1"/>
        </w:rPr>
        <w:t xml:space="preserve">, </w:t>
      </w:r>
      <w:r w:rsidRPr="00C31577">
        <w:rPr>
          <w:rFonts w:cstheme="minorHAnsi"/>
        </w:rPr>
        <w:t xml:space="preserve">Nov. 2014, </w:t>
      </w:r>
      <w:hyperlink r:id="rId22" w:history="1">
        <w:r w:rsidRPr="00C31577">
          <w:rPr>
            <w:rStyle w:val="Hyperlink"/>
            <w:rFonts w:cstheme="minorHAnsi"/>
            <w:color w:val="42558C" w:themeColor="accent1" w:themeShade="BF"/>
          </w:rPr>
          <w:t>https://www.ahd.com/news/HFM_DataTrends_2014_November.pdf</w:t>
        </w:r>
      </w:hyperlink>
      <w:r w:rsidRPr="00C31577">
        <w:rPr>
          <w:rFonts w:cstheme="minorHAnsi"/>
          <w:color w:val="42558C" w:themeColor="accent1" w:themeShade="BF"/>
        </w:rPr>
        <w:t xml:space="preserve">. </w:t>
      </w:r>
    </w:p>
  </w:endnote>
  <w:endnote w:id="17">
    <w:p w14:paraId="0681E69E" w14:textId="0B13DCBD" w:rsidR="00642BC2" w:rsidRPr="00C31577" w:rsidRDefault="00642BC2" w:rsidP="00642BC2">
      <w:pPr>
        <w:pStyle w:val="EndnoteText"/>
        <w:rPr>
          <w:rFonts w:cstheme="minorHAnsi"/>
        </w:rPr>
      </w:pPr>
      <w:r w:rsidRPr="00C31577">
        <w:rPr>
          <w:rStyle w:val="EndnoteReference"/>
          <w:rFonts w:cstheme="minorHAnsi"/>
        </w:rPr>
        <w:endnoteRef/>
      </w:r>
      <w:r w:rsidRPr="00C31577">
        <w:rPr>
          <w:rFonts w:cstheme="minorHAnsi"/>
        </w:rPr>
        <w:t xml:space="preserve"> </w:t>
      </w:r>
      <w:hyperlink r:id="rId23" w:history="1">
        <w:r w:rsidRPr="00730A60">
          <w:rPr>
            <w:rStyle w:val="Hyperlink"/>
            <w:rFonts w:cstheme="minorHAnsi"/>
            <w:smallCaps/>
            <w:color w:val="000000" w:themeColor="text1"/>
            <w:u w:val="none"/>
          </w:rPr>
          <w:t>Consumer Price Index for All Urban Consumers: Medical Care in Boston-Cambridge-Newton, MA-NH</w:t>
        </w:r>
      </w:hyperlink>
      <w:r w:rsidRPr="00730A60">
        <w:rPr>
          <w:rFonts w:cstheme="minorHAnsi"/>
          <w:smallCaps/>
          <w:color w:val="000000" w:themeColor="text1"/>
        </w:rPr>
        <w:t xml:space="preserve"> (</w:t>
      </w:r>
      <w:r w:rsidRPr="00C31577">
        <w:rPr>
          <w:rFonts w:cstheme="minorHAnsi"/>
          <w:smallCaps/>
        </w:rPr>
        <w:t>CBSA),</w:t>
      </w:r>
      <w:r w:rsidRPr="00C31577">
        <w:rPr>
          <w:rFonts w:cstheme="minorHAnsi"/>
        </w:rPr>
        <w:t xml:space="preserve"> </w:t>
      </w:r>
      <w:r w:rsidRPr="00C31577">
        <w:rPr>
          <w:rFonts w:cstheme="minorHAnsi"/>
          <w:smallCaps/>
        </w:rPr>
        <w:t>Fed. Reserve Bank St. Louis</w:t>
      </w:r>
      <w:r w:rsidRPr="00C31577">
        <w:rPr>
          <w:rFonts w:cstheme="minorHAnsi"/>
        </w:rPr>
        <w:t xml:space="preserve">, </w:t>
      </w:r>
      <w:hyperlink r:id="rId24" w:history="1">
        <w:r w:rsidRPr="00C31577">
          <w:rPr>
            <w:rStyle w:val="Hyperlink"/>
            <w:rFonts w:cstheme="minorHAnsi"/>
            <w:color w:val="42558C" w:themeColor="accent1" w:themeShade="BF"/>
          </w:rPr>
          <w:t>https://fred.stlouisfed.org/series/CUURA103SAM</w:t>
        </w:r>
      </w:hyperlink>
      <w:r w:rsidRPr="00C31577">
        <w:rPr>
          <w:rFonts w:cstheme="minorHAnsi"/>
          <w:color w:val="42558C" w:themeColor="accent1" w:themeShade="BF"/>
        </w:rPr>
        <w:t xml:space="preserve"> </w:t>
      </w:r>
      <w:r w:rsidRPr="00C31577">
        <w:rPr>
          <w:rFonts w:cstheme="minorHAnsi"/>
        </w:rPr>
        <w:t>(last updated June 11, 2025).  Historical Medical Services CPI information for the CBSA of Springfield is not available. The only Medical Services CPI information available for Massachusetts pertains to the Boston-Cambridge-Newton CBSA.</w:t>
      </w:r>
    </w:p>
  </w:endnote>
  <w:endnote w:id="18">
    <w:p w14:paraId="4078E3DC" w14:textId="18DECA05" w:rsidR="00642BC2" w:rsidRPr="00C31577" w:rsidRDefault="00642BC2" w:rsidP="00642BC2">
      <w:pPr>
        <w:pStyle w:val="EndnoteText"/>
        <w:rPr>
          <w:rFonts w:cstheme="minorHAnsi"/>
        </w:rPr>
      </w:pPr>
      <w:r w:rsidRPr="00C31577">
        <w:rPr>
          <w:rStyle w:val="EndnoteReference"/>
          <w:rFonts w:cstheme="minorHAnsi"/>
        </w:rPr>
        <w:endnoteRef/>
      </w:r>
      <w:r w:rsidRPr="00C31577">
        <w:rPr>
          <w:rFonts w:cstheme="minorHAnsi"/>
        </w:rPr>
        <w:t xml:space="preserve"> R. McAllister, </w:t>
      </w:r>
      <w:hyperlink r:id="rId25" w:anchor="google_vignette" w:history="1">
        <w:r w:rsidRPr="00730A60">
          <w:rPr>
            <w:rStyle w:val="Hyperlink"/>
            <w:rFonts w:cstheme="minorHAnsi"/>
            <w:i/>
            <w:iCs/>
            <w:color w:val="000000" w:themeColor="text1"/>
            <w:u w:val="none"/>
          </w:rPr>
          <w:t>State-by-State Breakdown – Average Cost of Hospital Stays in the U.S. 2025</w:t>
        </w:r>
        <w:r w:rsidRPr="00730A60">
          <w:rPr>
            <w:rStyle w:val="Hyperlink"/>
            <w:rFonts w:cstheme="minorHAnsi"/>
            <w:color w:val="000000" w:themeColor="text1"/>
            <w:u w:val="none"/>
          </w:rPr>
          <w:t>,</w:t>
        </w:r>
      </w:hyperlink>
      <w:r w:rsidRPr="00730A60">
        <w:rPr>
          <w:rFonts w:cstheme="minorHAnsi"/>
          <w:color w:val="000000" w:themeColor="text1"/>
        </w:rPr>
        <w:t xml:space="preserve"> </w:t>
      </w:r>
      <w:r w:rsidRPr="00730A60">
        <w:rPr>
          <w:rFonts w:cstheme="minorHAnsi"/>
          <w:smallCaps/>
          <w:color w:val="000000" w:themeColor="text1"/>
        </w:rPr>
        <w:t>NCHstats</w:t>
      </w:r>
      <w:r w:rsidRPr="00730A60">
        <w:rPr>
          <w:rFonts w:cstheme="minorHAnsi"/>
          <w:color w:val="000000" w:themeColor="text1"/>
        </w:rPr>
        <w:t xml:space="preserve"> </w:t>
      </w:r>
      <w:r w:rsidRPr="00C31577">
        <w:rPr>
          <w:rFonts w:cstheme="minorHAnsi"/>
        </w:rPr>
        <w:t xml:space="preserve">(Nov. 22, 2024), </w:t>
      </w:r>
      <w:hyperlink r:id="rId26" w:anchor="google_vignette" w:history="1">
        <w:r w:rsidRPr="00C31577">
          <w:rPr>
            <w:rStyle w:val="Hyperlink"/>
            <w:rFonts w:cstheme="minorHAnsi"/>
            <w:color w:val="42558C" w:themeColor="accent1" w:themeShade="BF"/>
          </w:rPr>
          <w:t>https://nchstats.com/average-cost-of-hospital-stays-in-us/#google_vignette</w:t>
        </w:r>
      </w:hyperlink>
      <w:r w:rsidRPr="00C31577">
        <w:rPr>
          <w:rFonts w:cstheme="minorHAnsi"/>
        </w:rPr>
        <w:t xml:space="preserve"> (last updated July 2, 2025).</w:t>
      </w:r>
    </w:p>
  </w:endnote>
  <w:endnote w:id="19">
    <w:p w14:paraId="0B488343" w14:textId="4196DA3F" w:rsidR="000E750E" w:rsidRPr="00C31577" w:rsidRDefault="000E750E" w:rsidP="004A6045">
      <w:pPr>
        <w:pStyle w:val="EndnoteText"/>
        <w:rPr>
          <w:rFonts w:cstheme="minorHAnsi"/>
        </w:rPr>
      </w:pPr>
      <w:r w:rsidRPr="00C31577">
        <w:rPr>
          <w:rStyle w:val="EndnoteReference"/>
          <w:rFonts w:cstheme="minorHAnsi"/>
        </w:rPr>
        <w:endnoteRef/>
      </w:r>
      <w:r w:rsidRPr="00C31577">
        <w:rPr>
          <w:rFonts w:cstheme="minorHAnsi"/>
        </w:rPr>
        <w:t xml:space="preserve"> Agency for Healthcare Research and Quality, </w:t>
      </w:r>
      <w:hyperlink r:id="rId27" w:history="1">
        <w:r w:rsidRPr="00730A60">
          <w:rPr>
            <w:rStyle w:val="Hyperlink"/>
            <w:rFonts w:cstheme="minorHAnsi"/>
            <w:i/>
            <w:iCs/>
            <w:color w:val="000000" w:themeColor="text1"/>
            <w:u w:val="none"/>
          </w:rPr>
          <w:t>Overview: Getting Patients Off the Ventilator Faster: Facilitator Guide</w:t>
        </w:r>
        <w:r w:rsidRPr="00730A60">
          <w:rPr>
            <w:rStyle w:val="Hyperlink"/>
            <w:rFonts w:cstheme="minorHAnsi"/>
            <w:color w:val="000000" w:themeColor="text1"/>
            <w:u w:val="none"/>
          </w:rPr>
          <w:t>,</w:t>
        </w:r>
      </w:hyperlink>
      <w:r w:rsidRPr="00730A60">
        <w:rPr>
          <w:rFonts w:cstheme="minorHAnsi"/>
          <w:color w:val="000000" w:themeColor="text1"/>
        </w:rPr>
        <w:t xml:space="preserve"> </w:t>
      </w:r>
      <w:r w:rsidRPr="00C31577">
        <w:rPr>
          <w:rFonts w:cstheme="minorHAnsi"/>
          <w:smallCaps/>
        </w:rPr>
        <w:t>AHRQ.gov</w:t>
      </w:r>
      <w:r w:rsidRPr="00C31577">
        <w:rPr>
          <w:rFonts w:cstheme="minorHAnsi"/>
        </w:rPr>
        <w:t xml:space="preserve"> (Feb. 2017), </w:t>
      </w:r>
      <w:hyperlink r:id="rId28" w:history="1">
        <w:r w:rsidRPr="00C31577">
          <w:rPr>
            <w:rStyle w:val="Hyperlink"/>
            <w:rFonts w:cstheme="minorHAnsi"/>
            <w:color w:val="234170" w:themeColor="text2" w:themeShade="BF"/>
          </w:rPr>
          <w:t>https://www.ahrq.gov/hai/tools/mvp/modules/vae/overview-off-ventilator-fac-guide.html</w:t>
        </w:r>
      </w:hyperlink>
      <w:r w:rsidRPr="00C31577">
        <w:rPr>
          <w:rFonts w:cstheme="minorHAnsi"/>
        </w:rPr>
        <w:t xml:space="preserve">  (Citing Berenholtz S., et al., </w:t>
      </w:r>
      <w:r w:rsidRPr="00C31577">
        <w:rPr>
          <w:rFonts w:cstheme="minorHAnsi"/>
          <w:i/>
          <w:iCs/>
        </w:rPr>
        <w:t>Collaborative cohort study of an intervention to reduce ventilator associated pneumonia in the ICU,</w:t>
      </w:r>
      <w:r w:rsidRPr="00C31577">
        <w:rPr>
          <w:rFonts w:cstheme="minorHAnsi"/>
        </w:rPr>
        <w:t xml:space="preserve"> 32 </w:t>
      </w:r>
      <w:r w:rsidRPr="00C31577">
        <w:rPr>
          <w:rFonts w:cstheme="minorHAnsi"/>
          <w:smallCaps/>
        </w:rPr>
        <w:t>Infection Control Hosp Epidemiology</w:t>
      </w:r>
      <w:r w:rsidRPr="00C31577">
        <w:rPr>
          <w:rFonts w:cstheme="minorHAnsi"/>
        </w:rPr>
        <w:t xml:space="preserve"> 305 (2011); Lipitz-Snyderman A et al., </w:t>
      </w:r>
      <w:r w:rsidRPr="00C31577">
        <w:rPr>
          <w:rFonts w:cstheme="minorHAnsi"/>
          <w:i/>
          <w:iCs/>
        </w:rPr>
        <w:t>Impact of a statewide intensive care unit quality improvement initiative on hospital mortality and length of stay: retrospective comparative analysis</w:t>
      </w:r>
      <w:r w:rsidRPr="00C31577">
        <w:rPr>
          <w:rFonts w:cstheme="minorHAnsi"/>
        </w:rPr>
        <w:t>, 219 BMJ 342 (2011)).</w:t>
      </w:r>
    </w:p>
  </w:endnote>
  <w:endnote w:id="20">
    <w:p w14:paraId="40A2EA8D" w14:textId="77777777" w:rsidR="000E750E" w:rsidRPr="00C31577" w:rsidRDefault="000E750E" w:rsidP="00F63341">
      <w:pPr>
        <w:pStyle w:val="EndnoteText"/>
        <w:rPr>
          <w:rFonts w:cstheme="minorHAnsi"/>
        </w:rPr>
      </w:pPr>
      <w:r w:rsidRPr="00C31577">
        <w:rPr>
          <w:rStyle w:val="EndnoteReference"/>
          <w:rFonts w:cstheme="minorHAnsi"/>
        </w:rPr>
        <w:endnoteRef/>
      </w:r>
      <w:r w:rsidRPr="00C31577">
        <w:rPr>
          <w:rFonts w:cstheme="minorHAnsi"/>
        </w:rPr>
        <w:t xml:space="preserve"> Demiralp, B. et al., </w:t>
      </w:r>
      <w:r w:rsidRPr="00C31577">
        <w:rPr>
          <w:rFonts w:cstheme="minorHAnsi"/>
          <w:i/>
          <w:iCs/>
        </w:rPr>
        <w:t>Time spent in prior hospital stay and outcomes for ventilator patients in long</w:t>
      </w:r>
      <w:r w:rsidRPr="00C31577">
        <w:rPr>
          <w:rFonts w:ascii="Cambria Math" w:hAnsi="Cambria Math" w:cs="Cambria Math"/>
          <w:i/>
          <w:iCs/>
        </w:rPr>
        <w:t>‑</w:t>
      </w:r>
      <w:r w:rsidRPr="00C31577">
        <w:rPr>
          <w:rFonts w:cstheme="minorHAnsi"/>
          <w:i/>
          <w:iCs/>
        </w:rPr>
        <w:t>term acute care hospitals</w:t>
      </w:r>
      <w:r w:rsidRPr="00C31577">
        <w:rPr>
          <w:rFonts w:cstheme="minorHAnsi"/>
        </w:rPr>
        <w:t xml:space="preserve">, 104 </w:t>
      </w:r>
      <w:r w:rsidRPr="00C31577">
        <w:rPr>
          <w:rFonts w:cstheme="minorHAnsi"/>
          <w:smallCaps/>
        </w:rPr>
        <w:t>BMC Pulmonary Med.</w:t>
      </w:r>
      <w:r w:rsidRPr="00C31577">
        <w:rPr>
          <w:rFonts w:cstheme="minorHAnsi"/>
        </w:rPr>
        <w:t xml:space="preserve"> 1, 3 (2021).</w:t>
      </w:r>
    </w:p>
  </w:endnote>
  <w:endnote w:id="21">
    <w:p w14:paraId="450CFE1C" w14:textId="199386AC" w:rsidR="000E750E" w:rsidRPr="00C31577" w:rsidRDefault="000E750E" w:rsidP="00F63341">
      <w:pPr>
        <w:pStyle w:val="EndnoteText"/>
        <w:rPr>
          <w:rFonts w:cstheme="minorHAnsi"/>
        </w:rPr>
      </w:pPr>
      <w:r w:rsidRPr="00C31577">
        <w:rPr>
          <w:rStyle w:val="EndnoteReference"/>
          <w:rFonts w:cstheme="minorHAnsi"/>
        </w:rPr>
        <w:endnoteRef/>
      </w:r>
      <w:r w:rsidRPr="00C31577">
        <w:rPr>
          <w:rFonts w:cstheme="minorHAnsi"/>
        </w:rPr>
        <w:t xml:space="preserve"> CHIA, </w:t>
      </w:r>
      <w:hyperlink r:id="rId29" w:history="1">
        <w:r w:rsidRPr="00730A60">
          <w:rPr>
            <w:rStyle w:val="Hyperlink"/>
            <w:rFonts w:cstheme="minorHAnsi"/>
            <w:color w:val="000000" w:themeColor="text1"/>
            <w:u w:val="none"/>
          </w:rPr>
          <w:t>Hospital Readmissions and Revisits in Massachusetts</w:t>
        </w:r>
      </w:hyperlink>
    </w:p>
    <w:p w14:paraId="1E7D5EAD" w14:textId="29A9065E" w:rsidR="000E750E" w:rsidRPr="00C31577" w:rsidRDefault="000E750E" w:rsidP="00F63341">
      <w:pPr>
        <w:pStyle w:val="EndnoteText"/>
        <w:rPr>
          <w:rFonts w:cstheme="minorHAnsi"/>
          <w:lang w:val="it-IT"/>
        </w:rPr>
      </w:pPr>
      <w:r w:rsidRPr="00C31577">
        <w:rPr>
          <w:rFonts w:cstheme="minorHAnsi"/>
          <w:smallCaps/>
          <w:lang w:val="it-IT"/>
        </w:rPr>
        <w:t>CHIAMass.gov</w:t>
      </w:r>
      <w:r w:rsidRPr="00C31577">
        <w:rPr>
          <w:rFonts w:cstheme="minorHAnsi"/>
          <w:lang w:val="it-IT"/>
        </w:rPr>
        <w:t>,</w:t>
      </w:r>
      <w:r w:rsidRPr="00C31577">
        <w:rPr>
          <w:rFonts w:cstheme="minorHAnsi"/>
          <w:color w:val="234170" w:themeColor="text2" w:themeShade="BF"/>
          <w:lang w:val="it-IT"/>
        </w:rPr>
        <w:t xml:space="preserve"> </w:t>
      </w:r>
      <w:hyperlink r:id="rId30" w:history="1">
        <w:r w:rsidRPr="00C31577">
          <w:rPr>
            <w:rStyle w:val="Hyperlink"/>
            <w:rFonts w:cstheme="minorHAnsi"/>
            <w:color w:val="234170" w:themeColor="text2" w:themeShade="BF"/>
            <w:lang w:val="it-IT"/>
          </w:rPr>
          <w:t>https://www.chiamass.gov/hospital-readmissions-and-revisits-in-massachusetts</w:t>
        </w:r>
      </w:hyperlink>
      <w:r w:rsidRPr="00C31577">
        <w:rPr>
          <w:rFonts w:cstheme="minorHAnsi"/>
          <w:lang w:val="it-IT"/>
        </w:rPr>
        <w:t xml:space="preserve"> .</w:t>
      </w:r>
    </w:p>
  </w:endnote>
  <w:endnote w:id="22">
    <w:p w14:paraId="3A188E1B" w14:textId="52AFF396" w:rsidR="000E750E" w:rsidRDefault="000E750E" w:rsidP="00D91ED4">
      <w:pPr>
        <w:pStyle w:val="EndnoteText"/>
      </w:pPr>
      <w:r w:rsidRPr="00C31577">
        <w:rPr>
          <w:rStyle w:val="EndnoteReference"/>
          <w:rFonts w:cstheme="minorHAnsi"/>
        </w:rPr>
        <w:endnoteRef/>
      </w:r>
      <w:r w:rsidRPr="00C31577">
        <w:rPr>
          <w:rFonts w:cstheme="minorHAnsi"/>
        </w:rPr>
        <w:t xml:space="preserve"> </w:t>
      </w:r>
      <w:hyperlink r:id="rId31" w:history="1">
        <w:r w:rsidRPr="00730A60">
          <w:rPr>
            <w:rStyle w:val="Hyperlink"/>
            <w:rFonts w:cstheme="minorHAnsi"/>
            <w:i/>
            <w:color w:val="000000" w:themeColor="text1"/>
            <w:u w:val="none"/>
          </w:rPr>
          <w:t>Vibra Hospital of Western Mass – Central Campus</w:t>
        </w:r>
      </w:hyperlink>
      <w:r w:rsidRPr="00730A60">
        <w:rPr>
          <w:rFonts w:cstheme="minorHAnsi"/>
          <w:color w:val="000000" w:themeColor="text1"/>
        </w:rPr>
        <w:t xml:space="preserve">, </w:t>
      </w:r>
      <w:r w:rsidRPr="00C31577">
        <w:rPr>
          <w:rFonts w:cstheme="minorHAnsi"/>
          <w:smallCaps/>
        </w:rPr>
        <w:t>Medicare.gov</w:t>
      </w:r>
      <w:r w:rsidRPr="00C31577">
        <w:rPr>
          <w:rFonts w:cstheme="minorHAnsi"/>
        </w:rPr>
        <w:t xml:space="preserve">, </w:t>
      </w:r>
      <w:hyperlink r:id="rId32" w:history="1">
        <w:r w:rsidRPr="00C31577">
          <w:rPr>
            <w:rStyle w:val="Hyperlink"/>
            <w:rFonts w:cstheme="minorHAnsi"/>
            <w:color w:val="234170" w:themeColor="text2" w:themeShade="BF"/>
          </w:rPr>
          <w:t>https://www.medicare.gov/care-compare/details/long-term-care/222046?city=Rochdale&amp;state=MA&amp;zipcode=01542</w:t>
        </w:r>
      </w:hyperlink>
      <w:r w:rsidRPr="00C31577">
        <w:rPr>
          <w:rFonts w:cstheme="minorHAnsi"/>
        </w:rPr>
        <w:t xml:space="preserve"> (last updated Dec. 18</w:t>
      </w:r>
      <w:r>
        <w:t>,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B998" w14:textId="77777777" w:rsidR="00E92504" w:rsidRDefault="00E92504">
    <w:pPr>
      <w:pStyle w:val="Footer"/>
    </w:pPr>
  </w:p>
  <w:p w14:paraId="71FEF4A2" w14:textId="77777777" w:rsidR="00E92504" w:rsidRDefault="00E925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E92504" w:rsidRPr="003E6FCA" w:rsidRDefault="00E92504">
        <w:pPr>
          <w:pStyle w:val="Footer"/>
          <w:jc w:val="center"/>
          <w:rPr>
            <w:rFonts w:ascii="Garamond" w:hAnsi="Garamond"/>
            <w:sz w:val="24"/>
            <w:szCs w:val="24"/>
          </w:rPr>
        </w:pPr>
        <w:r w:rsidRPr="003E6FCA">
          <w:rPr>
            <w:rFonts w:ascii="Garamond" w:hAnsi="Garamond"/>
            <w:color w:val="2B579A"/>
            <w:sz w:val="24"/>
            <w:szCs w:val="24"/>
            <w:shd w:val="clear" w:color="auto" w:fill="E6E6E6"/>
          </w:rPr>
          <w:fldChar w:fldCharType="begin"/>
        </w:r>
        <w:r w:rsidRPr="003E6FCA">
          <w:rPr>
            <w:rFonts w:ascii="Garamond" w:hAnsi="Garamond"/>
            <w:sz w:val="24"/>
            <w:szCs w:val="24"/>
          </w:rPr>
          <w:instrText xml:space="preserve"> PAGE   \* MERGEFORMAT </w:instrText>
        </w:r>
        <w:r w:rsidRPr="003E6FCA">
          <w:rPr>
            <w:rFonts w:ascii="Garamond" w:hAnsi="Garamond"/>
            <w:color w:val="2B579A"/>
            <w:sz w:val="24"/>
            <w:szCs w:val="24"/>
            <w:shd w:val="clear" w:color="auto" w:fill="E6E6E6"/>
          </w:rPr>
          <w:fldChar w:fldCharType="separate"/>
        </w:r>
        <w:r>
          <w:rPr>
            <w:rFonts w:ascii="Garamond" w:hAnsi="Garamond"/>
            <w:noProof/>
            <w:sz w:val="24"/>
            <w:szCs w:val="24"/>
          </w:rPr>
          <w:t>15</w:t>
        </w:r>
        <w:r w:rsidRPr="003E6FCA">
          <w:rPr>
            <w:rFonts w:ascii="Garamond" w:hAnsi="Garamond"/>
            <w:noProof/>
            <w:color w:val="2B579A"/>
            <w:sz w:val="24"/>
            <w:szCs w:val="24"/>
            <w:shd w:val="clear" w:color="auto" w:fill="E6E6E6"/>
          </w:rPr>
          <w:fldChar w:fldCharType="end"/>
        </w:r>
      </w:p>
    </w:sdtContent>
  </w:sdt>
  <w:p w14:paraId="2B84946D" w14:textId="77777777" w:rsidR="00E92504" w:rsidRDefault="00E92504">
    <w:pPr>
      <w:pStyle w:val="Footer"/>
    </w:pPr>
  </w:p>
  <w:p w14:paraId="6A56BD2D" w14:textId="77777777" w:rsidR="00E92504" w:rsidRDefault="00E925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126C" w14:textId="77777777" w:rsidR="00730A60" w:rsidRDefault="007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C148" w14:textId="77777777" w:rsidR="002E6CF5" w:rsidRDefault="002E6CF5" w:rsidP="008C0709">
      <w:r>
        <w:separator/>
      </w:r>
    </w:p>
  </w:footnote>
  <w:footnote w:type="continuationSeparator" w:id="0">
    <w:p w14:paraId="289EB7F2" w14:textId="77777777" w:rsidR="002E6CF5" w:rsidRDefault="002E6CF5" w:rsidP="008C0709">
      <w:r>
        <w:continuationSeparator/>
      </w:r>
    </w:p>
  </w:footnote>
  <w:footnote w:type="continuationNotice" w:id="1">
    <w:p w14:paraId="5D508097" w14:textId="77777777" w:rsidR="002E6CF5" w:rsidRDefault="002E6CF5"/>
  </w:footnote>
  <w:footnote w:id="2">
    <w:p w14:paraId="482EBB8E" w14:textId="75316AC6" w:rsidR="00042F7D" w:rsidRPr="005B4B4F" w:rsidRDefault="00042F7D">
      <w:pPr>
        <w:pStyle w:val="FootnoteText"/>
        <w:rPr>
          <w:sz w:val="16"/>
          <w:szCs w:val="16"/>
        </w:rPr>
      </w:pPr>
      <w:r w:rsidRPr="005B4B4F">
        <w:rPr>
          <w:rStyle w:val="FootnoteReference"/>
          <w:sz w:val="16"/>
          <w:szCs w:val="16"/>
        </w:rPr>
        <w:footnoteRef/>
      </w:r>
      <w:r w:rsidRPr="005B4B4F">
        <w:rPr>
          <w:sz w:val="16"/>
          <w:szCs w:val="16"/>
        </w:rPr>
        <w:t xml:space="preserve"> </w:t>
      </w:r>
      <w:r w:rsidR="00764887" w:rsidRPr="005B4B4F">
        <w:rPr>
          <w:sz w:val="16"/>
          <w:szCs w:val="16"/>
        </w:rPr>
        <w:t xml:space="preserve">The facilities where the partners have served in </w:t>
      </w:r>
      <w:r w:rsidR="00924BEF" w:rsidRPr="005B4B4F">
        <w:rPr>
          <w:sz w:val="16"/>
          <w:szCs w:val="16"/>
        </w:rPr>
        <w:t xml:space="preserve">leadership/management roles include: </w:t>
      </w:r>
      <w:r w:rsidR="00B06B0F" w:rsidRPr="005B4B4F">
        <w:rPr>
          <w:rFonts w:cstheme="minorHAnsi"/>
          <w:sz w:val="16"/>
          <w:szCs w:val="16"/>
        </w:rPr>
        <w:t>Harbour View Senior Living Corp (NJ),</w:t>
      </w:r>
      <w:r w:rsidR="00D2443A" w:rsidRPr="005B4B4F">
        <w:rPr>
          <w:rFonts w:cstheme="minorHAnsi"/>
          <w:sz w:val="16"/>
          <w:szCs w:val="16"/>
        </w:rPr>
        <w:t xml:space="preserve"> Country Arch Care Center, LLC (NJ), </w:t>
      </w:r>
      <w:r w:rsidR="00DB6BBC" w:rsidRPr="005B4B4F">
        <w:rPr>
          <w:rFonts w:cstheme="minorHAnsi"/>
          <w:sz w:val="16"/>
          <w:szCs w:val="16"/>
        </w:rPr>
        <w:t xml:space="preserve">Resorts at Pooler Inc. (GA), </w:t>
      </w:r>
      <w:r w:rsidR="00CF78C7" w:rsidRPr="005B4B4F">
        <w:rPr>
          <w:rFonts w:cstheme="minorHAnsi"/>
          <w:sz w:val="16"/>
          <w:szCs w:val="16"/>
        </w:rPr>
        <w:t xml:space="preserve">Resorts at Beaufort LLC (SC), </w:t>
      </w:r>
      <w:r w:rsidR="0007334D" w:rsidRPr="005B4B4F">
        <w:rPr>
          <w:rFonts w:cstheme="minorHAnsi"/>
          <w:sz w:val="16"/>
          <w:szCs w:val="16"/>
        </w:rPr>
        <w:t xml:space="preserve">Elmhurst Care Center, Inc. (NY), </w:t>
      </w:r>
      <w:r w:rsidR="00DF03F2" w:rsidRPr="005B4B4F">
        <w:rPr>
          <w:rFonts w:cstheme="minorHAnsi"/>
          <w:sz w:val="16"/>
          <w:szCs w:val="16"/>
        </w:rPr>
        <w:t xml:space="preserve">Elm York LLC (NY), </w:t>
      </w:r>
      <w:r w:rsidR="00BE27EC" w:rsidRPr="005B4B4F">
        <w:rPr>
          <w:rFonts w:cstheme="minorHAnsi"/>
          <w:sz w:val="16"/>
          <w:szCs w:val="16"/>
        </w:rPr>
        <w:t xml:space="preserve">Madison York Rego Park LLC (NY), </w:t>
      </w:r>
      <w:r w:rsidR="007E68D6" w:rsidRPr="005B4B4F">
        <w:rPr>
          <w:rFonts w:cstheme="minorHAnsi"/>
          <w:sz w:val="16"/>
          <w:szCs w:val="16"/>
        </w:rPr>
        <w:t xml:space="preserve">Madison York Assisted Living Community LLC (NY), </w:t>
      </w:r>
      <w:r w:rsidR="001B446C" w:rsidRPr="005B4B4F">
        <w:rPr>
          <w:rFonts w:cstheme="minorHAnsi"/>
          <w:sz w:val="16"/>
          <w:szCs w:val="16"/>
        </w:rPr>
        <w:t>Milton HC Operating LLC (MA).</w:t>
      </w:r>
    </w:p>
  </w:footnote>
  <w:footnote w:id="3">
    <w:p w14:paraId="66E08E7E" w14:textId="717E774B" w:rsidR="00221442" w:rsidRPr="00C72BDA" w:rsidRDefault="00221442">
      <w:pPr>
        <w:pStyle w:val="FootnoteText"/>
        <w:rPr>
          <w:sz w:val="16"/>
          <w:szCs w:val="16"/>
        </w:rPr>
      </w:pPr>
      <w:r w:rsidRPr="00C72BDA">
        <w:rPr>
          <w:rStyle w:val="FootnoteReference"/>
          <w:sz w:val="16"/>
          <w:szCs w:val="16"/>
        </w:rPr>
        <w:footnoteRef/>
      </w:r>
      <w:r w:rsidRPr="00C72BDA">
        <w:rPr>
          <w:sz w:val="16"/>
          <w:szCs w:val="16"/>
        </w:rPr>
        <w:t xml:space="preserve"> </w:t>
      </w:r>
      <w:r w:rsidRPr="00C72BDA">
        <w:rPr>
          <w:rFonts w:cs="Times New Roman"/>
          <w:sz w:val="16"/>
          <w:szCs w:val="16"/>
        </w:rPr>
        <w:t xml:space="preserve">As part of the same transaction, Applicant will also acquire The Meadows of Central Massachusetts, a Skilled Nursing Facility located at the same address as the Hospital </w:t>
      </w:r>
      <w:r w:rsidR="00691DD1">
        <w:rPr>
          <w:rFonts w:cs="Times New Roman"/>
          <w:sz w:val="16"/>
          <w:szCs w:val="16"/>
        </w:rPr>
        <w:t>and currently licensed by Vibra</w:t>
      </w:r>
      <w:r w:rsidRPr="00C72BDA">
        <w:rPr>
          <w:rFonts w:cs="Times New Roman"/>
          <w:sz w:val="16"/>
          <w:szCs w:val="16"/>
        </w:rPr>
        <w:t>.</w:t>
      </w:r>
      <w:r w:rsidR="00C455B0" w:rsidRPr="00C72BDA">
        <w:rPr>
          <w:rFonts w:cs="Times New Roman"/>
          <w:sz w:val="16"/>
          <w:szCs w:val="16"/>
        </w:rPr>
        <w:t xml:space="preserve"> </w:t>
      </w:r>
      <w:r w:rsidRPr="00C72BDA">
        <w:rPr>
          <w:sz w:val="16"/>
          <w:szCs w:val="16"/>
        </w:rPr>
        <w:t>There is no statutory requirement for DoN for SNFs</w:t>
      </w:r>
      <w:r w:rsidR="00BE385B">
        <w:rPr>
          <w:sz w:val="16"/>
          <w:szCs w:val="16"/>
        </w:rPr>
        <w:t>,</w:t>
      </w:r>
      <w:r w:rsidRPr="00C72BDA">
        <w:rPr>
          <w:sz w:val="16"/>
          <w:szCs w:val="16"/>
        </w:rPr>
        <w:t xml:space="preserve"> and 100.735 “Transfer of Ownership- Applicability” is not applicable to SNFs</w:t>
      </w:r>
      <w:r w:rsidR="00C455B0" w:rsidRPr="00C72BDA">
        <w:rPr>
          <w:sz w:val="16"/>
          <w:szCs w:val="16"/>
        </w:rPr>
        <w:t>.</w:t>
      </w:r>
      <w:r w:rsidR="00BE385B">
        <w:rPr>
          <w:sz w:val="16"/>
          <w:szCs w:val="16"/>
        </w:rPr>
        <w:t xml:space="preserve"> Therefore, the details of the SNF part of this transaction will not be analyzed in this </w:t>
      </w:r>
      <w:r w:rsidR="00891FB3">
        <w:rPr>
          <w:sz w:val="16"/>
          <w:szCs w:val="16"/>
        </w:rPr>
        <w:t>DoN.</w:t>
      </w:r>
    </w:p>
  </w:footnote>
  <w:footnote w:id="4">
    <w:p w14:paraId="3969B69A" w14:textId="77777777" w:rsidR="00685C18" w:rsidRPr="00167D81" w:rsidRDefault="00685C18" w:rsidP="00CD0882">
      <w:pPr>
        <w:pStyle w:val="FootnoteText"/>
        <w:rPr>
          <w:rFonts w:cstheme="minorHAnsi"/>
        </w:rPr>
      </w:pPr>
      <w:r w:rsidRPr="00C72BDA">
        <w:rPr>
          <w:rStyle w:val="FootnoteReference"/>
          <w:rFonts w:cstheme="minorHAnsi"/>
          <w:sz w:val="16"/>
          <w:szCs w:val="16"/>
        </w:rPr>
        <w:footnoteRef/>
      </w:r>
      <w:r w:rsidRPr="00C72BDA">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5">
    <w:p w14:paraId="64A8A4B7" w14:textId="1A53E0EF" w:rsidR="00321220" w:rsidRPr="00D74921" w:rsidRDefault="00321220">
      <w:pPr>
        <w:pStyle w:val="FootnoteText"/>
        <w:rPr>
          <w:sz w:val="16"/>
          <w:szCs w:val="16"/>
        </w:rPr>
      </w:pPr>
      <w:r w:rsidRPr="00D74921">
        <w:rPr>
          <w:rStyle w:val="FootnoteReference"/>
          <w:sz w:val="16"/>
          <w:szCs w:val="16"/>
        </w:rPr>
        <w:footnoteRef/>
      </w:r>
      <w:r w:rsidRPr="00D74921">
        <w:rPr>
          <w:sz w:val="16"/>
          <w:szCs w:val="16"/>
        </w:rPr>
        <w:t xml:space="preserve"> </w:t>
      </w:r>
      <w:r w:rsidR="00D74921" w:rsidRPr="00D74921">
        <w:rPr>
          <w:sz w:val="16"/>
          <w:szCs w:val="16"/>
        </w:rPr>
        <w:t>This category includes “Asian Indian”, and “Other Asian.”</w:t>
      </w:r>
    </w:p>
  </w:footnote>
  <w:footnote w:id="6">
    <w:p w14:paraId="280D2922" w14:textId="1FBDA057" w:rsidR="009A219A" w:rsidRPr="00A006CC" w:rsidRDefault="009A219A">
      <w:pPr>
        <w:pStyle w:val="FootnoteText"/>
        <w:rPr>
          <w:sz w:val="16"/>
          <w:szCs w:val="16"/>
        </w:rPr>
      </w:pPr>
      <w:r w:rsidRPr="00A006CC">
        <w:rPr>
          <w:rStyle w:val="FootnoteReference"/>
          <w:sz w:val="16"/>
          <w:szCs w:val="16"/>
        </w:rPr>
        <w:footnoteRef/>
      </w:r>
      <w:r w:rsidRPr="00A006CC">
        <w:rPr>
          <w:sz w:val="16"/>
          <w:szCs w:val="16"/>
        </w:rPr>
        <w:t xml:space="preserve"> </w:t>
      </w:r>
      <w:r w:rsidR="00223810" w:rsidRPr="00A006CC">
        <w:rPr>
          <w:sz w:val="16"/>
          <w:szCs w:val="16"/>
        </w:rPr>
        <w:t>This category</w:t>
      </w:r>
      <w:r w:rsidR="00A006CC">
        <w:rPr>
          <w:sz w:val="16"/>
          <w:szCs w:val="16"/>
        </w:rPr>
        <w:t xml:space="preserve"> combines </w:t>
      </w:r>
      <w:r w:rsidR="00102826">
        <w:rPr>
          <w:sz w:val="16"/>
          <w:szCs w:val="16"/>
        </w:rPr>
        <w:t xml:space="preserve">totals for </w:t>
      </w:r>
      <w:r w:rsidR="00223810" w:rsidRPr="00A006CC">
        <w:rPr>
          <w:sz w:val="16"/>
          <w:szCs w:val="16"/>
        </w:rPr>
        <w:t>Hampshire, Franklin, Essex, Berkshire, Norfolk,</w:t>
      </w:r>
      <w:r w:rsidR="00815E7F" w:rsidRPr="00A006CC">
        <w:rPr>
          <w:sz w:val="16"/>
          <w:szCs w:val="16"/>
        </w:rPr>
        <w:t xml:space="preserve"> Suffolk, Bristol, Plymouth, and Barnstable Counties,</w:t>
      </w:r>
      <w:r w:rsidR="00A006CC" w:rsidRPr="00A006CC">
        <w:rPr>
          <w:sz w:val="16"/>
          <w:szCs w:val="16"/>
        </w:rPr>
        <w:t xml:space="preserve"> </w:t>
      </w:r>
      <w:r w:rsidR="00102826">
        <w:rPr>
          <w:sz w:val="16"/>
          <w:szCs w:val="16"/>
        </w:rPr>
        <w:t>due to</w:t>
      </w:r>
      <w:r w:rsidR="00A006CC" w:rsidRPr="00A006CC">
        <w:rPr>
          <w:sz w:val="16"/>
          <w:szCs w:val="16"/>
        </w:rPr>
        <w:t xml:space="preserve"> HIPAA concerns.</w:t>
      </w:r>
    </w:p>
  </w:footnote>
  <w:footnote w:id="7">
    <w:p w14:paraId="1A9BE789" w14:textId="2E47EBAA" w:rsidR="00770FE8" w:rsidRPr="00387B2B" w:rsidRDefault="00770FE8">
      <w:pPr>
        <w:pStyle w:val="FootnoteText"/>
        <w:rPr>
          <w:sz w:val="16"/>
          <w:szCs w:val="16"/>
        </w:rPr>
      </w:pPr>
      <w:r w:rsidRPr="00A6785C">
        <w:rPr>
          <w:rStyle w:val="FootnoteReference"/>
          <w:sz w:val="16"/>
          <w:szCs w:val="16"/>
        </w:rPr>
        <w:footnoteRef/>
      </w:r>
      <w:r w:rsidRPr="00387B2B">
        <w:rPr>
          <w:sz w:val="16"/>
          <w:szCs w:val="16"/>
        </w:rPr>
        <w:t xml:space="preserve"> The “related party” will be Huntoon 111 Real Estate, LLC – which shares the same partners as Everest Hospital LLC. The Applicant asserts that it is typical to segregate real estate and operations into different entities to segregate liabilities and have a lease between them, even if common ownership.</w:t>
      </w:r>
    </w:p>
  </w:footnote>
  <w:footnote w:id="8">
    <w:p w14:paraId="64E60E40" w14:textId="77777777" w:rsidR="002420B6" w:rsidRPr="006D5C02" w:rsidRDefault="002420B6" w:rsidP="002420B6">
      <w:pPr>
        <w:pStyle w:val="FootnoteText"/>
        <w:rPr>
          <w:sz w:val="16"/>
          <w:szCs w:val="16"/>
        </w:rPr>
      </w:pPr>
      <w:r w:rsidRPr="006D5C02">
        <w:rPr>
          <w:rStyle w:val="FootnoteReference"/>
          <w:sz w:val="16"/>
          <w:szCs w:val="16"/>
        </w:rPr>
        <w:footnoteRef/>
      </w:r>
      <w:r w:rsidRPr="006D5C02">
        <w:rPr>
          <w:sz w:val="16"/>
          <w:szCs w:val="16"/>
        </w:rPr>
        <w:t xml:space="preserve"> Closures include the 2023 closures of Willimansett Center East and West, Governor’s Center and Chapin Center; the 2024 closure of Pioneer Valley Health and Rehabilitation Center; and the pending closure of Highview of Northampton.</w:t>
      </w:r>
    </w:p>
  </w:footnote>
  <w:footnote w:id="9">
    <w:p w14:paraId="68BDACC7" w14:textId="77777777" w:rsidR="002420B6" w:rsidRPr="00923879" w:rsidRDefault="002420B6" w:rsidP="002420B6">
      <w:pPr>
        <w:pStyle w:val="FootnoteText"/>
        <w:rPr>
          <w:sz w:val="16"/>
          <w:szCs w:val="16"/>
        </w:rPr>
      </w:pPr>
      <w:r w:rsidRPr="00923879">
        <w:rPr>
          <w:rStyle w:val="FootnoteReference"/>
          <w:sz w:val="16"/>
          <w:szCs w:val="16"/>
        </w:rPr>
        <w:footnoteRef/>
      </w:r>
      <w:r w:rsidRPr="00923879">
        <w:rPr>
          <w:sz w:val="16"/>
          <w:szCs w:val="16"/>
        </w:rPr>
        <w:t xml:space="preserve"> Cambridge Hospital; Fairlawn Rehab Hospital; Holden Rehab; Lawrence Memorial Hospital; St. Anne's Hospital; Anna Jaques Hospital; Athol Hospital; Baystate Franklin Medical Center; Baystate Wing Hospital; Bear Mountain at Worcester; Berkshire Medical Center; Beth Israel Deaconess of Needham; Boston Children's Hospital; Brigham &amp; Women’s Faulkner Hospital; CHA Cambridge Hospital; Charlton Memorial Hospital; Clinton Hospital; Fairlawn Hospital; Falmouth Hospital; Family Lives Homecare; FMC Devens Fed Prison Clinical Unit; Good Samaritan Medical Center; HOLY FAMILY HOSPITAL; Lawrence General Hospital; Lowell General Hospital; Marlborough Hills Rehabilitation &amp; Health; Mass Eye and Ear Infirmary; MelroseWakefield Hospital; Mercy Medical Center; MetroWest Medical Center; Milton Hospital (Beth Israel Deaconess); Mount Auburn Hospital - Cambridge Ma; Nashoba Valley Medical Center; New England Sinai Hospital and Rehab; Newton Wellesley; NWH Newton Wellesley Hosp; Salem Hospital; South Shore Hospital; Southcoast St Luke's Hospital; St Elizabeth's Boston Hospital; St. Elizabeth's Medical Center; The Meadows; Vibra Hospital of SE Mass; Winchester Hospital.</w:t>
      </w:r>
    </w:p>
  </w:footnote>
  <w:footnote w:id="10">
    <w:p w14:paraId="4F9A2DFA" w14:textId="7664EFF5" w:rsidR="002420B6" w:rsidRDefault="002420B6" w:rsidP="002420B6">
      <w:pPr>
        <w:pStyle w:val="FootnoteText"/>
      </w:pPr>
      <w:r w:rsidRPr="00923879">
        <w:rPr>
          <w:rStyle w:val="FootnoteReference"/>
          <w:sz w:val="16"/>
          <w:szCs w:val="16"/>
        </w:rPr>
        <w:footnoteRef/>
      </w:r>
      <w:r w:rsidRPr="00923879">
        <w:rPr>
          <w:sz w:val="16"/>
          <w:szCs w:val="16"/>
        </w:rPr>
        <w:t xml:space="preserve"> Hartford Hospital; Rhode Island Hospital; Dartmouth-Hitchcock Medical Center; Hospital Auxilio Mutuo; Johnson Memorial Medical Center; Lawnwood Regional Medical Center; Samaritan Hospital; St Francis Hospital ; St Peter's Hospital; Yale New Haven Hospital; Adventhealth Orlando; Albany Medical Center; Ascension Sacred Heart Bay; Backup Hospital; Carilion Roanoke Memorial Hospital; Cary Medical Center; Catholic Medical Center; CCS Cleveland Fairhill; Central Maine Medical Center; Cheshire Medical Center; Concord Hospital; Crouse Hospital;</w:t>
      </w:r>
      <w:r w:rsidRPr="00490853">
        <w:rPr>
          <w:sz w:val="18"/>
          <w:szCs w:val="18"/>
        </w:rPr>
        <w:t xml:space="preserve"> </w:t>
      </w:r>
      <w:r w:rsidRPr="00923879">
        <w:rPr>
          <w:sz w:val="16"/>
          <w:szCs w:val="16"/>
        </w:rPr>
        <w:t>Danbury Hospital; Elliot Hospital; Ellis Hospital; Exeter</w:t>
      </w:r>
      <w:r w:rsidRPr="00490853">
        <w:rPr>
          <w:sz w:val="18"/>
          <w:szCs w:val="18"/>
        </w:rPr>
        <w:t xml:space="preserve"> </w:t>
      </w:r>
      <w:r w:rsidRPr="00923879">
        <w:rPr>
          <w:sz w:val="16"/>
          <w:szCs w:val="16"/>
        </w:rPr>
        <w:t xml:space="preserve">Hospital; Frisbie Memorial Hospital; HCA Florida Memorial Hospital; HCA Florida Osceola Hospital; </w:t>
      </w:r>
      <w:r w:rsidR="00AC11CF" w:rsidRPr="00923879">
        <w:rPr>
          <w:sz w:val="16"/>
          <w:szCs w:val="16"/>
        </w:rPr>
        <w:t>HealthAlliance</w:t>
      </w:r>
      <w:r w:rsidRPr="00923879">
        <w:rPr>
          <w:sz w:val="16"/>
          <w:szCs w:val="16"/>
        </w:rPr>
        <w:t xml:space="preserve"> Hospital Marys Avenue Cam; Kent County Hospital; Kindred Hospital LTACH Los Angeles; Maine Medical Center; Mid Coast Hospital; MidState Medical Center; Mt Sinai Rehab Hospital; Nazareth Hospital; New York Presbyterian Hospital; Northern Light East Maine Medical Center; Northern Lights Eastern Maine Medical Center; NYU Langone Hospital Brooklyn; Our Lady of Fatima; Portsmouth Regional Hospital; Rochester General Hospital; Saint Francis Hospital and Medical Center; Southern New Hampshire Medical Center; St Joseph Hospital; St. Vincent's Medical Center; The Saratoga Hospital; The University of Vermont Medical Center; University of Alabama at Birmingham; University of Vermont Medical Center; Vassar Brothers Medical Center; Waterbury Hospital; West Roxbury VA; York Medical Center.</w:t>
      </w:r>
    </w:p>
  </w:footnote>
  <w:footnote w:id="11">
    <w:p w14:paraId="2759ACBA" w14:textId="3078C66C" w:rsidR="00F55EC2" w:rsidRPr="005B4B4F" w:rsidRDefault="00F55EC2">
      <w:pPr>
        <w:pStyle w:val="FootnoteText"/>
        <w:rPr>
          <w:sz w:val="16"/>
          <w:szCs w:val="16"/>
        </w:rPr>
      </w:pPr>
      <w:r w:rsidRPr="005B4B4F">
        <w:rPr>
          <w:rStyle w:val="FootnoteReference"/>
          <w:sz w:val="16"/>
          <w:szCs w:val="16"/>
        </w:rPr>
        <w:footnoteRef/>
      </w:r>
      <w:r w:rsidRPr="005B4B4F">
        <w:rPr>
          <w:sz w:val="16"/>
          <w:szCs w:val="16"/>
        </w:rPr>
        <w:t xml:space="preserve"> Current census is 22 patients</w:t>
      </w:r>
      <w:r w:rsidR="009E2F90" w:rsidRPr="005B4B4F">
        <w:rPr>
          <w:sz w:val="16"/>
          <w:szCs w:val="16"/>
        </w:rPr>
        <w:t xml:space="preserve"> served by 10 direct care staff.</w:t>
      </w:r>
    </w:p>
  </w:footnote>
  <w:footnote w:id="12">
    <w:p w14:paraId="73D93EE8" w14:textId="77777777" w:rsidR="00710B48" w:rsidRPr="00836E4E" w:rsidRDefault="00710B48" w:rsidP="00710B48">
      <w:pPr>
        <w:pStyle w:val="FootnoteText"/>
        <w:rPr>
          <w:sz w:val="16"/>
          <w:szCs w:val="16"/>
        </w:rPr>
      </w:pPr>
      <w:r w:rsidRPr="00836E4E">
        <w:rPr>
          <w:rStyle w:val="FootnoteReference"/>
          <w:sz w:val="16"/>
          <w:szCs w:val="16"/>
        </w:rPr>
        <w:footnoteRef/>
      </w:r>
      <w:r w:rsidRPr="00836E4E">
        <w:rPr>
          <w:sz w:val="16"/>
          <w:szCs w:val="16"/>
        </w:rPr>
        <w:t xml:space="preserve"> Neither for profit nor non-acute hospitals are required to perform a Community Health Needs Assessment (CHNA).</w:t>
      </w:r>
    </w:p>
  </w:footnote>
  <w:footnote w:id="13">
    <w:p w14:paraId="693B853C" w14:textId="19569333" w:rsidR="00705312" w:rsidRPr="00923879" w:rsidRDefault="00705312" w:rsidP="00B067F5">
      <w:pPr>
        <w:pStyle w:val="FootnoteText"/>
        <w:rPr>
          <w:sz w:val="16"/>
          <w:szCs w:val="16"/>
        </w:rPr>
      </w:pPr>
      <w:r w:rsidRPr="00AF69FD">
        <w:rPr>
          <w:rStyle w:val="FootnoteReference"/>
          <w:sz w:val="16"/>
          <w:szCs w:val="16"/>
        </w:rPr>
        <w:footnoteRef/>
      </w:r>
      <w:r w:rsidRPr="00AF69FD">
        <w:rPr>
          <w:sz w:val="16"/>
          <w:szCs w:val="16"/>
        </w:rPr>
        <w:t xml:space="preserve"> Vibra Healthcare II owns the Hospital and Vibra Healthcare owns the Southeastern Vibra. Vibra Healthcare, LLC and Vibra Healthcare II, LLC are affiliated companies both controlled by the same super majority owner.</w:t>
      </w:r>
    </w:p>
  </w:footnote>
  <w:footnote w:id="14">
    <w:p w14:paraId="2DE3A55A" w14:textId="7219ADE6" w:rsidR="00ED5578" w:rsidRPr="005B4B4F" w:rsidRDefault="00BB21C4" w:rsidP="005B4B4F">
      <w:pPr>
        <w:pStyle w:val="FootnoteText"/>
        <w:rPr>
          <w:sz w:val="16"/>
          <w:szCs w:val="16"/>
        </w:rPr>
      </w:pPr>
      <w:r w:rsidRPr="005B4B4F">
        <w:rPr>
          <w:sz w:val="16"/>
          <w:szCs w:val="16"/>
        </w:rPr>
        <w:footnoteRef/>
      </w:r>
      <w:r w:rsidRPr="005B4B4F">
        <w:rPr>
          <w:sz w:val="16"/>
          <w:szCs w:val="16"/>
          <w:vertAlign w:val="superscript"/>
        </w:rPr>
        <w:t xml:space="preserve"> </w:t>
      </w:r>
      <w:r w:rsidRPr="005B4B4F">
        <w:rPr>
          <w:sz w:val="16"/>
          <w:szCs w:val="16"/>
        </w:rPr>
        <w:t xml:space="preserve">The Applicant notes that </w:t>
      </w:r>
      <w:r w:rsidR="00ED5578" w:rsidRPr="005B4B4F">
        <w:rPr>
          <w:sz w:val="16"/>
          <w:szCs w:val="16"/>
        </w:rPr>
        <w:t xml:space="preserve">these providers are not affiliated with the Applicant and are two independent parties who have negotiated </w:t>
      </w:r>
      <w:r w:rsidR="00EF4AB9" w:rsidRPr="005B4B4F">
        <w:rPr>
          <w:sz w:val="16"/>
          <w:szCs w:val="16"/>
        </w:rPr>
        <w:t>a consulting</w:t>
      </w:r>
      <w:r w:rsidR="00ED5578" w:rsidRPr="005B4B4F">
        <w:rPr>
          <w:sz w:val="16"/>
          <w:szCs w:val="16"/>
        </w:rPr>
        <w:t xml:space="preserve"> agreement.</w:t>
      </w:r>
    </w:p>
    <w:p w14:paraId="2DEBFDC0" w14:textId="114B33AE" w:rsidR="00BB21C4" w:rsidRDefault="00BB21C4">
      <w:pPr>
        <w:pStyle w:val="FootnoteText"/>
      </w:pPr>
    </w:p>
  </w:footnote>
  <w:footnote w:id="15">
    <w:p w14:paraId="5601E365" w14:textId="77777777" w:rsidR="0022245E" w:rsidRPr="00866586" w:rsidRDefault="0022245E" w:rsidP="0022245E">
      <w:pPr>
        <w:pStyle w:val="FootnoteText"/>
        <w:rPr>
          <w:sz w:val="16"/>
          <w:szCs w:val="16"/>
        </w:rPr>
      </w:pPr>
      <w:r w:rsidRPr="00866586">
        <w:rPr>
          <w:rStyle w:val="FootnoteReference"/>
          <w:sz w:val="16"/>
          <w:szCs w:val="16"/>
        </w:rPr>
        <w:footnoteRef/>
      </w:r>
      <w:r w:rsidRPr="00866586">
        <w:rPr>
          <w:sz w:val="16"/>
          <w:szCs w:val="16"/>
        </w:rPr>
        <w:t xml:space="preserve"> </w:t>
      </w:r>
      <w:r w:rsidRPr="00866586">
        <w:rPr>
          <w:rFonts w:eastAsia="Times New Roman"/>
          <w:sz w:val="16"/>
          <w:szCs w:val="16"/>
        </w:rPr>
        <w:t>Reasonableness is defined within the context of this report as supportable and proper, given the underlying</w:t>
      </w:r>
      <w:r w:rsidRPr="00866586">
        <w:rPr>
          <w:sz w:val="16"/>
          <w:szCs w:val="16"/>
        </w:rPr>
        <w:t xml:space="preserve"> </w:t>
      </w:r>
      <w:r w:rsidRPr="00866586">
        <w:rPr>
          <w:rFonts w:eastAsia="Times New Roman"/>
          <w:sz w:val="16"/>
          <w:szCs w:val="16"/>
        </w:rPr>
        <w:t>information.</w:t>
      </w:r>
    </w:p>
  </w:footnote>
  <w:footnote w:id="16">
    <w:p w14:paraId="217D6B71" w14:textId="77777777" w:rsidR="0022245E" w:rsidRPr="00866586" w:rsidRDefault="0022245E" w:rsidP="0022245E">
      <w:pPr>
        <w:adjustRightInd w:val="0"/>
        <w:rPr>
          <w:sz w:val="16"/>
          <w:szCs w:val="16"/>
        </w:rPr>
      </w:pPr>
      <w:r w:rsidRPr="00866586">
        <w:rPr>
          <w:rStyle w:val="FootnoteReference"/>
          <w:sz w:val="16"/>
          <w:szCs w:val="16"/>
        </w:rPr>
        <w:footnoteRef/>
      </w:r>
      <w:r w:rsidRPr="00866586">
        <w:rPr>
          <w:sz w:val="16"/>
          <w:szCs w:val="16"/>
        </w:rPr>
        <w:t xml:space="preserve"> Feasibility is defined as based on the assumptions used, the plan is not likely to result in insufficient funds available for capital and ongoing operating costs necessary to support the proposed project without negative impacts or consequences to existing Patient Panel.</w:t>
      </w:r>
    </w:p>
  </w:footnote>
  <w:footnote w:id="17">
    <w:p w14:paraId="050AA0B1" w14:textId="58E9C347" w:rsidR="004802BF" w:rsidRPr="000369C6" w:rsidRDefault="004802BF">
      <w:pPr>
        <w:pStyle w:val="FootnoteText"/>
        <w:rPr>
          <w:sz w:val="16"/>
          <w:szCs w:val="16"/>
        </w:rPr>
      </w:pPr>
      <w:r w:rsidRPr="000369C6">
        <w:rPr>
          <w:rStyle w:val="FootnoteReference"/>
          <w:sz w:val="16"/>
          <w:szCs w:val="16"/>
        </w:rPr>
        <w:footnoteRef/>
      </w:r>
      <w:r w:rsidRPr="000369C6">
        <w:rPr>
          <w:sz w:val="16"/>
          <w:szCs w:val="16"/>
        </w:rPr>
        <w:t xml:space="preserve"> </w:t>
      </w:r>
      <w:r w:rsidR="000369C6" w:rsidRPr="000369C6">
        <w:rPr>
          <w:rFonts w:cs="Times New Roman"/>
          <w:sz w:val="16"/>
          <w:szCs w:val="16"/>
        </w:rPr>
        <w:t>Triple net is a real estate term which means the tenant is responsible for items such as real estate taxes, property insurance, repairs, maintenance, and escrows.</w:t>
      </w:r>
    </w:p>
  </w:footnote>
  <w:footnote w:id="18">
    <w:p w14:paraId="3F7D9ACC" w14:textId="77777777" w:rsidR="00691BEC" w:rsidRPr="00275607" w:rsidRDefault="00691BEC" w:rsidP="00691BEC">
      <w:pPr>
        <w:pStyle w:val="FootnoteText"/>
        <w:rPr>
          <w:sz w:val="16"/>
          <w:szCs w:val="16"/>
        </w:rPr>
      </w:pPr>
      <w:r w:rsidRPr="00275607">
        <w:rPr>
          <w:rStyle w:val="FootnoteReference"/>
          <w:sz w:val="16"/>
          <w:szCs w:val="16"/>
        </w:rPr>
        <w:footnoteRef/>
      </w:r>
      <w:r w:rsidRPr="00275607">
        <w:rPr>
          <w:sz w:val="16"/>
          <w:szCs w:val="16"/>
        </w:rPr>
        <w:t xml:space="preserve"> (B)(1) A Determination of Need Application for Transfer of Ownership pursuant to 105 CMR 100.735 is exempt from105 CMR 100.310(A)(5), (6), (7), (9), (10) and (13).</w:t>
      </w:r>
    </w:p>
  </w:footnote>
  <w:footnote w:id="19">
    <w:p w14:paraId="5B089037" w14:textId="15F7D339" w:rsidR="007E2C99" w:rsidRPr="005B4B4F" w:rsidRDefault="007E2C99" w:rsidP="005B4B4F">
      <w:pPr>
        <w:pStyle w:val="pf0"/>
        <w:spacing w:after="0" w:afterAutospacing="0"/>
        <w:contextualSpacing/>
        <w:rPr>
          <w:rFonts w:cstheme="minorHAnsi"/>
          <w:sz w:val="16"/>
          <w:szCs w:val="16"/>
        </w:rPr>
      </w:pPr>
      <w:r w:rsidRPr="005B4B4F">
        <w:rPr>
          <w:rStyle w:val="FootnoteReference"/>
          <w:rFonts w:asciiTheme="minorHAnsi" w:hAnsiTheme="minorHAnsi" w:cstheme="minorHAnsi"/>
          <w:sz w:val="16"/>
          <w:szCs w:val="16"/>
        </w:rPr>
        <w:footnoteRef/>
      </w:r>
      <w:r w:rsidRPr="005B4B4F">
        <w:rPr>
          <w:rFonts w:asciiTheme="minorHAnsi" w:hAnsiTheme="minorHAnsi" w:cstheme="minorHAnsi"/>
          <w:sz w:val="16"/>
          <w:szCs w:val="16"/>
        </w:rPr>
        <w:t xml:space="preserve"> </w:t>
      </w:r>
      <w:r w:rsidR="00A174CF">
        <w:rPr>
          <w:rFonts w:asciiTheme="minorHAnsi" w:hAnsiTheme="minorHAnsi" w:cstheme="minorHAnsi"/>
          <w:sz w:val="16"/>
          <w:szCs w:val="16"/>
        </w:rPr>
        <w:t xml:space="preserve">The </w:t>
      </w:r>
      <w:r w:rsidR="00D51733" w:rsidRPr="005B4B4F">
        <w:rPr>
          <w:rStyle w:val="cf01"/>
          <w:rFonts w:asciiTheme="minorHAnsi" w:hAnsiTheme="minorHAnsi" w:cstheme="minorHAnsi"/>
          <w:sz w:val="16"/>
          <w:szCs w:val="16"/>
        </w:rPr>
        <w:t>Applicant selected 92% as its own organizational goal.</w:t>
      </w:r>
      <w:r w:rsidR="00A174CF" w:rsidRPr="005B4B4F">
        <w:rPr>
          <w:rStyle w:val="cf01"/>
          <w:rFonts w:asciiTheme="minorHAnsi" w:hAnsiTheme="minorHAnsi" w:cstheme="minorHAnsi"/>
          <w:sz w:val="16"/>
          <w:szCs w:val="16"/>
        </w:rPr>
        <w:t xml:space="preserve"> Applicant believes that a 92% satisfaction rate is both exemplary and realistic considering the opportunities and challenges faced by the Hospital.</w:t>
      </w:r>
    </w:p>
  </w:footnote>
  <w:footnote w:id="20">
    <w:p w14:paraId="5B106AB6" w14:textId="77777777" w:rsidR="00D91ED4" w:rsidRPr="00923879" w:rsidRDefault="00D91ED4" w:rsidP="00D91ED4">
      <w:pPr>
        <w:pStyle w:val="FootnoteText"/>
        <w:rPr>
          <w:sz w:val="16"/>
          <w:szCs w:val="16"/>
        </w:rPr>
      </w:pPr>
      <w:r w:rsidRPr="00923879">
        <w:rPr>
          <w:rStyle w:val="FootnoteReference"/>
          <w:sz w:val="16"/>
          <w:szCs w:val="16"/>
        </w:rPr>
        <w:footnoteRef/>
      </w:r>
      <w:r w:rsidRPr="00923879">
        <w:rPr>
          <w:sz w:val="16"/>
          <w:szCs w:val="16"/>
        </w:rPr>
        <w:t xml:space="preserve"> HAPU is a hospital-acquired pressure ulcer. Medicare collects outcome measures from all LTCHs on HAPUs.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51F" w14:textId="65F1F322" w:rsidR="00E92504" w:rsidRDefault="00E92504">
    <w:pPr>
      <w:pStyle w:val="Header"/>
    </w:pPr>
  </w:p>
  <w:p w14:paraId="688BA6DB" w14:textId="77777777" w:rsidR="00E92504" w:rsidRDefault="00E925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9540" w14:textId="0E093D3D" w:rsidR="00E92504" w:rsidRDefault="00E92504">
    <w:pPr>
      <w:pStyle w:val="Header"/>
    </w:pPr>
  </w:p>
  <w:p w14:paraId="7D3BF8DA" w14:textId="77777777" w:rsidR="00E92504" w:rsidRDefault="00E925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70CE" w14:textId="77777777" w:rsidR="00730A60" w:rsidRDefault="007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2436"/>
    <w:multiLevelType w:val="hybridMultilevel"/>
    <w:tmpl w:val="375E9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47BAD"/>
    <w:multiLevelType w:val="hybridMultilevel"/>
    <w:tmpl w:val="F698B1A6"/>
    <w:lvl w:ilvl="0" w:tplc="C2C4800C">
      <w:start w:val="1"/>
      <w:numFmt w:val="lowerLetter"/>
      <w:lvlText w:val="%1)"/>
      <w:lvlJc w:val="left"/>
      <w:pPr>
        <w:ind w:left="1020" w:hanging="360"/>
      </w:pPr>
    </w:lvl>
    <w:lvl w:ilvl="1" w:tplc="E85009B8">
      <w:start w:val="1"/>
      <w:numFmt w:val="lowerLetter"/>
      <w:lvlText w:val="%2)"/>
      <w:lvlJc w:val="left"/>
      <w:pPr>
        <w:ind w:left="1020" w:hanging="360"/>
      </w:pPr>
    </w:lvl>
    <w:lvl w:ilvl="2" w:tplc="1602996A">
      <w:start w:val="1"/>
      <w:numFmt w:val="lowerLetter"/>
      <w:lvlText w:val="%3)"/>
      <w:lvlJc w:val="left"/>
      <w:pPr>
        <w:ind w:left="1020" w:hanging="360"/>
      </w:pPr>
    </w:lvl>
    <w:lvl w:ilvl="3" w:tplc="ED7AEB54">
      <w:start w:val="1"/>
      <w:numFmt w:val="lowerLetter"/>
      <w:lvlText w:val="%4)"/>
      <w:lvlJc w:val="left"/>
      <w:pPr>
        <w:ind w:left="1020" w:hanging="360"/>
      </w:pPr>
    </w:lvl>
    <w:lvl w:ilvl="4" w:tplc="9BE4118C">
      <w:start w:val="1"/>
      <w:numFmt w:val="lowerLetter"/>
      <w:lvlText w:val="%5)"/>
      <w:lvlJc w:val="left"/>
      <w:pPr>
        <w:ind w:left="1020" w:hanging="360"/>
      </w:pPr>
    </w:lvl>
    <w:lvl w:ilvl="5" w:tplc="8EF01F50">
      <w:start w:val="1"/>
      <w:numFmt w:val="lowerLetter"/>
      <w:lvlText w:val="%6)"/>
      <w:lvlJc w:val="left"/>
      <w:pPr>
        <w:ind w:left="1020" w:hanging="360"/>
      </w:pPr>
    </w:lvl>
    <w:lvl w:ilvl="6" w:tplc="BB7051F4">
      <w:start w:val="1"/>
      <w:numFmt w:val="lowerLetter"/>
      <w:lvlText w:val="%7)"/>
      <w:lvlJc w:val="left"/>
      <w:pPr>
        <w:ind w:left="1020" w:hanging="360"/>
      </w:pPr>
    </w:lvl>
    <w:lvl w:ilvl="7" w:tplc="4D60BC30">
      <w:start w:val="1"/>
      <w:numFmt w:val="lowerLetter"/>
      <w:lvlText w:val="%8)"/>
      <w:lvlJc w:val="left"/>
      <w:pPr>
        <w:ind w:left="1020" w:hanging="360"/>
      </w:pPr>
    </w:lvl>
    <w:lvl w:ilvl="8" w:tplc="F0B88D4C">
      <w:start w:val="1"/>
      <w:numFmt w:val="lowerLetter"/>
      <w:lvlText w:val="%9)"/>
      <w:lvlJc w:val="left"/>
      <w:pPr>
        <w:ind w:left="1020" w:hanging="360"/>
      </w:pPr>
    </w:lvl>
  </w:abstractNum>
  <w:abstractNum w:abstractNumId="2" w15:restartNumberingAfterBreak="0">
    <w:nsid w:val="101C2874"/>
    <w:multiLevelType w:val="hybridMultilevel"/>
    <w:tmpl w:val="C8E69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32211"/>
    <w:multiLevelType w:val="multilevel"/>
    <w:tmpl w:val="4FC0CD62"/>
    <w:name w:val="RNum"/>
    <w:lvl w:ilvl="0">
      <w:start w:val="1"/>
      <w:numFmt w:val="decimal"/>
      <w:lvlRestart w:val="0"/>
      <w:pStyle w:val="RNNum"/>
      <w:lvlText w:val="%1."/>
      <w:lvlJc w:val="left"/>
      <w:pPr>
        <w:ind w:left="-180" w:hanging="360"/>
      </w:pPr>
      <w:rPr>
        <w:color w:val="auto"/>
      </w:rPr>
    </w:lvl>
    <w:lvl w:ilvl="1">
      <w:start w:val="1"/>
      <w:numFmt w:val="lowerLetter"/>
      <w:pStyle w:val="RN2Num"/>
      <w:lvlText w:val="%2."/>
      <w:lvlJc w:val="left"/>
      <w:pPr>
        <w:ind w:left="540" w:hanging="360"/>
      </w:pPr>
    </w:lvl>
    <w:lvl w:ilvl="2">
      <w:start w:val="1"/>
      <w:numFmt w:val="lowerRoman"/>
      <w:pStyle w:val="RN3Num"/>
      <w:lvlText w:val="%3."/>
      <w:lvlJc w:val="right"/>
      <w:pPr>
        <w:ind w:left="1260" w:hanging="180"/>
      </w:pPr>
    </w:lvl>
    <w:lvl w:ilvl="3">
      <w:start w:val="1"/>
      <w:numFmt w:val="decimal"/>
      <w:pStyle w:val="RN4Num"/>
      <w:lvlText w:val="%4."/>
      <w:lvlJc w:val="left"/>
      <w:pPr>
        <w:ind w:left="1980" w:hanging="360"/>
      </w:pPr>
    </w:lvl>
    <w:lvl w:ilvl="4">
      <w:start w:val="1"/>
      <w:numFmt w:val="lowerLetter"/>
      <w:pStyle w:val="RN5Num"/>
      <w:lvlText w:val="%5."/>
      <w:lvlJc w:val="left"/>
      <w:pPr>
        <w:ind w:left="2700" w:hanging="360"/>
      </w:pPr>
    </w:lvl>
    <w:lvl w:ilvl="5">
      <w:start w:val="1"/>
      <w:numFmt w:val="lowerRoman"/>
      <w:pStyle w:val="RN6Num"/>
      <w:lvlText w:val="%6."/>
      <w:lvlJc w:val="right"/>
      <w:pPr>
        <w:ind w:left="3420" w:hanging="180"/>
      </w:pPr>
    </w:lvl>
    <w:lvl w:ilvl="6">
      <w:start w:val="1"/>
      <w:numFmt w:val="decimal"/>
      <w:pStyle w:val="RN7Num"/>
      <w:lvlText w:val="%7."/>
      <w:lvlJc w:val="left"/>
      <w:pPr>
        <w:ind w:left="4140" w:hanging="360"/>
      </w:pPr>
    </w:lvl>
    <w:lvl w:ilvl="7">
      <w:start w:val="1"/>
      <w:numFmt w:val="lowerLetter"/>
      <w:pStyle w:val="RN8Num"/>
      <w:lvlText w:val="%8."/>
      <w:lvlJc w:val="left"/>
      <w:pPr>
        <w:ind w:left="4860" w:hanging="360"/>
      </w:pPr>
    </w:lvl>
    <w:lvl w:ilvl="8">
      <w:start w:val="1"/>
      <w:numFmt w:val="lowerRoman"/>
      <w:pStyle w:val="RN9Num"/>
      <w:lvlText w:val="%9."/>
      <w:lvlJc w:val="right"/>
      <w:pPr>
        <w:ind w:left="5580" w:hanging="180"/>
      </w:pPr>
    </w:lvl>
  </w:abstractNum>
  <w:abstractNum w:abstractNumId="4" w15:restartNumberingAfterBreak="0">
    <w:nsid w:val="16457B01"/>
    <w:multiLevelType w:val="hybridMultilevel"/>
    <w:tmpl w:val="5F3291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686350F"/>
    <w:multiLevelType w:val="hybridMultilevel"/>
    <w:tmpl w:val="A1C814BE"/>
    <w:lvl w:ilvl="0" w:tplc="20F0F61C">
      <w:start w:val="1"/>
      <w:numFmt w:val="upperLetter"/>
      <w:lvlText w:val="%1."/>
      <w:lvlJc w:val="left"/>
      <w:pPr>
        <w:ind w:left="1440" w:hanging="360"/>
      </w:pPr>
    </w:lvl>
    <w:lvl w:ilvl="1" w:tplc="3620BE1C">
      <w:start w:val="1"/>
      <w:numFmt w:val="upperLetter"/>
      <w:lvlText w:val="%2."/>
      <w:lvlJc w:val="left"/>
      <w:pPr>
        <w:ind w:left="1440" w:hanging="360"/>
      </w:pPr>
    </w:lvl>
    <w:lvl w:ilvl="2" w:tplc="E95E7382">
      <w:start w:val="1"/>
      <w:numFmt w:val="upperLetter"/>
      <w:lvlText w:val="%3."/>
      <w:lvlJc w:val="left"/>
      <w:pPr>
        <w:ind w:left="1440" w:hanging="360"/>
      </w:pPr>
    </w:lvl>
    <w:lvl w:ilvl="3" w:tplc="B3D0A296">
      <w:start w:val="1"/>
      <w:numFmt w:val="upperLetter"/>
      <w:lvlText w:val="%4."/>
      <w:lvlJc w:val="left"/>
      <w:pPr>
        <w:ind w:left="1440" w:hanging="360"/>
      </w:pPr>
    </w:lvl>
    <w:lvl w:ilvl="4" w:tplc="DD8E2DAA">
      <w:start w:val="1"/>
      <w:numFmt w:val="upperLetter"/>
      <w:lvlText w:val="%5."/>
      <w:lvlJc w:val="left"/>
      <w:pPr>
        <w:ind w:left="1440" w:hanging="360"/>
      </w:pPr>
    </w:lvl>
    <w:lvl w:ilvl="5" w:tplc="185CF47E">
      <w:start w:val="1"/>
      <w:numFmt w:val="upperLetter"/>
      <w:lvlText w:val="%6."/>
      <w:lvlJc w:val="left"/>
      <w:pPr>
        <w:ind w:left="1440" w:hanging="360"/>
      </w:pPr>
    </w:lvl>
    <w:lvl w:ilvl="6" w:tplc="4B12426C">
      <w:start w:val="1"/>
      <w:numFmt w:val="upperLetter"/>
      <w:lvlText w:val="%7."/>
      <w:lvlJc w:val="left"/>
      <w:pPr>
        <w:ind w:left="1440" w:hanging="360"/>
      </w:pPr>
    </w:lvl>
    <w:lvl w:ilvl="7" w:tplc="AB78BF06">
      <w:start w:val="1"/>
      <w:numFmt w:val="upperLetter"/>
      <w:lvlText w:val="%8."/>
      <w:lvlJc w:val="left"/>
      <w:pPr>
        <w:ind w:left="1440" w:hanging="360"/>
      </w:pPr>
    </w:lvl>
    <w:lvl w:ilvl="8" w:tplc="D9ECBAC2">
      <w:start w:val="1"/>
      <w:numFmt w:val="upperLetter"/>
      <w:lvlText w:val="%9."/>
      <w:lvlJc w:val="left"/>
      <w:pPr>
        <w:ind w:left="1440" w:hanging="360"/>
      </w:pPr>
    </w:lvl>
  </w:abstractNum>
  <w:abstractNum w:abstractNumId="6" w15:restartNumberingAfterBreak="0">
    <w:nsid w:val="19FD3943"/>
    <w:multiLevelType w:val="multilevel"/>
    <w:tmpl w:val="095A2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B0A67"/>
    <w:multiLevelType w:val="hybridMultilevel"/>
    <w:tmpl w:val="80468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A2E47"/>
    <w:multiLevelType w:val="hybridMultilevel"/>
    <w:tmpl w:val="1D06D1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70D53"/>
    <w:multiLevelType w:val="hybridMultilevel"/>
    <w:tmpl w:val="594069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534E0E"/>
    <w:multiLevelType w:val="hybridMultilevel"/>
    <w:tmpl w:val="23280292"/>
    <w:lvl w:ilvl="0" w:tplc="0409000F">
      <w:start w:val="1"/>
      <w:numFmt w:val="decimal"/>
      <w:lvlText w:val="%1."/>
      <w:lvlJc w:val="left"/>
      <w:pPr>
        <w:ind w:left="17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3679D"/>
    <w:multiLevelType w:val="hybridMultilevel"/>
    <w:tmpl w:val="11E03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F61A8"/>
    <w:multiLevelType w:val="hybridMultilevel"/>
    <w:tmpl w:val="89667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B5C7D"/>
    <w:multiLevelType w:val="hybridMultilevel"/>
    <w:tmpl w:val="C7CEBAD8"/>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522CEB14">
      <w:start w:val="3"/>
      <w:numFmt w:val="upp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535F38"/>
    <w:multiLevelType w:val="hybridMultilevel"/>
    <w:tmpl w:val="5B30A2BA"/>
    <w:lvl w:ilvl="0" w:tplc="71C29856">
      <w:start w:val="1"/>
      <w:numFmt w:val="decimal"/>
      <w:lvlText w:val="%1."/>
      <w:lvlJc w:val="left"/>
      <w:pPr>
        <w:ind w:left="720" w:hanging="360"/>
      </w:pPr>
      <w:rPr>
        <w:rFonts w:hint="default"/>
      </w:rPr>
    </w:lvl>
    <w:lvl w:ilvl="1" w:tplc="93FC8F58">
      <w:start w:val="1"/>
      <w:numFmt w:val="lowerLetter"/>
      <w:lvlText w:val="%2."/>
      <w:lvlJc w:val="left"/>
      <w:pPr>
        <w:ind w:left="1440" w:hanging="360"/>
      </w:pPr>
    </w:lvl>
    <w:lvl w:ilvl="2" w:tplc="AB545434" w:tentative="1">
      <w:start w:val="1"/>
      <w:numFmt w:val="lowerRoman"/>
      <w:lvlText w:val="%3."/>
      <w:lvlJc w:val="right"/>
      <w:pPr>
        <w:ind w:left="2160" w:hanging="180"/>
      </w:pPr>
    </w:lvl>
    <w:lvl w:ilvl="3" w:tplc="E54C24A0" w:tentative="1">
      <w:start w:val="1"/>
      <w:numFmt w:val="decimal"/>
      <w:lvlText w:val="%4."/>
      <w:lvlJc w:val="left"/>
      <w:pPr>
        <w:ind w:left="2880" w:hanging="360"/>
      </w:pPr>
    </w:lvl>
    <w:lvl w:ilvl="4" w:tplc="90A0BCC2" w:tentative="1">
      <w:start w:val="1"/>
      <w:numFmt w:val="lowerLetter"/>
      <w:lvlText w:val="%5."/>
      <w:lvlJc w:val="left"/>
      <w:pPr>
        <w:ind w:left="3600" w:hanging="360"/>
      </w:pPr>
    </w:lvl>
    <w:lvl w:ilvl="5" w:tplc="F3EC5424" w:tentative="1">
      <w:start w:val="1"/>
      <w:numFmt w:val="lowerRoman"/>
      <w:lvlText w:val="%6."/>
      <w:lvlJc w:val="right"/>
      <w:pPr>
        <w:ind w:left="4320" w:hanging="180"/>
      </w:pPr>
    </w:lvl>
    <w:lvl w:ilvl="6" w:tplc="729420E8" w:tentative="1">
      <w:start w:val="1"/>
      <w:numFmt w:val="decimal"/>
      <w:lvlText w:val="%7."/>
      <w:lvlJc w:val="left"/>
      <w:pPr>
        <w:ind w:left="5040" w:hanging="360"/>
      </w:pPr>
    </w:lvl>
    <w:lvl w:ilvl="7" w:tplc="D3840C7E" w:tentative="1">
      <w:start w:val="1"/>
      <w:numFmt w:val="lowerLetter"/>
      <w:lvlText w:val="%8."/>
      <w:lvlJc w:val="left"/>
      <w:pPr>
        <w:ind w:left="5760" w:hanging="360"/>
      </w:pPr>
    </w:lvl>
    <w:lvl w:ilvl="8" w:tplc="B3B6EC9A" w:tentative="1">
      <w:start w:val="1"/>
      <w:numFmt w:val="lowerRoman"/>
      <w:lvlText w:val="%9."/>
      <w:lvlJc w:val="right"/>
      <w:pPr>
        <w:ind w:left="6480" w:hanging="180"/>
      </w:pPr>
    </w:lvl>
  </w:abstractNum>
  <w:abstractNum w:abstractNumId="15" w15:restartNumberingAfterBreak="0">
    <w:nsid w:val="36B31E60"/>
    <w:multiLevelType w:val="hybridMultilevel"/>
    <w:tmpl w:val="16146676"/>
    <w:lvl w:ilvl="0" w:tplc="1EE0E64C">
      <w:start w:val="1"/>
      <w:numFmt w:val="upperLetter"/>
      <w:lvlText w:val="%1."/>
      <w:lvlJc w:val="left"/>
      <w:pPr>
        <w:ind w:left="1440" w:hanging="360"/>
      </w:pPr>
    </w:lvl>
    <w:lvl w:ilvl="1" w:tplc="9A16ADB4">
      <w:start w:val="1"/>
      <w:numFmt w:val="upperLetter"/>
      <w:lvlText w:val="%2."/>
      <w:lvlJc w:val="left"/>
      <w:pPr>
        <w:ind w:left="1440" w:hanging="360"/>
      </w:pPr>
    </w:lvl>
    <w:lvl w:ilvl="2" w:tplc="41B4E64A">
      <w:start w:val="1"/>
      <w:numFmt w:val="upperLetter"/>
      <w:lvlText w:val="%3."/>
      <w:lvlJc w:val="left"/>
      <w:pPr>
        <w:ind w:left="1440" w:hanging="360"/>
      </w:pPr>
    </w:lvl>
    <w:lvl w:ilvl="3" w:tplc="5CEC35CA">
      <w:start w:val="1"/>
      <w:numFmt w:val="upperLetter"/>
      <w:lvlText w:val="%4."/>
      <w:lvlJc w:val="left"/>
      <w:pPr>
        <w:ind w:left="1440" w:hanging="360"/>
      </w:pPr>
    </w:lvl>
    <w:lvl w:ilvl="4" w:tplc="E460B90E">
      <w:start w:val="1"/>
      <w:numFmt w:val="upperLetter"/>
      <w:lvlText w:val="%5."/>
      <w:lvlJc w:val="left"/>
      <w:pPr>
        <w:ind w:left="1440" w:hanging="360"/>
      </w:pPr>
    </w:lvl>
    <w:lvl w:ilvl="5" w:tplc="FE7CA092">
      <w:start w:val="1"/>
      <w:numFmt w:val="upperLetter"/>
      <w:lvlText w:val="%6."/>
      <w:lvlJc w:val="left"/>
      <w:pPr>
        <w:ind w:left="1440" w:hanging="360"/>
      </w:pPr>
    </w:lvl>
    <w:lvl w:ilvl="6" w:tplc="7CA090D2">
      <w:start w:val="1"/>
      <w:numFmt w:val="upperLetter"/>
      <w:lvlText w:val="%7."/>
      <w:lvlJc w:val="left"/>
      <w:pPr>
        <w:ind w:left="1440" w:hanging="360"/>
      </w:pPr>
    </w:lvl>
    <w:lvl w:ilvl="7" w:tplc="34AADBF0">
      <w:start w:val="1"/>
      <w:numFmt w:val="upperLetter"/>
      <w:lvlText w:val="%8."/>
      <w:lvlJc w:val="left"/>
      <w:pPr>
        <w:ind w:left="1440" w:hanging="360"/>
      </w:pPr>
    </w:lvl>
    <w:lvl w:ilvl="8" w:tplc="1C543592">
      <w:start w:val="1"/>
      <w:numFmt w:val="upperLetter"/>
      <w:lvlText w:val="%9."/>
      <w:lvlJc w:val="left"/>
      <w:pPr>
        <w:ind w:left="1440" w:hanging="360"/>
      </w:pPr>
    </w:lvl>
  </w:abstractNum>
  <w:abstractNum w:abstractNumId="16" w15:restartNumberingAfterBreak="0">
    <w:nsid w:val="41406ADF"/>
    <w:multiLevelType w:val="hybridMultilevel"/>
    <w:tmpl w:val="5BFC6532"/>
    <w:lvl w:ilvl="0" w:tplc="9492472A">
      <w:start w:val="1"/>
      <w:numFmt w:val="lowerLetter"/>
      <w:lvlText w:val="%1)"/>
      <w:lvlJc w:val="left"/>
      <w:pPr>
        <w:ind w:left="1020" w:hanging="360"/>
      </w:pPr>
    </w:lvl>
    <w:lvl w:ilvl="1" w:tplc="91DE97E6">
      <w:start w:val="1"/>
      <w:numFmt w:val="lowerLetter"/>
      <w:lvlText w:val="%2)"/>
      <w:lvlJc w:val="left"/>
      <w:pPr>
        <w:ind w:left="1020" w:hanging="360"/>
      </w:pPr>
    </w:lvl>
    <w:lvl w:ilvl="2" w:tplc="EB34BE98">
      <w:start w:val="1"/>
      <w:numFmt w:val="lowerLetter"/>
      <w:lvlText w:val="%3)"/>
      <w:lvlJc w:val="left"/>
      <w:pPr>
        <w:ind w:left="1020" w:hanging="360"/>
      </w:pPr>
    </w:lvl>
    <w:lvl w:ilvl="3" w:tplc="48BA9B9A">
      <w:start w:val="1"/>
      <w:numFmt w:val="lowerLetter"/>
      <w:lvlText w:val="%4)"/>
      <w:lvlJc w:val="left"/>
      <w:pPr>
        <w:ind w:left="1020" w:hanging="360"/>
      </w:pPr>
    </w:lvl>
    <w:lvl w:ilvl="4" w:tplc="0CB02B2C">
      <w:start w:val="1"/>
      <w:numFmt w:val="lowerLetter"/>
      <w:lvlText w:val="%5)"/>
      <w:lvlJc w:val="left"/>
      <w:pPr>
        <w:ind w:left="1020" w:hanging="360"/>
      </w:pPr>
    </w:lvl>
    <w:lvl w:ilvl="5" w:tplc="9E8E50B8">
      <w:start w:val="1"/>
      <w:numFmt w:val="lowerLetter"/>
      <w:lvlText w:val="%6)"/>
      <w:lvlJc w:val="left"/>
      <w:pPr>
        <w:ind w:left="1020" w:hanging="360"/>
      </w:pPr>
    </w:lvl>
    <w:lvl w:ilvl="6" w:tplc="F8383C0C">
      <w:start w:val="1"/>
      <w:numFmt w:val="lowerLetter"/>
      <w:lvlText w:val="%7)"/>
      <w:lvlJc w:val="left"/>
      <w:pPr>
        <w:ind w:left="1020" w:hanging="360"/>
      </w:pPr>
    </w:lvl>
    <w:lvl w:ilvl="7" w:tplc="E9EE054A">
      <w:start w:val="1"/>
      <w:numFmt w:val="lowerLetter"/>
      <w:lvlText w:val="%8)"/>
      <w:lvlJc w:val="left"/>
      <w:pPr>
        <w:ind w:left="1020" w:hanging="360"/>
      </w:pPr>
    </w:lvl>
    <w:lvl w:ilvl="8" w:tplc="4F164EE6">
      <w:start w:val="1"/>
      <w:numFmt w:val="lowerLetter"/>
      <w:lvlText w:val="%9)"/>
      <w:lvlJc w:val="left"/>
      <w:pPr>
        <w:ind w:left="1020" w:hanging="360"/>
      </w:pPr>
    </w:lvl>
  </w:abstractNum>
  <w:abstractNum w:abstractNumId="17" w15:restartNumberingAfterBreak="0">
    <w:nsid w:val="43E61CE1"/>
    <w:multiLevelType w:val="hybridMultilevel"/>
    <w:tmpl w:val="573036E6"/>
    <w:lvl w:ilvl="0" w:tplc="69DC7E32">
      <w:start w:val="1"/>
      <w:numFmt w:val="lowerLetter"/>
      <w:lvlText w:val="%1)"/>
      <w:lvlJc w:val="left"/>
      <w:pPr>
        <w:ind w:left="1020" w:hanging="360"/>
      </w:pPr>
    </w:lvl>
    <w:lvl w:ilvl="1" w:tplc="B9128532">
      <w:start w:val="1"/>
      <w:numFmt w:val="lowerLetter"/>
      <w:lvlText w:val="%2)"/>
      <w:lvlJc w:val="left"/>
      <w:pPr>
        <w:ind w:left="1020" w:hanging="360"/>
      </w:pPr>
    </w:lvl>
    <w:lvl w:ilvl="2" w:tplc="35BE4C84">
      <w:start w:val="1"/>
      <w:numFmt w:val="lowerLetter"/>
      <w:lvlText w:val="%3)"/>
      <w:lvlJc w:val="left"/>
      <w:pPr>
        <w:ind w:left="1020" w:hanging="360"/>
      </w:pPr>
    </w:lvl>
    <w:lvl w:ilvl="3" w:tplc="EF16CE40">
      <w:start w:val="1"/>
      <w:numFmt w:val="lowerLetter"/>
      <w:lvlText w:val="%4)"/>
      <w:lvlJc w:val="left"/>
      <w:pPr>
        <w:ind w:left="1020" w:hanging="360"/>
      </w:pPr>
    </w:lvl>
    <w:lvl w:ilvl="4" w:tplc="057E2F74">
      <w:start w:val="1"/>
      <w:numFmt w:val="lowerLetter"/>
      <w:lvlText w:val="%5)"/>
      <w:lvlJc w:val="left"/>
      <w:pPr>
        <w:ind w:left="1020" w:hanging="360"/>
      </w:pPr>
    </w:lvl>
    <w:lvl w:ilvl="5" w:tplc="EA4CE2E0">
      <w:start w:val="1"/>
      <w:numFmt w:val="lowerLetter"/>
      <w:lvlText w:val="%6)"/>
      <w:lvlJc w:val="left"/>
      <w:pPr>
        <w:ind w:left="1020" w:hanging="360"/>
      </w:pPr>
    </w:lvl>
    <w:lvl w:ilvl="6" w:tplc="3560F776">
      <w:start w:val="1"/>
      <w:numFmt w:val="lowerLetter"/>
      <w:lvlText w:val="%7)"/>
      <w:lvlJc w:val="left"/>
      <w:pPr>
        <w:ind w:left="1020" w:hanging="360"/>
      </w:pPr>
    </w:lvl>
    <w:lvl w:ilvl="7" w:tplc="2528C8F2">
      <w:start w:val="1"/>
      <w:numFmt w:val="lowerLetter"/>
      <w:lvlText w:val="%8)"/>
      <w:lvlJc w:val="left"/>
      <w:pPr>
        <w:ind w:left="1020" w:hanging="360"/>
      </w:pPr>
    </w:lvl>
    <w:lvl w:ilvl="8" w:tplc="8F5AFE5A">
      <w:start w:val="1"/>
      <w:numFmt w:val="lowerLetter"/>
      <w:lvlText w:val="%9)"/>
      <w:lvlJc w:val="left"/>
      <w:pPr>
        <w:ind w:left="1020" w:hanging="360"/>
      </w:pPr>
    </w:lvl>
  </w:abstractNum>
  <w:abstractNum w:abstractNumId="18" w15:restartNumberingAfterBreak="0">
    <w:nsid w:val="44F651E2"/>
    <w:multiLevelType w:val="hybridMultilevel"/>
    <w:tmpl w:val="6E6EEB30"/>
    <w:lvl w:ilvl="0" w:tplc="092ACE2E">
      <w:start w:val="1"/>
      <w:numFmt w:val="decimal"/>
      <w:lvlText w:val="%1."/>
      <w:lvlJc w:val="left"/>
      <w:pPr>
        <w:ind w:left="720" w:hanging="360"/>
      </w:pPr>
      <w:rPr>
        <w:rFonts w:hint="default"/>
        <w:sz w:val="24"/>
        <w:szCs w:val="24"/>
      </w:rPr>
    </w:lvl>
    <w:lvl w:ilvl="1" w:tplc="561CF378">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92664"/>
    <w:multiLevelType w:val="hybridMultilevel"/>
    <w:tmpl w:val="F42AB0C2"/>
    <w:lvl w:ilvl="0" w:tplc="9E5CBCE6">
      <w:start w:val="1"/>
      <w:numFmt w:val="lowerLetter"/>
      <w:lvlText w:val="%1)"/>
      <w:lvlJc w:val="left"/>
      <w:pPr>
        <w:ind w:left="1020" w:hanging="360"/>
      </w:pPr>
    </w:lvl>
    <w:lvl w:ilvl="1" w:tplc="76B8FE9C">
      <w:start w:val="1"/>
      <w:numFmt w:val="lowerLetter"/>
      <w:lvlText w:val="%2)"/>
      <w:lvlJc w:val="left"/>
      <w:pPr>
        <w:ind w:left="1020" w:hanging="360"/>
      </w:pPr>
    </w:lvl>
    <w:lvl w:ilvl="2" w:tplc="6F207F14">
      <w:start w:val="1"/>
      <w:numFmt w:val="lowerLetter"/>
      <w:lvlText w:val="%3)"/>
      <w:lvlJc w:val="left"/>
      <w:pPr>
        <w:ind w:left="1020" w:hanging="360"/>
      </w:pPr>
    </w:lvl>
    <w:lvl w:ilvl="3" w:tplc="BF2C7866">
      <w:start w:val="1"/>
      <w:numFmt w:val="lowerLetter"/>
      <w:lvlText w:val="%4)"/>
      <w:lvlJc w:val="left"/>
      <w:pPr>
        <w:ind w:left="1020" w:hanging="360"/>
      </w:pPr>
    </w:lvl>
    <w:lvl w:ilvl="4" w:tplc="3E605FD2">
      <w:start w:val="1"/>
      <w:numFmt w:val="lowerLetter"/>
      <w:lvlText w:val="%5)"/>
      <w:lvlJc w:val="left"/>
      <w:pPr>
        <w:ind w:left="1020" w:hanging="360"/>
      </w:pPr>
    </w:lvl>
    <w:lvl w:ilvl="5" w:tplc="93C80044">
      <w:start w:val="1"/>
      <w:numFmt w:val="lowerLetter"/>
      <w:lvlText w:val="%6)"/>
      <w:lvlJc w:val="left"/>
      <w:pPr>
        <w:ind w:left="1020" w:hanging="360"/>
      </w:pPr>
    </w:lvl>
    <w:lvl w:ilvl="6" w:tplc="8604C3DE">
      <w:start w:val="1"/>
      <w:numFmt w:val="lowerLetter"/>
      <w:lvlText w:val="%7)"/>
      <w:lvlJc w:val="left"/>
      <w:pPr>
        <w:ind w:left="1020" w:hanging="360"/>
      </w:pPr>
    </w:lvl>
    <w:lvl w:ilvl="7" w:tplc="8F7E36C6">
      <w:start w:val="1"/>
      <w:numFmt w:val="lowerLetter"/>
      <w:lvlText w:val="%8)"/>
      <w:lvlJc w:val="left"/>
      <w:pPr>
        <w:ind w:left="1020" w:hanging="360"/>
      </w:pPr>
    </w:lvl>
    <w:lvl w:ilvl="8" w:tplc="C99E6274">
      <w:start w:val="1"/>
      <w:numFmt w:val="lowerLetter"/>
      <w:lvlText w:val="%9)"/>
      <w:lvlJc w:val="left"/>
      <w:pPr>
        <w:ind w:left="1020" w:hanging="360"/>
      </w:pPr>
    </w:lvl>
  </w:abstractNum>
  <w:abstractNum w:abstractNumId="20" w15:restartNumberingAfterBreak="0">
    <w:nsid w:val="497F4B63"/>
    <w:multiLevelType w:val="hybridMultilevel"/>
    <w:tmpl w:val="9E34C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A56A94"/>
    <w:multiLevelType w:val="hybridMultilevel"/>
    <w:tmpl w:val="F25665CA"/>
    <w:lvl w:ilvl="0" w:tplc="98E40DC2">
      <w:start w:val="1"/>
      <w:numFmt w:val="bullet"/>
      <w:lvlText w:val=""/>
      <w:lvlJc w:val="left"/>
      <w:pPr>
        <w:ind w:left="2160" w:hanging="360"/>
      </w:pPr>
      <w:rPr>
        <w:rFonts w:ascii="Symbol" w:hAnsi="Symbol" w:hint="default"/>
      </w:rPr>
    </w:lvl>
    <w:lvl w:ilvl="1" w:tplc="483A2B24" w:tentative="1">
      <w:start w:val="1"/>
      <w:numFmt w:val="bullet"/>
      <w:lvlText w:val="o"/>
      <w:lvlJc w:val="left"/>
      <w:pPr>
        <w:ind w:left="2880" w:hanging="360"/>
      </w:pPr>
      <w:rPr>
        <w:rFonts w:ascii="Courier New" w:hAnsi="Courier New" w:cs="Courier New" w:hint="default"/>
      </w:rPr>
    </w:lvl>
    <w:lvl w:ilvl="2" w:tplc="782A5536" w:tentative="1">
      <w:start w:val="1"/>
      <w:numFmt w:val="bullet"/>
      <w:lvlText w:val=""/>
      <w:lvlJc w:val="left"/>
      <w:pPr>
        <w:ind w:left="3600" w:hanging="360"/>
      </w:pPr>
      <w:rPr>
        <w:rFonts w:ascii="Wingdings" w:hAnsi="Wingdings" w:hint="default"/>
      </w:rPr>
    </w:lvl>
    <w:lvl w:ilvl="3" w:tplc="7918342C" w:tentative="1">
      <w:start w:val="1"/>
      <w:numFmt w:val="bullet"/>
      <w:lvlText w:val=""/>
      <w:lvlJc w:val="left"/>
      <w:pPr>
        <w:ind w:left="4320" w:hanging="360"/>
      </w:pPr>
      <w:rPr>
        <w:rFonts w:ascii="Symbol" w:hAnsi="Symbol" w:hint="default"/>
      </w:rPr>
    </w:lvl>
    <w:lvl w:ilvl="4" w:tplc="073E2160" w:tentative="1">
      <w:start w:val="1"/>
      <w:numFmt w:val="bullet"/>
      <w:lvlText w:val="o"/>
      <w:lvlJc w:val="left"/>
      <w:pPr>
        <w:ind w:left="5040" w:hanging="360"/>
      </w:pPr>
      <w:rPr>
        <w:rFonts w:ascii="Courier New" w:hAnsi="Courier New" w:cs="Courier New" w:hint="default"/>
      </w:rPr>
    </w:lvl>
    <w:lvl w:ilvl="5" w:tplc="E49261F6" w:tentative="1">
      <w:start w:val="1"/>
      <w:numFmt w:val="bullet"/>
      <w:lvlText w:val=""/>
      <w:lvlJc w:val="left"/>
      <w:pPr>
        <w:ind w:left="5760" w:hanging="360"/>
      </w:pPr>
      <w:rPr>
        <w:rFonts w:ascii="Wingdings" w:hAnsi="Wingdings" w:hint="default"/>
      </w:rPr>
    </w:lvl>
    <w:lvl w:ilvl="6" w:tplc="713A3484" w:tentative="1">
      <w:start w:val="1"/>
      <w:numFmt w:val="bullet"/>
      <w:lvlText w:val=""/>
      <w:lvlJc w:val="left"/>
      <w:pPr>
        <w:ind w:left="6480" w:hanging="360"/>
      </w:pPr>
      <w:rPr>
        <w:rFonts w:ascii="Symbol" w:hAnsi="Symbol" w:hint="default"/>
      </w:rPr>
    </w:lvl>
    <w:lvl w:ilvl="7" w:tplc="0D8E5A1E" w:tentative="1">
      <w:start w:val="1"/>
      <w:numFmt w:val="bullet"/>
      <w:lvlText w:val="o"/>
      <w:lvlJc w:val="left"/>
      <w:pPr>
        <w:ind w:left="7200" w:hanging="360"/>
      </w:pPr>
      <w:rPr>
        <w:rFonts w:ascii="Courier New" w:hAnsi="Courier New" w:cs="Courier New" w:hint="default"/>
      </w:rPr>
    </w:lvl>
    <w:lvl w:ilvl="8" w:tplc="9E883EB4" w:tentative="1">
      <w:start w:val="1"/>
      <w:numFmt w:val="bullet"/>
      <w:lvlText w:val=""/>
      <w:lvlJc w:val="left"/>
      <w:pPr>
        <w:ind w:left="7920" w:hanging="360"/>
      </w:pPr>
      <w:rPr>
        <w:rFonts w:ascii="Wingdings" w:hAnsi="Wingdings" w:hint="default"/>
      </w:rPr>
    </w:lvl>
  </w:abstractNum>
  <w:abstractNum w:abstractNumId="22" w15:restartNumberingAfterBreak="0">
    <w:nsid w:val="5367658A"/>
    <w:multiLevelType w:val="hybridMultilevel"/>
    <w:tmpl w:val="491AD2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C5652"/>
    <w:multiLevelType w:val="multilevel"/>
    <w:tmpl w:val="E17E3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BC7DA2"/>
    <w:multiLevelType w:val="hybridMultilevel"/>
    <w:tmpl w:val="09CC176E"/>
    <w:lvl w:ilvl="0" w:tplc="48F65B30">
      <w:start w:val="1"/>
      <w:numFmt w:val="decimal"/>
      <w:lvlText w:val="%1)"/>
      <w:lvlJc w:val="left"/>
      <w:pPr>
        <w:ind w:left="1020" w:hanging="360"/>
      </w:pPr>
    </w:lvl>
    <w:lvl w:ilvl="1" w:tplc="C87AAB06">
      <w:start w:val="1"/>
      <w:numFmt w:val="decimal"/>
      <w:lvlText w:val="%2)"/>
      <w:lvlJc w:val="left"/>
      <w:pPr>
        <w:ind w:left="1020" w:hanging="360"/>
      </w:pPr>
    </w:lvl>
    <w:lvl w:ilvl="2" w:tplc="AF943E12">
      <w:start w:val="1"/>
      <w:numFmt w:val="decimal"/>
      <w:lvlText w:val="%3)"/>
      <w:lvlJc w:val="left"/>
      <w:pPr>
        <w:ind w:left="1020" w:hanging="360"/>
      </w:pPr>
    </w:lvl>
    <w:lvl w:ilvl="3" w:tplc="A5DC50D6">
      <w:start w:val="1"/>
      <w:numFmt w:val="decimal"/>
      <w:lvlText w:val="%4)"/>
      <w:lvlJc w:val="left"/>
      <w:pPr>
        <w:ind w:left="1020" w:hanging="360"/>
      </w:pPr>
    </w:lvl>
    <w:lvl w:ilvl="4" w:tplc="93DCE6D8">
      <w:start w:val="1"/>
      <w:numFmt w:val="decimal"/>
      <w:lvlText w:val="%5)"/>
      <w:lvlJc w:val="left"/>
      <w:pPr>
        <w:ind w:left="1020" w:hanging="360"/>
      </w:pPr>
    </w:lvl>
    <w:lvl w:ilvl="5" w:tplc="73365D96">
      <w:start w:val="1"/>
      <w:numFmt w:val="decimal"/>
      <w:lvlText w:val="%6)"/>
      <w:lvlJc w:val="left"/>
      <w:pPr>
        <w:ind w:left="1020" w:hanging="360"/>
      </w:pPr>
    </w:lvl>
    <w:lvl w:ilvl="6" w:tplc="96687866">
      <w:start w:val="1"/>
      <w:numFmt w:val="decimal"/>
      <w:lvlText w:val="%7)"/>
      <w:lvlJc w:val="left"/>
      <w:pPr>
        <w:ind w:left="1020" w:hanging="360"/>
      </w:pPr>
    </w:lvl>
    <w:lvl w:ilvl="7" w:tplc="4E72CB2A">
      <w:start w:val="1"/>
      <w:numFmt w:val="decimal"/>
      <w:lvlText w:val="%8)"/>
      <w:lvlJc w:val="left"/>
      <w:pPr>
        <w:ind w:left="1020" w:hanging="360"/>
      </w:pPr>
    </w:lvl>
    <w:lvl w:ilvl="8" w:tplc="9B0A417C">
      <w:start w:val="1"/>
      <w:numFmt w:val="decimal"/>
      <w:lvlText w:val="%9)"/>
      <w:lvlJc w:val="left"/>
      <w:pPr>
        <w:ind w:left="1020" w:hanging="360"/>
      </w:pPr>
    </w:lvl>
  </w:abstractNum>
  <w:abstractNum w:abstractNumId="25" w15:restartNumberingAfterBreak="0">
    <w:nsid w:val="5F7D0A65"/>
    <w:multiLevelType w:val="hybridMultilevel"/>
    <w:tmpl w:val="E6DE638C"/>
    <w:lvl w:ilvl="0" w:tplc="4AB4631E">
      <w:start w:val="1"/>
      <w:numFmt w:val="lowerLetter"/>
      <w:lvlText w:val="%1)"/>
      <w:lvlJc w:val="left"/>
      <w:pPr>
        <w:ind w:left="1020" w:hanging="360"/>
      </w:pPr>
    </w:lvl>
    <w:lvl w:ilvl="1" w:tplc="D44E5476">
      <w:start w:val="1"/>
      <w:numFmt w:val="lowerLetter"/>
      <w:lvlText w:val="%2)"/>
      <w:lvlJc w:val="left"/>
      <w:pPr>
        <w:ind w:left="1020" w:hanging="360"/>
      </w:pPr>
    </w:lvl>
    <w:lvl w:ilvl="2" w:tplc="A7B68E52">
      <w:start w:val="1"/>
      <w:numFmt w:val="lowerLetter"/>
      <w:lvlText w:val="%3)"/>
      <w:lvlJc w:val="left"/>
      <w:pPr>
        <w:ind w:left="1020" w:hanging="360"/>
      </w:pPr>
    </w:lvl>
    <w:lvl w:ilvl="3" w:tplc="4202CC3C">
      <w:start w:val="1"/>
      <w:numFmt w:val="lowerLetter"/>
      <w:lvlText w:val="%4)"/>
      <w:lvlJc w:val="left"/>
      <w:pPr>
        <w:ind w:left="1020" w:hanging="360"/>
      </w:pPr>
    </w:lvl>
    <w:lvl w:ilvl="4" w:tplc="CD048E1E">
      <w:start w:val="1"/>
      <w:numFmt w:val="lowerLetter"/>
      <w:lvlText w:val="%5)"/>
      <w:lvlJc w:val="left"/>
      <w:pPr>
        <w:ind w:left="1020" w:hanging="360"/>
      </w:pPr>
    </w:lvl>
    <w:lvl w:ilvl="5" w:tplc="BCC2146C">
      <w:start w:val="1"/>
      <w:numFmt w:val="lowerLetter"/>
      <w:lvlText w:val="%6)"/>
      <w:lvlJc w:val="left"/>
      <w:pPr>
        <w:ind w:left="1020" w:hanging="360"/>
      </w:pPr>
    </w:lvl>
    <w:lvl w:ilvl="6" w:tplc="D1287A36">
      <w:start w:val="1"/>
      <w:numFmt w:val="lowerLetter"/>
      <w:lvlText w:val="%7)"/>
      <w:lvlJc w:val="left"/>
      <w:pPr>
        <w:ind w:left="1020" w:hanging="360"/>
      </w:pPr>
    </w:lvl>
    <w:lvl w:ilvl="7" w:tplc="EA4A99D0">
      <w:start w:val="1"/>
      <w:numFmt w:val="lowerLetter"/>
      <w:lvlText w:val="%8)"/>
      <w:lvlJc w:val="left"/>
      <w:pPr>
        <w:ind w:left="1020" w:hanging="360"/>
      </w:pPr>
    </w:lvl>
    <w:lvl w:ilvl="8" w:tplc="345C1E64">
      <w:start w:val="1"/>
      <w:numFmt w:val="lowerLetter"/>
      <w:lvlText w:val="%9)"/>
      <w:lvlJc w:val="left"/>
      <w:pPr>
        <w:ind w:left="1020" w:hanging="360"/>
      </w:pPr>
    </w:lvl>
  </w:abstractNum>
  <w:abstractNum w:abstractNumId="26" w15:restartNumberingAfterBreak="0">
    <w:nsid w:val="65F3579F"/>
    <w:multiLevelType w:val="hybridMultilevel"/>
    <w:tmpl w:val="B95CA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17419"/>
    <w:multiLevelType w:val="hybridMultilevel"/>
    <w:tmpl w:val="59406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9" w15:restartNumberingAfterBreak="0">
    <w:nsid w:val="6A4C2701"/>
    <w:multiLevelType w:val="hybridMultilevel"/>
    <w:tmpl w:val="1938FF8E"/>
    <w:lvl w:ilvl="0" w:tplc="6FE28BAA">
      <w:numFmt w:val="bullet"/>
      <w:lvlText w:val=""/>
      <w:lvlJc w:val="left"/>
      <w:pPr>
        <w:ind w:left="940" w:hanging="360"/>
      </w:pPr>
      <w:rPr>
        <w:rFonts w:ascii="Symbol" w:eastAsia="Symbol" w:hAnsi="Symbol" w:cs="Symbol" w:hint="default"/>
        <w:w w:val="100"/>
        <w:sz w:val="24"/>
        <w:szCs w:val="24"/>
        <w:lang w:val="en-US" w:eastAsia="en-US" w:bidi="en-US"/>
      </w:rPr>
    </w:lvl>
    <w:lvl w:ilvl="1" w:tplc="7BDAE956">
      <w:start w:val="1"/>
      <w:numFmt w:val="decimal"/>
      <w:lvlText w:val="%2."/>
      <w:lvlJc w:val="left"/>
      <w:pPr>
        <w:ind w:left="1300" w:hanging="360"/>
      </w:pPr>
      <w:rPr>
        <w:rFonts w:ascii="Garamond" w:eastAsia="Garamond" w:hAnsi="Garamond" w:cs="Garamond" w:hint="default"/>
        <w:b/>
        <w:bCs/>
        <w:spacing w:val="-2"/>
        <w:w w:val="100"/>
        <w:sz w:val="24"/>
        <w:szCs w:val="24"/>
        <w:lang w:val="en-US" w:eastAsia="en-US" w:bidi="en-US"/>
      </w:rPr>
    </w:lvl>
    <w:lvl w:ilvl="2" w:tplc="0EF8B9BC">
      <w:start w:val="1"/>
      <w:numFmt w:val="lowerLetter"/>
      <w:lvlText w:val="%3."/>
      <w:lvlJc w:val="left"/>
      <w:pPr>
        <w:ind w:left="1660" w:hanging="360"/>
      </w:pPr>
      <w:rPr>
        <w:rFonts w:ascii="Garamond" w:eastAsia="Garamond" w:hAnsi="Garamond" w:cs="Garamond" w:hint="default"/>
        <w:spacing w:val="-3"/>
        <w:w w:val="100"/>
        <w:sz w:val="24"/>
        <w:szCs w:val="24"/>
        <w:lang w:val="en-US" w:eastAsia="en-US" w:bidi="en-US"/>
      </w:rPr>
    </w:lvl>
    <w:lvl w:ilvl="3" w:tplc="19924F0C">
      <w:numFmt w:val="bullet"/>
      <w:lvlText w:val="•"/>
      <w:lvlJc w:val="left"/>
      <w:pPr>
        <w:ind w:left="2680" w:hanging="360"/>
      </w:pPr>
      <w:rPr>
        <w:rFonts w:hint="default"/>
        <w:lang w:val="en-US" w:eastAsia="en-US" w:bidi="en-US"/>
      </w:rPr>
    </w:lvl>
    <w:lvl w:ilvl="4" w:tplc="FBEE5E9E">
      <w:numFmt w:val="bullet"/>
      <w:lvlText w:val="•"/>
      <w:lvlJc w:val="left"/>
      <w:pPr>
        <w:ind w:left="3700" w:hanging="360"/>
      </w:pPr>
      <w:rPr>
        <w:rFonts w:hint="default"/>
        <w:lang w:val="en-US" w:eastAsia="en-US" w:bidi="en-US"/>
      </w:rPr>
    </w:lvl>
    <w:lvl w:ilvl="5" w:tplc="41A2409A">
      <w:numFmt w:val="bullet"/>
      <w:lvlText w:val="•"/>
      <w:lvlJc w:val="left"/>
      <w:pPr>
        <w:ind w:left="4720" w:hanging="360"/>
      </w:pPr>
      <w:rPr>
        <w:rFonts w:hint="default"/>
        <w:lang w:val="en-US" w:eastAsia="en-US" w:bidi="en-US"/>
      </w:rPr>
    </w:lvl>
    <w:lvl w:ilvl="6" w:tplc="ADE0E80C">
      <w:numFmt w:val="bullet"/>
      <w:lvlText w:val="•"/>
      <w:lvlJc w:val="left"/>
      <w:pPr>
        <w:ind w:left="5740" w:hanging="360"/>
      </w:pPr>
      <w:rPr>
        <w:rFonts w:hint="default"/>
        <w:lang w:val="en-US" w:eastAsia="en-US" w:bidi="en-US"/>
      </w:rPr>
    </w:lvl>
    <w:lvl w:ilvl="7" w:tplc="B1208ECC">
      <w:numFmt w:val="bullet"/>
      <w:lvlText w:val="•"/>
      <w:lvlJc w:val="left"/>
      <w:pPr>
        <w:ind w:left="6760" w:hanging="360"/>
      </w:pPr>
      <w:rPr>
        <w:rFonts w:hint="default"/>
        <w:lang w:val="en-US" w:eastAsia="en-US" w:bidi="en-US"/>
      </w:rPr>
    </w:lvl>
    <w:lvl w:ilvl="8" w:tplc="C71ACF4E">
      <w:numFmt w:val="bullet"/>
      <w:lvlText w:val="•"/>
      <w:lvlJc w:val="left"/>
      <w:pPr>
        <w:ind w:left="7780" w:hanging="360"/>
      </w:pPr>
      <w:rPr>
        <w:rFonts w:hint="default"/>
        <w:lang w:val="en-US" w:eastAsia="en-US" w:bidi="en-US"/>
      </w:rPr>
    </w:lvl>
  </w:abstractNum>
  <w:abstractNum w:abstractNumId="30" w15:restartNumberingAfterBreak="0">
    <w:nsid w:val="74DD1451"/>
    <w:multiLevelType w:val="multilevel"/>
    <w:tmpl w:val="F9606E2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75383A2F"/>
    <w:multiLevelType w:val="hybridMultilevel"/>
    <w:tmpl w:val="A66C0660"/>
    <w:lvl w:ilvl="0" w:tplc="E8FA711A">
      <w:start w:val="1"/>
      <w:numFmt w:val="lowerLetter"/>
      <w:lvlText w:val="%1."/>
      <w:lvlJc w:val="left"/>
      <w:pPr>
        <w:ind w:left="1020" w:hanging="360"/>
      </w:pPr>
    </w:lvl>
    <w:lvl w:ilvl="1" w:tplc="64FA3C3A">
      <w:start w:val="1"/>
      <w:numFmt w:val="lowerLetter"/>
      <w:lvlText w:val="%2."/>
      <w:lvlJc w:val="left"/>
      <w:pPr>
        <w:ind w:left="1020" w:hanging="360"/>
      </w:pPr>
    </w:lvl>
    <w:lvl w:ilvl="2" w:tplc="D6120094">
      <w:start w:val="1"/>
      <w:numFmt w:val="lowerLetter"/>
      <w:lvlText w:val="%3."/>
      <w:lvlJc w:val="left"/>
      <w:pPr>
        <w:ind w:left="1020" w:hanging="360"/>
      </w:pPr>
    </w:lvl>
    <w:lvl w:ilvl="3" w:tplc="69207086">
      <w:start w:val="1"/>
      <w:numFmt w:val="lowerLetter"/>
      <w:lvlText w:val="%4."/>
      <w:lvlJc w:val="left"/>
      <w:pPr>
        <w:ind w:left="1020" w:hanging="360"/>
      </w:pPr>
    </w:lvl>
    <w:lvl w:ilvl="4" w:tplc="62F27000">
      <w:start w:val="1"/>
      <w:numFmt w:val="lowerLetter"/>
      <w:lvlText w:val="%5."/>
      <w:lvlJc w:val="left"/>
      <w:pPr>
        <w:ind w:left="1020" w:hanging="360"/>
      </w:pPr>
    </w:lvl>
    <w:lvl w:ilvl="5" w:tplc="13FCE74E">
      <w:start w:val="1"/>
      <w:numFmt w:val="lowerLetter"/>
      <w:lvlText w:val="%6."/>
      <w:lvlJc w:val="left"/>
      <w:pPr>
        <w:ind w:left="1020" w:hanging="360"/>
      </w:pPr>
    </w:lvl>
    <w:lvl w:ilvl="6" w:tplc="2CECE6A8">
      <w:start w:val="1"/>
      <w:numFmt w:val="lowerLetter"/>
      <w:lvlText w:val="%7."/>
      <w:lvlJc w:val="left"/>
      <w:pPr>
        <w:ind w:left="1020" w:hanging="360"/>
      </w:pPr>
    </w:lvl>
    <w:lvl w:ilvl="7" w:tplc="6494F3B0">
      <w:start w:val="1"/>
      <w:numFmt w:val="lowerLetter"/>
      <w:lvlText w:val="%8."/>
      <w:lvlJc w:val="left"/>
      <w:pPr>
        <w:ind w:left="1020" w:hanging="360"/>
      </w:pPr>
    </w:lvl>
    <w:lvl w:ilvl="8" w:tplc="58807A78">
      <w:start w:val="1"/>
      <w:numFmt w:val="lowerLetter"/>
      <w:lvlText w:val="%9."/>
      <w:lvlJc w:val="left"/>
      <w:pPr>
        <w:ind w:left="1020" w:hanging="360"/>
      </w:pPr>
    </w:lvl>
  </w:abstractNum>
  <w:abstractNum w:abstractNumId="32" w15:restartNumberingAfterBreak="0">
    <w:nsid w:val="761C6535"/>
    <w:multiLevelType w:val="hybridMultilevel"/>
    <w:tmpl w:val="7E76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842630">
    <w:abstractNumId w:val="28"/>
  </w:num>
  <w:num w:numId="2" w16cid:durableId="341590028">
    <w:abstractNumId w:val="3"/>
  </w:num>
  <w:num w:numId="3" w16cid:durableId="1292976966">
    <w:abstractNumId w:val="20"/>
  </w:num>
  <w:num w:numId="4" w16cid:durableId="1817063552">
    <w:abstractNumId w:val="27"/>
  </w:num>
  <w:num w:numId="5" w16cid:durableId="180633768">
    <w:abstractNumId w:val="13"/>
  </w:num>
  <w:num w:numId="6" w16cid:durableId="541985183">
    <w:abstractNumId w:val="7"/>
  </w:num>
  <w:num w:numId="7" w16cid:durableId="162748902">
    <w:abstractNumId w:val="10"/>
  </w:num>
  <w:num w:numId="8" w16cid:durableId="1557472077">
    <w:abstractNumId w:val="32"/>
  </w:num>
  <w:num w:numId="9" w16cid:durableId="975525813">
    <w:abstractNumId w:val="4"/>
  </w:num>
  <w:num w:numId="10" w16cid:durableId="1120610252">
    <w:abstractNumId w:val="6"/>
  </w:num>
  <w:num w:numId="11" w16cid:durableId="851843979">
    <w:abstractNumId w:val="23"/>
  </w:num>
  <w:num w:numId="12" w16cid:durableId="1962148552">
    <w:abstractNumId w:val="30"/>
  </w:num>
  <w:num w:numId="13" w16cid:durableId="1649552302">
    <w:abstractNumId w:val="29"/>
  </w:num>
  <w:num w:numId="14" w16cid:durableId="771894337">
    <w:abstractNumId w:val="16"/>
  </w:num>
  <w:num w:numId="15" w16cid:durableId="1608080125">
    <w:abstractNumId w:val="9"/>
  </w:num>
  <w:num w:numId="16" w16cid:durableId="187254107">
    <w:abstractNumId w:val="1"/>
  </w:num>
  <w:num w:numId="17" w16cid:durableId="1286696324">
    <w:abstractNumId w:val="19"/>
  </w:num>
  <w:num w:numId="18" w16cid:durableId="867066882">
    <w:abstractNumId w:val="17"/>
  </w:num>
  <w:num w:numId="19" w16cid:durableId="1852835060">
    <w:abstractNumId w:val="31"/>
  </w:num>
  <w:num w:numId="20" w16cid:durableId="915092050">
    <w:abstractNumId w:val="25"/>
  </w:num>
  <w:num w:numId="21" w16cid:durableId="605507771">
    <w:abstractNumId w:val="0"/>
  </w:num>
  <w:num w:numId="22" w16cid:durableId="96483012">
    <w:abstractNumId w:val="12"/>
  </w:num>
  <w:num w:numId="23" w16cid:durableId="873351200">
    <w:abstractNumId w:val="22"/>
  </w:num>
  <w:num w:numId="24" w16cid:durableId="2080980522">
    <w:abstractNumId w:val="11"/>
  </w:num>
  <w:num w:numId="25" w16cid:durableId="649867322">
    <w:abstractNumId w:val="14"/>
  </w:num>
  <w:num w:numId="26" w16cid:durableId="1775205805">
    <w:abstractNumId w:val="21"/>
  </w:num>
  <w:num w:numId="27" w16cid:durableId="744381421">
    <w:abstractNumId w:val="2"/>
  </w:num>
  <w:num w:numId="28" w16cid:durableId="2019891035">
    <w:abstractNumId w:val="26"/>
  </w:num>
  <w:num w:numId="29" w16cid:durableId="148061709">
    <w:abstractNumId w:val="18"/>
  </w:num>
  <w:num w:numId="30" w16cid:durableId="1340741960">
    <w:abstractNumId w:val="8"/>
  </w:num>
  <w:num w:numId="31" w16cid:durableId="1435326464">
    <w:abstractNumId w:val="15"/>
  </w:num>
  <w:num w:numId="32" w16cid:durableId="585269206">
    <w:abstractNumId w:val="5"/>
  </w:num>
  <w:num w:numId="33" w16cid:durableId="1352147414">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2A7"/>
    <w:rsid w:val="00000323"/>
    <w:rsid w:val="00000925"/>
    <w:rsid w:val="00000D05"/>
    <w:rsid w:val="00000F02"/>
    <w:rsid w:val="00000FDF"/>
    <w:rsid w:val="000014D8"/>
    <w:rsid w:val="000015D7"/>
    <w:rsid w:val="0000165F"/>
    <w:rsid w:val="00001880"/>
    <w:rsid w:val="00001B46"/>
    <w:rsid w:val="00001D68"/>
    <w:rsid w:val="00001E0F"/>
    <w:rsid w:val="000023B5"/>
    <w:rsid w:val="00002A55"/>
    <w:rsid w:val="00002A76"/>
    <w:rsid w:val="00002ADE"/>
    <w:rsid w:val="000035D2"/>
    <w:rsid w:val="0000364F"/>
    <w:rsid w:val="00003AE8"/>
    <w:rsid w:val="0000493B"/>
    <w:rsid w:val="00004CA3"/>
    <w:rsid w:val="0000516F"/>
    <w:rsid w:val="00005226"/>
    <w:rsid w:val="0000522A"/>
    <w:rsid w:val="000053FA"/>
    <w:rsid w:val="00005421"/>
    <w:rsid w:val="00005432"/>
    <w:rsid w:val="000058AF"/>
    <w:rsid w:val="00005945"/>
    <w:rsid w:val="00005B19"/>
    <w:rsid w:val="00005CB3"/>
    <w:rsid w:val="00005DD1"/>
    <w:rsid w:val="00006043"/>
    <w:rsid w:val="000063F2"/>
    <w:rsid w:val="00006964"/>
    <w:rsid w:val="00006B6F"/>
    <w:rsid w:val="00006E18"/>
    <w:rsid w:val="00006FCD"/>
    <w:rsid w:val="000073EC"/>
    <w:rsid w:val="00007818"/>
    <w:rsid w:val="0000789D"/>
    <w:rsid w:val="00010084"/>
    <w:rsid w:val="0001067C"/>
    <w:rsid w:val="000111B6"/>
    <w:rsid w:val="00011399"/>
    <w:rsid w:val="000113B7"/>
    <w:rsid w:val="0001145D"/>
    <w:rsid w:val="000114A8"/>
    <w:rsid w:val="000115ED"/>
    <w:rsid w:val="00011B52"/>
    <w:rsid w:val="00012017"/>
    <w:rsid w:val="00012039"/>
    <w:rsid w:val="0001225A"/>
    <w:rsid w:val="00012296"/>
    <w:rsid w:val="00012374"/>
    <w:rsid w:val="00012B79"/>
    <w:rsid w:val="00012E91"/>
    <w:rsid w:val="00013342"/>
    <w:rsid w:val="00013D82"/>
    <w:rsid w:val="00014185"/>
    <w:rsid w:val="00014493"/>
    <w:rsid w:val="000147B7"/>
    <w:rsid w:val="0001499B"/>
    <w:rsid w:val="00014B25"/>
    <w:rsid w:val="00014C77"/>
    <w:rsid w:val="0001519C"/>
    <w:rsid w:val="00015228"/>
    <w:rsid w:val="00015479"/>
    <w:rsid w:val="000154CC"/>
    <w:rsid w:val="00015541"/>
    <w:rsid w:val="00015733"/>
    <w:rsid w:val="0001582B"/>
    <w:rsid w:val="000158E4"/>
    <w:rsid w:val="00015923"/>
    <w:rsid w:val="00015A86"/>
    <w:rsid w:val="0001695B"/>
    <w:rsid w:val="00017A92"/>
    <w:rsid w:val="00017CB8"/>
    <w:rsid w:val="00017E23"/>
    <w:rsid w:val="00017EA4"/>
    <w:rsid w:val="00017EBE"/>
    <w:rsid w:val="00020068"/>
    <w:rsid w:val="00020821"/>
    <w:rsid w:val="00020965"/>
    <w:rsid w:val="00020AC1"/>
    <w:rsid w:val="00020FD7"/>
    <w:rsid w:val="000210F2"/>
    <w:rsid w:val="000211D3"/>
    <w:rsid w:val="0002122A"/>
    <w:rsid w:val="0002129E"/>
    <w:rsid w:val="0002130C"/>
    <w:rsid w:val="0002143F"/>
    <w:rsid w:val="0002218C"/>
    <w:rsid w:val="00022292"/>
    <w:rsid w:val="00022966"/>
    <w:rsid w:val="00022AF5"/>
    <w:rsid w:val="00022C7E"/>
    <w:rsid w:val="000238EF"/>
    <w:rsid w:val="000239AD"/>
    <w:rsid w:val="00023A81"/>
    <w:rsid w:val="00023C19"/>
    <w:rsid w:val="00023CFC"/>
    <w:rsid w:val="00023D70"/>
    <w:rsid w:val="00023E8F"/>
    <w:rsid w:val="000242E8"/>
    <w:rsid w:val="00024658"/>
    <w:rsid w:val="00024662"/>
    <w:rsid w:val="00024F53"/>
    <w:rsid w:val="00025C87"/>
    <w:rsid w:val="000262A9"/>
    <w:rsid w:val="0002723A"/>
    <w:rsid w:val="00027413"/>
    <w:rsid w:val="00027565"/>
    <w:rsid w:val="000279BF"/>
    <w:rsid w:val="00027B44"/>
    <w:rsid w:val="00027B8C"/>
    <w:rsid w:val="00027BB8"/>
    <w:rsid w:val="00027C0E"/>
    <w:rsid w:val="00027DD7"/>
    <w:rsid w:val="00030D16"/>
    <w:rsid w:val="00030D19"/>
    <w:rsid w:val="00030D4A"/>
    <w:rsid w:val="00031861"/>
    <w:rsid w:val="000319DE"/>
    <w:rsid w:val="00031B05"/>
    <w:rsid w:val="00031D93"/>
    <w:rsid w:val="00031DD4"/>
    <w:rsid w:val="0003203D"/>
    <w:rsid w:val="000323B4"/>
    <w:rsid w:val="000325AF"/>
    <w:rsid w:val="0003285D"/>
    <w:rsid w:val="00032F3A"/>
    <w:rsid w:val="000332B4"/>
    <w:rsid w:val="000336D9"/>
    <w:rsid w:val="000338CF"/>
    <w:rsid w:val="00033973"/>
    <w:rsid w:val="00033ACC"/>
    <w:rsid w:val="00034075"/>
    <w:rsid w:val="00034426"/>
    <w:rsid w:val="000344D0"/>
    <w:rsid w:val="0003479D"/>
    <w:rsid w:val="00034C41"/>
    <w:rsid w:val="00034EA3"/>
    <w:rsid w:val="0003540A"/>
    <w:rsid w:val="0003566E"/>
    <w:rsid w:val="00035726"/>
    <w:rsid w:val="000357DC"/>
    <w:rsid w:val="00035882"/>
    <w:rsid w:val="0003592B"/>
    <w:rsid w:val="00035D6A"/>
    <w:rsid w:val="00036049"/>
    <w:rsid w:val="000361B5"/>
    <w:rsid w:val="000365BB"/>
    <w:rsid w:val="00036703"/>
    <w:rsid w:val="0003678F"/>
    <w:rsid w:val="000369C6"/>
    <w:rsid w:val="00037077"/>
    <w:rsid w:val="00037248"/>
    <w:rsid w:val="00037414"/>
    <w:rsid w:val="0003777C"/>
    <w:rsid w:val="0003779F"/>
    <w:rsid w:val="000378C9"/>
    <w:rsid w:val="000378CE"/>
    <w:rsid w:val="00037AF0"/>
    <w:rsid w:val="00037B9D"/>
    <w:rsid w:val="00037E59"/>
    <w:rsid w:val="00040780"/>
    <w:rsid w:val="00040884"/>
    <w:rsid w:val="00040AD1"/>
    <w:rsid w:val="00040DA6"/>
    <w:rsid w:val="000415F0"/>
    <w:rsid w:val="00041BFC"/>
    <w:rsid w:val="00041D19"/>
    <w:rsid w:val="00041F4C"/>
    <w:rsid w:val="000422A3"/>
    <w:rsid w:val="000424D3"/>
    <w:rsid w:val="0004273B"/>
    <w:rsid w:val="000427E0"/>
    <w:rsid w:val="00042A1E"/>
    <w:rsid w:val="00042C44"/>
    <w:rsid w:val="00042D93"/>
    <w:rsid w:val="00042F7D"/>
    <w:rsid w:val="0004323A"/>
    <w:rsid w:val="00043F4F"/>
    <w:rsid w:val="000443FD"/>
    <w:rsid w:val="000447BF"/>
    <w:rsid w:val="00044F19"/>
    <w:rsid w:val="00044FA7"/>
    <w:rsid w:val="0004555B"/>
    <w:rsid w:val="000458BE"/>
    <w:rsid w:val="00046064"/>
    <w:rsid w:val="0004651C"/>
    <w:rsid w:val="00046854"/>
    <w:rsid w:val="00046895"/>
    <w:rsid w:val="000468BC"/>
    <w:rsid w:val="00047060"/>
    <w:rsid w:val="0004736E"/>
    <w:rsid w:val="00047574"/>
    <w:rsid w:val="00047905"/>
    <w:rsid w:val="00047AFC"/>
    <w:rsid w:val="0005017D"/>
    <w:rsid w:val="000501DC"/>
    <w:rsid w:val="000503A8"/>
    <w:rsid w:val="00050530"/>
    <w:rsid w:val="00050830"/>
    <w:rsid w:val="00050D37"/>
    <w:rsid w:val="00051634"/>
    <w:rsid w:val="000518D9"/>
    <w:rsid w:val="00051CCE"/>
    <w:rsid w:val="00052086"/>
    <w:rsid w:val="00052215"/>
    <w:rsid w:val="00052556"/>
    <w:rsid w:val="00052664"/>
    <w:rsid w:val="00052AB0"/>
    <w:rsid w:val="00052B92"/>
    <w:rsid w:val="000534AA"/>
    <w:rsid w:val="0005358D"/>
    <w:rsid w:val="000535F1"/>
    <w:rsid w:val="00053725"/>
    <w:rsid w:val="00053849"/>
    <w:rsid w:val="00053CA4"/>
    <w:rsid w:val="00054A7A"/>
    <w:rsid w:val="00054C7D"/>
    <w:rsid w:val="00054CD3"/>
    <w:rsid w:val="00054F01"/>
    <w:rsid w:val="00055F68"/>
    <w:rsid w:val="000560AA"/>
    <w:rsid w:val="00056213"/>
    <w:rsid w:val="00056445"/>
    <w:rsid w:val="000565B9"/>
    <w:rsid w:val="000565D5"/>
    <w:rsid w:val="0005672F"/>
    <w:rsid w:val="00056DF7"/>
    <w:rsid w:val="00056E07"/>
    <w:rsid w:val="000572C6"/>
    <w:rsid w:val="000577A9"/>
    <w:rsid w:val="00057A93"/>
    <w:rsid w:val="00057B2F"/>
    <w:rsid w:val="00057E7A"/>
    <w:rsid w:val="00057EB5"/>
    <w:rsid w:val="00060051"/>
    <w:rsid w:val="00060238"/>
    <w:rsid w:val="00060374"/>
    <w:rsid w:val="00060472"/>
    <w:rsid w:val="00060584"/>
    <w:rsid w:val="000606BE"/>
    <w:rsid w:val="000607E5"/>
    <w:rsid w:val="00060C17"/>
    <w:rsid w:val="00060D20"/>
    <w:rsid w:val="00060E5A"/>
    <w:rsid w:val="00060E64"/>
    <w:rsid w:val="0006171E"/>
    <w:rsid w:val="0006177D"/>
    <w:rsid w:val="00061F0C"/>
    <w:rsid w:val="0006317E"/>
    <w:rsid w:val="000635A1"/>
    <w:rsid w:val="00063ADA"/>
    <w:rsid w:val="00063F91"/>
    <w:rsid w:val="00063FB5"/>
    <w:rsid w:val="0006424E"/>
    <w:rsid w:val="000646E0"/>
    <w:rsid w:val="0006487F"/>
    <w:rsid w:val="00064A8A"/>
    <w:rsid w:val="00064AB0"/>
    <w:rsid w:val="00065360"/>
    <w:rsid w:val="00065CD6"/>
    <w:rsid w:val="00065E14"/>
    <w:rsid w:val="00066603"/>
    <w:rsid w:val="00066C49"/>
    <w:rsid w:val="00066EC0"/>
    <w:rsid w:val="000672AF"/>
    <w:rsid w:val="0006737F"/>
    <w:rsid w:val="00067789"/>
    <w:rsid w:val="0006798A"/>
    <w:rsid w:val="00067A9B"/>
    <w:rsid w:val="00067B9B"/>
    <w:rsid w:val="00067D64"/>
    <w:rsid w:val="00067F0D"/>
    <w:rsid w:val="0007003D"/>
    <w:rsid w:val="00070074"/>
    <w:rsid w:val="00070785"/>
    <w:rsid w:val="00070B97"/>
    <w:rsid w:val="00070CFB"/>
    <w:rsid w:val="00070D6C"/>
    <w:rsid w:val="00071428"/>
    <w:rsid w:val="000716DE"/>
    <w:rsid w:val="0007184A"/>
    <w:rsid w:val="00071A16"/>
    <w:rsid w:val="00072236"/>
    <w:rsid w:val="0007293D"/>
    <w:rsid w:val="00072B19"/>
    <w:rsid w:val="00072C8F"/>
    <w:rsid w:val="00072DA0"/>
    <w:rsid w:val="0007334D"/>
    <w:rsid w:val="00073735"/>
    <w:rsid w:val="00073987"/>
    <w:rsid w:val="00074313"/>
    <w:rsid w:val="000744F1"/>
    <w:rsid w:val="00074526"/>
    <w:rsid w:val="00074538"/>
    <w:rsid w:val="00074600"/>
    <w:rsid w:val="00074D83"/>
    <w:rsid w:val="00074E5D"/>
    <w:rsid w:val="000751CD"/>
    <w:rsid w:val="000752CD"/>
    <w:rsid w:val="0007553D"/>
    <w:rsid w:val="000759EA"/>
    <w:rsid w:val="00075AB0"/>
    <w:rsid w:val="00075DBB"/>
    <w:rsid w:val="00076357"/>
    <w:rsid w:val="00076654"/>
    <w:rsid w:val="0007689E"/>
    <w:rsid w:val="00076B1A"/>
    <w:rsid w:val="00076C25"/>
    <w:rsid w:val="00076CF7"/>
    <w:rsid w:val="000776F9"/>
    <w:rsid w:val="00077700"/>
    <w:rsid w:val="00077806"/>
    <w:rsid w:val="00077A54"/>
    <w:rsid w:val="00077A72"/>
    <w:rsid w:val="00077AB5"/>
    <w:rsid w:val="00077DB8"/>
    <w:rsid w:val="0008011B"/>
    <w:rsid w:val="00080430"/>
    <w:rsid w:val="00080666"/>
    <w:rsid w:val="00080BE8"/>
    <w:rsid w:val="000810E3"/>
    <w:rsid w:val="00081C82"/>
    <w:rsid w:val="00082044"/>
    <w:rsid w:val="0008227E"/>
    <w:rsid w:val="00082400"/>
    <w:rsid w:val="00082461"/>
    <w:rsid w:val="00082892"/>
    <w:rsid w:val="00083335"/>
    <w:rsid w:val="0008356D"/>
    <w:rsid w:val="000836A5"/>
    <w:rsid w:val="000839C1"/>
    <w:rsid w:val="00083FCD"/>
    <w:rsid w:val="000843CF"/>
    <w:rsid w:val="00084415"/>
    <w:rsid w:val="000844CD"/>
    <w:rsid w:val="0008479B"/>
    <w:rsid w:val="00084830"/>
    <w:rsid w:val="0008496E"/>
    <w:rsid w:val="00084AE5"/>
    <w:rsid w:val="00084F4C"/>
    <w:rsid w:val="00085226"/>
    <w:rsid w:val="0008574D"/>
    <w:rsid w:val="0008582A"/>
    <w:rsid w:val="00085C27"/>
    <w:rsid w:val="00085D7B"/>
    <w:rsid w:val="00086013"/>
    <w:rsid w:val="00086051"/>
    <w:rsid w:val="00086552"/>
    <w:rsid w:val="00086555"/>
    <w:rsid w:val="00086D26"/>
    <w:rsid w:val="00086D9D"/>
    <w:rsid w:val="00086DC8"/>
    <w:rsid w:val="00086E14"/>
    <w:rsid w:val="0008716C"/>
    <w:rsid w:val="0008752D"/>
    <w:rsid w:val="00087634"/>
    <w:rsid w:val="0008768C"/>
    <w:rsid w:val="00087A93"/>
    <w:rsid w:val="00087B5A"/>
    <w:rsid w:val="00087FD8"/>
    <w:rsid w:val="00090574"/>
    <w:rsid w:val="000905E0"/>
    <w:rsid w:val="00090688"/>
    <w:rsid w:val="00090989"/>
    <w:rsid w:val="00090D28"/>
    <w:rsid w:val="00090E01"/>
    <w:rsid w:val="00090EE1"/>
    <w:rsid w:val="000911E7"/>
    <w:rsid w:val="000913AB"/>
    <w:rsid w:val="0009160E"/>
    <w:rsid w:val="000916AB"/>
    <w:rsid w:val="00091793"/>
    <w:rsid w:val="000922B4"/>
    <w:rsid w:val="000923B5"/>
    <w:rsid w:val="00092A36"/>
    <w:rsid w:val="00092A70"/>
    <w:rsid w:val="00092E92"/>
    <w:rsid w:val="0009304B"/>
    <w:rsid w:val="0009361C"/>
    <w:rsid w:val="000939BD"/>
    <w:rsid w:val="00093CAA"/>
    <w:rsid w:val="00093CF6"/>
    <w:rsid w:val="00093E2B"/>
    <w:rsid w:val="00093E5A"/>
    <w:rsid w:val="00093FC3"/>
    <w:rsid w:val="000942E8"/>
    <w:rsid w:val="000950BE"/>
    <w:rsid w:val="0009553E"/>
    <w:rsid w:val="000955A1"/>
    <w:rsid w:val="000956A9"/>
    <w:rsid w:val="00095ADF"/>
    <w:rsid w:val="00095AFF"/>
    <w:rsid w:val="0009600B"/>
    <w:rsid w:val="0009626C"/>
    <w:rsid w:val="00096856"/>
    <w:rsid w:val="00096EC2"/>
    <w:rsid w:val="000971C8"/>
    <w:rsid w:val="00097838"/>
    <w:rsid w:val="00097C23"/>
    <w:rsid w:val="00097DE0"/>
    <w:rsid w:val="00097E6A"/>
    <w:rsid w:val="00097EAE"/>
    <w:rsid w:val="000A05FC"/>
    <w:rsid w:val="000A0C6F"/>
    <w:rsid w:val="000A105E"/>
    <w:rsid w:val="000A12E7"/>
    <w:rsid w:val="000A22A9"/>
    <w:rsid w:val="000A2958"/>
    <w:rsid w:val="000A2C51"/>
    <w:rsid w:val="000A301C"/>
    <w:rsid w:val="000A303B"/>
    <w:rsid w:val="000A3524"/>
    <w:rsid w:val="000A3763"/>
    <w:rsid w:val="000A3A57"/>
    <w:rsid w:val="000A40D6"/>
    <w:rsid w:val="000A4173"/>
    <w:rsid w:val="000A43BC"/>
    <w:rsid w:val="000A44CC"/>
    <w:rsid w:val="000A45A0"/>
    <w:rsid w:val="000A45D5"/>
    <w:rsid w:val="000A47FB"/>
    <w:rsid w:val="000A4809"/>
    <w:rsid w:val="000A4B0E"/>
    <w:rsid w:val="000A505B"/>
    <w:rsid w:val="000A546C"/>
    <w:rsid w:val="000A549C"/>
    <w:rsid w:val="000A5A86"/>
    <w:rsid w:val="000A5C36"/>
    <w:rsid w:val="000A5E8B"/>
    <w:rsid w:val="000A66E9"/>
    <w:rsid w:val="000A6846"/>
    <w:rsid w:val="000A68B2"/>
    <w:rsid w:val="000A6B95"/>
    <w:rsid w:val="000A6BFD"/>
    <w:rsid w:val="000A6EAF"/>
    <w:rsid w:val="000A70D9"/>
    <w:rsid w:val="000A7335"/>
    <w:rsid w:val="000A7478"/>
    <w:rsid w:val="000A78D3"/>
    <w:rsid w:val="000A7A6B"/>
    <w:rsid w:val="000A7AC1"/>
    <w:rsid w:val="000A7B1A"/>
    <w:rsid w:val="000A7C15"/>
    <w:rsid w:val="000A7D05"/>
    <w:rsid w:val="000A7E9E"/>
    <w:rsid w:val="000A7FA5"/>
    <w:rsid w:val="000B0CDF"/>
    <w:rsid w:val="000B0D2C"/>
    <w:rsid w:val="000B1633"/>
    <w:rsid w:val="000B1838"/>
    <w:rsid w:val="000B1AE3"/>
    <w:rsid w:val="000B1B58"/>
    <w:rsid w:val="000B1C77"/>
    <w:rsid w:val="000B1CB9"/>
    <w:rsid w:val="000B1ED4"/>
    <w:rsid w:val="000B20B5"/>
    <w:rsid w:val="000B245D"/>
    <w:rsid w:val="000B25B3"/>
    <w:rsid w:val="000B361F"/>
    <w:rsid w:val="000B371A"/>
    <w:rsid w:val="000B383F"/>
    <w:rsid w:val="000B410F"/>
    <w:rsid w:val="000B41F8"/>
    <w:rsid w:val="000B437C"/>
    <w:rsid w:val="000B44F9"/>
    <w:rsid w:val="000B4610"/>
    <w:rsid w:val="000B4783"/>
    <w:rsid w:val="000B47E8"/>
    <w:rsid w:val="000B4E5C"/>
    <w:rsid w:val="000B51AD"/>
    <w:rsid w:val="000B524F"/>
    <w:rsid w:val="000B526E"/>
    <w:rsid w:val="000B5767"/>
    <w:rsid w:val="000B58B5"/>
    <w:rsid w:val="000B644A"/>
    <w:rsid w:val="000B661C"/>
    <w:rsid w:val="000B6696"/>
    <w:rsid w:val="000B6BCB"/>
    <w:rsid w:val="000B72C0"/>
    <w:rsid w:val="000B741C"/>
    <w:rsid w:val="000B797E"/>
    <w:rsid w:val="000B7B63"/>
    <w:rsid w:val="000C0407"/>
    <w:rsid w:val="000C0753"/>
    <w:rsid w:val="000C0DA1"/>
    <w:rsid w:val="000C1123"/>
    <w:rsid w:val="000C1911"/>
    <w:rsid w:val="000C1CCE"/>
    <w:rsid w:val="000C2263"/>
    <w:rsid w:val="000C299C"/>
    <w:rsid w:val="000C2E28"/>
    <w:rsid w:val="000C2E83"/>
    <w:rsid w:val="000C35A1"/>
    <w:rsid w:val="000C3CAC"/>
    <w:rsid w:val="000C3D75"/>
    <w:rsid w:val="000C408D"/>
    <w:rsid w:val="000C4360"/>
    <w:rsid w:val="000C439E"/>
    <w:rsid w:val="000C4797"/>
    <w:rsid w:val="000C5065"/>
    <w:rsid w:val="000C55F3"/>
    <w:rsid w:val="000C5873"/>
    <w:rsid w:val="000C58C2"/>
    <w:rsid w:val="000C5A0F"/>
    <w:rsid w:val="000C5E44"/>
    <w:rsid w:val="000C5F09"/>
    <w:rsid w:val="000C5F7B"/>
    <w:rsid w:val="000C6213"/>
    <w:rsid w:val="000C63A9"/>
    <w:rsid w:val="000C648B"/>
    <w:rsid w:val="000C6565"/>
    <w:rsid w:val="000C698A"/>
    <w:rsid w:val="000C6D72"/>
    <w:rsid w:val="000C7155"/>
    <w:rsid w:val="000C7226"/>
    <w:rsid w:val="000C725B"/>
    <w:rsid w:val="000C7289"/>
    <w:rsid w:val="000C79C7"/>
    <w:rsid w:val="000C7B09"/>
    <w:rsid w:val="000D03B2"/>
    <w:rsid w:val="000D0472"/>
    <w:rsid w:val="000D07EE"/>
    <w:rsid w:val="000D09E8"/>
    <w:rsid w:val="000D0ADC"/>
    <w:rsid w:val="000D0C8C"/>
    <w:rsid w:val="000D0E11"/>
    <w:rsid w:val="000D0ED8"/>
    <w:rsid w:val="000D12F2"/>
    <w:rsid w:val="000D1948"/>
    <w:rsid w:val="000D1C31"/>
    <w:rsid w:val="000D1D38"/>
    <w:rsid w:val="000D1D87"/>
    <w:rsid w:val="000D2043"/>
    <w:rsid w:val="000D20F1"/>
    <w:rsid w:val="000D272A"/>
    <w:rsid w:val="000D2A7D"/>
    <w:rsid w:val="000D2AFA"/>
    <w:rsid w:val="000D2CBA"/>
    <w:rsid w:val="000D2E2C"/>
    <w:rsid w:val="000D3031"/>
    <w:rsid w:val="000D331C"/>
    <w:rsid w:val="000D3495"/>
    <w:rsid w:val="000D3A86"/>
    <w:rsid w:val="000D40DF"/>
    <w:rsid w:val="000D453B"/>
    <w:rsid w:val="000D458A"/>
    <w:rsid w:val="000D483B"/>
    <w:rsid w:val="000D4C43"/>
    <w:rsid w:val="000D4C6D"/>
    <w:rsid w:val="000D5247"/>
    <w:rsid w:val="000D565B"/>
    <w:rsid w:val="000D5741"/>
    <w:rsid w:val="000D57DF"/>
    <w:rsid w:val="000D5CBD"/>
    <w:rsid w:val="000D5F2D"/>
    <w:rsid w:val="000D6622"/>
    <w:rsid w:val="000D6A68"/>
    <w:rsid w:val="000D6AF2"/>
    <w:rsid w:val="000D6E6E"/>
    <w:rsid w:val="000D6F8E"/>
    <w:rsid w:val="000D709A"/>
    <w:rsid w:val="000D79CF"/>
    <w:rsid w:val="000D7BA6"/>
    <w:rsid w:val="000D7BFE"/>
    <w:rsid w:val="000D7E3B"/>
    <w:rsid w:val="000E04E4"/>
    <w:rsid w:val="000E0539"/>
    <w:rsid w:val="000E0764"/>
    <w:rsid w:val="000E0C47"/>
    <w:rsid w:val="000E1041"/>
    <w:rsid w:val="000E10E9"/>
    <w:rsid w:val="000E1182"/>
    <w:rsid w:val="000E1CBB"/>
    <w:rsid w:val="000E1F11"/>
    <w:rsid w:val="000E2691"/>
    <w:rsid w:val="000E2C66"/>
    <w:rsid w:val="000E35E5"/>
    <w:rsid w:val="000E3F36"/>
    <w:rsid w:val="000E416C"/>
    <w:rsid w:val="000E441E"/>
    <w:rsid w:val="000E4791"/>
    <w:rsid w:val="000E4A2C"/>
    <w:rsid w:val="000E4DCD"/>
    <w:rsid w:val="000E4E2B"/>
    <w:rsid w:val="000E4ED3"/>
    <w:rsid w:val="000E5195"/>
    <w:rsid w:val="000E5CD6"/>
    <w:rsid w:val="000E5F08"/>
    <w:rsid w:val="000E6158"/>
    <w:rsid w:val="000E6AC6"/>
    <w:rsid w:val="000E6C06"/>
    <w:rsid w:val="000E6E84"/>
    <w:rsid w:val="000E72BB"/>
    <w:rsid w:val="000E750E"/>
    <w:rsid w:val="000F02D7"/>
    <w:rsid w:val="000F0F2E"/>
    <w:rsid w:val="000F115E"/>
    <w:rsid w:val="000F12F9"/>
    <w:rsid w:val="000F176D"/>
    <w:rsid w:val="000F1A77"/>
    <w:rsid w:val="000F1E36"/>
    <w:rsid w:val="000F200E"/>
    <w:rsid w:val="000F2589"/>
    <w:rsid w:val="000F2794"/>
    <w:rsid w:val="000F27DB"/>
    <w:rsid w:val="000F2A03"/>
    <w:rsid w:val="000F2FF8"/>
    <w:rsid w:val="000F30D4"/>
    <w:rsid w:val="000F3C99"/>
    <w:rsid w:val="000F3DAD"/>
    <w:rsid w:val="000F3E5B"/>
    <w:rsid w:val="000F4347"/>
    <w:rsid w:val="000F4A8E"/>
    <w:rsid w:val="000F4BDC"/>
    <w:rsid w:val="000F4C9D"/>
    <w:rsid w:val="000F505F"/>
    <w:rsid w:val="000F5579"/>
    <w:rsid w:val="000F58A4"/>
    <w:rsid w:val="000F5CBC"/>
    <w:rsid w:val="000F5D39"/>
    <w:rsid w:val="000F5D9D"/>
    <w:rsid w:val="000F5ECB"/>
    <w:rsid w:val="000F5F42"/>
    <w:rsid w:val="000F5F7F"/>
    <w:rsid w:val="000F6105"/>
    <w:rsid w:val="000F6390"/>
    <w:rsid w:val="000F643E"/>
    <w:rsid w:val="000F65A5"/>
    <w:rsid w:val="000F6C04"/>
    <w:rsid w:val="000F6CFB"/>
    <w:rsid w:val="000F6D1C"/>
    <w:rsid w:val="000F6DE3"/>
    <w:rsid w:val="000F73C6"/>
    <w:rsid w:val="000F7421"/>
    <w:rsid w:val="000F7808"/>
    <w:rsid w:val="000F789B"/>
    <w:rsid w:val="000F7C26"/>
    <w:rsid w:val="000F7C9A"/>
    <w:rsid w:val="000F7DFB"/>
    <w:rsid w:val="00100067"/>
    <w:rsid w:val="00100082"/>
    <w:rsid w:val="001004B1"/>
    <w:rsid w:val="001004B8"/>
    <w:rsid w:val="001005C6"/>
    <w:rsid w:val="0010120C"/>
    <w:rsid w:val="00101227"/>
    <w:rsid w:val="00101837"/>
    <w:rsid w:val="0010189A"/>
    <w:rsid w:val="00101943"/>
    <w:rsid w:val="00101B15"/>
    <w:rsid w:val="00101EAD"/>
    <w:rsid w:val="001020EE"/>
    <w:rsid w:val="00102683"/>
    <w:rsid w:val="00102826"/>
    <w:rsid w:val="00102889"/>
    <w:rsid w:val="00102D4C"/>
    <w:rsid w:val="00102F27"/>
    <w:rsid w:val="00103264"/>
    <w:rsid w:val="001032D6"/>
    <w:rsid w:val="00103383"/>
    <w:rsid w:val="00103961"/>
    <w:rsid w:val="001039A7"/>
    <w:rsid w:val="00103AD9"/>
    <w:rsid w:val="00103B28"/>
    <w:rsid w:val="001044D4"/>
    <w:rsid w:val="00104664"/>
    <w:rsid w:val="001046E4"/>
    <w:rsid w:val="00104BB8"/>
    <w:rsid w:val="00104C61"/>
    <w:rsid w:val="00104CD5"/>
    <w:rsid w:val="00104E11"/>
    <w:rsid w:val="00104FED"/>
    <w:rsid w:val="001051E0"/>
    <w:rsid w:val="0010523F"/>
    <w:rsid w:val="001052CE"/>
    <w:rsid w:val="00105335"/>
    <w:rsid w:val="00105784"/>
    <w:rsid w:val="00105A50"/>
    <w:rsid w:val="00105B76"/>
    <w:rsid w:val="001064A7"/>
    <w:rsid w:val="00106691"/>
    <w:rsid w:val="001068A0"/>
    <w:rsid w:val="00106CA8"/>
    <w:rsid w:val="00106F7D"/>
    <w:rsid w:val="00107893"/>
    <w:rsid w:val="001100CE"/>
    <w:rsid w:val="001106D5"/>
    <w:rsid w:val="00110CCC"/>
    <w:rsid w:val="00110D0F"/>
    <w:rsid w:val="00111412"/>
    <w:rsid w:val="001114BC"/>
    <w:rsid w:val="00111894"/>
    <w:rsid w:val="00111F37"/>
    <w:rsid w:val="00111FFC"/>
    <w:rsid w:val="0011211C"/>
    <w:rsid w:val="001122B9"/>
    <w:rsid w:val="0011244D"/>
    <w:rsid w:val="00112582"/>
    <w:rsid w:val="0011285A"/>
    <w:rsid w:val="00112E30"/>
    <w:rsid w:val="0011318D"/>
    <w:rsid w:val="00113894"/>
    <w:rsid w:val="0011390D"/>
    <w:rsid w:val="001139CB"/>
    <w:rsid w:val="00113E97"/>
    <w:rsid w:val="00113EFA"/>
    <w:rsid w:val="001140E5"/>
    <w:rsid w:val="0011440B"/>
    <w:rsid w:val="00114B38"/>
    <w:rsid w:val="00114CA0"/>
    <w:rsid w:val="00114DF7"/>
    <w:rsid w:val="00114F4A"/>
    <w:rsid w:val="0011502A"/>
    <w:rsid w:val="00115441"/>
    <w:rsid w:val="001156B5"/>
    <w:rsid w:val="0011583A"/>
    <w:rsid w:val="00115A61"/>
    <w:rsid w:val="00115F6B"/>
    <w:rsid w:val="0011621B"/>
    <w:rsid w:val="001163BA"/>
    <w:rsid w:val="001166DA"/>
    <w:rsid w:val="00116B2B"/>
    <w:rsid w:val="00116E9F"/>
    <w:rsid w:val="00117338"/>
    <w:rsid w:val="001173E5"/>
    <w:rsid w:val="00117538"/>
    <w:rsid w:val="00117721"/>
    <w:rsid w:val="00117917"/>
    <w:rsid w:val="00117F59"/>
    <w:rsid w:val="0012039D"/>
    <w:rsid w:val="001203DA"/>
    <w:rsid w:val="001204E2"/>
    <w:rsid w:val="001206D7"/>
    <w:rsid w:val="001207E1"/>
    <w:rsid w:val="001208D8"/>
    <w:rsid w:val="00120ABC"/>
    <w:rsid w:val="00120B32"/>
    <w:rsid w:val="00120D62"/>
    <w:rsid w:val="0012122D"/>
    <w:rsid w:val="00121240"/>
    <w:rsid w:val="00121453"/>
    <w:rsid w:val="00121579"/>
    <w:rsid w:val="001215C9"/>
    <w:rsid w:val="001216D6"/>
    <w:rsid w:val="00121834"/>
    <w:rsid w:val="0012220F"/>
    <w:rsid w:val="00122462"/>
    <w:rsid w:val="00122561"/>
    <w:rsid w:val="00122642"/>
    <w:rsid w:val="0012336A"/>
    <w:rsid w:val="0012367E"/>
    <w:rsid w:val="0012392C"/>
    <w:rsid w:val="00124050"/>
    <w:rsid w:val="00124798"/>
    <w:rsid w:val="00124894"/>
    <w:rsid w:val="00124BCB"/>
    <w:rsid w:val="00124E50"/>
    <w:rsid w:val="0012521D"/>
    <w:rsid w:val="00125288"/>
    <w:rsid w:val="001259C3"/>
    <w:rsid w:val="00126377"/>
    <w:rsid w:val="001265B4"/>
    <w:rsid w:val="001265FC"/>
    <w:rsid w:val="00126A9C"/>
    <w:rsid w:val="00126E05"/>
    <w:rsid w:val="00126E8A"/>
    <w:rsid w:val="00127222"/>
    <w:rsid w:val="00127488"/>
    <w:rsid w:val="00127DBA"/>
    <w:rsid w:val="00127F34"/>
    <w:rsid w:val="001294D1"/>
    <w:rsid w:val="001300AE"/>
    <w:rsid w:val="001301CB"/>
    <w:rsid w:val="00130275"/>
    <w:rsid w:val="00130B23"/>
    <w:rsid w:val="00130BE3"/>
    <w:rsid w:val="00130EB0"/>
    <w:rsid w:val="0013103B"/>
    <w:rsid w:val="001310BB"/>
    <w:rsid w:val="001314DD"/>
    <w:rsid w:val="0013183C"/>
    <w:rsid w:val="0013187E"/>
    <w:rsid w:val="001319F2"/>
    <w:rsid w:val="00131FF5"/>
    <w:rsid w:val="001321C4"/>
    <w:rsid w:val="0013238C"/>
    <w:rsid w:val="00132A79"/>
    <w:rsid w:val="00132B54"/>
    <w:rsid w:val="00132EB1"/>
    <w:rsid w:val="0013312B"/>
    <w:rsid w:val="00133222"/>
    <w:rsid w:val="00133363"/>
    <w:rsid w:val="0013384B"/>
    <w:rsid w:val="00133883"/>
    <w:rsid w:val="0013398A"/>
    <w:rsid w:val="001339F6"/>
    <w:rsid w:val="0013437E"/>
    <w:rsid w:val="00134568"/>
    <w:rsid w:val="00134697"/>
    <w:rsid w:val="00134B06"/>
    <w:rsid w:val="00134DFC"/>
    <w:rsid w:val="00135286"/>
    <w:rsid w:val="001354CF"/>
    <w:rsid w:val="0013591D"/>
    <w:rsid w:val="001359C8"/>
    <w:rsid w:val="00135B96"/>
    <w:rsid w:val="00135D92"/>
    <w:rsid w:val="00135E14"/>
    <w:rsid w:val="00135E81"/>
    <w:rsid w:val="00136408"/>
    <w:rsid w:val="0013679C"/>
    <w:rsid w:val="00136B09"/>
    <w:rsid w:val="0013724C"/>
    <w:rsid w:val="001373D9"/>
    <w:rsid w:val="001377D8"/>
    <w:rsid w:val="001377F3"/>
    <w:rsid w:val="00137C5B"/>
    <w:rsid w:val="00137D3C"/>
    <w:rsid w:val="00140018"/>
    <w:rsid w:val="001401F2"/>
    <w:rsid w:val="00140989"/>
    <w:rsid w:val="00140B0A"/>
    <w:rsid w:val="00141004"/>
    <w:rsid w:val="00141279"/>
    <w:rsid w:val="001412F5"/>
    <w:rsid w:val="0014178E"/>
    <w:rsid w:val="001418D7"/>
    <w:rsid w:val="00141E82"/>
    <w:rsid w:val="0014242D"/>
    <w:rsid w:val="00142BE7"/>
    <w:rsid w:val="00142C69"/>
    <w:rsid w:val="00142FC9"/>
    <w:rsid w:val="001430B0"/>
    <w:rsid w:val="001435F8"/>
    <w:rsid w:val="00143664"/>
    <w:rsid w:val="001437AE"/>
    <w:rsid w:val="001438F2"/>
    <w:rsid w:val="00143A5F"/>
    <w:rsid w:val="00143C83"/>
    <w:rsid w:val="00143D18"/>
    <w:rsid w:val="00143F1D"/>
    <w:rsid w:val="00144119"/>
    <w:rsid w:val="00144153"/>
    <w:rsid w:val="00144235"/>
    <w:rsid w:val="001444E1"/>
    <w:rsid w:val="0014450C"/>
    <w:rsid w:val="00144A1A"/>
    <w:rsid w:val="00144A1D"/>
    <w:rsid w:val="001458A7"/>
    <w:rsid w:val="00146162"/>
    <w:rsid w:val="00146548"/>
    <w:rsid w:val="00146710"/>
    <w:rsid w:val="0014702B"/>
    <w:rsid w:val="00147398"/>
    <w:rsid w:val="00147B1D"/>
    <w:rsid w:val="00147B20"/>
    <w:rsid w:val="00147C38"/>
    <w:rsid w:val="00150255"/>
    <w:rsid w:val="0015037D"/>
    <w:rsid w:val="001507F3"/>
    <w:rsid w:val="00150D2E"/>
    <w:rsid w:val="00150E21"/>
    <w:rsid w:val="001512D3"/>
    <w:rsid w:val="00151BF7"/>
    <w:rsid w:val="001522A9"/>
    <w:rsid w:val="0015239E"/>
    <w:rsid w:val="00152B48"/>
    <w:rsid w:val="00153163"/>
    <w:rsid w:val="001537CC"/>
    <w:rsid w:val="001538AB"/>
    <w:rsid w:val="00153BB3"/>
    <w:rsid w:val="00153CB3"/>
    <w:rsid w:val="001543ED"/>
    <w:rsid w:val="001546E9"/>
    <w:rsid w:val="0015477F"/>
    <w:rsid w:val="00154CF4"/>
    <w:rsid w:val="00155014"/>
    <w:rsid w:val="001550CE"/>
    <w:rsid w:val="001550EF"/>
    <w:rsid w:val="00155291"/>
    <w:rsid w:val="00155601"/>
    <w:rsid w:val="00155C19"/>
    <w:rsid w:val="00155E81"/>
    <w:rsid w:val="00155FFE"/>
    <w:rsid w:val="001566BD"/>
    <w:rsid w:val="001567F2"/>
    <w:rsid w:val="001571E0"/>
    <w:rsid w:val="0015727E"/>
    <w:rsid w:val="0015765F"/>
    <w:rsid w:val="00157819"/>
    <w:rsid w:val="001578D7"/>
    <w:rsid w:val="00157C95"/>
    <w:rsid w:val="00157DDC"/>
    <w:rsid w:val="00157E3D"/>
    <w:rsid w:val="001600D5"/>
    <w:rsid w:val="0016022B"/>
    <w:rsid w:val="0016038D"/>
    <w:rsid w:val="00160781"/>
    <w:rsid w:val="00160B05"/>
    <w:rsid w:val="00160C58"/>
    <w:rsid w:val="00161097"/>
    <w:rsid w:val="001611A7"/>
    <w:rsid w:val="00161472"/>
    <w:rsid w:val="001619F1"/>
    <w:rsid w:val="00161FA8"/>
    <w:rsid w:val="00162356"/>
    <w:rsid w:val="0016297E"/>
    <w:rsid w:val="00162F38"/>
    <w:rsid w:val="0016309B"/>
    <w:rsid w:val="00163223"/>
    <w:rsid w:val="0016356D"/>
    <w:rsid w:val="0016369C"/>
    <w:rsid w:val="001636B5"/>
    <w:rsid w:val="001636D9"/>
    <w:rsid w:val="00163EF3"/>
    <w:rsid w:val="00163EFA"/>
    <w:rsid w:val="00164176"/>
    <w:rsid w:val="00164DE0"/>
    <w:rsid w:val="00164F44"/>
    <w:rsid w:val="001657DB"/>
    <w:rsid w:val="0016595F"/>
    <w:rsid w:val="00165E7B"/>
    <w:rsid w:val="00166275"/>
    <w:rsid w:val="001664D3"/>
    <w:rsid w:val="0016650C"/>
    <w:rsid w:val="0016671D"/>
    <w:rsid w:val="001669B9"/>
    <w:rsid w:val="00166AFB"/>
    <w:rsid w:val="00166F77"/>
    <w:rsid w:val="00167738"/>
    <w:rsid w:val="00167779"/>
    <w:rsid w:val="00167D81"/>
    <w:rsid w:val="0017088D"/>
    <w:rsid w:val="00170DD0"/>
    <w:rsid w:val="00170FD8"/>
    <w:rsid w:val="00171342"/>
    <w:rsid w:val="001713C1"/>
    <w:rsid w:val="001714B2"/>
    <w:rsid w:val="00171823"/>
    <w:rsid w:val="00171D8B"/>
    <w:rsid w:val="00171DBA"/>
    <w:rsid w:val="00171FF0"/>
    <w:rsid w:val="00172262"/>
    <w:rsid w:val="001727FD"/>
    <w:rsid w:val="00172EDB"/>
    <w:rsid w:val="0017310C"/>
    <w:rsid w:val="00173CC9"/>
    <w:rsid w:val="001745BD"/>
    <w:rsid w:val="00174B59"/>
    <w:rsid w:val="00174BE5"/>
    <w:rsid w:val="00174C7E"/>
    <w:rsid w:val="00174E55"/>
    <w:rsid w:val="00174F97"/>
    <w:rsid w:val="001752FB"/>
    <w:rsid w:val="00175571"/>
    <w:rsid w:val="00175766"/>
    <w:rsid w:val="0017586D"/>
    <w:rsid w:val="00175A04"/>
    <w:rsid w:val="00175AF1"/>
    <w:rsid w:val="0017614C"/>
    <w:rsid w:val="001762FD"/>
    <w:rsid w:val="0017636A"/>
    <w:rsid w:val="0017662A"/>
    <w:rsid w:val="00176749"/>
    <w:rsid w:val="00176815"/>
    <w:rsid w:val="001768CC"/>
    <w:rsid w:val="00176911"/>
    <w:rsid w:val="0017737E"/>
    <w:rsid w:val="001773CB"/>
    <w:rsid w:val="00177898"/>
    <w:rsid w:val="00180307"/>
    <w:rsid w:val="00180C5A"/>
    <w:rsid w:val="001815E0"/>
    <w:rsid w:val="00181B5A"/>
    <w:rsid w:val="00181DDA"/>
    <w:rsid w:val="00181E4C"/>
    <w:rsid w:val="00181FCF"/>
    <w:rsid w:val="00182719"/>
    <w:rsid w:val="00182721"/>
    <w:rsid w:val="001829BC"/>
    <w:rsid w:val="00182FCF"/>
    <w:rsid w:val="00183967"/>
    <w:rsid w:val="00183AA2"/>
    <w:rsid w:val="00183E43"/>
    <w:rsid w:val="0018417D"/>
    <w:rsid w:val="001843D1"/>
    <w:rsid w:val="00184404"/>
    <w:rsid w:val="0018463C"/>
    <w:rsid w:val="001846C2"/>
    <w:rsid w:val="00184B3B"/>
    <w:rsid w:val="00184FEA"/>
    <w:rsid w:val="00185387"/>
    <w:rsid w:val="00185E34"/>
    <w:rsid w:val="00186479"/>
    <w:rsid w:val="00186706"/>
    <w:rsid w:val="0018672A"/>
    <w:rsid w:val="00186790"/>
    <w:rsid w:val="001867D7"/>
    <w:rsid w:val="001868B5"/>
    <w:rsid w:val="00186DEE"/>
    <w:rsid w:val="00186F0C"/>
    <w:rsid w:val="001870F1"/>
    <w:rsid w:val="00187D4D"/>
    <w:rsid w:val="00190B47"/>
    <w:rsid w:val="00190C76"/>
    <w:rsid w:val="00191405"/>
    <w:rsid w:val="0019142C"/>
    <w:rsid w:val="00191A1D"/>
    <w:rsid w:val="00191B8C"/>
    <w:rsid w:val="00191DB0"/>
    <w:rsid w:val="00191DC1"/>
    <w:rsid w:val="00191FB6"/>
    <w:rsid w:val="001921C9"/>
    <w:rsid w:val="001921FD"/>
    <w:rsid w:val="001929C4"/>
    <w:rsid w:val="00192D8F"/>
    <w:rsid w:val="001933D6"/>
    <w:rsid w:val="00193729"/>
    <w:rsid w:val="0019376A"/>
    <w:rsid w:val="00193AE7"/>
    <w:rsid w:val="00193F34"/>
    <w:rsid w:val="0019415A"/>
    <w:rsid w:val="00194772"/>
    <w:rsid w:val="0019497C"/>
    <w:rsid w:val="00195B5B"/>
    <w:rsid w:val="00195E58"/>
    <w:rsid w:val="00196087"/>
    <w:rsid w:val="0019686D"/>
    <w:rsid w:val="00196BFC"/>
    <w:rsid w:val="00196C84"/>
    <w:rsid w:val="00196F36"/>
    <w:rsid w:val="00196FCD"/>
    <w:rsid w:val="001971E3"/>
    <w:rsid w:val="001973F9"/>
    <w:rsid w:val="00197581"/>
    <w:rsid w:val="001978E9"/>
    <w:rsid w:val="0019796B"/>
    <w:rsid w:val="00197BBF"/>
    <w:rsid w:val="00197DE2"/>
    <w:rsid w:val="001A041E"/>
    <w:rsid w:val="001A05BE"/>
    <w:rsid w:val="001A07C8"/>
    <w:rsid w:val="001A0F44"/>
    <w:rsid w:val="001A1B1D"/>
    <w:rsid w:val="001A1BB7"/>
    <w:rsid w:val="001A1CEE"/>
    <w:rsid w:val="001A1D5D"/>
    <w:rsid w:val="001A21B5"/>
    <w:rsid w:val="001A281F"/>
    <w:rsid w:val="001A2BC4"/>
    <w:rsid w:val="001A2ECB"/>
    <w:rsid w:val="001A31CD"/>
    <w:rsid w:val="001A3354"/>
    <w:rsid w:val="001A349C"/>
    <w:rsid w:val="001A3618"/>
    <w:rsid w:val="001A387B"/>
    <w:rsid w:val="001A3A08"/>
    <w:rsid w:val="001A3D30"/>
    <w:rsid w:val="001A41E7"/>
    <w:rsid w:val="001A45D2"/>
    <w:rsid w:val="001A47DA"/>
    <w:rsid w:val="001A48F4"/>
    <w:rsid w:val="001A4E7D"/>
    <w:rsid w:val="001A52D2"/>
    <w:rsid w:val="001A55BE"/>
    <w:rsid w:val="001A5624"/>
    <w:rsid w:val="001A59BC"/>
    <w:rsid w:val="001A5C0E"/>
    <w:rsid w:val="001A5C40"/>
    <w:rsid w:val="001A641F"/>
    <w:rsid w:val="001A66F2"/>
    <w:rsid w:val="001A6912"/>
    <w:rsid w:val="001A6ADC"/>
    <w:rsid w:val="001A6E8C"/>
    <w:rsid w:val="001A6EFE"/>
    <w:rsid w:val="001A6F6E"/>
    <w:rsid w:val="001A6FAF"/>
    <w:rsid w:val="001A718C"/>
    <w:rsid w:val="001A71FB"/>
    <w:rsid w:val="001A72A6"/>
    <w:rsid w:val="001A7302"/>
    <w:rsid w:val="001A7462"/>
    <w:rsid w:val="001A768F"/>
    <w:rsid w:val="001A7B48"/>
    <w:rsid w:val="001A7E8E"/>
    <w:rsid w:val="001B0631"/>
    <w:rsid w:val="001B0918"/>
    <w:rsid w:val="001B0DF8"/>
    <w:rsid w:val="001B10BB"/>
    <w:rsid w:val="001B1348"/>
    <w:rsid w:val="001B1550"/>
    <w:rsid w:val="001B163C"/>
    <w:rsid w:val="001B1667"/>
    <w:rsid w:val="001B16B4"/>
    <w:rsid w:val="001B2522"/>
    <w:rsid w:val="001B2928"/>
    <w:rsid w:val="001B2AAD"/>
    <w:rsid w:val="001B2B2D"/>
    <w:rsid w:val="001B2C1D"/>
    <w:rsid w:val="001B2E26"/>
    <w:rsid w:val="001B3A66"/>
    <w:rsid w:val="001B3B64"/>
    <w:rsid w:val="001B446C"/>
    <w:rsid w:val="001B45F4"/>
    <w:rsid w:val="001B5081"/>
    <w:rsid w:val="001B5330"/>
    <w:rsid w:val="001B55F0"/>
    <w:rsid w:val="001B5782"/>
    <w:rsid w:val="001B5884"/>
    <w:rsid w:val="001B5EA1"/>
    <w:rsid w:val="001B5F8D"/>
    <w:rsid w:val="001B6D5E"/>
    <w:rsid w:val="001B6FF9"/>
    <w:rsid w:val="001B724E"/>
    <w:rsid w:val="001B7288"/>
    <w:rsid w:val="001B7619"/>
    <w:rsid w:val="001B7902"/>
    <w:rsid w:val="001B79BC"/>
    <w:rsid w:val="001B7B43"/>
    <w:rsid w:val="001C0167"/>
    <w:rsid w:val="001C06CA"/>
    <w:rsid w:val="001C0A2A"/>
    <w:rsid w:val="001C0FA7"/>
    <w:rsid w:val="001C120C"/>
    <w:rsid w:val="001C189F"/>
    <w:rsid w:val="001C1B5E"/>
    <w:rsid w:val="001C1E4A"/>
    <w:rsid w:val="001C1EF4"/>
    <w:rsid w:val="001C21EF"/>
    <w:rsid w:val="001C233A"/>
    <w:rsid w:val="001C263E"/>
    <w:rsid w:val="001C26FE"/>
    <w:rsid w:val="001C27AA"/>
    <w:rsid w:val="001C27E6"/>
    <w:rsid w:val="001C281E"/>
    <w:rsid w:val="001C2BC9"/>
    <w:rsid w:val="001C3554"/>
    <w:rsid w:val="001C3E16"/>
    <w:rsid w:val="001C3E2E"/>
    <w:rsid w:val="001C3FAF"/>
    <w:rsid w:val="001C409F"/>
    <w:rsid w:val="001C4107"/>
    <w:rsid w:val="001C4161"/>
    <w:rsid w:val="001C42C9"/>
    <w:rsid w:val="001C42DD"/>
    <w:rsid w:val="001C473C"/>
    <w:rsid w:val="001C4FE6"/>
    <w:rsid w:val="001C5095"/>
    <w:rsid w:val="001C54DB"/>
    <w:rsid w:val="001C5983"/>
    <w:rsid w:val="001C6437"/>
    <w:rsid w:val="001C6597"/>
    <w:rsid w:val="001C6657"/>
    <w:rsid w:val="001C67C1"/>
    <w:rsid w:val="001C68C8"/>
    <w:rsid w:val="001C69E6"/>
    <w:rsid w:val="001C6CA3"/>
    <w:rsid w:val="001C73C9"/>
    <w:rsid w:val="001C773B"/>
    <w:rsid w:val="001C7752"/>
    <w:rsid w:val="001C7980"/>
    <w:rsid w:val="001D0000"/>
    <w:rsid w:val="001D0397"/>
    <w:rsid w:val="001D0970"/>
    <w:rsid w:val="001D09EF"/>
    <w:rsid w:val="001D0BB1"/>
    <w:rsid w:val="001D0F36"/>
    <w:rsid w:val="001D147E"/>
    <w:rsid w:val="001D1D7F"/>
    <w:rsid w:val="001D23E0"/>
    <w:rsid w:val="001D2632"/>
    <w:rsid w:val="001D27EC"/>
    <w:rsid w:val="001D297B"/>
    <w:rsid w:val="001D2C2F"/>
    <w:rsid w:val="001D2CEE"/>
    <w:rsid w:val="001D2F75"/>
    <w:rsid w:val="001D325B"/>
    <w:rsid w:val="001D337B"/>
    <w:rsid w:val="001D34FF"/>
    <w:rsid w:val="001D360A"/>
    <w:rsid w:val="001D363E"/>
    <w:rsid w:val="001D3E95"/>
    <w:rsid w:val="001D3EEE"/>
    <w:rsid w:val="001D48FC"/>
    <w:rsid w:val="001D4974"/>
    <w:rsid w:val="001D4A01"/>
    <w:rsid w:val="001D4A57"/>
    <w:rsid w:val="001D4B36"/>
    <w:rsid w:val="001D4D2D"/>
    <w:rsid w:val="001D5843"/>
    <w:rsid w:val="001D5A4B"/>
    <w:rsid w:val="001D5D52"/>
    <w:rsid w:val="001D61B8"/>
    <w:rsid w:val="001D74A3"/>
    <w:rsid w:val="001D7C41"/>
    <w:rsid w:val="001D7F16"/>
    <w:rsid w:val="001D7FD7"/>
    <w:rsid w:val="001E01AA"/>
    <w:rsid w:val="001E03C5"/>
    <w:rsid w:val="001E05F3"/>
    <w:rsid w:val="001E0B84"/>
    <w:rsid w:val="001E0D4E"/>
    <w:rsid w:val="001E0E87"/>
    <w:rsid w:val="001E0F3B"/>
    <w:rsid w:val="001E10D6"/>
    <w:rsid w:val="001E1A3F"/>
    <w:rsid w:val="001E2F97"/>
    <w:rsid w:val="001E36A8"/>
    <w:rsid w:val="001E3B37"/>
    <w:rsid w:val="001E3DA4"/>
    <w:rsid w:val="001E401A"/>
    <w:rsid w:val="001E42CB"/>
    <w:rsid w:val="001E481E"/>
    <w:rsid w:val="001E489E"/>
    <w:rsid w:val="001E4939"/>
    <w:rsid w:val="001E4F1C"/>
    <w:rsid w:val="001E521C"/>
    <w:rsid w:val="001E5266"/>
    <w:rsid w:val="001E59F7"/>
    <w:rsid w:val="001E5B50"/>
    <w:rsid w:val="001E5B7D"/>
    <w:rsid w:val="001E5F19"/>
    <w:rsid w:val="001E6402"/>
    <w:rsid w:val="001E6580"/>
    <w:rsid w:val="001E6BC9"/>
    <w:rsid w:val="001E6E05"/>
    <w:rsid w:val="001E711E"/>
    <w:rsid w:val="001E71E5"/>
    <w:rsid w:val="001E75F1"/>
    <w:rsid w:val="001E77E1"/>
    <w:rsid w:val="001E7832"/>
    <w:rsid w:val="001E7C3B"/>
    <w:rsid w:val="001E7E17"/>
    <w:rsid w:val="001E7EE6"/>
    <w:rsid w:val="001F0933"/>
    <w:rsid w:val="001F0C49"/>
    <w:rsid w:val="001F1306"/>
    <w:rsid w:val="001F14C3"/>
    <w:rsid w:val="001F1873"/>
    <w:rsid w:val="001F18EC"/>
    <w:rsid w:val="001F2180"/>
    <w:rsid w:val="001F2827"/>
    <w:rsid w:val="001F28C1"/>
    <w:rsid w:val="001F2990"/>
    <w:rsid w:val="001F2A30"/>
    <w:rsid w:val="001F2EEE"/>
    <w:rsid w:val="001F31FA"/>
    <w:rsid w:val="001F35FE"/>
    <w:rsid w:val="001F37CE"/>
    <w:rsid w:val="001F4018"/>
    <w:rsid w:val="001F461B"/>
    <w:rsid w:val="001F4DDB"/>
    <w:rsid w:val="001F5310"/>
    <w:rsid w:val="001F548F"/>
    <w:rsid w:val="001F58A7"/>
    <w:rsid w:val="001F5A13"/>
    <w:rsid w:val="001F5B57"/>
    <w:rsid w:val="001F6533"/>
    <w:rsid w:val="001F6848"/>
    <w:rsid w:val="001F6A09"/>
    <w:rsid w:val="001F7027"/>
    <w:rsid w:val="001F7225"/>
    <w:rsid w:val="001F7272"/>
    <w:rsid w:val="001F747C"/>
    <w:rsid w:val="001F7B80"/>
    <w:rsid w:val="00200017"/>
    <w:rsid w:val="00200289"/>
    <w:rsid w:val="00200807"/>
    <w:rsid w:val="002010BA"/>
    <w:rsid w:val="002016A8"/>
    <w:rsid w:val="002019A7"/>
    <w:rsid w:val="002019F5"/>
    <w:rsid w:val="00201E5B"/>
    <w:rsid w:val="00202055"/>
    <w:rsid w:val="0020236F"/>
    <w:rsid w:val="002028D8"/>
    <w:rsid w:val="002029AA"/>
    <w:rsid w:val="002035D0"/>
    <w:rsid w:val="00203617"/>
    <w:rsid w:val="00203BBE"/>
    <w:rsid w:val="00203C32"/>
    <w:rsid w:val="00203C36"/>
    <w:rsid w:val="00203CF8"/>
    <w:rsid w:val="00203E24"/>
    <w:rsid w:val="00203F74"/>
    <w:rsid w:val="0020429B"/>
    <w:rsid w:val="002042F6"/>
    <w:rsid w:val="0020445E"/>
    <w:rsid w:val="002044F9"/>
    <w:rsid w:val="00204531"/>
    <w:rsid w:val="0020481E"/>
    <w:rsid w:val="002048F3"/>
    <w:rsid w:val="00204975"/>
    <w:rsid w:val="0020499A"/>
    <w:rsid w:val="002049D1"/>
    <w:rsid w:val="00204A83"/>
    <w:rsid w:val="00204BA8"/>
    <w:rsid w:val="00204C9B"/>
    <w:rsid w:val="0020515B"/>
    <w:rsid w:val="002052D9"/>
    <w:rsid w:val="0020530A"/>
    <w:rsid w:val="00205350"/>
    <w:rsid w:val="00205875"/>
    <w:rsid w:val="00205B09"/>
    <w:rsid w:val="00205B72"/>
    <w:rsid w:val="002063B8"/>
    <w:rsid w:val="00206428"/>
    <w:rsid w:val="0020644B"/>
    <w:rsid w:val="00206636"/>
    <w:rsid w:val="00206986"/>
    <w:rsid w:val="002070BE"/>
    <w:rsid w:val="002072A0"/>
    <w:rsid w:val="0020757B"/>
    <w:rsid w:val="0021008C"/>
    <w:rsid w:val="002103AA"/>
    <w:rsid w:val="002104AF"/>
    <w:rsid w:val="002104FF"/>
    <w:rsid w:val="00210BE8"/>
    <w:rsid w:val="00210D8B"/>
    <w:rsid w:val="00210EF8"/>
    <w:rsid w:val="00211237"/>
    <w:rsid w:val="00211374"/>
    <w:rsid w:val="00211915"/>
    <w:rsid w:val="00211A5C"/>
    <w:rsid w:val="00211CFB"/>
    <w:rsid w:val="00211E9C"/>
    <w:rsid w:val="002124EE"/>
    <w:rsid w:val="00212832"/>
    <w:rsid w:val="00212FEC"/>
    <w:rsid w:val="00213417"/>
    <w:rsid w:val="00213D1B"/>
    <w:rsid w:val="002141D4"/>
    <w:rsid w:val="002142B6"/>
    <w:rsid w:val="0021453E"/>
    <w:rsid w:val="00214650"/>
    <w:rsid w:val="00214CA2"/>
    <w:rsid w:val="00214EA6"/>
    <w:rsid w:val="00214F37"/>
    <w:rsid w:val="002152B7"/>
    <w:rsid w:val="002155BC"/>
    <w:rsid w:val="0021582E"/>
    <w:rsid w:val="0021653B"/>
    <w:rsid w:val="002168FA"/>
    <w:rsid w:val="0021693B"/>
    <w:rsid w:val="00216C90"/>
    <w:rsid w:val="00216D29"/>
    <w:rsid w:val="002173DE"/>
    <w:rsid w:val="002177C1"/>
    <w:rsid w:val="00217E2E"/>
    <w:rsid w:val="00217F69"/>
    <w:rsid w:val="00217F91"/>
    <w:rsid w:val="002200C6"/>
    <w:rsid w:val="0022028D"/>
    <w:rsid w:val="00220545"/>
    <w:rsid w:val="00220809"/>
    <w:rsid w:val="00220DE3"/>
    <w:rsid w:val="00221208"/>
    <w:rsid w:val="002212CB"/>
    <w:rsid w:val="00221442"/>
    <w:rsid w:val="00221472"/>
    <w:rsid w:val="00221B8D"/>
    <w:rsid w:val="00221C91"/>
    <w:rsid w:val="00221CBD"/>
    <w:rsid w:val="0022245E"/>
    <w:rsid w:val="00222A23"/>
    <w:rsid w:val="00222A53"/>
    <w:rsid w:val="00222B74"/>
    <w:rsid w:val="00222C1F"/>
    <w:rsid w:val="00222DC3"/>
    <w:rsid w:val="002231F6"/>
    <w:rsid w:val="00223810"/>
    <w:rsid w:val="00223A7B"/>
    <w:rsid w:val="00223CD3"/>
    <w:rsid w:val="00224058"/>
    <w:rsid w:val="00224078"/>
    <w:rsid w:val="002242AC"/>
    <w:rsid w:val="00224731"/>
    <w:rsid w:val="0022497C"/>
    <w:rsid w:val="00224BAA"/>
    <w:rsid w:val="00225028"/>
    <w:rsid w:val="002251FC"/>
    <w:rsid w:val="002252A2"/>
    <w:rsid w:val="0022549A"/>
    <w:rsid w:val="00225626"/>
    <w:rsid w:val="00225D76"/>
    <w:rsid w:val="00226179"/>
    <w:rsid w:val="00226E2B"/>
    <w:rsid w:val="002270FB"/>
    <w:rsid w:val="0022769C"/>
    <w:rsid w:val="002300A0"/>
    <w:rsid w:val="0023025C"/>
    <w:rsid w:val="0023029F"/>
    <w:rsid w:val="00230411"/>
    <w:rsid w:val="002305D0"/>
    <w:rsid w:val="00231124"/>
    <w:rsid w:val="00231128"/>
    <w:rsid w:val="002316D5"/>
    <w:rsid w:val="00231792"/>
    <w:rsid w:val="00231AB4"/>
    <w:rsid w:val="00231CFC"/>
    <w:rsid w:val="00231DE8"/>
    <w:rsid w:val="0023223B"/>
    <w:rsid w:val="00232460"/>
    <w:rsid w:val="002328B1"/>
    <w:rsid w:val="00232C0D"/>
    <w:rsid w:val="00232C79"/>
    <w:rsid w:val="0023320A"/>
    <w:rsid w:val="002333D0"/>
    <w:rsid w:val="0023342D"/>
    <w:rsid w:val="00233478"/>
    <w:rsid w:val="0023374F"/>
    <w:rsid w:val="002338FD"/>
    <w:rsid w:val="00234300"/>
    <w:rsid w:val="002347E6"/>
    <w:rsid w:val="002347EF"/>
    <w:rsid w:val="00234964"/>
    <w:rsid w:val="002349CC"/>
    <w:rsid w:val="00234BF3"/>
    <w:rsid w:val="00234DE2"/>
    <w:rsid w:val="00235229"/>
    <w:rsid w:val="002355A2"/>
    <w:rsid w:val="00235AA3"/>
    <w:rsid w:val="00235C1F"/>
    <w:rsid w:val="00236222"/>
    <w:rsid w:val="00236373"/>
    <w:rsid w:val="002363F6"/>
    <w:rsid w:val="00236CA4"/>
    <w:rsid w:val="00236F4F"/>
    <w:rsid w:val="00237036"/>
    <w:rsid w:val="00237553"/>
    <w:rsid w:val="00237618"/>
    <w:rsid w:val="0023778E"/>
    <w:rsid w:val="00237DDB"/>
    <w:rsid w:val="00237E0F"/>
    <w:rsid w:val="00237F51"/>
    <w:rsid w:val="00237F66"/>
    <w:rsid w:val="002402FD"/>
    <w:rsid w:val="002408DE"/>
    <w:rsid w:val="00240DA8"/>
    <w:rsid w:val="00240E70"/>
    <w:rsid w:val="00240F43"/>
    <w:rsid w:val="00241267"/>
    <w:rsid w:val="002416FC"/>
    <w:rsid w:val="002418C5"/>
    <w:rsid w:val="00241FD7"/>
    <w:rsid w:val="002420B6"/>
    <w:rsid w:val="00242B88"/>
    <w:rsid w:val="00242E67"/>
    <w:rsid w:val="00242E76"/>
    <w:rsid w:val="00242EB7"/>
    <w:rsid w:val="002435DA"/>
    <w:rsid w:val="002435F7"/>
    <w:rsid w:val="00243602"/>
    <w:rsid w:val="00243663"/>
    <w:rsid w:val="00244134"/>
    <w:rsid w:val="00244250"/>
    <w:rsid w:val="0024437D"/>
    <w:rsid w:val="00244505"/>
    <w:rsid w:val="00244C2C"/>
    <w:rsid w:val="00244C8D"/>
    <w:rsid w:val="00245328"/>
    <w:rsid w:val="00245701"/>
    <w:rsid w:val="00245EEE"/>
    <w:rsid w:val="00245F96"/>
    <w:rsid w:val="00246810"/>
    <w:rsid w:val="00247190"/>
    <w:rsid w:val="002473C0"/>
    <w:rsid w:val="002474B9"/>
    <w:rsid w:val="0024765B"/>
    <w:rsid w:val="0024787A"/>
    <w:rsid w:val="002479F8"/>
    <w:rsid w:val="002479FB"/>
    <w:rsid w:val="00247AAB"/>
    <w:rsid w:val="002501D6"/>
    <w:rsid w:val="00250290"/>
    <w:rsid w:val="002505DD"/>
    <w:rsid w:val="00250D73"/>
    <w:rsid w:val="00250EBB"/>
    <w:rsid w:val="00250FA5"/>
    <w:rsid w:val="00251229"/>
    <w:rsid w:val="00251254"/>
    <w:rsid w:val="0025126D"/>
    <w:rsid w:val="0025173A"/>
    <w:rsid w:val="002518E0"/>
    <w:rsid w:val="00251F4D"/>
    <w:rsid w:val="00251FBB"/>
    <w:rsid w:val="00252144"/>
    <w:rsid w:val="00252431"/>
    <w:rsid w:val="00252586"/>
    <w:rsid w:val="00252E26"/>
    <w:rsid w:val="002532A4"/>
    <w:rsid w:val="00253348"/>
    <w:rsid w:val="00253406"/>
    <w:rsid w:val="00253599"/>
    <w:rsid w:val="00253B94"/>
    <w:rsid w:val="00253DE8"/>
    <w:rsid w:val="0025455E"/>
    <w:rsid w:val="002545C9"/>
    <w:rsid w:val="002545FD"/>
    <w:rsid w:val="00254A45"/>
    <w:rsid w:val="00255138"/>
    <w:rsid w:val="002553C0"/>
    <w:rsid w:val="0025544F"/>
    <w:rsid w:val="002554CB"/>
    <w:rsid w:val="0025591B"/>
    <w:rsid w:val="00255985"/>
    <w:rsid w:val="00255DD8"/>
    <w:rsid w:val="002566B3"/>
    <w:rsid w:val="00256D96"/>
    <w:rsid w:val="00256E3C"/>
    <w:rsid w:val="00257309"/>
    <w:rsid w:val="002574A3"/>
    <w:rsid w:val="00257622"/>
    <w:rsid w:val="002578D9"/>
    <w:rsid w:val="00257D54"/>
    <w:rsid w:val="00260429"/>
    <w:rsid w:val="002605D7"/>
    <w:rsid w:val="002606E9"/>
    <w:rsid w:val="0026071B"/>
    <w:rsid w:val="00260D4E"/>
    <w:rsid w:val="00260D6F"/>
    <w:rsid w:val="00260F6E"/>
    <w:rsid w:val="00261362"/>
    <w:rsid w:val="00261528"/>
    <w:rsid w:val="00261A68"/>
    <w:rsid w:val="00261B67"/>
    <w:rsid w:val="00261B77"/>
    <w:rsid w:val="002620F3"/>
    <w:rsid w:val="0026293E"/>
    <w:rsid w:val="00262DFA"/>
    <w:rsid w:val="00263256"/>
    <w:rsid w:val="00263332"/>
    <w:rsid w:val="00263513"/>
    <w:rsid w:val="002636EE"/>
    <w:rsid w:val="0026379F"/>
    <w:rsid w:val="0026387E"/>
    <w:rsid w:val="00263D57"/>
    <w:rsid w:val="00263D59"/>
    <w:rsid w:val="00264429"/>
    <w:rsid w:val="00264439"/>
    <w:rsid w:val="002644B6"/>
    <w:rsid w:val="00264704"/>
    <w:rsid w:val="00264777"/>
    <w:rsid w:val="002647EF"/>
    <w:rsid w:val="00264C83"/>
    <w:rsid w:val="002652BE"/>
    <w:rsid w:val="002658A9"/>
    <w:rsid w:val="002658BE"/>
    <w:rsid w:val="00265A28"/>
    <w:rsid w:val="00265B00"/>
    <w:rsid w:val="00265C05"/>
    <w:rsid w:val="00265D78"/>
    <w:rsid w:val="002668EC"/>
    <w:rsid w:val="00266E9E"/>
    <w:rsid w:val="00267548"/>
    <w:rsid w:val="00267855"/>
    <w:rsid w:val="00267B78"/>
    <w:rsid w:val="00267CB8"/>
    <w:rsid w:val="00267D85"/>
    <w:rsid w:val="00267E93"/>
    <w:rsid w:val="00270690"/>
    <w:rsid w:val="00270832"/>
    <w:rsid w:val="00270E70"/>
    <w:rsid w:val="002715A1"/>
    <w:rsid w:val="002716CA"/>
    <w:rsid w:val="002716F0"/>
    <w:rsid w:val="00271A00"/>
    <w:rsid w:val="00271E98"/>
    <w:rsid w:val="00272683"/>
    <w:rsid w:val="00272AF5"/>
    <w:rsid w:val="00273192"/>
    <w:rsid w:val="002738AD"/>
    <w:rsid w:val="00274169"/>
    <w:rsid w:val="00274201"/>
    <w:rsid w:val="002748C8"/>
    <w:rsid w:val="00274B67"/>
    <w:rsid w:val="00274D85"/>
    <w:rsid w:val="00275324"/>
    <w:rsid w:val="0027537F"/>
    <w:rsid w:val="00275607"/>
    <w:rsid w:val="002758F5"/>
    <w:rsid w:val="002759C7"/>
    <w:rsid w:val="00275F25"/>
    <w:rsid w:val="0027620E"/>
    <w:rsid w:val="002768D8"/>
    <w:rsid w:val="00276E8E"/>
    <w:rsid w:val="00277732"/>
    <w:rsid w:val="002800EF"/>
    <w:rsid w:val="00280639"/>
    <w:rsid w:val="002806D0"/>
    <w:rsid w:val="00280CE7"/>
    <w:rsid w:val="00281659"/>
    <w:rsid w:val="00281CB8"/>
    <w:rsid w:val="00282123"/>
    <w:rsid w:val="002824DF"/>
    <w:rsid w:val="00282613"/>
    <w:rsid w:val="00282DA3"/>
    <w:rsid w:val="00283023"/>
    <w:rsid w:val="00283233"/>
    <w:rsid w:val="002833C5"/>
    <w:rsid w:val="0028347D"/>
    <w:rsid w:val="00283918"/>
    <w:rsid w:val="00283C00"/>
    <w:rsid w:val="00283C63"/>
    <w:rsid w:val="00283D23"/>
    <w:rsid w:val="00283E62"/>
    <w:rsid w:val="00283F23"/>
    <w:rsid w:val="002844A6"/>
    <w:rsid w:val="002845B5"/>
    <w:rsid w:val="0028488A"/>
    <w:rsid w:val="002852EB"/>
    <w:rsid w:val="00285428"/>
    <w:rsid w:val="002855D0"/>
    <w:rsid w:val="002855D6"/>
    <w:rsid w:val="00285851"/>
    <w:rsid w:val="00285FBC"/>
    <w:rsid w:val="002866B9"/>
    <w:rsid w:val="00286ED6"/>
    <w:rsid w:val="00287204"/>
    <w:rsid w:val="002877F4"/>
    <w:rsid w:val="00287B7B"/>
    <w:rsid w:val="00287B7F"/>
    <w:rsid w:val="00287D17"/>
    <w:rsid w:val="0029048E"/>
    <w:rsid w:val="002904FA"/>
    <w:rsid w:val="00290A1C"/>
    <w:rsid w:val="002910EF"/>
    <w:rsid w:val="0029122A"/>
    <w:rsid w:val="002918B7"/>
    <w:rsid w:val="0029190A"/>
    <w:rsid w:val="00292079"/>
    <w:rsid w:val="00292B7A"/>
    <w:rsid w:val="00293B0F"/>
    <w:rsid w:val="00293CC9"/>
    <w:rsid w:val="00293E43"/>
    <w:rsid w:val="00293F6A"/>
    <w:rsid w:val="00294487"/>
    <w:rsid w:val="00294671"/>
    <w:rsid w:val="0029469B"/>
    <w:rsid w:val="0029476B"/>
    <w:rsid w:val="00294B17"/>
    <w:rsid w:val="00295393"/>
    <w:rsid w:val="002958C9"/>
    <w:rsid w:val="00295E14"/>
    <w:rsid w:val="00296539"/>
    <w:rsid w:val="00296A1E"/>
    <w:rsid w:val="00296C29"/>
    <w:rsid w:val="0029752F"/>
    <w:rsid w:val="00297AEF"/>
    <w:rsid w:val="00297E5B"/>
    <w:rsid w:val="002A0250"/>
    <w:rsid w:val="002A02C6"/>
    <w:rsid w:val="002A05FB"/>
    <w:rsid w:val="002A067D"/>
    <w:rsid w:val="002A07B0"/>
    <w:rsid w:val="002A08DB"/>
    <w:rsid w:val="002A0B9D"/>
    <w:rsid w:val="002A1009"/>
    <w:rsid w:val="002A17E3"/>
    <w:rsid w:val="002A1A23"/>
    <w:rsid w:val="002A1B75"/>
    <w:rsid w:val="002A1C2F"/>
    <w:rsid w:val="002A1C8D"/>
    <w:rsid w:val="002A1F64"/>
    <w:rsid w:val="002A2023"/>
    <w:rsid w:val="002A20B1"/>
    <w:rsid w:val="002A22A5"/>
    <w:rsid w:val="002A2303"/>
    <w:rsid w:val="002A2F94"/>
    <w:rsid w:val="002A305B"/>
    <w:rsid w:val="002A31FD"/>
    <w:rsid w:val="002A357B"/>
    <w:rsid w:val="002A38D6"/>
    <w:rsid w:val="002A3BEE"/>
    <w:rsid w:val="002A40E9"/>
    <w:rsid w:val="002A4FDF"/>
    <w:rsid w:val="002A5AA9"/>
    <w:rsid w:val="002A67D1"/>
    <w:rsid w:val="002A67D2"/>
    <w:rsid w:val="002A6A2D"/>
    <w:rsid w:val="002A6C16"/>
    <w:rsid w:val="002A70A8"/>
    <w:rsid w:val="002A7457"/>
    <w:rsid w:val="002A7737"/>
    <w:rsid w:val="002A77F8"/>
    <w:rsid w:val="002A7AC5"/>
    <w:rsid w:val="002A7F9D"/>
    <w:rsid w:val="002B0000"/>
    <w:rsid w:val="002B0008"/>
    <w:rsid w:val="002B003D"/>
    <w:rsid w:val="002B016B"/>
    <w:rsid w:val="002B06EE"/>
    <w:rsid w:val="002B07D6"/>
    <w:rsid w:val="002B0A57"/>
    <w:rsid w:val="002B0DB2"/>
    <w:rsid w:val="002B0DC0"/>
    <w:rsid w:val="002B1607"/>
    <w:rsid w:val="002B17CF"/>
    <w:rsid w:val="002B1C0B"/>
    <w:rsid w:val="002B1DA6"/>
    <w:rsid w:val="002B1F17"/>
    <w:rsid w:val="002B250C"/>
    <w:rsid w:val="002B3346"/>
    <w:rsid w:val="002B342D"/>
    <w:rsid w:val="002B34C5"/>
    <w:rsid w:val="002B35F8"/>
    <w:rsid w:val="002B3B4C"/>
    <w:rsid w:val="002B3B9E"/>
    <w:rsid w:val="002B3C6F"/>
    <w:rsid w:val="002B3EEE"/>
    <w:rsid w:val="002B426F"/>
    <w:rsid w:val="002B450C"/>
    <w:rsid w:val="002B49DB"/>
    <w:rsid w:val="002B53CF"/>
    <w:rsid w:val="002B544C"/>
    <w:rsid w:val="002B598D"/>
    <w:rsid w:val="002B59D2"/>
    <w:rsid w:val="002B5B6B"/>
    <w:rsid w:val="002B5CB2"/>
    <w:rsid w:val="002B5DD5"/>
    <w:rsid w:val="002B6554"/>
    <w:rsid w:val="002B6D83"/>
    <w:rsid w:val="002B6D88"/>
    <w:rsid w:val="002B6DAF"/>
    <w:rsid w:val="002B72EA"/>
    <w:rsid w:val="002B74D4"/>
    <w:rsid w:val="002B7A96"/>
    <w:rsid w:val="002C0763"/>
    <w:rsid w:val="002C0C20"/>
    <w:rsid w:val="002C11E2"/>
    <w:rsid w:val="002C15AE"/>
    <w:rsid w:val="002C1C4F"/>
    <w:rsid w:val="002C1F27"/>
    <w:rsid w:val="002C25AD"/>
    <w:rsid w:val="002C2859"/>
    <w:rsid w:val="002C2B96"/>
    <w:rsid w:val="002C2CE1"/>
    <w:rsid w:val="002C2DBC"/>
    <w:rsid w:val="002C3360"/>
    <w:rsid w:val="002C3B08"/>
    <w:rsid w:val="002C3E4C"/>
    <w:rsid w:val="002C405B"/>
    <w:rsid w:val="002C420D"/>
    <w:rsid w:val="002C4601"/>
    <w:rsid w:val="002C4688"/>
    <w:rsid w:val="002C4B24"/>
    <w:rsid w:val="002C4B8A"/>
    <w:rsid w:val="002C4F00"/>
    <w:rsid w:val="002C5267"/>
    <w:rsid w:val="002C583B"/>
    <w:rsid w:val="002C585A"/>
    <w:rsid w:val="002C5E6A"/>
    <w:rsid w:val="002C5EDD"/>
    <w:rsid w:val="002C622A"/>
    <w:rsid w:val="002C654D"/>
    <w:rsid w:val="002C6C92"/>
    <w:rsid w:val="002C715A"/>
    <w:rsid w:val="002C728D"/>
    <w:rsid w:val="002C765F"/>
    <w:rsid w:val="002C7AB6"/>
    <w:rsid w:val="002C7F26"/>
    <w:rsid w:val="002D002B"/>
    <w:rsid w:val="002D01E5"/>
    <w:rsid w:val="002D0226"/>
    <w:rsid w:val="002D0382"/>
    <w:rsid w:val="002D0C9F"/>
    <w:rsid w:val="002D0E7A"/>
    <w:rsid w:val="002D1171"/>
    <w:rsid w:val="002D1645"/>
    <w:rsid w:val="002D1649"/>
    <w:rsid w:val="002D16A8"/>
    <w:rsid w:val="002D22FA"/>
    <w:rsid w:val="002D284F"/>
    <w:rsid w:val="002D2E0C"/>
    <w:rsid w:val="002D2E45"/>
    <w:rsid w:val="002D38AA"/>
    <w:rsid w:val="002D3984"/>
    <w:rsid w:val="002D3CC6"/>
    <w:rsid w:val="002D3FD2"/>
    <w:rsid w:val="002D4320"/>
    <w:rsid w:val="002D452D"/>
    <w:rsid w:val="002D4618"/>
    <w:rsid w:val="002D464C"/>
    <w:rsid w:val="002D4902"/>
    <w:rsid w:val="002D4C32"/>
    <w:rsid w:val="002D525C"/>
    <w:rsid w:val="002D535F"/>
    <w:rsid w:val="002D54A7"/>
    <w:rsid w:val="002D55B9"/>
    <w:rsid w:val="002D565E"/>
    <w:rsid w:val="002D5686"/>
    <w:rsid w:val="002D5974"/>
    <w:rsid w:val="002D6167"/>
    <w:rsid w:val="002D6186"/>
    <w:rsid w:val="002D6207"/>
    <w:rsid w:val="002D6285"/>
    <w:rsid w:val="002D68AD"/>
    <w:rsid w:val="002D6E31"/>
    <w:rsid w:val="002D71C7"/>
    <w:rsid w:val="002D736B"/>
    <w:rsid w:val="002D7555"/>
    <w:rsid w:val="002D7A10"/>
    <w:rsid w:val="002D7D23"/>
    <w:rsid w:val="002E00DA"/>
    <w:rsid w:val="002E0220"/>
    <w:rsid w:val="002E088D"/>
    <w:rsid w:val="002E0A71"/>
    <w:rsid w:val="002E1837"/>
    <w:rsid w:val="002E1AFB"/>
    <w:rsid w:val="002E2B4F"/>
    <w:rsid w:val="002E3100"/>
    <w:rsid w:val="002E3344"/>
    <w:rsid w:val="002E3626"/>
    <w:rsid w:val="002E3B40"/>
    <w:rsid w:val="002E3DC8"/>
    <w:rsid w:val="002E410C"/>
    <w:rsid w:val="002E42C4"/>
    <w:rsid w:val="002E4467"/>
    <w:rsid w:val="002E4959"/>
    <w:rsid w:val="002E4D11"/>
    <w:rsid w:val="002E4EE7"/>
    <w:rsid w:val="002E5176"/>
    <w:rsid w:val="002E6361"/>
    <w:rsid w:val="002E6C0E"/>
    <w:rsid w:val="002E6CF5"/>
    <w:rsid w:val="002E719D"/>
    <w:rsid w:val="002E71CE"/>
    <w:rsid w:val="002E73A8"/>
    <w:rsid w:val="002E75BB"/>
    <w:rsid w:val="002E762D"/>
    <w:rsid w:val="002E79C2"/>
    <w:rsid w:val="002F0065"/>
    <w:rsid w:val="002F01C7"/>
    <w:rsid w:val="002F021B"/>
    <w:rsid w:val="002F095E"/>
    <w:rsid w:val="002F0B5C"/>
    <w:rsid w:val="002F0C48"/>
    <w:rsid w:val="002F1159"/>
    <w:rsid w:val="002F1D45"/>
    <w:rsid w:val="002F2165"/>
    <w:rsid w:val="002F2575"/>
    <w:rsid w:val="002F2688"/>
    <w:rsid w:val="002F27DC"/>
    <w:rsid w:val="002F434B"/>
    <w:rsid w:val="002F442E"/>
    <w:rsid w:val="002F44A3"/>
    <w:rsid w:val="002F46BC"/>
    <w:rsid w:val="002F4906"/>
    <w:rsid w:val="002F50C8"/>
    <w:rsid w:val="002F510C"/>
    <w:rsid w:val="002F529C"/>
    <w:rsid w:val="002F5457"/>
    <w:rsid w:val="002F57BD"/>
    <w:rsid w:val="002F5A73"/>
    <w:rsid w:val="002F5B1B"/>
    <w:rsid w:val="002F5D1A"/>
    <w:rsid w:val="002F63D1"/>
    <w:rsid w:val="002F63F0"/>
    <w:rsid w:val="002F6791"/>
    <w:rsid w:val="002F6A64"/>
    <w:rsid w:val="002F6D2A"/>
    <w:rsid w:val="002F6D5C"/>
    <w:rsid w:val="002F6D71"/>
    <w:rsid w:val="002F6E2E"/>
    <w:rsid w:val="002F7362"/>
    <w:rsid w:val="002F756A"/>
    <w:rsid w:val="002F75FA"/>
    <w:rsid w:val="002F7E7D"/>
    <w:rsid w:val="00300145"/>
    <w:rsid w:val="00300250"/>
    <w:rsid w:val="003006CD"/>
    <w:rsid w:val="0030077A"/>
    <w:rsid w:val="00300AD0"/>
    <w:rsid w:val="00300CA5"/>
    <w:rsid w:val="00300D64"/>
    <w:rsid w:val="00301019"/>
    <w:rsid w:val="0030103B"/>
    <w:rsid w:val="0030134E"/>
    <w:rsid w:val="00301486"/>
    <w:rsid w:val="00301934"/>
    <w:rsid w:val="00301AC6"/>
    <w:rsid w:val="00301C1C"/>
    <w:rsid w:val="00301DCF"/>
    <w:rsid w:val="00301DD5"/>
    <w:rsid w:val="003021F9"/>
    <w:rsid w:val="00302263"/>
    <w:rsid w:val="003024B3"/>
    <w:rsid w:val="003027BB"/>
    <w:rsid w:val="00302D28"/>
    <w:rsid w:val="00302E5E"/>
    <w:rsid w:val="003038A3"/>
    <w:rsid w:val="00303A1E"/>
    <w:rsid w:val="00304376"/>
    <w:rsid w:val="003046AA"/>
    <w:rsid w:val="0030486A"/>
    <w:rsid w:val="00304A28"/>
    <w:rsid w:val="00304DDB"/>
    <w:rsid w:val="00305595"/>
    <w:rsid w:val="00305F26"/>
    <w:rsid w:val="00306A36"/>
    <w:rsid w:val="00306C03"/>
    <w:rsid w:val="00307076"/>
    <w:rsid w:val="003070FD"/>
    <w:rsid w:val="00307746"/>
    <w:rsid w:val="00307F51"/>
    <w:rsid w:val="00310195"/>
    <w:rsid w:val="00310551"/>
    <w:rsid w:val="00310EA3"/>
    <w:rsid w:val="00310F27"/>
    <w:rsid w:val="00310F6C"/>
    <w:rsid w:val="00311177"/>
    <w:rsid w:val="00311198"/>
    <w:rsid w:val="00311BA6"/>
    <w:rsid w:val="00311D30"/>
    <w:rsid w:val="00311F38"/>
    <w:rsid w:val="00312447"/>
    <w:rsid w:val="00312581"/>
    <w:rsid w:val="00312990"/>
    <w:rsid w:val="00312AE9"/>
    <w:rsid w:val="00312EA3"/>
    <w:rsid w:val="00312FA7"/>
    <w:rsid w:val="00313022"/>
    <w:rsid w:val="0031307D"/>
    <w:rsid w:val="003134E9"/>
    <w:rsid w:val="00313518"/>
    <w:rsid w:val="00313954"/>
    <w:rsid w:val="003142AA"/>
    <w:rsid w:val="00314305"/>
    <w:rsid w:val="00314845"/>
    <w:rsid w:val="0031500A"/>
    <w:rsid w:val="00315192"/>
    <w:rsid w:val="003154A9"/>
    <w:rsid w:val="003157A2"/>
    <w:rsid w:val="003160C2"/>
    <w:rsid w:val="00316392"/>
    <w:rsid w:val="003167ED"/>
    <w:rsid w:val="00316F81"/>
    <w:rsid w:val="00316FEC"/>
    <w:rsid w:val="0031714F"/>
    <w:rsid w:val="003173DF"/>
    <w:rsid w:val="00317B97"/>
    <w:rsid w:val="00317F62"/>
    <w:rsid w:val="003201F8"/>
    <w:rsid w:val="0032050F"/>
    <w:rsid w:val="00320544"/>
    <w:rsid w:val="00320B13"/>
    <w:rsid w:val="00321220"/>
    <w:rsid w:val="0032125A"/>
    <w:rsid w:val="00321D34"/>
    <w:rsid w:val="00321E51"/>
    <w:rsid w:val="00322151"/>
    <w:rsid w:val="00322A70"/>
    <w:rsid w:val="00322AED"/>
    <w:rsid w:val="00322E72"/>
    <w:rsid w:val="00322ED5"/>
    <w:rsid w:val="003230A5"/>
    <w:rsid w:val="00323148"/>
    <w:rsid w:val="00323698"/>
    <w:rsid w:val="00323FFC"/>
    <w:rsid w:val="0032411E"/>
    <w:rsid w:val="00324267"/>
    <w:rsid w:val="003253C6"/>
    <w:rsid w:val="003254E6"/>
    <w:rsid w:val="003263D4"/>
    <w:rsid w:val="00326761"/>
    <w:rsid w:val="00326CFB"/>
    <w:rsid w:val="00326F8D"/>
    <w:rsid w:val="00327ADC"/>
    <w:rsid w:val="00327BEA"/>
    <w:rsid w:val="003301E3"/>
    <w:rsid w:val="0033037D"/>
    <w:rsid w:val="00330478"/>
    <w:rsid w:val="00330782"/>
    <w:rsid w:val="00330A95"/>
    <w:rsid w:val="003310BB"/>
    <w:rsid w:val="0033127D"/>
    <w:rsid w:val="0033146B"/>
    <w:rsid w:val="00331594"/>
    <w:rsid w:val="0033162E"/>
    <w:rsid w:val="003317B8"/>
    <w:rsid w:val="003317C9"/>
    <w:rsid w:val="00331CAE"/>
    <w:rsid w:val="00332085"/>
    <w:rsid w:val="0033284A"/>
    <w:rsid w:val="00332D9D"/>
    <w:rsid w:val="00333109"/>
    <w:rsid w:val="00333666"/>
    <w:rsid w:val="00333EA3"/>
    <w:rsid w:val="003346B7"/>
    <w:rsid w:val="00334923"/>
    <w:rsid w:val="00334A72"/>
    <w:rsid w:val="00334DA8"/>
    <w:rsid w:val="00334F21"/>
    <w:rsid w:val="003352A0"/>
    <w:rsid w:val="00335526"/>
    <w:rsid w:val="00335576"/>
    <w:rsid w:val="00335FDA"/>
    <w:rsid w:val="003361A1"/>
    <w:rsid w:val="003361AE"/>
    <w:rsid w:val="0033626E"/>
    <w:rsid w:val="003369A0"/>
    <w:rsid w:val="00336A6A"/>
    <w:rsid w:val="00336BA0"/>
    <w:rsid w:val="00337368"/>
    <w:rsid w:val="00337410"/>
    <w:rsid w:val="0033748C"/>
    <w:rsid w:val="003374C9"/>
    <w:rsid w:val="00337508"/>
    <w:rsid w:val="00337846"/>
    <w:rsid w:val="00337AFC"/>
    <w:rsid w:val="0034024F"/>
    <w:rsid w:val="0034040C"/>
    <w:rsid w:val="00340576"/>
    <w:rsid w:val="00340757"/>
    <w:rsid w:val="003408C0"/>
    <w:rsid w:val="00340D7E"/>
    <w:rsid w:val="003411C0"/>
    <w:rsid w:val="00341D94"/>
    <w:rsid w:val="00343451"/>
    <w:rsid w:val="00343835"/>
    <w:rsid w:val="00343A64"/>
    <w:rsid w:val="00343D33"/>
    <w:rsid w:val="00344FC2"/>
    <w:rsid w:val="003459AF"/>
    <w:rsid w:val="00346046"/>
    <w:rsid w:val="003466EF"/>
    <w:rsid w:val="0034670F"/>
    <w:rsid w:val="00346ABF"/>
    <w:rsid w:val="00347748"/>
    <w:rsid w:val="003479AB"/>
    <w:rsid w:val="00347D27"/>
    <w:rsid w:val="00347DC8"/>
    <w:rsid w:val="00347DD6"/>
    <w:rsid w:val="00347E79"/>
    <w:rsid w:val="00347F5E"/>
    <w:rsid w:val="00350410"/>
    <w:rsid w:val="00350E11"/>
    <w:rsid w:val="00351549"/>
    <w:rsid w:val="00352084"/>
    <w:rsid w:val="00352116"/>
    <w:rsid w:val="00352191"/>
    <w:rsid w:val="003522FB"/>
    <w:rsid w:val="00352302"/>
    <w:rsid w:val="00352666"/>
    <w:rsid w:val="003526E7"/>
    <w:rsid w:val="0035294B"/>
    <w:rsid w:val="00353063"/>
    <w:rsid w:val="00353227"/>
    <w:rsid w:val="003534C1"/>
    <w:rsid w:val="00353553"/>
    <w:rsid w:val="00353931"/>
    <w:rsid w:val="00353FBE"/>
    <w:rsid w:val="003546BA"/>
    <w:rsid w:val="00354865"/>
    <w:rsid w:val="003550EB"/>
    <w:rsid w:val="00355171"/>
    <w:rsid w:val="003556DC"/>
    <w:rsid w:val="0035585B"/>
    <w:rsid w:val="00355C11"/>
    <w:rsid w:val="0035625D"/>
    <w:rsid w:val="003563DC"/>
    <w:rsid w:val="00356679"/>
    <w:rsid w:val="00356C0A"/>
    <w:rsid w:val="00356CB6"/>
    <w:rsid w:val="00356E44"/>
    <w:rsid w:val="003573A9"/>
    <w:rsid w:val="00357426"/>
    <w:rsid w:val="003600C5"/>
    <w:rsid w:val="003600E1"/>
    <w:rsid w:val="00360540"/>
    <w:rsid w:val="003608BE"/>
    <w:rsid w:val="003609D4"/>
    <w:rsid w:val="00360CC4"/>
    <w:rsid w:val="00360CE1"/>
    <w:rsid w:val="00360D35"/>
    <w:rsid w:val="00360DD5"/>
    <w:rsid w:val="00360EB9"/>
    <w:rsid w:val="00361671"/>
    <w:rsid w:val="00361ADC"/>
    <w:rsid w:val="00362407"/>
    <w:rsid w:val="003624F9"/>
    <w:rsid w:val="00362E53"/>
    <w:rsid w:val="00362F66"/>
    <w:rsid w:val="00363200"/>
    <w:rsid w:val="00363367"/>
    <w:rsid w:val="0036336C"/>
    <w:rsid w:val="00363404"/>
    <w:rsid w:val="0036365A"/>
    <w:rsid w:val="00363774"/>
    <w:rsid w:val="00363D01"/>
    <w:rsid w:val="003641BE"/>
    <w:rsid w:val="003642DB"/>
    <w:rsid w:val="0036543A"/>
    <w:rsid w:val="0036568A"/>
    <w:rsid w:val="003656CA"/>
    <w:rsid w:val="003661B3"/>
    <w:rsid w:val="00367010"/>
    <w:rsid w:val="0036781D"/>
    <w:rsid w:val="00367965"/>
    <w:rsid w:val="00367AB7"/>
    <w:rsid w:val="00367BD9"/>
    <w:rsid w:val="00367BFD"/>
    <w:rsid w:val="003701B3"/>
    <w:rsid w:val="00370303"/>
    <w:rsid w:val="003704C5"/>
    <w:rsid w:val="0037053A"/>
    <w:rsid w:val="003707E3"/>
    <w:rsid w:val="003709A3"/>
    <w:rsid w:val="003714BE"/>
    <w:rsid w:val="00371842"/>
    <w:rsid w:val="00371951"/>
    <w:rsid w:val="00371ED4"/>
    <w:rsid w:val="00371F6E"/>
    <w:rsid w:val="0037243A"/>
    <w:rsid w:val="00372BBD"/>
    <w:rsid w:val="00372D83"/>
    <w:rsid w:val="00373605"/>
    <w:rsid w:val="00373A79"/>
    <w:rsid w:val="00373B27"/>
    <w:rsid w:val="00373D05"/>
    <w:rsid w:val="00373F13"/>
    <w:rsid w:val="00374008"/>
    <w:rsid w:val="0037445E"/>
    <w:rsid w:val="003744A4"/>
    <w:rsid w:val="003744FB"/>
    <w:rsid w:val="0037456F"/>
    <w:rsid w:val="00374BBB"/>
    <w:rsid w:val="00374C94"/>
    <w:rsid w:val="00374CD0"/>
    <w:rsid w:val="00374F9B"/>
    <w:rsid w:val="00375009"/>
    <w:rsid w:val="003751F1"/>
    <w:rsid w:val="003756D7"/>
    <w:rsid w:val="00376096"/>
    <w:rsid w:val="00376206"/>
    <w:rsid w:val="00376280"/>
    <w:rsid w:val="003762E1"/>
    <w:rsid w:val="00376305"/>
    <w:rsid w:val="00376508"/>
    <w:rsid w:val="003771DF"/>
    <w:rsid w:val="00377313"/>
    <w:rsid w:val="003774BA"/>
    <w:rsid w:val="00377C7E"/>
    <w:rsid w:val="00377E40"/>
    <w:rsid w:val="0038012B"/>
    <w:rsid w:val="00380488"/>
    <w:rsid w:val="00380992"/>
    <w:rsid w:val="00380EEA"/>
    <w:rsid w:val="00381D4B"/>
    <w:rsid w:val="00381DFA"/>
    <w:rsid w:val="003825FA"/>
    <w:rsid w:val="003826C7"/>
    <w:rsid w:val="003828B3"/>
    <w:rsid w:val="003828B6"/>
    <w:rsid w:val="003828F5"/>
    <w:rsid w:val="00382AA1"/>
    <w:rsid w:val="00382C19"/>
    <w:rsid w:val="0038376A"/>
    <w:rsid w:val="0038376E"/>
    <w:rsid w:val="003838B3"/>
    <w:rsid w:val="00383FD4"/>
    <w:rsid w:val="0038410B"/>
    <w:rsid w:val="003844A8"/>
    <w:rsid w:val="003848E7"/>
    <w:rsid w:val="00384D60"/>
    <w:rsid w:val="0038538E"/>
    <w:rsid w:val="00385644"/>
    <w:rsid w:val="0038596E"/>
    <w:rsid w:val="00386929"/>
    <w:rsid w:val="00386AD3"/>
    <w:rsid w:val="00386AF1"/>
    <w:rsid w:val="00386BF8"/>
    <w:rsid w:val="00386C9C"/>
    <w:rsid w:val="003871E1"/>
    <w:rsid w:val="003877C1"/>
    <w:rsid w:val="003879C3"/>
    <w:rsid w:val="00387B2B"/>
    <w:rsid w:val="00387EEE"/>
    <w:rsid w:val="00390290"/>
    <w:rsid w:val="0039062A"/>
    <w:rsid w:val="00390878"/>
    <w:rsid w:val="00390A1A"/>
    <w:rsid w:val="00390B13"/>
    <w:rsid w:val="00390E4E"/>
    <w:rsid w:val="00391025"/>
    <w:rsid w:val="003910F8"/>
    <w:rsid w:val="0039207A"/>
    <w:rsid w:val="0039215D"/>
    <w:rsid w:val="003925E0"/>
    <w:rsid w:val="00392610"/>
    <w:rsid w:val="00392841"/>
    <w:rsid w:val="003929D8"/>
    <w:rsid w:val="00392ECA"/>
    <w:rsid w:val="0039337F"/>
    <w:rsid w:val="00393BD5"/>
    <w:rsid w:val="003949A7"/>
    <w:rsid w:val="00394BDF"/>
    <w:rsid w:val="00394E1B"/>
    <w:rsid w:val="00394E74"/>
    <w:rsid w:val="00394EF0"/>
    <w:rsid w:val="00395314"/>
    <w:rsid w:val="0039548B"/>
    <w:rsid w:val="003955DE"/>
    <w:rsid w:val="0039577D"/>
    <w:rsid w:val="003958A4"/>
    <w:rsid w:val="00395D53"/>
    <w:rsid w:val="003964D0"/>
    <w:rsid w:val="003967E5"/>
    <w:rsid w:val="00396BC2"/>
    <w:rsid w:val="00397479"/>
    <w:rsid w:val="003974CD"/>
    <w:rsid w:val="00397C9E"/>
    <w:rsid w:val="003A16F0"/>
    <w:rsid w:val="003A19C7"/>
    <w:rsid w:val="003A1B00"/>
    <w:rsid w:val="003A1CFE"/>
    <w:rsid w:val="003A1D6D"/>
    <w:rsid w:val="003A221F"/>
    <w:rsid w:val="003A243B"/>
    <w:rsid w:val="003A24BC"/>
    <w:rsid w:val="003A257F"/>
    <w:rsid w:val="003A2B87"/>
    <w:rsid w:val="003A2DFE"/>
    <w:rsid w:val="003A3419"/>
    <w:rsid w:val="003A35B1"/>
    <w:rsid w:val="003A35EB"/>
    <w:rsid w:val="003A3766"/>
    <w:rsid w:val="003A39A5"/>
    <w:rsid w:val="003A3B1E"/>
    <w:rsid w:val="003A3F9D"/>
    <w:rsid w:val="003A4E32"/>
    <w:rsid w:val="003A4E8F"/>
    <w:rsid w:val="003A5254"/>
    <w:rsid w:val="003A5552"/>
    <w:rsid w:val="003A57E0"/>
    <w:rsid w:val="003A6431"/>
    <w:rsid w:val="003A663E"/>
    <w:rsid w:val="003A69BB"/>
    <w:rsid w:val="003A6B26"/>
    <w:rsid w:val="003A6CC5"/>
    <w:rsid w:val="003A73BA"/>
    <w:rsid w:val="003A7669"/>
    <w:rsid w:val="003A7C39"/>
    <w:rsid w:val="003A7D45"/>
    <w:rsid w:val="003A7EA8"/>
    <w:rsid w:val="003B0393"/>
    <w:rsid w:val="003B04CA"/>
    <w:rsid w:val="003B0C26"/>
    <w:rsid w:val="003B0FB8"/>
    <w:rsid w:val="003B1433"/>
    <w:rsid w:val="003B1753"/>
    <w:rsid w:val="003B1A44"/>
    <w:rsid w:val="003B1AA5"/>
    <w:rsid w:val="003B22B3"/>
    <w:rsid w:val="003B22E3"/>
    <w:rsid w:val="003B236A"/>
    <w:rsid w:val="003B2603"/>
    <w:rsid w:val="003B2D8F"/>
    <w:rsid w:val="003B3666"/>
    <w:rsid w:val="003B44FD"/>
    <w:rsid w:val="003B47AE"/>
    <w:rsid w:val="003B4BD7"/>
    <w:rsid w:val="003B4E85"/>
    <w:rsid w:val="003B4FEA"/>
    <w:rsid w:val="003B53B4"/>
    <w:rsid w:val="003B560C"/>
    <w:rsid w:val="003B5A78"/>
    <w:rsid w:val="003B5CCE"/>
    <w:rsid w:val="003B5F5E"/>
    <w:rsid w:val="003B6698"/>
    <w:rsid w:val="003B66FF"/>
    <w:rsid w:val="003B677D"/>
    <w:rsid w:val="003B70C5"/>
    <w:rsid w:val="003B767C"/>
    <w:rsid w:val="003B796A"/>
    <w:rsid w:val="003B7DD4"/>
    <w:rsid w:val="003B7E0B"/>
    <w:rsid w:val="003C0150"/>
    <w:rsid w:val="003C0640"/>
    <w:rsid w:val="003C0863"/>
    <w:rsid w:val="003C0FA7"/>
    <w:rsid w:val="003C1342"/>
    <w:rsid w:val="003C14E5"/>
    <w:rsid w:val="003C1DBC"/>
    <w:rsid w:val="003C2367"/>
    <w:rsid w:val="003C25EF"/>
    <w:rsid w:val="003C26DE"/>
    <w:rsid w:val="003C2839"/>
    <w:rsid w:val="003C2950"/>
    <w:rsid w:val="003C29A0"/>
    <w:rsid w:val="003C2ADA"/>
    <w:rsid w:val="003C2E58"/>
    <w:rsid w:val="003C304F"/>
    <w:rsid w:val="003C346B"/>
    <w:rsid w:val="003C38B6"/>
    <w:rsid w:val="003C395B"/>
    <w:rsid w:val="003C3F0A"/>
    <w:rsid w:val="003C3F6E"/>
    <w:rsid w:val="003C4324"/>
    <w:rsid w:val="003C4417"/>
    <w:rsid w:val="003C44CF"/>
    <w:rsid w:val="003C4A5A"/>
    <w:rsid w:val="003C4AD0"/>
    <w:rsid w:val="003C5116"/>
    <w:rsid w:val="003C5813"/>
    <w:rsid w:val="003C5E53"/>
    <w:rsid w:val="003C5FA7"/>
    <w:rsid w:val="003C5FAD"/>
    <w:rsid w:val="003C63E1"/>
    <w:rsid w:val="003C64E5"/>
    <w:rsid w:val="003C661E"/>
    <w:rsid w:val="003C667D"/>
    <w:rsid w:val="003C68A3"/>
    <w:rsid w:val="003C6C21"/>
    <w:rsid w:val="003C6EA8"/>
    <w:rsid w:val="003C721A"/>
    <w:rsid w:val="003C7535"/>
    <w:rsid w:val="003C78E0"/>
    <w:rsid w:val="003D0133"/>
    <w:rsid w:val="003D016B"/>
    <w:rsid w:val="003D018E"/>
    <w:rsid w:val="003D0291"/>
    <w:rsid w:val="003D0381"/>
    <w:rsid w:val="003D0638"/>
    <w:rsid w:val="003D0697"/>
    <w:rsid w:val="003D08F7"/>
    <w:rsid w:val="003D0C3D"/>
    <w:rsid w:val="003D1A48"/>
    <w:rsid w:val="003D2130"/>
    <w:rsid w:val="003D2446"/>
    <w:rsid w:val="003D2532"/>
    <w:rsid w:val="003D32DF"/>
    <w:rsid w:val="003D39DA"/>
    <w:rsid w:val="003D3A89"/>
    <w:rsid w:val="003D3AC5"/>
    <w:rsid w:val="003D3C24"/>
    <w:rsid w:val="003D3E00"/>
    <w:rsid w:val="003D3F00"/>
    <w:rsid w:val="003D3F28"/>
    <w:rsid w:val="003D4056"/>
    <w:rsid w:val="003D4389"/>
    <w:rsid w:val="003D4511"/>
    <w:rsid w:val="003D45CC"/>
    <w:rsid w:val="003D4772"/>
    <w:rsid w:val="003D486E"/>
    <w:rsid w:val="003D4EC1"/>
    <w:rsid w:val="003D55B4"/>
    <w:rsid w:val="003D590A"/>
    <w:rsid w:val="003D5D1D"/>
    <w:rsid w:val="003D5D83"/>
    <w:rsid w:val="003D6339"/>
    <w:rsid w:val="003D6427"/>
    <w:rsid w:val="003D6D9A"/>
    <w:rsid w:val="003D6FC1"/>
    <w:rsid w:val="003D7099"/>
    <w:rsid w:val="003D73C3"/>
    <w:rsid w:val="003D7510"/>
    <w:rsid w:val="003D752A"/>
    <w:rsid w:val="003D75FF"/>
    <w:rsid w:val="003D761E"/>
    <w:rsid w:val="003D7E58"/>
    <w:rsid w:val="003E04FD"/>
    <w:rsid w:val="003E13B6"/>
    <w:rsid w:val="003E13D4"/>
    <w:rsid w:val="003E1681"/>
    <w:rsid w:val="003E1AA1"/>
    <w:rsid w:val="003E1D9E"/>
    <w:rsid w:val="003E1F6D"/>
    <w:rsid w:val="003E2316"/>
    <w:rsid w:val="003E2749"/>
    <w:rsid w:val="003E29F5"/>
    <w:rsid w:val="003E2EE8"/>
    <w:rsid w:val="003E31F8"/>
    <w:rsid w:val="003E330E"/>
    <w:rsid w:val="003E3BF9"/>
    <w:rsid w:val="003E3C9B"/>
    <w:rsid w:val="003E3E20"/>
    <w:rsid w:val="003E3EDA"/>
    <w:rsid w:val="003E40DF"/>
    <w:rsid w:val="003E43AC"/>
    <w:rsid w:val="003E459C"/>
    <w:rsid w:val="003E4D3F"/>
    <w:rsid w:val="003E517A"/>
    <w:rsid w:val="003E51E3"/>
    <w:rsid w:val="003E5241"/>
    <w:rsid w:val="003E528A"/>
    <w:rsid w:val="003E53EB"/>
    <w:rsid w:val="003E5408"/>
    <w:rsid w:val="003E586C"/>
    <w:rsid w:val="003E5CDC"/>
    <w:rsid w:val="003E5DFF"/>
    <w:rsid w:val="003E5E2E"/>
    <w:rsid w:val="003E6079"/>
    <w:rsid w:val="003E6091"/>
    <w:rsid w:val="003E631D"/>
    <w:rsid w:val="003E6360"/>
    <w:rsid w:val="003E6C92"/>
    <w:rsid w:val="003E6E06"/>
    <w:rsid w:val="003E6E31"/>
    <w:rsid w:val="003E6FCA"/>
    <w:rsid w:val="003E7334"/>
    <w:rsid w:val="003E763F"/>
    <w:rsid w:val="003E7982"/>
    <w:rsid w:val="003E79A6"/>
    <w:rsid w:val="003F057A"/>
    <w:rsid w:val="003F0A1D"/>
    <w:rsid w:val="003F0B8A"/>
    <w:rsid w:val="003F0C5E"/>
    <w:rsid w:val="003F0D07"/>
    <w:rsid w:val="003F1094"/>
    <w:rsid w:val="003F1134"/>
    <w:rsid w:val="003F1173"/>
    <w:rsid w:val="003F174C"/>
    <w:rsid w:val="003F1ACC"/>
    <w:rsid w:val="003F277D"/>
    <w:rsid w:val="003F27F5"/>
    <w:rsid w:val="003F29A4"/>
    <w:rsid w:val="003F2ED0"/>
    <w:rsid w:val="003F345D"/>
    <w:rsid w:val="003F377E"/>
    <w:rsid w:val="003F3CE9"/>
    <w:rsid w:val="003F4A13"/>
    <w:rsid w:val="003F4BC9"/>
    <w:rsid w:val="003F4BD0"/>
    <w:rsid w:val="003F4BF0"/>
    <w:rsid w:val="003F4C9B"/>
    <w:rsid w:val="003F4CBE"/>
    <w:rsid w:val="003F5276"/>
    <w:rsid w:val="003F62E7"/>
    <w:rsid w:val="003F6321"/>
    <w:rsid w:val="003F6949"/>
    <w:rsid w:val="003F6D8A"/>
    <w:rsid w:val="003F6FB4"/>
    <w:rsid w:val="003F7467"/>
    <w:rsid w:val="003F7ADD"/>
    <w:rsid w:val="003F7CD2"/>
    <w:rsid w:val="003F7E20"/>
    <w:rsid w:val="0040001D"/>
    <w:rsid w:val="00400366"/>
    <w:rsid w:val="00400B42"/>
    <w:rsid w:val="00401931"/>
    <w:rsid w:val="00401D2F"/>
    <w:rsid w:val="00401E0A"/>
    <w:rsid w:val="004023F7"/>
    <w:rsid w:val="00402606"/>
    <w:rsid w:val="0040296A"/>
    <w:rsid w:val="00402B0F"/>
    <w:rsid w:val="00403969"/>
    <w:rsid w:val="004039DD"/>
    <w:rsid w:val="00403C02"/>
    <w:rsid w:val="004040D3"/>
    <w:rsid w:val="004043EB"/>
    <w:rsid w:val="004044E6"/>
    <w:rsid w:val="00404AD5"/>
    <w:rsid w:val="00404E54"/>
    <w:rsid w:val="00405A93"/>
    <w:rsid w:val="00405B9F"/>
    <w:rsid w:val="00405D0E"/>
    <w:rsid w:val="00406608"/>
    <w:rsid w:val="00406717"/>
    <w:rsid w:val="004067B2"/>
    <w:rsid w:val="00406938"/>
    <w:rsid w:val="00406AEE"/>
    <w:rsid w:val="00406B97"/>
    <w:rsid w:val="00406D40"/>
    <w:rsid w:val="00406F64"/>
    <w:rsid w:val="004075A6"/>
    <w:rsid w:val="004108A2"/>
    <w:rsid w:val="00411A6A"/>
    <w:rsid w:val="00411AB4"/>
    <w:rsid w:val="00411D5C"/>
    <w:rsid w:val="0041225B"/>
    <w:rsid w:val="0041232A"/>
    <w:rsid w:val="00412CAC"/>
    <w:rsid w:val="00412DB1"/>
    <w:rsid w:val="0041321F"/>
    <w:rsid w:val="004134FA"/>
    <w:rsid w:val="004137EA"/>
    <w:rsid w:val="00413A79"/>
    <w:rsid w:val="00413FDF"/>
    <w:rsid w:val="004140CD"/>
    <w:rsid w:val="00414366"/>
    <w:rsid w:val="0041446B"/>
    <w:rsid w:val="0041497A"/>
    <w:rsid w:val="004149CF"/>
    <w:rsid w:val="00414A6D"/>
    <w:rsid w:val="00414DE9"/>
    <w:rsid w:val="00414E8A"/>
    <w:rsid w:val="00414EAB"/>
    <w:rsid w:val="004152CA"/>
    <w:rsid w:val="0041548D"/>
    <w:rsid w:val="004156B1"/>
    <w:rsid w:val="00415B3B"/>
    <w:rsid w:val="00415EEE"/>
    <w:rsid w:val="00416869"/>
    <w:rsid w:val="00417203"/>
    <w:rsid w:val="004173BD"/>
    <w:rsid w:val="004173BF"/>
    <w:rsid w:val="00417C7C"/>
    <w:rsid w:val="00417E1A"/>
    <w:rsid w:val="004201C4"/>
    <w:rsid w:val="004201E8"/>
    <w:rsid w:val="00420583"/>
    <w:rsid w:val="00420722"/>
    <w:rsid w:val="00420BA9"/>
    <w:rsid w:val="00420BFE"/>
    <w:rsid w:val="00421051"/>
    <w:rsid w:val="0042114B"/>
    <w:rsid w:val="00421203"/>
    <w:rsid w:val="00421250"/>
    <w:rsid w:val="00421423"/>
    <w:rsid w:val="00421476"/>
    <w:rsid w:val="00421807"/>
    <w:rsid w:val="00421818"/>
    <w:rsid w:val="00421888"/>
    <w:rsid w:val="00421BFE"/>
    <w:rsid w:val="004220F5"/>
    <w:rsid w:val="00422151"/>
    <w:rsid w:val="004229D9"/>
    <w:rsid w:val="00422BAC"/>
    <w:rsid w:val="0042318F"/>
    <w:rsid w:val="00423590"/>
    <w:rsid w:val="00423B8A"/>
    <w:rsid w:val="00423FDC"/>
    <w:rsid w:val="004243F5"/>
    <w:rsid w:val="00425106"/>
    <w:rsid w:val="004251BE"/>
    <w:rsid w:val="00425272"/>
    <w:rsid w:val="00425581"/>
    <w:rsid w:val="00425599"/>
    <w:rsid w:val="00425955"/>
    <w:rsid w:val="00425B4C"/>
    <w:rsid w:val="00425CE4"/>
    <w:rsid w:val="00425E88"/>
    <w:rsid w:val="00425E96"/>
    <w:rsid w:val="00425E9D"/>
    <w:rsid w:val="00426343"/>
    <w:rsid w:val="0042645D"/>
    <w:rsid w:val="0042673E"/>
    <w:rsid w:val="00426838"/>
    <w:rsid w:val="004268F2"/>
    <w:rsid w:val="00426ABE"/>
    <w:rsid w:val="00426B47"/>
    <w:rsid w:val="0042758D"/>
    <w:rsid w:val="0042773C"/>
    <w:rsid w:val="00427954"/>
    <w:rsid w:val="00427AC7"/>
    <w:rsid w:val="00427D13"/>
    <w:rsid w:val="0043000B"/>
    <w:rsid w:val="0043031B"/>
    <w:rsid w:val="004309DB"/>
    <w:rsid w:val="00430AE1"/>
    <w:rsid w:val="00430B38"/>
    <w:rsid w:val="00430D3D"/>
    <w:rsid w:val="00430DCF"/>
    <w:rsid w:val="00430FDB"/>
    <w:rsid w:val="00431225"/>
    <w:rsid w:val="00431392"/>
    <w:rsid w:val="004313D9"/>
    <w:rsid w:val="004318E9"/>
    <w:rsid w:val="00431A10"/>
    <w:rsid w:val="00431A66"/>
    <w:rsid w:val="00431E46"/>
    <w:rsid w:val="00432012"/>
    <w:rsid w:val="00432534"/>
    <w:rsid w:val="0043284B"/>
    <w:rsid w:val="00432DF4"/>
    <w:rsid w:val="00432E24"/>
    <w:rsid w:val="004337E7"/>
    <w:rsid w:val="00433A2E"/>
    <w:rsid w:val="00433B06"/>
    <w:rsid w:val="00433BFC"/>
    <w:rsid w:val="00433E7A"/>
    <w:rsid w:val="00433E87"/>
    <w:rsid w:val="00433EB9"/>
    <w:rsid w:val="00434BE0"/>
    <w:rsid w:val="00434D0B"/>
    <w:rsid w:val="00434E22"/>
    <w:rsid w:val="00434FFC"/>
    <w:rsid w:val="00435291"/>
    <w:rsid w:val="00435950"/>
    <w:rsid w:val="00435A10"/>
    <w:rsid w:val="00435A66"/>
    <w:rsid w:val="00435D04"/>
    <w:rsid w:val="0043624E"/>
    <w:rsid w:val="00436292"/>
    <w:rsid w:val="0043632F"/>
    <w:rsid w:val="00436678"/>
    <w:rsid w:val="00436B04"/>
    <w:rsid w:val="00436B25"/>
    <w:rsid w:val="00436B4D"/>
    <w:rsid w:val="00436B5E"/>
    <w:rsid w:val="0043730D"/>
    <w:rsid w:val="00437379"/>
    <w:rsid w:val="0043758C"/>
    <w:rsid w:val="004377B3"/>
    <w:rsid w:val="00437E8B"/>
    <w:rsid w:val="00437EDA"/>
    <w:rsid w:val="0044022F"/>
    <w:rsid w:val="00440253"/>
    <w:rsid w:val="00440274"/>
    <w:rsid w:val="00440570"/>
    <w:rsid w:val="00440AE9"/>
    <w:rsid w:val="00440B1E"/>
    <w:rsid w:val="00440C45"/>
    <w:rsid w:val="00440CAA"/>
    <w:rsid w:val="004412C5"/>
    <w:rsid w:val="00441475"/>
    <w:rsid w:val="0044181F"/>
    <w:rsid w:val="00441B1F"/>
    <w:rsid w:val="00441B90"/>
    <w:rsid w:val="00441C10"/>
    <w:rsid w:val="00441FA7"/>
    <w:rsid w:val="004420F1"/>
    <w:rsid w:val="0044252E"/>
    <w:rsid w:val="004428C1"/>
    <w:rsid w:val="00442BD8"/>
    <w:rsid w:val="00442E73"/>
    <w:rsid w:val="00442F76"/>
    <w:rsid w:val="00443252"/>
    <w:rsid w:val="00443384"/>
    <w:rsid w:val="00443ED2"/>
    <w:rsid w:val="00444372"/>
    <w:rsid w:val="0044459F"/>
    <w:rsid w:val="0044469B"/>
    <w:rsid w:val="00444C12"/>
    <w:rsid w:val="00444F1F"/>
    <w:rsid w:val="00445466"/>
    <w:rsid w:val="004459DC"/>
    <w:rsid w:val="00446652"/>
    <w:rsid w:val="004468A6"/>
    <w:rsid w:val="00446B17"/>
    <w:rsid w:val="0044715C"/>
    <w:rsid w:val="0044749C"/>
    <w:rsid w:val="004474DC"/>
    <w:rsid w:val="00447567"/>
    <w:rsid w:val="004475DA"/>
    <w:rsid w:val="00447B46"/>
    <w:rsid w:val="00447C26"/>
    <w:rsid w:val="00447DF8"/>
    <w:rsid w:val="00450003"/>
    <w:rsid w:val="0045005A"/>
    <w:rsid w:val="004503E4"/>
    <w:rsid w:val="00450409"/>
    <w:rsid w:val="00450A9C"/>
    <w:rsid w:val="00451266"/>
    <w:rsid w:val="00451534"/>
    <w:rsid w:val="004517B4"/>
    <w:rsid w:val="0045199F"/>
    <w:rsid w:val="00451C23"/>
    <w:rsid w:val="00451CAF"/>
    <w:rsid w:val="00451CF5"/>
    <w:rsid w:val="00451F6E"/>
    <w:rsid w:val="00452048"/>
    <w:rsid w:val="00452050"/>
    <w:rsid w:val="0045227D"/>
    <w:rsid w:val="0045285C"/>
    <w:rsid w:val="004528D0"/>
    <w:rsid w:val="004529C3"/>
    <w:rsid w:val="00452EDD"/>
    <w:rsid w:val="004530BF"/>
    <w:rsid w:val="00453487"/>
    <w:rsid w:val="00453B09"/>
    <w:rsid w:val="00453E38"/>
    <w:rsid w:val="00454030"/>
    <w:rsid w:val="004540B6"/>
    <w:rsid w:val="0045440D"/>
    <w:rsid w:val="00454476"/>
    <w:rsid w:val="0045453D"/>
    <w:rsid w:val="004546B3"/>
    <w:rsid w:val="004547F9"/>
    <w:rsid w:val="00454AB1"/>
    <w:rsid w:val="00454B74"/>
    <w:rsid w:val="00454E4C"/>
    <w:rsid w:val="00454F68"/>
    <w:rsid w:val="004550AE"/>
    <w:rsid w:val="00455CCF"/>
    <w:rsid w:val="00455F11"/>
    <w:rsid w:val="00455F7C"/>
    <w:rsid w:val="00456D24"/>
    <w:rsid w:val="00456F7E"/>
    <w:rsid w:val="004570A4"/>
    <w:rsid w:val="004571D1"/>
    <w:rsid w:val="0045722E"/>
    <w:rsid w:val="0045729D"/>
    <w:rsid w:val="0045741D"/>
    <w:rsid w:val="0046031C"/>
    <w:rsid w:val="00460A58"/>
    <w:rsid w:val="00460CA7"/>
    <w:rsid w:val="0046109A"/>
    <w:rsid w:val="00461863"/>
    <w:rsid w:val="00461D5D"/>
    <w:rsid w:val="004624FF"/>
    <w:rsid w:val="004627C3"/>
    <w:rsid w:val="00462B8A"/>
    <w:rsid w:val="00462BC7"/>
    <w:rsid w:val="00463759"/>
    <w:rsid w:val="004637E0"/>
    <w:rsid w:val="00463AA9"/>
    <w:rsid w:val="00463AF8"/>
    <w:rsid w:val="00463CD2"/>
    <w:rsid w:val="00463CED"/>
    <w:rsid w:val="00464E71"/>
    <w:rsid w:val="00464F43"/>
    <w:rsid w:val="00465167"/>
    <w:rsid w:val="00465268"/>
    <w:rsid w:val="00465793"/>
    <w:rsid w:val="00465BC9"/>
    <w:rsid w:val="00465C6B"/>
    <w:rsid w:val="004665E2"/>
    <w:rsid w:val="0046708C"/>
    <w:rsid w:val="00467309"/>
    <w:rsid w:val="00467C6E"/>
    <w:rsid w:val="004702A8"/>
    <w:rsid w:val="00470791"/>
    <w:rsid w:val="004708AD"/>
    <w:rsid w:val="004708C2"/>
    <w:rsid w:val="00470B39"/>
    <w:rsid w:val="00470E93"/>
    <w:rsid w:val="004710D3"/>
    <w:rsid w:val="00471314"/>
    <w:rsid w:val="00471349"/>
    <w:rsid w:val="0047236D"/>
    <w:rsid w:val="004723AC"/>
    <w:rsid w:val="004723B5"/>
    <w:rsid w:val="0047313D"/>
    <w:rsid w:val="0047337B"/>
    <w:rsid w:val="0047338A"/>
    <w:rsid w:val="00473966"/>
    <w:rsid w:val="004739CF"/>
    <w:rsid w:val="00473E63"/>
    <w:rsid w:val="00474055"/>
    <w:rsid w:val="0047468F"/>
    <w:rsid w:val="00474A7C"/>
    <w:rsid w:val="00474BD9"/>
    <w:rsid w:val="0047570E"/>
    <w:rsid w:val="00475E7C"/>
    <w:rsid w:val="004764F5"/>
    <w:rsid w:val="00476524"/>
    <w:rsid w:val="00476724"/>
    <w:rsid w:val="00476C5C"/>
    <w:rsid w:val="00477111"/>
    <w:rsid w:val="0047759C"/>
    <w:rsid w:val="00477743"/>
    <w:rsid w:val="004777A7"/>
    <w:rsid w:val="00477D91"/>
    <w:rsid w:val="00477DDC"/>
    <w:rsid w:val="004802BF"/>
    <w:rsid w:val="00480561"/>
    <w:rsid w:val="004806D0"/>
    <w:rsid w:val="00480862"/>
    <w:rsid w:val="00480CBB"/>
    <w:rsid w:val="00481571"/>
    <w:rsid w:val="004817AC"/>
    <w:rsid w:val="0048189A"/>
    <w:rsid w:val="004818A9"/>
    <w:rsid w:val="004819B2"/>
    <w:rsid w:val="00481AA4"/>
    <w:rsid w:val="00483659"/>
    <w:rsid w:val="00483A8D"/>
    <w:rsid w:val="00483CA8"/>
    <w:rsid w:val="00483EEC"/>
    <w:rsid w:val="004840AB"/>
    <w:rsid w:val="00484101"/>
    <w:rsid w:val="004844AC"/>
    <w:rsid w:val="00484533"/>
    <w:rsid w:val="004846F7"/>
    <w:rsid w:val="00484BCD"/>
    <w:rsid w:val="0048558C"/>
    <w:rsid w:val="00485996"/>
    <w:rsid w:val="004859E9"/>
    <w:rsid w:val="00486591"/>
    <w:rsid w:val="00486838"/>
    <w:rsid w:val="00486F29"/>
    <w:rsid w:val="00486FB4"/>
    <w:rsid w:val="0048752C"/>
    <w:rsid w:val="00487683"/>
    <w:rsid w:val="004876BF"/>
    <w:rsid w:val="0048789D"/>
    <w:rsid w:val="004879A5"/>
    <w:rsid w:val="00490144"/>
    <w:rsid w:val="004903E2"/>
    <w:rsid w:val="00490D0A"/>
    <w:rsid w:val="00490D71"/>
    <w:rsid w:val="0049156A"/>
    <w:rsid w:val="0049177C"/>
    <w:rsid w:val="00491787"/>
    <w:rsid w:val="004919B5"/>
    <w:rsid w:val="00491BD8"/>
    <w:rsid w:val="00491D89"/>
    <w:rsid w:val="00492224"/>
    <w:rsid w:val="004926D9"/>
    <w:rsid w:val="004928C4"/>
    <w:rsid w:val="0049291F"/>
    <w:rsid w:val="00492BD6"/>
    <w:rsid w:val="00492C49"/>
    <w:rsid w:val="00492CAB"/>
    <w:rsid w:val="00492D60"/>
    <w:rsid w:val="00492D64"/>
    <w:rsid w:val="00493745"/>
    <w:rsid w:val="00493792"/>
    <w:rsid w:val="004938C4"/>
    <w:rsid w:val="00493B8E"/>
    <w:rsid w:val="0049435E"/>
    <w:rsid w:val="00494658"/>
    <w:rsid w:val="00494EC6"/>
    <w:rsid w:val="00495021"/>
    <w:rsid w:val="00495331"/>
    <w:rsid w:val="004954E4"/>
    <w:rsid w:val="004957B5"/>
    <w:rsid w:val="004957CB"/>
    <w:rsid w:val="0049583B"/>
    <w:rsid w:val="00495985"/>
    <w:rsid w:val="00495F28"/>
    <w:rsid w:val="00495FA3"/>
    <w:rsid w:val="004963D0"/>
    <w:rsid w:val="00496806"/>
    <w:rsid w:val="004968CE"/>
    <w:rsid w:val="00496DBF"/>
    <w:rsid w:val="00496E7A"/>
    <w:rsid w:val="00497007"/>
    <w:rsid w:val="0049720B"/>
    <w:rsid w:val="0049726C"/>
    <w:rsid w:val="0049738B"/>
    <w:rsid w:val="004973D6"/>
    <w:rsid w:val="004973DF"/>
    <w:rsid w:val="004974BA"/>
    <w:rsid w:val="004975A1"/>
    <w:rsid w:val="0049787E"/>
    <w:rsid w:val="00497883"/>
    <w:rsid w:val="00497895"/>
    <w:rsid w:val="004979FD"/>
    <w:rsid w:val="00497CCD"/>
    <w:rsid w:val="00497F18"/>
    <w:rsid w:val="004A00CB"/>
    <w:rsid w:val="004A01EB"/>
    <w:rsid w:val="004A0D4C"/>
    <w:rsid w:val="004A1762"/>
    <w:rsid w:val="004A1F24"/>
    <w:rsid w:val="004A1F3E"/>
    <w:rsid w:val="004A1FC3"/>
    <w:rsid w:val="004A1FF5"/>
    <w:rsid w:val="004A219D"/>
    <w:rsid w:val="004A242D"/>
    <w:rsid w:val="004A25F3"/>
    <w:rsid w:val="004A26AD"/>
    <w:rsid w:val="004A28C1"/>
    <w:rsid w:val="004A2DCA"/>
    <w:rsid w:val="004A35B3"/>
    <w:rsid w:val="004A3805"/>
    <w:rsid w:val="004A38A2"/>
    <w:rsid w:val="004A38B0"/>
    <w:rsid w:val="004A38C2"/>
    <w:rsid w:val="004A3BD4"/>
    <w:rsid w:val="004A3CF3"/>
    <w:rsid w:val="004A3F6B"/>
    <w:rsid w:val="004A3F85"/>
    <w:rsid w:val="004A4740"/>
    <w:rsid w:val="004A4752"/>
    <w:rsid w:val="004A4A95"/>
    <w:rsid w:val="004A4AFC"/>
    <w:rsid w:val="004A4F7D"/>
    <w:rsid w:val="004A508C"/>
    <w:rsid w:val="004A5164"/>
    <w:rsid w:val="004A54EC"/>
    <w:rsid w:val="004A586C"/>
    <w:rsid w:val="004A5D4D"/>
    <w:rsid w:val="004A5DF8"/>
    <w:rsid w:val="004A6045"/>
    <w:rsid w:val="004A6D58"/>
    <w:rsid w:val="004A6E5F"/>
    <w:rsid w:val="004A700E"/>
    <w:rsid w:val="004A72BF"/>
    <w:rsid w:val="004A72FD"/>
    <w:rsid w:val="004A7319"/>
    <w:rsid w:val="004A74C1"/>
    <w:rsid w:val="004A7930"/>
    <w:rsid w:val="004A7D27"/>
    <w:rsid w:val="004B0012"/>
    <w:rsid w:val="004B0196"/>
    <w:rsid w:val="004B02B6"/>
    <w:rsid w:val="004B0B7A"/>
    <w:rsid w:val="004B1084"/>
    <w:rsid w:val="004B10E9"/>
    <w:rsid w:val="004B1105"/>
    <w:rsid w:val="004B176F"/>
    <w:rsid w:val="004B18F9"/>
    <w:rsid w:val="004B1AAD"/>
    <w:rsid w:val="004B1FF5"/>
    <w:rsid w:val="004B2111"/>
    <w:rsid w:val="004B30AC"/>
    <w:rsid w:val="004B3473"/>
    <w:rsid w:val="004B3679"/>
    <w:rsid w:val="004B39CE"/>
    <w:rsid w:val="004B41C7"/>
    <w:rsid w:val="004B41D0"/>
    <w:rsid w:val="004B4653"/>
    <w:rsid w:val="004B485F"/>
    <w:rsid w:val="004B4899"/>
    <w:rsid w:val="004B4C69"/>
    <w:rsid w:val="004B4FEE"/>
    <w:rsid w:val="004B5324"/>
    <w:rsid w:val="004B537C"/>
    <w:rsid w:val="004B53C1"/>
    <w:rsid w:val="004B5633"/>
    <w:rsid w:val="004B5919"/>
    <w:rsid w:val="004B5E0F"/>
    <w:rsid w:val="004B6228"/>
    <w:rsid w:val="004B6503"/>
    <w:rsid w:val="004B686D"/>
    <w:rsid w:val="004B6AD9"/>
    <w:rsid w:val="004B6BEA"/>
    <w:rsid w:val="004B6E52"/>
    <w:rsid w:val="004B7139"/>
    <w:rsid w:val="004B7178"/>
    <w:rsid w:val="004B77E8"/>
    <w:rsid w:val="004B7CA1"/>
    <w:rsid w:val="004B7ECA"/>
    <w:rsid w:val="004C0154"/>
    <w:rsid w:val="004C0F21"/>
    <w:rsid w:val="004C103E"/>
    <w:rsid w:val="004C1114"/>
    <w:rsid w:val="004C17E0"/>
    <w:rsid w:val="004C1820"/>
    <w:rsid w:val="004C1D9E"/>
    <w:rsid w:val="004C1DA5"/>
    <w:rsid w:val="004C2101"/>
    <w:rsid w:val="004C21CC"/>
    <w:rsid w:val="004C233F"/>
    <w:rsid w:val="004C2374"/>
    <w:rsid w:val="004C28CD"/>
    <w:rsid w:val="004C2CCD"/>
    <w:rsid w:val="004C303D"/>
    <w:rsid w:val="004C3C4D"/>
    <w:rsid w:val="004C438D"/>
    <w:rsid w:val="004C44E1"/>
    <w:rsid w:val="004C46A6"/>
    <w:rsid w:val="004C48BD"/>
    <w:rsid w:val="004C493C"/>
    <w:rsid w:val="004C5199"/>
    <w:rsid w:val="004C56B0"/>
    <w:rsid w:val="004C59DE"/>
    <w:rsid w:val="004C5A37"/>
    <w:rsid w:val="004C5CE3"/>
    <w:rsid w:val="004C5D8A"/>
    <w:rsid w:val="004C63C8"/>
    <w:rsid w:val="004C6520"/>
    <w:rsid w:val="004C6718"/>
    <w:rsid w:val="004C67D5"/>
    <w:rsid w:val="004C6A3C"/>
    <w:rsid w:val="004C6BAF"/>
    <w:rsid w:val="004C6C57"/>
    <w:rsid w:val="004C6C70"/>
    <w:rsid w:val="004C6F1D"/>
    <w:rsid w:val="004C7023"/>
    <w:rsid w:val="004C77A1"/>
    <w:rsid w:val="004C7863"/>
    <w:rsid w:val="004C78F6"/>
    <w:rsid w:val="004C792D"/>
    <w:rsid w:val="004C7C72"/>
    <w:rsid w:val="004C7F07"/>
    <w:rsid w:val="004C7FB1"/>
    <w:rsid w:val="004D00B9"/>
    <w:rsid w:val="004D0218"/>
    <w:rsid w:val="004D03F2"/>
    <w:rsid w:val="004D0667"/>
    <w:rsid w:val="004D08DE"/>
    <w:rsid w:val="004D08E6"/>
    <w:rsid w:val="004D0977"/>
    <w:rsid w:val="004D148A"/>
    <w:rsid w:val="004D16DD"/>
    <w:rsid w:val="004D175C"/>
    <w:rsid w:val="004D1BB0"/>
    <w:rsid w:val="004D2272"/>
    <w:rsid w:val="004D238A"/>
    <w:rsid w:val="004D2682"/>
    <w:rsid w:val="004D2863"/>
    <w:rsid w:val="004D29D1"/>
    <w:rsid w:val="004D2BA0"/>
    <w:rsid w:val="004D2F2D"/>
    <w:rsid w:val="004D3F21"/>
    <w:rsid w:val="004D45DD"/>
    <w:rsid w:val="004D4653"/>
    <w:rsid w:val="004D506B"/>
    <w:rsid w:val="004D508A"/>
    <w:rsid w:val="004D5257"/>
    <w:rsid w:val="004D5369"/>
    <w:rsid w:val="004D5540"/>
    <w:rsid w:val="004D5A35"/>
    <w:rsid w:val="004D604D"/>
    <w:rsid w:val="004D62FE"/>
    <w:rsid w:val="004D7079"/>
    <w:rsid w:val="004D723D"/>
    <w:rsid w:val="004D7A78"/>
    <w:rsid w:val="004D7E13"/>
    <w:rsid w:val="004E0378"/>
    <w:rsid w:val="004E046C"/>
    <w:rsid w:val="004E04A6"/>
    <w:rsid w:val="004E0B0E"/>
    <w:rsid w:val="004E0FBA"/>
    <w:rsid w:val="004E1540"/>
    <w:rsid w:val="004E195C"/>
    <w:rsid w:val="004E19BA"/>
    <w:rsid w:val="004E1A25"/>
    <w:rsid w:val="004E1E9C"/>
    <w:rsid w:val="004E1F96"/>
    <w:rsid w:val="004E221A"/>
    <w:rsid w:val="004E2542"/>
    <w:rsid w:val="004E28C4"/>
    <w:rsid w:val="004E2FE6"/>
    <w:rsid w:val="004E3295"/>
    <w:rsid w:val="004E38D1"/>
    <w:rsid w:val="004E38E8"/>
    <w:rsid w:val="004E3B63"/>
    <w:rsid w:val="004E3FBF"/>
    <w:rsid w:val="004E4038"/>
    <w:rsid w:val="004E41A7"/>
    <w:rsid w:val="004E462F"/>
    <w:rsid w:val="004E49B7"/>
    <w:rsid w:val="004E4AD6"/>
    <w:rsid w:val="004E4E14"/>
    <w:rsid w:val="004E5103"/>
    <w:rsid w:val="004E53A1"/>
    <w:rsid w:val="004E566F"/>
    <w:rsid w:val="004E5698"/>
    <w:rsid w:val="004E5B4F"/>
    <w:rsid w:val="004E5B84"/>
    <w:rsid w:val="004E5C83"/>
    <w:rsid w:val="004E5D30"/>
    <w:rsid w:val="004E5DDC"/>
    <w:rsid w:val="004E648B"/>
    <w:rsid w:val="004E7411"/>
    <w:rsid w:val="004E78CF"/>
    <w:rsid w:val="004F0019"/>
    <w:rsid w:val="004F02D1"/>
    <w:rsid w:val="004F051B"/>
    <w:rsid w:val="004F055F"/>
    <w:rsid w:val="004F0608"/>
    <w:rsid w:val="004F0693"/>
    <w:rsid w:val="004F0A42"/>
    <w:rsid w:val="004F0CFC"/>
    <w:rsid w:val="004F1130"/>
    <w:rsid w:val="004F11C0"/>
    <w:rsid w:val="004F1440"/>
    <w:rsid w:val="004F14BB"/>
    <w:rsid w:val="004F174C"/>
    <w:rsid w:val="004F1D19"/>
    <w:rsid w:val="004F21BC"/>
    <w:rsid w:val="004F2244"/>
    <w:rsid w:val="004F28F0"/>
    <w:rsid w:val="004F2AD8"/>
    <w:rsid w:val="004F2EE3"/>
    <w:rsid w:val="004F36DF"/>
    <w:rsid w:val="004F3757"/>
    <w:rsid w:val="004F38BE"/>
    <w:rsid w:val="004F394E"/>
    <w:rsid w:val="004F41FC"/>
    <w:rsid w:val="004F445B"/>
    <w:rsid w:val="004F48E4"/>
    <w:rsid w:val="004F4954"/>
    <w:rsid w:val="004F4DBF"/>
    <w:rsid w:val="004F4DFC"/>
    <w:rsid w:val="004F5084"/>
    <w:rsid w:val="004F5131"/>
    <w:rsid w:val="004F51F0"/>
    <w:rsid w:val="004F5236"/>
    <w:rsid w:val="004F53C2"/>
    <w:rsid w:val="004F55EA"/>
    <w:rsid w:val="004F5815"/>
    <w:rsid w:val="004F60BF"/>
    <w:rsid w:val="004F6D98"/>
    <w:rsid w:val="004F6DE7"/>
    <w:rsid w:val="004F6FC5"/>
    <w:rsid w:val="004F7245"/>
    <w:rsid w:val="004F73FA"/>
    <w:rsid w:val="004F74C3"/>
    <w:rsid w:val="004F7515"/>
    <w:rsid w:val="004F7927"/>
    <w:rsid w:val="004F79B5"/>
    <w:rsid w:val="004F7AD4"/>
    <w:rsid w:val="004F7B5C"/>
    <w:rsid w:val="004F7F70"/>
    <w:rsid w:val="0050012E"/>
    <w:rsid w:val="005002CE"/>
    <w:rsid w:val="00500BCB"/>
    <w:rsid w:val="00500DC0"/>
    <w:rsid w:val="00500E0B"/>
    <w:rsid w:val="00501473"/>
    <w:rsid w:val="005014CA"/>
    <w:rsid w:val="005023E1"/>
    <w:rsid w:val="00502733"/>
    <w:rsid w:val="00502740"/>
    <w:rsid w:val="005027D1"/>
    <w:rsid w:val="005032B5"/>
    <w:rsid w:val="00503A1B"/>
    <w:rsid w:val="00503D31"/>
    <w:rsid w:val="00504364"/>
    <w:rsid w:val="005047C9"/>
    <w:rsid w:val="00504876"/>
    <w:rsid w:val="00504A0F"/>
    <w:rsid w:val="00504F92"/>
    <w:rsid w:val="00505210"/>
    <w:rsid w:val="005052A2"/>
    <w:rsid w:val="00505658"/>
    <w:rsid w:val="00505B2A"/>
    <w:rsid w:val="00506075"/>
    <w:rsid w:val="005060C1"/>
    <w:rsid w:val="00506363"/>
    <w:rsid w:val="00506523"/>
    <w:rsid w:val="00506525"/>
    <w:rsid w:val="00506A5A"/>
    <w:rsid w:val="00506B4E"/>
    <w:rsid w:val="00506B5C"/>
    <w:rsid w:val="00506DD4"/>
    <w:rsid w:val="0050722D"/>
    <w:rsid w:val="005073DE"/>
    <w:rsid w:val="005073FA"/>
    <w:rsid w:val="005077CD"/>
    <w:rsid w:val="00507973"/>
    <w:rsid w:val="00507CEC"/>
    <w:rsid w:val="00507ED8"/>
    <w:rsid w:val="005102B4"/>
    <w:rsid w:val="005107A8"/>
    <w:rsid w:val="005114A3"/>
    <w:rsid w:val="005118EB"/>
    <w:rsid w:val="005119DD"/>
    <w:rsid w:val="00511AC8"/>
    <w:rsid w:val="00511E0E"/>
    <w:rsid w:val="00511E31"/>
    <w:rsid w:val="00511E57"/>
    <w:rsid w:val="00511EE2"/>
    <w:rsid w:val="00512370"/>
    <w:rsid w:val="00512740"/>
    <w:rsid w:val="0051287D"/>
    <w:rsid w:val="0051298A"/>
    <w:rsid w:val="005129C5"/>
    <w:rsid w:val="00512A69"/>
    <w:rsid w:val="00512B09"/>
    <w:rsid w:val="00512D76"/>
    <w:rsid w:val="005130F7"/>
    <w:rsid w:val="00513276"/>
    <w:rsid w:val="00513350"/>
    <w:rsid w:val="005133A9"/>
    <w:rsid w:val="005137A2"/>
    <w:rsid w:val="005137AD"/>
    <w:rsid w:val="00513AB7"/>
    <w:rsid w:val="00513B23"/>
    <w:rsid w:val="005148DA"/>
    <w:rsid w:val="00515204"/>
    <w:rsid w:val="005152D2"/>
    <w:rsid w:val="00515A22"/>
    <w:rsid w:val="00515A9F"/>
    <w:rsid w:val="00515C23"/>
    <w:rsid w:val="00515E28"/>
    <w:rsid w:val="00516083"/>
    <w:rsid w:val="0051609A"/>
    <w:rsid w:val="005161F1"/>
    <w:rsid w:val="0051637E"/>
    <w:rsid w:val="00516A8F"/>
    <w:rsid w:val="00516B43"/>
    <w:rsid w:val="00516E79"/>
    <w:rsid w:val="005173E0"/>
    <w:rsid w:val="005174FE"/>
    <w:rsid w:val="00520366"/>
    <w:rsid w:val="005205FB"/>
    <w:rsid w:val="00520852"/>
    <w:rsid w:val="00520B6B"/>
    <w:rsid w:val="00520E72"/>
    <w:rsid w:val="00520E96"/>
    <w:rsid w:val="00520F78"/>
    <w:rsid w:val="0052130A"/>
    <w:rsid w:val="00521456"/>
    <w:rsid w:val="005226CB"/>
    <w:rsid w:val="0052276A"/>
    <w:rsid w:val="005229A7"/>
    <w:rsid w:val="00522C3C"/>
    <w:rsid w:val="00522D75"/>
    <w:rsid w:val="0052312B"/>
    <w:rsid w:val="005231A2"/>
    <w:rsid w:val="005233DB"/>
    <w:rsid w:val="00523A6A"/>
    <w:rsid w:val="00523CBF"/>
    <w:rsid w:val="00524146"/>
    <w:rsid w:val="00524B49"/>
    <w:rsid w:val="00524CF5"/>
    <w:rsid w:val="00524EF0"/>
    <w:rsid w:val="00525076"/>
    <w:rsid w:val="00525240"/>
    <w:rsid w:val="005253E3"/>
    <w:rsid w:val="00525F56"/>
    <w:rsid w:val="005264C5"/>
    <w:rsid w:val="00526737"/>
    <w:rsid w:val="0052682D"/>
    <w:rsid w:val="00526C3C"/>
    <w:rsid w:val="00526C45"/>
    <w:rsid w:val="00527059"/>
    <w:rsid w:val="00527665"/>
    <w:rsid w:val="00527782"/>
    <w:rsid w:val="005278B3"/>
    <w:rsid w:val="00527983"/>
    <w:rsid w:val="00527D06"/>
    <w:rsid w:val="0053020D"/>
    <w:rsid w:val="0053063E"/>
    <w:rsid w:val="00530816"/>
    <w:rsid w:val="00530CF6"/>
    <w:rsid w:val="00531092"/>
    <w:rsid w:val="00531120"/>
    <w:rsid w:val="0053114C"/>
    <w:rsid w:val="0053158D"/>
    <w:rsid w:val="00531A6A"/>
    <w:rsid w:val="00531E88"/>
    <w:rsid w:val="005323FE"/>
    <w:rsid w:val="00532A2D"/>
    <w:rsid w:val="00532EA1"/>
    <w:rsid w:val="00533AF3"/>
    <w:rsid w:val="00533D65"/>
    <w:rsid w:val="005342C5"/>
    <w:rsid w:val="005344DB"/>
    <w:rsid w:val="00534C78"/>
    <w:rsid w:val="00534CE1"/>
    <w:rsid w:val="00534FBA"/>
    <w:rsid w:val="0053520F"/>
    <w:rsid w:val="0053537B"/>
    <w:rsid w:val="00535485"/>
    <w:rsid w:val="00535594"/>
    <w:rsid w:val="005356B7"/>
    <w:rsid w:val="005361B1"/>
    <w:rsid w:val="00536243"/>
    <w:rsid w:val="00536326"/>
    <w:rsid w:val="00536613"/>
    <w:rsid w:val="00536B63"/>
    <w:rsid w:val="00536E37"/>
    <w:rsid w:val="005371F2"/>
    <w:rsid w:val="0053724E"/>
    <w:rsid w:val="005376CB"/>
    <w:rsid w:val="00537715"/>
    <w:rsid w:val="00537BE5"/>
    <w:rsid w:val="0054020D"/>
    <w:rsid w:val="0054030B"/>
    <w:rsid w:val="00540430"/>
    <w:rsid w:val="00540622"/>
    <w:rsid w:val="00540767"/>
    <w:rsid w:val="0054087B"/>
    <w:rsid w:val="00540E0A"/>
    <w:rsid w:val="005414DC"/>
    <w:rsid w:val="005415B8"/>
    <w:rsid w:val="005418E6"/>
    <w:rsid w:val="005424D6"/>
    <w:rsid w:val="00542620"/>
    <w:rsid w:val="00542698"/>
    <w:rsid w:val="00542B67"/>
    <w:rsid w:val="00542CBD"/>
    <w:rsid w:val="00543107"/>
    <w:rsid w:val="00543274"/>
    <w:rsid w:val="005433CC"/>
    <w:rsid w:val="00543493"/>
    <w:rsid w:val="00543534"/>
    <w:rsid w:val="0054396C"/>
    <w:rsid w:val="00543FBC"/>
    <w:rsid w:val="00544110"/>
    <w:rsid w:val="0054441C"/>
    <w:rsid w:val="00544B99"/>
    <w:rsid w:val="00544EBB"/>
    <w:rsid w:val="00545196"/>
    <w:rsid w:val="00545277"/>
    <w:rsid w:val="0054551B"/>
    <w:rsid w:val="0054582D"/>
    <w:rsid w:val="00545BCA"/>
    <w:rsid w:val="00545D13"/>
    <w:rsid w:val="00545D80"/>
    <w:rsid w:val="00545ED7"/>
    <w:rsid w:val="00546017"/>
    <w:rsid w:val="00546911"/>
    <w:rsid w:val="005469A9"/>
    <w:rsid w:val="00546C52"/>
    <w:rsid w:val="00546FC3"/>
    <w:rsid w:val="0054718D"/>
    <w:rsid w:val="0054757E"/>
    <w:rsid w:val="00547C9E"/>
    <w:rsid w:val="00547D51"/>
    <w:rsid w:val="00550071"/>
    <w:rsid w:val="005502EC"/>
    <w:rsid w:val="005505B1"/>
    <w:rsid w:val="00550940"/>
    <w:rsid w:val="005509BE"/>
    <w:rsid w:val="00550A77"/>
    <w:rsid w:val="00550AF5"/>
    <w:rsid w:val="00550C64"/>
    <w:rsid w:val="00550CA9"/>
    <w:rsid w:val="005515E5"/>
    <w:rsid w:val="005519A4"/>
    <w:rsid w:val="00551A84"/>
    <w:rsid w:val="0055255C"/>
    <w:rsid w:val="00552A4D"/>
    <w:rsid w:val="00553E62"/>
    <w:rsid w:val="0055411D"/>
    <w:rsid w:val="005543FE"/>
    <w:rsid w:val="00554414"/>
    <w:rsid w:val="0055487A"/>
    <w:rsid w:val="00554ABF"/>
    <w:rsid w:val="00554C2C"/>
    <w:rsid w:val="005550F9"/>
    <w:rsid w:val="00555396"/>
    <w:rsid w:val="0055551E"/>
    <w:rsid w:val="005556D3"/>
    <w:rsid w:val="00555A8E"/>
    <w:rsid w:val="00555F1F"/>
    <w:rsid w:val="005565C3"/>
    <w:rsid w:val="005566C5"/>
    <w:rsid w:val="0055672F"/>
    <w:rsid w:val="00556807"/>
    <w:rsid w:val="00556DFC"/>
    <w:rsid w:val="0055705C"/>
    <w:rsid w:val="005570DC"/>
    <w:rsid w:val="00557E1F"/>
    <w:rsid w:val="00560162"/>
    <w:rsid w:val="005603F9"/>
    <w:rsid w:val="0056071D"/>
    <w:rsid w:val="005609FC"/>
    <w:rsid w:val="00560C3D"/>
    <w:rsid w:val="00560DD3"/>
    <w:rsid w:val="00560E78"/>
    <w:rsid w:val="00561171"/>
    <w:rsid w:val="005619F4"/>
    <w:rsid w:val="00561A71"/>
    <w:rsid w:val="00561BB7"/>
    <w:rsid w:val="00561EB6"/>
    <w:rsid w:val="00562602"/>
    <w:rsid w:val="0056267F"/>
    <w:rsid w:val="00562778"/>
    <w:rsid w:val="00562DF7"/>
    <w:rsid w:val="00562F41"/>
    <w:rsid w:val="0056313E"/>
    <w:rsid w:val="00563217"/>
    <w:rsid w:val="005632B4"/>
    <w:rsid w:val="00563EFE"/>
    <w:rsid w:val="00564427"/>
    <w:rsid w:val="00564619"/>
    <w:rsid w:val="00564891"/>
    <w:rsid w:val="00564C0A"/>
    <w:rsid w:val="00564CE0"/>
    <w:rsid w:val="00565047"/>
    <w:rsid w:val="005653F0"/>
    <w:rsid w:val="005658BA"/>
    <w:rsid w:val="005659C0"/>
    <w:rsid w:val="00565ABE"/>
    <w:rsid w:val="00565BFA"/>
    <w:rsid w:val="0056600F"/>
    <w:rsid w:val="0056633E"/>
    <w:rsid w:val="00566437"/>
    <w:rsid w:val="00566736"/>
    <w:rsid w:val="00566CD8"/>
    <w:rsid w:val="0056702A"/>
    <w:rsid w:val="005670D4"/>
    <w:rsid w:val="00567323"/>
    <w:rsid w:val="0056754B"/>
    <w:rsid w:val="00567893"/>
    <w:rsid w:val="00567FF2"/>
    <w:rsid w:val="005701AF"/>
    <w:rsid w:val="00570416"/>
    <w:rsid w:val="0057072E"/>
    <w:rsid w:val="00570993"/>
    <w:rsid w:val="00570A2B"/>
    <w:rsid w:val="00570A9D"/>
    <w:rsid w:val="00570B7A"/>
    <w:rsid w:val="00570C13"/>
    <w:rsid w:val="00570FDA"/>
    <w:rsid w:val="00571391"/>
    <w:rsid w:val="00571999"/>
    <w:rsid w:val="00571A0D"/>
    <w:rsid w:val="00571BEC"/>
    <w:rsid w:val="00571D9B"/>
    <w:rsid w:val="00571FE6"/>
    <w:rsid w:val="00572A2B"/>
    <w:rsid w:val="00572CF2"/>
    <w:rsid w:val="00573125"/>
    <w:rsid w:val="0057360E"/>
    <w:rsid w:val="00573755"/>
    <w:rsid w:val="0057380B"/>
    <w:rsid w:val="00573A5B"/>
    <w:rsid w:val="00573FD1"/>
    <w:rsid w:val="00574178"/>
    <w:rsid w:val="00574CA5"/>
    <w:rsid w:val="00574CE8"/>
    <w:rsid w:val="00574D70"/>
    <w:rsid w:val="00574F8A"/>
    <w:rsid w:val="0057555B"/>
    <w:rsid w:val="00575D7B"/>
    <w:rsid w:val="00576017"/>
    <w:rsid w:val="00576464"/>
    <w:rsid w:val="00576A17"/>
    <w:rsid w:val="00576B2A"/>
    <w:rsid w:val="00576BCA"/>
    <w:rsid w:val="00577053"/>
    <w:rsid w:val="00577183"/>
    <w:rsid w:val="00577400"/>
    <w:rsid w:val="0057782D"/>
    <w:rsid w:val="0057786D"/>
    <w:rsid w:val="00577CAC"/>
    <w:rsid w:val="00577F69"/>
    <w:rsid w:val="00580F32"/>
    <w:rsid w:val="00581F58"/>
    <w:rsid w:val="005823DF"/>
    <w:rsid w:val="0058257A"/>
    <w:rsid w:val="00582639"/>
    <w:rsid w:val="005828A9"/>
    <w:rsid w:val="00582FBF"/>
    <w:rsid w:val="00583680"/>
    <w:rsid w:val="00583784"/>
    <w:rsid w:val="00583DF3"/>
    <w:rsid w:val="00583FBE"/>
    <w:rsid w:val="00584293"/>
    <w:rsid w:val="005843F7"/>
    <w:rsid w:val="005846AC"/>
    <w:rsid w:val="00584AA5"/>
    <w:rsid w:val="00584C7D"/>
    <w:rsid w:val="0058508E"/>
    <w:rsid w:val="0058565F"/>
    <w:rsid w:val="00585929"/>
    <w:rsid w:val="00585DEB"/>
    <w:rsid w:val="005862B5"/>
    <w:rsid w:val="00586443"/>
    <w:rsid w:val="00586715"/>
    <w:rsid w:val="00586C26"/>
    <w:rsid w:val="00586C90"/>
    <w:rsid w:val="00587235"/>
    <w:rsid w:val="00587722"/>
    <w:rsid w:val="00590227"/>
    <w:rsid w:val="005904BA"/>
    <w:rsid w:val="0059055E"/>
    <w:rsid w:val="005905E8"/>
    <w:rsid w:val="0059063A"/>
    <w:rsid w:val="00590A05"/>
    <w:rsid w:val="00590A68"/>
    <w:rsid w:val="00591568"/>
    <w:rsid w:val="00591FA0"/>
    <w:rsid w:val="00592955"/>
    <w:rsid w:val="00593067"/>
    <w:rsid w:val="0059363E"/>
    <w:rsid w:val="00593968"/>
    <w:rsid w:val="00593D36"/>
    <w:rsid w:val="00593E9D"/>
    <w:rsid w:val="00594BE7"/>
    <w:rsid w:val="00594E58"/>
    <w:rsid w:val="005951F3"/>
    <w:rsid w:val="00595366"/>
    <w:rsid w:val="00595B8E"/>
    <w:rsid w:val="00595C97"/>
    <w:rsid w:val="00595FBC"/>
    <w:rsid w:val="00596021"/>
    <w:rsid w:val="00596170"/>
    <w:rsid w:val="00596257"/>
    <w:rsid w:val="00596510"/>
    <w:rsid w:val="005966CA"/>
    <w:rsid w:val="00596D15"/>
    <w:rsid w:val="005970F9"/>
    <w:rsid w:val="00597104"/>
    <w:rsid w:val="0059748C"/>
    <w:rsid w:val="005976C9"/>
    <w:rsid w:val="005977A4"/>
    <w:rsid w:val="0059790A"/>
    <w:rsid w:val="00597C5D"/>
    <w:rsid w:val="00597D8C"/>
    <w:rsid w:val="00597DFF"/>
    <w:rsid w:val="00597E9C"/>
    <w:rsid w:val="005A00C4"/>
    <w:rsid w:val="005A01CC"/>
    <w:rsid w:val="005A0222"/>
    <w:rsid w:val="005A0443"/>
    <w:rsid w:val="005A0492"/>
    <w:rsid w:val="005A0629"/>
    <w:rsid w:val="005A0793"/>
    <w:rsid w:val="005A0904"/>
    <w:rsid w:val="005A0BFD"/>
    <w:rsid w:val="005A0CFE"/>
    <w:rsid w:val="005A10A7"/>
    <w:rsid w:val="005A11EB"/>
    <w:rsid w:val="005A1297"/>
    <w:rsid w:val="005A12EE"/>
    <w:rsid w:val="005A1451"/>
    <w:rsid w:val="005A1652"/>
    <w:rsid w:val="005A1726"/>
    <w:rsid w:val="005A1A78"/>
    <w:rsid w:val="005A1AA2"/>
    <w:rsid w:val="005A1C89"/>
    <w:rsid w:val="005A20BC"/>
    <w:rsid w:val="005A285A"/>
    <w:rsid w:val="005A29DC"/>
    <w:rsid w:val="005A29EC"/>
    <w:rsid w:val="005A3307"/>
    <w:rsid w:val="005A385E"/>
    <w:rsid w:val="005A455E"/>
    <w:rsid w:val="005A47A3"/>
    <w:rsid w:val="005A4ACB"/>
    <w:rsid w:val="005A5242"/>
    <w:rsid w:val="005A5283"/>
    <w:rsid w:val="005A54C7"/>
    <w:rsid w:val="005A55D9"/>
    <w:rsid w:val="005A5612"/>
    <w:rsid w:val="005A60C8"/>
    <w:rsid w:val="005A650D"/>
    <w:rsid w:val="005A698B"/>
    <w:rsid w:val="005A6ABA"/>
    <w:rsid w:val="005A6B3E"/>
    <w:rsid w:val="005A7004"/>
    <w:rsid w:val="005A7207"/>
    <w:rsid w:val="005A72AE"/>
    <w:rsid w:val="005A7849"/>
    <w:rsid w:val="005A7DDA"/>
    <w:rsid w:val="005A7EC0"/>
    <w:rsid w:val="005A7FA3"/>
    <w:rsid w:val="005B01EB"/>
    <w:rsid w:val="005B05B0"/>
    <w:rsid w:val="005B06C8"/>
    <w:rsid w:val="005B0A11"/>
    <w:rsid w:val="005B0B2B"/>
    <w:rsid w:val="005B0BEB"/>
    <w:rsid w:val="005B0C28"/>
    <w:rsid w:val="005B0E7F"/>
    <w:rsid w:val="005B0FF7"/>
    <w:rsid w:val="005B17A1"/>
    <w:rsid w:val="005B1C93"/>
    <w:rsid w:val="005B1E23"/>
    <w:rsid w:val="005B1E4F"/>
    <w:rsid w:val="005B2648"/>
    <w:rsid w:val="005B2BCA"/>
    <w:rsid w:val="005B3109"/>
    <w:rsid w:val="005B37DD"/>
    <w:rsid w:val="005B38FD"/>
    <w:rsid w:val="005B3B5F"/>
    <w:rsid w:val="005B3F5C"/>
    <w:rsid w:val="005B3FBA"/>
    <w:rsid w:val="005B4039"/>
    <w:rsid w:val="005B40E9"/>
    <w:rsid w:val="005B4204"/>
    <w:rsid w:val="005B4538"/>
    <w:rsid w:val="005B463B"/>
    <w:rsid w:val="005B4B4F"/>
    <w:rsid w:val="005B4CFD"/>
    <w:rsid w:val="005B4F27"/>
    <w:rsid w:val="005B51E3"/>
    <w:rsid w:val="005B54F5"/>
    <w:rsid w:val="005B6014"/>
    <w:rsid w:val="005B62DF"/>
    <w:rsid w:val="005B6E5B"/>
    <w:rsid w:val="005B726E"/>
    <w:rsid w:val="005B78F0"/>
    <w:rsid w:val="005C0163"/>
    <w:rsid w:val="005C04AE"/>
    <w:rsid w:val="005C052A"/>
    <w:rsid w:val="005C069F"/>
    <w:rsid w:val="005C0727"/>
    <w:rsid w:val="005C07FE"/>
    <w:rsid w:val="005C138F"/>
    <w:rsid w:val="005C15FE"/>
    <w:rsid w:val="005C1C79"/>
    <w:rsid w:val="005C1CCE"/>
    <w:rsid w:val="005C1E1B"/>
    <w:rsid w:val="005C22A0"/>
    <w:rsid w:val="005C22BC"/>
    <w:rsid w:val="005C2394"/>
    <w:rsid w:val="005C2815"/>
    <w:rsid w:val="005C2AA3"/>
    <w:rsid w:val="005C2CC6"/>
    <w:rsid w:val="005C36AE"/>
    <w:rsid w:val="005C37B9"/>
    <w:rsid w:val="005C38FE"/>
    <w:rsid w:val="005C3B0C"/>
    <w:rsid w:val="005C3E39"/>
    <w:rsid w:val="005C3F1A"/>
    <w:rsid w:val="005C4091"/>
    <w:rsid w:val="005C4174"/>
    <w:rsid w:val="005C41B8"/>
    <w:rsid w:val="005C4580"/>
    <w:rsid w:val="005C4A14"/>
    <w:rsid w:val="005C4ADF"/>
    <w:rsid w:val="005C4D57"/>
    <w:rsid w:val="005C4E9A"/>
    <w:rsid w:val="005C5B86"/>
    <w:rsid w:val="005C5BE1"/>
    <w:rsid w:val="005C5C0A"/>
    <w:rsid w:val="005C5D99"/>
    <w:rsid w:val="005C61B4"/>
    <w:rsid w:val="005C654C"/>
    <w:rsid w:val="005C66FC"/>
    <w:rsid w:val="005C681D"/>
    <w:rsid w:val="005C6AEA"/>
    <w:rsid w:val="005C6B0C"/>
    <w:rsid w:val="005C702D"/>
    <w:rsid w:val="005C752F"/>
    <w:rsid w:val="005C7C50"/>
    <w:rsid w:val="005C7D0F"/>
    <w:rsid w:val="005C7DE4"/>
    <w:rsid w:val="005D0027"/>
    <w:rsid w:val="005D01A2"/>
    <w:rsid w:val="005D0E23"/>
    <w:rsid w:val="005D0E58"/>
    <w:rsid w:val="005D0E6D"/>
    <w:rsid w:val="005D10C9"/>
    <w:rsid w:val="005D11C0"/>
    <w:rsid w:val="005D1586"/>
    <w:rsid w:val="005D1BD0"/>
    <w:rsid w:val="005D1C6E"/>
    <w:rsid w:val="005D1DD6"/>
    <w:rsid w:val="005D21BB"/>
    <w:rsid w:val="005D2539"/>
    <w:rsid w:val="005D26FF"/>
    <w:rsid w:val="005D2820"/>
    <w:rsid w:val="005D2B01"/>
    <w:rsid w:val="005D2F33"/>
    <w:rsid w:val="005D34B9"/>
    <w:rsid w:val="005D355E"/>
    <w:rsid w:val="005D397D"/>
    <w:rsid w:val="005D3A9E"/>
    <w:rsid w:val="005D3AF7"/>
    <w:rsid w:val="005D3CBE"/>
    <w:rsid w:val="005D4259"/>
    <w:rsid w:val="005D4387"/>
    <w:rsid w:val="005D44AC"/>
    <w:rsid w:val="005D44E3"/>
    <w:rsid w:val="005D46E0"/>
    <w:rsid w:val="005D4804"/>
    <w:rsid w:val="005D53FD"/>
    <w:rsid w:val="005D542D"/>
    <w:rsid w:val="005D58A5"/>
    <w:rsid w:val="005D5F95"/>
    <w:rsid w:val="005D6062"/>
    <w:rsid w:val="005D61E6"/>
    <w:rsid w:val="005D620B"/>
    <w:rsid w:val="005D6A5D"/>
    <w:rsid w:val="005D6EFA"/>
    <w:rsid w:val="005D7257"/>
    <w:rsid w:val="005D73EF"/>
    <w:rsid w:val="005D75B4"/>
    <w:rsid w:val="005D798C"/>
    <w:rsid w:val="005D7B4A"/>
    <w:rsid w:val="005D7B60"/>
    <w:rsid w:val="005D7C9B"/>
    <w:rsid w:val="005D7E2A"/>
    <w:rsid w:val="005E0385"/>
    <w:rsid w:val="005E0497"/>
    <w:rsid w:val="005E0969"/>
    <w:rsid w:val="005E0AB4"/>
    <w:rsid w:val="005E0F9F"/>
    <w:rsid w:val="005E1041"/>
    <w:rsid w:val="005E146F"/>
    <w:rsid w:val="005E18F9"/>
    <w:rsid w:val="005E1910"/>
    <w:rsid w:val="005E1BA3"/>
    <w:rsid w:val="005E25B0"/>
    <w:rsid w:val="005E2F28"/>
    <w:rsid w:val="005E313C"/>
    <w:rsid w:val="005E32AD"/>
    <w:rsid w:val="005E34D9"/>
    <w:rsid w:val="005E3699"/>
    <w:rsid w:val="005E3A44"/>
    <w:rsid w:val="005E3AB6"/>
    <w:rsid w:val="005E3C90"/>
    <w:rsid w:val="005E3D3B"/>
    <w:rsid w:val="005E46D9"/>
    <w:rsid w:val="005E4832"/>
    <w:rsid w:val="005E4A0B"/>
    <w:rsid w:val="005E4AAF"/>
    <w:rsid w:val="005E4C8E"/>
    <w:rsid w:val="005E4F4A"/>
    <w:rsid w:val="005E55FA"/>
    <w:rsid w:val="005E588F"/>
    <w:rsid w:val="005E5AB0"/>
    <w:rsid w:val="005E5EE9"/>
    <w:rsid w:val="005E600B"/>
    <w:rsid w:val="005E623E"/>
    <w:rsid w:val="005E628D"/>
    <w:rsid w:val="005E662E"/>
    <w:rsid w:val="005E6C9C"/>
    <w:rsid w:val="005E6ED5"/>
    <w:rsid w:val="005E703D"/>
    <w:rsid w:val="005E7D97"/>
    <w:rsid w:val="005E7E34"/>
    <w:rsid w:val="005F0C29"/>
    <w:rsid w:val="005F0DA9"/>
    <w:rsid w:val="005F12A7"/>
    <w:rsid w:val="005F1431"/>
    <w:rsid w:val="005F1EA3"/>
    <w:rsid w:val="005F1F4C"/>
    <w:rsid w:val="005F2421"/>
    <w:rsid w:val="005F277E"/>
    <w:rsid w:val="005F3189"/>
    <w:rsid w:val="005F343A"/>
    <w:rsid w:val="005F3477"/>
    <w:rsid w:val="005F34EB"/>
    <w:rsid w:val="005F3D14"/>
    <w:rsid w:val="005F4392"/>
    <w:rsid w:val="005F44C8"/>
    <w:rsid w:val="005F4A7C"/>
    <w:rsid w:val="005F4E5B"/>
    <w:rsid w:val="005F52A6"/>
    <w:rsid w:val="005F55CC"/>
    <w:rsid w:val="005F5AC0"/>
    <w:rsid w:val="005F5D43"/>
    <w:rsid w:val="005F5F22"/>
    <w:rsid w:val="005F62F7"/>
    <w:rsid w:val="005F741E"/>
    <w:rsid w:val="005F7979"/>
    <w:rsid w:val="005F799C"/>
    <w:rsid w:val="005F79DA"/>
    <w:rsid w:val="005F7BE7"/>
    <w:rsid w:val="005F7CBE"/>
    <w:rsid w:val="005F7EA0"/>
    <w:rsid w:val="00600139"/>
    <w:rsid w:val="00600361"/>
    <w:rsid w:val="00600914"/>
    <w:rsid w:val="0060096A"/>
    <w:rsid w:val="00600EDA"/>
    <w:rsid w:val="00600F8C"/>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38E3"/>
    <w:rsid w:val="00603B0A"/>
    <w:rsid w:val="00603E78"/>
    <w:rsid w:val="00604B45"/>
    <w:rsid w:val="00604DEF"/>
    <w:rsid w:val="00604F57"/>
    <w:rsid w:val="00604F94"/>
    <w:rsid w:val="00605277"/>
    <w:rsid w:val="00605401"/>
    <w:rsid w:val="0060560B"/>
    <w:rsid w:val="00605716"/>
    <w:rsid w:val="00605996"/>
    <w:rsid w:val="006059B3"/>
    <w:rsid w:val="00605A05"/>
    <w:rsid w:val="00605A1D"/>
    <w:rsid w:val="00606371"/>
    <w:rsid w:val="006064B6"/>
    <w:rsid w:val="006068B2"/>
    <w:rsid w:val="00606F1E"/>
    <w:rsid w:val="00606F9A"/>
    <w:rsid w:val="0060709C"/>
    <w:rsid w:val="00607669"/>
    <w:rsid w:val="006076B7"/>
    <w:rsid w:val="00607B70"/>
    <w:rsid w:val="00607E71"/>
    <w:rsid w:val="0061035E"/>
    <w:rsid w:val="006106A1"/>
    <w:rsid w:val="006108A7"/>
    <w:rsid w:val="00610A40"/>
    <w:rsid w:val="00610D2D"/>
    <w:rsid w:val="00610D32"/>
    <w:rsid w:val="00610FBD"/>
    <w:rsid w:val="0061112D"/>
    <w:rsid w:val="00611197"/>
    <w:rsid w:val="006112DC"/>
    <w:rsid w:val="006115E5"/>
    <w:rsid w:val="00611AD2"/>
    <w:rsid w:val="00611E5B"/>
    <w:rsid w:val="0061239A"/>
    <w:rsid w:val="00612509"/>
    <w:rsid w:val="0061259F"/>
    <w:rsid w:val="006125DA"/>
    <w:rsid w:val="00612C51"/>
    <w:rsid w:val="00612DA6"/>
    <w:rsid w:val="00612DC8"/>
    <w:rsid w:val="006135F6"/>
    <w:rsid w:val="00613796"/>
    <w:rsid w:val="00613915"/>
    <w:rsid w:val="006140A7"/>
    <w:rsid w:val="00614278"/>
    <w:rsid w:val="0061448E"/>
    <w:rsid w:val="00614906"/>
    <w:rsid w:val="00614943"/>
    <w:rsid w:val="00614947"/>
    <w:rsid w:val="00614C4A"/>
    <w:rsid w:val="00614C7E"/>
    <w:rsid w:val="00614E61"/>
    <w:rsid w:val="00615216"/>
    <w:rsid w:val="00615616"/>
    <w:rsid w:val="006159DB"/>
    <w:rsid w:val="00616262"/>
    <w:rsid w:val="006163C6"/>
    <w:rsid w:val="00616505"/>
    <w:rsid w:val="00616621"/>
    <w:rsid w:val="00616D32"/>
    <w:rsid w:val="00616D78"/>
    <w:rsid w:val="00616F1F"/>
    <w:rsid w:val="00616FB7"/>
    <w:rsid w:val="0061702A"/>
    <w:rsid w:val="00617320"/>
    <w:rsid w:val="0061747F"/>
    <w:rsid w:val="006176BA"/>
    <w:rsid w:val="006179FA"/>
    <w:rsid w:val="00617B7B"/>
    <w:rsid w:val="00620552"/>
    <w:rsid w:val="00620638"/>
    <w:rsid w:val="006206B1"/>
    <w:rsid w:val="00620F1E"/>
    <w:rsid w:val="00621161"/>
    <w:rsid w:val="00621417"/>
    <w:rsid w:val="00621636"/>
    <w:rsid w:val="0062174E"/>
    <w:rsid w:val="00621792"/>
    <w:rsid w:val="00621CB5"/>
    <w:rsid w:val="00621D47"/>
    <w:rsid w:val="0062242B"/>
    <w:rsid w:val="00622566"/>
    <w:rsid w:val="00623530"/>
    <w:rsid w:val="00623821"/>
    <w:rsid w:val="006238A4"/>
    <w:rsid w:val="00623999"/>
    <w:rsid w:val="00623B34"/>
    <w:rsid w:val="00623C6B"/>
    <w:rsid w:val="00623CD5"/>
    <w:rsid w:val="00623D36"/>
    <w:rsid w:val="00624045"/>
    <w:rsid w:val="0062408B"/>
    <w:rsid w:val="006244BD"/>
    <w:rsid w:val="0062483C"/>
    <w:rsid w:val="00624A67"/>
    <w:rsid w:val="00624B17"/>
    <w:rsid w:val="0062526E"/>
    <w:rsid w:val="00625D48"/>
    <w:rsid w:val="00625D4E"/>
    <w:rsid w:val="00625E81"/>
    <w:rsid w:val="006268CC"/>
    <w:rsid w:val="00626A2B"/>
    <w:rsid w:val="0062706B"/>
    <w:rsid w:val="006271FC"/>
    <w:rsid w:val="0062768B"/>
    <w:rsid w:val="006301B1"/>
    <w:rsid w:val="00630A03"/>
    <w:rsid w:val="00630CB2"/>
    <w:rsid w:val="0063120E"/>
    <w:rsid w:val="006313DB"/>
    <w:rsid w:val="00631450"/>
    <w:rsid w:val="00631675"/>
    <w:rsid w:val="00631768"/>
    <w:rsid w:val="00631A4C"/>
    <w:rsid w:val="00631AE9"/>
    <w:rsid w:val="00631E31"/>
    <w:rsid w:val="00632685"/>
    <w:rsid w:val="00632D46"/>
    <w:rsid w:val="006331E9"/>
    <w:rsid w:val="006336F9"/>
    <w:rsid w:val="00633873"/>
    <w:rsid w:val="00633984"/>
    <w:rsid w:val="00633C08"/>
    <w:rsid w:val="00633D85"/>
    <w:rsid w:val="00633F25"/>
    <w:rsid w:val="00633F26"/>
    <w:rsid w:val="00633F9F"/>
    <w:rsid w:val="00633FA6"/>
    <w:rsid w:val="00634370"/>
    <w:rsid w:val="00634440"/>
    <w:rsid w:val="00634784"/>
    <w:rsid w:val="006348F8"/>
    <w:rsid w:val="00634BE1"/>
    <w:rsid w:val="00634D57"/>
    <w:rsid w:val="00634E2F"/>
    <w:rsid w:val="00634FCD"/>
    <w:rsid w:val="00635274"/>
    <w:rsid w:val="0063571C"/>
    <w:rsid w:val="006357D2"/>
    <w:rsid w:val="00635E50"/>
    <w:rsid w:val="00636031"/>
    <w:rsid w:val="0063629F"/>
    <w:rsid w:val="0063641F"/>
    <w:rsid w:val="00636566"/>
    <w:rsid w:val="00636834"/>
    <w:rsid w:val="00636941"/>
    <w:rsid w:val="00636B8E"/>
    <w:rsid w:val="006373B1"/>
    <w:rsid w:val="00637685"/>
    <w:rsid w:val="00637693"/>
    <w:rsid w:val="006378B5"/>
    <w:rsid w:val="00637D13"/>
    <w:rsid w:val="00641194"/>
    <w:rsid w:val="006417E8"/>
    <w:rsid w:val="00641D53"/>
    <w:rsid w:val="00642135"/>
    <w:rsid w:val="0064230F"/>
    <w:rsid w:val="006427F8"/>
    <w:rsid w:val="00642BC2"/>
    <w:rsid w:val="00643176"/>
    <w:rsid w:val="006431EA"/>
    <w:rsid w:val="00643361"/>
    <w:rsid w:val="006435F6"/>
    <w:rsid w:val="0064410B"/>
    <w:rsid w:val="006448AB"/>
    <w:rsid w:val="00644B91"/>
    <w:rsid w:val="00644F24"/>
    <w:rsid w:val="0064512C"/>
    <w:rsid w:val="00645329"/>
    <w:rsid w:val="0064534F"/>
    <w:rsid w:val="0064556D"/>
    <w:rsid w:val="006455C9"/>
    <w:rsid w:val="006459FC"/>
    <w:rsid w:val="00645C54"/>
    <w:rsid w:val="00645DC8"/>
    <w:rsid w:val="00645EBD"/>
    <w:rsid w:val="00646000"/>
    <w:rsid w:val="0064647C"/>
    <w:rsid w:val="006467EC"/>
    <w:rsid w:val="00646A44"/>
    <w:rsid w:val="006473C8"/>
    <w:rsid w:val="006478DC"/>
    <w:rsid w:val="00647FA8"/>
    <w:rsid w:val="00647FCF"/>
    <w:rsid w:val="00650E6A"/>
    <w:rsid w:val="00650F7A"/>
    <w:rsid w:val="00651367"/>
    <w:rsid w:val="00651487"/>
    <w:rsid w:val="006516FE"/>
    <w:rsid w:val="00651BEA"/>
    <w:rsid w:val="00651E2D"/>
    <w:rsid w:val="0065270C"/>
    <w:rsid w:val="00652D1E"/>
    <w:rsid w:val="00652E40"/>
    <w:rsid w:val="00653276"/>
    <w:rsid w:val="006536A8"/>
    <w:rsid w:val="00653AF3"/>
    <w:rsid w:val="00653CCD"/>
    <w:rsid w:val="0065419D"/>
    <w:rsid w:val="00655865"/>
    <w:rsid w:val="00655C09"/>
    <w:rsid w:val="00655C42"/>
    <w:rsid w:val="00655E66"/>
    <w:rsid w:val="006566F2"/>
    <w:rsid w:val="006573F6"/>
    <w:rsid w:val="00657532"/>
    <w:rsid w:val="00657666"/>
    <w:rsid w:val="006578EE"/>
    <w:rsid w:val="0065790A"/>
    <w:rsid w:val="0066027D"/>
    <w:rsid w:val="006604DF"/>
    <w:rsid w:val="00660575"/>
    <w:rsid w:val="0066072B"/>
    <w:rsid w:val="00660A55"/>
    <w:rsid w:val="00660A9E"/>
    <w:rsid w:val="00660B0F"/>
    <w:rsid w:val="00660D79"/>
    <w:rsid w:val="00661459"/>
    <w:rsid w:val="00661915"/>
    <w:rsid w:val="00661C07"/>
    <w:rsid w:val="00661CA6"/>
    <w:rsid w:val="00661D3F"/>
    <w:rsid w:val="00661F7D"/>
    <w:rsid w:val="00662C0D"/>
    <w:rsid w:val="00662E22"/>
    <w:rsid w:val="00662E69"/>
    <w:rsid w:val="00663186"/>
    <w:rsid w:val="00663717"/>
    <w:rsid w:val="00664351"/>
    <w:rsid w:val="00664406"/>
    <w:rsid w:val="006644A9"/>
    <w:rsid w:val="00664765"/>
    <w:rsid w:val="006648DC"/>
    <w:rsid w:val="00664A7B"/>
    <w:rsid w:val="00664BC0"/>
    <w:rsid w:val="00665518"/>
    <w:rsid w:val="006659C8"/>
    <w:rsid w:val="006659D7"/>
    <w:rsid w:val="006660BB"/>
    <w:rsid w:val="00666649"/>
    <w:rsid w:val="00666834"/>
    <w:rsid w:val="00666A19"/>
    <w:rsid w:val="00666A2B"/>
    <w:rsid w:val="00666D83"/>
    <w:rsid w:val="00667039"/>
    <w:rsid w:val="00667259"/>
    <w:rsid w:val="00667424"/>
    <w:rsid w:val="00667732"/>
    <w:rsid w:val="00667AE6"/>
    <w:rsid w:val="00667B3E"/>
    <w:rsid w:val="00667CA6"/>
    <w:rsid w:val="00670176"/>
    <w:rsid w:val="006702C2"/>
    <w:rsid w:val="00671169"/>
    <w:rsid w:val="00671173"/>
    <w:rsid w:val="00671913"/>
    <w:rsid w:val="00671ACA"/>
    <w:rsid w:val="00671CD8"/>
    <w:rsid w:val="00672C7E"/>
    <w:rsid w:val="00672CF8"/>
    <w:rsid w:val="00672E4B"/>
    <w:rsid w:val="00672EDF"/>
    <w:rsid w:val="00672F37"/>
    <w:rsid w:val="006734E2"/>
    <w:rsid w:val="00673723"/>
    <w:rsid w:val="006738B9"/>
    <w:rsid w:val="00673BD6"/>
    <w:rsid w:val="00673EEC"/>
    <w:rsid w:val="00674236"/>
    <w:rsid w:val="00674E9A"/>
    <w:rsid w:val="00675091"/>
    <w:rsid w:val="0067522E"/>
    <w:rsid w:val="006752C9"/>
    <w:rsid w:val="00675893"/>
    <w:rsid w:val="0067598D"/>
    <w:rsid w:val="00675A38"/>
    <w:rsid w:val="00675C94"/>
    <w:rsid w:val="00675FA3"/>
    <w:rsid w:val="006760BB"/>
    <w:rsid w:val="00676134"/>
    <w:rsid w:val="006763A7"/>
    <w:rsid w:val="006763EB"/>
    <w:rsid w:val="00676C6F"/>
    <w:rsid w:val="00676D26"/>
    <w:rsid w:val="00676E11"/>
    <w:rsid w:val="00676EB1"/>
    <w:rsid w:val="006772B7"/>
    <w:rsid w:val="006775BD"/>
    <w:rsid w:val="006775F2"/>
    <w:rsid w:val="00677850"/>
    <w:rsid w:val="00677859"/>
    <w:rsid w:val="00677B46"/>
    <w:rsid w:val="00677CA0"/>
    <w:rsid w:val="00677F31"/>
    <w:rsid w:val="0068015A"/>
    <w:rsid w:val="006803AC"/>
    <w:rsid w:val="0068063A"/>
    <w:rsid w:val="006807CE"/>
    <w:rsid w:val="006809B4"/>
    <w:rsid w:val="00680D0A"/>
    <w:rsid w:val="00680E37"/>
    <w:rsid w:val="00681110"/>
    <w:rsid w:val="006815BF"/>
    <w:rsid w:val="00681860"/>
    <w:rsid w:val="006819A3"/>
    <w:rsid w:val="00681A5A"/>
    <w:rsid w:val="00681C3D"/>
    <w:rsid w:val="006820B5"/>
    <w:rsid w:val="006824C6"/>
    <w:rsid w:val="00682C96"/>
    <w:rsid w:val="0068307C"/>
    <w:rsid w:val="00683175"/>
    <w:rsid w:val="00683262"/>
    <w:rsid w:val="006836A6"/>
    <w:rsid w:val="00683974"/>
    <w:rsid w:val="006839DB"/>
    <w:rsid w:val="00683E05"/>
    <w:rsid w:val="006840AE"/>
    <w:rsid w:val="00684275"/>
    <w:rsid w:val="006845BA"/>
    <w:rsid w:val="006847BD"/>
    <w:rsid w:val="006847DD"/>
    <w:rsid w:val="00685182"/>
    <w:rsid w:val="00685945"/>
    <w:rsid w:val="00685A73"/>
    <w:rsid w:val="00685C18"/>
    <w:rsid w:val="00685C3D"/>
    <w:rsid w:val="00685CFC"/>
    <w:rsid w:val="00686150"/>
    <w:rsid w:val="00686311"/>
    <w:rsid w:val="0068659B"/>
    <w:rsid w:val="00686BD4"/>
    <w:rsid w:val="00686D18"/>
    <w:rsid w:val="006871A2"/>
    <w:rsid w:val="006871CE"/>
    <w:rsid w:val="006876F3"/>
    <w:rsid w:val="00687896"/>
    <w:rsid w:val="00687989"/>
    <w:rsid w:val="00687F10"/>
    <w:rsid w:val="006901FC"/>
    <w:rsid w:val="0069046F"/>
    <w:rsid w:val="006904D3"/>
    <w:rsid w:val="006907EB"/>
    <w:rsid w:val="00690A2E"/>
    <w:rsid w:val="00690D04"/>
    <w:rsid w:val="006911E4"/>
    <w:rsid w:val="006914FB"/>
    <w:rsid w:val="00691822"/>
    <w:rsid w:val="00691BEC"/>
    <w:rsid w:val="00691C3E"/>
    <w:rsid w:val="00691DD1"/>
    <w:rsid w:val="006920D1"/>
    <w:rsid w:val="006923D0"/>
    <w:rsid w:val="0069253D"/>
    <w:rsid w:val="00692581"/>
    <w:rsid w:val="006929A2"/>
    <w:rsid w:val="00692AB1"/>
    <w:rsid w:val="00692BCA"/>
    <w:rsid w:val="00692DDF"/>
    <w:rsid w:val="006933E6"/>
    <w:rsid w:val="00693796"/>
    <w:rsid w:val="006939D8"/>
    <w:rsid w:val="00693A3E"/>
    <w:rsid w:val="00693AC3"/>
    <w:rsid w:val="00693B2F"/>
    <w:rsid w:val="006940B8"/>
    <w:rsid w:val="00694662"/>
    <w:rsid w:val="00694730"/>
    <w:rsid w:val="00694A27"/>
    <w:rsid w:val="00694DCF"/>
    <w:rsid w:val="00695095"/>
    <w:rsid w:val="0069513C"/>
    <w:rsid w:val="0069588F"/>
    <w:rsid w:val="0069596C"/>
    <w:rsid w:val="00695C1A"/>
    <w:rsid w:val="00696201"/>
    <w:rsid w:val="00696549"/>
    <w:rsid w:val="00696768"/>
    <w:rsid w:val="006967E1"/>
    <w:rsid w:val="00696CE0"/>
    <w:rsid w:val="00696D67"/>
    <w:rsid w:val="00697814"/>
    <w:rsid w:val="00697EDA"/>
    <w:rsid w:val="006A005E"/>
    <w:rsid w:val="006A091E"/>
    <w:rsid w:val="006A12AC"/>
    <w:rsid w:val="006A1357"/>
    <w:rsid w:val="006A19DA"/>
    <w:rsid w:val="006A1B85"/>
    <w:rsid w:val="006A1BFF"/>
    <w:rsid w:val="006A1D95"/>
    <w:rsid w:val="006A218F"/>
    <w:rsid w:val="006A23A0"/>
    <w:rsid w:val="006A2A93"/>
    <w:rsid w:val="006A2E17"/>
    <w:rsid w:val="006A3F6E"/>
    <w:rsid w:val="006A4455"/>
    <w:rsid w:val="006A4B1B"/>
    <w:rsid w:val="006A4EC5"/>
    <w:rsid w:val="006A53D1"/>
    <w:rsid w:val="006A5613"/>
    <w:rsid w:val="006A5EE0"/>
    <w:rsid w:val="006A62E3"/>
    <w:rsid w:val="006A6661"/>
    <w:rsid w:val="006A6947"/>
    <w:rsid w:val="006A704C"/>
    <w:rsid w:val="006A743F"/>
    <w:rsid w:val="006A7453"/>
    <w:rsid w:val="006A74E0"/>
    <w:rsid w:val="006A7800"/>
    <w:rsid w:val="006A7E5B"/>
    <w:rsid w:val="006B00E9"/>
    <w:rsid w:val="006B02BE"/>
    <w:rsid w:val="006B0575"/>
    <w:rsid w:val="006B07ED"/>
    <w:rsid w:val="006B0877"/>
    <w:rsid w:val="006B161C"/>
    <w:rsid w:val="006B187E"/>
    <w:rsid w:val="006B18F3"/>
    <w:rsid w:val="006B2292"/>
    <w:rsid w:val="006B2696"/>
    <w:rsid w:val="006B2DE8"/>
    <w:rsid w:val="006B2E7F"/>
    <w:rsid w:val="006B303B"/>
    <w:rsid w:val="006B366E"/>
    <w:rsid w:val="006B3971"/>
    <w:rsid w:val="006B3A00"/>
    <w:rsid w:val="006B4303"/>
    <w:rsid w:val="006B46C1"/>
    <w:rsid w:val="006B4747"/>
    <w:rsid w:val="006B4932"/>
    <w:rsid w:val="006B4C1B"/>
    <w:rsid w:val="006B4D8E"/>
    <w:rsid w:val="006B5115"/>
    <w:rsid w:val="006B62F2"/>
    <w:rsid w:val="006B657C"/>
    <w:rsid w:val="006B66F2"/>
    <w:rsid w:val="006B6B12"/>
    <w:rsid w:val="006B6C69"/>
    <w:rsid w:val="006B6E79"/>
    <w:rsid w:val="006B7198"/>
    <w:rsid w:val="006B719E"/>
    <w:rsid w:val="006B7644"/>
    <w:rsid w:val="006B7B28"/>
    <w:rsid w:val="006C006D"/>
    <w:rsid w:val="006C045F"/>
    <w:rsid w:val="006C0496"/>
    <w:rsid w:val="006C0B02"/>
    <w:rsid w:val="006C11E7"/>
    <w:rsid w:val="006C11E8"/>
    <w:rsid w:val="006C14F1"/>
    <w:rsid w:val="006C196D"/>
    <w:rsid w:val="006C1BF0"/>
    <w:rsid w:val="006C2C10"/>
    <w:rsid w:val="006C2EDA"/>
    <w:rsid w:val="006C30E0"/>
    <w:rsid w:val="006C3610"/>
    <w:rsid w:val="006C3891"/>
    <w:rsid w:val="006C3A19"/>
    <w:rsid w:val="006C3D1D"/>
    <w:rsid w:val="006C3DDF"/>
    <w:rsid w:val="006C3E4D"/>
    <w:rsid w:val="006C4068"/>
    <w:rsid w:val="006C44E2"/>
    <w:rsid w:val="006C467C"/>
    <w:rsid w:val="006C46E0"/>
    <w:rsid w:val="006C4B2E"/>
    <w:rsid w:val="006C4DCE"/>
    <w:rsid w:val="006C5471"/>
    <w:rsid w:val="006C54FD"/>
    <w:rsid w:val="006C55A2"/>
    <w:rsid w:val="006C57AC"/>
    <w:rsid w:val="006C57CE"/>
    <w:rsid w:val="006C5871"/>
    <w:rsid w:val="006C5A70"/>
    <w:rsid w:val="006C5B30"/>
    <w:rsid w:val="006C600B"/>
    <w:rsid w:val="006C64C2"/>
    <w:rsid w:val="006C65F0"/>
    <w:rsid w:val="006C67DD"/>
    <w:rsid w:val="006C6B19"/>
    <w:rsid w:val="006C6CF8"/>
    <w:rsid w:val="006C710D"/>
    <w:rsid w:val="006C726C"/>
    <w:rsid w:val="006C7309"/>
    <w:rsid w:val="006C745B"/>
    <w:rsid w:val="006C74A2"/>
    <w:rsid w:val="006C783A"/>
    <w:rsid w:val="006C78C0"/>
    <w:rsid w:val="006C7C59"/>
    <w:rsid w:val="006C7D61"/>
    <w:rsid w:val="006C7E7F"/>
    <w:rsid w:val="006C7F76"/>
    <w:rsid w:val="006D01F9"/>
    <w:rsid w:val="006D068A"/>
    <w:rsid w:val="006D0A19"/>
    <w:rsid w:val="006D0EEE"/>
    <w:rsid w:val="006D102B"/>
    <w:rsid w:val="006D10B0"/>
    <w:rsid w:val="006D10B4"/>
    <w:rsid w:val="006D1B1F"/>
    <w:rsid w:val="006D1B48"/>
    <w:rsid w:val="006D1BCC"/>
    <w:rsid w:val="006D2241"/>
    <w:rsid w:val="006D2ABA"/>
    <w:rsid w:val="006D2CD5"/>
    <w:rsid w:val="006D2D34"/>
    <w:rsid w:val="006D2F2A"/>
    <w:rsid w:val="006D31EE"/>
    <w:rsid w:val="006D374F"/>
    <w:rsid w:val="006D37A8"/>
    <w:rsid w:val="006D3934"/>
    <w:rsid w:val="006D3B38"/>
    <w:rsid w:val="006D4176"/>
    <w:rsid w:val="006D496B"/>
    <w:rsid w:val="006D4A80"/>
    <w:rsid w:val="006D4C69"/>
    <w:rsid w:val="006D4D71"/>
    <w:rsid w:val="006D5643"/>
    <w:rsid w:val="006D56AC"/>
    <w:rsid w:val="006D56EB"/>
    <w:rsid w:val="006D5859"/>
    <w:rsid w:val="006D589C"/>
    <w:rsid w:val="006D5BBC"/>
    <w:rsid w:val="006D5C02"/>
    <w:rsid w:val="006D6F09"/>
    <w:rsid w:val="006D70D2"/>
    <w:rsid w:val="006D7303"/>
    <w:rsid w:val="006D7584"/>
    <w:rsid w:val="006D763A"/>
    <w:rsid w:val="006D79FA"/>
    <w:rsid w:val="006D7E2A"/>
    <w:rsid w:val="006E00CE"/>
    <w:rsid w:val="006E0C6A"/>
    <w:rsid w:val="006E10B9"/>
    <w:rsid w:val="006E1247"/>
    <w:rsid w:val="006E1376"/>
    <w:rsid w:val="006E1952"/>
    <w:rsid w:val="006E1DF4"/>
    <w:rsid w:val="006E1EB3"/>
    <w:rsid w:val="006E2237"/>
    <w:rsid w:val="006E2655"/>
    <w:rsid w:val="006E2A1D"/>
    <w:rsid w:val="006E33E6"/>
    <w:rsid w:val="006E35D1"/>
    <w:rsid w:val="006E380E"/>
    <w:rsid w:val="006E3937"/>
    <w:rsid w:val="006E3C6E"/>
    <w:rsid w:val="006E3E80"/>
    <w:rsid w:val="006E45AB"/>
    <w:rsid w:val="006E471B"/>
    <w:rsid w:val="006E4BB5"/>
    <w:rsid w:val="006E52F5"/>
    <w:rsid w:val="006E5462"/>
    <w:rsid w:val="006E566C"/>
    <w:rsid w:val="006E5A1A"/>
    <w:rsid w:val="006E605E"/>
    <w:rsid w:val="006E64F6"/>
    <w:rsid w:val="006E65DF"/>
    <w:rsid w:val="006E7042"/>
    <w:rsid w:val="006E725A"/>
    <w:rsid w:val="006E72A3"/>
    <w:rsid w:val="006E741E"/>
    <w:rsid w:val="006E782D"/>
    <w:rsid w:val="006E7B80"/>
    <w:rsid w:val="006E7CCA"/>
    <w:rsid w:val="006F04AE"/>
    <w:rsid w:val="006F04D5"/>
    <w:rsid w:val="006F07B1"/>
    <w:rsid w:val="006F0B4A"/>
    <w:rsid w:val="006F1101"/>
    <w:rsid w:val="006F12B4"/>
    <w:rsid w:val="006F192F"/>
    <w:rsid w:val="006F20A0"/>
    <w:rsid w:val="006F20E2"/>
    <w:rsid w:val="006F2494"/>
    <w:rsid w:val="006F24A5"/>
    <w:rsid w:val="006F2637"/>
    <w:rsid w:val="006F26D5"/>
    <w:rsid w:val="006F29F5"/>
    <w:rsid w:val="006F2AB7"/>
    <w:rsid w:val="006F329C"/>
    <w:rsid w:val="006F33B7"/>
    <w:rsid w:val="006F3A21"/>
    <w:rsid w:val="006F3D73"/>
    <w:rsid w:val="006F3DBE"/>
    <w:rsid w:val="006F3EB3"/>
    <w:rsid w:val="006F3F65"/>
    <w:rsid w:val="006F421C"/>
    <w:rsid w:val="006F431E"/>
    <w:rsid w:val="006F432C"/>
    <w:rsid w:val="006F4383"/>
    <w:rsid w:val="006F43D1"/>
    <w:rsid w:val="006F4791"/>
    <w:rsid w:val="006F4B80"/>
    <w:rsid w:val="006F4DAE"/>
    <w:rsid w:val="006F5052"/>
    <w:rsid w:val="006F5114"/>
    <w:rsid w:val="006F534B"/>
    <w:rsid w:val="006F53E6"/>
    <w:rsid w:val="006F5697"/>
    <w:rsid w:val="006F5820"/>
    <w:rsid w:val="006F5B56"/>
    <w:rsid w:val="006F663C"/>
    <w:rsid w:val="006F69FA"/>
    <w:rsid w:val="006F6B85"/>
    <w:rsid w:val="006F6D77"/>
    <w:rsid w:val="006F6F35"/>
    <w:rsid w:val="006F745D"/>
    <w:rsid w:val="006F79A8"/>
    <w:rsid w:val="00700549"/>
    <w:rsid w:val="00700A2F"/>
    <w:rsid w:val="0070173B"/>
    <w:rsid w:val="00701A7F"/>
    <w:rsid w:val="0070203B"/>
    <w:rsid w:val="0070282E"/>
    <w:rsid w:val="0070299A"/>
    <w:rsid w:val="00702E17"/>
    <w:rsid w:val="00703136"/>
    <w:rsid w:val="007032B9"/>
    <w:rsid w:val="0070337A"/>
    <w:rsid w:val="00703717"/>
    <w:rsid w:val="00703838"/>
    <w:rsid w:val="007041E6"/>
    <w:rsid w:val="007041EF"/>
    <w:rsid w:val="007042F0"/>
    <w:rsid w:val="007044A9"/>
    <w:rsid w:val="00704A59"/>
    <w:rsid w:val="00704EA1"/>
    <w:rsid w:val="00704EA5"/>
    <w:rsid w:val="00705295"/>
    <w:rsid w:val="00705312"/>
    <w:rsid w:val="00705386"/>
    <w:rsid w:val="007056D2"/>
    <w:rsid w:val="007058E0"/>
    <w:rsid w:val="00705AF6"/>
    <w:rsid w:val="00705E43"/>
    <w:rsid w:val="00705E7A"/>
    <w:rsid w:val="00705FA4"/>
    <w:rsid w:val="00706005"/>
    <w:rsid w:val="00706BEF"/>
    <w:rsid w:val="00706C6A"/>
    <w:rsid w:val="00707138"/>
    <w:rsid w:val="0070714E"/>
    <w:rsid w:val="007078B0"/>
    <w:rsid w:val="00710217"/>
    <w:rsid w:val="00710539"/>
    <w:rsid w:val="007105FC"/>
    <w:rsid w:val="00710707"/>
    <w:rsid w:val="00710B48"/>
    <w:rsid w:val="00710C72"/>
    <w:rsid w:val="0071172F"/>
    <w:rsid w:val="00711940"/>
    <w:rsid w:val="007119A2"/>
    <w:rsid w:val="00711F2C"/>
    <w:rsid w:val="007120C0"/>
    <w:rsid w:val="0071211A"/>
    <w:rsid w:val="007123EC"/>
    <w:rsid w:val="00712E60"/>
    <w:rsid w:val="00712F4C"/>
    <w:rsid w:val="00713482"/>
    <w:rsid w:val="00713B17"/>
    <w:rsid w:val="00713BA7"/>
    <w:rsid w:val="00713BBE"/>
    <w:rsid w:val="00713D5E"/>
    <w:rsid w:val="00713F0D"/>
    <w:rsid w:val="00713F54"/>
    <w:rsid w:val="0071429E"/>
    <w:rsid w:val="0071474D"/>
    <w:rsid w:val="007147C4"/>
    <w:rsid w:val="00714B00"/>
    <w:rsid w:val="00714E10"/>
    <w:rsid w:val="0071542B"/>
    <w:rsid w:val="0071556D"/>
    <w:rsid w:val="00715F42"/>
    <w:rsid w:val="00715F45"/>
    <w:rsid w:val="00715F86"/>
    <w:rsid w:val="00715FEC"/>
    <w:rsid w:val="00716076"/>
    <w:rsid w:val="00716193"/>
    <w:rsid w:val="00716779"/>
    <w:rsid w:val="00716C6C"/>
    <w:rsid w:val="00717347"/>
    <w:rsid w:val="007173F4"/>
    <w:rsid w:val="0071798F"/>
    <w:rsid w:val="00717AF7"/>
    <w:rsid w:val="00717B1C"/>
    <w:rsid w:val="00717BC6"/>
    <w:rsid w:val="00717F05"/>
    <w:rsid w:val="00717F4B"/>
    <w:rsid w:val="00720417"/>
    <w:rsid w:val="00720B9E"/>
    <w:rsid w:val="007212FD"/>
    <w:rsid w:val="007213ED"/>
    <w:rsid w:val="0072163C"/>
    <w:rsid w:val="007217B4"/>
    <w:rsid w:val="00721A25"/>
    <w:rsid w:val="00721AAD"/>
    <w:rsid w:val="007220B0"/>
    <w:rsid w:val="0072220B"/>
    <w:rsid w:val="00722230"/>
    <w:rsid w:val="00722356"/>
    <w:rsid w:val="0072237B"/>
    <w:rsid w:val="007226E2"/>
    <w:rsid w:val="00722795"/>
    <w:rsid w:val="007228C8"/>
    <w:rsid w:val="0072323C"/>
    <w:rsid w:val="00723BB7"/>
    <w:rsid w:val="00723DAF"/>
    <w:rsid w:val="00723FAF"/>
    <w:rsid w:val="007240B1"/>
    <w:rsid w:val="00724281"/>
    <w:rsid w:val="00724372"/>
    <w:rsid w:val="00724646"/>
    <w:rsid w:val="00724653"/>
    <w:rsid w:val="007246A9"/>
    <w:rsid w:val="00724B41"/>
    <w:rsid w:val="00724B99"/>
    <w:rsid w:val="0072508F"/>
    <w:rsid w:val="00725770"/>
    <w:rsid w:val="00725A65"/>
    <w:rsid w:val="00725BA6"/>
    <w:rsid w:val="00725BC3"/>
    <w:rsid w:val="0072619E"/>
    <w:rsid w:val="007262D9"/>
    <w:rsid w:val="007265F0"/>
    <w:rsid w:val="007267CB"/>
    <w:rsid w:val="007269CD"/>
    <w:rsid w:val="00726BF3"/>
    <w:rsid w:val="00726DB4"/>
    <w:rsid w:val="00726E90"/>
    <w:rsid w:val="00727155"/>
    <w:rsid w:val="00727363"/>
    <w:rsid w:val="00727AF3"/>
    <w:rsid w:val="00727E3F"/>
    <w:rsid w:val="007300CF"/>
    <w:rsid w:val="007301AF"/>
    <w:rsid w:val="00730937"/>
    <w:rsid w:val="007309AA"/>
    <w:rsid w:val="00730A60"/>
    <w:rsid w:val="00730A70"/>
    <w:rsid w:val="00730B5A"/>
    <w:rsid w:val="00730EF4"/>
    <w:rsid w:val="0073136B"/>
    <w:rsid w:val="00731372"/>
    <w:rsid w:val="007313BC"/>
    <w:rsid w:val="007314FA"/>
    <w:rsid w:val="007315C7"/>
    <w:rsid w:val="00731D23"/>
    <w:rsid w:val="00731E3C"/>
    <w:rsid w:val="00731F7B"/>
    <w:rsid w:val="00731FA6"/>
    <w:rsid w:val="0073208D"/>
    <w:rsid w:val="007324C0"/>
    <w:rsid w:val="0073279E"/>
    <w:rsid w:val="00732FC7"/>
    <w:rsid w:val="00733213"/>
    <w:rsid w:val="00733297"/>
    <w:rsid w:val="007333AE"/>
    <w:rsid w:val="007337C4"/>
    <w:rsid w:val="00733A9F"/>
    <w:rsid w:val="00733AF5"/>
    <w:rsid w:val="00733DC6"/>
    <w:rsid w:val="00733E9A"/>
    <w:rsid w:val="0073424B"/>
    <w:rsid w:val="00734262"/>
    <w:rsid w:val="0073444A"/>
    <w:rsid w:val="00734AE5"/>
    <w:rsid w:val="00734B19"/>
    <w:rsid w:val="00734C11"/>
    <w:rsid w:val="00734C74"/>
    <w:rsid w:val="00734DC8"/>
    <w:rsid w:val="00734ED8"/>
    <w:rsid w:val="00734F93"/>
    <w:rsid w:val="00735183"/>
    <w:rsid w:val="007351F9"/>
    <w:rsid w:val="00735370"/>
    <w:rsid w:val="007353F4"/>
    <w:rsid w:val="0073554B"/>
    <w:rsid w:val="00735574"/>
    <w:rsid w:val="00735593"/>
    <w:rsid w:val="007365F1"/>
    <w:rsid w:val="00736AAC"/>
    <w:rsid w:val="00736FBD"/>
    <w:rsid w:val="00737062"/>
    <w:rsid w:val="007372DB"/>
    <w:rsid w:val="007374E1"/>
    <w:rsid w:val="007377F5"/>
    <w:rsid w:val="00737CD8"/>
    <w:rsid w:val="00737F1C"/>
    <w:rsid w:val="00740077"/>
    <w:rsid w:val="007402C0"/>
    <w:rsid w:val="00741753"/>
    <w:rsid w:val="007423E4"/>
    <w:rsid w:val="007428C2"/>
    <w:rsid w:val="00742D2F"/>
    <w:rsid w:val="00743EA6"/>
    <w:rsid w:val="00743FF9"/>
    <w:rsid w:val="0074415F"/>
    <w:rsid w:val="007447B7"/>
    <w:rsid w:val="00744BC6"/>
    <w:rsid w:val="00744CC6"/>
    <w:rsid w:val="0074546D"/>
    <w:rsid w:val="007454DF"/>
    <w:rsid w:val="00746628"/>
    <w:rsid w:val="00746880"/>
    <w:rsid w:val="0074690B"/>
    <w:rsid w:val="00746FC3"/>
    <w:rsid w:val="00747BBB"/>
    <w:rsid w:val="00751133"/>
    <w:rsid w:val="00751CE0"/>
    <w:rsid w:val="00751D6D"/>
    <w:rsid w:val="00751E37"/>
    <w:rsid w:val="00751FBA"/>
    <w:rsid w:val="0075221D"/>
    <w:rsid w:val="00752275"/>
    <w:rsid w:val="0075227E"/>
    <w:rsid w:val="007522A7"/>
    <w:rsid w:val="0075237A"/>
    <w:rsid w:val="007524F3"/>
    <w:rsid w:val="0075271C"/>
    <w:rsid w:val="007527FE"/>
    <w:rsid w:val="0075287F"/>
    <w:rsid w:val="00752A46"/>
    <w:rsid w:val="00752B4E"/>
    <w:rsid w:val="00752F7E"/>
    <w:rsid w:val="00752FBB"/>
    <w:rsid w:val="00753488"/>
    <w:rsid w:val="00753F33"/>
    <w:rsid w:val="00754AB3"/>
    <w:rsid w:val="00754F30"/>
    <w:rsid w:val="0075531C"/>
    <w:rsid w:val="00755419"/>
    <w:rsid w:val="0075553D"/>
    <w:rsid w:val="007559A3"/>
    <w:rsid w:val="007559FC"/>
    <w:rsid w:val="00756087"/>
    <w:rsid w:val="00756C06"/>
    <w:rsid w:val="007570DE"/>
    <w:rsid w:val="0075710B"/>
    <w:rsid w:val="0075715F"/>
    <w:rsid w:val="007601C0"/>
    <w:rsid w:val="00760B03"/>
    <w:rsid w:val="007610D8"/>
    <w:rsid w:val="0076133D"/>
    <w:rsid w:val="0076161F"/>
    <w:rsid w:val="0076192C"/>
    <w:rsid w:val="00761B47"/>
    <w:rsid w:val="00761D21"/>
    <w:rsid w:val="0076233C"/>
    <w:rsid w:val="007626FC"/>
    <w:rsid w:val="007628F9"/>
    <w:rsid w:val="00762B3C"/>
    <w:rsid w:val="00762F88"/>
    <w:rsid w:val="007631CD"/>
    <w:rsid w:val="00763281"/>
    <w:rsid w:val="0076360F"/>
    <w:rsid w:val="00763FDF"/>
    <w:rsid w:val="007641F7"/>
    <w:rsid w:val="00764887"/>
    <w:rsid w:val="00764A14"/>
    <w:rsid w:val="00764C52"/>
    <w:rsid w:val="00765103"/>
    <w:rsid w:val="0076534F"/>
    <w:rsid w:val="00765668"/>
    <w:rsid w:val="00765B88"/>
    <w:rsid w:val="00765BFA"/>
    <w:rsid w:val="0076602E"/>
    <w:rsid w:val="007665B1"/>
    <w:rsid w:val="00766673"/>
    <w:rsid w:val="00766B0B"/>
    <w:rsid w:val="00766D03"/>
    <w:rsid w:val="00767016"/>
    <w:rsid w:val="00767BE1"/>
    <w:rsid w:val="00770014"/>
    <w:rsid w:val="00770CA3"/>
    <w:rsid w:val="00770FA2"/>
    <w:rsid w:val="00770FE8"/>
    <w:rsid w:val="007716B9"/>
    <w:rsid w:val="007716E8"/>
    <w:rsid w:val="00772226"/>
    <w:rsid w:val="00772613"/>
    <w:rsid w:val="00772B8B"/>
    <w:rsid w:val="00772D77"/>
    <w:rsid w:val="007730AF"/>
    <w:rsid w:val="00773265"/>
    <w:rsid w:val="007732A5"/>
    <w:rsid w:val="00773B55"/>
    <w:rsid w:val="00773F09"/>
    <w:rsid w:val="007745BC"/>
    <w:rsid w:val="00774E02"/>
    <w:rsid w:val="00774FE7"/>
    <w:rsid w:val="007751F9"/>
    <w:rsid w:val="007752FA"/>
    <w:rsid w:val="007755DB"/>
    <w:rsid w:val="00775812"/>
    <w:rsid w:val="007759A0"/>
    <w:rsid w:val="00775B38"/>
    <w:rsid w:val="00775B5A"/>
    <w:rsid w:val="00775F19"/>
    <w:rsid w:val="00775F56"/>
    <w:rsid w:val="0077617B"/>
    <w:rsid w:val="007764FB"/>
    <w:rsid w:val="007770E6"/>
    <w:rsid w:val="00777341"/>
    <w:rsid w:val="007777C8"/>
    <w:rsid w:val="00777C05"/>
    <w:rsid w:val="007800A5"/>
    <w:rsid w:val="00780474"/>
    <w:rsid w:val="0078095C"/>
    <w:rsid w:val="00780B01"/>
    <w:rsid w:val="00780BD9"/>
    <w:rsid w:val="00780FD3"/>
    <w:rsid w:val="007810C2"/>
    <w:rsid w:val="00782459"/>
    <w:rsid w:val="00782815"/>
    <w:rsid w:val="00782CBC"/>
    <w:rsid w:val="00782D01"/>
    <w:rsid w:val="00782D15"/>
    <w:rsid w:val="007837DC"/>
    <w:rsid w:val="0078388E"/>
    <w:rsid w:val="007838F8"/>
    <w:rsid w:val="007841C0"/>
    <w:rsid w:val="007842F7"/>
    <w:rsid w:val="0078466D"/>
    <w:rsid w:val="0078471E"/>
    <w:rsid w:val="00784851"/>
    <w:rsid w:val="00784929"/>
    <w:rsid w:val="00784D27"/>
    <w:rsid w:val="00785722"/>
    <w:rsid w:val="00785A3A"/>
    <w:rsid w:val="007861F5"/>
    <w:rsid w:val="00786346"/>
    <w:rsid w:val="007865D1"/>
    <w:rsid w:val="00786D0B"/>
    <w:rsid w:val="0078700D"/>
    <w:rsid w:val="007871B0"/>
    <w:rsid w:val="0078727A"/>
    <w:rsid w:val="007874A2"/>
    <w:rsid w:val="00787C16"/>
    <w:rsid w:val="007900AE"/>
    <w:rsid w:val="00790420"/>
    <w:rsid w:val="0079060B"/>
    <w:rsid w:val="00790791"/>
    <w:rsid w:val="00790A2E"/>
    <w:rsid w:val="00790AF0"/>
    <w:rsid w:val="00790B8F"/>
    <w:rsid w:val="00790D6C"/>
    <w:rsid w:val="00790EB9"/>
    <w:rsid w:val="00790FEB"/>
    <w:rsid w:val="007912C9"/>
    <w:rsid w:val="007913B0"/>
    <w:rsid w:val="00791545"/>
    <w:rsid w:val="007916BE"/>
    <w:rsid w:val="00791EA4"/>
    <w:rsid w:val="007922D6"/>
    <w:rsid w:val="007923FF"/>
    <w:rsid w:val="0079247A"/>
    <w:rsid w:val="0079252C"/>
    <w:rsid w:val="007926B0"/>
    <w:rsid w:val="007927D6"/>
    <w:rsid w:val="007928A3"/>
    <w:rsid w:val="00792E77"/>
    <w:rsid w:val="00793938"/>
    <w:rsid w:val="00793CF1"/>
    <w:rsid w:val="00793D7B"/>
    <w:rsid w:val="00794127"/>
    <w:rsid w:val="007941C9"/>
    <w:rsid w:val="00794419"/>
    <w:rsid w:val="00794BC0"/>
    <w:rsid w:val="00794BF2"/>
    <w:rsid w:val="00794C2A"/>
    <w:rsid w:val="00794F23"/>
    <w:rsid w:val="00795265"/>
    <w:rsid w:val="007954F0"/>
    <w:rsid w:val="0079576F"/>
    <w:rsid w:val="00795807"/>
    <w:rsid w:val="0079594B"/>
    <w:rsid w:val="00796002"/>
    <w:rsid w:val="007963D0"/>
    <w:rsid w:val="00796557"/>
    <w:rsid w:val="00796A0B"/>
    <w:rsid w:val="00796A50"/>
    <w:rsid w:val="00796AF9"/>
    <w:rsid w:val="00796CC3"/>
    <w:rsid w:val="00796DCB"/>
    <w:rsid w:val="007970DB"/>
    <w:rsid w:val="007971B5"/>
    <w:rsid w:val="007974E2"/>
    <w:rsid w:val="00797A0D"/>
    <w:rsid w:val="00797C89"/>
    <w:rsid w:val="00797CB0"/>
    <w:rsid w:val="007A0137"/>
    <w:rsid w:val="007A017B"/>
    <w:rsid w:val="007A046E"/>
    <w:rsid w:val="007A094A"/>
    <w:rsid w:val="007A0D31"/>
    <w:rsid w:val="007A0FFD"/>
    <w:rsid w:val="007A111C"/>
    <w:rsid w:val="007A1186"/>
    <w:rsid w:val="007A1532"/>
    <w:rsid w:val="007A1767"/>
    <w:rsid w:val="007A223C"/>
    <w:rsid w:val="007A28C2"/>
    <w:rsid w:val="007A31A9"/>
    <w:rsid w:val="007A32BE"/>
    <w:rsid w:val="007A43DA"/>
    <w:rsid w:val="007A49EF"/>
    <w:rsid w:val="007A529A"/>
    <w:rsid w:val="007A52B4"/>
    <w:rsid w:val="007A55E4"/>
    <w:rsid w:val="007A55E7"/>
    <w:rsid w:val="007A57C4"/>
    <w:rsid w:val="007A5A7D"/>
    <w:rsid w:val="007A61C5"/>
    <w:rsid w:val="007A6272"/>
    <w:rsid w:val="007A6623"/>
    <w:rsid w:val="007A680D"/>
    <w:rsid w:val="007A6F8C"/>
    <w:rsid w:val="007A7210"/>
    <w:rsid w:val="007A7580"/>
    <w:rsid w:val="007B020A"/>
    <w:rsid w:val="007B03DB"/>
    <w:rsid w:val="007B042C"/>
    <w:rsid w:val="007B0576"/>
    <w:rsid w:val="007B0797"/>
    <w:rsid w:val="007B0912"/>
    <w:rsid w:val="007B0971"/>
    <w:rsid w:val="007B0C1A"/>
    <w:rsid w:val="007B0D6A"/>
    <w:rsid w:val="007B1247"/>
    <w:rsid w:val="007B1733"/>
    <w:rsid w:val="007B176B"/>
    <w:rsid w:val="007B1CBD"/>
    <w:rsid w:val="007B1DAB"/>
    <w:rsid w:val="007B203A"/>
    <w:rsid w:val="007B203F"/>
    <w:rsid w:val="007B2418"/>
    <w:rsid w:val="007B2529"/>
    <w:rsid w:val="007B28E5"/>
    <w:rsid w:val="007B2C48"/>
    <w:rsid w:val="007B35B7"/>
    <w:rsid w:val="007B3D9A"/>
    <w:rsid w:val="007B3EB8"/>
    <w:rsid w:val="007B4B06"/>
    <w:rsid w:val="007B50D6"/>
    <w:rsid w:val="007B51F5"/>
    <w:rsid w:val="007B54CB"/>
    <w:rsid w:val="007B55A0"/>
    <w:rsid w:val="007B5665"/>
    <w:rsid w:val="007B56EA"/>
    <w:rsid w:val="007B5B31"/>
    <w:rsid w:val="007B5D4C"/>
    <w:rsid w:val="007B5D7D"/>
    <w:rsid w:val="007B6751"/>
    <w:rsid w:val="007B692A"/>
    <w:rsid w:val="007B6BF9"/>
    <w:rsid w:val="007B6C1D"/>
    <w:rsid w:val="007B6C4A"/>
    <w:rsid w:val="007B6F3A"/>
    <w:rsid w:val="007B731E"/>
    <w:rsid w:val="007B755C"/>
    <w:rsid w:val="007B7DB4"/>
    <w:rsid w:val="007C014D"/>
    <w:rsid w:val="007C044B"/>
    <w:rsid w:val="007C0C0A"/>
    <w:rsid w:val="007C0C71"/>
    <w:rsid w:val="007C16BB"/>
    <w:rsid w:val="007C2C5C"/>
    <w:rsid w:val="007C2E34"/>
    <w:rsid w:val="007C2EEC"/>
    <w:rsid w:val="007C317A"/>
    <w:rsid w:val="007C33A1"/>
    <w:rsid w:val="007C3458"/>
    <w:rsid w:val="007C35F7"/>
    <w:rsid w:val="007C36FF"/>
    <w:rsid w:val="007C3716"/>
    <w:rsid w:val="007C3819"/>
    <w:rsid w:val="007C3973"/>
    <w:rsid w:val="007C3EE3"/>
    <w:rsid w:val="007C5006"/>
    <w:rsid w:val="007C5257"/>
    <w:rsid w:val="007C528D"/>
    <w:rsid w:val="007C5560"/>
    <w:rsid w:val="007C5707"/>
    <w:rsid w:val="007C58B1"/>
    <w:rsid w:val="007C58CF"/>
    <w:rsid w:val="007C5A99"/>
    <w:rsid w:val="007C5E2C"/>
    <w:rsid w:val="007C5E5B"/>
    <w:rsid w:val="007C5ED9"/>
    <w:rsid w:val="007C5FE0"/>
    <w:rsid w:val="007C63E7"/>
    <w:rsid w:val="007C6416"/>
    <w:rsid w:val="007C647C"/>
    <w:rsid w:val="007C7607"/>
    <w:rsid w:val="007C763F"/>
    <w:rsid w:val="007C79A9"/>
    <w:rsid w:val="007C7A63"/>
    <w:rsid w:val="007C7CA8"/>
    <w:rsid w:val="007C7D63"/>
    <w:rsid w:val="007C7D85"/>
    <w:rsid w:val="007D00C6"/>
    <w:rsid w:val="007D0223"/>
    <w:rsid w:val="007D023C"/>
    <w:rsid w:val="007D041C"/>
    <w:rsid w:val="007D0628"/>
    <w:rsid w:val="007D0AA4"/>
    <w:rsid w:val="007D0F4B"/>
    <w:rsid w:val="007D10C9"/>
    <w:rsid w:val="007D13FD"/>
    <w:rsid w:val="007D144B"/>
    <w:rsid w:val="007D173E"/>
    <w:rsid w:val="007D1CA1"/>
    <w:rsid w:val="007D1EE8"/>
    <w:rsid w:val="007D2071"/>
    <w:rsid w:val="007D21B0"/>
    <w:rsid w:val="007D230A"/>
    <w:rsid w:val="007D2573"/>
    <w:rsid w:val="007D2EEC"/>
    <w:rsid w:val="007D3580"/>
    <w:rsid w:val="007D3B9B"/>
    <w:rsid w:val="007D3C7D"/>
    <w:rsid w:val="007D3EB5"/>
    <w:rsid w:val="007D4404"/>
    <w:rsid w:val="007D4712"/>
    <w:rsid w:val="007D476D"/>
    <w:rsid w:val="007D4CF5"/>
    <w:rsid w:val="007D4D0E"/>
    <w:rsid w:val="007D4EAB"/>
    <w:rsid w:val="007D506D"/>
    <w:rsid w:val="007D547A"/>
    <w:rsid w:val="007D56AA"/>
    <w:rsid w:val="007D5982"/>
    <w:rsid w:val="007D5C86"/>
    <w:rsid w:val="007D5CA2"/>
    <w:rsid w:val="007D5F66"/>
    <w:rsid w:val="007D66CE"/>
    <w:rsid w:val="007D66E4"/>
    <w:rsid w:val="007D671E"/>
    <w:rsid w:val="007D6B8B"/>
    <w:rsid w:val="007D6DD6"/>
    <w:rsid w:val="007D6E1D"/>
    <w:rsid w:val="007D7781"/>
    <w:rsid w:val="007D7EA8"/>
    <w:rsid w:val="007E0196"/>
    <w:rsid w:val="007E05E9"/>
    <w:rsid w:val="007E08E0"/>
    <w:rsid w:val="007E0D62"/>
    <w:rsid w:val="007E11EA"/>
    <w:rsid w:val="007E1783"/>
    <w:rsid w:val="007E188E"/>
    <w:rsid w:val="007E18C6"/>
    <w:rsid w:val="007E1953"/>
    <w:rsid w:val="007E1D86"/>
    <w:rsid w:val="007E200C"/>
    <w:rsid w:val="007E228B"/>
    <w:rsid w:val="007E24B0"/>
    <w:rsid w:val="007E250A"/>
    <w:rsid w:val="007E2533"/>
    <w:rsid w:val="007E265C"/>
    <w:rsid w:val="007E284E"/>
    <w:rsid w:val="007E291A"/>
    <w:rsid w:val="007E2C99"/>
    <w:rsid w:val="007E2E61"/>
    <w:rsid w:val="007E2F82"/>
    <w:rsid w:val="007E3058"/>
    <w:rsid w:val="007E3133"/>
    <w:rsid w:val="007E352E"/>
    <w:rsid w:val="007E36AF"/>
    <w:rsid w:val="007E398B"/>
    <w:rsid w:val="007E3996"/>
    <w:rsid w:val="007E3C35"/>
    <w:rsid w:val="007E4279"/>
    <w:rsid w:val="007E484C"/>
    <w:rsid w:val="007E4861"/>
    <w:rsid w:val="007E48F0"/>
    <w:rsid w:val="007E4BFC"/>
    <w:rsid w:val="007E4D4C"/>
    <w:rsid w:val="007E4FC1"/>
    <w:rsid w:val="007E5934"/>
    <w:rsid w:val="007E6798"/>
    <w:rsid w:val="007E68D6"/>
    <w:rsid w:val="007E69D3"/>
    <w:rsid w:val="007E6BED"/>
    <w:rsid w:val="007E7331"/>
    <w:rsid w:val="007E7829"/>
    <w:rsid w:val="007E7BE4"/>
    <w:rsid w:val="007E7E37"/>
    <w:rsid w:val="007E7E68"/>
    <w:rsid w:val="007F0448"/>
    <w:rsid w:val="007F050D"/>
    <w:rsid w:val="007F0605"/>
    <w:rsid w:val="007F0734"/>
    <w:rsid w:val="007F07E5"/>
    <w:rsid w:val="007F0E82"/>
    <w:rsid w:val="007F0EED"/>
    <w:rsid w:val="007F1379"/>
    <w:rsid w:val="007F1B91"/>
    <w:rsid w:val="007F1D38"/>
    <w:rsid w:val="007F1D5D"/>
    <w:rsid w:val="007F246C"/>
    <w:rsid w:val="007F28F3"/>
    <w:rsid w:val="007F2AC2"/>
    <w:rsid w:val="007F2C2F"/>
    <w:rsid w:val="007F2F4D"/>
    <w:rsid w:val="007F308B"/>
    <w:rsid w:val="007F31AB"/>
    <w:rsid w:val="007F34BF"/>
    <w:rsid w:val="007F36DD"/>
    <w:rsid w:val="007F37E3"/>
    <w:rsid w:val="007F38B2"/>
    <w:rsid w:val="007F3A4A"/>
    <w:rsid w:val="007F3AD4"/>
    <w:rsid w:val="007F3B6C"/>
    <w:rsid w:val="007F3DC3"/>
    <w:rsid w:val="007F45E1"/>
    <w:rsid w:val="007F46E0"/>
    <w:rsid w:val="007F4844"/>
    <w:rsid w:val="007F4C1F"/>
    <w:rsid w:val="007F4CD4"/>
    <w:rsid w:val="007F4D4A"/>
    <w:rsid w:val="007F4DB7"/>
    <w:rsid w:val="007F4E79"/>
    <w:rsid w:val="007F5003"/>
    <w:rsid w:val="007F5164"/>
    <w:rsid w:val="007F5764"/>
    <w:rsid w:val="007F5E5A"/>
    <w:rsid w:val="007F5E92"/>
    <w:rsid w:val="007F5F46"/>
    <w:rsid w:val="007F611B"/>
    <w:rsid w:val="007F67AB"/>
    <w:rsid w:val="007F6DF4"/>
    <w:rsid w:val="007F735D"/>
    <w:rsid w:val="00800433"/>
    <w:rsid w:val="0080092C"/>
    <w:rsid w:val="00800EC2"/>
    <w:rsid w:val="0080151E"/>
    <w:rsid w:val="008017C1"/>
    <w:rsid w:val="0080181E"/>
    <w:rsid w:val="00801DAD"/>
    <w:rsid w:val="00801EB2"/>
    <w:rsid w:val="008020FA"/>
    <w:rsid w:val="00802624"/>
    <w:rsid w:val="00802B28"/>
    <w:rsid w:val="00802B84"/>
    <w:rsid w:val="00803942"/>
    <w:rsid w:val="00803C90"/>
    <w:rsid w:val="00803C9B"/>
    <w:rsid w:val="00804118"/>
    <w:rsid w:val="008044B8"/>
    <w:rsid w:val="00804D66"/>
    <w:rsid w:val="00805076"/>
    <w:rsid w:val="00805166"/>
    <w:rsid w:val="00805312"/>
    <w:rsid w:val="00805415"/>
    <w:rsid w:val="00805530"/>
    <w:rsid w:val="00806834"/>
    <w:rsid w:val="00806AA3"/>
    <w:rsid w:val="00806AF3"/>
    <w:rsid w:val="00806CCF"/>
    <w:rsid w:val="00806F54"/>
    <w:rsid w:val="00806FC0"/>
    <w:rsid w:val="008074AF"/>
    <w:rsid w:val="0080772A"/>
    <w:rsid w:val="00807CFF"/>
    <w:rsid w:val="00807F9E"/>
    <w:rsid w:val="008102D7"/>
    <w:rsid w:val="0081057A"/>
    <w:rsid w:val="00810A1E"/>
    <w:rsid w:val="00810AEE"/>
    <w:rsid w:val="00811286"/>
    <w:rsid w:val="008112C0"/>
    <w:rsid w:val="00811813"/>
    <w:rsid w:val="00811FC0"/>
    <w:rsid w:val="00812766"/>
    <w:rsid w:val="00812ACC"/>
    <w:rsid w:val="00812F97"/>
    <w:rsid w:val="00813013"/>
    <w:rsid w:val="008130BF"/>
    <w:rsid w:val="008136DD"/>
    <w:rsid w:val="008138A0"/>
    <w:rsid w:val="00813A04"/>
    <w:rsid w:val="00813C3D"/>
    <w:rsid w:val="00813C9A"/>
    <w:rsid w:val="00813D10"/>
    <w:rsid w:val="00813FC0"/>
    <w:rsid w:val="00814189"/>
    <w:rsid w:val="0081430F"/>
    <w:rsid w:val="00814D3E"/>
    <w:rsid w:val="008151DB"/>
    <w:rsid w:val="00815983"/>
    <w:rsid w:val="00815A33"/>
    <w:rsid w:val="00815E7F"/>
    <w:rsid w:val="008160B1"/>
    <w:rsid w:val="00816566"/>
    <w:rsid w:val="00816779"/>
    <w:rsid w:val="00816A49"/>
    <w:rsid w:val="00816A8C"/>
    <w:rsid w:val="00816F24"/>
    <w:rsid w:val="008171D6"/>
    <w:rsid w:val="008173E1"/>
    <w:rsid w:val="00817AFB"/>
    <w:rsid w:val="00817D7E"/>
    <w:rsid w:val="008204B9"/>
    <w:rsid w:val="008205DC"/>
    <w:rsid w:val="00820653"/>
    <w:rsid w:val="008209D7"/>
    <w:rsid w:val="00820AB0"/>
    <w:rsid w:val="00820CA4"/>
    <w:rsid w:val="008210CC"/>
    <w:rsid w:val="008210EB"/>
    <w:rsid w:val="0082110C"/>
    <w:rsid w:val="008211D9"/>
    <w:rsid w:val="0082150B"/>
    <w:rsid w:val="0082158C"/>
    <w:rsid w:val="008217B7"/>
    <w:rsid w:val="008217E0"/>
    <w:rsid w:val="00821B3F"/>
    <w:rsid w:val="00821DA4"/>
    <w:rsid w:val="008227BD"/>
    <w:rsid w:val="00822AA4"/>
    <w:rsid w:val="00822C58"/>
    <w:rsid w:val="008233E2"/>
    <w:rsid w:val="00823EB8"/>
    <w:rsid w:val="0082445C"/>
    <w:rsid w:val="00824837"/>
    <w:rsid w:val="00824938"/>
    <w:rsid w:val="00824DEA"/>
    <w:rsid w:val="00825271"/>
    <w:rsid w:val="0082595A"/>
    <w:rsid w:val="00825B0D"/>
    <w:rsid w:val="00825FEA"/>
    <w:rsid w:val="00826336"/>
    <w:rsid w:val="00826409"/>
    <w:rsid w:val="008266C7"/>
    <w:rsid w:val="00826796"/>
    <w:rsid w:val="008269DA"/>
    <w:rsid w:val="00826B82"/>
    <w:rsid w:val="00826BC6"/>
    <w:rsid w:val="00826CBC"/>
    <w:rsid w:val="008270C7"/>
    <w:rsid w:val="008272BA"/>
    <w:rsid w:val="008272C3"/>
    <w:rsid w:val="008275C2"/>
    <w:rsid w:val="00827CE0"/>
    <w:rsid w:val="00827DDE"/>
    <w:rsid w:val="00827DE4"/>
    <w:rsid w:val="00827ECE"/>
    <w:rsid w:val="00830164"/>
    <w:rsid w:val="008302F1"/>
    <w:rsid w:val="00830DBA"/>
    <w:rsid w:val="00830DD5"/>
    <w:rsid w:val="00830F01"/>
    <w:rsid w:val="00831002"/>
    <w:rsid w:val="00831174"/>
    <w:rsid w:val="008316CA"/>
    <w:rsid w:val="008319E7"/>
    <w:rsid w:val="00831A1A"/>
    <w:rsid w:val="00831A22"/>
    <w:rsid w:val="00831DA6"/>
    <w:rsid w:val="008326F0"/>
    <w:rsid w:val="0083289A"/>
    <w:rsid w:val="008330FE"/>
    <w:rsid w:val="0083362F"/>
    <w:rsid w:val="008336A9"/>
    <w:rsid w:val="0083410E"/>
    <w:rsid w:val="00834665"/>
    <w:rsid w:val="0083482E"/>
    <w:rsid w:val="00834D25"/>
    <w:rsid w:val="00835113"/>
    <w:rsid w:val="00835153"/>
    <w:rsid w:val="008353D0"/>
    <w:rsid w:val="00835A89"/>
    <w:rsid w:val="00835B68"/>
    <w:rsid w:val="00835C5A"/>
    <w:rsid w:val="00835F51"/>
    <w:rsid w:val="0083667B"/>
    <w:rsid w:val="00836828"/>
    <w:rsid w:val="0083699A"/>
    <w:rsid w:val="00836E4E"/>
    <w:rsid w:val="00836E5D"/>
    <w:rsid w:val="008379B8"/>
    <w:rsid w:val="0084009E"/>
    <w:rsid w:val="008409FF"/>
    <w:rsid w:val="00840ACA"/>
    <w:rsid w:val="00840C2F"/>
    <w:rsid w:val="008410DF"/>
    <w:rsid w:val="008415A7"/>
    <w:rsid w:val="008419C9"/>
    <w:rsid w:val="00841D60"/>
    <w:rsid w:val="00842484"/>
    <w:rsid w:val="008425BB"/>
    <w:rsid w:val="00842A61"/>
    <w:rsid w:val="00842C33"/>
    <w:rsid w:val="00842EF7"/>
    <w:rsid w:val="00843024"/>
    <w:rsid w:val="00843514"/>
    <w:rsid w:val="008436E3"/>
    <w:rsid w:val="00843730"/>
    <w:rsid w:val="008437B4"/>
    <w:rsid w:val="008437BA"/>
    <w:rsid w:val="00844618"/>
    <w:rsid w:val="00844B13"/>
    <w:rsid w:val="00844F86"/>
    <w:rsid w:val="00845181"/>
    <w:rsid w:val="008451B2"/>
    <w:rsid w:val="00845278"/>
    <w:rsid w:val="00845356"/>
    <w:rsid w:val="00845BB6"/>
    <w:rsid w:val="008461F2"/>
    <w:rsid w:val="0084626D"/>
    <w:rsid w:val="0084684B"/>
    <w:rsid w:val="00846AC7"/>
    <w:rsid w:val="00846CB2"/>
    <w:rsid w:val="00846D8D"/>
    <w:rsid w:val="00847295"/>
    <w:rsid w:val="00847838"/>
    <w:rsid w:val="00847EE8"/>
    <w:rsid w:val="008500C6"/>
    <w:rsid w:val="00850166"/>
    <w:rsid w:val="00850639"/>
    <w:rsid w:val="008510D6"/>
    <w:rsid w:val="008513B9"/>
    <w:rsid w:val="00851728"/>
    <w:rsid w:val="0085262F"/>
    <w:rsid w:val="008528D4"/>
    <w:rsid w:val="0085290B"/>
    <w:rsid w:val="008531C1"/>
    <w:rsid w:val="00853708"/>
    <w:rsid w:val="00853ABD"/>
    <w:rsid w:val="00854398"/>
    <w:rsid w:val="008548EE"/>
    <w:rsid w:val="00854A25"/>
    <w:rsid w:val="00854AE2"/>
    <w:rsid w:val="00854C3B"/>
    <w:rsid w:val="00855091"/>
    <w:rsid w:val="00855A1A"/>
    <w:rsid w:val="00855DF4"/>
    <w:rsid w:val="00856098"/>
    <w:rsid w:val="008560EA"/>
    <w:rsid w:val="0085652F"/>
    <w:rsid w:val="008565F4"/>
    <w:rsid w:val="008566B8"/>
    <w:rsid w:val="008567FB"/>
    <w:rsid w:val="00856C23"/>
    <w:rsid w:val="00856C4C"/>
    <w:rsid w:val="00856D5D"/>
    <w:rsid w:val="00856DA4"/>
    <w:rsid w:val="0085736E"/>
    <w:rsid w:val="008574C2"/>
    <w:rsid w:val="00857CDA"/>
    <w:rsid w:val="00857F40"/>
    <w:rsid w:val="00860153"/>
    <w:rsid w:val="00860CDA"/>
    <w:rsid w:val="00860F2D"/>
    <w:rsid w:val="0086119F"/>
    <w:rsid w:val="00861349"/>
    <w:rsid w:val="008617AB"/>
    <w:rsid w:val="008619CB"/>
    <w:rsid w:val="00861A0B"/>
    <w:rsid w:val="00862743"/>
    <w:rsid w:val="008630DB"/>
    <w:rsid w:val="0086379E"/>
    <w:rsid w:val="00863C41"/>
    <w:rsid w:val="00863E19"/>
    <w:rsid w:val="00863F90"/>
    <w:rsid w:val="00864118"/>
    <w:rsid w:val="00864519"/>
    <w:rsid w:val="00864F4D"/>
    <w:rsid w:val="00865480"/>
    <w:rsid w:val="00865AB1"/>
    <w:rsid w:val="00865C1E"/>
    <w:rsid w:val="00865EDD"/>
    <w:rsid w:val="00866164"/>
    <w:rsid w:val="008663FC"/>
    <w:rsid w:val="0086650F"/>
    <w:rsid w:val="00866586"/>
    <w:rsid w:val="0086684A"/>
    <w:rsid w:val="008668B9"/>
    <w:rsid w:val="008668CA"/>
    <w:rsid w:val="00866D36"/>
    <w:rsid w:val="00867064"/>
    <w:rsid w:val="0086743B"/>
    <w:rsid w:val="0086784D"/>
    <w:rsid w:val="00867BCF"/>
    <w:rsid w:val="00867E8B"/>
    <w:rsid w:val="0087025D"/>
    <w:rsid w:val="0087063C"/>
    <w:rsid w:val="00870E00"/>
    <w:rsid w:val="00871A75"/>
    <w:rsid w:val="00871B94"/>
    <w:rsid w:val="00872437"/>
    <w:rsid w:val="00872852"/>
    <w:rsid w:val="00872E50"/>
    <w:rsid w:val="0087329E"/>
    <w:rsid w:val="00873905"/>
    <w:rsid w:val="00873948"/>
    <w:rsid w:val="00873949"/>
    <w:rsid w:val="00873DB9"/>
    <w:rsid w:val="008740CF"/>
    <w:rsid w:val="008743A6"/>
    <w:rsid w:val="0087455A"/>
    <w:rsid w:val="00874785"/>
    <w:rsid w:val="00874972"/>
    <w:rsid w:val="00874F9C"/>
    <w:rsid w:val="008751B6"/>
    <w:rsid w:val="008755F7"/>
    <w:rsid w:val="0087563F"/>
    <w:rsid w:val="008759F5"/>
    <w:rsid w:val="008766B4"/>
    <w:rsid w:val="00876866"/>
    <w:rsid w:val="00876C4A"/>
    <w:rsid w:val="0087718C"/>
    <w:rsid w:val="0087792A"/>
    <w:rsid w:val="00877D28"/>
    <w:rsid w:val="0087C15A"/>
    <w:rsid w:val="008805DB"/>
    <w:rsid w:val="00880B78"/>
    <w:rsid w:val="00880EC9"/>
    <w:rsid w:val="00880FC1"/>
    <w:rsid w:val="008815C5"/>
    <w:rsid w:val="00881808"/>
    <w:rsid w:val="008819C1"/>
    <w:rsid w:val="0088244E"/>
    <w:rsid w:val="008824A8"/>
    <w:rsid w:val="00882580"/>
    <w:rsid w:val="0088261E"/>
    <w:rsid w:val="0088262F"/>
    <w:rsid w:val="0088265D"/>
    <w:rsid w:val="00882AD1"/>
    <w:rsid w:val="00882BF3"/>
    <w:rsid w:val="00883D85"/>
    <w:rsid w:val="00883F33"/>
    <w:rsid w:val="00883F6E"/>
    <w:rsid w:val="0088421A"/>
    <w:rsid w:val="0088422A"/>
    <w:rsid w:val="008842A4"/>
    <w:rsid w:val="008845DF"/>
    <w:rsid w:val="008846ED"/>
    <w:rsid w:val="00884792"/>
    <w:rsid w:val="00884895"/>
    <w:rsid w:val="0088494D"/>
    <w:rsid w:val="00884C68"/>
    <w:rsid w:val="00884D30"/>
    <w:rsid w:val="008850E3"/>
    <w:rsid w:val="0088566B"/>
    <w:rsid w:val="00885937"/>
    <w:rsid w:val="00885A9B"/>
    <w:rsid w:val="00885DA5"/>
    <w:rsid w:val="00886069"/>
    <w:rsid w:val="008866B3"/>
    <w:rsid w:val="0088676F"/>
    <w:rsid w:val="00886888"/>
    <w:rsid w:val="00886919"/>
    <w:rsid w:val="00886AE2"/>
    <w:rsid w:val="00886D2E"/>
    <w:rsid w:val="00886DD2"/>
    <w:rsid w:val="00886F75"/>
    <w:rsid w:val="00887621"/>
    <w:rsid w:val="008877D3"/>
    <w:rsid w:val="00887AF4"/>
    <w:rsid w:val="00887B2B"/>
    <w:rsid w:val="00887C83"/>
    <w:rsid w:val="008902C5"/>
    <w:rsid w:val="0089038F"/>
    <w:rsid w:val="008904EF"/>
    <w:rsid w:val="008905DB"/>
    <w:rsid w:val="00890664"/>
    <w:rsid w:val="008907EF"/>
    <w:rsid w:val="00890A8C"/>
    <w:rsid w:val="00890D8D"/>
    <w:rsid w:val="00890E76"/>
    <w:rsid w:val="008915CF"/>
    <w:rsid w:val="008916DE"/>
    <w:rsid w:val="00891783"/>
    <w:rsid w:val="00891D4F"/>
    <w:rsid w:val="00891FB3"/>
    <w:rsid w:val="008926C3"/>
    <w:rsid w:val="00892713"/>
    <w:rsid w:val="00892957"/>
    <w:rsid w:val="00892CCD"/>
    <w:rsid w:val="00893420"/>
    <w:rsid w:val="00894320"/>
    <w:rsid w:val="0089463C"/>
    <w:rsid w:val="008948F3"/>
    <w:rsid w:val="00894CBF"/>
    <w:rsid w:val="0089530F"/>
    <w:rsid w:val="008953D1"/>
    <w:rsid w:val="008955F4"/>
    <w:rsid w:val="00895B74"/>
    <w:rsid w:val="00895D87"/>
    <w:rsid w:val="00895D92"/>
    <w:rsid w:val="008961B5"/>
    <w:rsid w:val="00896328"/>
    <w:rsid w:val="008968EE"/>
    <w:rsid w:val="00896975"/>
    <w:rsid w:val="00896FEF"/>
    <w:rsid w:val="008972BC"/>
    <w:rsid w:val="00897728"/>
    <w:rsid w:val="00897A37"/>
    <w:rsid w:val="00897C8C"/>
    <w:rsid w:val="00897E16"/>
    <w:rsid w:val="008A0198"/>
    <w:rsid w:val="008A0208"/>
    <w:rsid w:val="008A05BE"/>
    <w:rsid w:val="008A073A"/>
    <w:rsid w:val="008A0890"/>
    <w:rsid w:val="008A089F"/>
    <w:rsid w:val="008A093B"/>
    <w:rsid w:val="008A0BBF"/>
    <w:rsid w:val="008A0FF8"/>
    <w:rsid w:val="008A2469"/>
    <w:rsid w:val="008A2514"/>
    <w:rsid w:val="008A252E"/>
    <w:rsid w:val="008A2706"/>
    <w:rsid w:val="008A272F"/>
    <w:rsid w:val="008A29DA"/>
    <w:rsid w:val="008A2A3D"/>
    <w:rsid w:val="008A321B"/>
    <w:rsid w:val="008A3250"/>
    <w:rsid w:val="008A396D"/>
    <w:rsid w:val="008A3B5D"/>
    <w:rsid w:val="008A3B63"/>
    <w:rsid w:val="008A3DA0"/>
    <w:rsid w:val="008A4040"/>
    <w:rsid w:val="008A409C"/>
    <w:rsid w:val="008A40E7"/>
    <w:rsid w:val="008A41B4"/>
    <w:rsid w:val="008A44ED"/>
    <w:rsid w:val="008A4591"/>
    <w:rsid w:val="008A4685"/>
    <w:rsid w:val="008A468C"/>
    <w:rsid w:val="008A4A39"/>
    <w:rsid w:val="008A4BC0"/>
    <w:rsid w:val="008A4C08"/>
    <w:rsid w:val="008A51EE"/>
    <w:rsid w:val="008A5504"/>
    <w:rsid w:val="008A5580"/>
    <w:rsid w:val="008A559A"/>
    <w:rsid w:val="008A5727"/>
    <w:rsid w:val="008A5799"/>
    <w:rsid w:val="008A57B6"/>
    <w:rsid w:val="008A57FE"/>
    <w:rsid w:val="008A5963"/>
    <w:rsid w:val="008A5B12"/>
    <w:rsid w:val="008A5D50"/>
    <w:rsid w:val="008A5D83"/>
    <w:rsid w:val="008A61AE"/>
    <w:rsid w:val="008A6440"/>
    <w:rsid w:val="008A65BE"/>
    <w:rsid w:val="008A6B9D"/>
    <w:rsid w:val="008A7DA3"/>
    <w:rsid w:val="008A7E87"/>
    <w:rsid w:val="008A7EBE"/>
    <w:rsid w:val="008B03B0"/>
    <w:rsid w:val="008B04D4"/>
    <w:rsid w:val="008B0FEA"/>
    <w:rsid w:val="008B1536"/>
    <w:rsid w:val="008B17B5"/>
    <w:rsid w:val="008B18AD"/>
    <w:rsid w:val="008B1C49"/>
    <w:rsid w:val="008B1F41"/>
    <w:rsid w:val="008B1F86"/>
    <w:rsid w:val="008B2217"/>
    <w:rsid w:val="008B22EE"/>
    <w:rsid w:val="008B2825"/>
    <w:rsid w:val="008B2A44"/>
    <w:rsid w:val="008B2D0E"/>
    <w:rsid w:val="008B3059"/>
    <w:rsid w:val="008B30EE"/>
    <w:rsid w:val="008B3146"/>
    <w:rsid w:val="008B3547"/>
    <w:rsid w:val="008B39D1"/>
    <w:rsid w:val="008B3BA1"/>
    <w:rsid w:val="008B3C74"/>
    <w:rsid w:val="008B471F"/>
    <w:rsid w:val="008B47A9"/>
    <w:rsid w:val="008B4C3F"/>
    <w:rsid w:val="008B55CF"/>
    <w:rsid w:val="008B5911"/>
    <w:rsid w:val="008B5BB6"/>
    <w:rsid w:val="008B5C7A"/>
    <w:rsid w:val="008B63FF"/>
    <w:rsid w:val="008B655B"/>
    <w:rsid w:val="008B6B29"/>
    <w:rsid w:val="008B6BE9"/>
    <w:rsid w:val="008B71ED"/>
    <w:rsid w:val="008B73A6"/>
    <w:rsid w:val="008B77BD"/>
    <w:rsid w:val="008B79C6"/>
    <w:rsid w:val="008B7ABF"/>
    <w:rsid w:val="008B7B41"/>
    <w:rsid w:val="008B7DA5"/>
    <w:rsid w:val="008B7F74"/>
    <w:rsid w:val="008C046C"/>
    <w:rsid w:val="008C0709"/>
    <w:rsid w:val="008C0869"/>
    <w:rsid w:val="008C0E1F"/>
    <w:rsid w:val="008C1501"/>
    <w:rsid w:val="008C18F2"/>
    <w:rsid w:val="008C2428"/>
    <w:rsid w:val="008C25BA"/>
    <w:rsid w:val="008C2781"/>
    <w:rsid w:val="008C285C"/>
    <w:rsid w:val="008C2A1E"/>
    <w:rsid w:val="008C2B2C"/>
    <w:rsid w:val="008C3450"/>
    <w:rsid w:val="008C36E8"/>
    <w:rsid w:val="008C37F6"/>
    <w:rsid w:val="008C3976"/>
    <w:rsid w:val="008C41BC"/>
    <w:rsid w:val="008C46AE"/>
    <w:rsid w:val="008C5590"/>
    <w:rsid w:val="008C5B21"/>
    <w:rsid w:val="008C5E13"/>
    <w:rsid w:val="008C5E80"/>
    <w:rsid w:val="008C6A2A"/>
    <w:rsid w:val="008C6DC4"/>
    <w:rsid w:val="008C6F6E"/>
    <w:rsid w:val="008C7111"/>
    <w:rsid w:val="008C7A79"/>
    <w:rsid w:val="008C7F9A"/>
    <w:rsid w:val="008D002B"/>
    <w:rsid w:val="008D0341"/>
    <w:rsid w:val="008D04B9"/>
    <w:rsid w:val="008D06CD"/>
    <w:rsid w:val="008D0E9D"/>
    <w:rsid w:val="008D1856"/>
    <w:rsid w:val="008D19E7"/>
    <w:rsid w:val="008D2145"/>
    <w:rsid w:val="008D2342"/>
    <w:rsid w:val="008D2398"/>
    <w:rsid w:val="008D281D"/>
    <w:rsid w:val="008D2A9D"/>
    <w:rsid w:val="008D3551"/>
    <w:rsid w:val="008D39D6"/>
    <w:rsid w:val="008D3CC5"/>
    <w:rsid w:val="008D3F99"/>
    <w:rsid w:val="008D4185"/>
    <w:rsid w:val="008D41A1"/>
    <w:rsid w:val="008D4345"/>
    <w:rsid w:val="008D456F"/>
    <w:rsid w:val="008D4A02"/>
    <w:rsid w:val="008D55CF"/>
    <w:rsid w:val="008D56D1"/>
    <w:rsid w:val="008D574E"/>
    <w:rsid w:val="008D583C"/>
    <w:rsid w:val="008D61C1"/>
    <w:rsid w:val="008D6439"/>
    <w:rsid w:val="008D6A6C"/>
    <w:rsid w:val="008D6DE1"/>
    <w:rsid w:val="008D719F"/>
    <w:rsid w:val="008D71E5"/>
    <w:rsid w:val="008D751E"/>
    <w:rsid w:val="008D7833"/>
    <w:rsid w:val="008D7A22"/>
    <w:rsid w:val="008D7FCC"/>
    <w:rsid w:val="008E038C"/>
    <w:rsid w:val="008E04A4"/>
    <w:rsid w:val="008E0F3C"/>
    <w:rsid w:val="008E0FC6"/>
    <w:rsid w:val="008E1163"/>
    <w:rsid w:val="008E1285"/>
    <w:rsid w:val="008E14AF"/>
    <w:rsid w:val="008E1511"/>
    <w:rsid w:val="008E157F"/>
    <w:rsid w:val="008E1BA8"/>
    <w:rsid w:val="008E1DAE"/>
    <w:rsid w:val="008E20BB"/>
    <w:rsid w:val="008E2456"/>
    <w:rsid w:val="008E26E5"/>
    <w:rsid w:val="008E27DB"/>
    <w:rsid w:val="008E2BD2"/>
    <w:rsid w:val="008E2CFA"/>
    <w:rsid w:val="008E327F"/>
    <w:rsid w:val="008E33EB"/>
    <w:rsid w:val="008E3400"/>
    <w:rsid w:val="008E3745"/>
    <w:rsid w:val="008E4267"/>
    <w:rsid w:val="008E4617"/>
    <w:rsid w:val="008E477F"/>
    <w:rsid w:val="008E47B7"/>
    <w:rsid w:val="008E4A59"/>
    <w:rsid w:val="008E4ABD"/>
    <w:rsid w:val="008E4C41"/>
    <w:rsid w:val="008E5462"/>
    <w:rsid w:val="008E54FA"/>
    <w:rsid w:val="008E5A5F"/>
    <w:rsid w:val="008E6269"/>
    <w:rsid w:val="008E62D9"/>
    <w:rsid w:val="008E6418"/>
    <w:rsid w:val="008E646C"/>
    <w:rsid w:val="008E69E5"/>
    <w:rsid w:val="008E6B5F"/>
    <w:rsid w:val="008E6F52"/>
    <w:rsid w:val="008E72C7"/>
    <w:rsid w:val="008E7AEF"/>
    <w:rsid w:val="008E7BD5"/>
    <w:rsid w:val="008E7CC4"/>
    <w:rsid w:val="008F0587"/>
    <w:rsid w:val="008F08BE"/>
    <w:rsid w:val="008F0B94"/>
    <w:rsid w:val="008F0DF8"/>
    <w:rsid w:val="008F0E2E"/>
    <w:rsid w:val="008F135D"/>
    <w:rsid w:val="008F1817"/>
    <w:rsid w:val="008F1866"/>
    <w:rsid w:val="008F19B5"/>
    <w:rsid w:val="008F1B14"/>
    <w:rsid w:val="008F34B3"/>
    <w:rsid w:val="008F35CE"/>
    <w:rsid w:val="008F35D0"/>
    <w:rsid w:val="008F3E2F"/>
    <w:rsid w:val="008F3F3F"/>
    <w:rsid w:val="008F4149"/>
    <w:rsid w:val="008F42EC"/>
    <w:rsid w:val="008F4367"/>
    <w:rsid w:val="008F446D"/>
    <w:rsid w:val="008F4507"/>
    <w:rsid w:val="008F453E"/>
    <w:rsid w:val="008F4EE9"/>
    <w:rsid w:val="008F4F6A"/>
    <w:rsid w:val="008F5EEB"/>
    <w:rsid w:val="008F68F0"/>
    <w:rsid w:val="008F706F"/>
    <w:rsid w:val="008F7354"/>
    <w:rsid w:val="008F77D7"/>
    <w:rsid w:val="008F7866"/>
    <w:rsid w:val="008F7EC8"/>
    <w:rsid w:val="009001F9"/>
    <w:rsid w:val="009005A8"/>
    <w:rsid w:val="009007E4"/>
    <w:rsid w:val="00900A6B"/>
    <w:rsid w:val="0090126F"/>
    <w:rsid w:val="00901B5E"/>
    <w:rsid w:val="00901B6B"/>
    <w:rsid w:val="0090258B"/>
    <w:rsid w:val="009026F1"/>
    <w:rsid w:val="00902B9C"/>
    <w:rsid w:val="00902DF5"/>
    <w:rsid w:val="00902F59"/>
    <w:rsid w:val="009035CB"/>
    <w:rsid w:val="00903644"/>
    <w:rsid w:val="009036F9"/>
    <w:rsid w:val="00903C45"/>
    <w:rsid w:val="00904115"/>
    <w:rsid w:val="009044EE"/>
    <w:rsid w:val="00904CBF"/>
    <w:rsid w:val="00905886"/>
    <w:rsid w:val="00905B1B"/>
    <w:rsid w:val="00905BB3"/>
    <w:rsid w:val="00905D69"/>
    <w:rsid w:val="00905E0E"/>
    <w:rsid w:val="00905E69"/>
    <w:rsid w:val="00905E9C"/>
    <w:rsid w:val="00905EBD"/>
    <w:rsid w:val="00905F03"/>
    <w:rsid w:val="00906131"/>
    <w:rsid w:val="009061A6"/>
    <w:rsid w:val="00906F30"/>
    <w:rsid w:val="00906FF3"/>
    <w:rsid w:val="00907390"/>
    <w:rsid w:val="009075CD"/>
    <w:rsid w:val="00907CBA"/>
    <w:rsid w:val="00907D11"/>
    <w:rsid w:val="00907D54"/>
    <w:rsid w:val="00907D69"/>
    <w:rsid w:val="00907D94"/>
    <w:rsid w:val="00907FBF"/>
    <w:rsid w:val="0091018D"/>
    <w:rsid w:val="0091049C"/>
    <w:rsid w:val="009106B4"/>
    <w:rsid w:val="00910A2E"/>
    <w:rsid w:val="00910C1F"/>
    <w:rsid w:val="00910E0C"/>
    <w:rsid w:val="00910F61"/>
    <w:rsid w:val="0091186A"/>
    <w:rsid w:val="009118A8"/>
    <w:rsid w:val="00911CA2"/>
    <w:rsid w:val="00911D13"/>
    <w:rsid w:val="009121FB"/>
    <w:rsid w:val="0091232D"/>
    <w:rsid w:val="00912E42"/>
    <w:rsid w:val="00912F67"/>
    <w:rsid w:val="00913007"/>
    <w:rsid w:val="009131B8"/>
    <w:rsid w:val="00913467"/>
    <w:rsid w:val="009136BD"/>
    <w:rsid w:val="00913728"/>
    <w:rsid w:val="009139E9"/>
    <w:rsid w:val="009139EA"/>
    <w:rsid w:val="00914010"/>
    <w:rsid w:val="009141E0"/>
    <w:rsid w:val="009141F5"/>
    <w:rsid w:val="00914391"/>
    <w:rsid w:val="00914821"/>
    <w:rsid w:val="00914CDF"/>
    <w:rsid w:val="009154E4"/>
    <w:rsid w:val="0091551B"/>
    <w:rsid w:val="009156F0"/>
    <w:rsid w:val="00915909"/>
    <w:rsid w:val="00915DAB"/>
    <w:rsid w:val="0091682C"/>
    <w:rsid w:val="00916874"/>
    <w:rsid w:val="0091695E"/>
    <w:rsid w:val="00916AA5"/>
    <w:rsid w:val="00916C83"/>
    <w:rsid w:val="00916FB0"/>
    <w:rsid w:val="009175C5"/>
    <w:rsid w:val="009176C3"/>
    <w:rsid w:val="009177E5"/>
    <w:rsid w:val="00917CCE"/>
    <w:rsid w:val="00920E6C"/>
    <w:rsid w:val="00921210"/>
    <w:rsid w:val="0092132F"/>
    <w:rsid w:val="0092142E"/>
    <w:rsid w:val="00921658"/>
    <w:rsid w:val="0092176E"/>
    <w:rsid w:val="00922220"/>
    <w:rsid w:val="00922388"/>
    <w:rsid w:val="009226F9"/>
    <w:rsid w:val="00922A01"/>
    <w:rsid w:val="00922C9B"/>
    <w:rsid w:val="00922CB5"/>
    <w:rsid w:val="00922D09"/>
    <w:rsid w:val="00923527"/>
    <w:rsid w:val="00923748"/>
    <w:rsid w:val="00923879"/>
    <w:rsid w:val="00923973"/>
    <w:rsid w:val="00923C7E"/>
    <w:rsid w:val="00923EDC"/>
    <w:rsid w:val="00924214"/>
    <w:rsid w:val="00924898"/>
    <w:rsid w:val="00924BEF"/>
    <w:rsid w:val="009258A1"/>
    <w:rsid w:val="00925B84"/>
    <w:rsid w:val="00925C57"/>
    <w:rsid w:val="0092607C"/>
    <w:rsid w:val="009266A8"/>
    <w:rsid w:val="009266C1"/>
    <w:rsid w:val="00926BC1"/>
    <w:rsid w:val="00926CD8"/>
    <w:rsid w:val="00926F01"/>
    <w:rsid w:val="00927084"/>
    <w:rsid w:val="00927BB7"/>
    <w:rsid w:val="00927C5B"/>
    <w:rsid w:val="009300E9"/>
    <w:rsid w:val="00930C58"/>
    <w:rsid w:val="0093171A"/>
    <w:rsid w:val="009318DE"/>
    <w:rsid w:val="00931B74"/>
    <w:rsid w:val="00931E1B"/>
    <w:rsid w:val="00931E70"/>
    <w:rsid w:val="009321B9"/>
    <w:rsid w:val="009324C1"/>
    <w:rsid w:val="00932787"/>
    <w:rsid w:val="009328E5"/>
    <w:rsid w:val="00932BDD"/>
    <w:rsid w:val="00932DA8"/>
    <w:rsid w:val="00933085"/>
    <w:rsid w:val="009330A1"/>
    <w:rsid w:val="0093333C"/>
    <w:rsid w:val="009339A3"/>
    <w:rsid w:val="00933B43"/>
    <w:rsid w:val="00933B7F"/>
    <w:rsid w:val="00934163"/>
    <w:rsid w:val="00934CC8"/>
    <w:rsid w:val="00934E42"/>
    <w:rsid w:val="00934FB1"/>
    <w:rsid w:val="00935037"/>
    <w:rsid w:val="0093512B"/>
    <w:rsid w:val="0093622E"/>
    <w:rsid w:val="009363D0"/>
    <w:rsid w:val="009364B5"/>
    <w:rsid w:val="00936540"/>
    <w:rsid w:val="00936CFA"/>
    <w:rsid w:val="00936D22"/>
    <w:rsid w:val="00936F66"/>
    <w:rsid w:val="00936F6C"/>
    <w:rsid w:val="00937721"/>
    <w:rsid w:val="0093773D"/>
    <w:rsid w:val="00937788"/>
    <w:rsid w:val="009377A7"/>
    <w:rsid w:val="00937890"/>
    <w:rsid w:val="00937CF9"/>
    <w:rsid w:val="00937EA6"/>
    <w:rsid w:val="00937F24"/>
    <w:rsid w:val="009403CC"/>
    <w:rsid w:val="00940691"/>
    <w:rsid w:val="009406C6"/>
    <w:rsid w:val="00940811"/>
    <w:rsid w:val="00940948"/>
    <w:rsid w:val="00940ACC"/>
    <w:rsid w:val="00940CC4"/>
    <w:rsid w:val="00940E73"/>
    <w:rsid w:val="00940EB8"/>
    <w:rsid w:val="00941758"/>
    <w:rsid w:val="0094196F"/>
    <w:rsid w:val="00941D26"/>
    <w:rsid w:val="00942076"/>
    <w:rsid w:val="0094213B"/>
    <w:rsid w:val="009423FF"/>
    <w:rsid w:val="00942865"/>
    <w:rsid w:val="00942A2C"/>
    <w:rsid w:val="00942B73"/>
    <w:rsid w:val="009432A8"/>
    <w:rsid w:val="009432C3"/>
    <w:rsid w:val="009437D3"/>
    <w:rsid w:val="00943D7A"/>
    <w:rsid w:val="0094416C"/>
    <w:rsid w:val="00944366"/>
    <w:rsid w:val="009445F1"/>
    <w:rsid w:val="00944600"/>
    <w:rsid w:val="00944718"/>
    <w:rsid w:val="00944B59"/>
    <w:rsid w:val="00944BE2"/>
    <w:rsid w:val="00944CAC"/>
    <w:rsid w:val="00944CB0"/>
    <w:rsid w:val="00944ED6"/>
    <w:rsid w:val="0094516D"/>
    <w:rsid w:val="00945477"/>
    <w:rsid w:val="009455E6"/>
    <w:rsid w:val="00945F78"/>
    <w:rsid w:val="00946517"/>
    <w:rsid w:val="0094657D"/>
    <w:rsid w:val="009466F5"/>
    <w:rsid w:val="00946718"/>
    <w:rsid w:val="00946881"/>
    <w:rsid w:val="00946E09"/>
    <w:rsid w:val="0094738E"/>
    <w:rsid w:val="009474E6"/>
    <w:rsid w:val="009475F7"/>
    <w:rsid w:val="009476A4"/>
    <w:rsid w:val="009477C7"/>
    <w:rsid w:val="00947B97"/>
    <w:rsid w:val="00947D8B"/>
    <w:rsid w:val="00947E74"/>
    <w:rsid w:val="00950016"/>
    <w:rsid w:val="00950088"/>
    <w:rsid w:val="00950116"/>
    <w:rsid w:val="00950189"/>
    <w:rsid w:val="0095026C"/>
    <w:rsid w:val="00950A49"/>
    <w:rsid w:val="00950F7A"/>
    <w:rsid w:val="00951579"/>
    <w:rsid w:val="00951D1F"/>
    <w:rsid w:val="00951F41"/>
    <w:rsid w:val="009521C0"/>
    <w:rsid w:val="009522C5"/>
    <w:rsid w:val="009528C1"/>
    <w:rsid w:val="00952D0D"/>
    <w:rsid w:val="00952EC9"/>
    <w:rsid w:val="0095338E"/>
    <w:rsid w:val="009534A3"/>
    <w:rsid w:val="009538EC"/>
    <w:rsid w:val="00953998"/>
    <w:rsid w:val="00953A6A"/>
    <w:rsid w:val="00953F20"/>
    <w:rsid w:val="009544CC"/>
    <w:rsid w:val="00955274"/>
    <w:rsid w:val="009552CC"/>
    <w:rsid w:val="0095532E"/>
    <w:rsid w:val="009556AC"/>
    <w:rsid w:val="009558B0"/>
    <w:rsid w:val="00955939"/>
    <w:rsid w:val="00955F9F"/>
    <w:rsid w:val="009560A4"/>
    <w:rsid w:val="00956201"/>
    <w:rsid w:val="009565B8"/>
    <w:rsid w:val="00956626"/>
    <w:rsid w:val="009566F7"/>
    <w:rsid w:val="00956E39"/>
    <w:rsid w:val="00956F14"/>
    <w:rsid w:val="0095717B"/>
    <w:rsid w:val="0095752B"/>
    <w:rsid w:val="00957EE7"/>
    <w:rsid w:val="00960217"/>
    <w:rsid w:val="00960405"/>
    <w:rsid w:val="00960507"/>
    <w:rsid w:val="00960526"/>
    <w:rsid w:val="00960835"/>
    <w:rsid w:val="00960C64"/>
    <w:rsid w:val="00960E4B"/>
    <w:rsid w:val="00960F50"/>
    <w:rsid w:val="009610D4"/>
    <w:rsid w:val="009619E9"/>
    <w:rsid w:val="00961E3C"/>
    <w:rsid w:val="009621F5"/>
    <w:rsid w:val="00963058"/>
    <w:rsid w:val="0096329C"/>
    <w:rsid w:val="009633A3"/>
    <w:rsid w:val="009635FC"/>
    <w:rsid w:val="00963678"/>
    <w:rsid w:val="009637BB"/>
    <w:rsid w:val="009639E1"/>
    <w:rsid w:val="00963C47"/>
    <w:rsid w:val="00963E82"/>
    <w:rsid w:val="009643D1"/>
    <w:rsid w:val="00964430"/>
    <w:rsid w:val="0096465D"/>
    <w:rsid w:val="009649C8"/>
    <w:rsid w:val="00964F4E"/>
    <w:rsid w:val="009653C9"/>
    <w:rsid w:val="009654F5"/>
    <w:rsid w:val="00965BA3"/>
    <w:rsid w:val="0096613D"/>
    <w:rsid w:val="0096655A"/>
    <w:rsid w:val="00966CCD"/>
    <w:rsid w:val="00966E80"/>
    <w:rsid w:val="0096718F"/>
    <w:rsid w:val="00967312"/>
    <w:rsid w:val="0096735E"/>
    <w:rsid w:val="00967864"/>
    <w:rsid w:val="00967A82"/>
    <w:rsid w:val="00967DD3"/>
    <w:rsid w:val="00967E5A"/>
    <w:rsid w:val="009703E3"/>
    <w:rsid w:val="00970617"/>
    <w:rsid w:val="00970F15"/>
    <w:rsid w:val="00970FEC"/>
    <w:rsid w:val="009710A8"/>
    <w:rsid w:val="00971825"/>
    <w:rsid w:val="00971A33"/>
    <w:rsid w:val="00971A4C"/>
    <w:rsid w:val="00971A50"/>
    <w:rsid w:val="00971EAD"/>
    <w:rsid w:val="00971ED8"/>
    <w:rsid w:val="009720F9"/>
    <w:rsid w:val="0097222F"/>
    <w:rsid w:val="00972231"/>
    <w:rsid w:val="00972789"/>
    <w:rsid w:val="00972E70"/>
    <w:rsid w:val="00973068"/>
    <w:rsid w:val="009737D6"/>
    <w:rsid w:val="00973A58"/>
    <w:rsid w:val="009741CC"/>
    <w:rsid w:val="00974751"/>
    <w:rsid w:val="009747B6"/>
    <w:rsid w:val="00974968"/>
    <w:rsid w:val="00974B13"/>
    <w:rsid w:val="00974BC6"/>
    <w:rsid w:val="00974E14"/>
    <w:rsid w:val="00974FE3"/>
    <w:rsid w:val="009756A5"/>
    <w:rsid w:val="00975778"/>
    <w:rsid w:val="009757EC"/>
    <w:rsid w:val="00975A09"/>
    <w:rsid w:val="00975BF3"/>
    <w:rsid w:val="00975C93"/>
    <w:rsid w:val="009764FD"/>
    <w:rsid w:val="00976959"/>
    <w:rsid w:val="009769A7"/>
    <w:rsid w:val="00976A8B"/>
    <w:rsid w:val="009771A9"/>
    <w:rsid w:val="0097750C"/>
    <w:rsid w:val="00980000"/>
    <w:rsid w:val="00980037"/>
    <w:rsid w:val="009800B3"/>
    <w:rsid w:val="009800D4"/>
    <w:rsid w:val="0098087D"/>
    <w:rsid w:val="009814B9"/>
    <w:rsid w:val="009815CE"/>
    <w:rsid w:val="00981B97"/>
    <w:rsid w:val="00981BC8"/>
    <w:rsid w:val="00981C07"/>
    <w:rsid w:val="00981C41"/>
    <w:rsid w:val="00982312"/>
    <w:rsid w:val="0098239B"/>
    <w:rsid w:val="00982534"/>
    <w:rsid w:val="0098269F"/>
    <w:rsid w:val="00982F05"/>
    <w:rsid w:val="009830DC"/>
    <w:rsid w:val="00983114"/>
    <w:rsid w:val="00983307"/>
    <w:rsid w:val="009834DC"/>
    <w:rsid w:val="00983677"/>
    <w:rsid w:val="00983C1D"/>
    <w:rsid w:val="0098402E"/>
    <w:rsid w:val="009846BE"/>
    <w:rsid w:val="009847BA"/>
    <w:rsid w:val="00984D77"/>
    <w:rsid w:val="00985109"/>
    <w:rsid w:val="00985335"/>
    <w:rsid w:val="00985542"/>
    <w:rsid w:val="0098566E"/>
    <w:rsid w:val="009861A4"/>
    <w:rsid w:val="009862F6"/>
    <w:rsid w:val="009866B5"/>
    <w:rsid w:val="00986C33"/>
    <w:rsid w:val="009874A8"/>
    <w:rsid w:val="009876AD"/>
    <w:rsid w:val="00987893"/>
    <w:rsid w:val="00987F44"/>
    <w:rsid w:val="0099021D"/>
    <w:rsid w:val="00990290"/>
    <w:rsid w:val="009902D1"/>
    <w:rsid w:val="009902FF"/>
    <w:rsid w:val="0099095A"/>
    <w:rsid w:val="00990AC8"/>
    <w:rsid w:val="00990D8B"/>
    <w:rsid w:val="00990FA4"/>
    <w:rsid w:val="00991412"/>
    <w:rsid w:val="009914F5"/>
    <w:rsid w:val="00991591"/>
    <w:rsid w:val="00991749"/>
    <w:rsid w:val="009919CD"/>
    <w:rsid w:val="00991C5C"/>
    <w:rsid w:val="0099217C"/>
    <w:rsid w:val="0099237C"/>
    <w:rsid w:val="009924DF"/>
    <w:rsid w:val="009927A0"/>
    <w:rsid w:val="00992E85"/>
    <w:rsid w:val="009934AC"/>
    <w:rsid w:val="009935D2"/>
    <w:rsid w:val="009937F9"/>
    <w:rsid w:val="00993A98"/>
    <w:rsid w:val="0099403A"/>
    <w:rsid w:val="00994087"/>
    <w:rsid w:val="00994802"/>
    <w:rsid w:val="009948FE"/>
    <w:rsid w:val="00994951"/>
    <w:rsid w:val="009949AF"/>
    <w:rsid w:val="00994A48"/>
    <w:rsid w:val="00994BCD"/>
    <w:rsid w:val="00994CC3"/>
    <w:rsid w:val="00994D2B"/>
    <w:rsid w:val="00995045"/>
    <w:rsid w:val="009952F9"/>
    <w:rsid w:val="009957D2"/>
    <w:rsid w:val="00995E3B"/>
    <w:rsid w:val="00996314"/>
    <w:rsid w:val="00996373"/>
    <w:rsid w:val="009965A0"/>
    <w:rsid w:val="009967A1"/>
    <w:rsid w:val="0099684E"/>
    <w:rsid w:val="00996E1C"/>
    <w:rsid w:val="00997700"/>
    <w:rsid w:val="00997A48"/>
    <w:rsid w:val="00997D4E"/>
    <w:rsid w:val="00997E70"/>
    <w:rsid w:val="009A050C"/>
    <w:rsid w:val="009A08A2"/>
    <w:rsid w:val="009A0B65"/>
    <w:rsid w:val="009A1315"/>
    <w:rsid w:val="009A1917"/>
    <w:rsid w:val="009A19EE"/>
    <w:rsid w:val="009A1C67"/>
    <w:rsid w:val="009A1C80"/>
    <w:rsid w:val="009A1DA9"/>
    <w:rsid w:val="009A1FAF"/>
    <w:rsid w:val="009A219A"/>
    <w:rsid w:val="009A23E4"/>
    <w:rsid w:val="009A28DD"/>
    <w:rsid w:val="009A2C72"/>
    <w:rsid w:val="009A2F40"/>
    <w:rsid w:val="009A3009"/>
    <w:rsid w:val="009A3032"/>
    <w:rsid w:val="009A32EC"/>
    <w:rsid w:val="009A3AFE"/>
    <w:rsid w:val="009A3D68"/>
    <w:rsid w:val="009A3E42"/>
    <w:rsid w:val="009A3EA6"/>
    <w:rsid w:val="009A3EC6"/>
    <w:rsid w:val="009A43DC"/>
    <w:rsid w:val="009A4581"/>
    <w:rsid w:val="009A45AE"/>
    <w:rsid w:val="009A4F1C"/>
    <w:rsid w:val="009A5476"/>
    <w:rsid w:val="009A54D0"/>
    <w:rsid w:val="009A55CE"/>
    <w:rsid w:val="009A571B"/>
    <w:rsid w:val="009A595B"/>
    <w:rsid w:val="009A5A32"/>
    <w:rsid w:val="009A5CE6"/>
    <w:rsid w:val="009A5DDD"/>
    <w:rsid w:val="009A5E96"/>
    <w:rsid w:val="009A630C"/>
    <w:rsid w:val="009A65F6"/>
    <w:rsid w:val="009A6A03"/>
    <w:rsid w:val="009A6FE3"/>
    <w:rsid w:val="009A73A8"/>
    <w:rsid w:val="009A798D"/>
    <w:rsid w:val="009A7A58"/>
    <w:rsid w:val="009A7D60"/>
    <w:rsid w:val="009A7E9B"/>
    <w:rsid w:val="009A7EA1"/>
    <w:rsid w:val="009A7F2F"/>
    <w:rsid w:val="009B0074"/>
    <w:rsid w:val="009B07BB"/>
    <w:rsid w:val="009B0AD9"/>
    <w:rsid w:val="009B0EB9"/>
    <w:rsid w:val="009B129C"/>
    <w:rsid w:val="009B14D9"/>
    <w:rsid w:val="009B1715"/>
    <w:rsid w:val="009B19F9"/>
    <w:rsid w:val="009B1CA2"/>
    <w:rsid w:val="009B1CC8"/>
    <w:rsid w:val="009B1CCE"/>
    <w:rsid w:val="009B1E60"/>
    <w:rsid w:val="009B1F0E"/>
    <w:rsid w:val="009B1FC6"/>
    <w:rsid w:val="009B2709"/>
    <w:rsid w:val="009B2D21"/>
    <w:rsid w:val="009B2DEF"/>
    <w:rsid w:val="009B340C"/>
    <w:rsid w:val="009B35B7"/>
    <w:rsid w:val="009B3A47"/>
    <w:rsid w:val="009B3C0C"/>
    <w:rsid w:val="009B3C11"/>
    <w:rsid w:val="009B3F9D"/>
    <w:rsid w:val="009B418C"/>
    <w:rsid w:val="009B42A8"/>
    <w:rsid w:val="009B445A"/>
    <w:rsid w:val="009B4596"/>
    <w:rsid w:val="009B4D91"/>
    <w:rsid w:val="009B541E"/>
    <w:rsid w:val="009B59D2"/>
    <w:rsid w:val="009B5DDC"/>
    <w:rsid w:val="009B6037"/>
    <w:rsid w:val="009B6434"/>
    <w:rsid w:val="009B65D3"/>
    <w:rsid w:val="009B684D"/>
    <w:rsid w:val="009B6C14"/>
    <w:rsid w:val="009B6CAD"/>
    <w:rsid w:val="009B7150"/>
    <w:rsid w:val="009B7BAE"/>
    <w:rsid w:val="009B7BD5"/>
    <w:rsid w:val="009C0007"/>
    <w:rsid w:val="009C0058"/>
    <w:rsid w:val="009C0569"/>
    <w:rsid w:val="009C0C71"/>
    <w:rsid w:val="009C0E09"/>
    <w:rsid w:val="009C1418"/>
    <w:rsid w:val="009C142F"/>
    <w:rsid w:val="009C17D5"/>
    <w:rsid w:val="009C1A4B"/>
    <w:rsid w:val="009C1D4E"/>
    <w:rsid w:val="009C2EAA"/>
    <w:rsid w:val="009C385B"/>
    <w:rsid w:val="009C38CA"/>
    <w:rsid w:val="009C40BA"/>
    <w:rsid w:val="009C424F"/>
    <w:rsid w:val="009C42DA"/>
    <w:rsid w:val="009C43D4"/>
    <w:rsid w:val="009C4549"/>
    <w:rsid w:val="009C45A7"/>
    <w:rsid w:val="009C45F2"/>
    <w:rsid w:val="009C4BE9"/>
    <w:rsid w:val="009C5869"/>
    <w:rsid w:val="009C58BA"/>
    <w:rsid w:val="009C58D5"/>
    <w:rsid w:val="009C5C02"/>
    <w:rsid w:val="009C5E9D"/>
    <w:rsid w:val="009C6059"/>
    <w:rsid w:val="009C63D4"/>
    <w:rsid w:val="009C64C0"/>
    <w:rsid w:val="009C675A"/>
    <w:rsid w:val="009C6C00"/>
    <w:rsid w:val="009C6F38"/>
    <w:rsid w:val="009C739C"/>
    <w:rsid w:val="009C73D5"/>
    <w:rsid w:val="009C788F"/>
    <w:rsid w:val="009C7A51"/>
    <w:rsid w:val="009C7E75"/>
    <w:rsid w:val="009C7F00"/>
    <w:rsid w:val="009D02DC"/>
    <w:rsid w:val="009D031E"/>
    <w:rsid w:val="009D074E"/>
    <w:rsid w:val="009D0B17"/>
    <w:rsid w:val="009D0BCC"/>
    <w:rsid w:val="009D0C2E"/>
    <w:rsid w:val="009D1929"/>
    <w:rsid w:val="009D1CA7"/>
    <w:rsid w:val="009D1F4B"/>
    <w:rsid w:val="009D2490"/>
    <w:rsid w:val="009D2A21"/>
    <w:rsid w:val="009D2E3B"/>
    <w:rsid w:val="009D30A9"/>
    <w:rsid w:val="009D31AA"/>
    <w:rsid w:val="009D3329"/>
    <w:rsid w:val="009D3520"/>
    <w:rsid w:val="009D3721"/>
    <w:rsid w:val="009D3778"/>
    <w:rsid w:val="009D3AC5"/>
    <w:rsid w:val="009D3EB5"/>
    <w:rsid w:val="009D4A5A"/>
    <w:rsid w:val="009D57B7"/>
    <w:rsid w:val="009D6140"/>
    <w:rsid w:val="009D627B"/>
    <w:rsid w:val="009D646B"/>
    <w:rsid w:val="009D68C7"/>
    <w:rsid w:val="009D6B94"/>
    <w:rsid w:val="009D6F2D"/>
    <w:rsid w:val="009D712D"/>
    <w:rsid w:val="009D73AB"/>
    <w:rsid w:val="009D7955"/>
    <w:rsid w:val="009D7B21"/>
    <w:rsid w:val="009D7D3B"/>
    <w:rsid w:val="009D7DEC"/>
    <w:rsid w:val="009D7DFD"/>
    <w:rsid w:val="009D7F89"/>
    <w:rsid w:val="009E003D"/>
    <w:rsid w:val="009E059E"/>
    <w:rsid w:val="009E063F"/>
    <w:rsid w:val="009E07C1"/>
    <w:rsid w:val="009E094A"/>
    <w:rsid w:val="009E0E2E"/>
    <w:rsid w:val="009E0F2C"/>
    <w:rsid w:val="009E143D"/>
    <w:rsid w:val="009E1DF6"/>
    <w:rsid w:val="009E1E3F"/>
    <w:rsid w:val="009E2279"/>
    <w:rsid w:val="009E2858"/>
    <w:rsid w:val="009E2B57"/>
    <w:rsid w:val="009E2BC3"/>
    <w:rsid w:val="009E2F90"/>
    <w:rsid w:val="009E3141"/>
    <w:rsid w:val="009E3199"/>
    <w:rsid w:val="009E32B4"/>
    <w:rsid w:val="009E375D"/>
    <w:rsid w:val="009E3978"/>
    <w:rsid w:val="009E3CB7"/>
    <w:rsid w:val="009E449E"/>
    <w:rsid w:val="009E44EF"/>
    <w:rsid w:val="009E4562"/>
    <w:rsid w:val="009E4B10"/>
    <w:rsid w:val="009E4BB0"/>
    <w:rsid w:val="009E4BFD"/>
    <w:rsid w:val="009E4F1E"/>
    <w:rsid w:val="009E5262"/>
    <w:rsid w:val="009E5780"/>
    <w:rsid w:val="009E5877"/>
    <w:rsid w:val="009E5896"/>
    <w:rsid w:val="009E58A5"/>
    <w:rsid w:val="009E6491"/>
    <w:rsid w:val="009E6825"/>
    <w:rsid w:val="009E6BCE"/>
    <w:rsid w:val="009E6EAE"/>
    <w:rsid w:val="009E7016"/>
    <w:rsid w:val="009E76A4"/>
    <w:rsid w:val="009E77D7"/>
    <w:rsid w:val="009E7C95"/>
    <w:rsid w:val="009E7FF0"/>
    <w:rsid w:val="009F005B"/>
    <w:rsid w:val="009F0102"/>
    <w:rsid w:val="009F0A75"/>
    <w:rsid w:val="009F0D16"/>
    <w:rsid w:val="009F1CC0"/>
    <w:rsid w:val="009F1F62"/>
    <w:rsid w:val="009F2306"/>
    <w:rsid w:val="009F2455"/>
    <w:rsid w:val="009F2FA3"/>
    <w:rsid w:val="009F2FAE"/>
    <w:rsid w:val="009F35DA"/>
    <w:rsid w:val="009F37E9"/>
    <w:rsid w:val="009F3AF1"/>
    <w:rsid w:val="009F3B50"/>
    <w:rsid w:val="009F3C5C"/>
    <w:rsid w:val="009F3D65"/>
    <w:rsid w:val="009F3E86"/>
    <w:rsid w:val="009F3F7B"/>
    <w:rsid w:val="009F3FA8"/>
    <w:rsid w:val="009F41A7"/>
    <w:rsid w:val="009F427F"/>
    <w:rsid w:val="009F45D0"/>
    <w:rsid w:val="009F4740"/>
    <w:rsid w:val="009F4776"/>
    <w:rsid w:val="009F48E3"/>
    <w:rsid w:val="009F4AF6"/>
    <w:rsid w:val="009F4B50"/>
    <w:rsid w:val="009F5240"/>
    <w:rsid w:val="009F536C"/>
    <w:rsid w:val="009F5620"/>
    <w:rsid w:val="009F567F"/>
    <w:rsid w:val="009F5698"/>
    <w:rsid w:val="009F5BD4"/>
    <w:rsid w:val="009F66C7"/>
    <w:rsid w:val="009F67A2"/>
    <w:rsid w:val="009F70E3"/>
    <w:rsid w:val="009F74D0"/>
    <w:rsid w:val="009F753A"/>
    <w:rsid w:val="009F75ED"/>
    <w:rsid w:val="009F77A1"/>
    <w:rsid w:val="009F7C7F"/>
    <w:rsid w:val="009FE49B"/>
    <w:rsid w:val="00A0040A"/>
    <w:rsid w:val="00A006CC"/>
    <w:rsid w:val="00A00D41"/>
    <w:rsid w:val="00A00D8A"/>
    <w:rsid w:val="00A00F8E"/>
    <w:rsid w:val="00A01150"/>
    <w:rsid w:val="00A0120B"/>
    <w:rsid w:val="00A01387"/>
    <w:rsid w:val="00A01467"/>
    <w:rsid w:val="00A02143"/>
    <w:rsid w:val="00A0226B"/>
    <w:rsid w:val="00A025BB"/>
    <w:rsid w:val="00A02B72"/>
    <w:rsid w:val="00A02F90"/>
    <w:rsid w:val="00A02FE0"/>
    <w:rsid w:val="00A03709"/>
    <w:rsid w:val="00A0378E"/>
    <w:rsid w:val="00A0379C"/>
    <w:rsid w:val="00A03FEE"/>
    <w:rsid w:val="00A04D38"/>
    <w:rsid w:val="00A053D4"/>
    <w:rsid w:val="00A05435"/>
    <w:rsid w:val="00A05461"/>
    <w:rsid w:val="00A05577"/>
    <w:rsid w:val="00A055E8"/>
    <w:rsid w:val="00A055F5"/>
    <w:rsid w:val="00A059C0"/>
    <w:rsid w:val="00A064C0"/>
    <w:rsid w:val="00A0677D"/>
    <w:rsid w:val="00A06891"/>
    <w:rsid w:val="00A06B26"/>
    <w:rsid w:val="00A06CBC"/>
    <w:rsid w:val="00A07033"/>
    <w:rsid w:val="00A072E1"/>
    <w:rsid w:val="00A0765F"/>
    <w:rsid w:val="00A07846"/>
    <w:rsid w:val="00A07AD0"/>
    <w:rsid w:val="00A07B93"/>
    <w:rsid w:val="00A10035"/>
    <w:rsid w:val="00A1038A"/>
    <w:rsid w:val="00A105A8"/>
    <w:rsid w:val="00A10710"/>
    <w:rsid w:val="00A10C6F"/>
    <w:rsid w:val="00A110F2"/>
    <w:rsid w:val="00A11358"/>
    <w:rsid w:val="00A113DA"/>
    <w:rsid w:val="00A11DA2"/>
    <w:rsid w:val="00A120A9"/>
    <w:rsid w:val="00A12646"/>
    <w:rsid w:val="00A1282E"/>
    <w:rsid w:val="00A129A5"/>
    <w:rsid w:val="00A12ADD"/>
    <w:rsid w:val="00A13015"/>
    <w:rsid w:val="00A13957"/>
    <w:rsid w:val="00A13A95"/>
    <w:rsid w:val="00A142DD"/>
    <w:rsid w:val="00A14838"/>
    <w:rsid w:val="00A14DF5"/>
    <w:rsid w:val="00A1561B"/>
    <w:rsid w:val="00A15634"/>
    <w:rsid w:val="00A15771"/>
    <w:rsid w:val="00A15B58"/>
    <w:rsid w:val="00A15D92"/>
    <w:rsid w:val="00A161FE"/>
    <w:rsid w:val="00A1681F"/>
    <w:rsid w:val="00A16C96"/>
    <w:rsid w:val="00A16D1A"/>
    <w:rsid w:val="00A16EAD"/>
    <w:rsid w:val="00A1724D"/>
    <w:rsid w:val="00A1733B"/>
    <w:rsid w:val="00A174CF"/>
    <w:rsid w:val="00A1775D"/>
    <w:rsid w:val="00A17915"/>
    <w:rsid w:val="00A17FA1"/>
    <w:rsid w:val="00A20C4C"/>
    <w:rsid w:val="00A20DFC"/>
    <w:rsid w:val="00A20E84"/>
    <w:rsid w:val="00A20EEC"/>
    <w:rsid w:val="00A211AB"/>
    <w:rsid w:val="00A214CC"/>
    <w:rsid w:val="00A2160D"/>
    <w:rsid w:val="00A21A62"/>
    <w:rsid w:val="00A22899"/>
    <w:rsid w:val="00A22A1B"/>
    <w:rsid w:val="00A22B2D"/>
    <w:rsid w:val="00A22B9D"/>
    <w:rsid w:val="00A22CB1"/>
    <w:rsid w:val="00A22CDC"/>
    <w:rsid w:val="00A22D9C"/>
    <w:rsid w:val="00A22E57"/>
    <w:rsid w:val="00A23500"/>
    <w:rsid w:val="00A237A1"/>
    <w:rsid w:val="00A2397C"/>
    <w:rsid w:val="00A23AB2"/>
    <w:rsid w:val="00A23CEB"/>
    <w:rsid w:val="00A24252"/>
    <w:rsid w:val="00A2452F"/>
    <w:rsid w:val="00A24C38"/>
    <w:rsid w:val="00A251C5"/>
    <w:rsid w:val="00A256C8"/>
    <w:rsid w:val="00A25922"/>
    <w:rsid w:val="00A259BD"/>
    <w:rsid w:val="00A25ED2"/>
    <w:rsid w:val="00A26005"/>
    <w:rsid w:val="00A26299"/>
    <w:rsid w:val="00A262C9"/>
    <w:rsid w:val="00A262E4"/>
    <w:rsid w:val="00A26491"/>
    <w:rsid w:val="00A2661C"/>
    <w:rsid w:val="00A2672F"/>
    <w:rsid w:val="00A2673A"/>
    <w:rsid w:val="00A2681D"/>
    <w:rsid w:val="00A26A42"/>
    <w:rsid w:val="00A26AA1"/>
    <w:rsid w:val="00A273E3"/>
    <w:rsid w:val="00A2777F"/>
    <w:rsid w:val="00A27915"/>
    <w:rsid w:val="00A27B02"/>
    <w:rsid w:val="00A30615"/>
    <w:rsid w:val="00A30728"/>
    <w:rsid w:val="00A3088B"/>
    <w:rsid w:val="00A308E9"/>
    <w:rsid w:val="00A30C09"/>
    <w:rsid w:val="00A30D62"/>
    <w:rsid w:val="00A31841"/>
    <w:rsid w:val="00A318BA"/>
    <w:rsid w:val="00A318F9"/>
    <w:rsid w:val="00A320CC"/>
    <w:rsid w:val="00A32589"/>
    <w:rsid w:val="00A325B3"/>
    <w:rsid w:val="00A3288D"/>
    <w:rsid w:val="00A32A35"/>
    <w:rsid w:val="00A33044"/>
    <w:rsid w:val="00A3314B"/>
    <w:rsid w:val="00A331CB"/>
    <w:rsid w:val="00A33B28"/>
    <w:rsid w:val="00A33C94"/>
    <w:rsid w:val="00A341BF"/>
    <w:rsid w:val="00A3423E"/>
    <w:rsid w:val="00A343E3"/>
    <w:rsid w:val="00A3471F"/>
    <w:rsid w:val="00A347B3"/>
    <w:rsid w:val="00A3483B"/>
    <w:rsid w:val="00A34844"/>
    <w:rsid w:val="00A3494B"/>
    <w:rsid w:val="00A349AF"/>
    <w:rsid w:val="00A34CD8"/>
    <w:rsid w:val="00A35598"/>
    <w:rsid w:val="00A356C1"/>
    <w:rsid w:val="00A35707"/>
    <w:rsid w:val="00A35763"/>
    <w:rsid w:val="00A359A0"/>
    <w:rsid w:val="00A35D0B"/>
    <w:rsid w:val="00A35DD7"/>
    <w:rsid w:val="00A35F52"/>
    <w:rsid w:val="00A36CBA"/>
    <w:rsid w:val="00A36DE4"/>
    <w:rsid w:val="00A36E97"/>
    <w:rsid w:val="00A370E0"/>
    <w:rsid w:val="00A373F8"/>
    <w:rsid w:val="00A37435"/>
    <w:rsid w:val="00A37509"/>
    <w:rsid w:val="00A37851"/>
    <w:rsid w:val="00A400C7"/>
    <w:rsid w:val="00A40270"/>
    <w:rsid w:val="00A407CA"/>
    <w:rsid w:val="00A40B93"/>
    <w:rsid w:val="00A40C14"/>
    <w:rsid w:val="00A40CD6"/>
    <w:rsid w:val="00A414A0"/>
    <w:rsid w:val="00A41681"/>
    <w:rsid w:val="00A41A0C"/>
    <w:rsid w:val="00A41FAA"/>
    <w:rsid w:val="00A420A2"/>
    <w:rsid w:val="00A42106"/>
    <w:rsid w:val="00A42442"/>
    <w:rsid w:val="00A42804"/>
    <w:rsid w:val="00A43164"/>
    <w:rsid w:val="00A43315"/>
    <w:rsid w:val="00A43951"/>
    <w:rsid w:val="00A43B3D"/>
    <w:rsid w:val="00A43D4C"/>
    <w:rsid w:val="00A4408D"/>
    <w:rsid w:val="00A441AC"/>
    <w:rsid w:val="00A44314"/>
    <w:rsid w:val="00A4460B"/>
    <w:rsid w:val="00A449BA"/>
    <w:rsid w:val="00A44A9F"/>
    <w:rsid w:val="00A44BC4"/>
    <w:rsid w:val="00A44C3B"/>
    <w:rsid w:val="00A44DDE"/>
    <w:rsid w:val="00A450C9"/>
    <w:rsid w:val="00A45143"/>
    <w:rsid w:val="00A455AD"/>
    <w:rsid w:val="00A45904"/>
    <w:rsid w:val="00A46168"/>
    <w:rsid w:val="00A464A5"/>
    <w:rsid w:val="00A4658A"/>
    <w:rsid w:val="00A4693F"/>
    <w:rsid w:val="00A46C59"/>
    <w:rsid w:val="00A46F98"/>
    <w:rsid w:val="00A4724B"/>
    <w:rsid w:val="00A47636"/>
    <w:rsid w:val="00A4781B"/>
    <w:rsid w:val="00A478D4"/>
    <w:rsid w:val="00A479EA"/>
    <w:rsid w:val="00A47AEE"/>
    <w:rsid w:val="00A47B37"/>
    <w:rsid w:val="00A47E8E"/>
    <w:rsid w:val="00A47FB8"/>
    <w:rsid w:val="00A50AAB"/>
    <w:rsid w:val="00A50E64"/>
    <w:rsid w:val="00A512F6"/>
    <w:rsid w:val="00A5171C"/>
    <w:rsid w:val="00A51F27"/>
    <w:rsid w:val="00A523ED"/>
    <w:rsid w:val="00A53146"/>
    <w:rsid w:val="00A5352F"/>
    <w:rsid w:val="00A535F6"/>
    <w:rsid w:val="00A537A6"/>
    <w:rsid w:val="00A5384F"/>
    <w:rsid w:val="00A5389C"/>
    <w:rsid w:val="00A53902"/>
    <w:rsid w:val="00A53A28"/>
    <w:rsid w:val="00A53C5C"/>
    <w:rsid w:val="00A53E1F"/>
    <w:rsid w:val="00A53FBD"/>
    <w:rsid w:val="00A540A1"/>
    <w:rsid w:val="00A5427E"/>
    <w:rsid w:val="00A5446E"/>
    <w:rsid w:val="00A54959"/>
    <w:rsid w:val="00A54B3E"/>
    <w:rsid w:val="00A54B67"/>
    <w:rsid w:val="00A54E12"/>
    <w:rsid w:val="00A55064"/>
    <w:rsid w:val="00A55083"/>
    <w:rsid w:val="00A55424"/>
    <w:rsid w:val="00A5552E"/>
    <w:rsid w:val="00A558E0"/>
    <w:rsid w:val="00A55BBA"/>
    <w:rsid w:val="00A55E89"/>
    <w:rsid w:val="00A55EC1"/>
    <w:rsid w:val="00A56242"/>
    <w:rsid w:val="00A5636F"/>
    <w:rsid w:val="00A56500"/>
    <w:rsid w:val="00A56690"/>
    <w:rsid w:val="00A56698"/>
    <w:rsid w:val="00A56A48"/>
    <w:rsid w:val="00A56B4C"/>
    <w:rsid w:val="00A56F56"/>
    <w:rsid w:val="00A57A2C"/>
    <w:rsid w:val="00A57CB5"/>
    <w:rsid w:val="00A57EAE"/>
    <w:rsid w:val="00A602D6"/>
    <w:rsid w:val="00A60D53"/>
    <w:rsid w:val="00A612E4"/>
    <w:rsid w:val="00A6137A"/>
    <w:rsid w:val="00A6137C"/>
    <w:rsid w:val="00A614F8"/>
    <w:rsid w:val="00A61682"/>
    <w:rsid w:val="00A618DA"/>
    <w:rsid w:val="00A61BCD"/>
    <w:rsid w:val="00A61EE0"/>
    <w:rsid w:val="00A61F67"/>
    <w:rsid w:val="00A61FF1"/>
    <w:rsid w:val="00A62056"/>
    <w:rsid w:val="00A620C4"/>
    <w:rsid w:val="00A622AD"/>
    <w:rsid w:val="00A62397"/>
    <w:rsid w:val="00A62479"/>
    <w:rsid w:val="00A624D1"/>
    <w:rsid w:val="00A628F1"/>
    <w:rsid w:val="00A62EF3"/>
    <w:rsid w:val="00A630A2"/>
    <w:rsid w:val="00A6319A"/>
    <w:rsid w:val="00A635C5"/>
    <w:rsid w:val="00A636D2"/>
    <w:rsid w:val="00A63C11"/>
    <w:rsid w:val="00A64269"/>
    <w:rsid w:val="00A644DA"/>
    <w:rsid w:val="00A649E1"/>
    <w:rsid w:val="00A64D21"/>
    <w:rsid w:val="00A64E2A"/>
    <w:rsid w:val="00A657B0"/>
    <w:rsid w:val="00A65820"/>
    <w:rsid w:val="00A65964"/>
    <w:rsid w:val="00A65BA2"/>
    <w:rsid w:val="00A65EBD"/>
    <w:rsid w:val="00A65EF7"/>
    <w:rsid w:val="00A65F0A"/>
    <w:rsid w:val="00A65F18"/>
    <w:rsid w:val="00A66038"/>
    <w:rsid w:val="00A6618D"/>
    <w:rsid w:val="00A66372"/>
    <w:rsid w:val="00A66376"/>
    <w:rsid w:val="00A6647C"/>
    <w:rsid w:val="00A66803"/>
    <w:rsid w:val="00A66D9B"/>
    <w:rsid w:val="00A66E93"/>
    <w:rsid w:val="00A67215"/>
    <w:rsid w:val="00A67395"/>
    <w:rsid w:val="00A6785C"/>
    <w:rsid w:val="00A678A3"/>
    <w:rsid w:val="00A67DA4"/>
    <w:rsid w:val="00A70161"/>
    <w:rsid w:val="00A704E4"/>
    <w:rsid w:val="00A705D3"/>
    <w:rsid w:val="00A7088C"/>
    <w:rsid w:val="00A708E4"/>
    <w:rsid w:val="00A70B55"/>
    <w:rsid w:val="00A71032"/>
    <w:rsid w:val="00A710E1"/>
    <w:rsid w:val="00A714BF"/>
    <w:rsid w:val="00A71E3A"/>
    <w:rsid w:val="00A721D1"/>
    <w:rsid w:val="00A722A0"/>
    <w:rsid w:val="00A72767"/>
    <w:rsid w:val="00A72A08"/>
    <w:rsid w:val="00A72AE5"/>
    <w:rsid w:val="00A72DFF"/>
    <w:rsid w:val="00A72E87"/>
    <w:rsid w:val="00A734A0"/>
    <w:rsid w:val="00A734EB"/>
    <w:rsid w:val="00A734FF"/>
    <w:rsid w:val="00A73565"/>
    <w:rsid w:val="00A73981"/>
    <w:rsid w:val="00A7428F"/>
    <w:rsid w:val="00A744AA"/>
    <w:rsid w:val="00A74BA2"/>
    <w:rsid w:val="00A74E13"/>
    <w:rsid w:val="00A75191"/>
    <w:rsid w:val="00A752B2"/>
    <w:rsid w:val="00A75503"/>
    <w:rsid w:val="00A75616"/>
    <w:rsid w:val="00A7578E"/>
    <w:rsid w:val="00A75960"/>
    <w:rsid w:val="00A75A6C"/>
    <w:rsid w:val="00A760E9"/>
    <w:rsid w:val="00A76A59"/>
    <w:rsid w:val="00A76B94"/>
    <w:rsid w:val="00A7781F"/>
    <w:rsid w:val="00A77A9B"/>
    <w:rsid w:val="00A8071A"/>
    <w:rsid w:val="00A807A6"/>
    <w:rsid w:val="00A80BD3"/>
    <w:rsid w:val="00A80BFF"/>
    <w:rsid w:val="00A81149"/>
    <w:rsid w:val="00A812C3"/>
    <w:rsid w:val="00A8137A"/>
    <w:rsid w:val="00A81574"/>
    <w:rsid w:val="00A81598"/>
    <w:rsid w:val="00A817F3"/>
    <w:rsid w:val="00A81C40"/>
    <w:rsid w:val="00A82136"/>
    <w:rsid w:val="00A82231"/>
    <w:rsid w:val="00A82304"/>
    <w:rsid w:val="00A82785"/>
    <w:rsid w:val="00A82C7A"/>
    <w:rsid w:val="00A83115"/>
    <w:rsid w:val="00A83128"/>
    <w:rsid w:val="00A83383"/>
    <w:rsid w:val="00A837E2"/>
    <w:rsid w:val="00A83CB8"/>
    <w:rsid w:val="00A83D60"/>
    <w:rsid w:val="00A84591"/>
    <w:rsid w:val="00A84883"/>
    <w:rsid w:val="00A84D82"/>
    <w:rsid w:val="00A84E96"/>
    <w:rsid w:val="00A854E0"/>
    <w:rsid w:val="00A857F8"/>
    <w:rsid w:val="00A858FD"/>
    <w:rsid w:val="00A85C6F"/>
    <w:rsid w:val="00A86688"/>
    <w:rsid w:val="00A86974"/>
    <w:rsid w:val="00A86DF2"/>
    <w:rsid w:val="00A86EE7"/>
    <w:rsid w:val="00A87311"/>
    <w:rsid w:val="00A87E1B"/>
    <w:rsid w:val="00A907A4"/>
    <w:rsid w:val="00A90B61"/>
    <w:rsid w:val="00A912B4"/>
    <w:rsid w:val="00A91337"/>
    <w:rsid w:val="00A91773"/>
    <w:rsid w:val="00A91DB1"/>
    <w:rsid w:val="00A91E59"/>
    <w:rsid w:val="00A92D51"/>
    <w:rsid w:val="00A93727"/>
    <w:rsid w:val="00A93A59"/>
    <w:rsid w:val="00A93C68"/>
    <w:rsid w:val="00A93C8E"/>
    <w:rsid w:val="00A93D3E"/>
    <w:rsid w:val="00A93E13"/>
    <w:rsid w:val="00A93F28"/>
    <w:rsid w:val="00A94226"/>
    <w:rsid w:val="00A94D6A"/>
    <w:rsid w:val="00A94F8C"/>
    <w:rsid w:val="00A94FD5"/>
    <w:rsid w:val="00A959BD"/>
    <w:rsid w:val="00A95A73"/>
    <w:rsid w:val="00A95F28"/>
    <w:rsid w:val="00A9615F"/>
    <w:rsid w:val="00A96B9F"/>
    <w:rsid w:val="00A96EFC"/>
    <w:rsid w:val="00A97829"/>
    <w:rsid w:val="00A97A1C"/>
    <w:rsid w:val="00A97DE6"/>
    <w:rsid w:val="00A97ED7"/>
    <w:rsid w:val="00A97F21"/>
    <w:rsid w:val="00AA0195"/>
    <w:rsid w:val="00AA01EF"/>
    <w:rsid w:val="00AA03A0"/>
    <w:rsid w:val="00AA0DCF"/>
    <w:rsid w:val="00AA18CA"/>
    <w:rsid w:val="00AA194D"/>
    <w:rsid w:val="00AA1D51"/>
    <w:rsid w:val="00AA2083"/>
    <w:rsid w:val="00AA3484"/>
    <w:rsid w:val="00AA3A0C"/>
    <w:rsid w:val="00AA3A48"/>
    <w:rsid w:val="00AA3C05"/>
    <w:rsid w:val="00AA3C3A"/>
    <w:rsid w:val="00AA4267"/>
    <w:rsid w:val="00AA462A"/>
    <w:rsid w:val="00AA486F"/>
    <w:rsid w:val="00AA4E4A"/>
    <w:rsid w:val="00AA539C"/>
    <w:rsid w:val="00AA55BA"/>
    <w:rsid w:val="00AA5A50"/>
    <w:rsid w:val="00AA5DE9"/>
    <w:rsid w:val="00AA60E5"/>
    <w:rsid w:val="00AA625A"/>
    <w:rsid w:val="00AA69CB"/>
    <w:rsid w:val="00AA6DBA"/>
    <w:rsid w:val="00AA7307"/>
    <w:rsid w:val="00AA734B"/>
    <w:rsid w:val="00AA73DF"/>
    <w:rsid w:val="00AA73F1"/>
    <w:rsid w:val="00AA7860"/>
    <w:rsid w:val="00AA7C01"/>
    <w:rsid w:val="00AA7D55"/>
    <w:rsid w:val="00AB1149"/>
    <w:rsid w:val="00AB1710"/>
    <w:rsid w:val="00AB1A19"/>
    <w:rsid w:val="00AB1A30"/>
    <w:rsid w:val="00AB1D61"/>
    <w:rsid w:val="00AB1E11"/>
    <w:rsid w:val="00AB1FC9"/>
    <w:rsid w:val="00AB2311"/>
    <w:rsid w:val="00AB23E0"/>
    <w:rsid w:val="00AB29D1"/>
    <w:rsid w:val="00AB2B78"/>
    <w:rsid w:val="00AB2DE4"/>
    <w:rsid w:val="00AB2F15"/>
    <w:rsid w:val="00AB3764"/>
    <w:rsid w:val="00AB3EAC"/>
    <w:rsid w:val="00AB425F"/>
    <w:rsid w:val="00AB4416"/>
    <w:rsid w:val="00AB45D3"/>
    <w:rsid w:val="00AB45F3"/>
    <w:rsid w:val="00AB47EE"/>
    <w:rsid w:val="00AB48D0"/>
    <w:rsid w:val="00AB4AA7"/>
    <w:rsid w:val="00AB4C89"/>
    <w:rsid w:val="00AB4FE1"/>
    <w:rsid w:val="00AB5472"/>
    <w:rsid w:val="00AB5516"/>
    <w:rsid w:val="00AB5608"/>
    <w:rsid w:val="00AB5868"/>
    <w:rsid w:val="00AB604B"/>
    <w:rsid w:val="00AB62ED"/>
    <w:rsid w:val="00AB67BF"/>
    <w:rsid w:val="00AB69EF"/>
    <w:rsid w:val="00AB6FDA"/>
    <w:rsid w:val="00AB71D6"/>
    <w:rsid w:val="00AB7538"/>
    <w:rsid w:val="00AB7675"/>
    <w:rsid w:val="00AB7AB1"/>
    <w:rsid w:val="00AB7EE7"/>
    <w:rsid w:val="00AB7EF1"/>
    <w:rsid w:val="00AB7F17"/>
    <w:rsid w:val="00AB7F23"/>
    <w:rsid w:val="00AC01B4"/>
    <w:rsid w:val="00AC0239"/>
    <w:rsid w:val="00AC0923"/>
    <w:rsid w:val="00AC093D"/>
    <w:rsid w:val="00AC09C7"/>
    <w:rsid w:val="00AC0EA6"/>
    <w:rsid w:val="00AC1005"/>
    <w:rsid w:val="00AC11CF"/>
    <w:rsid w:val="00AC123B"/>
    <w:rsid w:val="00AC1413"/>
    <w:rsid w:val="00AC165A"/>
    <w:rsid w:val="00AC1787"/>
    <w:rsid w:val="00AC1F0E"/>
    <w:rsid w:val="00AC222F"/>
    <w:rsid w:val="00AC2765"/>
    <w:rsid w:val="00AC3205"/>
    <w:rsid w:val="00AC3206"/>
    <w:rsid w:val="00AC344C"/>
    <w:rsid w:val="00AC3978"/>
    <w:rsid w:val="00AC3A5A"/>
    <w:rsid w:val="00AC3E45"/>
    <w:rsid w:val="00AC3FE7"/>
    <w:rsid w:val="00AC4855"/>
    <w:rsid w:val="00AC4CFD"/>
    <w:rsid w:val="00AC4D85"/>
    <w:rsid w:val="00AC527D"/>
    <w:rsid w:val="00AC57BE"/>
    <w:rsid w:val="00AC5893"/>
    <w:rsid w:val="00AC5AEB"/>
    <w:rsid w:val="00AC5B06"/>
    <w:rsid w:val="00AC5DD1"/>
    <w:rsid w:val="00AC5F90"/>
    <w:rsid w:val="00AC6390"/>
    <w:rsid w:val="00AC68E5"/>
    <w:rsid w:val="00AC6B44"/>
    <w:rsid w:val="00AC6D77"/>
    <w:rsid w:val="00AC6FA6"/>
    <w:rsid w:val="00AC7545"/>
    <w:rsid w:val="00AC7549"/>
    <w:rsid w:val="00AC7557"/>
    <w:rsid w:val="00AC7943"/>
    <w:rsid w:val="00AC7E37"/>
    <w:rsid w:val="00AC7FE5"/>
    <w:rsid w:val="00AD07C9"/>
    <w:rsid w:val="00AD08B4"/>
    <w:rsid w:val="00AD0904"/>
    <w:rsid w:val="00AD0BBD"/>
    <w:rsid w:val="00AD19A0"/>
    <w:rsid w:val="00AD1CA3"/>
    <w:rsid w:val="00AD1DE7"/>
    <w:rsid w:val="00AD219C"/>
    <w:rsid w:val="00AD23B9"/>
    <w:rsid w:val="00AD2695"/>
    <w:rsid w:val="00AD2965"/>
    <w:rsid w:val="00AD2B23"/>
    <w:rsid w:val="00AD2B27"/>
    <w:rsid w:val="00AD34A8"/>
    <w:rsid w:val="00AD3861"/>
    <w:rsid w:val="00AD38C4"/>
    <w:rsid w:val="00AD3A4B"/>
    <w:rsid w:val="00AD3C01"/>
    <w:rsid w:val="00AD3C0B"/>
    <w:rsid w:val="00AD3FAB"/>
    <w:rsid w:val="00AD3FF8"/>
    <w:rsid w:val="00AD41D5"/>
    <w:rsid w:val="00AD48B3"/>
    <w:rsid w:val="00AD4983"/>
    <w:rsid w:val="00AD4B6D"/>
    <w:rsid w:val="00AD4B9C"/>
    <w:rsid w:val="00AD4EFE"/>
    <w:rsid w:val="00AD536A"/>
    <w:rsid w:val="00AD578B"/>
    <w:rsid w:val="00AD5BAB"/>
    <w:rsid w:val="00AD5E1F"/>
    <w:rsid w:val="00AD615F"/>
    <w:rsid w:val="00AD6414"/>
    <w:rsid w:val="00AD694D"/>
    <w:rsid w:val="00AD6E9E"/>
    <w:rsid w:val="00AD6FD0"/>
    <w:rsid w:val="00AD7253"/>
    <w:rsid w:val="00AD7289"/>
    <w:rsid w:val="00AD742C"/>
    <w:rsid w:val="00AD7516"/>
    <w:rsid w:val="00AD78A9"/>
    <w:rsid w:val="00AD7F84"/>
    <w:rsid w:val="00AE01A9"/>
    <w:rsid w:val="00AE05FE"/>
    <w:rsid w:val="00AE08BA"/>
    <w:rsid w:val="00AE0B53"/>
    <w:rsid w:val="00AE0E25"/>
    <w:rsid w:val="00AE10F2"/>
    <w:rsid w:val="00AE112B"/>
    <w:rsid w:val="00AE1148"/>
    <w:rsid w:val="00AE13B0"/>
    <w:rsid w:val="00AE142F"/>
    <w:rsid w:val="00AE15B8"/>
    <w:rsid w:val="00AE1738"/>
    <w:rsid w:val="00AE1D9B"/>
    <w:rsid w:val="00AE2021"/>
    <w:rsid w:val="00AE20DC"/>
    <w:rsid w:val="00AE2145"/>
    <w:rsid w:val="00AE23F1"/>
    <w:rsid w:val="00AE2999"/>
    <w:rsid w:val="00AE29D0"/>
    <w:rsid w:val="00AE2A35"/>
    <w:rsid w:val="00AE2A49"/>
    <w:rsid w:val="00AE2D4F"/>
    <w:rsid w:val="00AE2DCE"/>
    <w:rsid w:val="00AE2DE6"/>
    <w:rsid w:val="00AE2E38"/>
    <w:rsid w:val="00AE3143"/>
    <w:rsid w:val="00AE3260"/>
    <w:rsid w:val="00AE330C"/>
    <w:rsid w:val="00AE34F2"/>
    <w:rsid w:val="00AE368C"/>
    <w:rsid w:val="00AE3991"/>
    <w:rsid w:val="00AE3CD0"/>
    <w:rsid w:val="00AE3F27"/>
    <w:rsid w:val="00AE4457"/>
    <w:rsid w:val="00AE4509"/>
    <w:rsid w:val="00AE47B0"/>
    <w:rsid w:val="00AE49D3"/>
    <w:rsid w:val="00AE4B00"/>
    <w:rsid w:val="00AE4C1C"/>
    <w:rsid w:val="00AE4F76"/>
    <w:rsid w:val="00AE5014"/>
    <w:rsid w:val="00AE5133"/>
    <w:rsid w:val="00AE5241"/>
    <w:rsid w:val="00AE52A5"/>
    <w:rsid w:val="00AE598E"/>
    <w:rsid w:val="00AE6429"/>
    <w:rsid w:val="00AE67FD"/>
    <w:rsid w:val="00AE68EF"/>
    <w:rsid w:val="00AE6A13"/>
    <w:rsid w:val="00AE7629"/>
    <w:rsid w:val="00AE79EA"/>
    <w:rsid w:val="00AF0017"/>
    <w:rsid w:val="00AF0277"/>
    <w:rsid w:val="00AF0E59"/>
    <w:rsid w:val="00AF0F2D"/>
    <w:rsid w:val="00AF112B"/>
    <w:rsid w:val="00AF16C3"/>
    <w:rsid w:val="00AF1B6E"/>
    <w:rsid w:val="00AF1C52"/>
    <w:rsid w:val="00AF1D3F"/>
    <w:rsid w:val="00AF1D77"/>
    <w:rsid w:val="00AF212F"/>
    <w:rsid w:val="00AF234C"/>
    <w:rsid w:val="00AF2561"/>
    <w:rsid w:val="00AF25BB"/>
    <w:rsid w:val="00AF2622"/>
    <w:rsid w:val="00AF287F"/>
    <w:rsid w:val="00AF3241"/>
    <w:rsid w:val="00AF34EF"/>
    <w:rsid w:val="00AF35F6"/>
    <w:rsid w:val="00AF369D"/>
    <w:rsid w:val="00AF36C1"/>
    <w:rsid w:val="00AF3BEF"/>
    <w:rsid w:val="00AF4090"/>
    <w:rsid w:val="00AF4119"/>
    <w:rsid w:val="00AF4585"/>
    <w:rsid w:val="00AF45E2"/>
    <w:rsid w:val="00AF4656"/>
    <w:rsid w:val="00AF4DF4"/>
    <w:rsid w:val="00AF5925"/>
    <w:rsid w:val="00AF59FA"/>
    <w:rsid w:val="00AF5F26"/>
    <w:rsid w:val="00AF6277"/>
    <w:rsid w:val="00AF6565"/>
    <w:rsid w:val="00AF67D6"/>
    <w:rsid w:val="00AF69FD"/>
    <w:rsid w:val="00AF6B9B"/>
    <w:rsid w:val="00AF7206"/>
    <w:rsid w:val="00AF75D4"/>
    <w:rsid w:val="00AF7AB7"/>
    <w:rsid w:val="00AF7AF8"/>
    <w:rsid w:val="00AF7F71"/>
    <w:rsid w:val="00AF7F8F"/>
    <w:rsid w:val="00B00356"/>
    <w:rsid w:val="00B004DA"/>
    <w:rsid w:val="00B00709"/>
    <w:rsid w:val="00B00969"/>
    <w:rsid w:val="00B00AEE"/>
    <w:rsid w:val="00B00C55"/>
    <w:rsid w:val="00B01806"/>
    <w:rsid w:val="00B018DE"/>
    <w:rsid w:val="00B01911"/>
    <w:rsid w:val="00B01AD3"/>
    <w:rsid w:val="00B01D8C"/>
    <w:rsid w:val="00B01E83"/>
    <w:rsid w:val="00B022B5"/>
    <w:rsid w:val="00B025B8"/>
    <w:rsid w:val="00B02652"/>
    <w:rsid w:val="00B02963"/>
    <w:rsid w:val="00B02B20"/>
    <w:rsid w:val="00B02CF4"/>
    <w:rsid w:val="00B02D9F"/>
    <w:rsid w:val="00B035F9"/>
    <w:rsid w:val="00B03C80"/>
    <w:rsid w:val="00B046E9"/>
    <w:rsid w:val="00B047A6"/>
    <w:rsid w:val="00B04967"/>
    <w:rsid w:val="00B05027"/>
    <w:rsid w:val="00B051B0"/>
    <w:rsid w:val="00B05265"/>
    <w:rsid w:val="00B052EA"/>
    <w:rsid w:val="00B05BD6"/>
    <w:rsid w:val="00B05DB3"/>
    <w:rsid w:val="00B0648E"/>
    <w:rsid w:val="00B0678F"/>
    <w:rsid w:val="00B067F5"/>
    <w:rsid w:val="00B0681E"/>
    <w:rsid w:val="00B06854"/>
    <w:rsid w:val="00B069C0"/>
    <w:rsid w:val="00B069CF"/>
    <w:rsid w:val="00B06B0F"/>
    <w:rsid w:val="00B06F54"/>
    <w:rsid w:val="00B072D4"/>
    <w:rsid w:val="00B0747E"/>
    <w:rsid w:val="00B076C6"/>
    <w:rsid w:val="00B07AD0"/>
    <w:rsid w:val="00B1003E"/>
    <w:rsid w:val="00B104BA"/>
    <w:rsid w:val="00B10778"/>
    <w:rsid w:val="00B10CA0"/>
    <w:rsid w:val="00B10E64"/>
    <w:rsid w:val="00B113DD"/>
    <w:rsid w:val="00B1159A"/>
    <w:rsid w:val="00B117B2"/>
    <w:rsid w:val="00B11AC8"/>
    <w:rsid w:val="00B124F8"/>
    <w:rsid w:val="00B12E62"/>
    <w:rsid w:val="00B12E9F"/>
    <w:rsid w:val="00B13098"/>
    <w:rsid w:val="00B1353B"/>
    <w:rsid w:val="00B13F08"/>
    <w:rsid w:val="00B13F69"/>
    <w:rsid w:val="00B1414C"/>
    <w:rsid w:val="00B141DA"/>
    <w:rsid w:val="00B1424B"/>
    <w:rsid w:val="00B14794"/>
    <w:rsid w:val="00B14938"/>
    <w:rsid w:val="00B14E16"/>
    <w:rsid w:val="00B14FE5"/>
    <w:rsid w:val="00B159A9"/>
    <w:rsid w:val="00B15D42"/>
    <w:rsid w:val="00B15D8A"/>
    <w:rsid w:val="00B15F83"/>
    <w:rsid w:val="00B165F3"/>
    <w:rsid w:val="00B16872"/>
    <w:rsid w:val="00B1697B"/>
    <w:rsid w:val="00B16B8F"/>
    <w:rsid w:val="00B16E80"/>
    <w:rsid w:val="00B17759"/>
    <w:rsid w:val="00B17760"/>
    <w:rsid w:val="00B17990"/>
    <w:rsid w:val="00B17A3B"/>
    <w:rsid w:val="00B17B3D"/>
    <w:rsid w:val="00B17B64"/>
    <w:rsid w:val="00B17D3E"/>
    <w:rsid w:val="00B20696"/>
    <w:rsid w:val="00B2082C"/>
    <w:rsid w:val="00B20A8A"/>
    <w:rsid w:val="00B20F40"/>
    <w:rsid w:val="00B2121B"/>
    <w:rsid w:val="00B2191C"/>
    <w:rsid w:val="00B21A63"/>
    <w:rsid w:val="00B21D36"/>
    <w:rsid w:val="00B22076"/>
    <w:rsid w:val="00B22267"/>
    <w:rsid w:val="00B222EB"/>
    <w:rsid w:val="00B2250E"/>
    <w:rsid w:val="00B22748"/>
    <w:rsid w:val="00B22806"/>
    <w:rsid w:val="00B228B5"/>
    <w:rsid w:val="00B2298B"/>
    <w:rsid w:val="00B22BF7"/>
    <w:rsid w:val="00B22C27"/>
    <w:rsid w:val="00B22E9D"/>
    <w:rsid w:val="00B22EFB"/>
    <w:rsid w:val="00B23256"/>
    <w:rsid w:val="00B2334F"/>
    <w:rsid w:val="00B239B5"/>
    <w:rsid w:val="00B24271"/>
    <w:rsid w:val="00B242F7"/>
    <w:rsid w:val="00B24311"/>
    <w:rsid w:val="00B243CC"/>
    <w:rsid w:val="00B249B2"/>
    <w:rsid w:val="00B24A2B"/>
    <w:rsid w:val="00B24B23"/>
    <w:rsid w:val="00B24D30"/>
    <w:rsid w:val="00B2518F"/>
    <w:rsid w:val="00B254F9"/>
    <w:rsid w:val="00B25CC1"/>
    <w:rsid w:val="00B25F88"/>
    <w:rsid w:val="00B2613F"/>
    <w:rsid w:val="00B26FE7"/>
    <w:rsid w:val="00B275E9"/>
    <w:rsid w:val="00B27634"/>
    <w:rsid w:val="00B277FB"/>
    <w:rsid w:val="00B27B23"/>
    <w:rsid w:val="00B27E04"/>
    <w:rsid w:val="00B301A2"/>
    <w:rsid w:val="00B3054C"/>
    <w:rsid w:val="00B309B8"/>
    <w:rsid w:val="00B30DF4"/>
    <w:rsid w:val="00B30E02"/>
    <w:rsid w:val="00B31381"/>
    <w:rsid w:val="00B31457"/>
    <w:rsid w:val="00B316AA"/>
    <w:rsid w:val="00B3172B"/>
    <w:rsid w:val="00B31755"/>
    <w:rsid w:val="00B3185B"/>
    <w:rsid w:val="00B318CD"/>
    <w:rsid w:val="00B31939"/>
    <w:rsid w:val="00B31CF1"/>
    <w:rsid w:val="00B31F2D"/>
    <w:rsid w:val="00B32238"/>
    <w:rsid w:val="00B325AF"/>
    <w:rsid w:val="00B329E7"/>
    <w:rsid w:val="00B3348D"/>
    <w:rsid w:val="00B3363F"/>
    <w:rsid w:val="00B33665"/>
    <w:rsid w:val="00B33674"/>
    <w:rsid w:val="00B33822"/>
    <w:rsid w:val="00B33887"/>
    <w:rsid w:val="00B34235"/>
    <w:rsid w:val="00B34A01"/>
    <w:rsid w:val="00B34C22"/>
    <w:rsid w:val="00B34D3D"/>
    <w:rsid w:val="00B34F59"/>
    <w:rsid w:val="00B35179"/>
    <w:rsid w:val="00B35241"/>
    <w:rsid w:val="00B358E3"/>
    <w:rsid w:val="00B35C8E"/>
    <w:rsid w:val="00B35CA8"/>
    <w:rsid w:val="00B35E5E"/>
    <w:rsid w:val="00B35E6C"/>
    <w:rsid w:val="00B35EBE"/>
    <w:rsid w:val="00B369ED"/>
    <w:rsid w:val="00B36DE6"/>
    <w:rsid w:val="00B3744A"/>
    <w:rsid w:val="00B378B8"/>
    <w:rsid w:val="00B37950"/>
    <w:rsid w:val="00B37B3B"/>
    <w:rsid w:val="00B37FA5"/>
    <w:rsid w:val="00B4032D"/>
    <w:rsid w:val="00B404A0"/>
    <w:rsid w:val="00B40543"/>
    <w:rsid w:val="00B408DD"/>
    <w:rsid w:val="00B40992"/>
    <w:rsid w:val="00B40AAC"/>
    <w:rsid w:val="00B40B27"/>
    <w:rsid w:val="00B40B9E"/>
    <w:rsid w:val="00B40E00"/>
    <w:rsid w:val="00B40EC0"/>
    <w:rsid w:val="00B4119B"/>
    <w:rsid w:val="00B4131A"/>
    <w:rsid w:val="00B41347"/>
    <w:rsid w:val="00B41423"/>
    <w:rsid w:val="00B4151C"/>
    <w:rsid w:val="00B415C4"/>
    <w:rsid w:val="00B41812"/>
    <w:rsid w:val="00B41A17"/>
    <w:rsid w:val="00B41EE8"/>
    <w:rsid w:val="00B42034"/>
    <w:rsid w:val="00B426AA"/>
    <w:rsid w:val="00B4280F"/>
    <w:rsid w:val="00B42879"/>
    <w:rsid w:val="00B42BE3"/>
    <w:rsid w:val="00B42BF1"/>
    <w:rsid w:val="00B43091"/>
    <w:rsid w:val="00B43648"/>
    <w:rsid w:val="00B44ADF"/>
    <w:rsid w:val="00B45237"/>
    <w:rsid w:val="00B457B5"/>
    <w:rsid w:val="00B45FC7"/>
    <w:rsid w:val="00B4602F"/>
    <w:rsid w:val="00B460BC"/>
    <w:rsid w:val="00B4621C"/>
    <w:rsid w:val="00B46815"/>
    <w:rsid w:val="00B46A3D"/>
    <w:rsid w:val="00B46C2E"/>
    <w:rsid w:val="00B46FF7"/>
    <w:rsid w:val="00B470FF"/>
    <w:rsid w:val="00B472A2"/>
    <w:rsid w:val="00B4771B"/>
    <w:rsid w:val="00B47AC4"/>
    <w:rsid w:val="00B47F3E"/>
    <w:rsid w:val="00B50463"/>
    <w:rsid w:val="00B5072A"/>
    <w:rsid w:val="00B50CFE"/>
    <w:rsid w:val="00B50E79"/>
    <w:rsid w:val="00B51052"/>
    <w:rsid w:val="00B5173C"/>
    <w:rsid w:val="00B518CF"/>
    <w:rsid w:val="00B51D91"/>
    <w:rsid w:val="00B52146"/>
    <w:rsid w:val="00B52439"/>
    <w:rsid w:val="00B52F88"/>
    <w:rsid w:val="00B53452"/>
    <w:rsid w:val="00B53525"/>
    <w:rsid w:val="00B5352A"/>
    <w:rsid w:val="00B53A55"/>
    <w:rsid w:val="00B53EB7"/>
    <w:rsid w:val="00B54232"/>
    <w:rsid w:val="00B547E3"/>
    <w:rsid w:val="00B54EC9"/>
    <w:rsid w:val="00B5516D"/>
    <w:rsid w:val="00B55276"/>
    <w:rsid w:val="00B552A7"/>
    <w:rsid w:val="00B552FA"/>
    <w:rsid w:val="00B5536D"/>
    <w:rsid w:val="00B55616"/>
    <w:rsid w:val="00B5596F"/>
    <w:rsid w:val="00B55AAD"/>
    <w:rsid w:val="00B55E85"/>
    <w:rsid w:val="00B5611F"/>
    <w:rsid w:val="00B563B8"/>
    <w:rsid w:val="00B56E64"/>
    <w:rsid w:val="00B57671"/>
    <w:rsid w:val="00B57A71"/>
    <w:rsid w:val="00B57E7D"/>
    <w:rsid w:val="00B57FB6"/>
    <w:rsid w:val="00B611B8"/>
    <w:rsid w:val="00B614E3"/>
    <w:rsid w:val="00B6165C"/>
    <w:rsid w:val="00B61C09"/>
    <w:rsid w:val="00B61C73"/>
    <w:rsid w:val="00B61D27"/>
    <w:rsid w:val="00B62150"/>
    <w:rsid w:val="00B62203"/>
    <w:rsid w:val="00B6258E"/>
    <w:rsid w:val="00B62A17"/>
    <w:rsid w:val="00B6380D"/>
    <w:rsid w:val="00B64090"/>
    <w:rsid w:val="00B642D7"/>
    <w:rsid w:val="00B644B0"/>
    <w:rsid w:val="00B64509"/>
    <w:rsid w:val="00B64578"/>
    <w:rsid w:val="00B64960"/>
    <w:rsid w:val="00B651DE"/>
    <w:rsid w:val="00B657C6"/>
    <w:rsid w:val="00B65915"/>
    <w:rsid w:val="00B66796"/>
    <w:rsid w:val="00B66AC2"/>
    <w:rsid w:val="00B66AD4"/>
    <w:rsid w:val="00B6712F"/>
    <w:rsid w:val="00B676CE"/>
    <w:rsid w:val="00B707DE"/>
    <w:rsid w:val="00B70928"/>
    <w:rsid w:val="00B70A3A"/>
    <w:rsid w:val="00B714C0"/>
    <w:rsid w:val="00B71684"/>
    <w:rsid w:val="00B717E8"/>
    <w:rsid w:val="00B71F68"/>
    <w:rsid w:val="00B722B0"/>
    <w:rsid w:val="00B722DA"/>
    <w:rsid w:val="00B7265D"/>
    <w:rsid w:val="00B72A6E"/>
    <w:rsid w:val="00B72C56"/>
    <w:rsid w:val="00B73559"/>
    <w:rsid w:val="00B73799"/>
    <w:rsid w:val="00B73A33"/>
    <w:rsid w:val="00B74162"/>
    <w:rsid w:val="00B7435E"/>
    <w:rsid w:val="00B7448D"/>
    <w:rsid w:val="00B747C7"/>
    <w:rsid w:val="00B74928"/>
    <w:rsid w:val="00B74DA1"/>
    <w:rsid w:val="00B7511E"/>
    <w:rsid w:val="00B754B4"/>
    <w:rsid w:val="00B75750"/>
    <w:rsid w:val="00B75A57"/>
    <w:rsid w:val="00B75B39"/>
    <w:rsid w:val="00B75C3D"/>
    <w:rsid w:val="00B7611D"/>
    <w:rsid w:val="00B7612C"/>
    <w:rsid w:val="00B7616B"/>
    <w:rsid w:val="00B76394"/>
    <w:rsid w:val="00B767A9"/>
    <w:rsid w:val="00B7689B"/>
    <w:rsid w:val="00B769E9"/>
    <w:rsid w:val="00B769F7"/>
    <w:rsid w:val="00B77D47"/>
    <w:rsid w:val="00B77DA1"/>
    <w:rsid w:val="00B77F99"/>
    <w:rsid w:val="00B77FCE"/>
    <w:rsid w:val="00B805EA"/>
    <w:rsid w:val="00B80677"/>
    <w:rsid w:val="00B80A29"/>
    <w:rsid w:val="00B80F10"/>
    <w:rsid w:val="00B812C8"/>
    <w:rsid w:val="00B81302"/>
    <w:rsid w:val="00B813E0"/>
    <w:rsid w:val="00B81452"/>
    <w:rsid w:val="00B8191C"/>
    <w:rsid w:val="00B81F35"/>
    <w:rsid w:val="00B82034"/>
    <w:rsid w:val="00B82161"/>
    <w:rsid w:val="00B8265E"/>
    <w:rsid w:val="00B838D5"/>
    <w:rsid w:val="00B83D88"/>
    <w:rsid w:val="00B83E5E"/>
    <w:rsid w:val="00B84304"/>
    <w:rsid w:val="00B8433C"/>
    <w:rsid w:val="00B846B4"/>
    <w:rsid w:val="00B84847"/>
    <w:rsid w:val="00B84BA0"/>
    <w:rsid w:val="00B84BA1"/>
    <w:rsid w:val="00B84CBC"/>
    <w:rsid w:val="00B84CD1"/>
    <w:rsid w:val="00B84D0D"/>
    <w:rsid w:val="00B850C9"/>
    <w:rsid w:val="00B852B4"/>
    <w:rsid w:val="00B85819"/>
    <w:rsid w:val="00B85956"/>
    <w:rsid w:val="00B85B1D"/>
    <w:rsid w:val="00B85FDF"/>
    <w:rsid w:val="00B868A3"/>
    <w:rsid w:val="00B86DDE"/>
    <w:rsid w:val="00B8713D"/>
    <w:rsid w:val="00B87213"/>
    <w:rsid w:val="00B87244"/>
    <w:rsid w:val="00B874EE"/>
    <w:rsid w:val="00B87A98"/>
    <w:rsid w:val="00B87B0E"/>
    <w:rsid w:val="00B87E7A"/>
    <w:rsid w:val="00B9030A"/>
    <w:rsid w:val="00B90610"/>
    <w:rsid w:val="00B90AC9"/>
    <w:rsid w:val="00B90D04"/>
    <w:rsid w:val="00B90FA7"/>
    <w:rsid w:val="00B9122E"/>
    <w:rsid w:val="00B91BFA"/>
    <w:rsid w:val="00B925D8"/>
    <w:rsid w:val="00B926F9"/>
    <w:rsid w:val="00B92A00"/>
    <w:rsid w:val="00B92D03"/>
    <w:rsid w:val="00B93278"/>
    <w:rsid w:val="00B9335C"/>
    <w:rsid w:val="00B939FF"/>
    <w:rsid w:val="00B941CA"/>
    <w:rsid w:val="00B94292"/>
    <w:rsid w:val="00B94293"/>
    <w:rsid w:val="00B94555"/>
    <w:rsid w:val="00B946D8"/>
    <w:rsid w:val="00B94739"/>
    <w:rsid w:val="00B948A7"/>
    <w:rsid w:val="00B9509A"/>
    <w:rsid w:val="00B953DF"/>
    <w:rsid w:val="00B95471"/>
    <w:rsid w:val="00B9554D"/>
    <w:rsid w:val="00B957CF"/>
    <w:rsid w:val="00B9604B"/>
    <w:rsid w:val="00B960B8"/>
    <w:rsid w:val="00B9632C"/>
    <w:rsid w:val="00B966F5"/>
    <w:rsid w:val="00B96B2B"/>
    <w:rsid w:val="00B96C3F"/>
    <w:rsid w:val="00B96E5C"/>
    <w:rsid w:val="00B9707F"/>
    <w:rsid w:val="00B9709E"/>
    <w:rsid w:val="00B97350"/>
    <w:rsid w:val="00B97B85"/>
    <w:rsid w:val="00B97B97"/>
    <w:rsid w:val="00BA01AE"/>
    <w:rsid w:val="00BA01EB"/>
    <w:rsid w:val="00BA08C5"/>
    <w:rsid w:val="00BA0BCE"/>
    <w:rsid w:val="00BA1199"/>
    <w:rsid w:val="00BA1427"/>
    <w:rsid w:val="00BA1610"/>
    <w:rsid w:val="00BA1667"/>
    <w:rsid w:val="00BA17EA"/>
    <w:rsid w:val="00BA1A12"/>
    <w:rsid w:val="00BA1BF2"/>
    <w:rsid w:val="00BA207E"/>
    <w:rsid w:val="00BA2278"/>
    <w:rsid w:val="00BA291E"/>
    <w:rsid w:val="00BA2943"/>
    <w:rsid w:val="00BA2AF1"/>
    <w:rsid w:val="00BA2F69"/>
    <w:rsid w:val="00BA3011"/>
    <w:rsid w:val="00BA31BF"/>
    <w:rsid w:val="00BA3A25"/>
    <w:rsid w:val="00BA484F"/>
    <w:rsid w:val="00BA4B7F"/>
    <w:rsid w:val="00BA50B2"/>
    <w:rsid w:val="00BA50CB"/>
    <w:rsid w:val="00BA524B"/>
    <w:rsid w:val="00BA5420"/>
    <w:rsid w:val="00BA5773"/>
    <w:rsid w:val="00BA59A1"/>
    <w:rsid w:val="00BA6213"/>
    <w:rsid w:val="00BA65DB"/>
    <w:rsid w:val="00BA6BB9"/>
    <w:rsid w:val="00BA6C02"/>
    <w:rsid w:val="00BA6C0F"/>
    <w:rsid w:val="00BA7378"/>
    <w:rsid w:val="00BA793E"/>
    <w:rsid w:val="00BA7B8C"/>
    <w:rsid w:val="00BAF11A"/>
    <w:rsid w:val="00BB005A"/>
    <w:rsid w:val="00BB00E4"/>
    <w:rsid w:val="00BB063A"/>
    <w:rsid w:val="00BB0913"/>
    <w:rsid w:val="00BB099D"/>
    <w:rsid w:val="00BB099E"/>
    <w:rsid w:val="00BB145E"/>
    <w:rsid w:val="00BB1522"/>
    <w:rsid w:val="00BB1BB5"/>
    <w:rsid w:val="00BB1BB8"/>
    <w:rsid w:val="00BB1BC5"/>
    <w:rsid w:val="00BB1D9F"/>
    <w:rsid w:val="00BB1E71"/>
    <w:rsid w:val="00BB200C"/>
    <w:rsid w:val="00BB21C4"/>
    <w:rsid w:val="00BB2325"/>
    <w:rsid w:val="00BB296D"/>
    <w:rsid w:val="00BB298F"/>
    <w:rsid w:val="00BB332D"/>
    <w:rsid w:val="00BB39B3"/>
    <w:rsid w:val="00BB3BF9"/>
    <w:rsid w:val="00BB40B4"/>
    <w:rsid w:val="00BB41F1"/>
    <w:rsid w:val="00BB43D4"/>
    <w:rsid w:val="00BB45AB"/>
    <w:rsid w:val="00BB4848"/>
    <w:rsid w:val="00BB49A4"/>
    <w:rsid w:val="00BB4ED5"/>
    <w:rsid w:val="00BB531B"/>
    <w:rsid w:val="00BB550B"/>
    <w:rsid w:val="00BB589C"/>
    <w:rsid w:val="00BB6479"/>
    <w:rsid w:val="00BB6626"/>
    <w:rsid w:val="00BB6C65"/>
    <w:rsid w:val="00BB6C87"/>
    <w:rsid w:val="00BB6CD5"/>
    <w:rsid w:val="00BB6DF0"/>
    <w:rsid w:val="00BB6FCD"/>
    <w:rsid w:val="00BB76DC"/>
    <w:rsid w:val="00BB7B4F"/>
    <w:rsid w:val="00BC01D9"/>
    <w:rsid w:val="00BC08D7"/>
    <w:rsid w:val="00BC112C"/>
    <w:rsid w:val="00BC146A"/>
    <w:rsid w:val="00BC180C"/>
    <w:rsid w:val="00BC19C4"/>
    <w:rsid w:val="00BC1C0C"/>
    <w:rsid w:val="00BC1D65"/>
    <w:rsid w:val="00BC24B1"/>
    <w:rsid w:val="00BC27B1"/>
    <w:rsid w:val="00BC2809"/>
    <w:rsid w:val="00BC3040"/>
    <w:rsid w:val="00BC3255"/>
    <w:rsid w:val="00BC32CF"/>
    <w:rsid w:val="00BC3347"/>
    <w:rsid w:val="00BC349B"/>
    <w:rsid w:val="00BC3AFC"/>
    <w:rsid w:val="00BC3CB5"/>
    <w:rsid w:val="00BC409F"/>
    <w:rsid w:val="00BC48C4"/>
    <w:rsid w:val="00BC4B49"/>
    <w:rsid w:val="00BC5244"/>
    <w:rsid w:val="00BC5A3B"/>
    <w:rsid w:val="00BC5A4B"/>
    <w:rsid w:val="00BC5A99"/>
    <w:rsid w:val="00BC5CBC"/>
    <w:rsid w:val="00BC5E22"/>
    <w:rsid w:val="00BC5ED1"/>
    <w:rsid w:val="00BC6034"/>
    <w:rsid w:val="00BC617D"/>
    <w:rsid w:val="00BC7803"/>
    <w:rsid w:val="00BC7896"/>
    <w:rsid w:val="00BC7AFF"/>
    <w:rsid w:val="00BC7C90"/>
    <w:rsid w:val="00BD021B"/>
    <w:rsid w:val="00BD02AE"/>
    <w:rsid w:val="00BD04BD"/>
    <w:rsid w:val="00BD076C"/>
    <w:rsid w:val="00BD09EF"/>
    <w:rsid w:val="00BD0B52"/>
    <w:rsid w:val="00BD0D2C"/>
    <w:rsid w:val="00BD107E"/>
    <w:rsid w:val="00BD12C2"/>
    <w:rsid w:val="00BD1C06"/>
    <w:rsid w:val="00BD1E99"/>
    <w:rsid w:val="00BD1F75"/>
    <w:rsid w:val="00BD270A"/>
    <w:rsid w:val="00BD2C99"/>
    <w:rsid w:val="00BD30DB"/>
    <w:rsid w:val="00BD3178"/>
    <w:rsid w:val="00BD337D"/>
    <w:rsid w:val="00BD3435"/>
    <w:rsid w:val="00BD3478"/>
    <w:rsid w:val="00BD35FF"/>
    <w:rsid w:val="00BD3787"/>
    <w:rsid w:val="00BD4E4E"/>
    <w:rsid w:val="00BD4F62"/>
    <w:rsid w:val="00BD5907"/>
    <w:rsid w:val="00BD5DA3"/>
    <w:rsid w:val="00BD5DEC"/>
    <w:rsid w:val="00BD5F6D"/>
    <w:rsid w:val="00BD604F"/>
    <w:rsid w:val="00BD659A"/>
    <w:rsid w:val="00BD65DA"/>
    <w:rsid w:val="00BD65FD"/>
    <w:rsid w:val="00BD68C8"/>
    <w:rsid w:val="00BD6DDA"/>
    <w:rsid w:val="00BD6E17"/>
    <w:rsid w:val="00BD6E42"/>
    <w:rsid w:val="00BD6E9C"/>
    <w:rsid w:val="00BD7117"/>
    <w:rsid w:val="00BD7252"/>
    <w:rsid w:val="00BD7813"/>
    <w:rsid w:val="00BD7A92"/>
    <w:rsid w:val="00BD7E29"/>
    <w:rsid w:val="00BE02FC"/>
    <w:rsid w:val="00BE0747"/>
    <w:rsid w:val="00BE0876"/>
    <w:rsid w:val="00BE0BA2"/>
    <w:rsid w:val="00BE15E3"/>
    <w:rsid w:val="00BE161C"/>
    <w:rsid w:val="00BE188C"/>
    <w:rsid w:val="00BE1C48"/>
    <w:rsid w:val="00BE2235"/>
    <w:rsid w:val="00BE233A"/>
    <w:rsid w:val="00BE27EC"/>
    <w:rsid w:val="00BE28DE"/>
    <w:rsid w:val="00BE2BBB"/>
    <w:rsid w:val="00BE3230"/>
    <w:rsid w:val="00BE385B"/>
    <w:rsid w:val="00BE39B3"/>
    <w:rsid w:val="00BE3BE5"/>
    <w:rsid w:val="00BE3C51"/>
    <w:rsid w:val="00BE3DA1"/>
    <w:rsid w:val="00BE41F4"/>
    <w:rsid w:val="00BE45F0"/>
    <w:rsid w:val="00BE47A2"/>
    <w:rsid w:val="00BE49E4"/>
    <w:rsid w:val="00BE4B76"/>
    <w:rsid w:val="00BE4DAD"/>
    <w:rsid w:val="00BE4E05"/>
    <w:rsid w:val="00BE525C"/>
    <w:rsid w:val="00BE529C"/>
    <w:rsid w:val="00BE55EA"/>
    <w:rsid w:val="00BE588B"/>
    <w:rsid w:val="00BE5A13"/>
    <w:rsid w:val="00BE6667"/>
    <w:rsid w:val="00BE6B3B"/>
    <w:rsid w:val="00BE6D91"/>
    <w:rsid w:val="00BE6EFC"/>
    <w:rsid w:val="00BE70D0"/>
    <w:rsid w:val="00BE7357"/>
    <w:rsid w:val="00BE75DA"/>
    <w:rsid w:val="00BE7B02"/>
    <w:rsid w:val="00BE7E90"/>
    <w:rsid w:val="00BF020D"/>
    <w:rsid w:val="00BF0695"/>
    <w:rsid w:val="00BF0F71"/>
    <w:rsid w:val="00BF1115"/>
    <w:rsid w:val="00BF14C6"/>
    <w:rsid w:val="00BF1640"/>
    <w:rsid w:val="00BF183B"/>
    <w:rsid w:val="00BF19EB"/>
    <w:rsid w:val="00BF1D08"/>
    <w:rsid w:val="00BF22B1"/>
    <w:rsid w:val="00BF22BD"/>
    <w:rsid w:val="00BF24D4"/>
    <w:rsid w:val="00BF2784"/>
    <w:rsid w:val="00BF27AA"/>
    <w:rsid w:val="00BF2A9D"/>
    <w:rsid w:val="00BF2B94"/>
    <w:rsid w:val="00BF2EC5"/>
    <w:rsid w:val="00BF3030"/>
    <w:rsid w:val="00BF4033"/>
    <w:rsid w:val="00BF4057"/>
    <w:rsid w:val="00BF4AAB"/>
    <w:rsid w:val="00BF4ED8"/>
    <w:rsid w:val="00BF509E"/>
    <w:rsid w:val="00BF53F1"/>
    <w:rsid w:val="00BF560E"/>
    <w:rsid w:val="00BF5A9C"/>
    <w:rsid w:val="00BF5C6E"/>
    <w:rsid w:val="00BF5CC2"/>
    <w:rsid w:val="00BF5E9A"/>
    <w:rsid w:val="00BF634C"/>
    <w:rsid w:val="00BF6714"/>
    <w:rsid w:val="00BF6C09"/>
    <w:rsid w:val="00BF7157"/>
    <w:rsid w:val="00BF7237"/>
    <w:rsid w:val="00BF777D"/>
    <w:rsid w:val="00BF789F"/>
    <w:rsid w:val="00BF7B74"/>
    <w:rsid w:val="00BF7B99"/>
    <w:rsid w:val="00C009AF"/>
    <w:rsid w:val="00C00BF2"/>
    <w:rsid w:val="00C00ED2"/>
    <w:rsid w:val="00C00F5C"/>
    <w:rsid w:val="00C013F1"/>
    <w:rsid w:val="00C01453"/>
    <w:rsid w:val="00C0196B"/>
    <w:rsid w:val="00C01EE5"/>
    <w:rsid w:val="00C021E3"/>
    <w:rsid w:val="00C022BD"/>
    <w:rsid w:val="00C02796"/>
    <w:rsid w:val="00C02FE8"/>
    <w:rsid w:val="00C0313B"/>
    <w:rsid w:val="00C0325B"/>
    <w:rsid w:val="00C033C7"/>
    <w:rsid w:val="00C03598"/>
    <w:rsid w:val="00C035B3"/>
    <w:rsid w:val="00C03DED"/>
    <w:rsid w:val="00C04222"/>
    <w:rsid w:val="00C0448C"/>
    <w:rsid w:val="00C046D0"/>
    <w:rsid w:val="00C048BB"/>
    <w:rsid w:val="00C04A96"/>
    <w:rsid w:val="00C04BF6"/>
    <w:rsid w:val="00C0508E"/>
    <w:rsid w:val="00C050FD"/>
    <w:rsid w:val="00C05378"/>
    <w:rsid w:val="00C057B0"/>
    <w:rsid w:val="00C057E0"/>
    <w:rsid w:val="00C05AA2"/>
    <w:rsid w:val="00C05D2F"/>
    <w:rsid w:val="00C05E81"/>
    <w:rsid w:val="00C05F62"/>
    <w:rsid w:val="00C06365"/>
    <w:rsid w:val="00C063AA"/>
    <w:rsid w:val="00C06450"/>
    <w:rsid w:val="00C06970"/>
    <w:rsid w:val="00C06A57"/>
    <w:rsid w:val="00C06ABB"/>
    <w:rsid w:val="00C06AC4"/>
    <w:rsid w:val="00C06B72"/>
    <w:rsid w:val="00C06F05"/>
    <w:rsid w:val="00C07124"/>
    <w:rsid w:val="00C07A97"/>
    <w:rsid w:val="00C07CF4"/>
    <w:rsid w:val="00C07D81"/>
    <w:rsid w:val="00C100D8"/>
    <w:rsid w:val="00C1039D"/>
    <w:rsid w:val="00C10C94"/>
    <w:rsid w:val="00C11017"/>
    <w:rsid w:val="00C11175"/>
    <w:rsid w:val="00C1174E"/>
    <w:rsid w:val="00C119B7"/>
    <w:rsid w:val="00C11C30"/>
    <w:rsid w:val="00C11FE3"/>
    <w:rsid w:val="00C120B4"/>
    <w:rsid w:val="00C1210E"/>
    <w:rsid w:val="00C12BA0"/>
    <w:rsid w:val="00C12BBA"/>
    <w:rsid w:val="00C12CCC"/>
    <w:rsid w:val="00C13381"/>
    <w:rsid w:val="00C13728"/>
    <w:rsid w:val="00C13DD1"/>
    <w:rsid w:val="00C13F97"/>
    <w:rsid w:val="00C1418E"/>
    <w:rsid w:val="00C142DA"/>
    <w:rsid w:val="00C1433A"/>
    <w:rsid w:val="00C149AA"/>
    <w:rsid w:val="00C14A0D"/>
    <w:rsid w:val="00C14BBC"/>
    <w:rsid w:val="00C14C99"/>
    <w:rsid w:val="00C14E6E"/>
    <w:rsid w:val="00C15030"/>
    <w:rsid w:val="00C15391"/>
    <w:rsid w:val="00C156CE"/>
    <w:rsid w:val="00C15752"/>
    <w:rsid w:val="00C15776"/>
    <w:rsid w:val="00C15873"/>
    <w:rsid w:val="00C15BDE"/>
    <w:rsid w:val="00C15CED"/>
    <w:rsid w:val="00C15F87"/>
    <w:rsid w:val="00C1632A"/>
    <w:rsid w:val="00C16597"/>
    <w:rsid w:val="00C16CAC"/>
    <w:rsid w:val="00C17192"/>
    <w:rsid w:val="00C17258"/>
    <w:rsid w:val="00C17320"/>
    <w:rsid w:val="00C173D5"/>
    <w:rsid w:val="00C17446"/>
    <w:rsid w:val="00C17729"/>
    <w:rsid w:val="00C17C3C"/>
    <w:rsid w:val="00C17CA4"/>
    <w:rsid w:val="00C2085B"/>
    <w:rsid w:val="00C2093C"/>
    <w:rsid w:val="00C20A75"/>
    <w:rsid w:val="00C21151"/>
    <w:rsid w:val="00C21311"/>
    <w:rsid w:val="00C2150F"/>
    <w:rsid w:val="00C21741"/>
    <w:rsid w:val="00C21E9C"/>
    <w:rsid w:val="00C2206D"/>
    <w:rsid w:val="00C22210"/>
    <w:rsid w:val="00C2229F"/>
    <w:rsid w:val="00C228FC"/>
    <w:rsid w:val="00C22A7C"/>
    <w:rsid w:val="00C22B86"/>
    <w:rsid w:val="00C22BB7"/>
    <w:rsid w:val="00C22D01"/>
    <w:rsid w:val="00C22DA2"/>
    <w:rsid w:val="00C22F33"/>
    <w:rsid w:val="00C22FF7"/>
    <w:rsid w:val="00C2343F"/>
    <w:rsid w:val="00C239E4"/>
    <w:rsid w:val="00C23A18"/>
    <w:rsid w:val="00C23A1A"/>
    <w:rsid w:val="00C24063"/>
    <w:rsid w:val="00C24178"/>
    <w:rsid w:val="00C2487A"/>
    <w:rsid w:val="00C24DDD"/>
    <w:rsid w:val="00C24F11"/>
    <w:rsid w:val="00C251E9"/>
    <w:rsid w:val="00C25453"/>
    <w:rsid w:val="00C2548F"/>
    <w:rsid w:val="00C255D6"/>
    <w:rsid w:val="00C25636"/>
    <w:rsid w:val="00C26052"/>
    <w:rsid w:val="00C262F8"/>
    <w:rsid w:val="00C26555"/>
    <w:rsid w:val="00C2655E"/>
    <w:rsid w:val="00C26864"/>
    <w:rsid w:val="00C269DD"/>
    <w:rsid w:val="00C26E94"/>
    <w:rsid w:val="00C2717E"/>
    <w:rsid w:val="00C2761A"/>
    <w:rsid w:val="00C278C5"/>
    <w:rsid w:val="00C278E7"/>
    <w:rsid w:val="00C27A71"/>
    <w:rsid w:val="00C27A87"/>
    <w:rsid w:val="00C27C61"/>
    <w:rsid w:val="00C303B8"/>
    <w:rsid w:val="00C30584"/>
    <w:rsid w:val="00C30CE9"/>
    <w:rsid w:val="00C30F6B"/>
    <w:rsid w:val="00C312BF"/>
    <w:rsid w:val="00C31577"/>
    <w:rsid w:val="00C315F1"/>
    <w:rsid w:val="00C3173A"/>
    <w:rsid w:val="00C318E2"/>
    <w:rsid w:val="00C31C7F"/>
    <w:rsid w:val="00C31E8E"/>
    <w:rsid w:val="00C31F61"/>
    <w:rsid w:val="00C322D7"/>
    <w:rsid w:val="00C323BA"/>
    <w:rsid w:val="00C32C1C"/>
    <w:rsid w:val="00C32D32"/>
    <w:rsid w:val="00C33172"/>
    <w:rsid w:val="00C33487"/>
    <w:rsid w:val="00C3352C"/>
    <w:rsid w:val="00C3362E"/>
    <w:rsid w:val="00C33694"/>
    <w:rsid w:val="00C339AE"/>
    <w:rsid w:val="00C33BCD"/>
    <w:rsid w:val="00C33BD2"/>
    <w:rsid w:val="00C33DF0"/>
    <w:rsid w:val="00C33F47"/>
    <w:rsid w:val="00C344AA"/>
    <w:rsid w:val="00C348FB"/>
    <w:rsid w:val="00C34B54"/>
    <w:rsid w:val="00C350CD"/>
    <w:rsid w:val="00C354D9"/>
    <w:rsid w:val="00C355F6"/>
    <w:rsid w:val="00C35726"/>
    <w:rsid w:val="00C366AC"/>
    <w:rsid w:val="00C36704"/>
    <w:rsid w:val="00C367AC"/>
    <w:rsid w:val="00C36971"/>
    <w:rsid w:val="00C369F7"/>
    <w:rsid w:val="00C36AD6"/>
    <w:rsid w:val="00C3728D"/>
    <w:rsid w:val="00C372EF"/>
    <w:rsid w:val="00C374C2"/>
    <w:rsid w:val="00C37918"/>
    <w:rsid w:val="00C37FC6"/>
    <w:rsid w:val="00C401AB"/>
    <w:rsid w:val="00C4045B"/>
    <w:rsid w:val="00C40991"/>
    <w:rsid w:val="00C40B07"/>
    <w:rsid w:val="00C413E1"/>
    <w:rsid w:val="00C415AC"/>
    <w:rsid w:val="00C41D18"/>
    <w:rsid w:val="00C41E4E"/>
    <w:rsid w:val="00C41E8B"/>
    <w:rsid w:val="00C423F6"/>
    <w:rsid w:val="00C4266B"/>
    <w:rsid w:val="00C42A87"/>
    <w:rsid w:val="00C42D3E"/>
    <w:rsid w:val="00C432A0"/>
    <w:rsid w:val="00C43448"/>
    <w:rsid w:val="00C4359D"/>
    <w:rsid w:val="00C435AF"/>
    <w:rsid w:val="00C43647"/>
    <w:rsid w:val="00C43768"/>
    <w:rsid w:val="00C43ACB"/>
    <w:rsid w:val="00C4400C"/>
    <w:rsid w:val="00C44070"/>
    <w:rsid w:val="00C44404"/>
    <w:rsid w:val="00C4479F"/>
    <w:rsid w:val="00C45437"/>
    <w:rsid w:val="00C455B0"/>
    <w:rsid w:val="00C45602"/>
    <w:rsid w:val="00C45642"/>
    <w:rsid w:val="00C45BD4"/>
    <w:rsid w:val="00C45DB2"/>
    <w:rsid w:val="00C46AC0"/>
    <w:rsid w:val="00C46EBF"/>
    <w:rsid w:val="00C47138"/>
    <w:rsid w:val="00C4760D"/>
    <w:rsid w:val="00C4772A"/>
    <w:rsid w:val="00C47AA9"/>
    <w:rsid w:val="00C47F01"/>
    <w:rsid w:val="00C47F2B"/>
    <w:rsid w:val="00C5065E"/>
    <w:rsid w:val="00C50675"/>
    <w:rsid w:val="00C50865"/>
    <w:rsid w:val="00C514FE"/>
    <w:rsid w:val="00C5158B"/>
    <w:rsid w:val="00C51C7F"/>
    <w:rsid w:val="00C5241A"/>
    <w:rsid w:val="00C52A5E"/>
    <w:rsid w:val="00C52AC9"/>
    <w:rsid w:val="00C52CA7"/>
    <w:rsid w:val="00C52F2B"/>
    <w:rsid w:val="00C5331A"/>
    <w:rsid w:val="00C533D4"/>
    <w:rsid w:val="00C534AD"/>
    <w:rsid w:val="00C5369D"/>
    <w:rsid w:val="00C538F5"/>
    <w:rsid w:val="00C53A4B"/>
    <w:rsid w:val="00C53D9C"/>
    <w:rsid w:val="00C53FE4"/>
    <w:rsid w:val="00C547AF"/>
    <w:rsid w:val="00C550DF"/>
    <w:rsid w:val="00C55121"/>
    <w:rsid w:val="00C55F18"/>
    <w:rsid w:val="00C568B7"/>
    <w:rsid w:val="00C56E2F"/>
    <w:rsid w:val="00C56E9A"/>
    <w:rsid w:val="00C5702E"/>
    <w:rsid w:val="00C57069"/>
    <w:rsid w:val="00C5710E"/>
    <w:rsid w:val="00C5728D"/>
    <w:rsid w:val="00C574AD"/>
    <w:rsid w:val="00C5785A"/>
    <w:rsid w:val="00C57885"/>
    <w:rsid w:val="00C57A32"/>
    <w:rsid w:val="00C57C61"/>
    <w:rsid w:val="00C57D2F"/>
    <w:rsid w:val="00C57FB6"/>
    <w:rsid w:val="00C60757"/>
    <w:rsid w:val="00C60854"/>
    <w:rsid w:val="00C6093B"/>
    <w:rsid w:val="00C60C40"/>
    <w:rsid w:val="00C60E8F"/>
    <w:rsid w:val="00C61B80"/>
    <w:rsid w:val="00C61E0A"/>
    <w:rsid w:val="00C61EAD"/>
    <w:rsid w:val="00C62134"/>
    <w:rsid w:val="00C625B8"/>
    <w:rsid w:val="00C62CE1"/>
    <w:rsid w:val="00C62DE0"/>
    <w:rsid w:val="00C63395"/>
    <w:rsid w:val="00C639ED"/>
    <w:rsid w:val="00C640B7"/>
    <w:rsid w:val="00C6469C"/>
    <w:rsid w:val="00C64784"/>
    <w:rsid w:val="00C647E6"/>
    <w:rsid w:val="00C64A59"/>
    <w:rsid w:val="00C64BA0"/>
    <w:rsid w:val="00C64DEA"/>
    <w:rsid w:val="00C65077"/>
    <w:rsid w:val="00C6519C"/>
    <w:rsid w:val="00C6523E"/>
    <w:rsid w:val="00C653B2"/>
    <w:rsid w:val="00C65AED"/>
    <w:rsid w:val="00C65BFB"/>
    <w:rsid w:val="00C65C47"/>
    <w:rsid w:val="00C65EFA"/>
    <w:rsid w:val="00C6699F"/>
    <w:rsid w:val="00C66A18"/>
    <w:rsid w:val="00C66E48"/>
    <w:rsid w:val="00C66FB1"/>
    <w:rsid w:val="00C678AE"/>
    <w:rsid w:val="00C67958"/>
    <w:rsid w:val="00C679CE"/>
    <w:rsid w:val="00C67A75"/>
    <w:rsid w:val="00C70558"/>
    <w:rsid w:val="00C706C6"/>
    <w:rsid w:val="00C7130F"/>
    <w:rsid w:val="00C716DE"/>
    <w:rsid w:val="00C717CE"/>
    <w:rsid w:val="00C7192F"/>
    <w:rsid w:val="00C71E97"/>
    <w:rsid w:val="00C722B3"/>
    <w:rsid w:val="00C72BDA"/>
    <w:rsid w:val="00C73094"/>
    <w:rsid w:val="00C73A88"/>
    <w:rsid w:val="00C74560"/>
    <w:rsid w:val="00C74BFC"/>
    <w:rsid w:val="00C753C6"/>
    <w:rsid w:val="00C755A8"/>
    <w:rsid w:val="00C75AC3"/>
    <w:rsid w:val="00C75E00"/>
    <w:rsid w:val="00C76379"/>
    <w:rsid w:val="00C76800"/>
    <w:rsid w:val="00C7695D"/>
    <w:rsid w:val="00C76A58"/>
    <w:rsid w:val="00C76C82"/>
    <w:rsid w:val="00C76D38"/>
    <w:rsid w:val="00C7719C"/>
    <w:rsid w:val="00C77E3E"/>
    <w:rsid w:val="00C800EF"/>
    <w:rsid w:val="00C8019A"/>
    <w:rsid w:val="00C80347"/>
    <w:rsid w:val="00C805B0"/>
    <w:rsid w:val="00C807B9"/>
    <w:rsid w:val="00C807EF"/>
    <w:rsid w:val="00C80F99"/>
    <w:rsid w:val="00C81237"/>
    <w:rsid w:val="00C81551"/>
    <w:rsid w:val="00C81924"/>
    <w:rsid w:val="00C81BD4"/>
    <w:rsid w:val="00C81CB5"/>
    <w:rsid w:val="00C81CD3"/>
    <w:rsid w:val="00C81ED9"/>
    <w:rsid w:val="00C82098"/>
    <w:rsid w:val="00C8214E"/>
    <w:rsid w:val="00C823CA"/>
    <w:rsid w:val="00C82416"/>
    <w:rsid w:val="00C825B7"/>
    <w:rsid w:val="00C82774"/>
    <w:rsid w:val="00C82886"/>
    <w:rsid w:val="00C82A17"/>
    <w:rsid w:val="00C82D1A"/>
    <w:rsid w:val="00C82ED6"/>
    <w:rsid w:val="00C83073"/>
    <w:rsid w:val="00C83401"/>
    <w:rsid w:val="00C83587"/>
    <w:rsid w:val="00C8378D"/>
    <w:rsid w:val="00C84324"/>
    <w:rsid w:val="00C84579"/>
    <w:rsid w:val="00C845F7"/>
    <w:rsid w:val="00C848FF"/>
    <w:rsid w:val="00C8491A"/>
    <w:rsid w:val="00C849F4"/>
    <w:rsid w:val="00C84BC2"/>
    <w:rsid w:val="00C84C2E"/>
    <w:rsid w:val="00C85086"/>
    <w:rsid w:val="00C85422"/>
    <w:rsid w:val="00C857BA"/>
    <w:rsid w:val="00C857EB"/>
    <w:rsid w:val="00C859AE"/>
    <w:rsid w:val="00C86373"/>
    <w:rsid w:val="00C86394"/>
    <w:rsid w:val="00C8664A"/>
    <w:rsid w:val="00C866E9"/>
    <w:rsid w:val="00C86DA7"/>
    <w:rsid w:val="00C875F8"/>
    <w:rsid w:val="00C875FB"/>
    <w:rsid w:val="00C87660"/>
    <w:rsid w:val="00C87791"/>
    <w:rsid w:val="00C90091"/>
    <w:rsid w:val="00C90263"/>
    <w:rsid w:val="00C90F31"/>
    <w:rsid w:val="00C911E6"/>
    <w:rsid w:val="00C91F21"/>
    <w:rsid w:val="00C92058"/>
    <w:rsid w:val="00C923E7"/>
    <w:rsid w:val="00C92496"/>
    <w:rsid w:val="00C9264F"/>
    <w:rsid w:val="00C9284D"/>
    <w:rsid w:val="00C92A8A"/>
    <w:rsid w:val="00C92D0A"/>
    <w:rsid w:val="00C92EEA"/>
    <w:rsid w:val="00C92F41"/>
    <w:rsid w:val="00C9354A"/>
    <w:rsid w:val="00C93C1D"/>
    <w:rsid w:val="00C93D00"/>
    <w:rsid w:val="00C94188"/>
    <w:rsid w:val="00C9421F"/>
    <w:rsid w:val="00C944C3"/>
    <w:rsid w:val="00C947E2"/>
    <w:rsid w:val="00C94840"/>
    <w:rsid w:val="00C94A2B"/>
    <w:rsid w:val="00C94EEA"/>
    <w:rsid w:val="00C94EF9"/>
    <w:rsid w:val="00C952AF"/>
    <w:rsid w:val="00C95625"/>
    <w:rsid w:val="00C95787"/>
    <w:rsid w:val="00C957FC"/>
    <w:rsid w:val="00C95C64"/>
    <w:rsid w:val="00C95D6A"/>
    <w:rsid w:val="00C96DBE"/>
    <w:rsid w:val="00C97254"/>
    <w:rsid w:val="00C97791"/>
    <w:rsid w:val="00C9799E"/>
    <w:rsid w:val="00C97F62"/>
    <w:rsid w:val="00C97F7F"/>
    <w:rsid w:val="00CA084E"/>
    <w:rsid w:val="00CA08AF"/>
    <w:rsid w:val="00CA0E8E"/>
    <w:rsid w:val="00CA137F"/>
    <w:rsid w:val="00CA1677"/>
    <w:rsid w:val="00CA1824"/>
    <w:rsid w:val="00CA23C3"/>
    <w:rsid w:val="00CA23D0"/>
    <w:rsid w:val="00CA25E5"/>
    <w:rsid w:val="00CA27E2"/>
    <w:rsid w:val="00CA296D"/>
    <w:rsid w:val="00CA29A5"/>
    <w:rsid w:val="00CA2AA0"/>
    <w:rsid w:val="00CA2D59"/>
    <w:rsid w:val="00CA308F"/>
    <w:rsid w:val="00CA3417"/>
    <w:rsid w:val="00CA351D"/>
    <w:rsid w:val="00CA35EA"/>
    <w:rsid w:val="00CA3630"/>
    <w:rsid w:val="00CA3781"/>
    <w:rsid w:val="00CA3CB8"/>
    <w:rsid w:val="00CA40D3"/>
    <w:rsid w:val="00CA4FE8"/>
    <w:rsid w:val="00CA50FE"/>
    <w:rsid w:val="00CA5138"/>
    <w:rsid w:val="00CA558C"/>
    <w:rsid w:val="00CA572F"/>
    <w:rsid w:val="00CA58C6"/>
    <w:rsid w:val="00CA5AFC"/>
    <w:rsid w:val="00CA613C"/>
    <w:rsid w:val="00CA61F5"/>
    <w:rsid w:val="00CA67CE"/>
    <w:rsid w:val="00CA6873"/>
    <w:rsid w:val="00CA68C5"/>
    <w:rsid w:val="00CA6932"/>
    <w:rsid w:val="00CA6B1B"/>
    <w:rsid w:val="00CA6BA8"/>
    <w:rsid w:val="00CA6C23"/>
    <w:rsid w:val="00CA6FAE"/>
    <w:rsid w:val="00CA722A"/>
    <w:rsid w:val="00CA755D"/>
    <w:rsid w:val="00CA7685"/>
    <w:rsid w:val="00CA77E7"/>
    <w:rsid w:val="00CA7862"/>
    <w:rsid w:val="00CA7B29"/>
    <w:rsid w:val="00CA7C75"/>
    <w:rsid w:val="00CB0871"/>
    <w:rsid w:val="00CB0BE9"/>
    <w:rsid w:val="00CB1027"/>
    <w:rsid w:val="00CB15D9"/>
    <w:rsid w:val="00CB1A30"/>
    <w:rsid w:val="00CB20F0"/>
    <w:rsid w:val="00CB2AEF"/>
    <w:rsid w:val="00CB2BDE"/>
    <w:rsid w:val="00CB2F2E"/>
    <w:rsid w:val="00CB35CC"/>
    <w:rsid w:val="00CB3B84"/>
    <w:rsid w:val="00CB4B55"/>
    <w:rsid w:val="00CB4C54"/>
    <w:rsid w:val="00CB5A5A"/>
    <w:rsid w:val="00CB5E47"/>
    <w:rsid w:val="00CB62B8"/>
    <w:rsid w:val="00CB635F"/>
    <w:rsid w:val="00CB6361"/>
    <w:rsid w:val="00CB639C"/>
    <w:rsid w:val="00CB679B"/>
    <w:rsid w:val="00CB7019"/>
    <w:rsid w:val="00CB766B"/>
    <w:rsid w:val="00CB7957"/>
    <w:rsid w:val="00CB7A74"/>
    <w:rsid w:val="00CB7C75"/>
    <w:rsid w:val="00CB7D58"/>
    <w:rsid w:val="00CB7DDF"/>
    <w:rsid w:val="00CC0141"/>
    <w:rsid w:val="00CC0152"/>
    <w:rsid w:val="00CC0466"/>
    <w:rsid w:val="00CC0A7E"/>
    <w:rsid w:val="00CC15D8"/>
    <w:rsid w:val="00CC18F2"/>
    <w:rsid w:val="00CC197E"/>
    <w:rsid w:val="00CC1F5C"/>
    <w:rsid w:val="00CC20B0"/>
    <w:rsid w:val="00CC23A0"/>
    <w:rsid w:val="00CC25BC"/>
    <w:rsid w:val="00CC2B3A"/>
    <w:rsid w:val="00CC2C4D"/>
    <w:rsid w:val="00CC2D63"/>
    <w:rsid w:val="00CC2F55"/>
    <w:rsid w:val="00CC3149"/>
    <w:rsid w:val="00CC3935"/>
    <w:rsid w:val="00CC3AEC"/>
    <w:rsid w:val="00CC3B1D"/>
    <w:rsid w:val="00CC3BFC"/>
    <w:rsid w:val="00CC3D16"/>
    <w:rsid w:val="00CC3E4B"/>
    <w:rsid w:val="00CC4576"/>
    <w:rsid w:val="00CC4B2B"/>
    <w:rsid w:val="00CC511D"/>
    <w:rsid w:val="00CC545B"/>
    <w:rsid w:val="00CC58B8"/>
    <w:rsid w:val="00CC5A9D"/>
    <w:rsid w:val="00CC5AA9"/>
    <w:rsid w:val="00CC6428"/>
    <w:rsid w:val="00CC6A46"/>
    <w:rsid w:val="00CC6B8E"/>
    <w:rsid w:val="00CC6BB7"/>
    <w:rsid w:val="00CC7105"/>
    <w:rsid w:val="00CC720A"/>
    <w:rsid w:val="00CC751D"/>
    <w:rsid w:val="00CC79C6"/>
    <w:rsid w:val="00CC7B93"/>
    <w:rsid w:val="00CD067D"/>
    <w:rsid w:val="00CD0882"/>
    <w:rsid w:val="00CD0CFE"/>
    <w:rsid w:val="00CD0F6C"/>
    <w:rsid w:val="00CD168F"/>
    <w:rsid w:val="00CD16F0"/>
    <w:rsid w:val="00CD196D"/>
    <w:rsid w:val="00CD2867"/>
    <w:rsid w:val="00CD2B33"/>
    <w:rsid w:val="00CD2F4C"/>
    <w:rsid w:val="00CD310A"/>
    <w:rsid w:val="00CD3F8F"/>
    <w:rsid w:val="00CD4624"/>
    <w:rsid w:val="00CD4AD3"/>
    <w:rsid w:val="00CD4D06"/>
    <w:rsid w:val="00CD4DDF"/>
    <w:rsid w:val="00CD4ECD"/>
    <w:rsid w:val="00CD4F92"/>
    <w:rsid w:val="00CD5961"/>
    <w:rsid w:val="00CD5B76"/>
    <w:rsid w:val="00CD6156"/>
    <w:rsid w:val="00CD6549"/>
    <w:rsid w:val="00CD68FD"/>
    <w:rsid w:val="00CD6E3F"/>
    <w:rsid w:val="00CD6EEC"/>
    <w:rsid w:val="00CD6FF6"/>
    <w:rsid w:val="00CD70C2"/>
    <w:rsid w:val="00CD74D6"/>
    <w:rsid w:val="00CD7672"/>
    <w:rsid w:val="00CD77D4"/>
    <w:rsid w:val="00CD79E6"/>
    <w:rsid w:val="00CE0C44"/>
    <w:rsid w:val="00CE0D29"/>
    <w:rsid w:val="00CE0E60"/>
    <w:rsid w:val="00CE0F23"/>
    <w:rsid w:val="00CE1F91"/>
    <w:rsid w:val="00CE26A3"/>
    <w:rsid w:val="00CE2739"/>
    <w:rsid w:val="00CE282C"/>
    <w:rsid w:val="00CE284D"/>
    <w:rsid w:val="00CE2BA0"/>
    <w:rsid w:val="00CE2C19"/>
    <w:rsid w:val="00CE2CB3"/>
    <w:rsid w:val="00CE306B"/>
    <w:rsid w:val="00CE30D5"/>
    <w:rsid w:val="00CE33E2"/>
    <w:rsid w:val="00CE395D"/>
    <w:rsid w:val="00CE3A32"/>
    <w:rsid w:val="00CE3B7C"/>
    <w:rsid w:val="00CE3F8B"/>
    <w:rsid w:val="00CE40F8"/>
    <w:rsid w:val="00CE4434"/>
    <w:rsid w:val="00CE4644"/>
    <w:rsid w:val="00CE50E1"/>
    <w:rsid w:val="00CE53DF"/>
    <w:rsid w:val="00CE5404"/>
    <w:rsid w:val="00CE546B"/>
    <w:rsid w:val="00CE5706"/>
    <w:rsid w:val="00CE58AB"/>
    <w:rsid w:val="00CE5ECE"/>
    <w:rsid w:val="00CE6072"/>
    <w:rsid w:val="00CE62A0"/>
    <w:rsid w:val="00CE63BE"/>
    <w:rsid w:val="00CE67C5"/>
    <w:rsid w:val="00CE683F"/>
    <w:rsid w:val="00CE6885"/>
    <w:rsid w:val="00CE68B5"/>
    <w:rsid w:val="00CE6B93"/>
    <w:rsid w:val="00CE7023"/>
    <w:rsid w:val="00CE78DB"/>
    <w:rsid w:val="00CF0424"/>
    <w:rsid w:val="00CF06B3"/>
    <w:rsid w:val="00CF0D6D"/>
    <w:rsid w:val="00CF0E16"/>
    <w:rsid w:val="00CF0F28"/>
    <w:rsid w:val="00CF0F2B"/>
    <w:rsid w:val="00CF0FFA"/>
    <w:rsid w:val="00CF1609"/>
    <w:rsid w:val="00CF1962"/>
    <w:rsid w:val="00CF19EC"/>
    <w:rsid w:val="00CF1D1F"/>
    <w:rsid w:val="00CF1EB1"/>
    <w:rsid w:val="00CF2395"/>
    <w:rsid w:val="00CF26FE"/>
    <w:rsid w:val="00CF2792"/>
    <w:rsid w:val="00CF283E"/>
    <w:rsid w:val="00CF314B"/>
    <w:rsid w:val="00CF3157"/>
    <w:rsid w:val="00CF338F"/>
    <w:rsid w:val="00CF36FC"/>
    <w:rsid w:val="00CF3C53"/>
    <w:rsid w:val="00CF3DBD"/>
    <w:rsid w:val="00CF46ED"/>
    <w:rsid w:val="00CF4A54"/>
    <w:rsid w:val="00CF5031"/>
    <w:rsid w:val="00CF5270"/>
    <w:rsid w:val="00CF566E"/>
    <w:rsid w:val="00CF5867"/>
    <w:rsid w:val="00CF5AE5"/>
    <w:rsid w:val="00CF5BEE"/>
    <w:rsid w:val="00CF5F77"/>
    <w:rsid w:val="00CF658A"/>
    <w:rsid w:val="00CF6A65"/>
    <w:rsid w:val="00CF6E88"/>
    <w:rsid w:val="00CF71C4"/>
    <w:rsid w:val="00CF76B1"/>
    <w:rsid w:val="00CF78C7"/>
    <w:rsid w:val="00CF7FE9"/>
    <w:rsid w:val="00D00131"/>
    <w:rsid w:val="00D0029F"/>
    <w:rsid w:val="00D005FD"/>
    <w:rsid w:val="00D009F9"/>
    <w:rsid w:val="00D01019"/>
    <w:rsid w:val="00D02B76"/>
    <w:rsid w:val="00D02B8E"/>
    <w:rsid w:val="00D031C8"/>
    <w:rsid w:val="00D036E9"/>
    <w:rsid w:val="00D03B9C"/>
    <w:rsid w:val="00D03C1F"/>
    <w:rsid w:val="00D03D47"/>
    <w:rsid w:val="00D041BA"/>
    <w:rsid w:val="00D04370"/>
    <w:rsid w:val="00D047C2"/>
    <w:rsid w:val="00D0509E"/>
    <w:rsid w:val="00D0539D"/>
    <w:rsid w:val="00D055DF"/>
    <w:rsid w:val="00D056D5"/>
    <w:rsid w:val="00D05C48"/>
    <w:rsid w:val="00D05DCA"/>
    <w:rsid w:val="00D05E01"/>
    <w:rsid w:val="00D05FB1"/>
    <w:rsid w:val="00D05FC5"/>
    <w:rsid w:val="00D0609F"/>
    <w:rsid w:val="00D0686B"/>
    <w:rsid w:val="00D06B60"/>
    <w:rsid w:val="00D06D61"/>
    <w:rsid w:val="00D06D9C"/>
    <w:rsid w:val="00D07308"/>
    <w:rsid w:val="00D0799E"/>
    <w:rsid w:val="00D10982"/>
    <w:rsid w:val="00D109B8"/>
    <w:rsid w:val="00D10C0B"/>
    <w:rsid w:val="00D10C9F"/>
    <w:rsid w:val="00D1100B"/>
    <w:rsid w:val="00D113E6"/>
    <w:rsid w:val="00D11527"/>
    <w:rsid w:val="00D115ED"/>
    <w:rsid w:val="00D11BD3"/>
    <w:rsid w:val="00D11F92"/>
    <w:rsid w:val="00D12158"/>
    <w:rsid w:val="00D12964"/>
    <w:rsid w:val="00D12F66"/>
    <w:rsid w:val="00D13359"/>
    <w:rsid w:val="00D1343D"/>
    <w:rsid w:val="00D135C3"/>
    <w:rsid w:val="00D135CA"/>
    <w:rsid w:val="00D13804"/>
    <w:rsid w:val="00D13D0D"/>
    <w:rsid w:val="00D1476A"/>
    <w:rsid w:val="00D149B0"/>
    <w:rsid w:val="00D151D4"/>
    <w:rsid w:val="00D155F6"/>
    <w:rsid w:val="00D15781"/>
    <w:rsid w:val="00D157F8"/>
    <w:rsid w:val="00D15E1D"/>
    <w:rsid w:val="00D163F3"/>
    <w:rsid w:val="00D16517"/>
    <w:rsid w:val="00D16565"/>
    <w:rsid w:val="00D16674"/>
    <w:rsid w:val="00D167D1"/>
    <w:rsid w:val="00D16CBF"/>
    <w:rsid w:val="00D16D6D"/>
    <w:rsid w:val="00D16DC7"/>
    <w:rsid w:val="00D1703E"/>
    <w:rsid w:val="00D172AB"/>
    <w:rsid w:val="00D173C2"/>
    <w:rsid w:val="00D17BBD"/>
    <w:rsid w:val="00D17EA8"/>
    <w:rsid w:val="00D20082"/>
    <w:rsid w:val="00D2044F"/>
    <w:rsid w:val="00D204CD"/>
    <w:rsid w:val="00D205F2"/>
    <w:rsid w:val="00D20CFE"/>
    <w:rsid w:val="00D20EF6"/>
    <w:rsid w:val="00D21191"/>
    <w:rsid w:val="00D21691"/>
    <w:rsid w:val="00D21901"/>
    <w:rsid w:val="00D2199B"/>
    <w:rsid w:val="00D21AB4"/>
    <w:rsid w:val="00D220FE"/>
    <w:rsid w:val="00D223BF"/>
    <w:rsid w:val="00D2264D"/>
    <w:rsid w:val="00D229D9"/>
    <w:rsid w:val="00D22DED"/>
    <w:rsid w:val="00D234B3"/>
    <w:rsid w:val="00D23506"/>
    <w:rsid w:val="00D23546"/>
    <w:rsid w:val="00D2386A"/>
    <w:rsid w:val="00D2443A"/>
    <w:rsid w:val="00D2467B"/>
    <w:rsid w:val="00D24BA2"/>
    <w:rsid w:val="00D24D18"/>
    <w:rsid w:val="00D2571A"/>
    <w:rsid w:val="00D25A39"/>
    <w:rsid w:val="00D25BAD"/>
    <w:rsid w:val="00D25C5A"/>
    <w:rsid w:val="00D25D1F"/>
    <w:rsid w:val="00D266E6"/>
    <w:rsid w:val="00D267AA"/>
    <w:rsid w:val="00D26CB3"/>
    <w:rsid w:val="00D26CF8"/>
    <w:rsid w:val="00D26D12"/>
    <w:rsid w:val="00D26FDA"/>
    <w:rsid w:val="00D272F8"/>
    <w:rsid w:val="00D273AB"/>
    <w:rsid w:val="00D27767"/>
    <w:rsid w:val="00D30055"/>
    <w:rsid w:val="00D307D0"/>
    <w:rsid w:val="00D30A18"/>
    <w:rsid w:val="00D30A8C"/>
    <w:rsid w:val="00D30C40"/>
    <w:rsid w:val="00D30DA7"/>
    <w:rsid w:val="00D3178E"/>
    <w:rsid w:val="00D319DB"/>
    <w:rsid w:val="00D31A37"/>
    <w:rsid w:val="00D31A9A"/>
    <w:rsid w:val="00D31F4E"/>
    <w:rsid w:val="00D3210C"/>
    <w:rsid w:val="00D32453"/>
    <w:rsid w:val="00D329F3"/>
    <w:rsid w:val="00D32E69"/>
    <w:rsid w:val="00D33407"/>
    <w:rsid w:val="00D336CB"/>
    <w:rsid w:val="00D338D1"/>
    <w:rsid w:val="00D33F57"/>
    <w:rsid w:val="00D340A5"/>
    <w:rsid w:val="00D3410B"/>
    <w:rsid w:val="00D34516"/>
    <w:rsid w:val="00D346E3"/>
    <w:rsid w:val="00D3474E"/>
    <w:rsid w:val="00D3476B"/>
    <w:rsid w:val="00D34793"/>
    <w:rsid w:val="00D3503F"/>
    <w:rsid w:val="00D35255"/>
    <w:rsid w:val="00D35283"/>
    <w:rsid w:val="00D3531C"/>
    <w:rsid w:val="00D35839"/>
    <w:rsid w:val="00D35C62"/>
    <w:rsid w:val="00D35DF7"/>
    <w:rsid w:val="00D35FC5"/>
    <w:rsid w:val="00D361BE"/>
    <w:rsid w:val="00D368CE"/>
    <w:rsid w:val="00D3695B"/>
    <w:rsid w:val="00D37555"/>
    <w:rsid w:val="00D37674"/>
    <w:rsid w:val="00D37B32"/>
    <w:rsid w:val="00D37E44"/>
    <w:rsid w:val="00D40305"/>
    <w:rsid w:val="00D405AE"/>
    <w:rsid w:val="00D4106B"/>
    <w:rsid w:val="00D41213"/>
    <w:rsid w:val="00D42092"/>
    <w:rsid w:val="00D42839"/>
    <w:rsid w:val="00D4285D"/>
    <w:rsid w:val="00D42CBC"/>
    <w:rsid w:val="00D42EC4"/>
    <w:rsid w:val="00D4373D"/>
    <w:rsid w:val="00D43755"/>
    <w:rsid w:val="00D447D5"/>
    <w:rsid w:val="00D44C9F"/>
    <w:rsid w:val="00D44FB8"/>
    <w:rsid w:val="00D454ED"/>
    <w:rsid w:val="00D457EF"/>
    <w:rsid w:val="00D4589C"/>
    <w:rsid w:val="00D45A7C"/>
    <w:rsid w:val="00D45C95"/>
    <w:rsid w:val="00D45E8A"/>
    <w:rsid w:val="00D46510"/>
    <w:rsid w:val="00D4669F"/>
    <w:rsid w:val="00D46AFF"/>
    <w:rsid w:val="00D46E0F"/>
    <w:rsid w:val="00D46E6F"/>
    <w:rsid w:val="00D46F21"/>
    <w:rsid w:val="00D47002"/>
    <w:rsid w:val="00D474DB"/>
    <w:rsid w:val="00D476CB"/>
    <w:rsid w:val="00D50514"/>
    <w:rsid w:val="00D50697"/>
    <w:rsid w:val="00D50893"/>
    <w:rsid w:val="00D50A4A"/>
    <w:rsid w:val="00D50D5C"/>
    <w:rsid w:val="00D51129"/>
    <w:rsid w:val="00D51733"/>
    <w:rsid w:val="00D51AD1"/>
    <w:rsid w:val="00D51CC5"/>
    <w:rsid w:val="00D51EDE"/>
    <w:rsid w:val="00D51FF0"/>
    <w:rsid w:val="00D523F2"/>
    <w:rsid w:val="00D52480"/>
    <w:rsid w:val="00D5305D"/>
    <w:rsid w:val="00D53603"/>
    <w:rsid w:val="00D53A96"/>
    <w:rsid w:val="00D53BE5"/>
    <w:rsid w:val="00D53C59"/>
    <w:rsid w:val="00D53F22"/>
    <w:rsid w:val="00D540F4"/>
    <w:rsid w:val="00D54169"/>
    <w:rsid w:val="00D54849"/>
    <w:rsid w:val="00D54A2A"/>
    <w:rsid w:val="00D54A5F"/>
    <w:rsid w:val="00D54B4A"/>
    <w:rsid w:val="00D55A5B"/>
    <w:rsid w:val="00D55D17"/>
    <w:rsid w:val="00D55D5D"/>
    <w:rsid w:val="00D5623A"/>
    <w:rsid w:val="00D5632F"/>
    <w:rsid w:val="00D56AE5"/>
    <w:rsid w:val="00D56C98"/>
    <w:rsid w:val="00D57434"/>
    <w:rsid w:val="00D5748B"/>
    <w:rsid w:val="00D57800"/>
    <w:rsid w:val="00D579B3"/>
    <w:rsid w:val="00D57E2A"/>
    <w:rsid w:val="00D60BFA"/>
    <w:rsid w:val="00D6112F"/>
    <w:rsid w:val="00D61397"/>
    <w:rsid w:val="00D61A8F"/>
    <w:rsid w:val="00D61F38"/>
    <w:rsid w:val="00D62037"/>
    <w:rsid w:val="00D620CC"/>
    <w:rsid w:val="00D622AF"/>
    <w:rsid w:val="00D623AD"/>
    <w:rsid w:val="00D6263F"/>
    <w:rsid w:val="00D62CD1"/>
    <w:rsid w:val="00D62D3A"/>
    <w:rsid w:val="00D63031"/>
    <w:rsid w:val="00D635DC"/>
    <w:rsid w:val="00D63AD0"/>
    <w:rsid w:val="00D63B02"/>
    <w:rsid w:val="00D63B10"/>
    <w:rsid w:val="00D63BA4"/>
    <w:rsid w:val="00D63D3E"/>
    <w:rsid w:val="00D63E4A"/>
    <w:rsid w:val="00D63EDF"/>
    <w:rsid w:val="00D63F79"/>
    <w:rsid w:val="00D6409B"/>
    <w:rsid w:val="00D64238"/>
    <w:rsid w:val="00D643E8"/>
    <w:rsid w:val="00D64AEA"/>
    <w:rsid w:val="00D64E8B"/>
    <w:rsid w:val="00D64F3E"/>
    <w:rsid w:val="00D6540F"/>
    <w:rsid w:val="00D6559F"/>
    <w:rsid w:val="00D659BA"/>
    <w:rsid w:val="00D65E36"/>
    <w:rsid w:val="00D65E8F"/>
    <w:rsid w:val="00D65F6B"/>
    <w:rsid w:val="00D661B6"/>
    <w:rsid w:val="00D662B9"/>
    <w:rsid w:val="00D665AF"/>
    <w:rsid w:val="00D66C4A"/>
    <w:rsid w:val="00D66F4F"/>
    <w:rsid w:val="00D6712E"/>
    <w:rsid w:val="00D674A3"/>
    <w:rsid w:val="00D67537"/>
    <w:rsid w:val="00D6780E"/>
    <w:rsid w:val="00D6794D"/>
    <w:rsid w:val="00D679EB"/>
    <w:rsid w:val="00D67EC9"/>
    <w:rsid w:val="00D70364"/>
    <w:rsid w:val="00D708B1"/>
    <w:rsid w:val="00D70A60"/>
    <w:rsid w:val="00D70AB8"/>
    <w:rsid w:val="00D70CB4"/>
    <w:rsid w:val="00D70F98"/>
    <w:rsid w:val="00D71504"/>
    <w:rsid w:val="00D71AFB"/>
    <w:rsid w:val="00D721C1"/>
    <w:rsid w:val="00D726EA"/>
    <w:rsid w:val="00D72890"/>
    <w:rsid w:val="00D7296A"/>
    <w:rsid w:val="00D72DA3"/>
    <w:rsid w:val="00D731F0"/>
    <w:rsid w:val="00D73CDA"/>
    <w:rsid w:val="00D73F7B"/>
    <w:rsid w:val="00D748E5"/>
    <w:rsid w:val="00D74921"/>
    <w:rsid w:val="00D74AAE"/>
    <w:rsid w:val="00D74C41"/>
    <w:rsid w:val="00D74FE8"/>
    <w:rsid w:val="00D7502E"/>
    <w:rsid w:val="00D75A79"/>
    <w:rsid w:val="00D75CA4"/>
    <w:rsid w:val="00D75D18"/>
    <w:rsid w:val="00D75D3E"/>
    <w:rsid w:val="00D761A3"/>
    <w:rsid w:val="00D7634E"/>
    <w:rsid w:val="00D763EF"/>
    <w:rsid w:val="00D76693"/>
    <w:rsid w:val="00D76DF8"/>
    <w:rsid w:val="00D77506"/>
    <w:rsid w:val="00D77E01"/>
    <w:rsid w:val="00D8030B"/>
    <w:rsid w:val="00D806CD"/>
    <w:rsid w:val="00D807E1"/>
    <w:rsid w:val="00D80ADB"/>
    <w:rsid w:val="00D80C4F"/>
    <w:rsid w:val="00D80DA6"/>
    <w:rsid w:val="00D81323"/>
    <w:rsid w:val="00D813A2"/>
    <w:rsid w:val="00D81B2D"/>
    <w:rsid w:val="00D81BB3"/>
    <w:rsid w:val="00D82066"/>
    <w:rsid w:val="00D82246"/>
    <w:rsid w:val="00D82309"/>
    <w:rsid w:val="00D83040"/>
    <w:rsid w:val="00D83869"/>
    <w:rsid w:val="00D838C1"/>
    <w:rsid w:val="00D83A3E"/>
    <w:rsid w:val="00D840FC"/>
    <w:rsid w:val="00D84182"/>
    <w:rsid w:val="00D84767"/>
    <w:rsid w:val="00D84FCD"/>
    <w:rsid w:val="00D852B7"/>
    <w:rsid w:val="00D85375"/>
    <w:rsid w:val="00D85FF4"/>
    <w:rsid w:val="00D865B3"/>
    <w:rsid w:val="00D86B88"/>
    <w:rsid w:val="00D86F2C"/>
    <w:rsid w:val="00D87016"/>
    <w:rsid w:val="00D87044"/>
    <w:rsid w:val="00D872D4"/>
    <w:rsid w:val="00D873C4"/>
    <w:rsid w:val="00D87673"/>
    <w:rsid w:val="00D87F0D"/>
    <w:rsid w:val="00D90345"/>
    <w:rsid w:val="00D90348"/>
    <w:rsid w:val="00D906A4"/>
    <w:rsid w:val="00D907BE"/>
    <w:rsid w:val="00D90AB3"/>
    <w:rsid w:val="00D90C9B"/>
    <w:rsid w:val="00D915D5"/>
    <w:rsid w:val="00D91696"/>
    <w:rsid w:val="00D91AB2"/>
    <w:rsid w:val="00D91ED4"/>
    <w:rsid w:val="00D9252D"/>
    <w:rsid w:val="00D9260D"/>
    <w:rsid w:val="00D927EA"/>
    <w:rsid w:val="00D9298D"/>
    <w:rsid w:val="00D92A70"/>
    <w:rsid w:val="00D92B7C"/>
    <w:rsid w:val="00D92BB7"/>
    <w:rsid w:val="00D92CCC"/>
    <w:rsid w:val="00D92E8B"/>
    <w:rsid w:val="00D9338C"/>
    <w:rsid w:val="00D935B7"/>
    <w:rsid w:val="00D93964"/>
    <w:rsid w:val="00D9398E"/>
    <w:rsid w:val="00D93D35"/>
    <w:rsid w:val="00D942EF"/>
    <w:rsid w:val="00D94A82"/>
    <w:rsid w:val="00D94D14"/>
    <w:rsid w:val="00D94F60"/>
    <w:rsid w:val="00D94FFF"/>
    <w:rsid w:val="00D955CB"/>
    <w:rsid w:val="00D96241"/>
    <w:rsid w:val="00D9699F"/>
    <w:rsid w:val="00D97030"/>
    <w:rsid w:val="00D97757"/>
    <w:rsid w:val="00D97A3E"/>
    <w:rsid w:val="00D97CB4"/>
    <w:rsid w:val="00D97D88"/>
    <w:rsid w:val="00D97ED0"/>
    <w:rsid w:val="00D97FB5"/>
    <w:rsid w:val="00DA0061"/>
    <w:rsid w:val="00DA02B8"/>
    <w:rsid w:val="00DA05D5"/>
    <w:rsid w:val="00DA0F12"/>
    <w:rsid w:val="00DA115C"/>
    <w:rsid w:val="00DA15D2"/>
    <w:rsid w:val="00DA19AB"/>
    <w:rsid w:val="00DA1ABA"/>
    <w:rsid w:val="00DA1CE3"/>
    <w:rsid w:val="00DA1D37"/>
    <w:rsid w:val="00DA2133"/>
    <w:rsid w:val="00DA3373"/>
    <w:rsid w:val="00DA34F9"/>
    <w:rsid w:val="00DA3500"/>
    <w:rsid w:val="00DA3874"/>
    <w:rsid w:val="00DA391C"/>
    <w:rsid w:val="00DA3934"/>
    <w:rsid w:val="00DA42A7"/>
    <w:rsid w:val="00DA4464"/>
    <w:rsid w:val="00DA4A3F"/>
    <w:rsid w:val="00DA557A"/>
    <w:rsid w:val="00DA5A26"/>
    <w:rsid w:val="00DA5B2F"/>
    <w:rsid w:val="00DA5D22"/>
    <w:rsid w:val="00DA5DC5"/>
    <w:rsid w:val="00DA5FA8"/>
    <w:rsid w:val="00DA617B"/>
    <w:rsid w:val="00DA61D0"/>
    <w:rsid w:val="00DA623C"/>
    <w:rsid w:val="00DA6424"/>
    <w:rsid w:val="00DA6578"/>
    <w:rsid w:val="00DA6CDD"/>
    <w:rsid w:val="00DA6E13"/>
    <w:rsid w:val="00DA7F01"/>
    <w:rsid w:val="00DB00D0"/>
    <w:rsid w:val="00DB01FA"/>
    <w:rsid w:val="00DB0273"/>
    <w:rsid w:val="00DB0729"/>
    <w:rsid w:val="00DB10F8"/>
    <w:rsid w:val="00DB1147"/>
    <w:rsid w:val="00DB1877"/>
    <w:rsid w:val="00DB1983"/>
    <w:rsid w:val="00DB1A31"/>
    <w:rsid w:val="00DB1C1B"/>
    <w:rsid w:val="00DB21E9"/>
    <w:rsid w:val="00DB255D"/>
    <w:rsid w:val="00DB2615"/>
    <w:rsid w:val="00DB279E"/>
    <w:rsid w:val="00DB368B"/>
    <w:rsid w:val="00DB393B"/>
    <w:rsid w:val="00DB42F6"/>
    <w:rsid w:val="00DB457F"/>
    <w:rsid w:val="00DB4979"/>
    <w:rsid w:val="00DB4AF4"/>
    <w:rsid w:val="00DB4D58"/>
    <w:rsid w:val="00DB5134"/>
    <w:rsid w:val="00DB5339"/>
    <w:rsid w:val="00DB5358"/>
    <w:rsid w:val="00DB580B"/>
    <w:rsid w:val="00DB5F98"/>
    <w:rsid w:val="00DB6119"/>
    <w:rsid w:val="00DB6259"/>
    <w:rsid w:val="00DB6275"/>
    <w:rsid w:val="00DB62C0"/>
    <w:rsid w:val="00DB6402"/>
    <w:rsid w:val="00DB64D9"/>
    <w:rsid w:val="00DB6A43"/>
    <w:rsid w:val="00DB6BBC"/>
    <w:rsid w:val="00DB6C0C"/>
    <w:rsid w:val="00DB6D62"/>
    <w:rsid w:val="00DB7081"/>
    <w:rsid w:val="00DB726E"/>
    <w:rsid w:val="00DB773D"/>
    <w:rsid w:val="00DB7861"/>
    <w:rsid w:val="00DB7B0E"/>
    <w:rsid w:val="00DB7D54"/>
    <w:rsid w:val="00DB7EFA"/>
    <w:rsid w:val="00DC00B3"/>
    <w:rsid w:val="00DC0184"/>
    <w:rsid w:val="00DC03B4"/>
    <w:rsid w:val="00DC0517"/>
    <w:rsid w:val="00DC0910"/>
    <w:rsid w:val="00DC0E1C"/>
    <w:rsid w:val="00DC1108"/>
    <w:rsid w:val="00DC1405"/>
    <w:rsid w:val="00DC144E"/>
    <w:rsid w:val="00DC1C15"/>
    <w:rsid w:val="00DC24CE"/>
    <w:rsid w:val="00DC2793"/>
    <w:rsid w:val="00DC29A6"/>
    <w:rsid w:val="00DC2B5B"/>
    <w:rsid w:val="00DC2C4A"/>
    <w:rsid w:val="00DC2E57"/>
    <w:rsid w:val="00DC2E88"/>
    <w:rsid w:val="00DC3117"/>
    <w:rsid w:val="00DC331F"/>
    <w:rsid w:val="00DC36E8"/>
    <w:rsid w:val="00DC37CA"/>
    <w:rsid w:val="00DC38DB"/>
    <w:rsid w:val="00DC3F37"/>
    <w:rsid w:val="00DC43E4"/>
    <w:rsid w:val="00DC4453"/>
    <w:rsid w:val="00DC4829"/>
    <w:rsid w:val="00DC4890"/>
    <w:rsid w:val="00DC4BCF"/>
    <w:rsid w:val="00DC4D07"/>
    <w:rsid w:val="00DC4FDA"/>
    <w:rsid w:val="00DC5567"/>
    <w:rsid w:val="00DC561A"/>
    <w:rsid w:val="00DC5970"/>
    <w:rsid w:val="00DC5CFE"/>
    <w:rsid w:val="00DC5DDA"/>
    <w:rsid w:val="00DC5F17"/>
    <w:rsid w:val="00DC638C"/>
    <w:rsid w:val="00DC6836"/>
    <w:rsid w:val="00DC6C60"/>
    <w:rsid w:val="00DC6E34"/>
    <w:rsid w:val="00DC7501"/>
    <w:rsid w:val="00DC7569"/>
    <w:rsid w:val="00DC75D1"/>
    <w:rsid w:val="00DD009A"/>
    <w:rsid w:val="00DD07E7"/>
    <w:rsid w:val="00DD0C68"/>
    <w:rsid w:val="00DD0EEC"/>
    <w:rsid w:val="00DD14AD"/>
    <w:rsid w:val="00DD14EE"/>
    <w:rsid w:val="00DD188B"/>
    <w:rsid w:val="00DD1A10"/>
    <w:rsid w:val="00DD327E"/>
    <w:rsid w:val="00DD329F"/>
    <w:rsid w:val="00DD34F0"/>
    <w:rsid w:val="00DD3B22"/>
    <w:rsid w:val="00DD3B41"/>
    <w:rsid w:val="00DD3CB8"/>
    <w:rsid w:val="00DD4087"/>
    <w:rsid w:val="00DD4092"/>
    <w:rsid w:val="00DD41E8"/>
    <w:rsid w:val="00DD481F"/>
    <w:rsid w:val="00DD493D"/>
    <w:rsid w:val="00DD4AE2"/>
    <w:rsid w:val="00DD4C68"/>
    <w:rsid w:val="00DD4DF9"/>
    <w:rsid w:val="00DD520F"/>
    <w:rsid w:val="00DD58E7"/>
    <w:rsid w:val="00DD5B0D"/>
    <w:rsid w:val="00DD6320"/>
    <w:rsid w:val="00DD66FB"/>
    <w:rsid w:val="00DD6B65"/>
    <w:rsid w:val="00DD7254"/>
    <w:rsid w:val="00DD74BB"/>
    <w:rsid w:val="00DD7A2A"/>
    <w:rsid w:val="00DD7D05"/>
    <w:rsid w:val="00DE02AE"/>
    <w:rsid w:val="00DE0D09"/>
    <w:rsid w:val="00DE110F"/>
    <w:rsid w:val="00DE13D7"/>
    <w:rsid w:val="00DE1775"/>
    <w:rsid w:val="00DE19DE"/>
    <w:rsid w:val="00DE1D3E"/>
    <w:rsid w:val="00DE20D3"/>
    <w:rsid w:val="00DE20EE"/>
    <w:rsid w:val="00DE25E5"/>
    <w:rsid w:val="00DE295D"/>
    <w:rsid w:val="00DE2D46"/>
    <w:rsid w:val="00DE2DA7"/>
    <w:rsid w:val="00DE2E97"/>
    <w:rsid w:val="00DE315C"/>
    <w:rsid w:val="00DE3350"/>
    <w:rsid w:val="00DE36E5"/>
    <w:rsid w:val="00DE3834"/>
    <w:rsid w:val="00DE39F9"/>
    <w:rsid w:val="00DE3B24"/>
    <w:rsid w:val="00DE3F08"/>
    <w:rsid w:val="00DE3F69"/>
    <w:rsid w:val="00DE44A4"/>
    <w:rsid w:val="00DE48E9"/>
    <w:rsid w:val="00DE4CD3"/>
    <w:rsid w:val="00DE546F"/>
    <w:rsid w:val="00DE54B1"/>
    <w:rsid w:val="00DE5671"/>
    <w:rsid w:val="00DE5898"/>
    <w:rsid w:val="00DE5909"/>
    <w:rsid w:val="00DE59BE"/>
    <w:rsid w:val="00DE60EC"/>
    <w:rsid w:val="00DE6C00"/>
    <w:rsid w:val="00DE75C1"/>
    <w:rsid w:val="00DE78DA"/>
    <w:rsid w:val="00DE7D59"/>
    <w:rsid w:val="00DE7E42"/>
    <w:rsid w:val="00DF02F1"/>
    <w:rsid w:val="00DF03F2"/>
    <w:rsid w:val="00DF0946"/>
    <w:rsid w:val="00DF10F1"/>
    <w:rsid w:val="00DF14A9"/>
    <w:rsid w:val="00DF158F"/>
    <w:rsid w:val="00DF1648"/>
    <w:rsid w:val="00DF1866"/>
    <w:rsid w:val="00DF1A34"/>
    <w:rsid w:val="00DF1AAF"/>
    <w:rsid w:val="00DF1E85"/>
    <w:rsid w:val="00DF2217"/>
    <w:rsid w:val="00DF2259"/>
    <w:rsid w:val="00DF2418"/>
    <w:rsid w:val="00DF263C"/>
    <w:rsid w:val="00DF26FE"/>
    <w:rsid w:val="00DF29B5"/>
    <w:rsid w:val="00DF33DA"/>
    <w:rsid w:val="00DF3407"/>
    <w:rsid w:val="00DF3AB1"/>
    <w:rsid w:val="00DF3D5D"/>
    <w:rsid w:val="00DF3DE1"/>
    <w:rsid w:val="00DF3FA1"/>
    <w:rsid w:val="00DF4208"/>
    <w:rsid w:val="00DF446B"/>
    <w:rsid w:val="00DF4586"/>
    <w:rsid w:val="00DF4816"/>
    <w:rsid w:val="00DF493D"/>
    <w:rsid w:val="00DF4A84"/>
    <w:rsid w:val="00DF4D8A"/>
    <w:rsid w:val="00DF4F27"/>
    <w:rsid w:val="00DF520A"/>
    <w:rsid w:val="00DF52C9"/>
    <w:rsid w:val="00DF576B"/>
    <w:rsid w:val="00DF5D78"/>
    <w:rsid w:val="00DF5EF6"/>
    <w:rsid w:val="00DF5FCE"/>
    <w:rsid w:val="00DF60AC"/>
    <w:rsid w:val="00DF6219"/>
    <w:rsid w:val="00DF653C"/>
    <w:rsid w:val="00DF664B"/>
    <w:rsid w:val="00DF6896"/>
    <w:rsid w:val="00DF6B69"/>
    <w:rsid w:val="00DF6BD7"/>
    <w:rsid w:val="00DF6BFB"/>
    <w:rsid w:val="00DF6CE4"/>
    <w:rsid w:val="00DF6F79"/>
    <w:rsid w:val="00DF761B"/>
    <w:rsid w:val="00DF7668"/>
    <w:rsid w:val="00DF78F5"/>
    <w:rsid w:val="00DF79A6"/>
    <w:rsid w:val="00DF7C65"/>
    <w:rsid w:val="00DF7E4F"/>
    <w:rsid w:val="00DF7EFC"/>
    <w:rsid w:val="00DF7F6B"/>
    <w:rsid w:val="00E0013F"/>
    <w:rsid w:val="00E00387"/>
    <w:rsid w:val="00E01235"/>
    <w:rsid w:val="00E0129D"/>
    <w:rsid w:val="00E01542"/>
    <w:rsid w:val="00E016A9"/>
    <w:rsid w:val="00E0177A"/>
    <w:rsid w:val="00E01EFB"/>
    <w:rsid w:val="00E0251E"/>
    <w:rsid w:val="00E0253F"/>
    <w:rsid w:val="00E025BC"/>
    <w:rsid w:val="00E025CC"/>
    <w:rsid w:val="00E027DB"/>
    <w:rsid w:val="00E028F1"/>
    <w:rsid w:val="00E0295B"/>
    <w:rsid w:val="00E029E9"/>
    <w:rsid w:val="00E02B22"/>
    <w:rsid w:val="00E02CCB"/>
    <w:rsid w:val="00E030EF"/>
    <w:rsid w:val="00E03724"/>
    <w:rsid w:val="00E04525"/>
    <w:rsid w:val="00E04ABE"/>
    <w:rsid w:val="00E04EE5"/>
    <w:rsid w:val="00E0522E"/>
    <w:rsid w:val="00E053D0"/>
    <w:rsid w:val="00E054CD"/>
    <w:rsid w:val="00E05761"/>
    <w:rsid w:val="00E05A87"/>
    <w:rsid w:val="00E05D7D"/>
    <w:rsid w:val="00E06160"/>
    <w:rsid w:val="00E062AA"/>
    <w:rsid w:val="00E065C6"/>
    <w:rsid w:val="00E066B7"/>
    <w:rsid w:val="00E06A10"/>
    <w:rsid w:val="00E06B03"/>
    <w:rsid w:val="00E06BC8"/>
    <w:rsid w:val="00E07383"/>
    <w:rsid w:val="00E074BA"/>
    <w:rsid w:val="00E078DE"/>
    <w:rsid w:val="00E07FD4"/>
    <w:rsid w:val="00E10247"/>
    <w:rsid w:val="00E10397"/>
    <w:rsid w:val="00E1041B"/>
    <w:rsid w:val="00E107DD"/>
    <w:rsid w:val="00E11026"/>
    <w:rsid w:val="00E111E6"/>
    <w:rsid w:val="00E11266"/>
    <w:rsid w:val="00E11377"/>
    <w:rsid w:val="00E11380"/>
    <w:rsid w:val="00E113C5"/>
    <w:rsid w:val="00E1173F"/>
    <w:rsid w:val="00E11F4C"/>
    <w:rsid w:val="00E122FA"/>
    <w:rsid w:val="00E12F3C"/>
    <w:rsid w:val="00E136F3"/>
    <w:rsid w:val="00E1385F"/>
    <w:rsid w:val="00E139A2"/>
    <w:rsid w:val="00E13A1B"/>
    <w:rsid w:val="00E13E47"/>
    <w:rsid w:val="00E1407A"/>
    <w:rsid w:val="00E141FA"/>
    <w:rsid w:val="00E1423B"/>
    <w:rsid w:val="00E14494"/>
    <w:rsid w:val="00E1468E"/>
    <w:rsid w:val="00E14784"/>
    <w:rsid w:val="00E14FA9"/>
    <w:rsid w:val="00E15236"/>
    <w:rsid w:val="00E152D2"/>
    <w:rsid w:val="00E15796"/>
    <w:rsid w:val="00E15C20"/>
    <w:rsid w:val="00E15CA4"/>
    <w:rsid w:val="00E15D5A"/>
    <w:rsid w:val="00E15FA0"/>
    <w:rsid w:val="00E160C4"/>
    <w:rsid w:val="00E1622F"/>
    <w:rsid w:val="00E163CD"/>
    <w:rsid w:val="00E1663A"/>
    <w:rsid w:val="00E17052"/>
    <w:rsid w:val="00E1720A"/>
    <w:rsid w:val="00E17273"/>
    <w:rsid w:val="00E20200"/>
    <w:rsid w:val="00E2035F"/>
    <w:rsid w:val="00E2061A"/>
    <w:rsid w:val="00E209C4"/>
    <w:rsid w:val="00E211FA"/>
    <w:rsid w:val="00E212F6"/>
    <w:rsid w:val="00E2145E"/>
    <w:rsid w:val="00E217B1"/>
    <w:rsid w:val="00E2180C"/>
    <w:rsid w:val="00E21A19"/>
    <w:rsid w:val="00E21B17"/>
    <w:rsid w:val="00E21D1E"/>
    <w:rsid w:val="00E223DF"/>
    <w:rsid w:val="00E223E2"/>
    <w:rsid w:val="00E226A9"/>
    <w:rsid w:val="00E22D15"/>
    <w:rsid w:val="00E22DA3"/>
    <w:rsid w:val="00E23014"/>
    <w:rsid w:val="00E2312D"/>
    <w:rsid w:val="00E234E3"/>
    <w:rsid w:val="00E236A7"/>
    <w:rsid w:val="00E23F2B"/>
    <w:rsid w:val="00E240C3"/>
    <w:rsid w:val="00E2422D"/>
    <w:rsid w:val="00E245F8"/>
    <w:rsid w:val="00E24BD5"/>
    <w:rsid w:val="00E25056"/>
    <w:rsid w:val="00E25394"/>
    <w:rsid w:val="00E253A0"/>
    <w:rsid w:val="00E25437"/>
    <w:rsid w:val="00E255D1"/>
    <w:rsid w:val="00E2591D"/>
    <w:rsid w:val="00E26183"/>
    <w:rsid w:val="00E26247"/>
    <w:rsid w:val="00E26821"/>
    <w:rsid w:val="00E26893"/>
    <w:rsid w:val="00E26B75"/>
    <w:rsid w:val="00E27119"/>
    <w:rsid w:val="00E278DD"/>
    <w:rsid w:val="00E27A1B"/>
    <w:rsid w:val="00E30235"/>
    <w:rsid w:val="00E30460"/>
    <w:rsid w:val="00E304EA"/>
    <w:rsid w:val="00E30866"/>
    <w:rsid w:val="00E30967"/>
    <w:rsid w:val="00E3141B"/>
    <w:rsid w:val="00E31510"/>
    <w:rsid w:val="00E316CA"/>
    <w:rsid w:val="00E319A9"/>
    <w:rsid w:val="00E31A07"/>
    <w:rsid w:val="00E31BC3"/>
    <w:rsid w:val="00E31ECC"/>
    <w:rsid w:val="00E32393"/>
    <w:rsid w:val="00E33001"/>
    <w:rsid w:val="00E3318C"/>
    <w:rsid w:val="00E332A2"/>
    <w:rsid w:val="00E33A3E"/>
    <w:rsid w:val="00E33FC7"/>
    <w:rsid w:val="00E341A0"/>
    <w:rsid w:val="00E343A2"/>
    <w:rsid w:val="00E347B4"/>
    <w:rsid w:val="00E348BC"/>
    <w:rsid w:val="00E34DD8"/>
    <w:rsid w:val="00E34E7E"/>
    <w:rsid w:val="00E35034"/>
    <w:rsid w:val="00E3504C"/>
    <w:rsid w:val="00E35E8D"/>
    <w:rsid w:val="00E36162"/>
    <w:rsid w:val="00E362A3"/>
    <w:rsid w:val="00E36495"/>
    <w:rsid w:val="00E36554"/>
    <w:rsid w:val="00E36886"/>
    <w:rsid w:val="00E368B6"/>
    <w:rsid w:val="00E368E5"/>
    <w:rsid w:val="00E36B48"/>
    <w:rsid w:val="00E36CC3"/>
    <w:rsid w:val="00E36D54"/>
    <w:rsid w:val="00E36FD4"/>
    <w:rsid w:val="00E374CD"/>
    <w:rsid w:val="00E37BC5"/>
    <w:rsid w:val="00E37F50"/>
    <w:rsid w:val="00E37FB2"/>
    <w:rsid w:val="00E40480"/>
    <w:rsid w:val="00E40767"/>
    <w:rsid w:val="00E4090B"/>
    <w:rsid w:val="00E40A4B"/>
    <w:rsid w:val="00E40C5B"/>
    <w:rsid w:val="00E40FAA"/>
    <w:rsid w:val="00E41350"/>
    <w:rsid w:val="00E4146C"/>
    <w:rsid w:val="00E41755"/>
    <w:rsid w:val="00E41AE9"/>
    <w:rsid w:val="00E41BE2"/>
    <w:rsid w:val="00E42075"/>
    <w:rsid w:val="00E4213C"/>
    <w:rsid w:val="00E423E7"/>
    <w:rsid w:val="00E42510"/>
    <w:rsid w:val="00E42792"/>
    <w:rsid w:val="00E42C9D"/>
    <w:rsid w:val="00E43100"/>
    <w:rsid w:val="00E43B57"/>
    <w:rsid w:val="00E43CE7"/>
    <w:rsid w:val="00E4459E"/>
    <w:rsid w:val="00E446B3"/>
    <w:rsid w:val="00E44B6F"/>
    <w:rsid w:val="00E44D3E"/>
    <w:rsid w:val="00E44EA6"/>
    <w:rsid w:val="00E44EBB"/>
    <w:rsid w:val="00E44FC8"/>
    <w:rsid w:val="00E45AB8"/>
    <w:rsid w:val="00E45CC9"/>
    <w:rsid w:val="00E461D4"/>
    <w:rsid w:val="00E4624B"/>
    <w:rsid w:val="00E46694"/>
    <w:rsid w:val="00E47015"/>
    <w:rsid w:val="00E470B2"/>
    <w:rsid w:val="00E470F5"/>
    <w:rsid w:val="00E47810"/>
    <w:rsid w:val="00E479D2"/>
    <w:rsid w:val="00E47B41"/>
    <w:rsid w:val="00E47D6C"/>
    <w:rsid w:val="00E47F74"/>
    <w:rsid w:val="00E50252"/>
    <w:rsid w:val="00E502FB"/>
    <w:rsid w:val="00E508D0"/>
    <w:rsid w:val="00E50FA5"/>
    <w:rsid w:val="00E50FCE"/>
    <w:rsid w:val="00E515E8"/>
    <w:rsid w:val="00E51843"/>
    <w:rsid w:val="00E523BE"/>
    <w:rsid w:val="00E5273E"/>
    <w:rsid w:val="00E52864"/>
    <w:rsid w:val="00E52B78"/>
    <w:rsid w:val="00E52D27"/>
    <w:rsid w:val="00E52F3A"/>
    <w:rsid w:val="00E53135"/>
    <w:rsid w:val="00E531BC"/>
    <w:rsid w:val="00E5333A"/>
    <w:rsid w:val="00E53458"/>
    <w:rsid w:val="00E53597"/>
    <w:rsid w:val="00E537E4"/>
    <w:rsid w:val="00E53E98"/>
    <w:rsid w:val="00E548D9"/>
    <w:rsid w:val="00E548EE"/>
    <w:rsid w:val="00E54A1D"/>
    <w:rsid w:val="00E54B91"/>
    <w:rsid w:val="00E551CB"/>
    <w:rsid w:val="00E5526C"/>
    <w:rsid w:val="00E552C6"/>
    <w:rsid w:val="00E55A1B"/>
    <w:rsid w:val="00E564CC"/>
    <w:rsid w:val="00E56558"/>
    <w:rsid w:val="00E56699"/>
    <w:rsid w:val="00E56922"/>
    <w:rsid w:val="00E56931"/>
    <w:rsid w:val="00E56DA9"/>
    <w:rsid w:val="00E56F72"/>
    <w:rsid w:val="00E56F9C"/>
    <w:rsid w:val="00E5730E"/>
    <w:rsid w:val="00E5731F"/>
    <w:rsid w:val="00E57407"/>
    <w:rsid w:val="00E574A1"/>
    <w:rsid w:val="00E575E6"/>
    <w:rsid w:val="00E60245"/>
    <w:rsid w:val="00E602EE"/>
    <w:rsid w:val="00E608E3"/>
    <w:rsid w:val="00E6096E"/>
    <w:rsid w:val="00E60D67"/>
    <w:rsid w:val="00E610AC"/>
    <w:rsid w:val="00E61267"/>
    <w:rsid w:val="00E6162B"/>
    <w:rsid w:val="00E61756"/>
    <w:rsid w:val="00E617A5"/>
    <w:rsid w:val="00E61A30"/>
    <w:rsid w:val="00E61D9C"/>
    <w:rsid w:val="00E62122"/>
    <w:rsid w:val="00E629F4"/>
    <w:rsid w:val="00E62B8D"/>
    <w:rsid w:val="00E6314B"/>
    <w:rsid w:val="00E631DA"/>
    <w:rsid w:val="00E63354"/>
    <w:rsid w:val="00E63483"/>
    <w:rsid w:val="00E63A79"/>
    <w:rsid w:val="00E63BC7"/>
    <w:rsid w:val="00E63DC8"/>
    <w:rsid w:val="00E642D9"/>
    <w:rsid w:val="00E647EC"/>
    <w:rsid w:val="00E649D6"/>
    <w:rsid w:val="00E64FAC"/>
    <w:rsid w:val="00E650BC"/>
    <w:rsid w:val="00E650C6"/>
    <w:rsid w:val="00E6520F"/>
    <w:rsid w:val="00E65310"/>
    <w:rsid w:val="00E65630"/>
    <w:rsid w:val="00E65CAE"/>
    <w:rsid w:val="00E66063"/>
    <w:rsid w:val="00E6651E"/>
    <w:rsid w:val="00E66C1C"/>
    <w:rsid w:val="00E66C77"/>
    <w:rsid w:val="00E66F17"/>
    <w:rsid w:val="00E66FE6"/>
    <w:rsid w:val="00E670FA"/>
    <w:rsid w:val="00E67388"/>
    <w:rsid w:val="00E67427"/>
    <w:rsid w:val="00E67617"/>
    <w:rsid w:val="00E67934"/>
    <w:rsid w:val="00E67A29"/>
    <w:rsid w:val="00E67E7C"/>
    <w:rsid w:val="00E70440"/>
    <w:rsid w:val="00E70586"/>
    <w:rsid w:val="00E705CC"/>
    <w:rsid w:val="00E70638"/>
    <w:rsid w:val="00E70AD5"/>
    <w:rsid w:val="00E70B77"/>
    <w:rsid w:val="00E713F9"/>
    <w:rsid w:val="00E714F3"/>
    <w:rsid w:val="00E71813"/>
    <w:rsid w:val="00E71AA8"/>
    <w:rsid w:val="00E71DDA"/>
    <w:rsid w:val="00E71EE6"/>
    <w:rsid w:val="00E720F4"/>
    <w:rsid w:val="00E726A0"/>
    <w:rsid w:val="00E728A9"/>
    <w:rsid w:val="00E72A9B"/>
    <w:rsid w:val="00E7343D"/>
    <w:rsid w:val="00E737A0"/>
    <w:rsid w:val="00E73FC8"/>
    <w:rsid w:val="00E743C0"/>
    <w:rsid w:val="00E74891"/>
    <w:rsid w:val="00E749D9"/>
    <w:rsid w:val="00E7553A"/>
    <w:rsid w:val="00E75566"/>
    <w:rsid w:val="00E75732"/>
    <w:rsid w:val="00E75A0D"/>
    <w:rsid w:val="00E75C45"/>
    <w:rsid w:val="00E75D44"/>
    <w:rsid w:val="00E75DC6"/>
    <w:rsid w:val="00E760F5"/>
    <w:rsid w:val="00E761AD"/>
    <w:rsid w:val="00E76E07"/>
    <w:rsid w:val="00E76E6A"/>
    <w:rsid w:val="00E76FE4"/>
    <w:rsid w:val="00E771E6"/>
    <w:rsid w:val="00E776EB"/>
    <w:rsid w:val="00E77A30"/>
    <w:rsid w:val="00E8002F"/>
    <w:rsid w:val="00E80181"/>
    <w:rsid w:val="00E8045D"/>
    <w:rsid w:val="00E8076C"/>
    <w:rsid w:val="00E80954"/>
    <w:rsid w:val="00E80B37"/>
    <w:rsid w:val="00E80E98"/>
    <w:rsid w:val="00E815F6"/>
    <w:rsid w:val="00E816E0"/>
    <w:rsid w:val="00E81D1A"/>
    <w:rsid w:val="00E81DB2"/>
    <w:rsid w:val="00E81DC8"/>
    <w:rsid w:val="00E81FC0"/>
    <w:rsid w:val="00E8235F"/>
    <w:rsid w:val="00E828D2"/>
    <w:rsid w:val="00E828F2"/>
    <w:rsid w:val="00E828F3"/>
    <w:rsid w:val="00E82BCA"/>
    <w:rsid w:val="00E82D49"/>
    <w:rsid w:val="00E830F6"/>
    <w:rsid w:val="00E8348B"/>
    <w:rsid w:val="00E835E4"/>
    <w:rsid w:val="00E83642"/>
    <w:rsid w:val="00E836FD"/>
    <w:rsid w:val="00E8375F"/>
    <w:rsid w:val="00E83818"/>
    <w:rsid w:val="00E839A9"/>
    <w:rsid w:val="00E839B1"/>
    <w:rsid w:val="00E839D2"/>
    <w:rsid w:val="00E83B60"/>
    <w:rsid w:val="00E83F51"/>
    <w:rsid w:val="00E84078"/>
    <w:rsid w:val="00E8414C"/>
    <w:rsid w:val="00E84618"/>
    <w:rsid w:val="00E846A4"/>
    <w:rsid w:val="00E84770"/>
    <w:rsid w:val="00E84A19"/>
    <w:rsid w:val="00E84BCF"/>
    <w:rsid w:val="00E84BD5"/>
    <w:rsid w:val="00E84F08"/>
    <w:rsid w:val="00E84FD8"/>
    <w:rsid w:val="00E851C5"/>
    <w:rsid w:val="00E8532F"/>
    <w:rsid w:val="00E85346"/>
    <w:rsid w:val="00E85F90"/>
    <w:rsid w:val="00E864C1"/>
    <w:rsid w:val="00E867FB"/>
    <w:rsid w:val="00E86861"/>
    <w:rsid w:val="00E86BDA"/>
    <w:rsid w:val="00E86D0A"/>
    <w:rsid w:val="00E86D6C"/>
    <w:rsid w:val="00E87AA9"/>
    <w:rsid w:val="00E87C44"/>
    <w:rsid w:val="00E87FB7"/>
    <w:rsid w:val="00E90163"/>
    <w:rsid w:val="00E90880"/>
    <w:rsid w:val="00E909F5"/>
    <w:rsid w:val="00E90C88"/>
    <w:rsid w:val="00E910D0"/>
    <w:rsid w:val="00E91363"/>
    <w:rsid w:val="00E913B3"/>
    <w:rsid w:val="00E9172C"/>
    <w:rsid w:val="00E9182B"/>
    <w:rsid w:val="00E91BC9"/>
    <w:rsid w:val="00E91C22"/>
    <w:rsid w:val="00E921CF"/>
    <w:rsid w:val="00E92277"/>
    <w:rsid w:val="00E923D8"/>
    <w:rsid w:val="00E92504"/>
    <w:rsid w:val="00E927B0"/>
    <w:rsid w:val="00E927B8"/>
    <w:rsid w:val="00E929E0"/>
    <w:rsid w:val="00E935A9"/>
    <w:rsid w:val="00E935DD"/>
    <w:rsid w:val="00E935E5"/>
    <w:rsid w:val="00E93866"/>
    <w:rsid w:val="00E93B37"/>
    <w:rsid w:val="00E9480E"/>
    <w:rsid w:val="00E948E4"/>
    <w:rsid w:val="00E94D06"/>
    <w:rsid w:val="00E94E6D"/>
    <w:rsid w:val="00E95087"/>
    <w:rsid w:val="00E95E25"/>
    <w:rsid w:val="00E95E34"/>
    <w:rsid w:val="00E960A5"/>
    <w:rsid w:val="00E96275"/>
    <w:rsid w:val="00E96346"/>
    <w:rsid w:val="00E96737"/>
    <w:rsid w:val="00E9678D"/>
    <w:rsid w:val="00E96927"/>
    <w:rsid w:val="00E96BFE"/>
    <w:rsid w:val="00E96E4E"/>
    <w:rsid w:val="00E975C2"/>
    <w:rsid w:val="00E97DA5"/>
    <w:rsid w:val="00E97DC5"/>
    <w:rsid w:val="00EA0C6A"/>
    <w:rsid w:val="00EA1197"/>
    <w:rsid w:val="00EA166E"/>
    <w:rsid w:val="00EA191B"/>
    <w:rsid w:val="00EA1BE9"/>
    <w:rsid w:val="00EA22C9"/>
    <w:rsid w:val="00EA2562"/>
    <w:rsid w:val="00EA267E"/>
    <w:rsid w:val="00EA2D04"/>
    <w:rsid w:val="00EA30F4"/>
    <w:rsid w:val="00EA3623"/>
    <w:rsid w:val="00EA3670"/>
    <w:rsid w:val="00EA3D41"/>
    <w:rsid w:val="00EA3FF4"/>
    <w:rsid w:val="00EA429F"/>
    <w:rsid w:val="00EA4741"/>
    <w:rsid w:val="00EA516F"/>
    <w:rsid w:val="00EA523F"/>
    <w:rsid w:val="00EA5443"/>
    <w:rsid w:val="00EA55BF"/>
    <w:rsid w:val="00EA56AD"/>
    <w:rsid w:val="00EA5894"/>
    <w:rsid w:val="00EA5E45"/>
    <w:rsid w:val="00EA6122"/>
    <w:rsid w:val="00EA6ABE"/>
    <w:rsid w:val="00EA6D43"/>
    <w:rsid w:val="00EA6F52"/>
    <w:rsid w:val="00EA7364"/>
    <w:rsid w:val="00EA78B9"/>
    <w:rsid w:val="00EA7AF6"/>
    <w:rsid w:val="00EB0206"/>
    <w:rsid w:val="00EB020A"/>
    <w:rsid w:val="00EB04C7"/>
    <w:rsid w:val="00EB05DE"/>
    <w:rsid w:val="00EB0BA7"/>
    <w:rsid w:val="00EB0C34"/>
    <w:rsid w:val="00EB0D18"/>
    <w:rsid w:val="00EB0E35"/>
    <w:rsid w:val="00EB0F66"/>
    <w:rsid w:val="00EB1113"/>
    <w:rsid w:val="00EB16AF"/>
    <w:rsid w:val="00EB1875"/>
    <w:rsid w:val="00EB1B1A"/>
    <w:rsid w:val="00EB1BC5"/>
    <w:rsid w:val="00EB1F01"/>
    <w:rsid w:val="00EB2092"/>
    <w:rsid w:val="00EB29BF"/>
    <w:rsid w:val="00EB2B1F"/>
    <w:rsid w:val="00EB2BA0"/>
    <w:rsid w:val="00EB2BB6"/>
    <w:rsid w:val="00EB2BD5"/>
    <w:rsid w:val="00EB2CA8"/>
    <w:rsid w:val="00EB2D2F"/>
    <w:rsid w:val="00EB31C9"/>
    <w:rsid w:val="00EB32A5"/>
    <w:rsid w:val="00EB34B4"/>
    <w:rsid w:val="00EB3885"/>
    <w:rsid w:val="00EB3AB3"/>
    <w:rsid w:val="00EB3E34"/>
    <w:rsid w:val="00EB3FB7"/>
    <w:rsid w:val="00EB4558"/>
    <w:rsid w:val="00EB456E"/>
    <w:rsid w:val="00EB4680"/>
    <w:rsid w:val="00EB46C1"/>
    <w:rsid w:val="00EB4856"/>
    <w:rsid w:val="00EB4895"/>
    <w:rsid w:val="00EB4DD3"/>
    <w:rsid w:val="00EB4E93"/>
    <w:rsid w:val="00EB51AB"/>
    <w:rsid w:val="00EB523B"/>
    <w:rsid w:val="00EB560F"/>
    <w:rsid w:val="00EB565D"/>
    <w:rsid w:val="00EB56F7"/>
    <w:rsid w:val="00EB6010"/>
    <w:rsid w:val="00EB633C"/>
    <w:rsid w:val="00EB6E26"/>
    <w:rsid w:val="00EB7A69"/>
    <w:rsid w:val="00EB7C35"/>
    <w:rsid w:val="00EC0207"/>
    <w:rsid w:val="00EC0278"/>
    <w:rsid w:val="00EC0572"/>
    <w:rsid w:val="00EC1276"/>
    <w:rsid w:val="00EC1340"/>
    <w:rsid w:val="00EC152F"/>
    <w:rsid w:val="00EC232E"/>
    <w:rsid w:val="00EC2BA8"/>
    <w:rsid w:val="00EC2E82"/>
    <w:rsid w:val="00EC2F90"/>
    <w:rsid w:val="00EC30A5"/>
    <w:rsid w:val="00EC3389"/>
    <w:rsid w:val="00EC3491"/>
    <w:rsid w:val="00EC372F"/>
    <w:rsid w:val="00EC3D98"/>
    <w:rsid w:val="00EC3E60"/>
    <w:rsid w:val="00EC4188"/>
    <w:rsid w:val="00EC41B1"/>
    <w:rsid w:val="00EC4496"/>
    <w:rsid w:val="00EC44BF"/>
    <w:rsid w:val="00EC5588"/>
    <w:rsid w:val="00EC5B95"/>
    <w:rsid w:val="00EC5D29"/>
    <w:rsid w:val="00EC6251"/>
    <w:rsid w:val="00EC628A"/>
    <w:rsid w:val="00EC6883"/>
    <w:rsid w:val="00EC6A3E"/>
    <w:rsid w:val="00EC72C4"/>
    <w:rsid w:val="00EC72D3"/>
    <w:rsid w:val="00EC7595"/>
    <w:rsid w:val="00EC75F2"/>
    <w:rsid w:val="00EC764C"/>
    <w:rsid w:val="00EC7AD8"/>
    <w:rsid w:val="00EC7B3C"/>
    <w:rsid w:val="00ED08D7"/>
    <w:rsid w:val="00ED0AA1"/>
    <w:rsid w:val="00ED0D2E"/>
    <w:rsid w:val="00ED1133"/>
    <w:rsid w:val="00ED115A"/>
    <w:rsid w:val="00ED13D4"/>
    <w:rsid w:val="00ED1576"/>
    <w:rsid w:val="00ED17CF"/>
    <w:rsid w:val="00ED1BC9"/>
    <w:rsid w:val="00ED1F26"/>
    <w:rsid w:val="00ED2516"/>
    <w:rsid w:val="00ED266A"/>
    <w:rsid w:val="00ED26A8"/>
    <w:rsid w:val="00ED2880"/>
    <w:rsid w:val="00ED295C"/>
    <w:rsid w:val="00ED2AC0"/>
    <w:rsid w:val="00ED330D"/>
    <w:rsid w:val="00ED3630"/>
    <w:rsid w:val="00ED3B62"/>
    <w:rsid w:val="00ED3BB5"/>
    <w:rsid w:val="00ED3E55"/>
    <w:rsid w:val="00ED4444"/>
    <w:rsid w:val="00ED4A03"/>
    <w:rsid w:val="00ED52A4"/>
    <w:rsid w:val="00ED543D"/>
    <w:rsid w:val="00ED5578"/>
    <w:rsid w:val="00ED5727"/>
    <w:rsid w:val="00ED584E"/>
    <w:rsid w:val="00ED5879"/>
    <w:rsid w:val="00ED5AF3"/>
    <w:rsid w:val="00ED6320"/>
    <w:rsid w:val="00ED6798"/>
    <w:rsid w:val="00ED6A5F"/>
    <w:rsid w:val="00ED6A94"/>
    <w:rsid w:val="00ED6B84"/>
    <w:rsid w:val="00ED6D2E"/>
    <w:rsid w:val="00ED6E69"/>
    <w:rsid w:val="00ED7595"/>
    <w:rsid w:val="00ED75A8"/>
    <w:rsid w:val="00ED783F"/>
    <w:rsid w:val="00ED7A44"/>
    <w:rsid w:val="00ED7E0C"/>
    <w:rsid w:val="00EE037A"/>
    <w:rsid w:val="00EE075B"/>
    <w:rsid w:val="00EE10E5"/>
    <w:rsid w:val="00EE13BC"/>
    <w:rsid w:val="00EE1954"/>
    <w:rsid w:val="00EE1CDC"/>
    <w:rsid w:val="00EE1DF2"/>
    <w:rsid w:val="00EE219C"/>
    <w:rsid w:val="00EE2582"/>
    <w:rsid w:val="00EE2967"/>
    <w:rsid w:val="00EE2C04"/>
    <w:rsid w:val="00EE2F2D"/>
    <w:rsid w:val="00EE31D7"/>
    <w:rsid w:val="00EE366B"/>
    <w:rsid w:val="00EE3E88"/>
    <w:rsid w:val="00EE4352"/>
    <w:rsid w:val="00EE4540"/>
    <w:rsid w:val="00EE46E5"/>
    <w:rsid w:val="00EE4A07"/>
    <w:rsid w:val="00EE5236"/>
    <w:rsid w:val="00EE529D"/>
    <w:rsid w:val="00EE5CC1"/>
    <w:rsid w:val="00EE6510"/>
    <w:rsid w:val="00EE6787"/>
    <w:rsid w:val="00EE7195"/>
    <w:rsid w:val="00EE7416"/>
    <w:rsid w:val="00EE742C"/>
    <w:rsid w:val="00EE748A"/>
    <w:rsid w:val="00EE770C"/>
    <w:rsid w:val="00EE77A3"/>
    <w:rsid w:val="00EE7A0C"/>
    <w:rsid w:val="00EE7DB2"/>
    <w:rsid w:val="00EE7EAC"/>
    <w:rsid w:val="00EF02AF"/>
    <w:rsid w:val="00EF02E3"/>
    <w:rsid w:val="00EF02F5"/>
    <w:rsid w:val="00EF0619"/>
    <w:rsid w:val="00EF0A05"/>
    <w:rsid w:val="00EF0A59"/>
    <w:rsid w:val="00EF0C13"/>
    <w:rsid w:val="00EF0CDD"/>
    <w:rsid w:val="00EF177B"/>
    <w:rsid w:val="00EF1E34"/>
    <w:rsid w:val="00EF1F15"/>
    <w:rsid w:val="00EF221A"/>
    <w:rsid w:val="00EF2C2E"/>
    <w:rsid w:val="00EF2D8F"/>
    <w:rsid w:val="00EF2DBE"/>
    <w:rsid w:val="00EF2F0C"/>
    <w:rsid w:val="00EF309E"/>
    <w:rsid w:val="00EF347F"/>
    <w:rsid w:val="00EF36CD"/>
    <w:rsid w:val="00EF3BCB"/>
    <w:rsid w:val="00EF3D6F"/>
    <w:rsid w:val="00EF3E7E"/>
    <w:rsid w:val="00EF3FAA"/>
    <w:rsid w:val="00EF3FB4"/>
    <w:rsid w:val="00EF41E1"/>
    <w:rsid w:val="00EF46D0"/>
    <w:rsid w:val="00EF476D"/>
    <w:rsid w:val="00EF4AB9"/>
    <w:rsid w:val="00EF513A"/>
    <w:rsid w:val="00EF554B"/>
    <w:rsid w:val="00EF5666"/>
    <w:rsid w:val="00EF5A22"/>
    <w:rsid w:val="00EF5B93"/>
    <w:rsid w:val="00EF5E52"/>
    <w:rsid w:val="00EF5FB4"/>
    <w:rsid w:val="00EF5FF2"/>
    <w:rsid w:val="00EF6168"/>
    <w:rsid w:val="00EF671A"/>
    <w:rsid w:val="00EF677D"/>
    <w:rsid w:val="00EF6B29"/>
    <w:rsid w:val="00EF6E86"/>
    <w:rsid w:val="00EF6EF8"/>
    <w:rsid w:val="00EF7262"/>
    <w:rsid w:val="00EF74D8"/>
    <w:rsid w:val="00F00360"/>
    <w:rsid w:val="00F00634"/>
    <w:rsid w:val="00F00653"/>
    <w:rsid w:val="00F006A0"/>
    <w:rsid w:val="00F009DC"/>
    <w:rsid w:val="00F00B4F"/>
    <w:rsid w:val="00F00F13"/>
    <w:rsid w:val="00F016F0"/>
    <w:rsid w:val="00F01854"/>
    <w:rsid w:val="00F01A3A"/>
    <w:rsid w:val="00F01B62"/>
    <w:rsid w:val="00F01CF9"/>
    <w:rsid w:val="00F02004"/>
    <w:rsid w:val="00F028DC"/>
    <w:rsid w:val="00F02B31"/>
    <w:rsid w:val="00F0307D"/>
    <w:rsid w:val="00F038BE"/>
    <w:rsid w:val="00F0392F"/>
    <w:rsid w:val="00F03B30"/>
    <w:rsid w:val="00F03BEA"/>
    <w:rsid w:val="00F04544"/>
    <w:rsid w:val="00F04570"/>
    <w:rsid w:val="00F04CC7"/>
    <w:rsid w:val="00F04E94"/>
    <w:rsid w:val="00F05335"/>
    <w:rsid w:val="00F054AD"/>
    <w:rsid w:val="00F055A4"/>
    <w:rsid w:val="00F05782"/>
    <w:rsid w:val="00F05D76"/>
    <w:rsid w:val="00F05F52"/>
    <w:rsid w:val="00F06F14"/>
    <w:rsid w:val="00F0758B"/>
    <w:rsid w:val="00F075A1"/>
    <w:rsid w:val="00F07736"/>
    <w:rsid w:val="00F07BC1"/>
    <w:rsid w:val="00F10101"/>
    <w:rsid w:val="00F10752"/>
    <w:rsid w:val="00F109EA"/>
    <w:rsid w:val="00F10E5B"/>
    <w:rsid w:val="00F113F1"/>
    <w:rsid w:val="00F116C2"/>
    <w:rsid w:val="00F12867"/>
    <w:rsid w:val="00F1295C"/>
    <w:rsid w:val="00F13197"/>
    <w:rsid w:val="00F1370A"/>
    <w:rsid w:val="00F13723"/>
    <w:rsid w:val="00F137CB"/>
    <w:rsid w:val="00F1392A"/>
    <w:rsid w:val="00F1419E"/>
    <w:rsid w:val="00F1430E"/>
    <w:rsid w:val="00F143D4"/>
    <w:rsid w:val="00F14501"/>
    <w:rsid w:val="00F14883"/>
    <w:rsid w:val="00F14916"/>
    <w:rsid w:val="00F14924"/>
    <w:rsid w:val="00F14AA3"/>
    <w:rsid w:val="00F14B2D"/>
    <w:rsid w:val="00F14DCB"/>
    <w:rsid w:val="00F14EA6"/>
    <w:rsid w:val="00F15104"/>
    <w:rsid w:val="00F152FD"/>
    <w:rsid w:val="00F15B7E"/>
    <w:rsid w:val="00F1634B"/>
    <w:rsid w:val="00F16475"/>
    <w:rsid w:val="00F164C6"/>
    <w:rsid w:val="00F168DB"/>
    <w:rsid w:val="00F16F39"/>
    <w:rsid w:val="00F16FE5"/>
    <w:rsid w:val="00F1745E"/>
    <w:rsid w:val="00F17E5D"/>
    <w:rsid w:val="00F17F61"/>
    <w:rsid w:val="00F20350"/>
    <w:rsid w:val="00F20956"/>
    <w:rsid w:val="00F20ADC"/>
    <w:rsid w:val="00F210DD"/>
    <w:rsid w:val="00F2159C"/>
    <w:rsid w:val="00F2181E"/>
    <w:rsid w:val="00F21A2A"/>
    <w:rsid w:val="00F21A97"/>
    <w:rsid w:val="00F222B7"/>
    <w:rsid w:val="00F22809"/>
    <w:rsid w:val="00F22B6F"/>
    <w:rsid w:val="00F22FF7"/>
    <w:rsid w:val="00F23138"/>
    <w:rsid w:val="00F23459"/>
    <w:rsid w:val="00F2345D"/>
    <w:rsid w:val="00F23484"/>
    <w:rsid w:val="00F234E0"/>
    <w:rsid w:val="00F237CE"/>
    <w:rsid w:val="00F23ED9"/>
    <w:rsid w:val="00F2401F"/>
    <w:rsid w:val="00F2442D"/>
    <w:rsid w:val="00F245E2"/>
    <w:rsid w:val="00F24739"/>
    <w:rsid w:val="00F24E44"/>
    <w:rsid w:val="00F2518C"/>
    <w:rsid w:val="00F25775"/>
    <w:rsid w:val="00F25968"/>
    <w:rsid w:val="00F2602F"/>
    <w:rsid w:val="00F27A53"/>
    <w:rsid w:val="00F27B84"/>
    <w:rsid w:val="00F30395"/>
    <w:rsid w:val="00F304C8"/>
    <w:rsid w:val="00F305D3"/>
    <w:rsid w:val="00F30902"/>
    <w:rsid w:val="00F30B06"/>
    <w:rsid w:val="00F313A2"/>
    <w:rsid w:val="00F31A3A"/>
    <w:rsid w:val="00F31AE7"/>
    <w:rsid w:val="00F31C84"/>
    <w:rsid w:val="00F3200E"/>
    <w:rsid w:val="00F32309"/>
    <w:rsid w:val="00F32483"/>
    <w:rsid w:val="00F3265E"/>
    <w:rsid w:val="00F32B6D"/>
    <w:rsid w:val="00F336DE"/>
    <w:rsid w:val="00F3398A"/>
    <w:rsid w:val="00F339C4"/>
    <w:rsid w:val="00F33A4C"/>
    <w:rsid w:val="00F33AF8"/>
    <w:rsid w:val="00F33DDE"/>
    <w:rsid w:val="00F33EE6"/>
    <w:rsid w:val="00F344A8"/>
    <w:rsid w:val="00F34666"/>
    <w:rsid w:val="00F34881"/>
    <w:rsid w:val="00F34CA2"/>
    <w:rsid w:val="00F34E9C"/>
    <w:rsid w:val="00F34EA3"/>
    <w:rsid w:val="00F34F43"/>
    <w:rsid w:val="00F352EC"/>
    <w:rsid w:val="00F35B26"/>
    <w:rsid w:val="00F35CF1"/>
    <w:rsid w:val="00F35F53"/>
    <w:rsid w:val="00F3624C"/>
    <w:rsid w:val="00F365BD"/>
    <w:rsid w:val="00F36646"/>
    <w:rsid w:val="00F367CE"/>
    <w:rsid w:val="00F3726D"/>
    <w:rsid w:val="00F374BA"/>
    <w:rsid w:val="00F375F8"/>
    <w:rsid w:val="00F379CB"/>
    <w:rsid w:val="00F37B4D"/>
    <w:rsid w:val="00F37B77"/>
    <w:rsid w:val="00F37D89"/>
    <w:rsid w:val="00F37E24"/>
    <w:rsid w:val="00F37E2F"/>
    <w:rsid w:val="00F37E6D"/>
    <w:rsid w:val="00F4030C"/>
    <w:rsid w:val="00F40BA3"/>
    <w:rsid w:val="00F40E9D"/>
    <w:rsid w:val="00F40ECF"/>
    <w:rsid w:val="00F41110"/>
    <w:rsid w:val="00F41403"/>
    <w:rsid w:val="00F41740"/>
    <w:rsid w:val="00F418EC"/>
    <w:rsid w:val="00F418FF"/>
    <w:rsid w:val="00F4198B"/>
    <w:rsid w:val="00F41ADC"/>
    <w:rsid w:val="00F41B17"/>
    <w:rsid w:val="00F42267"/>
    <w:rsid w:val="00F422E1"/>
    <w:rsid w:val="00F422E4"/>
    <w:rsid w:val="00F422E9"/>
    <w:rsid w:val="00F423FC"/>
    <w:rsid w:val="00F42737"/>
    <w:rsid w:val="00F42772"/>
    <w:rsid w:val="00F42AC9"/>
    <w:rsid w:val="00F42D73"/>
    <w:rsid w:val="00F42E08"/>
    <w:rsid w:val="00F431E9"/>
    <w:rsid w:val="00F432A9"/>
    <w:rsid w:val="00F43387"/>
    <w:rsid w:val="00F436AA"/>
    <w:rsid w:val="00F436D6"/>
    <w:rsid w:val="00F43BE0"/>
    <w:rsid w:val="00F43C37"/>
    <w:rsid w:val="00F43CE4"/>
    <w:rsid w:val="00F44056"/>
    <w:rsid w:val="00F4488B"/>
    <w:rsid w:val="00F44C53"/>
    <w:rsid w:val="00F44ED2"/>
    <w:rsid w:val="00F4512B"/>
    <w:rsid w:val="00F4542B"/>
    <w:rsid w:val="00F45554"/>
    <w:rsid w:val="00F45DFB"/>
    <w:rsid w:val="00F460D6"/>
    <w:rsid w:val="00F46DE3"/>
    <w:rsid w:val="00F46E5A"/>
    <w:rsid w:val="00F47158"/>
    <w:rsid w:val="00F471EA"/>
    <w:rsid w:val="00F47250"/>
    <w:rsid w:val="00F474FD"/>
    <w:rsid w:val="00F476FC"/>
    <w:rsid w:val="00F47ACF"/>
    <w:rsid w:val="00F47AFF"/>
    <w:rsid w:val="00F47D5F"/>
    <w:rsid w:val="00F5005F"/>
    <w:rsid w:val="00F501C2"/>
    <w:rsid w:val="00F50529"/>
    <w:rsid w:val="00F5055D"/>
    <w:rsid w:val="00F505CA"/>
    <w:rsid w:val="00F50635"/>
    <w:rsid w:val="00F506C8"/>
    <w:rsid w:val="00F50D90"/>
    <w:rsid w:val="00F50E45"/>
    <w:rsid w:val="00F51443"/>
    <w:rsid w:val="00F51711"/>
    <w:rsid w:val="00F51831"/>
    <w:rsid w:val="00F5197E"/>
    <w:rsid w:val="00F51B49"/>
    <w:rsid w:val="00F51C19"/>
    <w:rsid w:val="00F520BF"/>
    <w:rsid w:val="00F525E5"/>
    <w:rsid w:val="00F52C9B"/>
    <w:rsid w:val="00F52E33"/>
    <w:rsid w:val="00F5321A"/>
    <w:rsid w:val="00F53D59"/>
    <w:rsid w:val="00F53EE9"/>
    <w:rsid w:val="00F54441"/>
    <w:rsid w:val="00F54725"/>
    <w:rsid w:val="00F54A97"/>
    <w:rsid w:val="00F552AA"/>
    <w:rsid w:val="00F558A3"/>
    <w:rsid w:val="00F55EC2"/>
    <w:rsid w:val="00F55F67"/>
    <w:rsid w:val="00F56050"/>
    <w:rsid w:val="00F5615F"/>
    <w:rsid w:val="00F561DB"/>
    <w:rsid w:val="00F56465"/>
    <w:rsid w:val="00F56638"/>
    <w:rsid w:val="00F56707"/>
    <w:rsid w:val="00F56938"/>
    <w:rsid w:val="00F56973"/>
    <w:rsid w:val="00F57003"/>
    <w:rsid w:val="00F5710C"/>
    <w:rsid w:val="00F57F2E"/>
    <w:rsid w:val="00F57F7E"/>
    <w:rsid w:val="00F60035"/>
    <w:rsid w:val="00F6012E"/>
    <w:rsid w:val="00F601C0"/>
    <w:rsid w:val="00F6098A"/>
    <w:rsid w:val="00F6143E"/>
    <w:rsid w:val="00F61ACF"/>
    <w:rsid w:val="00F61BC0"/>
    <w:rsid w:val="00F621A4"/>
    <w:rsid w:val="00F625B8"/>
    <w:rsid w:val="00F6317F"/>
    <w:rsid w:val="00F63341"/>
    <w:rsid w:val="00F634FA"/>
    <w:rsid w:val="00F63C28"/>
    <w:rsid w:val="00F64382"/>
    <w:rsid w:val="00F645DE"/>
    <w:rsid w:val="00F64647"/>
    <w:rsid w:val="00F64A7C"/>
    <w:rsid w:val="00F64AC9"/>
    <w:rsid w:val="00F64E5B"/>
    <w:rsid w:val="00F651B3"/>
    <w:rsid w:val="00F65406"/>
    <w:rsid w:val="00F65858"/>
    <w:rsid w:val="00F659A8"/>
    <w:rsid w:val="00F65BE7"/>
    <w:rsid w:val="00F65C77"/>
    <w:rsid w:val="00F65CFA"/>
    <w:rsid w:val="00F662B4"/>
    <w:rsid w:val="00F666C3"/>
    <w:rsid w:val="00F66C69"/>
    <w:rsid w:val="00F66E84"/>
    <w:rsid w:val="00F66EC3"/>
    <w:rsid w:val="00F67078"/>
    <w:rsid w:val="00F67106"/>
    <w:rsid w:val="00F676C0"/>
    <w:rsid w:val="00F701F4"/>
    <w:rsid w:val="00F70533"/>
    <w:rsid w:val="00F7070D"/>
    <w:rsid w:val="00F70AD0"/>
    <w:rsid w:val="00F70DFE"/>
    <w:rsid w:val="00F70F96"/>
    <w:rsid w:val="00F7110F"/>
    <w:rsid w:val="00F712B4"/>
    <w:rsid w:val="00F71524"/>
    <w:rsid w:val="00F7159C"/>
    <w:rsid w:val="00F71723"/>
    <w:rsid w:val="00F717B2"/>
    <w:rsid w:val="00F71B84"/>
    <w:rsid w:val="00F71C5D"/>
    <w:rsid w:val="00F71F86"/>
    <w:rsid w:val="00F72186"/>
    <w:rsid w:val="00F725A8"/>
    <w:rsid w:val="00F7266F"/>
    <w:rsid w:val="00F726CD"/>
    <w:rsid w:val="00F729FA"/>
    <w:rsid w:val="00F72C09"/>
    <w:rsid w:val="00F736C5"/>
    <w:rsid w:val="00F73838"/>
    <w:rsid w:val="00F740A9"/>
    <w:rsid w:val="00F74108"/>
    <w:rsid w:val="00F7412C"/>
    <w:rsid w:val="00F74391"/>
    <w:rsid w:val="00F747DC"/>
    <w:rsid w:val="00F7495E"/>
    <w:rsid w:val="00F749A5"/>
    <w:rsid w:val="00F74CBB"/>
    <w:rsid w:val="00F74E3E"/>
    <w:rsid w:val="00F754C8"/>
    <w:rsid w:val="00F75540"/>
    <w:rsid w:val="00F75690"/>
    <w:rsid w:val="00F75C50"/>
    <w:rsid w:val="00F75F41"/>
    <w:rsid w:val="00F76296"/>
    <w:rsid w:val="00F76426"/>
    <w:rsid w:val="00F76474"/>
    <w:rsid w:val="00F76EFC"/>
    <w:rsid w:val="00F76F98"/>
    <w:rsid w:val="00F77819"/>
    <w:rsid w:val="00F8004A"/>
    <w:rsid w:val="00F804FF"/>
    <w:rsid w:val="00F805F8"/>
    <w:rsid w:val="00F80FCB"/>
    <w:rsid w:val="00F81477"/>
    <w:rsid w:val="00F820EA"/>
    <w:rsid w:val="00F82E2E"/>
    <w:rsid w:val="00F82EE1"/>
    <w:rsid w:val="00F83160"/>
    <w:rsid w:val="00F83334"/>
    <w:rsid w:val="00F835B0"/>
    <w:rsid w:val="00F8379B"/>
    <w:rsid w:val="00F838B6"/>
    <w:rsid w:val="00F839E5"/>
    <w:rsid w:val="00F83AAA"/>
    <w:rsid w:val="00F83ADA"/>
    <w:rsid w:val="00F8427A"/>
    <w:rsid w:val="00F84454"/>
    <w:rsid w:val="00F84579"/>
    <w:rsid w:val="00F84AB8"/>
    <w:rsid w:val="00F84DAB"/>
    <w:rsid w:val="00F84FB6"/>
    <w:rsid w:val="00F85896"/>
    <w:rsid w:val="00F85CD6"/>
    <w:rsid w:val="00F85ED4"/>
    <w:rsid w:val="00F8602E"/>
    <w:rsid w:val="00F86067"/>
    <w:rsid w:val="00F8643D"/>
    <w:rsid w:val="00F86686"/>
    <w:rsid w:val="00F86A46"/>
    <w:rsid w:val="00F8709D"/>
    <w:rsid w:val="00F87600"/>
    <w:rsid w:val="00F87686"/>
    <w:rsid w:val="00F87714"/>
    <w:rsid w:val="00F8797E"/>
    <w:rsid w:val="00F87B85"/>
    <w:rsid w:val="00F87E5A"/>
    <w:rsid w:val="00F8E411"/>
    <w:rsid w:val="00F9009F"/>
    <w:rsid w:val="00F90426"/>
    <w:rsid w:val="00F904D0"/>
    <w:rsid w:val="00F907BB"/>
    <w:rsid w:val="00F908F3"/>
    <w:rsid w:val="00F90C35"/>
    <w:rsid w:val="00F90D79"/>
    <w:rsid w:val="00F90ED5"/>
    <w:rsid w:val="00F9108E"/>
    <w:rsid w:val="00F9112A"/>
    <w:rsid w:val="00F91A93"/>
    <w:rsid w:val="00F92278"/>
    <w:rsid w:val="00F923DF"/>
    <w:rsid w:val="00F926AF"/>
    <w:rsid w:val="00F926D0"/>
    <w:rsid w:val="00F929F4"/>
    <w:rsid w:val="00F92D64"/>
    <w:rsid w:val="00F92D83"/>
    <w:rsid w:val="00F92DDC"/>
    <w:rsid w:val="00F93569"/>
    <w:rsid w:val="00F936F0"/>
    <w:rsid w:val="00F937FC"/>
    <w:rsid w:val="00F93F99"/>
    <w:rsid w:val="00F9400F"/>
    <w:rsid w:val="00F9411C"/>
    <w:rsid w:val="00F9430B"/>
    <w:rsid w:val="00F94699"/>
    <w:rsid w:val="00F94CFD"/>
    <w:rsid w:val="00F94E4D"/>
    <w:rsid w:val="00F94EBA"/>
    <w:rsid w:val="00F95445"/>
    <w:rsid w:val="00F9588F"/>
    <w:rsid w:val="00F95EBD"/>
    <w:rsid w:val="00F961A7"/>
    <w:rsid w:val="00F96D77"/>
    <w:rsid w:val="00F96FB5"/>
    <w:rsid w:val="00F9720D"/>
    <w:rsid w:val="00F9723A"/>
    <w:rsid w:val="00F972AA"/>
    <w:rsid w:val="00F97884"/>
    <w:rsid w:val="00F978C5"/>
    <w:rsid w:val="00F9BD4F"/>
    <w:rsid w:val="00FA0218"/>
    <w:rsid w:val="00FA0346"/>
    <w:rsid w:val="00FA03A5"/>
    <w:rsid w:val="00FA0893"/>
    <w:rsid w:val="00FA0BC2"/>
    <w:rsid w:val="00FA0D79"/>
    <w:rsid w:val="00FA0F87"/>
    <w:rsid w:val="00FA1470"/>
    <w:rsid w:val="00FA16D9"/>
    <w:rsid w:val="00FA175C"/>
    <w:rsid w:val="00FA233A"/>
    <w:rsid w:val="00FA2620"/>
    <w:rsid w:val="00FA2FAE"/>
    <w:rsid w:val="00FA311F"/>
    <w:rsid w:val="00FA33D0"/>
    <w:rsid w:val="00FA35C1"/>
    <w:rsid w:val="00FA3C1C"/>
    <w:rsid w:val="00FA4462"/>
    <w:rsid w:val="00FA4BB8"/>
    <w:rsid w:val="00FA4DBA"/>
    <w:rsid w:val="00FA4E90"/>
    <w:rsid w:val="00FA4ED4"/>
    <w:rsid w:val="00FA5CED"/>
    <w:rsid w:val="00FA6085"/>
    <w:rsid w:val="00FA64A7"/>
    <w:rsid w:val="00FA65EB"/>
    <w:rsid w:val="00FA664A"/>
    <w:rsid w:val="00FA6811"/>
    <w:rsid w:val="00FA6D66"/>
    <w:rsid w:val="00FA74B8"/>
    <w:rsid w:val="00FA785A"/>
    <w:rsid w:val="00FA7AC7"/>
    <w:rsid w:val="00FA7D36"/>
    <w:rsid w:val="00FB028B"/>
    <w:rsid w:val="00FB0718"/>
    <w:rsid w:val="00FB0A21"/>
    <w:rsid w:val="00FB0CB2"/>
    <w:rsid w:val="00FB0EF3"/>
    <w:rsid w:val="00FB12D6"/>
    <w:rsid w:val="00FB16FD"/>
    <w:rsid w:val="00FB18B6"/>
    <w:rsid w:val="00FB19DE"/>
    <w:rsid w:val="00FB1D31"/>
    <w:rsid w:val="00FB1E5A"/>
    <w:rsid w:val="00FB2298"/>
    <w:rsid w:val="00FB25D9"/>
    <w:rsid w:val="00FB2781"/>
    <w:rsid w:val="00FB2837"/>
    <w:rsid w:val="00FB2D77"/>
    <w:rsid w:val="00FB2EEE"/>
    <w:rsid w:val="00FB3246"/>
    <w:rsid w:val="00FB33A8"/>
    <w:rsid w:val="00FB393E"/>
    <w:rsid w:val="00FB4044"/>
    <w:rsid w:val="00FB42B0"/>
    <w:rsid w:val="00FB4714"/>
    <w:rsid w:val="00FB47EC"/>
    <w:rsid w:val="00FB49B6"/>
    <w:rsid w:val="00FB4AFE"/>
    <w:rsid w:val="00FB4B76"/>
    <w:rsid w:val="00FB4E54"/>
    <w:rsid w:val="00FB504F"/>
    <w:rsid w:val="00FB517D"/>
    <w:rsid w:val="00FB5401"/>
    <w:rsid w:val="00FB5930"/>
    <w:rsid w:val="00FB5977"/>
    <w:rsid w:val="00FB62B7"/>
    <w:rsid w:val="00FB689C"/>
    <w:rsid w:val="00FB6A10"/>
    <w:rsid w:val="00FB6AD3"/>
    <w:rsid w:val="00FB6FA2"/>
    <w:rsid w:val="00FB71DA"/>
    <w:rsid w:val="00FB71FD"/>
    <w:rsid w:val="00FB7469"/>
    <w:rsid w:val="00FB75B3"/>
    <w:rsid w:val="00FB7650"/>
    <w:rsid w:val="00FB7804"/>
    <w:rsid w:val="00FB7C5E"/>
    <w:rsid w:val="00FB7D8D"/>
    <w:rsid w:val="00FC0010"/>
    <w:rsid w:val="00FC06C9"/>
    <w:rsid w:val="00FC0A02"/>
    <w:rsid w:val="00FC101B"/>
    <w:rsid w:val="00FC1740"/>
    <w:rsid w:val="00FC179E"/>
    <w:rsid w:val="00FC17EE"/>
    <w:rsid w:val="00FC18CB"/>
    <w:rsid w:val="00FC1970"/>
    <w:rsid w:val="00FC2208"/>
    <w:rsid w:val="00FC26AB"/>
    <w:rsid w:val="00FC27A0"/>
    <w:rsid w:val="00FC2EDD"/>
    <w:rsid w:val="00FC3483"/>
    <w:rsid w:val="00FC36F4"/>
    <w:rsid w:val="00FC3910"/>
    <w:rsid w:val="00FC4B82"/>
    <w:rsid w:val="00FC4BF9"/>
    <w:rsid w:val="00FC4DB4"/>
    <w:rsid w:val="00FC4DB7"/>
    <w:rsid w:val="00FC5158"/>
    <w:rsid w:val="00FC5F09"/>
    <w:rsid w:val="00FC60FB"/>
    <w:rsid w:val="00FC6116"/>
    <w:rsid w:val="00FC68C0"/>
    <w:rsid w:val="00FC70B4"/>
    <w:rsid w:val="00FC70C9"/>
    <w:rsid w:val="00FC72F5"/>
    <w:rsid w:val="00FC76D2"/>
    <w:rsid w:val="00FC788E"/>
    <w:rsid w:val="00FC798F"/>
    <w:rsid w:val="00FC7A27"/>
    <w:rsid w:val="00FC7A6D"/>
    <w:rsid w:val="00FC7D34"/>
    <w:rsid w:val="00FC7F1B"/>
    <w:rsid w:val="00FD0249"/>
    <w:rsid w:val="00FD0594"/>
    <w:rsid w:val="00FD0A93"/>
    <w:rsid w:val="00FD0D4F"/>
    <w:rsid w:val="00FD0F2E"/>
    <w:rsid w:val="00FD1133"/>
    <w:rsid w:val="00FD1323"/>
    <w:rsid w:val="00FD1352"/>
    <w:rsid w:val="00FD155F"/>
    <w:rsid w:val="00FD1B18"/>
    <w:rsid w:val="00FD1DA7"/>
    <w:rsid w:val="00FD1ED0"/>
    <w:rsid w:val="00FD2DCE"/>
    <w:rsid w:val="00FD3049"/>
    <w:rsid w:val="00FD3215"/>
    <w:rsid w:val="00FD333D"/>
    <w:rsid w:val="00FD37F7"/>
    <w:rsid w:val="00FD3A91"/>
    <w:rsid w:val="00FD3F10"/>
    <w:rsid w:val="00FD40A5"/>
    <w:rsid w:val="00FD4684"/>
    <w:rsid w:val="00FD49D2"/>
    <w:rsid w:val="00FD4B9B"/>
    <w:rsid w:val="00FD4E04"/>
    <w:rsid w:val="00FD6023"/>
    <w:rsid w:val="00FD607B"/>
    <w:rsid w:val="00FD624E"/>
    <w:rsid w:val="00FD62FC"/>
    <w:rsid w:val="00FD633A"/>
    <w:rsid w:val="00FD65FB"/>
    <w:rsid w:val="00FD667B"/>
    <w:rsid w:val="00FD675F"/>
    <w:rsid w:val="00FD6A06"/>
    <w:rsid w:val="00FD708B"/>
    <w:rsid w:val="00FD70BB"/>
    <w:rsid w:val="00FD7276"/>
    <w:rsid w:val="00FD7337"/>
    <w:rsid w:val="00FD763D"/>
    <w:rsid w:val="00FD7702"/>
    <w:rsid w:val="00FD77DE"/>
    <w:rsid w:val="00FD794A"/>
    <w:rsid w:val="00FD7AB3"/>
    <w:rsid w:val="00FD7AD5"/>
    <w:rsid w:val="00FD7B71"/>
    <w:rsid w:val="00FDDED9"/>
    <w:rsid w:val="00FE01BF"/>
    <w:rsid w:val="00FE02A0"/>
    <w:rsid w:val="00FE03D6"/>
    <w:rsid w:val="00FE0757"/>
    <w:rsid w:val="00FE07BC"/>
    <w:rsid w:val="00FE0AD0"/>
    <w:rsid w:val="00FE0E6D"/>
    <w:rsid w:val="00FE11D5"/>
    <w:rsid w:val="00FE138C"/>
    <w:rsid w:val="00FE1DDA"/>
    <w:rsid w:val="00FE200B"/>
    <w:rsid w:val="00FE21D9"/>
    <w:rsid w:val="00FE25DA"/>
    <w:rsid w:val="00FE2B15"/>
    <w:rsid w:val="00FE2B1C"/>
    <w:rsid w:val="00FE2B3C"/>
    <w:rsid w:val="00FE2C35"/>
    <w:rsid w:val="00FE2F12"/>
    <w:rsid w:val="00FE3B63"/>
    <w:rsid w:val="00FE3C81"/>
    <w:rsid w:val="00FE3C9C"/>
    <w:rsid w:val="00FE3EA2"/>
    <w:rsid w:val="00FE3EF7"/>
    <w:rsid w:val="00FE449F"/>
    <w:rsid w:val="00FE45FC"/>
    <w:rsid w:val="00FE4AC5"/>
    <w:rsid w:val="00FE4B88"/>
    <w:rsid w:val="00FE4D7E"/>
    <w:rsid w:val="00FE4E96"/>
    <w:rsid w:val="00FE523E"/>
    <w:rsid w:val="00FE555D"/>
    <w:rsid w:val="00FE57E8"/>
    <w:rsid w:val="00FE5A37"/>
    <w:rsid w:val="00FE6058"/>
    <w:rsid w:val="00FE714A"/>
    <w:rsid w:val="00FE71EC"/>
    <w:rsid w:val="00FE722E"/>
    <w:rsid w:val="00FE7AB4"/>
    <w:rsid w:val="00FE7BAA"/>
    <w:rsid w:val="00FE7E48"/>
    <w:rsid w:val="00FF0599"/>
    <w:rsid w:val="00FF0D9B"/>
    <w:rsid w:val="00FF0E0A"/>
    <w:rsid w:val="00FF0E15"/>
    <w:rsid w:val="00FF0E71"/>
    <w:rsid w:val="00FF0F91"/>
    <w:rsid w:val="00FF0FA7"/>
    <w:rsid w:val="00FF14BA"/>
    <w:rsid w:val="00FF1662"/>
    <w:rsid w:val="00FF1C56"/>
    <w:rsid w:val="00FF1D2E"/>
    <w:rsid w:val="00FF2773"/>
    <w:rsid w:val="00FF2789"/>
    <w:rsid w:val="00FF2855"/>
    <w:rsid w:val="00FF2A2F"/>
    <w:rsid w:val="00FF3353"/>
    <w:rsid w:val="00FF399F"/>
    <w:rsid w:val="00FF4133"/>
    <w:rsid w:val="00FF41E1"/>
    <w:rsid w:val="00FF4C25"/>
    <w:rsid w:val="00FF4DE3"/>
    <w:rsid w:val="00FF52C0"/>
    <w:rsid w:val="00FF5464"/>
    <w:rsid w:val="00FF5627"/>
    <w:rsid w:val="00FF5CA6"/>
    <w:rsid w:val="00FF627D"/>
    <w:rsid w:val="00FF6499"/>
    <w:rsid w:val="00FF6787"/>
    <w:rsid w:val="00FF6809"/>
    <w:rsid w:val="00FF6B1E"/>
    <w:rsid w:val="00FF6B90"/>
    <w:rsid w:val="00FF6E5F"/>
    <w:rsid w:val="00FF7025"/>
    <w:rsid w:val="00FF7344"/>
    <w:rsid w:val="00FF7864"/>
    <w:rsid w:val="00FF7CB1"/>
    <w:rsid w:val="010B1C55"/>
    <w:rsid w:val="010F1163"/>
    <w:rsid w:val="01379F5D"/>
    <w:rsid w:val="014E03A2"/>
    <w:rsid w:val="01567A5E"/>
    <w:rsid w:val="01CCBDBA"/>
    <w:rsid w:val="01FCA4FD"/>
    <w:rsid w:val="020D8B9F"/>
    <w:rsid w:val="02112809"/>
    <w:rsid w:val="0228D1E5"/>
    <w:rsid w:val="02442D7D"/>
    <w:rsid w:val="024E2F76"/>
    <w:rsid w:val="024FC2E2"/>
    <w:rsid w:val="02696FCE"/>
    <w:rsid w:val="028EA45D"/>
    <w:rsid w:val="02906A4E"/>
    <w:rsid w:val="02B7F3F0"/>
    <w:rsid w:val="02BFD816"/>
    <w:rsid w:val="02C4907D"/>
    <w:rsid w:val="02CD3151"/>
    <w:rsid w:val="02F09D9E"/>
    <w:rsid w:val="033AA170"/>
    <w:rsid w:val="033C1838"/>
    <w:rsid w:val="03748BBF"/>
    <w:rsid w:val="038E31CB"/>
    <w:rsid w:val="039F65A2"/>
    <w:rsid w:val="03B1C4A3"/>
    <w:rsid w:val="03F12800"/>
    <w:rsid w:val="03F6E2B4"/>
    <w:rsid w:val="0403FE3C"/>
    <w:rsid w:val="040E714F"/>
    <w:rsid w:val="04149E33"/>
    <w:rsid w:val="04323042"/>
    <w:rsid w:val="044342E3"/>
    <w:rsid w:val="046AB108"/>
    <w:rsid w:val="04A49B23"/>
    <w:rsid w:val="04AF1DC4"/>
    <w:rsid w:val="04B50501"/>
    <w:rsid w:val="04C28B19"/>
    <w:rsid w:val="04E20A52"/>
    <w:rsid w:val="04E77B7F"/>
    <w:rsid w:val="052325F2"/>
    <w:rsid w:val="0523E7FD"/>
    <w:rsid w:val="0523F517"/>
    <w:rsid w:val="052955A6"/>
    <w:rsid w:val="054863BF"/>
    <w:rsid w:val="0555F982"/>
    <w:rsid w:val="055DB74F"/>
    <w:rsid w:val="0566C66E"/>
    <w:rsid w:val="05A4FD0A"/>
    <w:rsid w:val="05A98A29"/>
    <w:rsid w:val="05E25243"/>
    <w:rsid w:val="05E32B89"/>
    <w:rsid w:val="05E66824"/>
    <w:rsid w:val="05E679EE"/>
    <w:rsid w:val="05F47121"/>
    <w:rsid w:val="05F53471"/>
    <w:rsid w:val="05FD9CC5"/>
    <w:rsid w:val="060B57D1"/>
    <w:rsid w:val="062AEA5D"/>
    <w:rsid w:val="062F8195"/>
    <w:rsid w:val="0643160F"/>
    <w:rsid w:val="06449D2E"/>
    <w:rsid w:val="064BC658"/>
    <w:rsid w:val="0667EFA1"/>
    <w:rsid w:val="066A2DC6"/>
    <w:rsid w:val="066CFFEC"/>
    <w:rsid w:val="0678B461"/>
    <w:rsid w:val="067B7C5E"/>
    <w:rsid w:val="069B14EB"/>
    <w:rsid w:val="069F410A"/>
    <w:rsid w:val="069FCA7A"/>
    <w:rsid w:val="06A17EEA"/>
    <w:rsid w:val="06DC84FD"/>
    <w:rsid w:val="06F79C5D"/>
    <w:rsid w:val="06FDC708"/>
    <w:rsid w:val="0707F143"/>
    <w:rsid w:val="072200BE"/>
    <w:rsid w:val="072A1965"/>
    <w:rsid w:val="0731FA3C"/>
    <w:rsid w:val="0746F12E"/>
    <w:rsid w:val="075EDF64"/>
    <w:rsid w:val="077B36B9"/>
    <w:rsid w:val="0781E231"/>
    <w:rsid w:val="0784B353"/>
    <w:rsid w:val="078CFC6D"/>
    <w:rsid w:val="07900169"/>
    <w:rsid w:val="07D36BBA"/>
    <w:rsid w:val="07DF16FF"/>
    <w:rsid w:val="0810C7E8"/>
    <w:rsid w:val="08283812"/>
    <w:rsid w:val="08598A83"/>
    <w:rsid w:val="08692887"/>
    <w:rsid w:val="086D39D8"/>
    <w:rsid w:val="08844601"/>
    <w:rsid w:val="088B2C94"/>
    <w:rsid w:val="089ECA1A"/>
    <w:rsid w:val="08A3C1A4"/>
    <w:rsid w:val="08B8CB41"/>
    <w:rsid w:val="08CC11C4"/>
    <w:rsid w:val="08CC18DD"/>
    <w:rsid w:val="08F23806"/>
    <w:rsid w:val="091C328A"/>
    <w:rsid w:val="09311054"/>
    <w:rsid w:val="094EFD69"/>
    <w:rsid w:val="095ADFD5"/>
    <w:rsid w:val="0960722E"/>
    <w:rsid w:val="0982E529"/>
    <w:rsid w:val="099416E6"/>
    <w:rsid w:val="09A4A0AE"/>
    <w:rsid w:val="09A5787D"/>
    <w:rsid w:val="09B7179F"/>
    <w:rsid w:val="09DD603B"/>
    <w:rsid w:val="09EA79A8"/>
    <w:rsid w:val="09F07154"/>
    <w:rsid w:val="0A041BDC"/>
    <w:rsid w:val="0A210F34"/>
    <w:rsid w:val="0A40C5EE"/>
    <w:rsid w:val="0A42D0FC"/>
    <w:rsid w:val="0A49ACBB"/>
    <w:rsid w:val="0A52E0C8"/>
    <w:rsid w:val="0A68C6ED"/>
    <w:rsid w:val="0A7D60E9"/>
    <w:rsid w:val="0A878BAF"/>
    <w:rsid w:val="0A8E593B"/>
    <w:rsid w:val="0AA72FF9"/>
    <w:rsid w:val="0ACCF92E"/>
    <w:rsid w:val="0ADF0DF7"/>
    <w:rsid w:val="0AE00208"/>
    <w:rsid w:val="0AE244FF"/>
    <w:rsid w:val="0AEA41DB"/>
    <w:rsid w:val="0B0FB779"/>
    <w:rsid w:val="0B338772"/>
    <w:rsid w:val="0B45EA90"/>
    <w:rsid w:val="0B69D4FD"/>
    <w:rsid w:val="0B8F0C3C"/>
    <w:rsid w:val="0B9F8DD5"/>
    <w:rsid w:val="0BA7C59A"/>
    <w:rsid w:val="0BD73927"/>
    <w:rsid w:val="0BE28313"/>
    <w:rsid w:val="0C175FB2"/>
    <w:rsid w:val="0C24B4E0"/>
    <w:rsid w:val="0C34F967"/>
    <w:rsid w:val="0C4127DF"/>
    <w:rsid w:val="0C77130C"/>
    <w:rsid w:val="0C8F6F7E"/>
    <w:rsid w:val="0C93D6C5"/>
    <w:rsid w:val="0C96FC5E"/>
    <w:rsid w:val="0C97910B"/>
    <w:rsid w:val="0CC1880E"/>
    <w:rsid w:val="0CCE7D94"/>
    <w:rsid w:val="0CD18E3B"/>
    <w:rsid w:val="0CDA4ADA"/>
    <w:rsid w:val="0CFC83F3"/>
    <w:rsid w:val="0D1A676D"/>
    <w:rsid w:val="0D78778B"/>
    <w:rsid w:val="0D7FF1D8"/>
    <w:rsid w:val="0D938161"/>
    <w:rsid w:val="0D9BAE83"/>
    <w:rsid w:val="0DBB880A"/>
    <w:rsid w:val="0DD1A690"/>
    <w:rsid w:val="0DD2FF6F"/>
    <w:rsid w:val="0DF2DACF"/>
    <w:rsid w:val="0DFB9FFD"/>
    <w:rsid w:val="0DFD67C7"/>
    <w:rsid w:val="0E00A5D0"/>
    <w:rsid w:val="0E0601DE"/>
    <w:rsid w:val="0E28D7E1"/>
    <w:rsid w:val="0E2E093C"/>
    <w:rsid w:val="0E55073D"/>
    <w:rsid w:val="0ECB68B4"/>
    <w:rsid w:val="0EF372CD"/>
    <w:rsid w:val="0F37AB11"/>
    <w:rsid w:val="0F453EBB"/>
    <w:rsid w:val="0F4AF0FA"/>
    <w:rsid w:val="0F60098D"/>
    <w:rsid w:val="0F889FF3"/>
    <w:rsid w:val="0FDE8E9A"/>
    <w:rsid w:val="0FFE1220"/>
    <w:rsid w:val="100AC22A"/>
    <w:rsid w:val="10103E74"/>
    <w:rsid w:val="1035E6B8"/>
    <w:rsid w:val="103D8742"/>
    <w:rsid w:val="103FC608"/>
    <w:rsid w:val="1042ECDB"/>
    <w:rsid w:val="106D2245"/>
    <w:rsid w:val="1072B4F9"/>
    <w:rsid w:val="10C83A18"/>
    <w:rsid w:val="10D63434"/>
    <w:rsid w:val="10E5935A"/>
    <w:rsid w:val="10EE8E6E"/>
    <w:rsid w:val="111FBA64"/>
    <w:rsid w:val="11237A49"/>
    <w:rsid w:val="112C4EA4"/>
    <w:rsid w:val="1131AFE1"/>
    <w:rsid w:val="113881E9"/>
    <w:rsid w:val="114D5FB9"/>
    <w:rsid w:val="11505887"/>
    <w:rsid w:val="1159FB78"/>
    <w:rsid w:val="115D562A"/>
    <w:rsid w:val="116214F7"/>
    <w:rsid w:val="11674531"/>
    <w:rsid w:val="1186BD69"/>
    <w:rsid w:val="11939EFA"/>
    <w:rsid w:val="11A228E8"/>
    <w:rsid w:val="11B178E1"/>
    <w:rsid w:val="11BEBE72"/>
    <w:rsid w:val="11C372D0"/>
    <w:rsid w:val="11C5DD99"/>
    <w:rsid w:val="11D44F67"/>
    <w:rsid w:val="11FA3444"/>
    <w:rsid w:val="120DEDF1"/>
    <w:rsid w:val="12885BBD"/>
    <w:rsid w:val="12BC8B3D"/>
    <w:rsid w:val="12C71272"/>
    <w:rsid w:val="12D9CA1B"/>
    <w:rsid w:val="130F3A08"/>
    <w:rsid w:val="1328527D"/>
    <w:rsid w:val="13315C5E"/>
    <w:rsid w:val="13556F71"/>
    <w:rsid w:val="135A0B6B"/>
    <w:rsid w:val="1371DC75"/>
    <w:rsid w:val="13755BDA"/>
    <w:rsid w:val="1377E865"/>
    <w:rsid w:val="137CAD2B"/>
    <w:rsid w:val="13C97A73"/>
    <w:rsid w:val="13CBDF17"/>
    <w:rsid w:val="13CE9137"/>
    <w:rsid w:val="13D3FCBA"/>
    <w:rsid w:val="13D8404D"/>
    <w:rsid w:val="13E198B6"/>
    <w:rsid w:val="13E4C841"/>
    <w:rsid w:val="14124F0E"/>
    <w:rsid w:val="1415DF79"/>
    <w:rsid w:val="141B4505"/>
    <w:rsid w:val="142D63D4"/>
    <w:rsid w:val="14522818"/>
    <w:rsid w:val="1477EC6E"/>
    <w:rsid w:val="14A4BF76"/>
    <w:rsid w:val="14B3C625"/>
    <w:rsid w:val="14B647E9"/>
    <w:rsid w:val="14BFD203"/>
    <w:rsid w:val="14D8BCDE"/>
    <w:rsid w:val="14EFDE2C"/>
    <w:rsid w:val="1500DB75"/>
    <w:rsid w:val="151841D3"/>
    <w:rsid w:val="15451349"/>
    <w:rsid w:val="156FAEED"/>
    <w:rsid w:val="15785D2C"/>
    <w:rsid w:val="157A9BDD"/>
    <w:rsid w:val="15B609F2"/>
    <w:rsid w:val="15CD308C"/>
    <w:rsid w:val="15E9B6FC"/>
    <w:rsid w:val="15ECA4DC"/>
    <w:rsid w:val="15F84318"/>
    <w:rsid w:val="1603F167"/>
    <w:rsid w:val="163CDCD5"/>
    <w:rsid w:val="164167AE"/>
    <w:rsid w:val="16461569"/>
    <w:rsid w:val="16508448"/>
    <w:rsid w:val="165E1BF1"/>
    <w:rsid w:val="166D60CE"/>
    <w:rsid w:val="1671B18D"/>
    <w:rsid w:val="16875B48"/>
    <w:rsid w:val="16C48EAA"/>
    <w:rsid w:val="16D25B5D"/>
    <w:rsid w:val="17128FA3"/>
    <w:rsid w:val="1736153A"/>
    <w:rsid w:val="17B321E0"/>
    <w:rsid w:val="17C2126B"/>
    <w:rsid w:val="17DBECBD"/>
    <w:rsid w:val="17DC9A08"/>
    <w:rsid w:val="17DCEA51"/>
    <w:rsid w:val="17EC3437"/>
    <w:rsid w:val="181C2934"/>
    <w:rsid w:val="182C806F"/>
    <w:rsid w:val="1830D259"/>
    <w:rsid w:val="1841B04F"/>
    <w:rsid w:val="18836370"/>
    <w:rsid w:val="188373FB"/>
    <w:rsid w:val="18884301"/>
    <w:rsid w:val="188CF46E"/>
    <w:rsid w:val="18976FA6"/>
    <w:rsid w:val="18A05B5A"/>
    <w:rsid w:val="18ABFE9A"/>
    <w:rsid w:val="18BF3AD1"/>
    <w:rsid w:val="18C24C20"/>
    <w:rsid w:val="18C38724"/>
    <w:rsid w:val="18EBC18E"/>
    <w:rsid w:val="18EF993F"/>
    <w:rsid w:val="19330775"/>
    <w:rsid w:val="1934A8BD"/>
    <w:rsid w:val="193D5C66"/>
    <w:rsid w:val="194AD56F"/>
    <w:rsid w:val="194F0ADE"/>
    <w:rsid w:val="19554E20"/>
    <w:rsid w:val="198BD7D9"/>
    <w:rsid w:val="198D6663"/>
    <w:rsid w:val="19909A43"/>
    <w:rsid w:val="199EAA50"/>
    <w:rsid w:val="19E64F30"/>
    <w:rsid w:val="1A57EB76"/>
    <w:rsid w:val="1A5D0E44"/>
    <w:rsid w:val="1A8B4E2C"/>
    <w:rsid w:val="1AB917AB"/>
    <w:rsid w:val="1AC8044F"/>
    <w:rsid w:val="1AEC4189"/>
    <w:rsid w:val="1B078F61"/>
    <w:rsid w:val="1B2090F1"/>
    <w:rsid w:val="1B4C912A"/>
    <w:rsid w:val="1B5ACB0D"/>
    <w:rsid w:val="1B6BC733"/>
    <w:rsid w:val="1B6FA5DA"/>
    <w:rsid w:val="1B7AEE57"/>
    <w:rsid w:val="1B8A4E6C"/>
    <w:rsid w:val="1B9B1C82"/>
    <w:rsid w:val="1BB403AE"/>
    <w:rsid w:val="1BC2CE7D"/>
    <w:rsid w:val="1BD0B5D9"/>
    <w:rsid w:val="1BFBEC8D"/>
    <w:rsid w:val="1C218FD9"/>
    <w:rsid w:val="1C6DA332"/>
    <w:rsid w:val="1C8038CD"/>
    <w:rsid w:val="1C8F3AC7"/>
    <w:rsid w:val="1CAD9DF5"/>
    <w:rsid w:val="1CAE1EED"/>
    <w:rsid w:val="1CB5ABDC"/>
    <w:rsid w:val="1CE8FA4D"/>
    <w:rsid w:val="1CFB0A5A"/>
    <w:rsid w:val="1D0708D1"/>
    <w:rsid w:val="1D1D37B5"/>
    <w:rsid w:val="1D3995D0"/>
    <w:rsid w:val="1D4F85C2"/>
    <w:rsid w:val="1D9E7450"/>
    <w:rsid w:val="1DBB85AD"/>
    <w:rsid w:val="1DCAFFCE"/>
    <w:rsid w:val="1DD91752"/>
    <w:rsid w:val="1E0E2998"/>
    <w:rsid w:val="1E2B5125"/>
    <w:rsid w:val="1E443917"/>
    <w:rsid w:val="1E537A96"/>
    <w:rsid w:val="1EAFB079"/>
    <w:rsid w:val="1ECA9F2E"/>
    <w:rsid w:val="1EF111E7"/>
    <w:rsid w:val="1F0458E4"/>
    <w:rsid w:val="1F0AA421"/>
    <w:rsid w:val="1F0CFC4C"/>
    <w:rsid w:val="1F21BA13"/>
    <w:rsid w:val="1F4550DD"/>
    <w:rsid w:val="1F4D41D9"/>
    <w:rsid w:val="1F7CC3C0"/>
    <w:rsid w:val="1F7CE5AB"/>
    <w:rsid w:val="1F9E8B36"/>
    <w:rsid w:val="1FCF93D6"/>
    <w:rsid w:val="1FD60169"/>
    <w:rsid w:val="1FE0C128"/>
    <w:rsid w:val="1FE0EEA8"/>
    <w:rsid w:val="1FE958AC"/>
    <w:rsid w:val="1FF09ECC"/>
    <w:rsid w:val="20096425"/>
    <w:rsid w:val="201B6347"/>
    <w:rsid w:val="201E5D5D"/>
    <w:rsid w:val="20541842"/>
    <w:rsid w:val="205FCB58"/>
    <w:rsid w:val="2063667D"/>
    <w:rsid w:val="2089DCA1"/>
    <w:rsid w:val="20A34B97"/>
    <w:rsid w:val="20A3F496"/>
    <w:rsid w:val="20BA06DA"/>
    <w:rsid w:val="20C8C619"/>
    <w:rsid w:val="20D9BE65"/>
    <w:rsid w:val="20E54D3D"/>
    <w:rsid w:val="20F35EE3"/>
    <w:rsid w:val="21027011"/>
    <w:rsid w:val="21138280"/>
    <w:rsid w:val="211F67F8"/>
    <w:rsid w:val="21299BCB"/>
    <w:rsid w:val="21606768"/>
    <w:rsid w:val="216E1392"/>
    <w:rsid w:val="2182ED7F"/>
    <w:rsid w:val="218634D5"/>
    <w:rsid w:val="21964594"/>
    <w:rsid w:val="219DC499"/>
    <w:rsid w:val="21D08167"/>
    <w:rsid w:val="21D21404"/>
    <w:rsid w:val="21E13C39"/>
    <w:rsid w:val="21F33F35"/>
    <w:rsid w:val="21FF355E"/>
    <w:rsid w:val="2217E1AF"/>
    <w:rsid w:val="222CF912"/>
    <w:rsid w:val="2235186E"/>
    <w:rsid w:val="22690DA1"/>
    <w:rsid w:val="22811AFC"/>
    <w:rsid w:val="228A0734"/>
    <w:rsid w:val="22902D4D"/>
    <w:rsid w:val="22C70306"/>
    <w:rsid w:val="22D211E5"/>
    <w:rsid w:val="22DD42CF"/>
    <w:rsid w:val="22E5BDD4"/>
    <w:rsid w:val="23125461"/>
    <w:rsid w:val="23139228"/>
    <w:rsid w:val="232C29A9"/>
    <w:rsid w:val="233EEB6D"/>
    <w:rsid w:val="2357DEDB"/>
    <w:rsid w:val="2363A6AB"/>
    <w:rsid w:val="2369BFB3"/>
    <w:rsid w:val="23933C62"/>
    <w:rsid w:val="23A86210"/>
    <w:rsid w:val="23B63224"/>
    <w:rsid w:val="23B635F6"/>
    <w:rsid w:val="23BC0BD0"/>
    <w:rsid w:val="23F643F1"/>
    <w:rsid w:val="2423AD1F"/>
    <w:rsid w:val="2444CB12"/>
    <w:rsid w:val="244C0D3B"/>
    <w:rsid w:val="244EF1A5"/>
    <w:rsid w:val="248DA9D4"/>
    <w:rsid w:val="2491D76C"/>
    <w:rsid w:val="2493387F"/>
    <w:rsid w:val="24A45A1D"/>
    <w:rsid w:val="24BD804B"/>
    <w:rsid w:val="24C090E7"/>
    <w:rsid w:val="24E3EEEA"/>
    <w:rsid w:val="24F6A964"/>
    <w:rsid w:val="250E5A79"/>
    <w:rsid w:val="251C100A"/>
    <w:rsid w:val="253B5B35"/>
    <w:rsid w:val="25496BA4"/>
    <w:rsid w:val="2556F3DE"/>
    <w:rsid w:val="2575BA1E"/>
    <w:rsid w:val="257D53B2"/>
    <w:rsid w:val="25A4011D"/>
    <w:rsid w:val="25CCF096"/>
    <w:rsid w:val="25D6C228"/>
    <w:rsid w:val="25D7F66C"/>
    <w:rsid w:val="261F67FB"/>
    <w:rsid w:val="26412B1F"/>
    <w:rsid w:val="2652CE45"/>
    <w:rsid w:val="2657BB28"/>
    <w:rsid w:val="2689654E"/>
    <w:rsid w:val="268CEA1F"/>
    <w:rsid w:val="26ACED79"/>
    <w:rsid w:val="26B3A624"/>
    <w:rsid w:val="270144AD"/>
    <w:rsid w:val="27088619"/>
    <w:rsid w:val="27220148"/>
    <w:rsid w:val="2729B825"/>
    <w:rsid w:val="272B776B"/>
    <w:rsid w:val="273E759B"/>
    <w:rsid w:val="274D35CC"/>
    <w:rsid w:val="274D4532"/>
    <w:rsid w:val="275E14DE"/>
    <w:rsid w:val="2785FEF8"/>
    <w:rsid w:val="279E2E63"/>
    <w:rsid w:val="27A1E0B6"/>
    <w:rsid w:val="27BF5A72"/>
    <w:rsid w:val="27C78EDA"/>
    <w:rsid w:val="27CC1E7F"/>
    <w:rsid w:val="27E95A9F"/>
    <w:rsid w:val="27F0509C"/>
    <w:rsid w:val="27F7D7BE"/>
    <w:rsid w:val="27FAF656"/>
    <w:rsid w:val="27FCDBF8"/>
    <w:rsid w:val="280F2E5C"/>
    <w:rsid w:val="28240AF7"/>
    <w:rsid w:val="282949F7"/>
    <w:rsid w:val="2829528F"/>
    <w:rsid w:val="282D68FC"/>
    <w:rsid w:val="2831816D"/>
    <w:rsid w:val="283753F5"/>
    <w:rsid w:val="2840621B"/>
    <w:rsid w:val="28428406"/>
    <w:rsid w:val="2848299F"/>
    <w:rsid w:val="28B4AC61"/>
    <w:rsid w:val="28B72068"/>
    <w:rsid w:val="28D3F0D0"/>
    <w:rsid w:val="28E717F2"/>
    <w:rsid w:val="28EB350F"/>
    <w:rsid w:val="2957E433"/>
    <w:rsid w:val="29719B08"/>
    <w:rsid w:val="2971A5AB"/>
    <w:rsid w:val="29A2D2C1"/>
    <w:rsid w:val="29A76515"/>
    <w:rsid w:val="29D2C570"/>
    <w:rsid w:val="29E09D2A"/>
    <w:rsid w:val="29EF0CC9"/>
    <w:rsid w:val="29F4DD4D"/>
    <w:rsid w:val="29F75093"/>
    <w:rsid w:val="2A1AD3AE"/>
    <w:rsid w:val="2A1DA9CB"/>
    <w:rsid w:val="2A211863"/>
    <w:rsid w:val="2A6531C8"/>
    <w:rsid w:val="2A82272B"/>
    <w:rsid w:val="2A825A13"/>
    <w:rsid w:val="2A8A7B0A"/>
    <w:rsid w:val="2A913DE3"/>
    <w:rsid w:val="2AA5A4BC"/>
    <w:rsid w:val="2ADAEE20"/>
    <w:rsid w:val="2AE420E6"/>
    <w:rsid w:val="2AE80E6F"/>
    <w:rsid w:val="2B063B22"/>
    <w:rsid w:val="2B0C8455"/>
    <w:rsid w:val="2B17B5DA"/>
    <w:rsid w:val="2B3239C6"/>
    <w:rsid w:val="2B3D2981"/>
    <w:rsid w:val="2B44AE9B"/>
    <w:rsid w:val="2B4C83A4"/>
    <w:rsid w:val="2B74FAB0"/>
    <w:rsid w:val="2B88F0D9"/>
    <w:rsid w:val="2BB1701A"/>
    <w:rsid w:val="2BD49096"/>
    <w:rsid w:val="2BD524A4"/>
    <w:rsid w:val="2BE6D4F6"/>
    <w:rsid w:val="2BE9604C"/>
    <w:rsid w:val="2C044470"/>
    <w:rsid w:val="2C08B1B4"/>
    <w:rsid w:val="2C166E5C"/>
    <w:rsid w:val="2C1AB6EB"/>
    <w:rsid w:val="2C2EC66D"/>
    <w:rsid w:val="2C30BB1A"/>
    <w:rsid w:val="2C33BD14"/>
    <w:rsid w:val="2C3AA3F7"/>
    <w:rsid w:val="2C3F1320"/>
    <w:rsid w:val="2C5C2CF7"/>
    <w:rsid w:val="2C61A042"/>
    <w:rsid w:val="2C78D801"/>
    <w:rsid w:val="2C8E81E6"/>
    <w:rsid w:val="2C918236"/>
    <w:rsid w:val="2C97CA5C"/>
    <w:rsid w:val="2C9D2D82"/>
    <w:rsid w:val="2D16311F"/>
    <w:rsid w:val="2D728BF9"/>
    <w:rsid w:val="2D7768C3"/>
    <w:rsid w:val="2DB7C56C"/>
    <w:rsid w:val="2DD18E21"/>
    <w:rsid w:val="2DE6DC4B"/>
    <w:rsid w:val="2DEC1CED"/>
    <w:rsid w:val="2DFE011B"/>
    <w:rsid w:val="2E0DA828"/>
    <w:rsid w:val="2E15A8E1"/>
    <w:rsid w:val="2E192335"/>
    <w:rsid w:val="2E3D0787"/>
    <w:rsid w:val="2E54A7CD"/>
    <w:rsid w:val="2E5F9220"/>
    <w:rsid w:val="2E6C80AF"/>
    <w:rsid w:val="2E73910C"/>
    <w:rsid w:val="2E7B9C6B"/>
    <w:rsid w:val="2E84634D"/>
    <w:rsid w:val="2EDB3A88"/>
    <w:rsid w:val="2F120BD2"/>
    <w:rsid w:val="2F40616E"/>
    <w:rsid w:val="2F4A6134"/>
    <w:rsid w:val="2F51ABAF"/>
    <w:rsid w:val="2F848369"/>
    <w:rsid w:val="2F99AE28"/>
    <w:rsid w:val="2FCB3DB7"/>
    <w:rsid w:val="2FD763B0"/>
    <w:rsid w:val="2FE497E8"/>
    <w:rsid w:val="300802F4"/>
    <w:rsid w:val="304F66D4"/>
    <w:rsid w:val="305FBFA0"/>
    <w:rsid w:val="30865F3A"/>
    <w:rsid w:val="30CA8975"/>
    <w:rsid w:val="30E07896"/>
    <w:rsid w:val="3105FD0D"/>
    <w:rsid w:val="3123C512"/>
    <w:rsid w:val="313333E9"/>
    <w:rsid w:val="31582F47"/>
    <w:rsid w:val="31677865"/>
    <w:rsid w:val="3174A849"/>
    <w:rsid w:val="317C220C"/>
    <w:rsid w:val="3195A253"/>
    <w:rsid w:val="31B81BEA"/>
    <w:rsid w:val="31C659B6"/>
    <w:rsid w:val="31CE5FB3"/>
    <w:rsid w:val="31DC5013"/>
    <w:rsid w:val="3203F2DF"/>
    <w:rsid w:val="322A8849"/>
    <w:rsid w:val="323A4DBF"/>
    <w:rsid w:val="323CFA99"/>
    <w:rsid w:val="323EF109"/>
    <w:rsid w:val="324B1799"/>
    <w:rsid w:val="32983C0B"/>
    <w:rsid w:val="32C895F4"/>
    <w:rsid w:val="32CA7603"/>
    <w:rsid w:val="32DAA8BD"/>
    <w:rsid w:val="33385F56"/>
    <w:rsid w:val="333AF0C9"/>
    <w:rsid w:val="33444628"/>
    <w:rsid w:val="3352F4D9"/>
    <w:rsid w:val="336206FD"/>
    <w:rsid w:val="336E7D37"/>
    <w:rsid w:val="3389ADB4"/>
    <w:rsid w:val="33B1C28F"/>
    <w:rsid w:val="33B26ED6"/>
    <w:rsid w:val="33D516FA"/>
    <w:rsid w:val="3415A53B"/>
    <w:rsid w:val="34197DED"/>
    <w:rsid w:val="342D87BF"/>
    <w:rsid w:val="34480C32"/>
    <w:rsid w:val="344DE67B"/>
    <w:rsid w:val="346A8C78"/>
    <w:rsid w:val="3470CE54"/>
    <w:rsid w:val="34AF46C5"/>
    <w:rsid w:val="34B63341"/>
    <w:rsid w:val="34B727CB"/>
    <w:rsid w:val="34C50BC6"/>
    <w:rsid w:val="34D808C0"/>
    <w:rsid w:val="34E49F95"/>
    <w:rsid w:val="352CF133"/>
    <w:rsid w:val="35518D7B"/>
    <w:rsid w:val="3555F91F"/>
    <w:rsid w:val="356AA026"/>
    <w:rsid w:val="357C3906"/>
    <w:rsid w:val="35833924"/>
    <w:rsid w:val="35909AB3"/>
    <w:rsid w:val="35E577C8"/>
    <w:rsid w:val="35EC205D"/>
    <w:rsid w:val="360C6FF1"/>
    <w:rsid w:val="3631FBDD"/>
    <w:rsid w:val="364CF631"/>
    <w:rsid w:val="3652C7F9"/>
    <w:rsid w:val="3655DEAD"/>
    <w:rsid w:val="367645DE"/>
    <w:rsid w:val="36BFB00D"/>
    <w:rsid w:val="36E8027D"/>
    <w:rsid w:val="37097378"/>
    <w:rsid w:val="37274F7F"/>
    <w:rsid w:val="3729CC64"/>
    <w:rsid w:val="373FA9E1"/>
    <w:rsid w:val="375FB2D3"/>
    <w:rsid w:val="3790F72F"/>
    <w:rsid w:val="37B566A5"/>
    <w:rsid w:val="37DD63E5"/>
    <w:rsid w:val="37DFA4C5"/>
    <w:rsid w:val="37E360C6"/>
    <w:rsid w:val="381A01B9"/>
    <w:rsid w:val="381EF975"/>
    <w:rsid w:val="38237811"/>
    <w:rsid w:val="3832ACA3"/>
    <w:rsid w:val="3852F17C"/>
    <w:rsid w:val="385431DC"/>
    <w:rsid w:val="38858566"/>
    <w:rsid w:val="38C79ADD"/>
    <w:rsid w:val="38DBB607"/>
    <w:rsid w:val="39172737"/>
    <w:rsid w:val="39248D3D"/>
    <w:rsid w:val="395F3535"/>
    <w:rsid w:val="397115E7"/>
    <w:rsid w:val="39BE9FC0"/>
    <w:rsid w:val="39CCE96A"/>
    <w:rsid w:val="39D12BD2"/>
    <w:rsid w:val="39ED67B6"/>
    <w:rsid w:val="39FC54A5"/>
    <w:rsid w:val="39FF039F"/>
    <w:rsid w:val="3A0BE059"/>
    <w:rsid w:val="3A17EAD6"/>
    <w:rsid w:val="3A18915A"/>
    <w:rsid w:val="3A2775AD"/>
    <w:rsid w:val="3A381CBB"/>
    <w:rsid w:val="3A6CCE2D"/>
    <w:rsid w:val="3A76F2FC"/>
    <w:rsid w:val="3A80F952"/>
    <w:rsid w:val="3AB72F08"/>
    <w:rsid w:val="3ABF25EC"/>
    <w:rsid w:val="3AE86348"/>
    <w:rsid w:val="3AF7CD83"/>
    <w:rsid w:val="3B20ACF1"/>
    <w:rsid w:val="3B69ED6C"/>
    <w:rsid w:val="3B6EF648"/>
    <w:rsid w:val="3B7EEE40"/>
    <w:rsid w:val="3B818787"/>
    <w:rsid w:val="3BA2891F"/>
    <w:rsid w:val="3BC5E85D"/>
    <w:rsid w:val="3BC6E168"/>
    <w:rsid w:val="3BD97D95"/>
    <w:rsid w:val="3BDCD388"/>
    <w:rsid w:val="3BE96F1B"/>
    <w:rsid w:val="3C27BF06"/>
    <w:rsid w:val="3C31E1F1"/>
    <w:rsid w:val="3C7EE16D"/>
    <w:rsid w:val="3C88303D"/>
    <w:rsid w:val="3C9CF662"/>
    <w:rsid w:val="3CA38CE1"/>
    <w:rsid w:val="3CBF565B"/>
    <w:rsid w:val="3CC03902"/>
    <w:rsid w:val="3CC26D61"/>
    <w:rsid w:val="3CCCB914"/>
    <w:rsid w:val="3CCCBAD8"/>
    <w:rsid w:val="3CDFAE09"/>
    <w:rsid w:val="3CFD8660"/>
    <w:rsid w:val="3D137649"/>
    <w:rsid w:val="3D185D9A"/>
    <w:rsid w:val="3D1A7060"/>
    <w:rsid w:val="3D201D2A"/>
    <w:rsid w:val="3D331582"/>
    <w:rsid w:val="3D33B934"/>
    <w:rsid w:val="3D352474"/>
    <w:rsid w:val="3D6CD07F"/>
    <w:rsid w:val="3D88C6FD"/>
    <w:rsid w:val="3DB89A14"/>
    <w:rsid w:val="3DB8ACE8"/>
    <w:rsid w:val="3DEFDF9A"/>
    <w:rsid w:val="3DF119A5"/>
    <w:rsid w:val="3E075CB3"/>
    <w:rsid w:val="3E0E66CD"/>
    <w:rsid w:val="3E2A98D8"/>
    <w:rsid w:val="3E3663E0"/>
    <w:rsid w:val="3E443FA7"/>
    <w:rsid w:val="3E602AAE"/>
    <w:rsid w:val="3E7EEC00"/>
    <w:rsid w:val="3E882841"/>
    <w:rsid w:val="3E959B20"/>
    <w:rsid w:val="3EACFC1A"/>
    <w:rsid w:val="3EDA273E"/>
    <w:rsid w:val="3F00C663"/>
    <w:rsid w:val="3F052C9F"/>
    <w:rsid w:val="3F0BA74B"/>
    <w:rsid w:val="3F15C0E6"/>
    <w:rsid w:val="3F334E01"/>
    <w:rsid w:val="3F5AF63A"/>
    <w:rsid w:val="3F6EC563"/>
    <w:rsid w:val="3F7C57A5"/>
    <w:rsid w:val="3FAD40DC"/>
    <w:rsid w:val="3FD49724"/>
    <w:rsid w:val="3FDFC2CB"/>
    <w:rsid w:val="3FF153B9"/>
    <w:rsid w:val="400A9F22"/>
    <w:rsid w:val="400B81CD"/>
    <w:rsid w:val="401C3507"/>
    <w:rsid w:val="402A2B9E"/>
    <w:rsid w:val="402BDB37"/>
    <w:rsid w:val="40783A5F"/>
    <w:rsid w:val="408F9C68"/>
    <w:rsid w:val="409CF7E5"/>
    <w:rsid w:val="40B44B52"/>
    <w:rsid w:val="40D2BC0A"/>
    <w:rsid w:val="40D5B86D"/>
    <w:rsid w:val="40D7E558"/>
    <w:rsid w:val="40D9AFC2"/>
    <w:rsid w:val="40E1A34C"/>
    <w:rsid w:val="40EF04F3"/>
    <w:rsid w:val="40F14B68"/>
    <w:rsid w:val="4116F90D"/>
    <w:rsid w:val="412BE1C4"/>
    <w:rsid w:val="4156B713"/>
    <w:rsid w:val="419B7CB3"/>
    <w:rsid w:val="41ADBAC1"/>
    <w:rsid w:val="41DC2FD0"/>
    <w:rsid w:val="41EBCEBD"/>
    <w:rsid w:val="4201B035"/>
    <w:rsid w:val="4261F47D"/>
    <w:rsid w:val="4272E2DA"/>
    <w:rsid w:val="4284909C"/>
    <w:rsid w:val="42866E11"/>
    <w:rsid w:val="42869622"/>
    <w:rsid w:val="42AD007C"/>
    <w:rsid w:val="42D5AB4D"/>
    <w:rsid w:val="43105455"/>
    <w:rsid w:val="432C4880"/>
    <w:rsid w:val="43350519"/>
    <w:rsid w:val="433BA089"/>
    <w:rsid w:val="436B220C"/>
    <w:rsid w:val="437BB221"/>
    <w:rsid w:val="43870B10"/>
    <w:rsid w:val="43A5DC67"/>
    <w:rsid w:val="43A93B1E"/>
    <w:rsid w:val="43AD5D28"/>
    <w:rsid w:val="43C6BA5A"/>
    <w:rsid w:val="43D2BF9A"/>
    <w:rsid w:val="43FA4F34"/>
    <w:rsid w:val="44096DDB"/>
    <w:rsid w:val="44097B39"/>
    <w:rsid w:val="444160E1"/>
    <w:rsid w:val="447DE024"/>
    <w:rsid w:val="449CEAA2"/>
    <w:rsid w:val="44A22907"/>
    <w:rsid w:val="44ADE2ED"/>
    <w:rsid w:val="44C8D818"/>
    <w:rsid w:val="44E3B191"/>
    <w:rsid w:val="44F8CF37"/>
    <w:rsid w:val="45034D5F"/>
    <w:rsid w:val="4532B582"/>
    <w:rsid w:val="453FFA1C"/>
    <w:rsid w:val="45539F62"/>
    <w:rsid w:val="45576766"/>
    <w:rsid w:val="455C1C08"/>
    <w:rsid w:val="45689B7A"/>
    <w:rsid w:val="459D076B"/>
    <w:rsid w:val="45BBEE8E"/>
    <w:rsid w:val="45BF6CE0"/>
    <w:rsid w:val="45D91DA2"/>
    <w:rsid w:val="46009DB4"/>
    <w:rsid w:val="4614D03E"/>
    <w:rsid w:val="46323EC8"/>
    <w:rsid w:val="46330429"/>
    <w:rsid w:val="463A19E8"/>
    <w:rsid w:val="4649311D"/>
    <w:rsid w:val="465C7811"/>
    <w:rsid w:val="46681F56"/>
    <w:rsid w:val="466A9311"/>
    <w:rsid w:val="468D1D2F"/>
    <w:rsid w:val="46960F06"/>
    <w:rsid w:val="46A916D5"/>
    <w:rsid w:val="46B6127B"/>
    <w:rsid w:val="46C82126"/>
    <w:rsid w:val="46CD4640"/>
    <w:rsid w:val="46DDC15D"/>
    <w:rsid w:val="46ED9A73"/>
    <w:rsid w:val="475176C5"/>
    <w:rsid w:val="47542D17"/>
    <w:rsid w:val="476DB23F"/>
    <w:rsid w:val="4774EE03"/>
    <w:rsid w:val="47861FBE"/>
    <w:rsid w:val="47B982FC"/>
    <w:rsid w:val="47E1B819"/>
    <w:rsid w:val="48165C27"/>
    <w:rsid w:val="484460F2"/>
    <w:rsid w:val="484A5866"/>
    <w:rsid w:val="485678E8"/>
    <w:rsid w:val="486FAC11"/>
    <w:rsid w:val="4876E0EE"/>
    <w:rsid w:val="48C5DCD7"/>
    <w:rsid w:val="48C8DE54"/>
    <w:rsid w:val="48D4A82D"/>
    <w:rsid w:val="48DE8CB7"/>
    <w:rsid w:val="48E25489"/>
    <w:rsid w:val="48F33889"/>
    <w:rsid w:val="48F93891"/>
    <w:rsid w:val="48F95EAA"/>
    <w:rsid w:val="49337BAD"/>
    <w:rsid w:val="493918BA"/>
    <w:rsid w:val="49589EDB"/>
    <w:rsid w:val="4965672B"/>
    <w:rsid w:val="4A01BED0"/>
    <w:rsid w:val="4A126158"/>
    <w:rsid w:val="4A15621F"/>
    <w:rsid w:val="4A15E6AC"/>
    <w:rsid w:val="4A45711E"/>
    <w:rsid w:val="4A57F6AE"/>
    <w:rsid w:val="4A7BC7B9"/>
    <w:rsid w:val="4A8D6528"/>
    <w:rsid w:val="4AB55BA9"/>
    <w:rsid w:val="4AD40634"/>
    <w:rsid w:val="4AD6001B"/>
    <w:rsid w:val="4B124D03"/>
    <w:rsid w:val="4B2142A2"/>
    <w:rsid w:val="4B220013"/>
    <w:rsid w:val="4B3CB8C2"/>
    <w:rsid w:val="4B40B052"/>
    <w:rsid w:val="4B43A7F1"/>
    <w:rsid w:val="4B506FB4"/>
    <w:rsid w:val="4B51B89D"/>
    <w:rsid w:val="4B578577"/>
    <w:rsid w:val="4B91A4DC"/>
    <w:rsid w:val="4B91B8C7"/>
    <w:rsid w:val="4BB38086"/>
    <w:rsid w:val="4BBCF542"/>
    <w:rsid w:val="4BC3F20A"/>
    <w:rsid w:val="4BDACC0F"/>
    <w:rsid w:val="4BECF7C9"/>
    <w:rsid w:val="4C082E61"/>
    <w:rsid w:val="4C39D20B"/>
    <w:rsid w:val="4C43E14E"/>
    <w:rsid w:val="4C4452A0"/>
    <w:rsid w:val="4C491481"/>
    <w:rsid w:val="4C6E0D3F"/>
    <w:rsid w:val="4C888E25"/>
    <w:rsid w:val="4CA2019D"/>
    <w:rsid w:val="4CC9A16C"/>
    <w:rsid w:val="4D2C4EBD"/>
    <w:rsid w:val="4D2D9E0A"/>
    <w:rsid w:val="4D4D02E1"/>
    <w:rsid w:val="4D642FAA"/>
    <w:rsid w:val="4D692C38"/>
    <w:rsid w:val="4D727309"/>
    <w:rsid w:val="4D8BEAF8"/>
    <w:rsid w:val="4D8D020A"/>
    <w:rsid w:val="4DA77F88"/>
    <w:rsid w:val="4DBD8592"/>
    <w:rsid w:val="4DCA0902"/>
    <w:rsid w:val="4DD4F91C"/>
    <w:rsid w:val="4DD76727"/>
    <w:rsid w:val="4DE00117"/>
    <w:rsid w:val="4DEE0687"/>
    <w:rsid w:val="4E302338"/>
    <w:rsid w:val="4E61F70B"/>
    <w:rsid w:val="4E88D59A"/>
    <w:rsid w:val="4E8BDB11"/>
    <w:rsid w:val="4EAE688F"/>
    <w:rsid w:val="4EBD2C4A"/>
    <w:rsid w:val="4ED14FAC"/>
    <w:rsid w:val="4EFCD356"/>
    <w:rsid w:val="4F1AAE1E"/>
    <w:rsid w:val="4F26A69D"/>
    <w:rsid w:val="4F3EADC8"/>
    <w:rsid w:val="4F519356"/>
    <w:rsid w:val="4F77987D"/>
    <w:rsid w:val="4F943A58"/>
    <w:rsid w:val="4F959C19"/>
    <w:rsid w:val="4FA6DCF4"/>
    <w:rsid w:val="4FB86BD6"/>
    <w:rsid w:val="4FC80FE5"/>
    <w:rsid w:val="4FFAC222"/>
    <w:rsid w:val="4FFB5A34"/>
    <w:rsid w:val="5012C62A"/>
    <w:rsid w:val="502612DF"/>
    <w:rsid w:val="5032E08A"/>
    <w:rsid w:val="503344E8"/>
    <w:rsid w:val="5070A6E9"/>
    <w:rsid w:val="507AAAD0"/>
    <w:rsid w:val="507FE887"/>
    <w:rsid w:val="5080B9A8"/>
    <w:rsid w:val="509D3368"/>
    <w:rsid w:val="50B0D0F7"/>
    <w:rsid w:val="50D21FA8"/>
    <w:rsid w:val="50FFC8AA"/>
    <w:rsid w:val="51118EC6"/>
    <w:rsid w:val="5120ED27"/>
    <w:rsid w:val="51302557"/>
    <w:rsid w:val="51410174"/>
    <w:rsid w:val="51A2E81B"/>
    <w:rsid w:val="51DB1B97"/>
    <w:rsid w:val="51FEEF86"/>
    <w:rsid w:val="520F4632"/>
    <w:rsid w:val="521AD8CB"/>
    <w:rsid w:val="5258733E"/>
    <w:rsid w:val="52B6E262"/>
    <w:rsid w:val="52E36405"/>
    <w:rsid w:val="5301DBB9"/>
    <w:rsid w:val="531B3DEB"/>
    <w:rsid w:val="531B7384"/>
    <w:rsid w:val="531D1CFA"/>
    <w:rsid w:val="5326C409"/>
    <w:rsid w:val="532C6D76"/>
    <w:rsid w:val="533EB0C4"/>
    <w:rsid w:val="536E507E"/>
    <w:rsid w:val="53BCD9AC"/>
    <w:rsid w:val="53D02A15"/>
    <w:rsid w:val="53E71E74"/>
    <w:rsid w:val="53EFA044"/>
    <w:rsid w:val="53F61D6E"/>
    <w:rsid w:val="53FED732"/>
    <w:rsid w:val="5406022F"/>
    <w:rsid w:val="54155F8B"/>
    <w:rsid w:val="541BC420"/>
    <w:rsid w:val="5459A044"/>
    <w:rsid w:val="547C99C3"/>
    <w:rsid w:val="548F7DBB"/>
    <w:rsid w:val="54DA5A96"/>
    <w:rsid w:val="54E8D84A"/>
    <w:rsid w:val="54EC43A3"/>
    <w:rsid w:val="550E5236"/>
    <w:rsid w:val="5532F0EA"/>
    <w:rsid w:val="553C312A"/>
    <w:rsid w:val="554CB6EB"/>
    <w:rsid w:val="554E7DD4"/>
    <w:rsid w:val="554FF7E5"/>
    <w:rsid w:val="556704E8"/>
    <w:rsid w:val="5576713D"/>
    <w:rsid w:val="55CF4E46"/>
    <w:rsid w:val="564673B6"/>
    <w:rsid w:val="565BB0CF"/>
    <w:rsid w:val="566DFC76"/>
    <w:rsid w:val="56998396"/>
    <w:rsid w:val="56A0F66D"/>
    <w:rsid w:val="56D91DC2"/>
    <w:rsid w:val="56E2158C"/>
    <w:rsid w:val="56EE238E"/>
    <w:rsid w:val="56F5C7DE"/>
    <w:rsid w:val="5726DAAB"/>
    <w:rsid w:val="572971E8"/>
    <w:rsid w:val="576D8D14"/>
    <w:rsid w:val="5777A3D7"/>
    <w:rsid w:val="579E1099"/>
    <w:rsid w:val="57AB9E68"/>
    <w:rsid w:val="57C3E28B"/>
    <w:rsid w:val="57EA664A"/>
    <w:rsid w:val="57F652A0"/>
    <w:rsid w:val="5810464C"/>
    <w:rsid w:val="5820E1DB"/>
    <w:rsid w:val="587C7098"/>
    <w:rsid w:val="58881EB9"/>
    <w:rsid w:val="58A96A0F"/>
    <w:rsid w:val="58B25274"/>
    <w:rsid w:val="59105CC5"/>
    <w:rsid w:val="593160BB"/>
    <w:rsid w:val="59324AE1"/>
    <w:rsid w:val="5935DBAF"/>
    <w:rsid w:val="59593D29"/>
    <w:rsid w:val="596AAA95"/>
    <w:rsid w:val="596B1EE6"/>
    <w:rsid w:val="59868712"/>
    <w:rsid w:val="59BAAD76"/>
    <w:rsid w:val="59D5926F"/>
    <w:rsid w:val="59E3C1DB"/>
    <w:rsid w:val="59EA050B"/>
    <w:rsid w:val="59EEECF1"/>
    <w:rsid w:val="59EFA2D8"/>
    <w:rsid w:val="59F842AF"/>
    <w:rsid w:val="59F9D3C6"/>
    <w:rsid w:val="5A0F0431"/>
    <w:rsid w:val="5A2C65A2"/>
    <w:rsid w:val="5A2CE9FB"/>
    <w:rsid w:val="5A401A68"/>
    <w:rsid w:val="5A60FA7B"/>
    <w:rsid w:val="5AC1E38C"/>
    <w:rsid w:val="5AD24BBC"/>
    <w:rsid w:val="5AD3E014"/>
    <w:rsid w:val="5AD5E5A4"/>
    <w:rsid w:val="5AF4DCB3"/>
    <w:rsid w:val="5B019B7F"/>
    <w:rsid w:val="5B1BC8A2"/>
    <w:rsid w:val="5B25761E"/>
    <w:rsid w:val="5B2A0670"/>
    <w:rsid w:val="5B625678"/>
    <w:rsid w:val="5B632045"/>
    <w:rsid w:val="5B6908FC"/>
    <w:rsid w:val="5BA277CD"/>
    <w:rsid w:val="5BBA8922"/>
    <w:rsid w:val="5BC702BD"/>
    <w:rsid w:val="5BD1648D"/>
    <w:rsid w:val="5BF58265"/>
    <w:rsid w:val="5C08082B"/>
    <w:rsid w:val="5C0E88A8"/>
    <w:rsid w:val="5C44161C"/>
    <w:rsid w:val="5C4FFAAD"/>
    <w:rsid w:val="5C6A8F57"/>
    <w:rsid w:val="5C7490D5"/>
    <w:rsid w:val="5C82B78E"/>
    <w:rsid w:val="5C967BD1"/>
    <w:rsid w:val="5CC1E6B7"/>
    <w:rsid w:val="5CD6352C"/>
    <w:rsid w:val="5CF6635D"/>
    <w:rsid w:val="5CFEAC28"/>
    <w:rsid w:val="5D35DA46"/>
    <w:rsid w:val="5D3FADB4"/>
    <w:rsid w:val="5D3FDB8D"/>
    <w:rsid w:val="5D57B46F"/>
    <w:rsid w:val="5D746226"/>
    <w:rsid w:val="5DC96FFE"/>
    <w:rsid w:val="5DDE157D"/>
    <w:rsid w:val="5DE263BD"/>
    <w:rsid w:val="5DE4B414"/>
    <w:rsid w:val="5DE5FC88"/>
    <w:rsid w:val="5DFAE6B4"/>
    <w:rsid w:val="5E2AB898"/>
    <w:rsid w:val="5E36F8B7"/>
    <w:rsid w:val="5EAC7C50"/>
    <w:rsid w:val="5EB1272C"/>
    <w:rsid w:val="5EE02982"/>
    <w:rsid w:val="5F10DBE3"/>
    <w:rsid w:val="5F1D0734"/>
    <w:rsid w:val="5F27DD5E"/>
    <w:rsid w:val="5F2C45B0"/>
    <w:rsid w:val="5F53E6DC"/>
    <w:rsid w:val="5F6047E2"/>
    <w:rsid w:val="5F77C7E1"/>
    <w:rsid w:val="5F81D04A"/>
    <w:rsid w:val="5F9EB613"/>
    <w:rsid w:val="5FA71ECC"/>
    <w:rsid w:val="5FB3743C"/>
    <w:rsid w:val="5FDFEB99"/>
    <w:rsid w:val="5FE0BBFE"/>
    <w:rsid w:val="5FFD5AD9"/>
    <w:rsid w:val="602D82CC"/>
    <w:rsid w:val="6035F291"/>
    <w:rsid w:val="603A2B32"/>
    <w:rsid w:val="60691717"/>
    <w:rsid w:val="60C99693"/>
    <w:rsid w:val="60DC0900"/>
    <w:rsid w:val="6105DE57"/>
    <w:rsid w:val="610F1B24"/>
    <w:rsid w:val="611DF759"/>
    <w:rsid w:val="6144116C"/>
    <w:rsid w:val="614ECD74"/>
    <w:rsid w:val="6157CA97"/>
    <w:rsid w:val="615C7083"/>
    <w:rsid w:val="61743A32"/>
    <w:rsid w:val="61767FA3"/>
    <w:rsid w:val="617C485D"/>
    <w:rsid w:val="61A1A22D"/>
    <w:rsid w:val="61B5735E"/>
    <w:rsid w:val="61B72892"/>
    <w:rsid w:val="61C45140"/>
    <w:rsid w:val="61E02460"/>
    <w:rsid w:val="61E78B94"/>
    <w:rsid w:val="61EB0354"/>
    <w:rsid w:val="61F7EFDF"/>
    <w:rsid w:val="62082C2A"/>
    <w:rsid w:val="62131044"/>
    <w:rsid w:val="62434841"/>
    <w:rsid w:val="6249A25C"/>
    <w:rsid w:val="626D0849"/>
    <w:rsid w:val="627D9D9D"/>
    <w:rsid w:val="62AA00DF"/>
    <w:rsid w:val="62AA2648"/>
    <w:rsid w:val="62B1C973"/>
    <w:rsid w:val="62B44208"/>
    <w:rsid w:val="62B8C121"/>
    <w:rsid w:val="62C89250"/>
    <w:rsid w:val="62E0F396"/>
    <w:rsid w:val="62E8B505"/>
    <w:rsid w:val="62F6B680"/>
    <w:rsid w:val="62F75245"/>
    <w:rsid w:val="62FBD38F"/>
    <w:rsid w:val="6312CF87"/>
    <w:rsid w:val="632BF5F4"/>
    <w:rsid w:val="633D1D19"/>
    <w:rsid w:val="636D20C9"/>
    <w:rsid w:val="6380A8AC"/>
    <w:rsid w:val="638F6CD6"/>
    <w:rsid w:val="6399EB61"/>
    <w:rsid w:val="63AA2552"/>
    <w:rsid w:val="63ABA58D"/>
    <w:rsid w:val="63B2EACF"/>
    <w:rsid w:val="63B82611"/>
    <w:rsid w:val="63B9199C"/>
    <w:rsid w:val="63C0DD86"/>
    <w:rsid w:val="63DC27F5"/>
    <w:rsid w:val="63E1DBD9"/>
    <w:rsid w:val="63FC90AE"/>
    <w:rsid w:val="642B8AEA"/>
    <w:rsid w:val="642D2C81"/>
    <w:rsid w:val="64652930"/>
    <w:rsid w:val="64659056"/>
    <w:rsid w:val="64B0B37D"/>
    <w:rsid w:val="64B4C499"/>
    <w:rsid w:val="64F88C98"/>
    <w:rsid w:val="64FF7D04"/>
    <w:rsid w:val="651AC8FA"/>
    <w:rsid w:val="65513F11"/>
    <w:rsid w:val="6557A37F"/>
    <w:rsid w:val="655BAC20"/>
    <w:rsid w:val="655CDBAF"/>
    <w:rsid w:val="655E6E12"/>
    <w:rsid w:val="65615380"/>
    <w:rsid w:val="65A80245"/>
    <w:rsid w:val="65A8BBE4"/>
    <w:rsid w:val="65AD122B"/>
    <w:rsid w:val="65CE19BF"/>
    <w:rsid w:val="65CE2C3B"/>
    <w:rsid w:val="65EF261D"/>
    <w:rsid w:val="66044E8C"/>
    <w:rsid w:val="6609E8EC"/>
    <w:rsid w:val="6610F5CF"/>
    <w:rsid w:val="66352FD7"/>
    <w:rsid w:val="664E0E46"/>
    <w:rsid w:val="665C836E"/>
    <w:rsid w:val="667757EA"/>
    <w:rsid w:val="667E3DEC"/>
    <w:rsid w:val="668A1D26"/>
    <w:rsid w:val="66B48918"/>
    <w:rsid w:val="66C2B32D"/>
    <w:rsid w:val="66E97FA6"/>
    <w:rsid w:val="66F3CE4E"/>
    <w:rsid w:val="6707D91A"/>
    <w:rsid w:val="6723648A"/>
    <w:rsid w:val="67265526"/>
    <w:rsid w:val="674BACC9"/>
    <w:rsid w:val="674FE552"/>
    <w:rsid w:val="675D3179"/>
    <w:rsid w:val="6775EAF8"/>
    <w:rsid w:val="678F9578"/>
    <w:rsid w:val="67A37CDE"/>
    <w:rsid w:val="67B38194"/>
    <w:rsid w:val="67E318BF"/>
    <w:rsid w:val="681EFC74"/>
    <w:rsid w:val="6835C798"/>
    <w:rsid w:val="686D0A63"/>
    <w:rsid w:val="68962C47"/>
    <w:rsid w:val="689F5A44"/>
    <w:rsid w:val="68AA1D7C"/>
    <w:rsid w:val="68D67854"/>
    <w:rsid w:val="68D99030"/>
    <w:rsid w:val="68DDE1B9"/>
    <w:rsid w:val="690DE370"/>
    <w:rsid w:val="6910DEA0"/>
    <w:rsid w:val="691C34C6"/>
    <w:rsid w:val="69386D9F"/>
    <w:rsid w:val="693F499F"/>
    <w:rsid w:val="69457B03"/>
    <w:rsid w:val="69465338"/>
    <w:rsid w:val="697FFD3D"/>
    <w:rsid w:val="69B1B341"/>
    <w:rsid w:val="69D398CB"/>
    <w:rsid w:val="69D82F1D"/>
    <w:rsid w:val="69DEDD50"/>
    <w:rsid w:val="69FCC632"/>
    <w:rsid w:val="6A248547"/>
    <w:rsid w:val="6A63DA06"/>
    <w:rsid w:val="6A880168"/>
    <w:rsid w:val="6A9A7AEA"/>
    <w:rsid w:val="6AAE0FE4"/>
    <w:rsid w:val="6ACA2B72"/>
    <w:rsid w:val="6B1C4449"/>
    <w:rsid w:val="6B24BFFC"/>
    <w:rsid w:val="6B3260A9"/>
    <w:rsid w:val="6B4D9BA8"/>
    <w:rsid w:val="6B871352"/>
    <w:rsid w:val="6B99AF70"/>
    <w:rsid w:val="6B9ADB8E"/>
    <w:rsid w:val="6BBFCA08"/>
    <w:rsid w:val="6BD624AA"/>
    <w:rsid w:val="6BE17D80"/>
    <w:rsid w:val="6BE21298"/>
    <w:rsid w:val="6C0165AD"/>
    <w:rsid w:val="6C092D00"/>
    <w:rsid w:val="6C09A63E"/>
    <w:rsid w:val="6C26197B"/>
    <w:rsid w:val="6C4ACF9E"/>
    <w:rsid w:val="6C6308A2"/>
    <w:rsid w:val="6C87424F"/>
    <w:rsid w:val="6C9EEC4D"/>
    <w:rsid w:val="6CB187DB"/>
    <w:rsid w:val="6CB814AA"/>
    <w:rsid w:val="6CB9A24F"/>
    <w:rsid w:val="6CE004FB"/>
    <w:rsid w:val="6D02B91E"/>
    <w:rsid w:val="6D20C1EE"/>
    <w:rsid w:val="6D24311D"/>
    <w:rsid w:val="6D359163"/>
    <w:rsid w:val="6D3FABC7"/>
    <w:rsid w:val="6D5F432D"/>
    <w:rsid w:val="6DC966D4"/>
    <w:rsid w:val="6DE52C7C"/>
    <w:rsid w:val="6DF481C0"/>
    <w:rsid w:val="6E13FE9B"/>
    <w:rsid w:val="6E1C9397"/>
    <w:rsid w:val="6E2CCDCC"/>
    <w:rsid w:val="6E452C3D"/>
    <w:rsid w:val="6E4A768E"/>
    <w:rsid w:val="6E53E50B"/>
    <w:rsid w:val="6E65E20B"/>
    <w:rsid w:val="6E7ABFFA"/>
    <w:rsid w:val="6EC03651"/>
    <w:rsid w:val="6EC46531"/>
    <w:rsid w:val="6EC5AC68"/>
    <w:rsid w:val="6ECCE9BC"/>
    <w:rsid w:val="6EE06343"/>
    <w:rsid w:val="6F28A89E"/>
    <w:rsid w:val="6F7C149D"/>
    <w:rsid w:val="6F8031D2"/>
    <w:rsid w:val="6F80FCDD"/>
    <w:rsid w:val="6F9BC635"/>
    <w:rsid w:val="6FBF6ADD"/>
    <w:rsid w:val="6FC7C9C6"/>
    <w:rsid w:val="6FD14614"/>
    <w:rsid w:val="6FD290FE"/>
    <w:rsid w:val="6FD9FD80"/>
    <w:rsid w:val="70442C06"/>
    <w:rsid w:val="7053A9ED"/>
    <w:rsid w:val="70606037"/>
    <w:rsid w:val="70647854"/>
    <w:rsid w:val="706B5D1E"/>
    <w:rsid w:val="70ABCE85"/>
    <w:rsid w:val="70C1DF38"/>
    <w:rsid w:val="710232CB"/>
    <w:rsid w:val="711D4A77"/>
    <w:rsid w:val="716825B7"/>
    <w:rsid w:val="7169ADBB"/>
    <w:rsid w:val="716B78BA"/>
    <w:rsid w:val="7174F1D6"/>
    <w:rsid w:val="71817585"/>
    <w:rsid w:val="718256CD"/>
    <w:rsid w:val="718B85CD"/>
    <w:rsid w:val="71905A7D"/>
    <w:rsid w:val="71920B2B"/>
    <w:rsid w:val="71F706BF"/>
    <w:rsid w:val="71FE7A37"/>
    <w:rsid w:val="72179BB5"/>
    <w:rsid w:val="72231444"/>
    <w:rsid w:val="7243E835"/>
    <w:rsid w:val="7275D551"/>
    <w:rsid w:val="727B6D67"/>
    <w:rsid w:val="727BE976"/>
    <w:rsid w:val="729C3FDD"/>
    <w:rsid w:val="729DA273"/>
    <w:rsid w:val="72C4C3A2"/>
    <w:rsid w:val="72CC0A40"/>
    <w:rsid w:val="72CD8D00"/>
    <w:rsid w:val="72DC7D41"/>
    <w:rsid w:val="72E36BE3"/>
    <w:rsid w:val="72EF957B"/>
    <w:rsid w:val="730E2DD1"/>
    <w:rsid w:val="732C4E6E"/>
    <w:rsid w:val="732CE926"/>
    <w:rsid w:val="733F1CCA"/>
    <w:rsid w:val="735CA28D"/>
    <w:rsid w:val="7365E906"/>
    <w:rsid w:val="73811429"/>
    <w:rsid w:val="73907B08"/>
    <w:rsid w:val="73B760AF"/>
    <w:rsid w:val="73D38D3E"/>
    <w:rsid w:val="73D93E13"/>
    <w:rsid w:val="73EDC1F5"/>
    <w:rsid w:val="74609403"/>
    <w:rsid w:val="747848C5"/>
    <w:rsid w:val="7482A032"/>
    <w:rsid w:val="74BEB7EB"/>
    <w:rsid w:val="74C07613"/>
    <w:rsid w:val="74E0113D"/>
    <w:rsid w:val="74E44AF0"/>
    <w:rsid w:val="74E6DD1C"/>
    <w:rsid w:val="74FEF468"/>
    <w:rsid w:val="75085531"/>
    <w:rsid w:val="7533A6B5"/>
    <w:rsid w:val="7542E976"/>
    <w:rsid w:val="755C40DB"/>
    <w:rsid w:val="755E66D5"/>
    <w:rsid w:val="7568CCB9"/>
    <w:rsid w:val="756DEB28"/>
    <w:rsid w:val="756DF10A"/>
    <w:rsid w:val="75AEE972"/>
    <w:rsid w:val="75B34864"/>
    <w:rsid w:val="75B5AFA3"/>
    <w:rsid w:val="75C1251C"/>
    <w:rsid w:val="75D9CD04"/>
    <w:rsid w:val="75E0A1B9"/>
    <w:rsid w:val="75F9DC6A"/>
    <w:rsid w:val="75FECC44"/>
    <w:rsid w:val="7627FD48"/>
    <w:rsid w:val="762FFF81"/>
    <w:rsid w:val="7646CA97"/>
    <w:rsid w:val="764E69C7"/>
    <w:rsid w:val="76903045"/>
    <w:rsid w:val="769949B7"/>
    <w:rsid w:val="76C67A39"/>
    <w:rsid w:val="76CEB88E"/>
    <w:rsid w:val="76CFB730"/>
    <w:rsid w:val="76D157F7"/>
    <w:rsid w:val="76F2E07C"/>
    <w:rsid w:val="76FCBE7C"/>
    <w:rsid w:val="774B6F11"/>
    <w:rsid w:val="775D50A7"/>
    <w:rsid w:val="77636420"/>
    <w:rsid w:val="777621C6"/>
    <w:rsid w:val="777F6677"/>
    <w:rsid w:val="7784A8A6"/>
    <w:rsid w:val="778B7E48"/>
    <w:rsid w:val="779763D6"/>
    <w:rsid w:val="779B8EE2"/>
    <w:rsid w:val="77A49B93"/>
    <w:rsid w:val="77A6E7D8"/>
    <w:rsid w:val="77AC4953"/>
    <w:rsid w:val="77BCB871"/>
    <w:rsid w:val="77C4EFEC"/>
    <w:rsid w:val="77D5CC61"/>
    <w:rsid w:val="77D6057A"/>
    <w:rsid w:val="77DCF14D"/>
    <w:rsid w:val="77FF46AB"/>
    <w:rsid w:val="7804FE24"/>
    <w:rsid w:val="781828B6"/>
    <w:rsid w:val="783E47A4"/>
    <w:rsid w:val="78498BB5"/>
    <w:rsid w:val="785BC001"/>
    <w:rsid w:val="785FE5EC"/>
    <w:rsid w:val="7865FF88"/>
    <w:rsid w:val="78D69FFE"/>
    <w:rsid w:val="78E7D6EA"/>
    <w:rsid w:val="78F08611"/>
    <w:rsid w:val="7923BF85"/>
    <w:rsid w:val="7938EFBC"/>
    <w:rsid w:val="795BCD1C"/>
    <w:rsid w:val="7974A61C"/>
    <w:rsid w:val="799F1C59"/>
    <w:rsid w:val="79BC4DCF"/>
    <w:rsid w:val="79F381D1"/>
    <w:rsid w:val="7A00C802"/>
    <w:rsid w:val="7A00D4F8"/>
    <w:rsid w:val="7A2FAF86"/>
    <w:rsid w:val="7A385504"/>
    <w:rsid w:val="7A3EB0B0"/>
    <w:rsid w:val="7A50EE4D"/>
    <w:rsid w:val="7A5DA8AF"/>
    <w:rsid w:val="7A692E00"/>
    <w:rsid w:val="7AA57E85"/>
    <w:rsid w:val="7AB0D072"/>
    <w:rsid w:val="7B0D2879"/>
    <w:rsid w:val="7B25B90A"/>
    <w:rsid w:val="7B4834EC"/>
    <w:rsid w:val="7B4B2B72"/>
    <w:rsid w:val="7B50C7AC"/>
    <w:rsid w:val="7B5B96B4"/>
    <w:rsid w:val="7B751B11"/>
    <w:rsid w:val="7B80BB51"/>
    <w:rsid w:val="7B8A1557"/>
    <w:rsid w:val="7BA3B183"/>
    <w:rsid w:val="7BB7DFB4"/>
    <w:rsid w:val="7BBF2B81"/>
    <w:rsid w:val="7BECBF29"/>
    <w:rsid w:val="7C4B4F30"/>
    <w:rsid w:val="7C5F66A7"/>
    <w:rsid w:val="7C653CAE"/>
    <w:rsid w:val="7CA85955"/>
    <w:rsid w:val="7CBFC9C3"/>
    <w:rsid w:val="7CCB8517"/>
    <w:rsid w:val="7CDDEBF7"/>
    <w:rsid w:val="7CDEDC55"/>
    <w:rsid w:val="7D1F1BAA"/>
    <w:rsid w:val="7D23959D"/>
    <w:rsid w:val="7D258A17"/>
    <w:rsid w:val="7D38D4B5"/>
    <w:rsid w:val="7D40A641"/>
    <w:rsid w:val="7D6F37B2"/>
    <w:rsid w:val="7D92274A"/>
    <w:rsid w:val="7DB7B81B"/>
    <w:rsid w:val="7DB982A0"/>
    <w:rsid w:val="7DC3FD44"/>
    <w:rsid w:val="7DE80161"/>
    <w:rsid w:val="7E01F9D1"/>
    <w:rsid w:val="7E25AA4B"/>
    <w:rsid w:val="7E2A0D56"/>
    <w:rsid w:val="7E2B0EE0"/>
    <w:rsid w:val="7E3CF58A"/>
    <w:rsid w:val="7E676E30"/>
    <w:rsid w:val="7E71D905"/>
    <w:rsid w:val="7E7F5DD2"/>
    <w:rsid w:val="7E99E824"/>
    <w:rsid w:val="7EA384FE"/>
    <w:rsid w:val="7EA86575"/>
    <w:rsid w:val="7EC1DFE9"/>
    <w:rsid w:val="7ECBB2B3"/>
    <w:rsid w:val="7ED99D06"/>
    <w:rsid w:val="7EE31841"/>
    <w:rsid w:val="7F0065A7"/>
    <w:rsid w:val="7F2ECD46"/>
    <w:rsid w:val="7F46B05D"/>
    <w:rsid w:val="7F726BDA"/>
    <w:rsid w:val="7F804FE3"/>
    <w:rsid w:val="7F84B98D"/>
    <w:rsid w:val="7F86CD6A"/>
    <w:rsid w:val="7F89DB00"/>
    <w:rsid w:val="7FB47F7F"/>
    <w:rsid w:val="7FBC2AED"/>
    <w:rsid w:val="7FC06CBC"/>
    <w:rsid w:val="7FDAE17D"/>
    <w:rsid w:val="7FE7E3E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4B87C0D4-C71B-4A11-86AE-D15D0669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FB"/>
    <w:pPr>
      <w:spacing w:after="0" w:line="240" w:lineRule="auto"/>
    </w:p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rPr>
  </w:style>
  <w:style w:type="paragraph" w:styleId="EndnoteText">
    <w:name w:val="endnote text"/>
    <w:basedOn w:val="Normal"/>
    <w:link w:val="EndnoteTextChar"/>
    <w:uiPriority w:val="99"/>
    <w:unhideWhenUsed/>
    <w:rsid w:val="003253C6"/>
    <w:rPr>
      <w:rFonts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unhideWhenUsed/>
    <w:rsid w:val="00C722B3"/>
    <w:pPr>
      <w:spacing w:after="120" w:line="276" w:lineRule="auto"/>
    </w:pPr>
    <w:rPr>
      <w:rFonts w:cstheme="minorBidi"/>
      <w:sz w:val="22"/>
      <w:szCs w:val="22"/>
    </w:rPr>
  </w:style>
  <w:style w:type="character" w:customStyle="1" w:styleId="BodyTextChar">
    <w:name w:val="Body Text Char"/>
    <w:basedOn w:val="DefaultParagraphFont"/>
    <w:link w:val="BodyText"/>
    <w:uiPriority w:val="99"/>
    <w:rsid w:val="00C722B3"/>
  </w:style>
  <w:style w:type="paragraph" w:styleId="Footer">
    <w:name w:val="footer"/>
    <w:basedOn w:val="Normal"/>
    <w:link w:val="FooterChar"/>
    <w:uiPriority w:val="99"/>
    <w:unhideWhenUsed/>
    <w:rsid w:val="00D16565"/>
    <w:pPr>
      <w:tabs>
        <w:tab w:val="center" w:pos="4680"/>
        <w:tab w:val="right" w:pos="9360"/>
      </w:tabs>
    </w:pPr>
    <w:rPr>
      <w:rFonts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5C4580"/>
    <w:pPr>
      <w:tabs>
        <w:tab w:val="right" w:leader="dot" w:pos="9450"/>
      </w:tabs>
      <w:spacing w:after="100" w:line="276" w:lineRule="auto"/>
      <w:ind w:left="450"/>
    </w:pPr>
    <w:rPr>
      <w:rFonts w:ascii="Calibri" w:eastAsiaTheme="majorEastAsia" w:hAnsi="Calibri" w:cstheme="majorBidi"/>
      <w:noProof/>
      <w:szCs w:val="22"/>
    </w:rPr>
  </w:style>
  <w:style w:type="paragraph" w:styleId="TOC2">
    <w:name w:val="toc 2"/>
    <w:basedOn w:val="Normal"/>
    <w:next w:val="Normal"/>
    <w:autoRedefine/>
    <w:uiPriority w:val="39"/>
    <w:unhideWhenUsed/>
    <w:rsid w:val="001D23E0"/>
    <w:pPr>
      <w:tabs>
        <w:tab w:val="right" w:leader="dot" w:pos="9450"/>
      </w:tabs>
      <w:spacing w:after="100" w:line="276" w:lineRule="auto"/>
      <w:ind w:left="450"/>
    </w:pPr>
    <w:rPr>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7">
    <w:name w:val="Unresolved Mention7"/>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RBNBasicNoSpace">
    <w:name w:val="RBN Basic No Space"/>
    <w:basedOn w:val="Normal"/>
    <w:rsid w:val="00B13F08"/>
    <w:rPr>
      <w:rFonts w:eastAsia="Calibri"/>
      <w:szCs w:val="20"/>
    </w:rPr>
  </w:style>
  <w:style w:type="paragraph" w:customStyle="1" w:styleId="RB2Bullets">
    <w:name w:val="RB2 Bullets"/>
    <w:basedOn w:val="Normal"/>
    <w:rsid w:val="00B13F08"/>
    <w:pPr>
      <w:numPr>
        <w:ilvl w:val="1"/>
        <w:numId w:val="1"/>
      </w:numPr>
      <w:spacing w:after="120"/>
    </w:pPr>
    <w:rPr>
      <w:rFonts w:eastAsia="Calibri"/>
      <w:szCs w:val="20"/>
    </w:rPr>
  </w:style>
  <w:style w:type="paragraph" w:customStyle="1" w:styleId="RB3Bullets">
    <w:name w:val="RB3 Bullets"/>
    <w:basedOn w:val="Normal"/>
    <w:rsid w:val="00B13F08"/>
    <w:pPr>
      <w:numPr>
        <w:ilvl w:val="2"/>
        <w:numId w:val="1"/>
      </w:numPr>
      <w:spacing w:after="120"/>
    </w:pPr>
    <w:rPr>
      <w:rFonts w:eastAsia="Calibri"/>
      <w:szCs w:val="20"/>
    </w:rPr>
  </w:style>
  <w:style w:type="paragraph" w:customStyle="1" w:styleId="RB4Bullets">
    <w:name w:val="RB4 Bullets"/>
    <w:basedOn w:val="Normal"/>
    <w:rsid w:val="00B13F08"/>
    <w:pPr>
      <w:numPr>
        <w:ilvl w:val="3"/>
        <w:numId w:val="1"/>
      </w:numPr>
      <w:spacing w:after="120"/>
    </w:pPr>
    <w:rPr>
      <w:rFonts w:eastAsia="Calibri"/>
      <w:szCs w:val="20"/>
    </w:rPr>
  </w:style>
  <w:style w:type="paragraph" w:customStyle="1" w:styleId="RB5Bullets">
    <w:name w:val="RB5 Bullets"/>
    <w:basedOn w:val="Normal"/>
    <w:rsid w:val="00B13F08"/>
    <w:pPr>
      <w:numPr>
        <w:ilvl w:val="4"/>
        <w:numId w:val="1"/>
      </w:numPr>
      <w:spacing w:after="120"/>
    </w:pPr>
    <w:rPr>
      <w:rFonts w:eastAsia="Calibri"/>
      <w:szCs w:val="20"/>
    </w:rPr>
  </w:style>
  <w:style w:type="paragraph" w:customStyle="1" w:styleId="RB6Bullets">
    <w:name w:val="RB6 Bullets"/>
    <w:basedOn w:val="Normal"/>
    <w:rsid w:val="00B13F08"/>
    <w:pPr>
      <w:numPr>
        <w:ilvl w:val="5"/>
        <w:numId w:val="1"/>
      </w:numPr>
      <w:spacing w:after="120"/>
    </w:pPr>
    <w:rPr>
      <w:rFonts w:eastAsia="Calibri"/>
      <w:szCs w:val="20"/>
    </w:rPr>
  </w:style>
  <w:style w:type="paragraph" w:customStyle="1" w:styleId="RB7Bullets">
    <w:name w:val="RB7 Bullets"/>
    <w:basedOn w:val="Normal"/>
    <w:rsid w:val="00B13F08"/>
    <w:pPr>
      <w:numPr>
        <w:ilvl w:val="6"/>
        <w:numId w:val="1"/>
      </w:numPr>
      <w:spacing w:after="120"/>
    </w:pPr>
    <w:rPr>
      <w:rFonts w:eastAsia="Calibri"/>
      <w:szCs w:val="20"/>
    </w:rPr>
  </w:style>
  <w:style w:type="paragraph" w:customStyle="1" w:styleId="RB8Bullets">
    <w:name w:val="RB8 Bullets"/>
    <w:basedOn w:val="Normal"/>
    <w:rsid w:val="00B13F08"/>
    <w:pPr>
      <w:numPr>
        <w:ilvl w:val="7"/>
        <w:numId w:val="1"/>
      </w:numPr>
      <w:spacing w:after="120"/>
    </w:pPr>
    <w:rPr>
      <w:rFonts w:eastAsia="Calibri"/>
      <w:szCs w:val="20"/>
    </w:rPr>
  </w:style>
  <w:style w:type="paragraph" w:customStyle="1" w:styleId="RB9Bullets">
    <w:name w:val="RB9 Bullets"/>
    <w:basedOn w:val="Normal"/>
    <w:rsid w:val="00B13F08"/>
    <w:pPr>
      <w:numPr>
        <w:ilvl w:val="8"/>
        <w:numId w:val="1"/>
      </w:numPr>
      <w:spacing w:after="120"/>
    </w:pPr>
    <w:rPr>
      <w:rFonts w:eastAsia="Calibri"/>
      <w:szCs w:val="20"/>
    </w:rPr>
  </w:style>
  <w:style w:type="paragraph" w:customStyle="1" w:styleId="RBUBullets">
    <w:name w:val="RBU Bullets"/>
    <w:basedOn w:val="Normal"/>
    <w:link w:val="RBUBulletsChar"/>
    <w:rsid w:val="00B13F08"/>
    <w:pPr>
      <w:numPr>
        <w:numId w:val="1"/>
      </w:numPr>
      <w:spacing w:after="120"/>
      <w:ind w:left="720"/>
      <w:jc w:val="both"/>
    </w:pPr>
    <w:rPr>
      <w:rFonts w:eastAsia="Calibri"/>
      <w:szCs w:val="20"/>
    </w:rPr>
  </w:style>
  <w:style w:type="character" w:customStyle="1" w:styleId="RBUBulletsChar">
    <w:name w:val="RBU Bullets Char"/>
    <w:basedOn w:val="DefaultParagraphFont"/>
    <w:link w:val="RBUBullets"/>
    <w:rsid w:val="00B13F08"/>
    <w:rPr>
      <w:rFonts w:eastAsia="Calibri"/>
      <w:szCs w:val="20"/>
    </w:rPr>
  </w:style>
  <w:style w:type="paragraph" w:customStyle="1" w:styleId="RNNum">
    <w:name w:val="RN Num"/>
    <w:basedOn w:val="Normal"/>
    <w:link w:val="RNNumChar"/>
    <w:rsid w:val="007B1DAB"/>
    <w:pPr>
      <w:numPr>
        <w:numId w:val="2"/>
      </w:numPr>
      <w:spacing w:after="240"/>
    </w:pPr>
    <w:rPr>
      <w:rFonts w:eastAsia="Calibri"/>
      <w:szCs w:val="20"/>
    </w:rPr>
  </w:style>
  <w:style w:type="character" w:customStyle="1" w:styleId="RNNumChar">
    <w:name w:val="RN Num Char"/>
    <w:link w:val="RNNum"/>
    <w:rsid w:val="007B1DAB"/>
    <w:rPr>
      <w:rFonts w:eastAsia="Calibri"/>
      <w:szCs w:val="20"/>
    </w:rPr>
  </w:style>
  <w:style w:type="paragraph" w:customStyle="1" w:styleId="RN2Num">
    <w:name w:val="RN2 Num"/>
    <w:basedOn w:val="Normal"/>
    <w:rsid w:val="007B1DAB"/>
    <w:pPr>
      <w:numPr>
        <w:ilvl w:val="1"/>
        <w:numId w:val="2"/>
      </w:numPr>
      <w:spacing w:after="240"/>
    </w:pPr>
    <w:rPr>
      <w:rFonts w:eastAsia="Calibri"/>
      <w:szCs w:val="20"/>
    </w:rPr>
  </w:style>
  <w:style w:type="paragraph" w:customStyle="1" w:styleId="RN3Num">
    <w:name w:val="RN3 Num"/>
    <w:basedOn w:val="Normal"/>
    <w:rsid w:val="007B1DAB"/>
    <w:pPr>
      <w:numPr>
        <w:ilvl w:val="2"/>
        <w:numId w:val="2"/>
      </w:numPr>
      <w:spacing w:after="240"/>
    </w:pPr>
    <w:rPr>
      <w:rFonts w:eastAsia="Calibri"/>
      <w:szCs w:val="20"/>
    </w:rPr>
  </w:style>
  <w:style w:type="paragraph" w:customStyle="1" w:styleId="RN4Num">
    <w:name w:val="RN4 Num"/>
    <w:basedOn w:val="Normal"/>
    <w:rsid w:val="007B1DAB"/>
    <w:pPr>
      <w:numPr>
        <w:ilvl w:val="3"/>
        <w:numId w:val="2"/>
      </w:numPr>
    </w:pPr>
    <w:rPr>
      <w:rFonts w:eastAsia="Calibri"/>
      <w:szCs w:val="20"/>
    </w:rPr>
  </w:style>
  <w:style w:type="paragraph" w:customStyle="1" w:styleId="RN5Num">
    <w:name w:val="RN5 Num"/>
    <w:basedOn w:val="Normal"/>
    <w:rsid w:val="007B1DAB"/>
    <w:pPr>
      <w:numPr>
        <w:ilvl w:val="4"/>
        <w:numId w:val="2"/>
      </w:numPr>
      <w:spacing w:after="240"/>
    </w:pPr>
    <w:rPr>
      <w:rFonts w:eastAsia="Calibri"/>
      <w:szCs w:val="20"/>
    </w:rPr>
  </w:style>
  <w:style w:type="paragraph" w:customStyle="1" w:styleId="RN6Num">
    <w:name w:val="RN6 Num"/>
    <w:basedOn w:val="Normal"/>
    <w:rsid w:val="007B1DAB"/>
    <w:pPr>
      <w:numPr>
        <w:ilvl w:val="5"/>
        <w:numId w:val="2"/>
      </w:numPr>
      <w:spacing w:after="240"/>
    </w:pPr>
    <w:rPr>
      <w:rFonts w:eastAsia="Calibri"/>
      <w:szCs w:val="20"/>
    </w:rPr>
  </w:style>
  <w:style w:type="paragraph" w:customStyle="1" w:styleId="RN7Num">
    <w:name w:val="RN7 Num"/>
    <w:basedOn w:val="Normal"/>
    <w:rsid w:val="007B1DAB"/>
    <w:pPr>
      <w:numPr>
        <w:ilvl w:val="6"/>
        <w:numId w:val="2"/>
      </w:numPr>
      <w:spacing w:after="240"/>
    </w:pPr>
    <w:rPr>
      <w:rFonts w:eastAsia="Calibri"/>
      <w:szCs w:val="20"/>
    </w:rPr>
  </w:style>
  <w:style w:type="paragraph" w:customStyle="1" w:styleId="RN8Num">
    <w:name w:val="RN8 Num"/>
    <w:basedOn w:val="Normal"/>
    <w:rsid w:val="007B1DAB"/>
    <w:pPr>
      <w:numPr>
        <w:ilvl w:val="7"/>
        <w:numId w:val="2"/>
      </w:numPr>
      <w:spacing w:after="240"/>
    </w:pPr>
    <w:rPr>
      <w:rFonts w:eastAsia="Calibri"/>
      <w:szCs w:val="20"/>
    </w:rPr>
  </w:style>
  <w:style w:type="paragraph" w:customStyle="1" w:styleId="RN9Num">
    <w:name w:val="RN9 Num"/>
    <w:basedOn w:val="Normal"/>
    <w:rsid w:val="007B1DAB"/>
    <w:pPr>
      <w:numPr>
        <w:ilvl w:val="8"/>
        <w:numId w:val="2"/>
      </w:numPr>
      <w:spacing w:after="240"/>
    </w:pPr>
    <w:rPr>
      <w:rFonts w:eastAsia="Calibri"/>
      <w:szCs w:val="20"/>
    </w:rPr>
  </w:style>
  <w:style w:type="character" w:styleId="UnresolvedMention">
    <w:name w:val="Unresolved Mention"/>
    <w:basedOn w:val="DefaultParagraphFont"/>
    <w:uiPriority w:val="99"/>
    <w:semiHidden/>
    <w:unhideWhenUsed/>
    <w:rsid w:val="008C0869"/>
    <w:rPr>
      <w:color w:val="605E5C"/>
      <w:shd w:val="clear" w:color="auto" w:fill="E1DFDD"/>
    </w:rPr>
  </w:style>
  <w:style w:type="character" w:styleId="Emphasis">
    <w:name w:val="Emphasis"/>
    <w:basedOn w:val="DefaultParagraphFont"/>
    <w:uiPriority w:val="20"/>
    <w:qFormat/>
    <w:rsid w:val="006B02BE"/>
    <w:rPr>
      <w:i/>
      <w:iCs/>
    </w:rPr>
  </w:style>
  <w:style w:type="paragraph" w:styleId="TOC3">
    <w:name w:val="toc 3"/>
    <w:basedOn w:val="Normal"/>
    <w:next w:val="Normal"/>
    <w:autoRedefine/>
    <w:uiPriority w:val="39"/>
    <w:unhideWhenUsed/>
    <w:rsid w:val="007D1CA1"/>
    <w:pPr>
      <w:spacing w:after="100" w:line="259" w:lineRule="auto"/>
      <w:ind w:left="440"/>
    </w:pPr>
    <w:rPr>
      <w:rFonts w:eastAsiaTheme="minorEastAsia"/>
      <w:sz w:val="22"/>
      <w:szCs w:val="22"/>
    </w:rPr>
  </w:style>
  <w:style w:type="paragraph" w:customStyle="1" w:styleId="FootnoteText1">
    <w:name w:val="Footnote Text1"/>
    <w:basedOn w:val="Normal"/>
    <w:next w:val="FootnoteText"/>
    <w:uiPriority w:val="99"/>
    <w:unhideWhenUsed/>
    <w:rsid w:val="00C22A7C"/>
    <w:rPr>
      <w:rFonts w:ascii="Calibri" w:eastAsia="Calibri" w:hAnsi="Calibri"/>
      <w:sz w:val="20"/>
      <w:szCs w:val="20"/>
    </w:rPr>
  </w:style>
  <w:style w:type="character" w:customStyle="1" w:styleId="Hyperlink1">
    <w:name w:val="Hyperlink1"/>
    <w:basedOn w:val="DefaultParagraphFont"/>
    <w:uiPriority w:val="99"/>
    <w:unhideWhenUsed/>
    <w:rsid w:val="00550940"/>
    <w:rPr>
      <w:color w:val="0563C1"/>
      <w:u w:val="single"/>
    </w:rPr>
  </w:style>
  <w:style w:type="paragraph" w:customStyle="1" w:styleId="paragraph">
    <w:name w:val="paragraph"/>
    <w:basedOn w:val="Normal"/>
    <w:rsid w:val="00FF3353"/>
    <w:pPr>
      <w:spacing w:before="100" w:beforeAutospacing="1" w:after="100" w:afterAutospacing="1"/>
    </w:pPr>
  </w:style>
  <w:style w:type="character" w:customStyle="1" w:styleId="normaltextrun">
    <w:name w:val="normaltextrun"/>
    <w:basedOn w:val="DefaultParagraphFont"/>
    <w:rsid w:val="00FF3353"/>
  </w:style>
  <w:style w:type="character" w:customStyle="1" w:styleId="eop">
    <w:name w:val="eop"/>
    <w:basedOn w:val="DefaultParagraphFont"/>
    <w:rsid w:val="00FF3353"/>
  </w:style>
  <w:style w:type="character" w:customStyle="1" w:styleId="contextualspellingandgrammarerror">
    <w:name w:val="contextualspellingandgrammarerror"/>
    <w:basedOn w:val="DefaultParagraphFont"/>
    <w:rsid w:val="00FF3353"/>
  </w:style>
  <w:style w:type="character" w:customStyle="1" w:styleId="FootnoteTextChar1">
    <w:name w:val="Footnote Text Char1"/>
    <w:basedOn w:val="DefaultParagraphFont"/>
    <w:uiPriority w:val="99"/>
    <w:semiHidden/>
    <w:rsid w:val="00D523F2"/>
    <w:rPr>
      <w:sz w:val="20"/>
      <w:szCs w:val="20"/>
    </w:rPr>
  </w:style>
  <w:style w:type="paragraph" w:customStyle="1" w:styleId="EndnoteText1">
    <w:name w:val="Endnote Text1"/>
    <w:basedOn w:val="Normal"/>
    <w:next w:val="EndnoteText"/>
    <w:uiPriority w:val="99"/>
    <w:unhideWhenUsed/>
    <w:rsid w:val="00D523F2"/>
    <w:rPr>
      <w:rFonts w:ascii="Calibri" w:eastAsia="Calibri" w:hAnsi="Calibri"/>
      <w:sz w:val="20"/>
      <w:szCs w:val="20"/>
    </w:rPr>
  </w:style>
  <w:style w:type="paragraph" w:customStyle="1" w:styleId="TableParagraph">
    <w:name w:val="Table Paragraph"/>
    <w:basedOn w:val="Normal"/>
    <w:uiPriority w:val="1"/>
    <w:qFormat/>
    <w:rsid w:val="00E720F4"/>
    <w:pPr>
      <w:widowControl w:val="0"/>
      <w:autoSpaceDE w:val="0"/>
      <w:autoSpaceDN w:val="0"/>
      <w:spacing w:line="205" w:lineRule="exact"/>
      <w:ind w:left="107"/>
    </w:pPr>
    <w:rPr>
      <w:rFonts w:ascii="Garamond" w:eastAsia="Garamond" w:hAnsi="Garamond" w:cs="Garamond"/>
      <w:sz w:val="22"/>
      <w:szCs w:val="22"/>
    </w:rPr>
  </w:style>
  <w:style w:type="character" w:customStyle="1" w:styleId="footnotedescriptionChar">
    <w:name w:val="footnote description Char"/>
    <w:link w:val="footnotedescription"/>
    <w:locked/>
    <w:rsid w:val="00940CC4"/>
    <w:rPr>
      <w:rFonts w:ascii="Calibri" w:eastAsia="Calibri" w:hAnsi="Calibri" w:cs="Calibri"/>
      <w:color w:val="000000"/>
      <w:sz w:val="20"/>
    </w:rPr>
  </w:style>
  <w:style w:type="paragraph" w:customStyle="1" w:styleId="footnotedescription">
    <w:name w:val="footnote description"/>
    <w:next w:val="Normal"/>
    <w:link w:val="footnotedescriptionChar"/>
    <w:rsid w:val="00940CC4"/>
    <w:pPr>
      <w:spacing w:after="0" w:line="256" w:lineRule="auto"/>
    </w:pPr>
    <w:rPr>
      <w:rFonts w:ascii="Calibri" w:eastAsia="Calibri" w:hAnsi="Calibri" w:cs="Calibri"/>
      <w:color w:val="000000"/>
      <w:sz w:val="20"/>
    </w:rPr>
  </w:style>
  <w:style w:type="character" w:customStyle="1" w:styleId="footnotemark">
    <w:name w:val="footnote mark"/>
    <w:rsid w:val="00940CC4"/>
    <w:rPr>
      <w:rFonts w:ascii="Calibri" w:eastAsia="Calibri" w:hAnsi="Calibri" w:cs="Calibri" w:hint="default"/>
      <w:color w:val="000000"/>
      <w:sz w:val="20"/>
      <w:vertAlign w:val="superscript"/>
    </w:rPr>
  </w:style>
  <w:style w:type="table" w:customStyle="1" w:styleId="TableGrid11">
    <w:name w:val="Table Grid11"/>
    <w:basedOn w:val="TableNormal"/>
    <w:next w:val="TableGrid"/>
    <w:uiPriority w:val="39"/>
    <w:rsid w:val="00C43448"/>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00D91ED4"/>
    <w:rPr>
      <w:rFonts w:ascii="Times New Roman" w:hAnsi="Times New Roman" w:cs="Times New Roman"/>
    </w:rPr>
  </w:style>
  <w:style w:type="table" w:styleId="ListTable1Light-Accent1">
    <w:name w:val="List Table 1 Light Accent 1"/>
    <w:basedOn w:val="TableNormal"/>
    <w:uiPriority w:val="46"/>
    <w:rsid w:val="005F7BE7"/>
    <w:pPr>
      <w:spacing w:after="0" w:line="240" w:lineRule="auto"/>
    </w:pPr>
    <w:rPr>
      <w:rFonts w:cstheme="minorBidi"/>
      <w:sz w:val="22"/>
      <w:szCs w:val="22"/>
    </w:rPr>
    <w:tblPr>
      <w:tblStyleRowBandSize w:val="1"/>
      <w:tblStyleColBandSize w:val="1"/>
    </w:tblPr>
    <w:tblStylePr w:type="firstRow">
      <w:rPr>
        <w:b/>
        <w:bCs/>
      </w:rPr>
      <w:tblPr/>
      <w:tcPr>
        <w:tcBorders>
          <w:bottom w:val="single" w:sz="4" w:space="0" w:color="9FACD2" w:themeColor="accent1" w:themeTint="99"/>
        </w:tcBorders>
      </w:tcPr>
    </w:tblStylePr>
    <w:tblStylePr w:type="lastRow">
      <w:rPr>
        <w:b/>
        <w:bCs/>
      </w:rPr>
      <w:tblPr/>
      <w:tcPr>
        <w:tcBorders>
          <w:top w:val="single" w:sz="4" w:space="0" w:color="9FACD2" w:themeColor="accent1" w:themeTint="99"/>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character" w:customStyle="1" w:styleId="cf01">
    <w:name w:val="cf01"/>
    <w:basedOn w:val="DefaultParagraphFont"/>
    <w:rsid w:val="00ED5578"/>
    <w:rPr>
      <w:rFonts w:ascii="Segoe UI" w:hAnsi="Segoe UI" w:cs="Segoe UI" w:hint="default"/>
      <w:sz w:val="18"/>
      <w:szCs w:val="18"/>
    </w:rPr>
  </w:style>
  <w:style w:type="paragraph" w:customStyle="1" w:styleId="pf0">
    <w:name w:val="pf0"/>
    <w:basedOn w:val="Normal"/>
    <w:rsid w:val="00ED557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25371113">
      <w:bodyDiv w:val="1"/>
      <w:marLeft w:val="0"/>
      <w:marRight w:val="0"/>
      <w:marTop w:val="0"/>
      <w:marBottom w:val="0"/>
      <w:divBdr>
        <w:top w:val="none" w:sz="0" w:space="0" w:color="auto"/>
        <w:left w:val="none" w:sz="0" w:space="0" w:color="auto"/>
        <w:bottom w:val="none" w:sz="0" w:space="0" w:color="auto"/>
        <w:right w:val="none" w:sz="0" w:space="0" w:color="auto"/>
      </w:divBdr>
    </w:div>
    <w:div w:id="25714785">
      <w:bodyDiv w:val="1"/>
      <w:marLeft w:val="0"/>
      <w:marRight w:val="0"/>
      <w:marTop w:val="0"/>
      <w:marBottom w:val="0"/>
      <w:divBdr>
        <w:top w:val="none" w:sz="0" w:space="0" w:color="auto"/>
        <w:left w:val="none" w:sz="0" w:space="0" w:color="auto"/>
        <w:bottom w:val="none" w:sz="0" w:space="0" w:color="auto"/>
        <w:right w:val="none" w:sz="0" w:space="0" w:color="auto"/>
      </w:divBdr>
    </w:div>
    <w:div w:id="31225591">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78793499">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06392640">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19492088">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72186174">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3358698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6470911">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6680667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12052856">
      <w:bodyDiv w:val="1"/>
      <w:marLeft w:val="0"/>
      <w:marRight w:val="0"/>
      <w:marTop w:val="0"/>
      <w:marBottom w:val="0"/>
      <w:divBdr>
        <w:top w:val="none" w:sz="0" w:space="0" w:color="auto"/>
        <w:left w:val="none" w:sz="0" w:space="0" w:color="auto"/>
        <w:bottom w:val="none" w:sz="0" w:space="0" w:color="auto"/>
        <w:right w:val="none" w:sz="0" w:space="0" w:color="auto"/>
      </w:divBdr>
    </w:div>
    <w:div w:id="425149653">
      <w:bodyDiv w:val="1"/>
      <w:marLeft w:val="0"/>
      <w:marRight w:val="0"/>
      <w:marTop w:val="0"/>
      <w:marBottom w:val="0"/>
      <w:divBdr>
        <w:top w:val="none" w:sz="0" w:space="0" w:color="auto"/>
        <w:left w:val="none" w:sz="0" w:space="0" w:color="auto"/>
        <w:bottom w:val="none" w:sz="0" w:space="0" w:color="auto"/>
        <w:right w:val="none" w:sz="0" w:space="0" w:color="auto"/>
      </w:divBdr>
    </w:div>
    <w:div w:id="449477880">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4012355">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491993489">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0699099">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3501731">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007344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3314480">
      <w:bodyDiv w:val="1"/>
      <w:marLeft w:val="0"/>
      <w:marRight w:val="0"/>
      <w:marTop w:val="0"/>
      <w:marBottom w:val="0"/>
      <w:divBdr>
        <w:top w:val="none" w:sz="0" w:space="0" w:color="auto"/>
        <w:left w:val="none" w:sz="0" w:space="0" w:color="auto"/>
        <w:bottom w:val="none" w:sz="0" w:space="0" w:color="auto"/>
        <w:right w:val="none" w:sz="0" w:space="0" w:color="auto"/>
      </w:divBdr>
    </w:div>
    <w:div w:id="626012050">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695036922">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37631912">
      <w:bodyDiv w:val="1"/>
      <w:marLeft w:val="0"/>
      <w:marRight w:val="0"/>
      <w:marTop w:val="0"/>
      <w:marBottom w:val="0"/>
      <w:divBdr>
        <w:top w:val="none" w:sz="0" w:space="0" w:color="auto"/>
        <w:left w:val="none" w:sz="0" w:space="0" w:color="auto"/>
        <w:bottom w:val="none" w:sz="0" w:space="0" w:color="auto"/>
        <w:right w:val="none" w:sz="0" w:space="0" w:color="auto"/>
      </w:divBdr>
    </w:div>
    <w:div w:id="744688625">
      <w:bodyDiv w:val="1"/>
      <w:marLeft w:val="0"/>
      <w:marRight w:val="0"/>
      <w:marTop w:val="0"/>
      <w:marBottom w:val="0"/>
      <w:divBdr>
        <w:top w:val="none" w:sz="0" w:space="0" w:color="auto"/>
        <w:left w:val="none" w:sz="0" w:space="0" w:color="auto"/>
        <w:bottom w:val="none" w:sz="0" w:space="0" w:color="auto"/>
        <w:right w:val="none" w:sz="0" w:space="0" w:color="auto"/>
      </w:divBdr>
    </w:div>
    <w:div w:id="756248785">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786585978">
      <w:bodyDiv w:val="1"/>
      <w:marLeft w:val="0"/>
      <w:marRight w:val="0"/>
      <w:marTop w:val="0"/>
      <w:marBottom w:val="0"/>
      <w:divBdr>
        <w:top w:val="none" w:sz="0" w:space="0" w:color="auto"/>
        <w:left w:val="none" w:sz="0" w:space="0" w:color="auto"/>
        <w:bottom w:val="none" w:sz="0" w:space="0" w:color="auto"/>
        <w:right w:val="none" w:sz="0" w:space="0" w:color="auto"/>
      </w:divBdr>
    </w:div>
    <w:div w:id="794376002">
      <w:bodyDiv w:val="1"/>
      <w:marLeft w:val="0"/>
      <w:marRight w:val="0"/>
      <w:marTop w:val="0"/>
      <w:marBottom w:val="0"/>
      <w:divBdr>
        <w:top w:val="none" w:sz="0" w:space="0" w:color="auto"/>
        <w:left w:val="none" w:sz="0" w:space="0" w:color="auto"/>
        <w:bottom w:val="none" w:sz="0" w:space="0" w:color="auto"/>
        <w:right w:val="none" w:sz="0" w:space="0" w:color="auto"/>
      </w:divBdr>
      <w:divsChild>
        <w:div w:id="7606022">
          <w:marLeft w:val="0"/>
          <w:marRight w:val="0"/>
          <w:marTop w:val="0"/>
          <w:marBottom w:val="0"/>
          <w:divBdr>
            <w:top w:val="none" w:sz="0" w:space="0" w:color="auto"/>
            <w:left w:val="none" w:sz="0" w:space="0" w:color="auto"/>
            <w:bottom w:val="none" w:sz="0" w:space="0" w:color="auto"/>
            <w:right w:val="none" w:sz="0" w:space="0" w:color="auto"/>
          </w:divBdr>
          <w:divsChild>
            <w:div w:id="783156968">
              <w:marLeft w:val="0"/>
              <w:marRight w:val="0"/>
              <w:marTop w:val="0"/>
              <w:marBottom w:val="0"/>
              <w:divBdr>
                <w:top w:val="none" w:sz="0" w:space="0" w:color="auto"/>
                <w:left w:val="none" w:sz="0" w:space="0" w:color="auto"/>
                <w:bottom w:val="none" w:sz="0" w:space="0" w:color="auto"/>
                <w:right w:val="none" w:sz="0" w:space="0" w:color="auto"/>
              </w:divBdr>
            </w:div>
          </w:divsChild>
        </w:div>
        <w:div w:id="123735315">
          <w:marLeft w:val="0"/>
          <w:marRight w:val="0"/>
          <w:marTop w:val="0"/>
          <w:marBottom w:val="0"/>
          <w:divBdr>
            <w:top w:val="none" w:sz="0" w:space="0" w:color="auto"/>
            <w:left w:val="none" w:sz="0" w:space="0" w:color="auto"/>
            <w:bottom w:val="none" w:sz="0" w:space="0" w:color="auto"/>
            <w:right w:val="none" w:sz="0" w:space="0" w:color="auto"/>
          </w:divBdr>
          <w:divsChild>
            <w:div w:id="241718315">
              <w:marLeft w:val="0"/>
              <w:marRight w:val="0"/>
              <w:marTop w:val="0"/>
              <w:marBottom w:val="0"/>
              <w:divBdr>
                <w:top w:val="none" w:sz="0" w:space="0" w:color="auto"/>
                <w:left w:val="none" w:sz="0" w:space="0" w:color="auto"/>
                <w:bottom w:val="none" w:sz="0" w:space="0" w:color="auto"/>
                <w:right w:val="none" w:sz="0" w:space="0" w:color="auto"/>
              </w:divBdr>
            </w:div>
          </w:divsChild>
        </w:div>
        <w:div w:id="135151726">
          <w:marLeft w:val="0"/>
          <w:marRight w:val="0"/>
          <w:marTop w:val="0"/>
          <w:marBottom w:val="0"/>
          <w:divBdr>
            <w:top w:val="none" w:sz="0" w:space="0" w:color="auto"/>
            <w:left w:val="none" w:sz="0" w:space="0" w:color="auto"/>
            <w:bottom w:val="none" w:sz="0" w:space="0" w:color="auto"/>
            <w:right w:val="none" w:sz="0" w:space="0" w:color="auto"/>
          </w:divBdr>
          <w:divsChild>
            <w:div w:id="692458671">
              <w:marLeft w:val="0"/>
              <w:marRight w:val="0"/>
              <w:marTop w:val="0"/>
              <w:marBottom w:val="0"/>
              <w:divBdr>
                <w:top w:val="none" w:sz="0" w:space="0" w:color="auto"/>
                <w:left w:val="none" w:sz="0" w:space="0" w:color="auto"/>
                <w:bottom w:val="none" w:sz="0" w:space="0" w:color="auto"/>
                <w:right w:val="none" w:sz="0" w:space="0" w:color="auto"/>
              </w:divBdr>
            </w:div>
          </w:divsChild>
        </w:div>
        <w:div w:id="140780798">
          <w:marLeft w:val="0"/>
          <w:marRight w:val="0"/>
          <w:marTop w:val="0"/>
          <w:marBottom w:val="0"/>
          <w:divBdr>
            <w:top w:val="none" w:sz="0" w:space="0" w:color="auto"/>
            <w:left w:val="none" w:sz="0" w:space="0" w:color="auto"/>
            <w:bottom w:val="none" w:sz="0" w:space="0" w:color="auto"/>
            <w:right w:val="none" w:sz="0" w:space="0" w:color="auto"/>
          </w:divBdr>
          <w:divsChild>
            <w:div w:id="1638073608">
              <w:marLeft w:val="0"/>
              <w:marRight w:val="0"/>
              <w:marTop w:val="0"/>
              <w:marBottom w:val="0"/>
              <w:divBdr>
                <w:top w:val="none" w:sz="0" w:space="0" w:color="auto"/>
                <w:left w:val="none" w:sz="0" w:space="0" w:color="auto"/>
                <w:bottom w:val="none" w:sz="0" w:space="0" w:color="auto"/>
                <w:right w:val="none" w:sz="0" w:space="0" w:color="auto"/>
              </w:divBdr>
            </w:div>
          </w:divsChild>
        </w:div>
        <w:div w:id="256911146">
          <w:marLeft w:val="0"/>
          <w:marRight w:val="0"/>
          <w:marTop w:val="0"/>
          <w:marBottom w:val="0"/>
          <w:divBdr>
            <w:top w:val="none" w:sz="0" w:space="0" w:color="auto"/>
            <w:left w:val="none" w:sz="0" w:space="0" w:color="auto"/>
            <w:bottom w:val="none" w:sz="0" w:space="0" w:color="auto"/>
            <w:right w:val="none" w:sz="0" w:space="0" w:color="auto"/>
          </w:divBdr>
          <w:divsChild>
            <w:div w:id="1145438542">
              <w:marLeft w:val="0"/>
              <w:marRight w:val="0"/>
              <w:marTop w:val="0"/>
              <w:marBottom w:val="0"/>
              <w:divBdr>
                <w:top w:val="none" w:sz="0" w:space="0" w:color="auto"/>
                <w:left w:val="none" w:sz="0" w:space="0" w:color="auto"/>
                <w:bottom w:val="none" w:sz="0" w:space="0" w:color="auto"/>
                <w:right w:val="none" w:sz="0" w:space="0" w:color="auto"/>
              </w:divBdr>
            </w:div>
          </w:divsChild>
        </w:div>
        <w:div w:id="354383628">
          <w:marLeft w:val="0"/>
          <w:marRight w:val="0"/>
          <w:marTop w:val="0"/>
          <w:marBottom w:val="0"/>
          <w:divBdr>
            <w:top w:val="none" w:sz="0" w:space="0" w:color="auto"/>
            <w:left w:val="none" w:sz="0" w:space="0" w:color="auto"/>
            <w:bottom w:val="none" w:sz="0" w:space="0" w:color="auto"/>
            <w:right w:val="none" w:sz="0" w:space="0" w:color="auto"/>
          </w:divBdr>
          <w:divsChild>
            <w:div w:id="1642806997">
              <w:marLeft w:val="0"/>
              <w:marRight w:val="0"/>
              <w:marTop w:val="0"/>
              <w:marBottom w:val="0"/>
              <w:divBdr>
                <w:top w:val="none" w:sz="0" w:space="0" w:color="auto"/>
                <w:left w:val="none" w:sz="0" w:space="0" w:color="auto"/>
                <w:bottom w:val="none" w:sz="0" w:space="0" w:color="auto"/>
                <w:right w:val="none" w:sz="0" w:space="0" w:color="auto"/>
              </w:divBdr>
            </w:div>
          </w:divsChild>
        </w:div>
        <w:div w:id="489565239">
          <w:marLeft w:val="0"/>
          <w:marRight w:val="0"/>
          <w:marTop w:val="0"/>
          <w:marBottom w:val="0"/>
          <w:divBdr>
            <w:top w:val="none" w:sz="0" w:space="0" w:color="auto"/>
            <w:left w:val="none" w:sz="0" w:space="0" w:color="auto"/>
            <w:bottom w:val="none" w:sz="0" w:space="0" w:color="auto"/>
            <w:right w:val="none" w:sz="0" w:space="0" w:color="auto"/>
          </w:divBdr>
          <w:divsChild>
            <w:div w:id="1579708258">
              <w:marLeft w:val="0"/>
              <w:marRight w:val="0"/>
              <w:marTop w:val="0"/>
              <w:marBottom w:val="0"/>
              <w:divBdr>
                <w:top w:val="none" w:sz="0" w:space="0" w:color="auto"/>
                <w:left w:val="none" w:sz="0" w:space="0" w:color="auto"/>
                <w:bottom w:val="none" w:sz="0" w:space="0" w:color="auto"/>
                <w:right w:val="none" w:sz="0" w:space="0" w:color="auto"/>
              </w:divBdr>
            </w:div>
          </w:divsChild>
        </w:div>
        <w:div w:id="570508288">
          <w:marLeft w:val="0"/>
          <w:marRight w:val="0"/>
          <w:marTop w:val="0"/>
          <w:marBottom w:val="0"/>
          <w:divBdr>
            <w:top w:val="none" w:sz="0" w:space="0" w:color="auto"/>
            <w:left w:val="none" w:sz="0" w:space="0" w:color="auto"/>
            <w:bottom w:val="none" w:sz="0" w:space="0" w:color="auto"/>
            <w:right w:val="none" w:sz="0" w:space="0" w:color="auto"/>
          </w:divBdr>
          <w:divsChild>
            <w:div w:id="1680503717">
              <w:marLeft w:val="0"/>
              <w:marRight w:val="0"/>
              <w:marTop w:val="0"/>
              <w:marBottom w:val="0"/>
              <w:divBdr>
                <w:top w:val="none" w:sz="0" w:space="0" w:color="auto"/>
                <w:left w:val="none" w:sz="0" w:space="0" w:color="auto"/>
                <w:bottom w:val="none" w:sz="0" w:space="0" w:color="auto"/>
                <w:right w:val="none" w:sz="0" w:space="0" w:color="auto"/>
              </w:divBdr>
            </w:div>
          </w:divsChild>
        </w:div>
        <w:div w:id="599604724">
          <w:marLeft w:val="0"/>
          <w:marRight w:val="0"/>
          <w:marTop w:val="0"/>
          <w:marBottom w:val="0"/>
          <w:divBdr>
            <w:top w:val="none" w:sz="0" w:space="0" w:color="auto"/>
            <w:left w:val="none" w:sz="0" w:space="0" w:color="auto"/>
            <w:bottom w:val="none" w:sz="0" w:space="0" w:color="auto"/>
            <w:right w:val="none" w:sz="0" w:space="0" w:color="auto"/>
          </w:divBdr>
          <w:divsChild>
            <w:div w:id="697049958">
              <w:marLeft w:val="0"/>
              <w:marRight w:val="0"/>
              <w:marTop w:val="0"/>
              <w:marBottom w:val="0"/>
              <w:divBdr>
                <w:top w:val="none" w:sz="0" w:space="0" w:color="auto"/>
                <w:left w:val="none" w:sz="0" w:space="0" w:color="auto"/>
                <w:bottom w:val="none" w:sz="0" w:space="0" w:color="auto"/>
                <w:right w:val="none" w:sz="0" w:space="0" w:color="auto"/>
              </w:divBdr>
            </w:div>
          </w:divsChild>
        </w:div>
        <w:div w:id="688484299">
          <w:marLeft w:val="0"/>
          <w:marRight w:val="0"/>
          <w:marTop w:val="0"/>
          <w:marBottom w:val="0"/>
          <w:divBdr>
            <w:top w:val="none" w:sz="0" w:space="0" w:color="auto"/>
            <w:left w:val="none" w:sz="0" w:space="0" w:color="auto"/>
            <w:bottom w:val="none" w:sz="0" w:space="0" w:color="auto"/>
            <w:right w:val="none" w:sz="0" w:space="0" w:color="auto"/>
          </w:divBdr>
          <w:divsChild>
            <w:div w:id="722218822">
              <w:marLeft w:val="0"/>
              <w:marRight w:val="0"/>
              <w:marTop w:val="0"/>
              <w:marBottom w:val="0"/>
              <w:divBdr>
                <w:top w:val="none" w:sz="0" w:space="0" w:color="auto"/>
                <w:left w:val="none" w:sz="0" w:space="0" w:color="auto"/>
                <w:bottom w:val="none" w:sz="0" w:space="0" w:color="auto"/>
                <w:right w:val="none" w:sz="0" w:space="0" w:color="auto"/>
              </w:divBdr>
            </w:div>
          </w:divsChild>
        </w:div>
        <w:div w:id="706806017">
          <w:marLeft w:val="0"/>
          <w:marRight w:val="0"/>
          <w:marTop w:val="0"/>
          <w:marBottom w:val="0"/>
          <w:divBdr>
            <w:top w:val="none" w:sz="0" w:space="0" w:color="auto"/>
            <w:left w:val="none" w:sz="0" w:space="0" w:color="auto"/>
            <w:bottom w:val="none" w:sz="0" w:space="0" w:color="auto"/>
            <w:right w:val="none" w:sz="0" w:space="0" w:color="auto"/>
          </w:divBdr>
          <w:divsChild>
            <w:div w:id="283386430">
              <w:marLeft w:val="0"/>
              <w:marRight w:val="0"/>
              <w:marTop w:val="0"/>
              <w:marBottom w:val="0"/>
              <w:divBdr>
                <w:top w:val="none" w:sz="0" w:space="0" w:color="auto"/>
                <w:left w:val="none" w:sz="0" w:space="0" w:color="auto"/>
                <w:bottom w:val="none" w:sz="0" w:space="0" w:color="auto"/>
                <w:right w:val="none" w:sz="0" w:space="0" w:color="auto"/>
              </w:divBdr>
            </w:div>
          </w:divsChild>
        </w:div>
        <w:div w:id="729153705">
          <w:marLeft w:val="0"/>
          <w:marRight w:val="0"/>
          <w:marTop w:val="0"/>
          <w:marBottom w:val="0"/>
          <w:divBdr>
            <w:top w:val="none" w:sz="0" w:space="0" w:color="auto"/>
            <w:left w:val="none" w:sz="0" w:space="0" w:color="auto"/>
            <w:bottom w:val="none" w:sz="0" w:space="0" w:color="auto"/>
            <w:right w:val="none" w:sz="0" w:space="0" w:color="auto"/>
          </w:divBdr>
          <w:divsChild>
            <w:div w:id="1585188362">
              <w:marLeft w:val="0"/>
              <w:marRight w:val="0"/>
              <w:marTop w:val="0"/>
              <w:marBottom w:val="0"/>
              <w:divBdr>
                <w:top w:val="none" w:sz="0" w:space="0" w:color="auto"/>
                <w:left w:val="none" w:sz="0" w:space="0" w:color="auto"/>
                <w:bottom w:val="none" w:sz="0" w:space="0" w:color="auto"/>
                <w:right w:val="none" w:sz="0" w:space="0" w:color="auto"/>
              </w:divBdr>
            </w:div>
          </w:divsChild>
        </w:div>
        <w:div w:id="753161311">
          <w:marLeft w:val="0"/>
          <w:marRight w:val="0"/>
          <w:marTop w:val="0"/>
          <w:marBottom w:val="0"/>
          <w:divBdr>
            <w:top w:val="none" w:sz="0" w:space="0" w:color="auto"/>
            <w:left w:val="none" w:sz="0" w:space="0" w:color="auto"/>
            <w:bottom w:val="none" w:sz="0" w:space="0" w:color="auto"/>
            <w:right w:val="none" w:sz="0" w:space="0" w:color="auto"/>
          </w:divBdr>
          <w:divsChild>
            <w:div w:id="1139957271">
              <w:marLeft w:val="0"/>
              <w:marRight w:val="0"/>
              <w:marTop w:val="0"/>
              <w:marBottom w:val="0"/>
              <w:divBdr>
                <w:top w:val="none" w:sz="0" w:space="0" w:color="auto"/>
                <w:left w:val="none" w:sz="0" w:space="0" w:color="auto"/>
                <w:bottom w:val="none" w:sz="0" w:space="0" w:color="auto"/>
                <w:right w:val="none" w:sz="0" w:space="0" w:color="auto"/>
              </w:divBdr>
            </w:div>
          </w:divsChild>
        </w:div>
        <w:div w:id="792753787">
          <w:marLeft w:val="0"/>
          <w:marRight w:val="0"/>
          <w:marTop w:val="0"/>
          <w:marBottom w:val="0"/>
          <w:divBdr>
            <w:top w:val="none" w:sz="0" w:space="0" w:color="auto"/>
            <w:left w:val="none" w:sz="0" w:space="0" w:color="auto"/>
            <w:bottom w:val="none" w:sz="0" w:space="0" w:color="auto"/>
            <w:right w:val="none" w:sz="0" w:space="0" w:color="auto"/>
          </w:divBdr>
          <w:divsChild>
            <w:div w:id="1057239508">
              <w:marLeft w:val="0"/>
              <w:marRight w:val="0"/>
              <w:marTop w:val="0"/>
              <w:marBottom w:val="0"/>
              <w:divBdr>
                <w:top w:val="none" w:sz="0" w:space="0" w:color="auto"/>
                <w:left w:val="none" w:sz="0" w:space="0" w:color="auto"/>
                <w:bottom w:val="none" w:sz="0" w:space="0" w:color="auto"/>
                <w:right w:val="none" w:sz="0" w:space="0" w:color="auto"/>
              </w:divBdr>
            </w:div>
          </w:divsChild>
        </w:div>
        <w:div w:id="805508836">
          <w:marLeft w:val="0"/>
          <w:marRight w:val="0"/>
          <w:marTop w:val="0"/>
          <w:marBottom w:val="0"/>
          <w:divBdr>
            <w:top w:val="none" w:sz="0" w:space="0" w:color="auto"/>
            <w:left w:val="none" w:sz="0" w:space="0" w:color="auto"/>
            <w:bottom w:val="none" w:sz="0" w:space="0" w:color="auto"/>
            <w:right w:val="none" w:sz="0" w:space="0" w:color="auto"/>
          </w:divBdr>
          <w:divsChild>
            <w:div w:id="1339843375">
              <w:marLeft w:val="0"/>
              <w:marRight w:val="0"/>
              <w:marTop w:val="0"/>
              <w:marBottom w:val="0"/>
              <w:divBdr>
                <w:top w:val="none" w:sz="0" w:space="0" w:color="auto"/>
                <w:left w:val="none" w:sz="0" w:space="0" w:color="auto"/>
                <w:bottom w:val="none" w:sz="0" w:space="0" w:color="auto"/>
                <w:right w:val="none" w:sz="0" w:space="0" w:color="auto"/>
              </w:divBdr>
            </w:div>
          </w:divsChild>
        </w:div>
        <w:div w:id="812019839">
          <w:marLeft w:val="0"/>
          <w:marRight w:val="0"/>
          <w:marTop w:val="0"/>
          <w:marBottom w:val="0"/>
          <w:divBdr>
            <w:top w:val="none" w:sz="0" w:space="0" w:color="auto"/>
            <w:left w:val="none" w:sz="0" w:space="0" w:color="auto"/>
            <w:bottom w:val="none" w:sz="0" w:space="0" w:color="auto"/>
            <w:right w:val="none" w:sz="0" w:space="0" w:color="auto"/>
          </w:divBdr>
          <w:divsChild>
            <w:div w:id="1886523674">
              <w:marLeft w:val="0"/>
              <w:marRight w:val="0"/>
              <w:marTop w:val="0"/>
              <w:marBottom w:val="0"/>
              <w:divBdr>
                <w:top w:val="none" w:sz="0" w:space="0" w:color="auto"/>
                <w:left w:val="none" w:sz="0" w:space="0" w:color="auto"/>
                <w:bottom w:val="none" w:sz="0" w:space="0" w:color="auto"/>
                <w:right w:val="none" w:sz="0" w:space="0" w:color="auto"/>
              </w:divBdr>
            </w:div>
          </w:divsChild>
        </w:div>
        <w:div w:id="823160631">
          <w:marLeft w:val="0"/>
          <w:marRight w:val="0"/>
          <w:marTop w:val="0"/>
          <w:marBottom w:val="0"/>
          <w:divBdr>
            <w:top w:val="none" w:sz="0" w:space="0" w:color="auto"/>
            <w:left w:val="none" w:sz="0" w:space="0" w:color="auto"/>
            <w:bottom w:val="none" w:sz="0" w:space="0" w:color="auto"/>
            <w:right w:val="none" w:sz="0" w:space="0" w:color="auto"/>
          </w:divBdr>
          <w:divsChild>
            <w:div w:id="1518613022">
              <w:marLeft w:val="0"/>
              <w:marRight w:val="0"/>
              <w:marTop w:val="0"/>
              <w:marBottom w:val="0"/>
              <w:divBdr>
                <w:top w:val="none" w:sz="0" w:space="0" w:color="auto"/>
                <w:left w:val="none" w:sz="0" w:space="0" w:color="auto"/>
                <w:bottom w:val="none" w:sz="0" w:space="0" w:color="auto"/>
                <w:right w:val="none" w:sz="0" w:space="0" w:color="auto"/>
              </w:divBdr>
            </w:div>
          </w:divsChild>
        </w:div>
        <w:div w:id="846019345">
          <w:marLeft w:val="0"/>
          <w:marRight w:val="0"/>
          <w:marTop w:val="0"/>
          <w:marBottom w:val="0"/>
          <w:divBdr>
            <w:top w:val="none" w:sz="0" w:space="0" w:color="auto"/>
            <w:left w:val="none" w:sz="0" w:space="0" w:color="auto"/>
            <w:bottom w:val="none" w:sz="0" w:space="0" w:color="auto"/>
            <w:right w:val="none" w:sz="0" w:space="0" w:color="auto"/>
          </w:divBdr>
          <w:divsChild>
            <w:div w:id="1116830890">
              <w:marLeft w:val="0"/>
              <w:marRight w:val="0"/>
              <w:marTop w:val="0"/>
              <w:marBottom w:val="0"/>
              <w:divBdr>
                <w:top w:val="none" w:sz="0" w:space="0" w:color="auto"/>
                <w:left w:val="none" w:sz="0" w:space="0" w:color="auto"/>
                <w:bottom w:val="none" w:sz="0" w:space="0" w:color="auto"/>
                <w:right w:val="none" w:sz="0" w:space="0" w:color="auto"/>
              </w:divBdr>
            </w:div>
          </w:divsChild>
        </w:div>
        <w:div w:id="871379048">
          <w:marLeft w:val="0"/>
          <w:marRight w:val="0"/>
          <w:marTop w:val="0"/>
          <w:marBottom w:val="0"/>
          <w:divBdr>
            <w:top w:val="none" w:sz="0" w:space="0" w:color="auto"/>
            <w:left w:val="none" w:sz="0" w:space="0" w:color="auto"/>
            <w:bottom w:val="none" w:sz="0" w:space="0" w:color="auto"/>
            <w:right w:val="none" w:sz="0" w:space="0" w:color="auto"/>
          </w:divBdr>
          <w:divsChild>
            <w:div w:id="851142725">
              <w:marLeft w:val="0"/>
              <w:marRight w:val="0"/>
              <w:marTop w:val="0"/>
              <w:marBottom w:val="0"/>
              <w:divBdr>
                <w:top w:val="none" w:sz="0" w:space="0" w:color="auto"/>
                <w:left w:val="none" w:sz="0" w:space="0" w:color="auto"/>
                <w:bottom w:val="none" w:sz="0" w:space="0" w:color="auto"/>
                <w:right w:val="none" w:sz="0" w:space="0" w:color="auto"/>
              </w:divBdr>
            </w:div>
          </w:divsChild>
        </w:div>
        <w:div w:id="891699808">
          <w:marLeft w:val="0"/>
          <w:marRight w:val="0"/>
          <w:marTop w:val="0"/>
          <w:marBottom w:val="0"/>
          <w:divBdr>
            <w:top w:val="none" w:sz="0" w:space="0" w:color="auto"/>
            <w:left w:val="none" w:sz="0" w:space="0" w:color="auto"/>
            <w:bottom w:val="none" w:sz="0" w:space="0" w:color="auto"/>
            <w:right w:val="none" w:sz="0" w:space="0" w:color="auto"/>
          </w:divBdr>
          <w:divsChild>
            <w:div w:id="2122870726">
              <w:marLeft w:val="0"/>
              <w:marRight w:val="0"/>
              <w:marTop w:val="0"/>
              <w:marBottom w:val="0"/>
              <w:divBdr>
                <w:top w:val="none" w:sz="0" w:space="0" w:color="auto"/>
                <w:left w:val="none" w:sz="0" w:space="0" w:color="auto"/>
                <w:bottom w:val="none" w:sz="0" w:space="0" w:color="auto"/>
                <w:right w:val="none" w:sz="0" w:space="0" w:color="auto"/>
              </w:divBdr>
            </w:div>
          </w:divsChild>
        </w:div>
        <w:div w:id="909314103">
          <w:marLeft w:val="0"/>
          <w:marRight w:val="0"/>
          <w:marTop w:val="0"/>
          <w:marBottom w:val="0"/>
          <w:divBdr>
            <w:top w:val="none" w:sz="0" w:space="0" w:color="auto"/>
            <w:left w:val="none" w:sz="0" w:space="0" w:color="auto"/>
            <w:bottom w:val="none" w:sz="0" w:space="0" w:color="auto"/>
            <w:right w:val="none" w:sz="0" w:space="0" w:color="auto"/>
          </w:divBdr>
          <w:divsChild>
            <w:div w:id="2025937724">
              <w:marLeft w:val="0"/>
              <w:marRight w:val="0"/>
              <w:marTop w:val="0"/>
              <w:marBottom w:val="0"/>
              <w:divBdr>
                <w:top w:val="none" w:sz="0" w:space="0" w:color="auto"/>
                <w:left w:val="none" w:sz="0" w:space="0" w:color="auto"/>
                <w:bottom w:val="none" w:sz="0" w:space="0" w:color="auto"/>
                <w:right w:val="none" w:sz="0" w:space="0" w:color="auto"/>
              </w:divBdr>
            </w:div>
          </w:divsChild>
        </w:div>
        <w:div w:id="924647771">
          <w:marLeft w:val="0"/>
          <w:marRight w:val="0"/>
          <w:marTop w:val="0"/>
          <w:marBottom w:val="0"/>
          <w:divBdr>
            <w:top w:val="none" w:sz="0" w:space="0" w:color="auto"/>
            <w:left w:val="none" w:sz="0" w:space="0" w:color="auto"/>
            <w:bottom w:val="none" w:sz="0" w:space="0" w:color="auto"/>
            <w:right w:val="none" w:sz="0" w:space="0" w:color="auto"/>
          </w:divBdr>
          <w:divsChild>
            <w:div w:id="41947168">
              <w:marLeft w:val="0"/>
              <w:marRight w:val="0"/>
              <w:marTop w:val="0"/>
              <w:marBottom w:val="0"/>
              <w:divBdr>
                <w:top w:val="none" w:sz="0" w:space="0" w:color="auto"/>
                <w:left w:val="none" w:sz="0" w:space="0" w:color="auto"/>
                <w:bottom w:val="none" w:sz="0" w:space="0" w:color="auto"/>
                <w:right w:val="none" w:sz="0" w:space="0" w:color="auto"/>
              </w:divBdr>
            </w:div>
          </w:divsChild>
        </w:div>
        <w:div w:id="952514437">
          <w:marLeft w:val="0"/>
          <w:marRight w:val="0"/>
          <w:marTop w:val="0"/>
          <w:marBottom w:val="0"/>
          <w:divBdr>
            <w:top w:val="none" w:sz="0" w:space="0" w:color="auto"/>
            <w:left w:val="none" w:sz="0" w:space="0" w:color="auto"/>
            <w:bottom w:val="none" w:sz="0" w:space="0" w:color="auto"/>
            <w:right w:val="none" w:sz="0" w:space="0" w:color="auto"/>
          </w:divBdr>
          <w:divsChild>
            <w:div w:id="2140568609">
              <w:marLeft w:val="0"/>
              <w:marRight w:val="0"/>
              <w:marTop w:val="0"/>
              <w:marBottom w:val="0"/>
              <w:divBdr>
                <w:top w:val="none" w:sz="0" w:space="0" w:color="auto"/>
                <w:left w:val="none" w:sz="0" w:space="0" w:color="auto"/>
                <w:bottom w:val="none" w:sz="0" w:space="0" w:color="auto"/>
                <w:right w:val="none" w:sz="0" w:space="0" w:color="auto"/>
              </w:divBdr>
            </w:div>
          </w:divsChild>
        </w:div>
        <w:div w:id="1068189356">
          <w:marLeft w:val="0"/>
          <w:marRight w:val="0"/>
          <w:marTop w:val="0"/>
          <w:marBottom w:val="0"/>
          <w:divBdr>
            <w:top w:val="none" w:sz="0" w:space="0" w:color="auto"/>
            <w:left w:val="none" w:sz="0" w:space="0" w:color="auto"/>
            <w:bottom w:val="none" w:sz="0" w:space="0" w:color="auto"/>
            <w:right w:val="none" w:sz="0" w:space="0" w:color="auto"/>
          </w:divBdr>
          <w:divsChild>
            <w:div w:id="163203259">
              <w:marLeft w:val="0"/>
              <w:marRight w:val="0"/>
              <w:marTop w:val="0"/>
              <w:marBottom w:val="0"/>
              <w:divBdr>
                <w:top w:val="none" w:sz="0" w:space="0" w:color="auto"/>
                <w:left w:val="none" w:sz="0" w:space="0" w:color="auto"/>
                <w:bottom w:val="none" w:sz="0" w:space="0" w:color="auto"/>
                <w:right w:val="none" w:sz="0" w:space="0" w:color="auto"/>
              </w:divBdr>
            </w:div>
          </w:divsChild>
        </w:div>
        <w:div w:id="1150634202">
          <w:marLeft w:val="0"/>
          <w:marRight w:val="0"/>
          <w:marTop w:val="0"/>
          <w:marBottom w:val="0"/>
          <w:divBdr>
            <w:top w:val="none" w:sz="0" w:space="0" w:color="auto"/>
            <w:left w:val="none" w:sz="0" w:space="0" w:color="auto"/>
            <w:bottom w:val="none" w:sz="0" w:space="0" w:color="auto"/>
            <w:right w:val="none" w:sz="0" w:space="0" w:color="auto"/>
          </w:divBdr>
          <w:divsChild>
            <w:div w:id="1820729405">
              <w:marLeft w:val="0"/>
              <w:marRight w:val="0"/>
              <w:marTop w:val="0"/>
              <w:marBottom w:val="0"/>
              <w:divBdr>
                <w:top w:val="none" w:sz="0" w:space="0" w:color="auto"/>
                <w:left w:val="none" w:sz="0" w:space="0" w:color="auto"/>
                <w:bottom w:val="none" w:sz="0" w:space="0" w:color="auto"/>
                <w:right w:val="none" w:sz="0" w:space="0" w:color="auto"/>
              </w:divBdr>
            </w:div>
          </w:divsChild>
        </w:div>
        <w:div w:id="1152528968">
          <w:marLeft w:val="0"/>
          <w:marRight w:val="0"/>
          <w:marTop w:val="0"/>
          <w:marBottom w:val="0"/>
          <w:divBdr>
            <w:top w:val="none" w:sz="0" w:space="0" w:color="auto"/>
            <w:left w:val="none" w:sz="0" w:space="0" w:color="auto"/>
            <w:bottom w:val="none" w:sz="0" w:space="0" w:color="auto"/>
            <w:right w:val="none" w:sz="0" w:space="0" w:color="auto"/>
          </w:divBdr>
          <w:divsChild>
            <w:div w:id="460736278">
              <w:marLeft w:val="0"/>
              <w:marRight w:val="0"/>
              <w:marTop w:val="0"/>
              <w:marBottom w:val="0"/>
              <w:divBdr>
                <w:top w:val="none" w:sz="0" w:space="0" w:color="auto"/>
                <w:left w:val="none" w:sz="0" w:space="0" w:color="auto"/>
                <w:bottom w:val="none" w:sz="0" w:space="0" w:color="auto"/>
                <w:right w:val="none" w:sz="0" w:space="0" w:color="auto"/>
              </w:divBdr>
            </w:div>
          </w:divsChild>
        </w:div>
        <w:div w:id="1215968466">
          <w:marLeft w:val="0"/>
          <w:marRight w:val="0"/>
          <w:marTop w:val="0"/>
          <w:marBottom w:val="0"/>
          <w:divBdr>
            <w:top w:val="none" w:sz="0" w:space="0" w:color="auto"/>
            <w:left w:val="none" w:sz="0" w:space="0" w:color="auto"/>
            <w:bottom w:val="none" w:sz="0" w:space="0" w:color="auto"/>
            <w:right w:val="none" w:sz="0" w:space="0" w:color="auto"/>
          </w:divBdr>
          <w:divsChild>
            <w:div w:id="206375919">
              <w:marLeft w:val="0"/>
              <w:marRight w:val="0"/>
              <w:marTop w:val="0"/>
              <w:marBottom w:val="0"/>
              <w:divBdr>
                <w:top w:val="none" w:sz="0" w:space="0" w:color="auto"/>
                <w:left w:val="none" w:sz="0" w:space="0" w:color="auto"/>
                <w:bottom w:val="none" w:sz="0" w:space="0" w:color="auto"/>
                <w:right w:val="none" w:sz="0" w:space="0" w:color="auto"/>
              </w:divBdr>
            </w:div>
          </w:divsChild>
        </w:div>
        <w:div w:id="1225146685">
          <w:marLeft w:val="0"/>
          <w:marRight w:val="0"/>
          <w:marTop w:val="0"/>
          <w:marBottom w:val="0"/>
          <w:divBdr>
            <w:top w:val="none" w:sz="0" w:space="0" w:color="auto"/>
            <w:left w:val="none" w:sz="0" w:space="0" w:color="auto"/>
            <w:bottom w:val="none" w:sz="0" w:space="0" w:color="auto"/>
            <w:right w:val="none" w:sz="0" w:space="0" w:color="auto"/>
          </w:divBdr>
          <w:divsChild>
            <w:div w:id="696078173">
              <w:marLeft w:val="0"/>
              <w:marRight w:val="0"/>
              <w:marTop w:val="0"/>
              <w:marBottom w:val="0"/>
              <w:divBdr>
                <w:top w:val="none" w:sz="0" w:space="0" w:color="auto"/>
                <w:left w:val="none" w:sz="0" w:space="0" w:color="auto"/>
                <w:bottom w:val="none" w:sz="0" w:space="0" w:color="auto"/>
                <w:right w:val="none" w:sz="0" w:space="0" w:color="auto"/>
              </w:divBdr>
            </w:div>
          </w:divsChild>
        </w:div>
        <w:div w:id="1239442836">
          <w:marLeft w:val="0"/>
          <w:marRight w:val="0"/>
          <w:marTop w:val="0"/>
          <w:marBottom w:val="0"/>
          <w:divBdr>
            <w:top w:val="none" w:sz="0" w:space="0" w:color="auto"/>
            <w:left w:val="none" w:sz="0" w:space="0" w:color="auto"/>
            <w:bottom w:val="none" w:sz="0" w:space="0" w:color="auto"/>
            <w:right w:val="none" w:sz="0" w:space="0" w:color="auto"/>
          </w:divBdr>
          <w:divsChild>
            <w:div w:id="293412001">
              <w:marLeft w:val="0"/>
              <w:marRight w:val="0"/>
              <w:marTop w:val="0"/>
              <w:marBottom w:val="0"/>
              <w:divBdr>
                <w:top w:val="none" w:sz="0" w:space="0" w:color="auto"/>
                <w:left w:val="none" w:sz="0" w:space="0" w:color="auto"/>
                <w:bottom w:val="none" w:sz="0" w:space="0" w:color="auto"/>
                <w:right w:val="none" w:sz="0" w:space="0" w:color="auto"/>
              </w:divBdr>
            </w:div>
          </w:divsChild>
        </w:div>
        <w:div w:id="1246038418">
          <w:marLeft w:val="0"/>
          <w:marRight w:val="0"/>
          <w:marTop w:val="0"/>
          <w:marBottom w:val="0"/>
          <w:divBdr>
            <w:top w:val="none" w:sz="0" w:space="0" w:color="auto"/>
            <w:left w:val="none" w:sz="0" w:space="0" w:color="auto"/>
            <w:bottom w:val="none" w:sz="0" w:space="0" w:color="auto"/>
            <w:right w:val="none" w:sz="0" w:space="0" w:color="auto"/>
          </w:divBdr>
          <w:divsChild>
            <w:div w:id="88165133">
              <w:marLeft w:val="0"/>
              <w:marRight w:val="0"/>
              <w:marTop w:val="0"/>
              <w:marBottom w:val="0"/>
              <w:divBdr>
                <w:top w:val="none" w:sz="0" w:space="0" w:color="auto"/>
                <w:left w:val="none" w:sz="0" w:space="0" w:color="auto"/>
                <w:bottom w:val="none" w:sz="0" w:space="0" w:color="auto"/>
                <w:right w:val="none" w:sz="0" w:space="0" w:color="auto"/>
              </w:divBdr>
            </w:div>
          </w:divsChild>
        </w:div>
        <w:div w:id="1272007911">
          <w:marLeft w:val="0"/>
          <w:marRight w:val="0"/>
          <w:marTop w:val="0"/>
          <w:marBottom w:val="0"/>
          <w:divBdr>
            <w:top w:val="none" w:sz="0" w:space="0" w:color="auto"/>
            <w:left w:val="none" w:sz="0" w:space="0" w:color="auto"/>
            <w:bottom w:val="none" w:sz="0" w:space="0" w:color="auto"/>
            <w:right w:val="none" w:sz="0" w:space="0" w:color="auto"/>
          </w:divBdr>
          <w:divsChild>
            <w:div w:id="1958445047">
              <w:marLeft w:val="0"/>
              <w:marRight w:val="0"/>
              <w:marTop w:val="0"/>
              <w:marBottom w:val="0"/>
              <w:divBdr>
                <w:top w:val="none" w:sz="0" w:space="0" w:color="auto"/>
                <w:left w:val="none" w:sz="0" w:space="0" w:color="auto"/>
                <w:bottom w:val="none" w:sz="0" w:space="0" w:color="auto"/>
                <w:right w:val="none" w:sz="0" w:space="0" w:color="auto"/>
              </w:divBdr>
            </w:div>
          </w:divsChild>
        </w:div>
        <w:div w:id="1322734792">
          <w:marLeft w:val="0"/>
          <w:marRight w:val="0"/>
          <w:marTop w:val="0"/>
          <w:marBottom w:val="0"/>
          <w:divBdr>
            <w:top w:val="none" w:sz="0" w:space="0" w:color="auto"/>
            <w:left w:val="none" w:sz="0" w:space="0" w:color="auto"/>
            <w:bottom w:val="none" w:sz="0" w:space="0" w:color="auto"/>
            <w:right w:val="none" w:sz="0" w:space="0" w:color="auto"/>
          </w:divBdr>
          <w:divsChild>
            <w:div w:id="592936294">
              <w:marLeft w:val="0"/>
              <w:marRight w:val="0"/>
              <w:marTop w:val="0"/>
              <w:marBottom w:val="0"/>
              <w:divBdr>
                <w:top w:val="none" w:sz="0" w:space="0" w:color="auto"/>
                <w:left w:val="none" w:sz="0" w:space="0" w:color="auto"/>
                <w:bottom w:val="none" w:sz="0" w:space="0" w:color="auto"/>
                <w:right w:val="none" w:sz="0" w:space="0" w:color="auto"/>
              </w:divBdr>
            </w:div>
          </w:divsChild>
        </w:div>
        <w:div w:id="1369377226">
          <w:marLeft w:val="0"/>
          <w:marRight w:val="0"/>
          <w:marTop w:val="0"/>
          <w:marBottom w:val="0"/>
          <w:divBdr>
            <w:top w:val="none" w:sz="0" w:space="0" w:color="auto"/>
            <w:left w:val="none" w:sz="0" w:space="0" w:color="auto"/>
            <w:bottom w:val="none" w:sz="0" w:space="0" w:color="auto"/>
            <w:right w:val="none" w:sz="0" w:space="0" w:color="auto"/>
          </w:divBdr>
          <w:divsChild>
            <w:div w:id="1635133485">
              <w:marLeft w:val="0"/>
              <w:marRight w:val="0"/>
              <w:marTop w:val="0"/>
              <w:marBottom w:val="0"/>
              <w:divBdr>
                <w:top w:val="none" w:sz="0" w:space="0" w:color="auto"/>
                <w:left w:val="none" w:sz="0" w:space="0" w:color="auto"/>
                <w:bottom w:val="none" w:sz="0" w:space="0" w:color="auto"/>
                <w:right w:val="none" w:sz="0" w:space="0" w:color="auto"/>
              </w:divBdr>
            </w:div>
          </w:divsChild>
        </w:div>
        <w:div w:id="1383138460">
          <w:marLeft w:val="0"/>
          <w:marRight w:val="0"/>
          <w:marTop w:val="0"/>
          <w:marBottom w:val="0"/>
          <w:divBdr>
            <w:top w:val="none" w:sz="0" w:space="0" w:color="auto"/>
            <w:left w:val="none" w:sz="0" w:space="0" w:color="auto"/>
            <w:bottom w:val="none" w:sz="0" w:space="0" w:color="auto"/>
            <w:right w:val="none" w:sz="0" w:space="0" w:color="auto"/>
          </w:divBdr>
          <w:divsChild>
            <w:div w:id="1783763801">
              <w:marLeft w:val="0"/>
              <w:marRight w:val="0"/>
              <w:marTop w:val="0"/>
              <w:marBottom w:val="0"/>
              <w:divBdr>
                <w:top w:val="none" w:sz="0" w:space="0" w:color="auto"/>
                <w:left w:val="none" w:sz="0" w:space="0" w:color="auto"/>
                <w:bottom w:val="none" w:sz="0" w:space="0" w:color="auto"/>
                <w:right w:val="none" w:sz="0" w:space="0" w:color="auto"/>
              </w:divBdr>
            </w:div>
          </w:divsChild>
        </w:div>
        <w:div w:id="1411582956">
          <w:marLeft w:val="0"/>
          <w:marRight w:val="0"/>
          <w:marTop w:val="0"/>
          <w:marBottom w:val="0"/>
          <w:divBdr>
            <w:top w:val="none" w:sz="0" w:space="0" w:color="auto"/>
            <w:left w:val="none" w:sz="0" w:space="0" w:color="auto"/>
            <w:bottom w:val="none" w:sz="0" w:space="0" w:color="auto"/>
            <w:right w:val="none" w:sz="0" w:space="0" w:color="auto"/>
          </w:divBdr>
          <w:divsChild>
            <w:div w:id="1635329986">
              <w:marLeft w:val="0"/>
              <w:marRight w:val="0"/>
              <w:marTop w:val="0"/>
              <w:marBottom w:val="0"/>
              <w:divBdr>
                <w:top w:val="none" w:sz="0" w:space="0" w:color="auto"/>
                <w:left w:val="none" w:sz="0" w:space="0" w:color="auto"/>
                <w:bottom w:val="none" w:sz="0" w:space="0" w:color="auto"/>
                <w:right w:val="none" w:sz="0" w:space="0" w:color="auto"/>
              </w:divBdr>
            </w:div>
          </w:divsChild>
        </w:div>
        <w:div w:id="1442914227">
          <w:marLeft w:val="0"/>
          <w:marRight w:val="0"/>
          <w:marTop w:val="0"/>
          <w:marBottom w:val="0"/>
          <w:divBdr>
            <w:top w:val="none" w:sz="0" w:space="0" w:color="auto"/>
            <w:left w:val="none" w:sz="0" w:space="0" w:color="auto"/>
            <w:bottom w:val="none" w:sz="0" w:space="0" w:color="auto"/>
            <w:right w:val="none" w:sz="0" w:space="0" w:color="auto"/>
          </w:divBdr>
          <w:divsChild>
            <w:div w:id="1771730264">
              <w:marLeft w:val="0"/>
              <w:marRight w:val="0"/>
              <w:marTop w:val="0"/>
              <w:marBottom w:val="0"/>
              <w:divBdr>
                <w:top w:val="none" w:sz="0" w:space="0" w:color="auto"/>
                <w:left w:val="none" w:sz="0" w:space="0" w:color="auto"/>
                <w:bottom w:val="none" w:sz="0" w:space="0" w:color="auto"/>
                <w:right w:val="none" w:sz="0" w:space="0" w:color="auto"/>
              </w:divBdr>
            </w:div>
          </w:divsChild>
        </w:div>
        <w:div w:id="1449206038">
          <w:marLeft w:val="0"/>
          <w:marRight w:val="0"/>
          <w:marTop w:val="0"/>
          <w:marBottom w:val="0"/>
          <w:divBdr>
            <w:top w:val="none" w:sz="0" w:space="0" w:color="auto"/>
            <w:left w:val="none" w:sz="0" w:space="0" w:color="auto"/>
            <w:bottom w:val="none" w:sz="0" w:space="0" w:color="auto"/>
            <w:right w:val="none" w:sz="0" w:space="0" w:color="auto"/>
          </w:divBdr>
          <w:divsChild>
            <w:div w:id="318727230">
              <w:marLeft w:val="0"/>
              <w:marRight w:val="0"/>
              <w:marTop w:val="0"/>
              <w:marBottom w:val="0"/>
              <w:divBdr>
                <w:top w:val="none" w:sz="0" w:space="0" w:color="auto"/>
                <w:left w:val="none" w:sz="0" w:space="0" w:color="auto"/>
                <w:bottom w:val="none" w:sz="0" w:space="0" w:color="auto"/>
                <w:right w:val="none" w:sz="0" w:space="0" w:color="auto"/>
              </w:divBdr>
            </w:div>
          </w:divsChild>
        </w:div>
        <w:div w:id="1471556990">
          <w:marLeft w:val="0"/>
          <w:marRight w:val="0"/>
          <w:marTop w:val="0"/>
          <w:marBottom w:val="0"/>
          <w:divBdr>
            <w:top w:val="none" w:sz="0" w:space="0" w:color="auto"/>
            <w:left w:val="none" w:sz="0" w:space="0" w:color="auto"/>
            <w:bottom w:val="none" w:sz="0" w:space="0" w:color="auto"/>
            <w:right w:val="none" w:sz="0" w:space="0" w:color="auto"/>
          </w:divBdr>
          <w:divsChild>
            <w:div w:id="1666516891">
              <w:marLeft w:val="0"/>
              <w:marRight w:val="0"/>
              <w:marTop w:val="0"/>
              <w:marBottom w:val="0"/>
              <w:divBdr>
                <w:top w:val="none" w:sz="0" w:space="0" w:color="auto"/>
                <w:left w:val="none" w:sz="0" w:space="0" w:color="auto"/>
                <w:bottom w:val="none" w:sz="0" w:space="0" w:color="auto"/>
                <w:right w:val="none" w:sz="0" w:space="0" w:color="auto"/>
              </w:divBdr>
            </w:div>
          </w:divsChild>
        </w:div>
        <w:div w:id="1503083437">
          <w:marLeft w:val="0"/>
          <w:marRight w:val="0"/>
          <w:marTop w:val="0"/>
          <w:marBottom w:val="0"/>
          <w:divBdr>
            <w:top w:val="none" w:sz="0" w:space="0" w:color="auto"/>
            <w:left w:val="none" w:sz="0" w:space="0" w:color="auto"/>
            <w:bottom w:val="none" w:sz="0" w:space="0" w:color="auto"/>
            <w:right w:val="none" w:sz="0" w:space="0" w:color="auto"/>
          </w:divBdr>
          <w:divsChild>
            <w:div w:id="1177815426">
              <w:marLeft w:val="0"/>
              <w:marRight w:val="0"/>
              <w:marTop w:val="0"/>
              <w:marBottom w:val="0"/>
              <w:divBdr>
                <w:top w:val="none" w:sz="0" w:space="0" w:color="auto"/>
                <w:left w:val="none" w:sz="0" w:space="0" w:color="auto"/>
                <w:bottom w:val="none" w:sz="0" w:space="0" w:color="auto"/>
                <w:right w:val="none" w:sz="0" w:space="0" w:color="auto"/>
              </w:divBdr>
            </w:div>
          </w:divsChild>
        </w:div>
        <w:div w:id="1575310932">
          <w:marLeft w:val="0"/>
          <w:marRight w:val="0"/>
          <w:marTop w:val="0"/>
          <w:marBottom w:val="0"/>
          <w:divBdr>
            <w:top w:val="none" w:sz="0" w:space="0" w:color="auto"/>
            <w:left w:val="none" w:sz="0" w:space="0" w:color="auto"/>
            <w:bottom w:val="none" w:sz="0" w:space="0" w:color="auto"/>
            <w:right w:val="none" w:sz="0" w:space="0" w:color="auto"/>
          </w:divBdr>
          <w:divsChild>
            <w:div w:id="2145610248">
              <w:marLeft w:val="0"/>
              <w:marRight w:val="0"/>
              <w:marTop w:val="0"/>
              <w:marBottom w:val="0"/>
              <w:divBdr>
                <w:top w:val="none" w:sz="0" w:space="0" w:color="auto"/>
                <w:left w:val="none" w:sz="0" w:space="0" w:color="auto"/>
                <w:bottom w:val="none" w:sz="0" w:space="0" w:color="auto"/>
                <w:right w:val="none" w:sz="0" w:space="0" w:color="auto"/>
              </w:divBdr>
            </w:div>
          </w:divsChild>
        </w:div>
        <w:div w:id="1614630534">
          <w:marLeft w:val="0"/>
          <w:marRight w:val="0"/>
          <w:marTop w:val="0"/>
          <w:marBottom w:val="0"/>
          <w:divBdr>
            <w:top w:val="none" w:sz="0" w:space="0" w:color="auto"/>
            <w:left w:val="none" w:sz="0" w:space="0" w:color="auto"/>
            <w:bottom w:val="none" w:sz="0" w:space="0" w:color="auto"/>
            <w:right w:val="none" w:sz="0" w:space="0" w:color="auto"/>
          </w:divBdr>
          <w:divsChild>
            <w:div w:id="1789812431">
              <w:marLeft w:val="0"/>
              <w:marRight w:val="0"/>
              <w:marTop w:val="0"/>
              <w:marBottom w:val="0"/>
              <w:divBdr>
                <w:top w:val="none" w:sz="0" w:space="0" w:color="auto"/>
                <w:left w:val="none" w:sz="0" w:space="0" w:color="auto"/>
                <w:bottom w:val="none" w:sz="0" w:space="0" w:color="auto"/>
                <w:right w:val="none" w:sz="0" w:space="0" w:color="auto"/>
              </w:divBdr>
            </w:div>
          </w:divsChild>
        </w:div>
        <w:div w:id="1619293387">
          <w:marLeft w:val="0"/>
          <w:marRight w:val="0"/>
          <w:marTop w:val="0"/>
          <w:marBottom w:val="0"/>
          <w:divBdr>
            <w:top w:val="none" w:sz="0" w:space="0" w:color="auto"/>
            <w:left w:val="none" w:sz="0" w:space="0" w:color="auto"/>
            <w:bottom w:val="none" w:sz="0" w:space="0" w:color="auto"/>
            <w:right w:val="none" w:sz="0" w:space="0" w:color="auto"/>
          </w:divBdr>
          <w:divsChild>
            <w:div w:id="1457530952">
              <w:marLeft w:val="0"/>
              <w:marRight w:val="0"/>
              <w:marTop w:val="0"/>
              <w:marBottom w:val="0"/>
              <w:divBdr>
                <w:top w:val="none" w:sz="0" w:space="0" w:color="auto"/>
                <w:left w:val="none" w:sz="0" w:space="0" w:color="auto"/>
                <w:bottom w:val="none" w:sz="0" w:space="0" w:color="auto"/>
                <w:right w:val="none" w:sz="0" w:space="0" w:color="auto"/>
              </w:divBdr>
            </w:div>
          </w:divsChild>
        </w:div>
        <w:div w:id="1773207871">
          <w:marLeft w:val="0"/>
          <w:marRight w:val="0"/>
          <w:marTop w:val="0"/>
          <w:marBottom w:val="0"/>
          <w:divBdr>
            <w:top w:val="none" w:sz="0" w:space="0" w:color="auto"/>
            <w:left w:val="none" w:sz="0" w:space="0" w:color="auto"/>
            <w:bottom w:val="none" w:sz="0" w:space="0" w:color="auto"/>
            <w:right w:val="none" w:sz="0" w:space="0" w:color="auto"/>
          </w:divBdr>
          <w:divsChild>
            <w:div w:id="1735808819">
              <w:marLeft w:val="0"/>
              <w:marRight w:val="0"/>
              <w:marTop w:val="0"/>
              <w:marBottom w:val="0"/>
              <w:divBdr>
                <w:top w:val="none" w:sz="0" w:space="0" w:color="auto"/>
                <w:left w:val="none" w:sz="0" w:space="0" w:color="auto"/>
                <w:bottom w:val="none" w:sz="0" w:space="0" w:color="auto"/>
                <w:right w:val="none" w:sz="0" w:space="0" w:color="auto"/>
              </w:divBdr>
            </w:div>
          </w:divsChild>
        </w:div>
        <w:div w:id="1814906642">
          <w:marLeft w:val="0"/>
          <w:marRight w:val="0"/>
          <w:marTop w:val="0"/>
          <w:marBottom w:val="0"/>
          <w:divBdr>
            <w:top w:val="none" w:sz="0" w:space="0" w:color="auto"/>
            <w:left w:val="none" w:sz="0" w:space="0" w:color="auto"/>
            <w:bottom w:val="none" w:sz="0" w:space="0" w:color="auto"/>
            <w:right w:val="none" w:sz="0" w:space="0" w:color="auto"/>
          </w:divBdr>
          <w:divsChild>
            <w:div w:id="1480345985">
              <w:marLeft w:val="0"/>
              <w:marRight w:val="0"/>
              <w:marTop w:val="0"/>
              <w:marBottom w:val="0"/>
              <w:divBdr>
                <w:top w:val="none" w:sz="0" w:space="0" w:color="auto"/>
                <w:left w:val="none" w:sz="0" w:space="0" w:color="auto"/>
                <w:bottom w:val="none" w:sz="0" w:space="0" w:color="auto"/>
                <w:right w:val="none" w:sz="0" w:space="0" w:color="auto"/>
              </w:divBdr>
            </w:div>
          </w:divsChild>
        </w:div>
        <w:div w:id="1832863894">
          <w:marLeft w:val="0"/>
          <w:marRight w:val="0"/>
          <w:marTop w:val="0"/>
          <w:marBottom w:val="0"/>
          <w:divBdr>
            <w:top w:val="none" w:sz="0" w:space="0" w:color="auto"/>
            <w:left w:val="none" w:sz="0" w:space="0" w:color="auto"/>
            <w:bottom w:val="none" w:sz="0" w:space="0" w:color="auto"/>
            <w:right w:val="none" w:sz="0" w:space="0" w:color="auto"/>
          </w:divBdr>
          <w:divsChild>
            <w:div w:id="2107995324">
              <w:marLeft w:val="0"/>
              <w:marRight w:val="0"/>
              <w:marTop w:val="0"/>
              <w:marBottom w:val="0"/>
              <w:divBdr>
                <w:top w:val="none" w:sz="0" w:space="0" w:color="auto"/>
                <w:left w:val="none" w:sz="0" w:space="0" w:color="auto"/>
                <w:bottom w:val="none" w:sz="0" w:space="0" w:color="auto"/>
                <w:right w:val="none" w:sz="0" w:space="0" w:color="auto"/>
              </w:divBdr>
            </w:div>
          </w:divsChild>
        </w:div>
        <w:div w:id="1887720751">
          <w:marLeft w:val="0"/>
          <w:marRight w:val="0"/>
          <w:marTop w:val="0"/>
          <w:marBottom w:val="0"/>
          <w:divBdr>
            <w:top w:val="none" w:sz="0" w:space="0" w:color="auto"/>
            <w:left w:val="none" w:sz="0" w:space="0" w:color="auto"/>
            <w:bottom w:val="none" w:sz="0" w:space="0" w:color="auto"/>
            <w:right w:val="none" w:sz="0" w:space="0" w:color="auto"/>
          </w:divBdr>
          <w:divsChild>
            <w:div w:id="1752965902">
              <w:marLeft w:val="0"/>
              <w:marRight w:val="0"/>
              <w:marTop w:val="0"/>
              <w:marBottom w:val="0"/>
              <w:divBdr>
                <w:top w:val="none" w:sz="0" w:space="0" w:color="auto"/>
                <w:left w:val="none" w:sz="0" w:space="0" w:color="auto"/>
                <w:bottom w:val="none" w:sz="0" w:space="0" w:color="auto"/>
                <w:right w:val="none" w:sz="0" w:space="0" w:color="auto"/>
              </w:divBdr>
            </w:div>
          </w:divsChild>
        </w:div>
        <w:div w:id="1966766251">
          <w:marLeft w:val="0"/>
          <w:marRight w:val="0"/>
          <w:marTop w:val="0"/>
          <w:marBottom w:val="0"/>
          <w:divBdr>
            <w:top w:val="none" w:sz="0" w:space="0" w:color="auto"/>
            <w:left w:val="none" w:sz="0" w:space="0" w:color="auto"/>
            <w:bottom w:val="none" w:sz="0" w:space="0" w:color="auto"/>
            <w:right w:val="none" w:sz="0" w:space="0" w:color="auto"/>
          </w:divBdr>
          <w:divsChild>
            <w:div w:id="1008748172">
              <w:marLeft w:val="0"/>
              <w:marRight w:val="0"/>
              <w:marTop w:val="0"/>
              <w:marBottom w:val="0"/>
              <w:divBdr>
                <w:top w:val="none" w:sz="0" w:space="0" w:color="auto"/>
                <w:left w:val="none" w:sz="0" w:space="0" w:color="auto"/>
                <w:bottom w:val="none" w:sz="0" w:space="0" w:color="auto"/>
                <w:right w:val="none" w:sz="0" w:space="0" w:color="auto"/>
              </w:divBdr>
            </w:div>
          </w:divsChild>
        </w:div>
        <w:div w:id="2046980191">
          <w:marLeft w:val="0"/>
          <w:marRight w:val="0"/>
          <w:marTop w:val="0"/>
          <w:marBottom w:val="0"/>
          <w:divBdr>
            <w:top w:val="none" w:sz="0" w:space="0" w:color="auto"/>
            <w:left w:val="none" w:sz="0" w:space="0" w:color="auto"/>
            <w:bottom w:val="none" w:sz="0" w:space="0" w:color="auto"/>
            <w:right w:val="none" w:sz="0" w:space="0" w:color="auto"/>
          </w:divBdr>
          <w:divsChild>
            <w:div w:id="1938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7062258">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5115324">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994525206">
      <w:bodyDiv w:val="1"/>
      <w:marLeft w:val="0"/>
      <w:marRight w:val="0"/>
      <w:marTop w:val="0"/>
      <w:marBottom w:val="0"/>
      <w:divBdr>
        <w:top w:val="none" w:sz="0" w:space="0" w:color="auto"/>
        <w:left w:val="none" w:sz="0" w:space="0" w:color="auto"/>
        <w:bottom w:val="none" w:sz="0" w:space="0" w:color="auto"/>
        <w:right w:val="none" w:sz="0" w:space="0" w:color="auto"/>
      </w:divBdr>
    </w:div>
    <w:div w:id="1003162028">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5675">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21807120">
      <w:bodyDiv w:val="1"/>
      <w:marLeft w:val="0"/>
      <w:marRight w:val="0"/>
      <w:marTop w:val="0"/>
      <w:marBottom w:val="0"/>
      <w:divBdr>
        <w:top w:val="none" w:sz="0" w:space="0" w:color="auto"/>
        <w:left w:val="none" w:sz="0" w:space="0" w:color="auto"/>
        <w:bottom w:val="none" w:sz="0" w:space="0" w:color="auto"/>
        <w:right w:val="none" w:sz="0" w:space="0" w:color="auto"/>
      </w:divBdr>
    </w:div>
    <w:div w:id="1156454693">
      <w:bodyDiv w:val="1"/>
      <w:marLeft w:val="0"/>
      <w:marRight w:val="0"/>
      <w:marTop w:val="0"/>
      <w:marBottom w:val="0"/>
      <w:divBdr>
        <w:top w:val="none" w:sz="0" w:space="0" w:color="auto"/>
        <w:left w:val="none" w:sz="0" w:space="0" w:color="auto"/>
        <w:bottom w:val="none" w:sz="0" w:space="0" w:color="auto"/>
        <w:right w:val="none" w:sz="0" w:space="0" w:color="auto"/>
      </w:divBdr>
    </w:div>
    <w:div w:id="1163207560">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00625418">
      <w:bodyDiv w:val="1"/>
      <w:marLeft w:val="0"/>
      <w:marRight w:val="0"/>
      <w:marTop w:val="0"/>
      <w:marBottom w:val="0"/>
      <w:divBdr>
        <w:top w:val="none" w:sz="0" w:space="0" w:color="auto"/>
        <w:left w:val="none" w:sz="0" w:space="0" w:color="auto"/>
        <w:bottom w:val="none" w:sz="0" w:space="0" w:color="auto"/>
        <w:right w:val="none" w:sz="0" w:space="0" w:color="auto"/>
      </w:divBdr>
    </w:div>
    <w:div w:id="1224289611">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50190305">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69655669">
      <w:bodyDiv w:val="1"/>
      <w:marLeft w:val="0"/>
      <w:marRight w:val="0"/>
      <w:marTop w:val="0"/>
      <w:marBottom w:val="0"/>
      <w:divBdr>
        <w:top w:val="none" w:sz="0" w:space="0" w:color="auto"/>
        <w:left w:val="none" w:sz="0" w:space="0" w:color="auto"/>
        <w:bottom w:val="none" w:sz="0" w:space="0" w:color="auto"/>
        <w:right w:val="none" w:sz="0" w:space="0" w:color="auto"/>
      </w:divBdr>
    </w:div>
    <w:div w:id="1310205576">
      <w:bodyDiv w:val="1"/>
      <w:marLeft w:val="0"/>
      <w:marRight w:val="0"/>
      <w:marTop w:val="0"/>
      <w:marBottom w:val="0"/>
      <w:divBdr>
        <w:top w:val="none" w:sz="0" w:space="0" w:color="auto"/>
        <w:left w:val="none" w:sz="0" w:space="0" w:color="auto"/>
        <w:bottom w:val="none" w:sz="0" w:space="0" w:color="auto"/>
        <w:right w:val="none" w:sz="0" w:space="0" w:color="auto"/>
      </w:divBdr>
    </w:div>
    <w:div w:id="1345476459">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93314379">
      <w:bodyDiv w:val="1"/>
      <w:marLeft w:val="0"/>
      <w:marRight w:val="0"/>
      <w:marTop w:val="0"/>
      <w:marBottom w:val="0"/>
      <w:divBdr>
        <w:top w:val="none" w:sz="0" w:space="0" w:color="auto"/>
        <w:left w:val="none" w:sz="0" w:space="0" w:color="auto"/>
        <w:bottom w:val="none" w:sz="0" w:space="0" w:color="auto"/>
        <w:right w:val="none" w:sz="0" w:space="0" w:color="auto"/>
      </w:divBdr>
    </w:div>
    <w:div w:id="1410425351">
      <w:bodyDiv w:val="1"/>
      <w:marLeft w:val="0"/>
      <w:marRight w:val="0"/>
      <w:marTop w:val="0"/>
      <w:marBottom w:val="0"/>
      <w:divBdr>
        <w:top w:val="none" w:sz="0" w:space="0" w:color="auto"/>
        <w:left w:val="none" w:sz="0" w:space="0" w:color="auto"/>
        <w:bottom w:val="none" w:sz="0" w:space="0" w:color="auto"/>
        <w:right w:val="none" w:sz="0" w:space="0" w:color="auto"/>
      </w:divBdr>
    </w:div>
    <w:div w:id="1421488996">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57717957">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56351844">
      <w:bodyDiv w:val="1"/>
      <w:marLeft w:val="0"/>
      <w:marRight w:val="0"/>
      <w:marTop w:val="0"/>
      <w:marBottom w:val="0"/>
      <w:divBdr>
        <w:top w:val="none" w:sz="0" w:space="0" w:color="auto"/>
        <w:left w:val="none" w:sz="0" w:space="0" w:color="auto"/>
        <w:bottom w:val="none" w:sz="0" w:space="0" w:color="auto"/>
        <w:right w:val="none" w:sz="0" w:space="0" w:color="auto"/>
      </w:divBdr>
    </w:div>
    <w:div w:id="1569804727">
      <w:bodyDiv w:val="1"/>
      <w:marLeft w:val="0"/>
      <w:marRight w:val="0"/>
      <w:marTop w:val="0"/>
      <w:marBottom w:val="0"/>
      <w:divBdr>
        <w:top w:val="none" w:sz="0" w:space="0" w:color="auto"/>
        <w:left w:val="none" w:sz="0" w:space="0" w:color="auto"/>
        <w:bottom w:val="none" w:sz="0" w:space="0" w:color="auto"/>
        <w:right w:val="none" w:sz="0" w:space="0" w:color="auto"/>
      </w:divBdr>
    </w:div>
    <w:div w:id="1579292080">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59710">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4889301">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2831697">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697150157">
      <w:bodyDiv w:val="1"/>
      <w:marLeft w:val="0"/>
      <w:marRight w:val="0"/>
      <w:marTop w:val="0"/>
      <w:marBottom w:val="0"/>
      <w:divBdr>
        <w:top w:val="none" w:sz="0" w:space="0" w:color="auto"/>
        <w:left w:val="none" w:sz="0" w:space="0" w:color="auto"/>
        <w:bottom w:val="none" w:sz="0" w:space="0" w:color="auto"/>
        <w:right w:val="none" w:sz="0" w:space="0" w:color="auto"/>
      </w:divBdr>
    </w:div>
    <w:div w:id="1704864623">
      <w:bodyDiv w:val="1"/>
      <w:marLeft w:val="0"/>
      <w:marRight w:val="0"/>
      <w:marTop w:val="0"/>
      <w:marBottom w:val="0"/>
      <w:divBdr>
        <w:top w:val="none" w:sz="0" w:space="0" w:color="auto"/>
        <w:left w:val="none" w:sz="0" w:space="0" w:color="auto"/>
        <w:bottom w:val="none" w:sz="0" w:space="0" w:color="auto"/>
        <w:right w:val="none" w:sz="0" w:space="0" w:color="auto"/>
      </w:divBdr>
    </w:div>
    <w:div w:id="1714646596">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68497229">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4790574">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39926133">
      <w:bodyDiv w:val="1"/>
      <w:marLeft w:val="0"/>
      <w:marRight w:val="0"/>
      <w:marTop w:val="0"/>
      <w:marBottom w:val="0"/>
      <w:divBdr>
        <w:top w:val="none" w:sz="0" w:space="0" w:color="auto"/>
        <w:left w:val="none" w:sz="0" w:space="0" w:color="auto"/>
        <w:bottom w:val="none" w:sz="0" w:space="0" w:color="auto"/>
        <w:right w:val="none" w:sz="0" w:space="0" w:color="auto"/>
      </w:divBdr>
    </w:div>
    <w:div w:id="1847089333">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61773331">
      <w:bodyDiv w:val="1"/>
      <w:marLeft w:val="0"/>
      <w:marRight w:val="0"/>
      <w:marTop w:val="0"/>
      <w:marBottom w:val="0"/>
      <w:divBdr>
        <w:top w:val="none" w:sz="0" w:space="0" w:color="auto"/>
        <w:left w:val="none" w:sz="0" w:space="0" w:color="auto"/>
        <w:bottom w:val="none" w:sz="0" w:space="0" w:color="auto"/>
        <w:right w:val="none" w:sz="0" w:space="0" w:color="auto"/>
      </w:divBdr>
    </w:div>
    <w:div w:id="1863468128">
      <w:bodyDiv w:val="1"/>
      <w:marLeft w:val="0"/>
      <w:marRight w:val="0"/>
      <w:marTop w:val="0"/>
      <w:marBottom w:val="0"/>
      <w:divBdr>
        <w:top w:val="none" w:sz="0" w:space="0" w:color="auto"/>
        <w:left w:val="none" w:sz="0" w:space="0" w:color="auto"/>
        <w:bottom w:val="none" w:sz="0" w:space="0" w:color="auto"/>
        <w:right w:val="none" w:sz="0" w:space="0" w:color="auto"/>
      </w:divBdr>
      <w:divsChild>
        <w:div w:id="12534334">
          <w:marLeft w:val="0"/>
          <w:marRight w:val="0"/>
          <w:marTop w:val="0"/>
          <w:marBottom w:val="0"/>
          <w:divBdr>
            <w:top w:val="none" w:sz="0" w:space="0" w:color="auto"/>
            <w:left w:val="none" w:sz="0" w:space="0" w:color="auto"/>
            <w:bottom w:val="none" w:sz="0" w:space="0" w:color="auto"/>
            <w:right w:val="none" w:sz="0" w:space="0" w:color="auto"/>
          </w:divBdr>
          <w:divsChild>
            <w:div w:id="1014847484">
              <w:marLeft w:val="0"/>
              <w:marRight w:val="0"/>
              <w:marTop w:val="0"/>
              <w:marBottom w:val="0"/>
              <w:divBdr>
                <w:top w:val="none" w:sz="0" w:space="0" w:color="auto"/>
                <w:left w:val="none" w:sz="0" w:space="0" w:color="auto"/>
                <w:bottom w:val="none" w:sz="0" w:space="0" w:color="auto"/>
                <w:right w:val="none" w:sz="0" w:space="0" w:color="auto"/>
              </w:divBdr>
            </w:div>
          </w:divsChild>
        </w:div>
        <w:div w:id="93286863">
          <w:marLeft w:val="0"/>
          <w:marRight w:val="0"/>
          <w:marTop w:val="0"/>
          <w:marBottom w:val="0"/>
          <w:divBdr>
            <w:top w:val="none" w:sz="0" w:space="0" w:color="auto"/>
            <w:left w:val="none" w:sz="0" w:space="0" w:color="auto"/>
            <w:bottom w:val="none" w:sz="0" w:space="0" w:color="auto"/>
            <w:right w:val="none" w:sz="0" w:space="0" w:color="auto"/>
          </w:divBdr>
          <w:divsChild>
            <w:div w:id="81073964">
              <w:marLeft w:val="0"/>
              <w:marRight w:val="0"/>
              <w:marTop w:val="0"/>
              <w:marBottom w:val="0"/>
              <w:divBdr>
                <w:top w:val="none" w:sz="0" w:space="0" w:color="auto"/>
                <w:left w:val="none" w:sz="0" w:space="0" w:color="auto"/>
                <w:bottom w:val="none" w:sz="0" w:space="0" w:color="auto"/>
                <w:right w:val="none" w:sz="0" w:space="0" w:color="auto"/>
              </w:divBdr>
            </w:div>
          </w:divsChild>
        </w:div>
        <w:div w:id="229468657">
          <w:marLeft w:val="0"/>
          <w:marRight w:val="0"/>
          <w:marTop w:val="0"/>
          <w:marBottom w:val="0"/>
          <w:divBdr>
            <w:top w:val="none" w:sz="0" w:space="0" w:color="auto"/>
            <w:left w:val="none" w:sz="0" w:space="0" w:color="auto"/>
            <w:bottom w:val="none" w:sz="0" w:space="0" w:color="auto"/>
            <w:right w:val="none" w:sz="0" w:space="0" w:color="auto"/>
          </w:divBdr>
          <w:divsChild>
            <w:div w:id="1716930315">
              <w:marLeft w:val="0"/>
              <w:marRight w:val="0"/>
              <w:marTop w:val="0"/>
              <w:marBottom w:val="0"/>
              <w:divBdr>
                <w:top w:val="none" w:sz="0" w:space="0" w:color="auto"/>
                <w:left w:val="none" w:sz="0" w:space="0" w:color="auto"/>
                <w:bottom w:val="none" w:sz="0" w:space="0" w:color="auto"/>
                <w:right w:val="none" w:sz="0" w:space="0" w:color="auto"/>
              </w:divBdr>
            </w:div>
          </w:divsChild>
        </w:div>
        <w:div w:id="268515847">
          <w:marLeft w:val="0"/>
          <w:marRight w:val="0"/>
          <w:marTop w:val="0"/>
          <w:marBottom w:val="0"/>
          <w:divBdr>
            <w:top w:val="none" w:sz="0" w:space="0" w:color="auto"/>
            <w:left w:val="none" w:sz="0" w:space="0" w:color="auto"/>
            <w:bottom w:val="none" w:sz="0" w:space="0" w:color="auto"/>
            <w:right w:val="none" w:sz="0" w:space="0" w:color="auto"/>
          </w:divBdr>
          <w:divsChild>
            <w:div w:id="516579081">
              <w:marLeft w:val="0"/>
              <w:marRight w:val="0"/>
              <w:marTop w:val="0"/>
              <w:marBottom w:val="0"/>
              <w:divBdr>
                <w:top w:val="none" w:sz="0" w:space="0" w:color="auto"/>
                <w:left w:val="none" w:sz="0" w:space="0" w:color="auto"/>
                <w:bottom w:val="none" w:sz="0" w:space="0" w:color="auto"/>
                <w:right w:val="none" w:sz="0" w:space="0" w:color="auto"/>
              </w:divBdr>
            </w:div>
          </w:divsChild>
        </w:div>
        <w:div w:id="287054692">
          <w:marLeft w:val="0"/>
          <w:marRight w:val="0"/>
          <w:marTop w:val="0"/>
          <w:marBottom w:val="0"/>
          <w:divBdr>
            <w:top w:val="none" w:sz="0" w:space="0" w:color="auto"/>
            <w:left w:val="none" w:sz="0" w:space="0" w:color="auto"/>
            <w:bottom w:val="none" w:sz="0" w:space="0" w:color="auto"/>
            <w:right w:val="none" w:sz="0" w:space="0" w:color="auto"/>
          </w:divBdr>
          <w:divsChild>
            <w:div w:id="808399976">
              <w:marLeft w:val="0"/>
              <w:marRight w:val="0"/>
              <w:marTop w:val="0"/>
              <w:marBottom w:val="0"/>
              <w:divBdr>
                <w:top w:val="none" w:sz="0" w:space="0" w:color="auto"/>
                <w:left w:val="none" w:sz="0" w:space="0" w:color="auto"/>
                <w:bottom w:val="none" w:sz="0" w:space="0" w:color="auto"/>
                <w:right w:val="none" w:sz="0" w:space="0" w:color="auto"/>
              </w:divBdr>
            </w:div>
          </w:divsChild>
        </w:div>
        <w:div w:id="337464053">
          <w:marLeft w:val="0"/>
          <w:marRight w:val="0"/>
          <w:marTop w:val="0"/>
          <w:marBottom w:val="0"/>
          <w:divBdr>
            <w:top w:val="none" w:sz="0" w:space="0" w:color="auto"/>
            <w:left w:val="none" w:sz="0" w:space="0" w:color="auto"/>
            <w:bottom w:val="none" w:sz="0" w:space="0" w:color="auto"/>
            <w:right w:val="none" w:sz="0" w:space="0" w:color="auto"/>
          </w:divBdr>
          <w:divsChild>
            <w:div w:id="1309288291">
              <w:marLeft w:val="0"/>
              <w:marRight w:val="0"/>
              <w:marTop w:val="0"/>
              <w:marBottom w:val="0"/>
              <w:divBdr>
                <w:top w:val="none" w:sz="0" w:space="0" w:color="auto"/>
                <w:left w:val="none" w:sz="0" w:space="0" w:color="auto"/>
                <w:bottom w:val="none" w:sz="0" w:space="0" w:color="auto"/>
                <w:right w:val="none" w:sz="0" w:space="0" w:color="auto"/>
              </w:divBdr>
            </w:div>
          </w:divsChild>
        </w:div>
        <w:div w:id="475683575">
          <w:marLeft w:val="0"/>
          <w:marRight w:val="0"/>
          <w:marTop w:val="0"/>
          <w:marBottom w:val="0"/>
          <w:divBdr>
            <w:top w:val="none" w:sz="0" w:space="0" w:color="auto"/>
            <w:left w:val="none" w:sz="0" w:space="0" w:color="auto"/>
            <w:bottom w:val="none" w:sz="0" w:space="0" w:color="auto"/>
            <w:right w:val="none" w:sz="0" w:space="0" w:color="auto"/>
          </w:divBdr>
          <w:divsChild>
            <w:div w:id="828207283">
              <w:marLeft w:val="0"/>
              <w:marRight w:val="0"/>
              <w:marTop w:val="0"/>
              <w:marBottom w:val="0"/>
              <w:divBdr>
                <w:top w:val="none" w:sz="0" w:space="0" w:color="auto"/>
                <w:left w:val="none" w:sz="0" w:space="0" w:color="auto"/>
                <w:bottom w:val="none" w:sz="0" w:space="0" w:color="auto"/>
                <w:right w:val="none" w:sz="0" w:space="0" w:color="auto"/>
              </w:divBdr>
            </w:div>
          </w:divsChild>
        </w:div>
        <w:div w:id="546840412">
          <w:marLeft w:val="0"/>
          <w:marRight w:val="0"/>
          <w:marTop w:val="0"/>
          <w:marBottom w:val="0"/>
          <w:divBdr>
            <w:top w:val="none" w:sz="0" w:space="0" w:color="auto"/>
            <w:left w:val="none" w:sz="0" w:space="0" w:color="auto"/>
            <w:bottom w:val="none" w:sz="0" w:space="0" w:color="auto"/>
            <w:right w:val="none" w:sz="0" w:space="0" w:color="auto"/>
          </w:divBdr>
          <w:divsChild>
            <w:div w:id="2091582462">
              <w:marLeft w:val="0"/>
              <w:marRight w:val="0"/>
              <w:marTop w:val="0"/>
              <w:marBottom w:val="0"/>
              <w:divBdr>
                <w:top w:val="none" w:sz="0" w:space="0" w:color="auto"/>
                <w:left w:val="none" w:sz="0" w:space="0" w:color="auto"/>
                <w:bottom w:val="none" w:sz="0" w:space="0" w:color="auto"/>
                <w:right w:val="none" w:sz="0" w:space="0" w:color="auto"/>
              </w:divBdr>
            </w:div>
          </w:divsChild>
        </w:div>
        <w:div w:id="563763187">
          <w:marLeft w:val="0"/>
          <w:marRight w:val="0"/>
          <w:marTop w:val="0"/>
          <w:marBottom w:val="0"/>
          <w:divBdr>
            <w:top w:val="none" w:sz="0" w:space="0" w:color="auto"/>
            <w:left w:val="none" w:sz="0" w:space="0" w:color="auto"/>
            <w:bottom w:val="none" w:sz="0" w:space="0" w:color="auto"/>
            <w:right w:val="none" w:sz="0" w:space="0" w:color="auto"/>
          </w:divBdr>
          <w:divsChild>
            <w:div w:id="1650281321">
              <w:marLeft w:val="0"/>
              <w:marRight w:val="0"/>
              <w:marTop w:val="0"/>
              <w:marBottom w:val="0"/>
              <w:divBdr>
                <w:top w:val="none" w:sz="0" w:space="0" w:color="auto"/>
                <w:left w:val="none" w:sz="0" w:space="0" w:color="auto"/>
                <w:bottom w:val="none" w:sz="0" w:space="0" w:color="auto"/>
                <w:right w:val="none" w:sz="0" w:space="0" w:color="auto"/>
              </w:divBdr>
            </w:div>
          </w:divsChild>
        </w:div>
        <w:div w:id="576551570">
          <w:marLeft w:val="0"/>
          <w:marRight w:val="0"/>
          <w:marTop w:val="0"/>
          <w:marBottom w:val="0"/>
          <w:divBdr>
            <w:top w:val="none" w:sz="0" w:space="0" w:color="auto"/>
            <w:left w:val="none" w:sz="0" w:space="0" w:color="auto"/>
            <w:bottom w:val="none" w:sz="0" w:space="0" w:color="auto"/>
            <w:right w:val="none" w:sz="0" w:space="0" w:color="auto"/>
          </w:divBdr>
          <w:divsChild>
            <w:div w:id="131677352">
              <w:marLeft w:val="0"/>
              <w:marRight w:val="0"/>
              <w:marTop w:val="0"/>
              <w:marBottom w:val="0"/>
              <w:divBdr>
                <w:top w:val="none" w:sz="0" w:space="0" w:color="auto"/>
                <w:left w:val="none" w:sz="0" w:space="0" w:color="auto"/>
                <w:bottom w:val="none" w:sz="0" w:space="0" w:color="auto"/>
                <w:right w:val="none" w:sz="0" w:space="0" w:color="auto"/>
              </w:divBdr>
            </w:div>
          </w:divsChild>
        </w:div>
        <w:div w:id="612635159">
          <w:marLeft w:val="0"/>
          <w:marRight w:val="0"/>
          <w:marTop w:val="0"/>
          <w:marBottom w:val="0"/>
          <w:divBdr>
            <w:top w:val="none" w:sz="0" w:space="0" w:color="auto"/>
            <w:left w:val="none" w:sz="0" w:space="0" w:color="auto"/>
            <w:bottom w:val="none" w:sz="0" w:space="0" w:color="auto"/>
            <w:right w:val="none" w:sz="0" w:space="0" w:color="auto"/>
          </w:divBdr>
          <w:divsChild>
            <w:div w:id="1565022472">
              <w:marLeft w:val="0"/>
              <w:marRight w:val="0"/>
              <w:marTop w:val="0"/>
              <w:marBottom w:val="0"/>
              <w:divBdr>
                <w:top w:val="none" w:sz="0" w:space="0" w:color="auto"/>
                <w:left w:val="none" w:sz="0" w:space="0" w:color="auto"/>
                <w:bottom w:val="none" w:sz="0" w:space="0" w:color="auto"/>
                <w:right w:val="none" w:sz="0" w:space="0" w:color="auto"/>
              </w:divBdr>
            </w:div>
          </w:divsChild>
        </w:div>
        <w:div w:id="669331425">
          <w:marLeft w:val="0"/>
          <w:marRight w:val="0"/>
          <w:marTop w:val="0"/>
          <w:marBottom w:val="0"/>
          <w:divBdr>
            <w:top w:val="none" w:sz="0" w:space="0" w:color="auto"/>
            <w:left w:val="none" w:sz="0" w:space="0" w:color="auto"/>
            <w:bottom w:val="none" w:sz="0" w:space="0" w:color="auto"/>
            <w:right w:val="none" w:sz="0" w:space="0" w:color="auto"/>
          </w:divBdr>
          <w:divsChild>
            <w:div w:id="1285886061">
              <w:marLeft w:val="0"/>
              <w:marRight w:val="0"/>
              <w:marTop w:val="0"/>
              <w:marBottom w:val="0"/>
              <w:divBdr>
                <w:top w:val="none" w:sz="0" w:space="0" w:color="auto"/>
                <w:left w:val="none" w:sz="0" w:space="0" w:color="auto"/>
                <w:bottom w:val="none" w:sz="0" w:space="0" w:color="auto"/>
                <w:right w:val="none" w:sz="0" w:space="0" w:color="auto"/>
              </w:divBdr>
            </w:div>
          </w:divsChild>
        </w:div>
        <w:div w:id="677195310">
          <w:marLeft w:val="0"/>
          <w:marRight w:val="0"/>
          <w:marTop w:val="0"/>
          <w:marBottom w:val="0"/>
          <w:divBdr>
            <w:top w:val="none" w:sz="0" w:space="0" w:color="auto"/>
            <w:left w:val="none" w:sz="0" w:space="0" w:color="auto"/>
            <w:bottom w:val="none" w:sz="0" w:space="0" w:color="auto"/>
            <w:right w:val="none" w:sz="0" w:space="0" w:color="auto"/>
          </w:divBdr>
          <w:divsChild>
            <w:div w:id="706222239">
              <w:marLeft w:val="0"/>
              <w:marRight w:val="0"/>
              <w:marTop w:val="0"/>
              <w:marBottom w:val="0"/>
              <w:divBdr>
                <w:top w:val="none" w:sz="0" w:space="0" w:color="auto"/>
                <w:left w:val="none" w:sz="0" w:space="0" w:color="auto"/>
                <w:bottom w:val="none" w:sz="0" w:space="0" w:color="auto"/>
                <w:right w:val="none" w:sz="0" w:space="0" w:color="auto"/>
              </w:divBdr>
            </w:div>
          </w:divsChild>
        </w:div>
        <w:div w:id="803042199">
          <w:marLeft w:val="0"/>
          <w:marRight w:val="0"/>
          <w:marTop w:val="0"/>
          <w:marBottom w:val="0"/>
          <w:divBdr>
            <w:top w:val="none" w:sz="0" w:space="0" w:color="auto"/>
            <w:left w:val="none" w:sz="0" w:space="0" w:color="auto"/>
            <w:bottom w:val="none" w:sz="0" w:space="0" w:color="auto"/>
            <w:right w:val="none" w:sz="0" w:space="0" w:color="auto"/>
          </w:divBdr>
          <w:divsChild>
            <w:div w:id="612709558">
              <w:marLeft w:val="0"/>
              <w:marRight w:val="0"/>
              <w:marTop w:val="0"/>
              <w:marBottom w:val="0"/>
              <w:divBdr>
                <w:top w:val="none" w:sz="0" w:space="0" w:color="auto"/>
                <w:left w:val="none" w:sz="0" w:space="0" w:color="auto"/>
                <w:bottom w:val="none" w:sz="0" w:space="0" w:color="auto"/>
                <w:right w:val="none" w:sz="0" w:space="0" w:color="auto"/>
              </w:divBdr>
            </w:div>
          </w:divsChild>
        </w:div>
        <w:div w:id="808667708">
          <w:marLeft w:val="0"/>
          <w:marRight w:val="0"/>
          <w:marTop w:val="0"/>
          <w:marBottom w:val="0"/>
          <w:divBdr>
            <w:top w:val="none" w:sz="0" w:space="0" w:color="auto"/>
            <w:left w:val="none" w:sz="0" w:space="0" w:color="auto"/>
            <w:bottom w:val="none" w:sz="0" w:space="0" w:color="auto"/>
            <w:right w:val="none" w:sz="0" w:space="0" w:color="auto"/>
          </w:divBdr>
          <w:divsChild>
            <w:div w:id="1559199240">
              <w:marLeft w:val="0"/>
              <w:marRight w:val="0"/>
              <w:marTop w:val="0"/>
              <w:marBottom w:val="0"/>
              <w:divBdr>
                <w:top w:val="none" w:sz="0" w:space="0" w:color="auto"/>
                <w:left w:val="none" w:sz="0" w:space="0" w:color="auto"/>
                <w:bottom w:val="none" w:sz="0" w:space="0" w:color="auto"/>
                <w:right w:val="none" w:sz="0" w:space="0" w:color="auto"/>
              </w:divBdr>
            </w:div>
          </w:divsChild>
        </w:div>
        <w:div w:id="881746052">
          <w:marLeft w:val="0"/>
          <w:marRight w:val="0"/>
          <w:marTop w:val="0"/>
          <w:marBottom w:val="0"/>
          <w:divBdr>
            <w:top w:val="none" w:sz="0" w:space="0" w:color="auto"/>
            <w:left w:val="none" w:sz="0" w:space="0" w:color="auto"/>
            <w:bottom w:val="none" w:sz="0" w:space="0" w:color="auto"/>
            <w:right w:val="none" w:sz="0" w:space="0" w:color="auto"/>
          </w:divBdr>
          <w:divsChild>
            <w:div w:id="401828803">
              <w:marLeft w:val="0"/>
              <w:marRight w:val="0"/>
              <w:marTop w:val="0"/>
              <w:marBottom w:val="0"/>
              <w:divBdr>
                <w:top w:val="none" w:sz="0" w:space="0" w:color="auto"/>
                <w:left w:val="none" w:sz="0" w:space="0" w:color="auto"/>
                <w:bottom w:val="none" w:sz="0" w:space="0" w:color="auto"/>
                <w:right w:val="none" w:sz="0" w:space="0" w:color="auto"/>
              </w:divBdr>
            </w:div>
          </w:divsChild>
        </w:div>
        <w:div w:id="892811333">
          <w:marLeft w:val="0"/>
          <w:marRight w:val="0"/>
          <w:marTop w:val="0"/>
          <w:marBottom w:val="0"/>
          <w:divBdr>
            <w:top w:val="none" w:sz="0" w:space="0" w:color="auto"/>
            <w:left w:val="none" w:sz="0" w:space="0" w:color="auto"/>
            <w:bottom w:val="none" w:sz="0" w:space="0" w:color="auto"/>
            <w:right w:val="none" w:sz="0" w:space="0" w:color="auto"/>
          </w:divBdr>
          <w:divsChild>
            <w:div w:id="1472483942">
              <w:marLeft w:val="0"/>
              <w:marRight w:val="0"/>
              <w:marTop w:val="0"/>
              <w:marBottom w:val="0"/>
              <w:divBdr>
                <w:top w:val="none" w:sz="0" w:space="0" w:color="auto"/>
                <w:left w:val="none" w:sz="0" w:space="0" w:color="auto"/>
                <w:bottom w:val="none" w:sz="0" w:space="0" w:color="auto"/>
                <w:right w:val="none" w:sz="0" w:space="0" w:color="auto"/>
              </w:divBdr>
            </w:div>
          </w:divsChild>
        </w:div>
        <w:div w:id="947354934">
          <w:marLeft w:val="0"/>
          <w:marRight w:val="0"/>
          <w:marTop w:val="0"/>
          <w:marBottom w:val="0"/>
          <w:divBdr>
            <w:top w:val="none" w:sz="0" w:space="0" w:color="auto"/>
            <w:left w:val="none" w:sz="0" w:space="0" w:color="auto"/>
            <w:bottom w:val="none" w:sz="0" w:space="0" w:color="auto"/>
            <w:right w:val="none" w:sz="0" w:space="0" w:color="auto"/>
          </w:divBdr>
          <w:divsChild>
            <w:div w:id="828712323">
              <w:marLeft w:val="0"/>
              <w:marRight w:val="0"/>
              <w:marTop w:val="0"/>
              <w:marBottom w:val="0"/>
              <w:divBdr>
                <w:top w:val="none" w:sz="0" w:space="0" w:color="auto"/>
                <w:left w:val="none" w:sz="0" w:space="0" w:color="auto"/>
                <w:bottom w:val="none" w:sz="0" w:space="0" w:color="auto"/>
                <w:right w:val="none" w:sz="0" w:space="0" w:color="auto"/>
              </w:divBdr>
            </w:div>
          </w:divsChild>
        </w:div>
        <w:div w:id="967931056">
          <w:marLeft w:val="0"/>
          <w:marRight w:val="0"/>
          <w:marTop w:val="0"/>
          <w:marBottom w:val="0"/>
          <w:divBdr>
            <w:top w:val="none" w:sz="0" w:space="0" w:color="auto"/>
            <w:left w:val="none" w:sz="0" w:space="0" w:color="auto"/>
            <w:bottom w:val="none" w:sz="0" w:space="0" w:color="auto"/>
            <w:right w:val="none" w:sz="0" w:space="0" w:color="auto"/>
          </w:divBdr>
          <w:divsChild>
            <w:div w:id="2068995350">
              <w:marLeft w:val="0"/>
              <w:marRight w:val="0"/>
              <w:marTop w:val="0"/>
              <w:marBottom w:val="0"/>
              <w:divBdr>
                <w:top w:val="none" w:sz="0" w:space="0" w:color="auto"/>
                <w:left w:val="none" w:sz="0" w:space="0" w:color="auto"/>
                <w:bottom w:val="none" w:sz="0" w:space="0" w:color="auto"/>
                <w:right w:val="none" w:sz="0" w:space="0" w:color="auto"/>
              </w:divBdr>
            </w:div>
          </w:divsChild>
        </w:div>
        <w:div w:id="1002203301">
          <w:marLeft w:val="0"/>
          <w:marRight w:val="0"/>
          <w:marTop w:val="0"/>
          <w:marBottom w:val="0"/>
          <w:divBdr>
            <w:top w:val="none" w:sz="0" w:space="0" w:color="auto"/>
            <w:left w:val="none" w:sz="0" w:space="0" w:color="auto"/>
            <w:bottom w:val="none" w:sz="0" w:space="0" w:color="auto"/>
            <w:right w:val="none" w:sz="0" w:space="0" w:color="auto"/>
          </w:divBdr>
          <w:divsChild>
            <w:div w:id="1397508249">
              <w:marLeft w:val="0"/>
              <w:marRight w:val="0"/>
              <w:marTop w:val="0"/>
              <w:marBottom w:val="0"/>
              <w:divBdr>
                <w:top w:val="none" w:sz="0" w:space="0" w:color="auto"/>
                <w:left w:val="none" w:sz="0" w:space="0" w:color="auto"/>
                <w:bottom w:val="none" w:sz="0" w:space="0" w:color="auto"/>
                <w:right w:val="none" w:sz="0" w:space="0" w:color="auto"/>
              </w:divBdr>
            </w:div>
          </w:divsChild>
        </w:div>
        <w:div w:id="1055615884">
          <w:marLeft w:val="0"/>
          <w:marRight w:val="0"/>
          <w:marTop w:val="0"/>
          <w:marBottom w:val="0"/>
          <w:divBdr>
            <w:top w:val="none" w:sz="0" w:space="0" w:color="auto"/>
            <w:left w:val="none" w:sz="0" w:space="0" w:color="auto"/>
            <w:bottom w:val="none" w:sz="0" w:space="0" w:color="auto"/>
            <w:right w:val="none" w:sz="0" w:space="0" w:color="auto"/>
          </w:divBdr>
          <w:divsChild>
            <w:div w:id="325060500">
              <w:marLeft w:val="0"/>
              <w:marRight w:val="0"/>
              <w:marTop w:val="0"/>
              <w:marBottom w:val="0"/>
              <w:divBdr>
                <w:top w:val="none" w:sz="0" w:space="0" w:color="auto"/>
                <w:left w:val="none" w:sz="0" w:space="0" w:color="auto"/>
                <w:bottom w:val="none" w:sz="0" w:space="0" w:color="auto"/>
                <w:right w:val="none" w:sz="0" w:space="0" w:color="auto"/>
              </w:divBdr>
            </w:div>
          </w:divsChild>
        </w:div>
        <w:div w:id="1060790296">
          <w:marLeft w:val="0"/>
          <w:marRight w:val="0"/>
          <w:marTop w:val="0"/>
          <w:marBottom w:val="0"/>
          <w:divBdr>
            <w:top w:val="none" w:sz="0" w:space="0" w:color="auto"/>
            <w:left w:val="none" w:sz="0" w:space="0" w:color="auto"/>
            <w:bottom w:val="none" w:sz="0" w:space="0" w:color="auto"/>
            <w:right w:val="none" w:sz="0" w:space="0" w:color="auto"/>
          </w:divBdr>
          <w:divsChild>
            <w:div w:id="2081444217">
              <w:marLeft w:val="0"/>
              <w:marRight w:val="0"/>
              <w:marTop w:val="0"/>
              <w:marBottom w:val="0"/>
              <w:divBdr>
                <w:top w:val="none" w:sz="0" w:space="0" w:color="auto"/>
                <w:left w:val="none" w:sz="0" w:space="0" w:color="auto"/>
                <w:bottom w:val="none" w:sz="0" w:space="0" w:color="auto"/>
                <w:right w:val="none" w:sz="0" w:space="0" w:color="auto"/>
              </w:divBdr>
            </w:div>
          </w:divsChild>
        </w:div>
        <w:div w:id="1093279696">
          <w:marLeft w:val="0"/>
          <w:marRight w:val="0"/>
          <w:marTop w:val="0"/>
          <w:marBottom w:val="0"/>
          <w:divBdr>
            <w:top w:val="none" w:sz="0" w:space="0" w:color="auto"/>
            <w:left w:val="none" w:sz="0" w:space="0" w:color="auto"/>
            <w:bottom w:val="none" w:sz="0" w:space="0" w:color="auto"/>
            <w:right w:val="none" w:sz="0" w:space="0" w:color="auto"/>
          </w:divBdr>
          <w:divsChild>
            <w:div w:id="526674476">
              <w:marLeft w:val="0"/>
              <w:marRight w:val="0"/>
              <w:marTop w:val="0"/>
              <w:marBottom w:val="0"/>
              <w:divBdr>
                <w:top w:val="none" w:sz="0" w:space="0" w:color="auto"/>
                <w:left w:val="none" w:sz="0" w:space="0" w:color="auto"/>
                <w:bottom w:val="none" w:sz="0" w:space="0" w:color="auto"/>
                <w:right w:val="none" w:sz="0" w:space="0" w:color="auto"/>
              </w:divBdr>
            </w:div>
          </w:divsChild>
        </w:div>
        <w:div w:id="1122458440">
          <w:marLeft w:val="0"/>
          <w:marRight w:val="0"/>
          <w:marTop w:val="0"/>
          <w:marBottom w:val="0"/>
          <w:divBdr>
            <w:top w:val="none" w:sz="0" w:space="0" w:color="auto"/>
            <w:left w:val="none" w:sz="0" w:space="0" w:color="auto"/>
            <w:bottom w:val="none" w:sz="0" w:space="0" w:color="auto"/>
            <w:right w:val="none" w:sz="0" w:space="0" w:color="auto"/>
          </w:divBdr>
          <w:divsChild>
            <w:div w:id="1403604499">
              <w:marLeft w:val="0"/>
              <w:marRight w:val="0"/>
              <w:marTop w:val="0"/>
              <w:marBottom w:val="0"/>
              <w:divBdr>
                <w:top w:val="none" w:sz="0" w:space="0" w:color="auto"/>
                <w:left w:val="none" w:sz="0" w:space="0" w:color="auto"/>
                <w:bottom w:val="none" w:sz="0" w:space="0" w:color="auto"/>
                <w:right w:val="none" w:sz="0" w:space="0" w:color="auto"/>
              </w:divBdr>
            </w:div>
          </w:divsChild>
        </w:div>
        <w:div w:id="1136532918">
          <w:marLeft w:val="0"/>
          <w:marRight w:val="0"/>
          <w:marTop w:val="0"/>
          <w:marBottom w:val="0"/>
          <w:divBdr>
            <w:top w:val="none" w:sz="0" w:space="0" w:color="auto"/>
            <w:left w:val="none" w:sz="0" w:space="0" w:color="auto"/>
            <w:bottom w:val="none" w:sz="0" w:space="0" w:color="auto"/>
            <w:right w:val="none" w:sz="0" w:space="0" w:color="auto"/>
          </w:divBdr>
          <w:divsChild>
            <w:div w:id="553590171">
              <w:marLeft w:val="0"/>
              <w:marRight w:val="0"/>
              <w:marTop w:val="0"/>
              <w:marBottom w:val="0"/>
              <w:divBdr>
                <w:top w:val="none" w:sz="0" w:space="0" w:color="auto"/>
                <w:left w:val="none" w:sz="0" w:space="0" w:color="auto"/>
                <w:bottom w:val="none" w:sz="0" w:space="0" w:color="auto"/>
                <w:right w:val="none" w:sz="0" w:space="0" w:color="auto"/>
              </w:divBdr>
            </w:div>
          </w:divsChild>
        </w:div>
        <w:div w:id="1216887418">
          <w:marLeft w:val="0"/>
          <w:marRight w:val="0"/>
          <w:marTop w:val="0"/>
          <w:marBottom w:val="0"/>
          <w:divBdr>
            <w:top w:val="none" w:sz="0" w:space="0" w:color="auto"/>
            <w:left w:val="none" w:sz="0" w:space="0" w:color="auto"/>
            <w:bottom w:val="none" w:sz="0" w:space="0" w:color="auto"/>
            <w:right w:val="none" w:sz="0" w:space="0" w:color="auto"/>
          </w:divBdr>
          <w:divsChild>
            <w:div w:id="214581451">
              <w:marLeft w:val="0"/>
              <w:marRight w:val="0"/>
              <w:marTop w:val="0"/>
              <w:marBottom w:val="0"/>
              <w:divBdr>
                <w:top w:val="none" w:sz="0" w:space="0" w:color="auto"/>
                <w:left w:val="none" w:sz="0" w:space="0" w:color="auto"/>
                <w:bottom w:val="none" w:sz="0" w:space="0" w:color="auto"/>
                <w:right w:val="none" w:sz="0" w:space="0" w:color="auto"/>
              </w:divBdr>
            </w:div>
          </w:divsChild>
        </w:div>
        <w:div w:id="1284383921">
          <w:marLeft w:val="0"/>
          <w:marRight w:val="0"/>
          <w:marTop w:val="0"/>
          <w:marBottom w:val="0"/>
          <w:divBdr>
            <w:top w:val="none" w:sz="0" w:space="0" w:color="auto"/>
            <w:left w:val="none" w:sz="0" w:space="0" w:color="auto"/>
            <w:bottom w:val="none" w:sz="0" w:space="0" w:color="auto"/>
            <w:right w:val="none" w:sz="0" w:space="0" w:color="auto"/>
          </w:divBdr>
          <w:divsChild>
            <w:div w:id="1086926786">
              <w:marLeft w:val="0"/>
              <w:marRight w:val="0"/>
              <w:marTop w:val="0"/>
              <w:marBottom w:val="0"/>
              <w:divBdr>
                <w:top w:val="none" w:sz="0" w:space="0" w:color="auto"/>
                <w:left w:val="none" w:sz="0" w:space="0" w:color="auto"/>
                <w:bottom w:val="none" w:sz="0" w:space="0" w:color="auto"/>
                <w:right w:val="none" w:sz="0" w:space="0" w:color="auto"/>
              </w:divBdr>
            </w:div>
          </w:divsChild>
        </w:div>
        <w:div w:id="1289773496">
          <w:marLeft w:val="0"/>
          <w:marRight w:val="0"/>
          <w:marTop w:val="0"/>
          <w:marBottom w:val="0"/>
          <w:divBdr>
            <w:top w:val="none" w:sz="0" w:space="0" w:color="auto"/>
            <w:left w:val="none" w:sz="0" w:space="0" w:color="auto"/>
            <w:bottom w:val="none" w:sz="0" w:space="0" w:color="auto"/>
            <w:right w:val="none" w:sz="0" w:space="0" w:color="auto"/>
          </w:divBdr>
          <w:divsChild>
            <w:div w:id="320429168">
              <w:marLeft w:val="0"/>
              <w:marRight w:val="0"/>
              <w:marTop w:val="0"/>
              <w:marBottom w:val="0"/>
              <w:divBdr>
                <w:top w:val="none" w:sz="0" w:space="0" w:color="auto"/>
                <w:left w:val="none" w:sz="0" w:space="0" w:color="auto"/>
                <w:bottom w:val="none" w:sz="0" w:space="0" w:color="auto"/>
                <w:right w:val="none" w:sz="0" w:space="0" w:color="auto"/>
              </w:divBdr>
            </w:div>
          </w:divsChild>
        </w:div>
        <w:div w:id="1291932526">
          <w:marLeft w:val="0"/>
          <w:marRight w:val="0"/>
          <w:marTop w:val="0"/>
          <w:marBottom w:val="0"/>
          <w:divBdr>
            <w:top w:val="none" w:sz="0" w:space="0" w:color="auto"/>
            <w:left w:val="none" w:sz="0" w:space="0" w:color="auto"/>
            <w:bottom w:val="none" w:sz="0" w:space="0" w:color="auto"/>
            <w:right w:val="none" w:sz="0" w:space="0" w:color="auto"/>
          </w:divBdr>
          <w:divsChild>
            <w:div w:id="1751586586">
              <w:marLeft w:val="0"/>
              <w:marRight w:val="0"/>
              <w:marTop w:val="0"/>
              <w:marBottom w:val="0"/>
              <w:divBdr>
                <w:top w:val="none" w:sz="0" w:space="0" w:color="auto"/>
                <w:left w:val="none" w:sz="0" w:space="0" w:color="auto"/>
                <w:bottom w:val="none" w:sz="0" w:space="0" w:color="auto"/>
                <w:right w:val="none" w:sz="0" w:space="0" w:color="auto"/>
              </w:divBdr>
            </w:div>
          </w:divsChild>
        </w:div>
        <w:div w:id="1309089428">
          <w:marLeft w:val="0"/>
          <w:marRight w:val="0"/>
          <w:marTop w:val="0"/>
          <w:marBottom w:val="0"/>
          <w:divBdr>
            <w:top w:val="none" w:sz="0" w:space="0" w:color="auto"/>
            <w:left w:val="none" w:sz="0" w:space="0" w:color="auto"/>
            <w:bottom w:val="none" w:sz="0" w:space="0" w:color="auto"/>
            <w:right w:val="none" w:sz="0" w:space="0" w:color="auto"/>
          </w:divBdr>
          <w:divsChild>
            <w:div w:id="2080472548">
              <w:marLeft w:val="0"/>
              <w:marRight w:val="0"/>
              <w:marTop w:val="0"/>
              <w:marBottom w:val="0"/>
              <w:divBdr>
                <w:top w:val="none" w:sz="0" w:space="0" w:color="auto"/>
                <w:left w:val="none" w:sz="0" w:space="0" w:color="auto"/>
                <w:bottom w:val="none" w:sz="0" w:space="0" w:color="auto"/>
                <w:right w:val="none" w:sz="0" w:space="0" w:color="auto"/>
              </w:divBdr>
            </w:div>
          </w:divsChild>
        </w:div>
        <w:div w:id="1440174992">
          <w:marLeft w:val="0"/>
          <w:marRight w:val="0"/>
          <w:marTop w:val="0"/>
          <w:marBottom w:val="0"/>
          <w:divBdr>
            <w:top w:val="none" w:sz="0" w:space="0" w:color="auto"/>
            <w:left w:val="none" w:sz="0" w:space="0" w:color="auto"/>
            <w:bottom w:val="none" w:sz="0" w:space="0" w:color="auto"/>
            <w:right w:val="none" w:sz="0" w:space="0" w:color="auto"/>
          </w:divBdr>
          <w:divsChild>
            <w:div w:id="651910596">
              <w:marLeft w:val="0"/>
              <w:marRight w:val="0"/>
              <w:marTop w:val="0"/>
              <w:marBottom w:val="0"/>
              <w:divBdr>
                <w:top w:val="none" w:sz="0" w:space="0" w:color="auto"/>
                <w:left w:val="none" w:sz="0" w:space="0" w:color="auto"/>
                <w:bottom w:val="none" w:sz="0" w:space="0" w:color="auto"/>
                <w:right w:val="none" w:sz="0" w:space="0" w:color="auto"/>
              </w:divBdr>
            </w:div>
          </w:divsChild>
        </w:div>
        <w:div w:id="1461075992">
          <w:marLeft w:val="0"/>
          <w:marRight w:val="0"/>
          <w:marTop w:val="0"/>
          <w:marBottom w:val="0"/>
          <w:divBdr>
            <w:top w:val="none" w:sz="0" w:space="0" w:color="auto"/>
            <w:left w:val="none" w:sz="0" w:space="0" w:color="auto"/>
            <w:bottom w:val="none" w:sz="0" w:space="0" w:color="auto"/>
            <w:right w:val="none" w:sz="0" w:space="0" w:color="auto"/>
          </w:divBdr>
          <w:divsChild>
            <w:div w:id="865405771">
              <w:marLeft w:val="0"/>
              <w:marRight w:val="0"/>
              <w:marTop w:val="0"/>
              <w:marBottom w:val="0"/>
              <w:divBdr>
                <w:top w:val="none" w:sz="0" w:space="0" w:color="auto"/>
                <w:left w:val="none" w:sz="0" w:space="0" w:color="auto"/>
                <w:bottom w:val="none" w:sz="0" w:space="0" w:color="auto"/>
                <w:right w:val="none" w:sz="0" w:space="0" w:color="auto"/>
              </w:divBdr>
            </w:div>
          </w:divsChild>
        </w:div>
        <w:div w:id="1487286779">
          <w:marLeft w:val="0"/>
          <w:marRight w:val="0"/>
          <w:marTop w:val="0"/>
          <w:marBottom w:val="0"/>
          <w:divBdr>
            <w:top w:val="none" w:sz="0" w:space="0" w:color="auto"/>
            <w:left w:val="none" w:sz="0" w:space="0" w:color="auto"/>
            <w:bottom w:val="none" w:sz="0" w:space="0" w:color="auto"/>
            <w:right w:val="none" w:sz="0" w:space="0" w:color="auto"/>
          </w:divBdr>
          <w:divsChild>
            <w:div w:id="1108618882">
              <w:marLeft w:val="0"/>
              <w:marRight w:val="0"/>
              <w:marTop w:val="0"/>
              <w:marBottom w:val="0"/>
              <w:divBdr>
                <w:top w:val="none" w:sz="0" w:space="0" w:color="auto"/>
                <w:left w:val="none" w:sz="0" w:space="0" w:color="auto"/>
                <w:bottom w:val="none" w:sz="0" w:space="0" w:color="auto"/>
                <w:right w:val="none" w:sz="0" w:space="0" w:color="auto"/>
              </w:divBdr>
            </w:div>
          </w:divsChild>
        </w:div>
        <w:div w:id="1530607347">
          <w:marLeft w:val="0"/>
          <w:marRight w:val="0"/>
          <w:marTop w:val="0"/>
          <w:marBottom w:val="0"/>
          <w:divBdr>
            <w:top w:val="none" w:sz="0" w:space="0" w:color="auto"/>
            <w:left w:val="none" w:sz="0" w:space="0" w:color="auto"/>
            <w:bottom w:val="none" w:sz="0" w:space="0" w:color="auto"/>
            <w:right w:val="none" w:sz="0" w:space="0" w:color="auto"/>
          </w:divBdr>
          <w:divsChild>
            <w:div w:id="2137598207">
              <w:marLeft w:val="0"/>
              <w:marRight w:val="0"/>
              <w:marTop w:val="0"/>
              <w:marBottom w:val="0"/>
              <w:divBdr>
                <w:top w:val="none" w:sz="0" w:space="0" w:color="auto"/>
                <w:left w:val="none" w:sz="0" w:space="0" w:color="auto"/>
                <w:bottom w:val="none" w:sz="0" w:space="0" w:color="auto"/>
                <w:right w:val="none" w:sz="0" w:space="0" w:color="auto"/>
              </w:divBdr>
            </w:div>
          </w:divsChild>
        </w:div>
        <w:div w:id="1550069570">
          <w:marLeft w:val="0"/>
          <w:marRight w:val="0"/>
          <w:marTop w:val="0"/>
          <w:marBottom w:val="0"/>
          <w:divBdr>
            <w:top w:val="none" w:sz="0" w:space="0" w:color="auto"/>
            <w:left w:val="none" w:sz="0" w:space="0" w:color="auto"/>
            <w:bottom w:val="none" w:sz="0" w:space="0" w:color="auto"/>
            <w:right w:val="none" w:sz="0" w:space="0" w:color="auto"/>
          </w:divBdr>
          <w:divsChild>
            <w:div w:id="133447817">
              <w:marLeft w:val="0"/>
              <w:marRight w:val="0"/>
              <w:marTop w:val="0"/>
              <w:marBottom w:val="0"/>
              <w:divBdr>
                <w:top w:val="none" w:sz="0" w:space="0" w:color="auto"/>
                <w:left w:val="none" w:sz="0" w:space="0" w:color="auto"/>
                <w:bottom w:val="none" w:sz="0" w:space="0" w:color="auto"/>
                <w:right w:val="none" w:sz="0" w:space="0" w:color="auto"/>
              </w:divBdr>
            </w:div>
          </w:divsChild>
        </w:div>
        <w:div w:id="1578437635">
          <w:marLeft w:val="0"/>
          <w:marRight w:val="0"/>
          <w:marTop w:val="0"/>
          <w:marBottom w:val="0"/>
          <w:divBdr>
            <w:top w:val="none" w:sz="0" w:space="0" w:color="auto"/>
            <w:left w:val="none" w:sz="0" w:space="0" w:color="auto"/>
            <w:bottom w:val="none" w:sz="0" w:space="0" w:color="auto"/>
            <w:right w:val="none" w:sz="0" w:space="0" w:color="auto"/>
          </w:divBdr>
          <w:divsChild>
            <w:div w:id="249898306">
              <w:marLeft w:val="0"/>
              <w:marRight w:val="0"/>
              <w:marTop w:val="0"/>
              <w:marBottom w:val="0"/>
              <w:divBdr>
                <w:top w:val="none" w:sz="0" w:space="0" w:color="auto"/>
                <w:left w:val="none" w:sz="0" w:space="0" w:color="auto"/>
                <w:bottom w:val="none" w:sz="0" w:space="0" w:color="auto"/>
                <w:right w:val="none" w:sz="0" w:space="0" w:color="auto"/>
              </w:divBdr>
            </w:div>
          </w:divsChild>
        </w:div>
        <w:div w:id="1613854051">
          <w:marLeft w:val="0"/>
          <w:marRight w:val="0"/>
          <w:marTop w:val="0"/>
          <w:marBottom w:val="0"/>
          <w:divBdr>
            <w:top w:val="none" w:sz="0" w:space="0" w:color="auto"/>
            <w:left w:val="none" w:sz="0" w:space="0" w:color="auto"/>
            <w:bottom w:val="none" w:sz="0" w:space="0" w:color="auto"/>
            <w:right w:val="none" w:sz="0" w:space="0" w:color="auto"/>
          </w:divBdr>
          <w:divsChild>
            <w:div w:id="1484547872">
              <w:marLeft w:val="0"/>
              <w:marRight w:val="0"/>
              <w:marTop w:val="0"/>
              <w:marBottom w:val="0"/>
              <w:divBdr>
                <w:top w:val="none" w:sz="0" w:space="0" w:color="auto"/>
                <w:left w:val="none" w:sz="0" w:space="0" w:color="auto"/>
                <w:bottom w:val="none" w:sz="0" w:space="0" w:color="auto"/>
                <w:right w:val="none" w:sz="0" w:space="0" w:color="auto"/>
              </w:divBdr>
            </w:div>
          </w:divsChild>
        </w:div>
        <w:div w:id="1638489131">
          <w:marLeft w:val="0"/>
          <w:marRight w:val="0"/>
          <w:marTop w:val="0"/>
          <w:marBottom w:val="0"/>
          <w:divBdr>
            <w:top w:val="none" w:sz="0" w:space="0" w:color="auto"/>
            <w:left w:val="none" w:sz="0" w:space="0" w:color="auto"/>
            <w:bottom w:val="none" w:sz="0" w:space="0" w:color="auto"/>
            <w:right w:val="none" w:sz="0" w:space="0" w:color="auto"/>
          </w:divBdr>
          <w:divsChild>
            <w:div w:id="265893497">
              <w:marLeft w:val="0"/>
              <w:marRight w:val="0"/>
              <w:marTop w:val="0"/>
              <w:marBottom w:val="0"/>
              <w:divBdr>
                <w:top w:val="none" w:sz="0" w:space="0" w:color="auto"/>
                <w:left w:val="none" w:sz="0" w:space="0" w:color="auto"/>
                <w:bottom w:val="none" w:sz="0" w:space="0" w:color="auto"/>
                <w:right w:val="none" w:sz="0" w:space="0" w:color="auto"/>
              </w:divBdr>
            </w:div>
          </w:divsChild>
        </w:div>
        <w:div w:id="1654334750">
          <w:marLeft w:val="0"/>
          <w:marRight w:val="0"/>
          <w:marTop w:val="0"/>
          <w:marBottom w:val="0"/>
          <w:divBdr>
            <w:top w:val="none" w:sz="0" w:space="0" w:color="auto"/>
            <w:left w:val="none" w:sz="0" w:space="0" w:color="auto"/>
            <w:bottom w:val="none" w:sz="0" w:space="0" w:color="auto"/>
            <w:right w:val="none" w:sz="0" w:space="0" w:color="auto"/>
          </w:divBdr>
          <w:divsChild>
            <w:div w:id="1963416765">
              <w:marLeft w:val="0"/>
              <w:marRight w:val="0"/>
              <w:marTop w:val="0"/>
              <w:marBottom w:val="0"/>
              <w:divBdr>
                <w:top w:val="none" w:sz="0" w:space="0" w:color="auto"/>
                <w:left w:val="none" w:sz="0" w:space="0" w:color="auto"/>
                <w:bottom w:val="none" w:sz="0" w:space="0" w:color="auto"/>
                <w:right w:val="none" w:sz="0" w:space="0" w:color="auto"/>
              </w:divBdr>
            </w:div>
          </w:divsChild>
        </w:div>
        <w:div w:id="1664892236">
          <w:marLeft w:val="0"/>
          <w:marRight w:val="0"/>
          <w:marTop w:val="0"/>
          <w:marBottom w:val="0"/>
          <w:divBdr>
            <w:top w:val="none" w:sz="0" w:space="0" w:color="auto"/>
            <w:left w:val="none" w:sz="0" w:space="0" w:color="auto"/>
            <w:bottom w:val="none" w:sz="0" w:space="0" w:color="auto"/>
            <w:right w:val="none" w:sz="0" w:space="0" w:color="auto"/>
          </w:divBdr>
          <w:divsChild>
            <w:div w:id="303706371">
              <w:marLeft w:val="0"/>
              <w:marRight w:val="0"/>
              <w:marTop w:val="0"/>
              <w:marBottom w:val="0"/>
              <w:divBdr>
                <w:top w:val="none" w:sz="0" w:space="0" w:color="auto"/>
                <w:left w:val="none" w:sz="0" w:space="0" w:color="auto"/>
                <w:bottom w:val="none" w:sz="0" w:space="0" w:color="auto"/>
                <w:right w:val="none" w:sz="0" w:space="0" w:color="auto"/>
              </w:divBdr>
            </w:div>
          </w:divsChild>
        </w:div>
        <w:div w:id="1702631752">
          <w:marLeft w:val="0"/>
          <w:marRight w:val="0"/>
          <w:marTop w:val="0"/>
          <w:marBottom w:val="0"/>
          <w:divBdr>
            <w:top w:val="none" w:sz="0" w:space="0" w:color="auto"/>
            <w:left w:val="none" w:sz="0" w:space="0" w:color="auto"/>
            <w:bottom w:val="none" w:sz="0" w:space="0" w:color="auto"/>
            <w:right w:val="none" w:sz="0" w:space="0" w:color="auto"/>
          </w:divBdr>
          <w:divsChild>
            <w:div w:id="1554385590">
              <w:marLeft w:val="0"/>
              <w:marRight w:val="0"/>
              <w:marTop w:val="0"/>
              <w:marBottom w:val="0"/>
              <w:divBdr>
                <w:top w:val="none" w:sz="0" w:space="0" w:color="auto"/>
                <w:left w:val="none" w:sz="0" w:space="0" w:color="auto"/>
                <w:bottom w:val="none" w:sz="0" w:space="0" w:color="auto"/>
                <w:right w:val="none" w:sz="0" w:space="0" w:color="auto"/>
              </w:divBdr>
            </w:div>
          </w:divsChild>
        </w:div>
        <w:div w:id="1746995032">
          <w:marLeft w:val="0"/>
          <w:marRight w:val="0"/>
          <w:marTop w:val="0"/>
          <w:marBottom w:val="0"/>
          <w:divBdr>
            <w:top w:val="none" w:sz="0" w:space="0" w:color="auto"/>
            <w:left w:val="none" w:sz="0" w:space="0" w:color="auto"/>
            <w:bottom w:val="none" w:sz="0" w:space="0" w:color="auto"/>
            <w:right w:val="none" w:sz="0" w:space="0" w:color="auto"/>
          </w:divBdr>
          <w:divsChild>
            <w:div w:id="235284622">
              <w:marLeft w:val="0"/>
              <w:marRight w:val="0"/>
              <w:marTop w:val="0"/>
              <w:marBottom w:val="0"/>
              <w:divBdr>
                <w:top w:val="none" w:sz="0" w:space="0" w:color="auto"/>
                <w:left w:val="none" w:sz="0" w:space="0" w:color="auto"/>
                <w:bottom w:val="none" w:sz="0" w:space="0" w:color="auto"/>
                <w:right w:val="none" w:sz="0" w:space="0" w:color="auto"/>
              </w:divBdr>
            </w:div>
          </w:divsChild>
        </w:div>
        <w:div w:id="1763406942">
          <w:marLeft w:val="0"/>
          <w:marRight w:val="0"/>
          <w:marTop w:val="0"/>
          <w:marBottom w:val="0"/>
          <w:divBdr>
            <w:top w:val="none" w:sz="0" w:space="0" w:color="auto"/>
            <w:left w:val="none" w:sz="0" w:space="0" w:color="auto"/>
            <w:bottom w:val="none" w:sz="0" w:space="0" w:color="auto"/>
            <w:right w:val="none" w:sz="0" w:space="0" w:color="auto"/>
          </w:divBdr>
          <w:divsChild>
            <w:div w:id="1667635021">
              <w:marLeft w:val="0"/>
              <w:marRight w:val="0"/>
              <w:marTop w:val="0"/>
              <w:marBottom w:val="0"/>
              <w:divBdr>
                <w:top w:val="none" w:sz="0" w:space="0" w:color="auto"/>
                <w:left w:val="none" w:sz="0" w:space="0" w:color="auto"/>
                <w:bottom w:val="none" w:sz="0" w:space="0" w:color="auto"/>
                <w:right w:val="none" w:sz="0" w:space="0" w:color="auto"/>
              </w:divBdr>
            </w:div>
          </w:divsChild>
        </w:div>
        <w:div w:id="1813056427">
          <w:marLeft w:val="0"/>
          <w:marRight w:val="0"/>
          <w:marTop w:val="0"/>
          <w:marBottom w:val="0"/>
          <w:divBdr>
            <w:top w:val="none" w:sz="0" w:space="0" w:color="auto"/>
            <w:left w:val="none" w:sz="0" w:space="0" w:color="auto"/>
            <w:bottom w:val="none" w:sz="0" w:space="0" w:color="auto"/>
            <w:right w:val="none" w:sz="0" w:space="0" w:color="auto"/>
          </w:divBdr>
          <w:divsChild>
            <w:div w:id="790897709">
              <w:marLeft w:val="0"/>
              <w:marRight w:val="0"/>
              <w:marTop w:val="0"/>
              <w:marBottom w:val="0"/>
              <w:divBdr>
                <w:top w:val="none" w:sz="0" w:space="0" w:color="auto"/>
                <w:left w:val="none" w:sz="0" w:space="0" w:color="auto"/>
                <w:bottom w:val="none" w:sz="0" w:space="0" w:color="auto"/>
                <w:right w:val="none" w:sz="0" w:space="0" w:color="auto"/>
              </w:divBdr>
            </w:div>
          </w:divsChild>
        </w:div>
        <w:div w:id="1855487456">
          <w:marLeft w:val="0"/>
          <w:marRight w:val="0"/>
          <w:marTop w:val="0"/>
          <w:marBottom w:val="0"/>
          <w:divBdr>
            <w:top w:val="none" w:sz="0" w:space="0" w:color="auto"/>
            <w:left w:val="none" w:sz="0" w:space="0" w:color="auto"/>
            <w:bottom w:val="none" w:sz="0" w:space="0" w:color="auto"/>
            <w:right w:val="none" w:sz="0" w:space="0" w:color="auto"/>
          </w:divBdr>
          <w:divsChild>
            <w:div w:id="931084271">
              <w:marLeft w:val="0"/>
              <w:marRight w:val="0"/>
              <w:marTop w:val="0"/>
              <w:marBottom w:val="0"/>
              <w:divBdr>
                <w:top w:val="none" w:sz="0" w:space="0" w:color="auto"/>
                <w:left w:val="none" w:sz="0" w:space="0" w:color="auto"/>
                <w:bottom w:val="none" w:sz="0" w:space="0" w:color="auto"/>
                <w:right w:val="none" w:sz="0" w:space="0" w:color="auto"/>
              </w:divBdr>
            </w:div>
          </w:divsChild>
        </w:div>
        <w:div w:id="2052923745">
          <w:marLeft w:val="0"/>
          <w:marRight w:val="0"/>
          <w:marTop w:val="0"/>
          <w:marBottom w:val="0"/>
          <w:divBdr>
            <w:top w:val="none" w:sz="0" w:space="0" w:color="auto"/>
            <w:left w:val="none" w:sz="0" w:space="0" w:color="auto"/>
            <w:bottom w:val="none" w:sz="0" w:space="0" w:color="auto"/>
            <w:right w:val="none" w:sz="0" w:space="0" w:color="auto"/>
          </w:divBdr>
          <w:divsChild>
            <w:div w:id="781657477">
              <w:marLeft w:val="0"/>
              <w:marRight w:val="0"/>
              <w:marTop w:val="0"/>
              <w:marBottom w:val="0"/>
              <w:divBdr>
                <w:top w:val="none" w:sz="0" w:space="0" w:color="auto"/>
                <w:left w:val="none" w:sz="0" w:space="0" w:color="auto"/>
                <w:bottom w:val="none" w:sz="0" w:space="0" w:color="auto"/>
                <w:right w:val="none" w:sz="0" w:space="0" w:color="auto"/>
              </w:divBdr>
            </w:div>
          </w:divsChild>
        </w:div>
        <w:div w:id="2101365856">
          <w:marLeft w:val="0"/>
          <w:marRight w:val="0"/>
          <w:marTop w:val="0"/>
          <w:marBottom w:val="0"/>
          <w:divBdr>
            <w:top w:val="none" w:sz="0" w:space="0" w:color="auto"/>
            <w:left w:val="none" w:sz="0" w:space="0" w:color="auto"/>
            <w:bottom w:val="none" w:sz="0" w:space="0" w:color="auto"/>
            <w:right w:val="none" w:sz="0" w:space="0" w:color="auto"/>
          </w:divBdr>
          <w:divsChild>
            <w:div w:id="1156186806">
              <w:marLeft w:val="0"/>
              <w:marRight w:val="0"/>
              <w:marTop w:val="0"/>
              <w:marBottom w:val="0"/>
              <w:divBdr>
                <w:top w:val="none" w:sz="0" w:space="0" w:color="auto"/>
                <w:left w:val="none" w:sz="0" w:space="0" w:color="auto"/>
                <w:bottom w:val="none" w:sz="0" w:space="0" w:color="auto"/>
                <w:right w:val="none" w:sz="0" w:space="0" w:color="auto"/>
              </w:divBdr>
            </w:div>
          </w:divsChild>
        </w:div>
        <w:div w:id="2134789622">
          <w:marLeft w:val="0"/>
          <w:marRight w:val="0"/>
          <w:marTop w:val="0"/>
          <w:marBottom w:val="0"/>
          <w:divBdr>
            <w:top w:val="none" w:sz="0" w:space="0" w:color="auto"/>
            <w:left w:val="none" w:sz="0" w:space="0" w:color="auto"/>
            <w:bottom w:val="none" w:sz="0" w:space="0" w:color="auto"/>
            <w:right w:val="none" w:sz="0" w:space="0" w:color="auto"/>
          </w:divBdr>
          <w:divsChild>
            <w:div w:id="17958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017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38056662">
      <w:bodyDiv w:val="1"/>
      <w:marLeft w:val="0"/>
      <w:marRight w:val="0"/>
      <w:marTop w:val="0"/>
      <w:marBottom w:val="0"/>
      <w:divBdr>
        <w:top w:val="none" w:sz="0" w:space="0" w:color="auto"/>
        <w:left w:val="none" w:sz="0" w:space="0" w:color="auto"/>
        <w:bottom w:val="none" w:sz="0" w:space="0" w:color="auto"/>
        <w:right w:val="none" w:sz="0" w:space="0" w:color="auto"/>
      </w:divBdr>
    </w:div>
    <w:div w:id="1944461116">
      <w:bodyDiv w:val="1"/>
      <w:marLeft w:val="0"/>
      <w:marRight w:val="0"/>
      <w:marTop w:val="0"/>
      <w:marBottom w:val="0"/>
      <w:divBdr>
        <w:top w:val="none" w:sz="0" w:space="0" w:color="auto"/>
        <w:left w:val="none" w:sz="0" w:space="0" w:color="auto"/>
        <w:bottom w:val="none" w:sz="0" w:space="0" w:color="auto"/>
        <w:right w:val="none" w:sz="0" w:space="0" w:color="auto"/>
      </w:divBdr>
    </w:div>
    <w:div w:id="1958945059">
      <w:bodyDiv w:val="1"/>
      <w:marLeft w:val="0"/>
      <w:marRight w:val="0"/>
      <w:marTop w:val="0"/>
      <w:marBottom w:val="0"/>
      <w:divBdr>
        <w:top w:val="none" w:sz="0" w:space="0" w:color="auto"/>
        <w:left w:val="none" w:sz="0" w:space="0" w:color="auto"/>
        <w:bottom w:val="none" w:sz="0" w:space="0" w:color="auto"/>
        <w:right w:val="none" w:sz="0" w:space="0" w:color="auto"/>
      </w:divBdr>
    </w:div>
    <w:div w:id="1958949889">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2022924378">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2607236">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089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mhalink.informz.net/mhalink/data/images/December%202024%20Throughput%20Survey%20Report%20Draft%20v2.pdf" TargetMode="External"/><Relationship Id="rId13" Type="http://schemas.openxmlformats.org/officeDocument/2006/relationships/hyperlink" Target="https://journals.lww.com/lww-medicalcare/Fulltext/2015/07000/The_Role_of_Long_term_Acute_Care_Hospitals_in.5.aspx" TargetMode="External"/><Relationship Id="rId18" Type="http://schemas.openxmlformats.org/officeDocument/2006/relationships/hyperlink" Target="https://hcup-us.ahrq.gov/reports/statbriefs/sb278-Conditions-Frequent-Readmissions-By-Payer-2018.jsp" TargetMode="External"/><Relationship Id="rId26" Type="http://schemas.openxmlformats.org/officeDocument/2006/relationships/hyperlink" Target="https://nchstats.com/average-cost-of-hospital-stays-in-us/" TargetMode="External"/><Relationship Id="rId3" Type="http://schemas.openxmlformats.org/officeDocument/2006/relationships/hyperlink" Target="https://www.aha.org/system/files/media/file/2019/04/fact-sheet-ltch-0319.pdf" TargetMode="External"/><Relationship Id="rId21" Type="http://schemas.openxmlformats.org/officeDocument/2006/relationships/hyperlink" Target="https://www.ahd.com/news/HFM_DataTrends_2014_November.pdf." TargetMode="External"/><Relationship Id="rId7" Type="http://schemas.openxmlformats.org/officeDocument/2006/relationships/hyperlink" Target="https://mhalink.informz.net/mhalink/data/images/December%202024%20Throughput%20Survey%20Report%20Draft%20v2.pdf" TargetMode="External"/><Relationship Id="rId12" Type="http://schemas.openxmlformats.org/officeDocument/2006/relationships/hyperlink" Target="https://www.ncbi.nlm.nih.gov/pmc/articles/PMC6580672/pdf/rccm.201806-1131OC.pdf" TargetMode="External"/><Relationship Id="rId17" Type="http://schemas.openxmlformats.org/officeDocument/2006/relationships/hyperlink" Target="https://hcup-us.ahrq.gov/reports/statbriefs/sb278-Conditions-Frequent-Readmissions-By-Payer-2018.jsp" TargetMode="External"/><Relationship Id="rId25" Type="http://schemas.openxmlformats.org/officeDocument/2006/relationships/hyperlink" Target="https://nchstats.com/average-cost-of-hospital-stays-in-us/" TargetMode="External"/><Relationship Id="rId2" Type="http://schemas.openxmlformats.org/officeDocument/2006/relationships/hyperlink" Target="https://www.census.gov/quickfacts/fact/table/MA/PST045223" TargetMode="External"/><Relationship Id="rId16" Type="http://schemas.openxmlformats.org/officeDocument/2006/relationships/hyperlink" Target="https://www.mass.gov/files/documents/2018/12/31/jud-lib-105cmr100.pdf" TargetMode="External"/><Relationship Id="rId20" Type="http://schemas.openxmlformats.org/officeDocument/2006/relationships/hyperlink" Target="https://masshpc.gov/sites/default/files/2025-03/2025_Benchmark_Testimony_MHA.pdf" TargetMode="External"/><Relationship Id="rId29" Type="http://schemas.openxmlformats.org/officeDocument/2006/relationships/hyperlink" Target="https://www.chiamass.gov/hospital-readmissions-and-revisits-in-massachusetts" TargetMode="External"/><Relationship Id="rId1" Type="http://schemas.openxmlformats.org/officeDocument/2006/relationships/hyperlink" Target="https://www.census.gov/quickfacts/fact/table/MA/PST045223" TargetMode="External"/><Relationship Id="rId6" Type="http://schemas.openxmlformats.org/officeDocument/2006/relationships/hyperlink" Target="https://mhalink.informz.net/mhalink/data/images/December%202024%20Throughput%20Survey%20Report%20Draft%20v2.pdf" TargetMode="External"/><Relationship Id="rId11" Type="http://schemas.openxmlformats.org/officeDocument/2006/relationships/hyperlink" Target="https://www.ncbi.nlm.nih.gov/pmc/articles/PMC6580672/pdf/rccm.201806-1131OC.pdf" TargetMode="External"/><Relationship Id="rId24" Type="http://schemas.openxmlformats.org/officeDocument/2006/relationships/hyperlink" Target="https://fred.stlouisfed.org/series/CUURA103SAM" TargetMode="External"/><Relationship Id="rId32" Type="http://schemas.openxmlformats.org/officeDocument/2006/relationships/hyperlink" Target="https://www.medicare.gov/care-compare/details/long-term-care/222046?city=Rochdale&amp;state=MA&amp;zipcode=01542" TargetMode="External"/><Relationship Id="rId5" Type="http://schemas.openxmlformats.org/officeDocument/2006/relationships/hyperlink" Target="https://mhalink.informz.net/mhalink/data/images/December%202024%20Throughput%20Survey%20Report%20Draft%20v2.pdf" TargetMode="External"/><Relationship Id="rId15" Type="http://schemas.openxmlformats.org/officeDocument/2006/relationships/hyperlink" Target="https://www.mass.gov/files/documents/2018/12/31/jud-lib-105cmr100.pdf" TargetMode="External"/><Relationship Id="rId23" Type="http://schemas.openxmlformats.org/officeDocument/2006/relationships/hyperlink" Target="https://fred.stlouisfed.org/series/CUURA103SAM" TargetMode="External"/><Relationship Id="rId28" Type="http://schemas.openxmlformats.org/officeDocument/2006/relationships/hyperlink" Target="https://www.ahrq.gov/hai/tools/mvp/modules/vae/overview-off-ventilator-fac-guide.html" TargetMode="External"/><Relationship Id="rId10" Type="http://schemas.openxmlformats.org/officeDocument/2006/relationships/hyperlink" Target="https://www.mhalink.org/throughputreports/" TargetMode="External"/><Relationship Id="rId19" Type="http://schemas.openxmlformats.org/officeDocument/2006/relationships/hyperlink" Target="https://masshpc.gov/sites/default/files/2025-03/2025_Benchmark_Testimony_MHA.pdf." TargetMode="External"/><Relationship Id="rId31" Type="http://schemas.openxmlformats.org/officeDocument/2006/relationships/hyperlink" Target="https://www.medicare.gov/care-compare/details/long-term-care/222046?city=Rochdale&amp;state=MA&amp;zipcode=01542" TargetMode="External"/><Relationship Id="rId4" Type="http://schemas.openxmlformats.org/officeDocument/2006/relationships/hyperlink" Target="https://www.aha.org/system/files/media/file/2019/04/fact-sheet-ltch-0319.pdf" TargetMode="External"/><Relationship Id="rId9" Type="http://schemas.openxmlformats.org/officeDocument/2006/relationships/hyperlink" Target="https://www.mhalink.org/throughputreports/" TargetMode="External"/><Relationship Id="rId14" Type="http://schemas.openxmlformats.org/officeDocument/2006/relationships/hyperlink" Target="https://journals.lww.com/lww-medicalcare/Fulltext/2015/07000/The_Role_of_Long_term_Acute_Care_Hospitals_in.5.aspx" TargetMode="External"/><Relationship Id="rId22" Type="http://schemas.openxmlformats.org/officeDocument/2006/relationships/hyperlink" Target="https://www.ahd.com/news/HFM_DataTrends_2014_November.pdf" TargetMode="External"/><Relationship Id="rId27" Type="http://schemas.openxmlformats.org/officeDocument/2006/relationships/hyperlink" Target="https://www.ahrq.gov/hai/tools/mvp/modules/vae/overview-off-ventilator-fac-guide.html" TargetMode="External"/><Relationship Id="rId30" Type="http://schemas.openxmlformats.org/officeDocument/2006/relationships/hyperlink" Target="https://www.chiamass.gov/hospital-readmissions-and-revisits-in-massachuset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ek\AppData\Roaming\iManage\Work\Recent\4023.0001%20Nielk%20Equities_%20LLC%20-%20RE_%20Purchase%20of%20the%20Meadows%20of%20Central%20Massachusetts%20_%20Vibra%20Hospital%20of%20Western%20Massachusetts-Central%20Campus\MHA%20LTCH%20th(2211865.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Patients Awaiting D/C to LTCH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Sheet1!$A$2:$A$24</c:f>
              <c:numCache>
                <c:formatCode>[$-409]mmm\-yy;@</c:formatCode>
                <c:ptCount val="23"/>
                <c:pt idx="0">
                  <c:v>45017</c:v>
                </c:pt>
                <c:pt idx="1">
                  <c:v>45047</c:v>
                </c:pt>
                <c:pt idx="2">
                  <c:v>45078</c:v>
                </c:pt>
                <c:pt idx="3">
                  <c:v>45108</c:v>
                </c:pt>
                <c:pt idx="4">
                  <c:v>45139</c:v>
                </c:pt>
                <c:pt idx="5">
                  <c:v>45170</c:v>
                </c:pt>
                <c:pt idx="6">
                  <c:v>45200</c:v>
                </c:pt>
                <c:pt idx="7">
                  <c:v>45231</c:v>
                </c:pt>
                <c:pt idx="8">
                  <c:v>45261</c:v>
                </c:pt>
                <c:pt idx="9">
                  <c:v>45292</c:v>
                </c:pt>
                <c:pt idx="10">
                  <c:v>45323</c:v>
                </c:pt>
                <c:pt idx="11">
                  <c:v>45352</c:v>
                </c:pt>
                <c:pt idx="12">
                  <c:v>45383</c:v>
                </c:pt>
                <c:pt idx="13">
                  <c:v>45413</c:v>
                </c:pt>
                <c:pt idx="14">
                  <c:v>45444</c:v>
                </c:pt>
                <c:pt idx="15">
                  <c:v>45474</c:v>
                </c:pt>
                <c:pt idx="16">
                  <c:v>45505</c:v>
                </c:pt>
                <c:pt idx="17">
                  <c:v>45536</c:v>
                </c:pt>
                <c:pt idx="18">
                  <c:v>45566</c:v>
                </c:pt>
                <c:pt idx="19">
                  <c:v>45597</c:v>
                </c:pt>
                <c:pt idx="20">
                  <c:v>45627</c:v>
                </c:pt>
                <c:pt idx="21">
                  <c:v>45658</c:v>
                </c:pt>
                <c:pt idx="22">
                  <c:v>45689</c:v>
                </c:pt>
              </c:numCache>
            </c:numRef>
          </c:cat>
          <c:val>
            <c:numRef>
              <c:f>Sheet1!$B$2:$B$24</c:f>
              <c:numCache>
                <c:formatCode>General</c:formatCode>
                <c:ptCount val="23"/>
                <c:pt idx="0">
                  <c:v>42</c:v>
                </c:pt>
                <c:pt idx="1">
                  <c:v>35</c:v>
                </c:pt>
                <c:pt idx="2">
                  <c:v>28</c:v>
                </c:pt>
                <c:pt idx="3">
                  <c:v>52</c:v>
                </c:pt>
                <c:pt idx="4">
                  <c:v>40</c:v>
                </c:pt>
                <c:pt idx="5">
                  <c:v>43</c:v>
                </c:pt>
                <c:pt idx="6">
                  <c:v>43</c:v>
                </c:pt>
                <c:pt idx="7">
                  <c:v>49</c:v>
                </c:pt>
                <c:pt idx="8">
                  <c:v>52</c:v>
                </c:pt>
                <c:pt idx="9">
                  <c:v>37</c:v>
                </c:pt>
                <c:pt idx="10">
                  <c:v>47</c:v>
                </c:pt>
                <c:pt idx="11">
                  <c:v>87</c:v>
                </c:pt>
                <c:pt idx="12">
                  <c:v>95</c:v>
                </c:pt>
                <c:pt idx="13">
                  <c:v>89</c:v>
                </c:pt>
                <c:pt idx="14">
                  <c:v>91</c:v>
                </c:pt>
                <c:pt idx="15">
                  <c:v>106</c:v>
                </c:pt>
                <c:pt idx="16">
                  <c:v>121</c:v>
                </c:pt>
                <c:pt idx="17">
                  <c:v>58</c:v>
                </c:pt>
                <c:pt idx="18">
                  <c:v>90</c:v>
                </c:pt>
                <c:pt idx="19">
                  <c:v>102</c:v>
                </c:pt>
                <c:pt idx="20">
                  <c:v>110</c:v>
                </c:pt>
                <c:pt idx="21">
                  <c:v>131</c:v>
                </c:pt>
                <c:pt idx="22">
                  <c:v>130</c:v>
                </c:pt>
              </c:numCache>
            </c:numRef>
          </c:val>
          <c:extLst>
            <c:ext xmlns:c16="http://schemas.microsoft.com/office/drawing/2014/chart" uri="{C3380CC4-5D6E-409C-BE32-E72D297353CC}">
              <c16:uniqueId val="{00000000-0B5B-4619-920B-E1A1FF795596}"/>
            </c:ext>
          </c:extLst>
        </c:ser>
        <c:dLbls>
          <c:showLegendKey val="0"/>
          <c:showVal val="0"/>
          <c:showCatName val="0"/>
          <c:showSerName val="0"/>
          <c:showPercent val="0"/>
          <c:showBubbleSize val="0"/>
        </c:dLbls>
        <c:gapWidth val="219"/>
        <c:overlap val="-27"/>
        <c:axId val="99496224"/>
        <c:axId val="99489504"/>
      </c:barChart>
      <c:dateAx>
        <c:axId val="99496224"/>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89504"/>
        <c:crosses val="autoZero"/>
        <c:auto val="1"/>
        <c:lblOffset val="100"/>
        <c:baseTimeUnit val="months"/>
      </c:dateAx>
      <c:valAx>
        <c:axId val="9948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9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5B745DBC-5D18-4AB8-8FD4-F115CC3D4181}">
    <t:Anchor>
      <t:Comment id="426642592"/>
    </t:Anchor>
    <t:History>
      <t:Event id="{B3F31F99-6BB6-4E18-AF72-01E4D12556A5}" time="2024-06-05T20:10:58.776Z">
        <t:Attribution userId="S::lynn.conover@mass.gov::80fca536-9167-4724-8ea0-25041d209e9d" userProvider="AD" userName="Conover, Lynn (DPH)"/>
        <t:Anchor>
          <t:Comment id="426642592"/>
        </t:Anchor>
        <t:Create/>
      </t:Event>
      <t:Event id="{6CEFA28B-B604-4DC2-A632-EDEED57681E8}" time="2024-06-05T20:10:58.776Z">
        <t:Attribution userId="S::lynn.conover@mass.gov::80fca536-9167-4724-8ea0-25041d209e9d" userProvider="AD" userName="Conover, Lynn (DPH)"/>
        <t:Anchor>
          <t:Comment id="426642592"/>
        </t:Anchor>
        <t:Assign userId="S::Dennis.Renaud@mass.gov::a3f7f6f0-463f-4db4-9c04-1cd39c79368f" userProvider="AD" userName="Renaud, Dennis (DPH)"/>
      </t:Event>
      <t:Event id="{69D31BB4-CAC6-4D69-A206-08EAB04B1D21}" time="2024-06-05T20:10:58.776Z">
        <t:Attribution userId="S::lynn.conover@mass.gov::80fca536-9167-4724-8ea0-25041d209e9d" userProvider="AD" userName="Conover, Lynn (DPH)"/>
        <t:Anchor>
          <t:Comment id="426642592"/>
        </t:Anchor>
        <t:SetTitle title="@Renaud, Dennis (DPH) I think I'm done until we get the condition."/>
      </t:Event>
    </t:History>
  </t:Task>
</t:Task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9bd06b54b03f747c89854607b46cd4f8">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deee0c3f4ff9833a36ef26c197733a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8C669-543E-4DFE-B647-58F1BBF548AA}">
  <ds:schemaRefs>
    <ds:schemaRef ds:uri="http://schemas.microsoft.com/sharepoint/v3/contenttype/forms"/>
  </ds:schemaRefs>
</ds:datastoreItem>
</file>

<file path=customXml/itemProps2.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customXml/itemProps3.xml><?xml version="1.0" encoding="utf-8"?>
<ds:datastoreItem xmlns:ds="http://schemas.openxmlformats.org/officeDocument/2006/customXml" ds:itemID="{0459FEBF-3A36-4FCD-85B9-699C9567CCFE}">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A549E55B-7533-4414-8E81-C7EA00C3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TotalTime>
  <Pages>23</Pages>
  <Words>7842</Words>
  <Characters>44153</Characters>
  <Application>Microsoft Office Word</Application>
  <DocSecurity>0</DocSecurity>
  <Lines>1026</Lines>
  <Paragraphs>559</Paragraphs>
  <ScaleCrop>false</ScaleCrop>
  <Company>Commonwealth of Massachusetts</Company>
  <LinksUpToDate>false</LinksUpToDate>
  <CharactersWithSpaces>51436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15</cp:revision>
  <cp:lastPrinted>2024-05-02T23:46:00Z</cp:lastPrinted>
  <dcterms:created xsi:type="dcterms:W3CDTF">2025-07-10T14:49:00Z</dcterms:created>
  <dcterms:modified xsi:type="dcterms:W3CDTF">2025-07-11T12:37:00Z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