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195"/>
        <w:gridCol w:w="5195"/>
      </w:tblGrid>
      <w:tr w:rsidR="00024FA3" w:rsidRPr="007C5A7B" w14:paraId="675745CE" w14:textId="77777777" w:rsidTr="1DE3E4F3">
        <w:tc>
          <w:tcPr>
            <w:tcW w:w="10390" w:type="dxa"/>
            <w:gridSpan w:val="2"/>
            <w:shd w:val="clear" w:color="auto" w:fill="DBE5F1" w:themeFill="accent1" w:themeFillTint="33"/>
          </w:tcPr>
          <w:p w14:paraId="69876703" w14:textId="6E3264AE" w:rsidR="00A837D5" w:rsidRPr="007C5A7B" w:rsidRDefault="00A837D5" w:rsidP="007C5A7B">
            <w:pPr>
              <w:spacing w:line="251" w:lineRule="exact"/>
              <w:jc w:val="center"/>
              <w:rPr>
                <w:rFonts w:asciiTheme="minorHAnsi" w:hAnsiTheme="minorHAnsi"/>
                <w:b/>
                <w:bCs/>
              </w:rPr>
            </w:pPr>
            <w:r w:rsidRPr="007C5A7B">
              <w:rPr>
                <w:rFonts w:asciiTheme="minorHAnsi" w:hAnsiTheme="minorHAnsi"/>
                <w:b/>
                <w:bCs/>
              </w:rPr>
              <w:t xml:space="preserve">STAFF REPORT TO THE </w:t>
            </w:r>
            <w:r w:rsidR="007B09DC">
              <w:rPr>
                <w:rFonts w:asciiTheme="minorHAnsi" w:hAnsiTheme="minorHAnsi"/>
                <w:b/>
                <w:bCs/>
              </w:rPr>
              <w:t>COMMISSIONER</w:t>
            </w:r>
          </w:p>
          <w:p w14:paraId="1AF941A0" w14:textId="0A87C126" w:rsidR="00024FA3" w:rsidRPr="007C5A7B" w:rsidRDefault="00A837D5" w:rsidP="007C5A7B">
            <w:pPr>
              <w:spacing w:line="251" w:lineRule="exact"/>
              <w:jc w:val="center"/>
              <w:rPr>
                <w:rFonts w:asciiTheme="minorHAnsi" w:hAnsiTheme="minorHAnsi"/>
                <w:b/>
                <w:bCs/>
              </w:rPr>
            </w:pPr>
            <w:r w:rsidRPr="007C5A7B">
              <w:rPr>
                <w:rFonts w:asciiTheme="minorHAnsi" w:hAnsiTheme="minorHAnsi"/>
                <w:b/>
                <w:bCs/>
              </w:rPr>
              <w:t>FOR A DETERMINATION OF NEED</w:t>
            </w:r>
          </w:p>
        </w:tc>
      </w:tr>
      <w:tr w:rsidR="00024FA3" w14:paraId="6F03F3A1" w14:textId="77777777" w:rsidTr="1DE3E4F3">
        <w:tc>
          <w:tcPr>
            <w:tcW w:w="5195" w:type="dxa"/>
          </w:tcPr>
          <w:p w14:paraId="1A1DCFE6" w14:textId="7F18FE96" w:rsidR="00024FA3" w:rsidRDefault="00280620" w:rsidP="004C4C3C">
            <w:pPr>
              <w:spacing w:line="251" w:lineRule="exact"/>
              <w:rPr>
                <w:rFonts w:asciiTheme="minorHAnsi" w:hAnsiTheme="minorHAnsi"/>
              </w:rPr>
            </w:pPr>
            <w:r>
              <w:rPr>
                <w:rFonts w:asciiTheme="minorHAnsi" w:hAnsiTheme="minorHAnsi"/>
              </w:rPr>
              <w:t>Applicant Name</w:t>
            </w:r>
          </w:p>
        </w:tc>
        <w:tc>
          <w:tcPr>
            <w:tcW w:w="5195" w:type="dxa"/>
          </w:tcPr>
          <w:p w14:paraId="04BD58CA" w14:textId="7B282267" w:rsidR="00024FA3" w:rsidRDefault="000472FF" w:rsidP="004C4C3C">
            <w:pPr>
              <w:spacing w:line="251" w:lineRule="exact"/>
              <w:rPr>
                <w:rFonts w:asciiTheme="minorHAnsi" w:hAnsiTheme="minorHAnsi"/>
              </w:rPr>
            </w:pPr>
            <w:r w:rsidRPr="000472FF">
              <w:rPr>
                <w:rFonts w:asciiTheme="minorHAnsi" w:hAnsiTheme="minorHAnsi"/>
              </w:rPr>
              <w:t>Masonic Health System of Massachusetts, Inc</w:t>
            </w:r>
            <w:r w:rsidR="00223A42">
              <w:rPr>
                <w:rFonts w:asciiTheme="minorHAnsi" w:hAnsiTheme="minorHAnsi"/>
              </w:rPr>
              <w:t>.</w:t>
            </w:r>
          </w:p>
        </w:tc>
      </w:tr>
      <w:tr w:rsidR="00024FA3" w14:paraId="64CB4745" w14:textId="77777777" w:rsidTr="1DE3E4F3">
        <w:tc>
          <w:tcPr>
            <w:tcW w:w="5195" w:type="dxa"/>
          </w:tcPr>
          <w:p w14:paraId="05A654D0" w14:textId="7C6BDE1B" w:rsidR="00024FA3" w:rsidRDefault="00280620" w:rsidP="004C4C3C">
            <w:pPr>
              <w:spacing w:line="251" w:lineRule="exact"/>
              <w:rPr>
                <w:rFonts w:asciiTheme="minorHAnsi" w:hAnsiTheme="minorHAnsi"/>
              </w:rPr>
            </w:pPr>
            <w:r>
              <w:rPr>
                <w:rFonts w:asciiTheme="minorHAnsi" w:hAnsiTheme="minorHAnsi"/>
              </w:rPr>
              <w:t>Applicant Address</w:t>
            </w:r>
          </w:p>
        </w:tc>
        <w:tc>
          <w:tcPr>
            <w:tcW w:w="5195" w:type="dxa"/>
          </w:tcPr>
          <w:p w14:paraId="591063A3" w14:textId="5C14BB65" w:rsidR="00024FA3" w:rsidRDefault="001F6D5D" w:rsidP="004C4C3C">
            <w:pPr>
              <w:spacing w:line="251" w:lineRule="exact"/>
              <w:rPr>
                <w:rFonts w:asciiTheme="minorHAnsi" w:hAnsiTheme="minorHAnsi"/>
              </w:rPr>
            </w:pPr>
            <w:r w:rsidRPr="001F6D5D">
              <w:rPr>
                <w:rFonts w:asciiTheme="minorHAnsi" w:hAnsiTheme="minorHAnsi"/>
              </w:rPr>
              <w:t>88 Masonic Home Road</w:t>
            </w:r>
            <w:r>
              <w:rPr>
                <w:rFonts w:asciiTheme="minorHAnsi" w:hAnsiTheme="minorHAnsi"/>
              </w:rPr>
              <w:t>, Charlton, MA 01507</w:t>
            </w:r>
          </w:p>
        </w:tc>
      </w:tr>
      <w:tr w:rsidR="00024FA3" w14:paraId="79D4EAD0" w14:textId="77777777" w:rsidTr="1DE3E4F3">
        <w:tc>
          <w:tcPr>
            <w:tcW w:w="5195" w:type="dxa"/>
          </w:tcPr>
          <w:p w14:paraId="657A00D9" w14:textId="13CA27AF" w:rsidR="00024FA3" w:rsidRDefault="00280620" w:rsidP="004C4C3C">
            <w:pPr>
              <w:spacing w:line="251" w:lineRule="exact"/>
              <w:rPr>
                <w:rFonts w:asciiTheme="minorHAnsi" w:hAnsiTheme="minorHAnsi"/>
              </w:rPr>
            </w:pPr>
            <w:r>
              <w:rPr>
                <w:rFonts w:asciiTheme="minorHAnsi" w:hAnsiTheme="minorHAnsi"/>
              </w:rPr>
              <w:t>Filing Date</w:t>
            </w:r>
          </w:p>
        </w:tc>
        <w:tc>
          <w:tcPr>
            <w:tcW w:w="5195" w:type="dxa"/>
          </w:tcPr>
          <w:p w14:paraId="147F7C6C" w14:textId="42FA85C9" w:rsidR="00024FA3" w:rsidRDefault="00223A42" w:rsidP="004C4C3C">
            <w:pPr>
              <w:spacing w:line="251" w:lineRule="exact"/>
              <w:rPr>
                <w:rFonts w:asciiTheme="minorHAnsi" w:hAnsiTheme="minorHAnsi"/>
              </w:rPr>
            </w:pPr>
            <w:r>
              <w:rPr>
                <w:rFonts w:asciiTheme="minorHAnsi" w:hAnsiTheme="minorHAnsi"/>
              </w:rPr>
              <w:t xml:space="preserve">April 17, 2024 </w:t>
            </w:r>
          </w:p>
        </w:tc>
      </w:tr>
      <w:tr w:rsidR="00024FA3" w14:paraId="2E5B8A6E" w14:textId="77777777" w:rsidTr="1DE3E4F3">
        <w:tc>
          <w:tcPr>
            <w:tcW w:w="5195" w:type="dxa"/>
          </w:tcPr>
          <w:p w14:paraId="78411483" w14:textId="1C356BD6" w:rsidR="00024FA3" w:rsidRDefault="00280620" w:rsidP="004C4C3C">
            <w:pPr>
              <w:spacing w:line="251" w:lineRule="exact"/>
              <w:rPr>
                <w:rFonts w:asciiTheme="minorHAnsi" w:hAnsiTheme="minorHAnsi"/>
              </w:rPr>
            </w:pPr>
            <w:r>
              <w:rPr>
                <w:rFonts w:asciiTheme="minorHAnsi" w:hAnsiTheme="minorHAnsi"/>
              </w:rPr>
              <w:t>Type of DoN Application</w:t>
            </w:r>
          </w:p>
        </w:tc>
        <w:tc>
          <w:tcPr>
            <w:tcW w:w="5195" w:type="dxa"/>
          </w:tcPr>
          <w:p w14:paraId="73BCD59B" w14:textId="2970C1A4" w:rsidR="00024FA3" w:rsidRDefault="00223A42" w:rsidP="004C4C3C">
            <w:pPr>
              <w:spacing w:line="251" w:lineRule="exact"/>
              <w:rPr>
                <w:rFonts w:asciiTheme="minorHAnsi" w:hAnsiTheme="minorHAnsi"/>
              </w:rPr>
            </w:pPr>
            <w:r>
              <w:rPr>
                <w:rFonts w:asciiTheme="minorHAnsi" w:hAnsiTheme="minorHAnsi"/>
              </w:rPr>
              <w:t>Long-</w:t>
            </w:r>
            <w:r w:rsidR="00542428">
              <w:rPr>
                <w:rFonts w:asciiTheme="minorHAnsi" w:hAnsiTheme="minorHAnsi"/>
              </w:rPr>
              <w:t>t</w:t>
            </w:r>
            <w:r>
              <w:rPr>
                <w:rFonts w:asciiTheme="minorHAnsi" w:hAnsiTheme="minorHAnsi"/>
              </w:rPr>
              <w:t xml:space="preserve">erm Care </w:t>
            </w:r>
            <w:r w:rsidR="000458A3">
              <w:rPr>
                <w:rFonts w:asciiTheme="minorHAnsi" w:hAnsiTheme="minorHAnsi"/>
              </w:rPr>
              <w:t xml:space="preserve">Substantial Capital Expenditure </w:t>
            </w:r>
          </w:p>
        </w:tc>
      </w:tr>
      <w:tr w:rsidR="00024FA3" w14:paraId="1EBD98D2" w14:textId="77777777" w:rsidTr="1DE3E4F3">
        <w:tc>
          <w:tcPr>
            <w:tcW w:w="5195" w:type="dxa"/>
          </w:tcPr>
          <w:p w14:paraId="08DA5FD4" w14:textId="50E2D856" w:rsidR="00024FA3" w:rsidRDefault="00280620" w:rsidP="004C4C3C">
            <w:pPr>
              <w:spacing w:line="251" w:lineRule="exact"/>
              <w:rPr>
                <w:rFonts w:asciiTheme="minorHAnsi" w:hAnsiTheme="minorHAnsi"/>
              </w:rPr>
            </w:pPr>
            <w:r>
              <w:rPr>
                <w:rFonts w:asciiTheme="minorHAnsi" w:hAnsiTheme="minorHAnsi"/>
              </w:rPr>
              <w:t>Total Value</w:t>
            </w:r>
          </w:p>
        </w:tc>
        <w:tc>
          <w:tcPr>
            <w:tcW w:w="5195" w:type="dxa"/>
          </w:tcPr>
          <w:p w14:paraId="3C9AEE88" w14:textId="1D6AFDA6" w:rsidR="00024FA3" w:rsidRDefault="000458A3" w:rsidP="004C4C3C">
            <w:pPr>
              <w:spacing w:line="251" w:lineRule="exact"/>
              <w:rPr>
                <w:rFonts w:asciiTheme="minorHAnsi" w:hAnsiTheme="minorHAnsi"/>
              </w:rPr>
            </w:pPr>
            <w:r w:rsidRPr="000458A3">
              <w:rPr>
                <w:rFonts w:asciiTheme="minorHAnsi" w:hAnsiTheme="minorHAnsi"/>
              </w:rPr>
              <w:t>$2,995,285.00</w:t>
            </w:r>
          </w:p>
        </w:tc>
      </w:tr>
      <w:tr w:rsidR="00024FA3" w14:paraId="7A19C7BA" w14:textId="77777777" w:rsidTr="1DE3E4F3">
        <w:tc>
          <w:tcPr>
            <w:tcW w:w="5195" w:type="dxa"/>
          </w:tcPr>
          <w:p w14:paraId="6A9C79B7" w14:textId="32862E63" w:rsidR="00024FA3" w:rsidRDefault="00280620" w:rsidP="004C4C3C">
            <w:pPr>
              <w:spacing w:line="251" w:lineRule="exact"/>
              <w:rPr>
                <w:rFonts w:asciiTheme="minorHAnsi" w:hAnsiTheme="minorHAnsi"/>
              </w:rPr>
            </w:pPr>
            <w:r>
              <w:rPr>
                <w:rFonts w:asciiTheme="minorHAnsi" w:hAnsiTheme="minorHAnsi"/>
              </w:rPr>
              <w:t xml:space="preserve">Project Number </w:t>
            </w:r>
          </w:p>
        </w:tc>
        <w:tc>
          <w:tcPr>
            <w:tcW w:w="5195" w:type="dxa"/>
          </w:tcPr>
          <w:p w14:paraId="0FF661FC" w14:textId="3D6B4EEE" w:rsidR="00024FA3" w:rsidRDefault="000458A3" w:rsidP="004C4C3C">
            <w:pPr>
              <w:spacing w:line="251" w:lineRule="exact"/>
              <w:rPr>
                <w:rFonts w:asciiTheme="minorHAnsi" w:hAnsiTheme="minorHAnsi"/>
              </w:rPr>
            </w:pPr>
            <w:r w:rsidRPr="000458A3">
              <w:rPr>
                <w:rFonts w:asciiTheme="minorHAnsi" w:hAnsiTheme="minorHAnsi"/>
              </w:rPr>
              <w:t>MHSM-24021310-LS</w:t>
            </w:r>
          </w:p>
        </w:tc>
      </w:tr>
      <w:tr w:rsidR="00024FA3" w14:paraId="59ADB4EA" w14:textId="77777777" w:rsidTr="1DE3E4F3">
        <w:tc>
          <w:tcPr>
            <w:tcW w:w="5195" w:type="dxa"/>
          </w:tcPr>
          <w:p w14:paraId="4A1019D7" w14:textId="1C9A3B84" w:rsidR="00024FA3" w:rsidRDefault="007C5A7B" w:rsidP="004C4C3C">
            <w:pPr>
              <w:spacing w:line="251" w:lineRule="exact"/>
              <w:rPr>
                <w:rFonts w:asciiTheme="minorHAnsi" w:hAnsiTheme="minorHAnsi"/>
              </w:rPr>
            </w:pPr>
            <w:r>
              <w:rPr>
                <w:rFonts w:asciiTheme="minorHAnsi" w:hAnsiTheme="minorHAnsi"/>
              </w:rPr>
              <w:t>Ten Taxpayer Groups</w:t>
            </w:r>
          </w:p>
        </w:tc>
        <w:tc>
          <w:tcPr>
            <w:tcW w:w="5195" w:type="dxa"/>
          </w:tcPr>
          <w:p w14:paraId="66BC1CE7" w14:textId="651F7864" w:rsidR="00024FA3" w:rsidRDefault="00564B22" w:rsidP="004C4C3C">
            <w:pPr>
              <w:spacing w:line="251" w:lineRule="exact"/>
              <w:rPr>
                <w:rFonts w:asciiTheme="minorHAnsi" w:hAnsiTheme="minorHAnsi"/>
              </w:rPr>
            </w:pPr>
            <w:r>
              <w:rPr>
                <w:rFonts w:asciiTheme="minorHAnsi" w:hAnsiTheme="minorHAnsi"/>
              </w:rPr>
              <w:t xml:space="preserve">None formed </w:t>
            </w:r>
          </w:p>
        </w:tc>
      </w:tr>
      <w:tr w:rsidR="00024FA3" w14:paraId="42AABCF9" w14:textId="77777777" w:rsidTr="1DE3E4F3">
        <w:tc>
          <w:tcPr>
            <w:tcW w:w="5195" w:type="dxa"/>
          </w:tcPr>
          <w:p w14:paraId="78025D88" w14:textId="16111209" w:rsidR="00024FA3" w:rsidRDefault="007C5A7B" w:rsidP="004C4C3C">
            <w:pPr>
              <w:spacing w:line="251" w:lineRule="exact"/>
              <w:rPr>
                <w:rFonts w:asciiTheme="minorHAnsi" w:hAnsiTheme="minorHAnsi"/>
              </w:rPr>
            </w:pPr>
            <w:r>
              <w:rPr>
                <w:rFonts w:asciiTheme="minorHAnsi" w:hAnsiTheme="minorHAnsi"/>
              </w:rPr>
              <w:t>Community Health Initiative (CHI)</w:t>
            </w:r>
          </w:p>
        </w:tc>
        <w:tc>
          <w:tcPr>
            <w:tcW w:w="5195" w:type="dxa"/>
          </w:tcPr>
          <w:p w14:paraId="0DCB1329" w14:textId="755FCBEA" w:rsidR="00024FA3" w:rsidRDefault="00C23C49" w:rsidP="004C4C3C">
            <w:pPr>
              <w:spacing w:line="251" w:lineRule="exact"/>
              <w:rPr>
                <w:rFonts w:asciiTheme="minorHAnsi" w:hAnsiTheme="minorHAnsi"/>
              </w:rPr>
            </w:pPr>
            <w:r w:rsidRPr="00C23C49">
              <w:rPr>
                <w:rFonts w:asciiTheme="minorHAnsi" w:hAnsiTheme="minorHAnsi"/>
              </w:rPr>
              <w:t>$89,858.55</w:t>
            </w:r>
          </w:p>
        </w:tc>
      </w:tr>
      <w:tr w:rsidR="00024FA3" w14:paraId="4EC829F7" w14:textId="77777777" w:rsidTr="1DE3E4F3">
        <w:tc>
          <w:tcPr>
            <w:tcW w:w="5195" w:type="dxa"/>
          </w:tcPr>
          <w:p w14:paraId="2B207553" w14:textId="3853035B" w:rsidR="00024FA3" w:rsidRDefault="007C5A7B" w:rsidP="004C4C3C">
            <w:pPr>
              <w:spacing w:line="251" w:lineRule="exact"/>
              <w:rPr>
                <w:rFonts w:asciiTheme="minorHAnsi" w:hAnsiTheme="minorHAnsi"/>
              </w:rPr>
            </w:pPr>
            <w:r>
              <w:rPr>
                <w:rFonts w:asciiTheme="minorHAnsi" w:hAnsiTheme="minorHAnsi"/>
              </w:rPr>
              <w:t>Staff Recommendation</w:t>
            </w:r>
          </w:p>
        </w:tc>
        <w:tc>
          <w:tcPr>
            <w:tcW w:w="5195" w:type="dxa"/>
          </w:tcPr>
          <w:p w14:paraId="1741B4F7" w14:textId="1C27F7D6" w:rsidR="00024FA3" w:rsidRDefault="007B09DC" w:rsidP="004C4C3C">
            <w:pPr>
              <w:spacing w:line="251" w:lineRule="exact"/>
              <w:rPr>
                <w:rFonts w:asciiTheme="minorHAnsi" w:hAnsiTheme="minorHAnsi"/>
              </w:rPr>
            </w:pPr>
            <w:r>
              <w:rPr>
                <w:rFonts w:asciiTheme="minorHAnsi" w:hAnsiTheme="minorHAnsi"/>
              </w:rPr>
              <w:t>Approval with Conditions</w:t>
            </w:r>
          </w:p>
        </w:tc>
      </w:tr>
      <w:tr w:rsidR="00024FA3" w14:paraId="27BFE3BB" w14:textId="77777777" w:rsidTr="1DE3E4F3">
        <w:tc>
          <w:tcPr>
            <w:tcW w:w="5195" w:type="dxa"/>
          </w:tcPr>
          <w:p w14:paraId="6FFED872" w14:textId="770BCD4E" w:rsidR="00024FA3" w:rsidRDefault="008100CE" w:rsidP="004C4C3C">
            <w:pPr>
              <w:spacing w:line="251" w:lineRule="exact"/>
              <w:rPr>
                <w:rFonts w:asciiTheme="minorHAnsi" w:hAnsiTheme="minorHAnsi"/>
              </w:rPr>
            </w:pPr>
            <w:r w:rsidRPr="008100CE">
              <w:rPr>
                <w:rFonts w:asciiTheme="minorHAnsi" w:hAnsiTheme="minorHAnsi"/>
              </w:rPr>
              <w:t>Delegated Review</w:t>
            </w:r>
          </w:p>
        </w:tc>
        <w:tc>
          <w:tcPr>
            <w:tcW w:w="5195" w:type="dxa"/>
          </w:tcPr>
          <w:p w14:paraId="1EC286F3" w14:textId="1AD01948" w:rsidR="00024FA3" w:rsidRDefault="007B09DC" w:rsidP="004C4C3C">
            <w:pPr>
              <w:spacing w:line="251" w:lineRule="exact"/>
              <w:rPr>
                <w:rFonts w:asciiTheme="minorHAnsi" w:hAnsiTheme="minorHAnsi"/>
              </w:rPr>
            </w:pPr>
            <w:r>
              <w:rPr>
                <w:rFonts w:asciiTheme="minorHAnsi" w:hAnsiTheme="minorHAnsi"/>
              </w:rPr>
              <w:t xml:space="preserve">Final Action by Commissioner </w:t>
            </w:r>
          </w:p>
        </w:tc>
      </w:tr>
      <w:tr w:rsidR="00024FA3" w14:paraId="46DC616C" w14:textId="77777777" w:rsidTr="1DE3E4F3">
        <w:tc>
          <w:tcPr>
            <w:tcW w:w="10390" w:type="dxa"/>
            <w:gridSpan w:val="2"/>
          </w:tcPr>
          <w:p w14:paraId="2D0520FF" w14:textId="77777777" w:rsidR="00024FA3" w:rsidRDefault="00024FA3" w:rsidP="004C4C3C">
            <w:pPr>
              <w:spacing w:line="251" w:lineRule="exact"/>
              <w:rPr>
                <w:rFonts w:asciiTheme="minorHAnsi" w:hAnsiTheme="minorHAnsi"/>
              </w:rPr>
            </w:pPr>
          </w:p>
          <w:p w14:paraId="650A5DFE" w14:textId="77777777" w:rsidR="007C5A7B" w:rsidRDefault="007C5A7B" w:rsidP="007C5A7B">
            <w:pPr>
              <w:spacing w:line="251" w:lineRule="exact"/>
              <w:jc w:val="center"/>
              <w:rPr>
                <w:rFonts w:asciiTheme="minorHAnsi" w:hAnsiTheme="minorHAnsi"/>
                <w:u w:val="single"/>
              </w:rPr>
            </w:pPr>
            <w:r w:rsidRPr="007C5A7B">
              <w:rPr>
                <w:rFonts w:asciiTheme="minorHAnsi" w:hAnsiTheme="minorHAnsi"/>
                <w:u w:val="single"/>
              </w:rPr>
              <w:t>Project Summary and Regulatory Review</w:t>
            </w:r>
          </w:p>
          <w:p w14:paraId="2EBF8E50" w14:textId="77777777" w:rsidR="006E376E" w:rsidRPr="007C5A7B" w:rsidRDefault="006E376E" w:rsidP="007C5A7B">
            <w:pPr>
              <w:spacing w:line="251" w:lineRule="exact"/>
              <w:jc w:val="center"/>
              <w:rPr>
                <w:rFonts w:asciiTheme="minorHAnsi" w:hAnsiTheme="minorHAnsi"/>
                <w:u w:val="single"/>
              </w:rPr>
            </w:pPr>
          </w:p>
          <w:p w14:paraId="615A727B" w14:textId="7D0B866D" w:rsidR="00BB31F7" w:rsidRDefault="006E376E" w:rsidP="004A1BE8">
            <w:pPr>
              <w:rPr>
                <w:rFonts w:asciiTheme="minorHAnsi" w:hAnsiTheme="minorHAnsi"/>
              </w:rPr>
            </w:pPr>
            <w:r w:rsidRPr="1DE3E4F3">
              <w:rPr>
                <w:rFonts w:asciiTheme="minorHAnsi" w:hAnsiTheme="minorHAnsi"/>
              </w:rPr>
              <w:t xml:space="preserve">Masonic Health System of Massachusetts, Inc. (Applicant) </w:t>
            </w:r>
            <w:r w:rsidR="000517D0" w:rsidRPr="1DE3E4F3">
              <w:rPr>
                <w:rFonts w:asciiTheme="minorHAnsi" w:hAnsiTheme="minorHAnsi"/>
              </w:rPr>
              <w:t xml:space="preserve">with a principal place of business at 88 Masonic </w:t>
            </w:r>
            <w:r w:rsidR="005773BE" w:rsidRPr="1DE3E4F3">
              <w:rPr>
                <w:rFonts w:asciiTheme="minorHAnsi" w:hAnsiTheme="minorHAnsi"/>
              </w:rPr>
              <w:t xml:space="preserve">Home </w:t>
            </w:r>
            <w:r w:rsidR="000517D0" w:rsidRPr="1DE3E4F3">
              <w:rPr>
                <w:rFonts w:asciiTheme="minorHAnsi" w:hAnsiTheme="minorHAnsi"/>
              </w:rPr>
              <w:t xml:space="preserve">Road, Charlton, MA, </w:t>
            </w:r>
            <w:r w:rsidR="00E40928" w:rsidRPr="1DE3E4F3">
              <w:rPr>
                <w:rFonts w:asciiTheme="minorHAnsi" w:hAnsiTheme="minorHAnsi"/>
              </w:rPr>
              <w:t xml:space="preserve">is filing a Notice of Determination of Need with the Department of Public Health (Department) for a Substantial Capital Expenditure at </w:t>
            </w:r>
            <w:r w:rsidR="0065739A" w:rsidRPr="1DE3E4F3">
              <w:rPr>
                <w:rFonts w:asciiTheme="minorHAnsi" w:hAnsiTheme="minorHAnsi"/>
              </w:rPr>
              <w:t>Overlook</w:t>
            </w:r>
            <w:r w:rsidR="00033B78" w:rsidRPr="1DE3E4F3">
              <w:rPr>
                <w:rFonts w:asciiTheme="minorHAnsi" w:hAnsiTheme="minorHAnsi"/>
              </w:rPr>
              <w:t xml:space="preserve"> Masonic Health Center</w:t>
            </w:r>
            <w:r w:rsidR="00B171AC" w:rsidRPr="1DE3E4F3">
              <w:rPr>
                <w:rFonts w:asciiTheme="minorHAnsi" w:hAnsiTheme="minorHAnsi"/>
              </w:rPr>
              <w:t xml:space="preserve"> (The Overlook)</w:t>
            </w:r>
            <w:r w:rsidR="00033B78" w:rsidRPr="1DE3E4F3">
              <w:rPr>
                <w:rFonts w:asciiTheme="minorHAnsi" w:hAnsiTheme="minorHAnsi"/>
              </w:rPr>
              <w:t xml:space="preserve">, a skilled nursing facility </w:t>
            </w:r>
            <w:r w:rsidR="00F47CC8" w:rsidRPr="1DE3E4F3">
              <w:rPr>
                <w:rFonts w:asciiTheme="minorHAnsi" w:hAnsiTheme="minorHAnsi"/>
              </w:rPr>
              <w:t xml:space="preserve">located </w:t>
            </w:r>
            <w:r w:rsidR="00033B78" w:rsidRPr="1DE3E4F3">
              <w:rPr>
                <w:rFonts w:asciiTheme="minorHAnsi" w:hAnsiTheme="minorHAnsi"/>
              </w:rPr>
              <w:t>in Charl</w:t>
            </w:r>
            <w:r w:rsidR="59FC00AF" w:rsidRPr="1DE3E4F3">
              <w:rPr>
                <w:rFonts w:asciiTheme="minorHAnsi" w:hAnsiTheme="minorHAnsi"/>
              </w:rPr>
              <w:t>t</w:t>
            </w:r>
            <w:r w:rsidR="00033B78" w:rsidRPr="1DE3E4F3">
              <w:rPr>
                <w:rFonts w:asciiTheme="minorHAnsi" w:hAnsiTheme="minorHAnsi"/>
              </w:rPr>
              <w:t xml:space="preserve">on, MA. </w:t>
            </w:r>
            <w:r w:rsidR="00734E05" w:rsidRPr="1DE3E4F3">
              <w:rPr>
                <w:rFonts w:asciiTheme="minorHAnsi" w:hAnsiTheme="minorHAnsi"/>
              </w:rPr>
              <w:t xml:space="preserve">The Proposed Project is to </w:t>
            </w:r>
            <w:r w:rsidR="0042499A">
              <w:rPr>
                <w:rFonts w:asciiTheme="minorHAnsi" w:hAnsiTheme="minorHAnsi"/>
              </w:rPr>
              <w:t xml:space="preserve">re-design and </w:t>
            </w:r>
            <w:r w:rsidR="00A42572" w:rsidRPr="1DE3E4F3">
              <w:rPr>
                <w:rFonts w:asciiTheme="minorHAnsi" w:hAnsiTheme="minorHAnsi"/>
              </w:rPr>
              <w:t xml:space="preserve">renovate </w:t>
            </w:r>
            <w:r w:rsidR="00474282" w:rsidRPr="1DE3E4F3">
              <w:rPr>
                <w:rFonts w:asciiTheme="minorHAnsi" w:hAnsiTheme="minorHAnsi"/>
              </w:rPr>
              <w:t>the facility</w:t>
            </w:r>
            <w:r w:rsidR="00A42572" w:rsidRPr="1DE3E4F3">
              <w:rPr>
                <w:rFonts w:asciiTheme="minorHAnsi" w:hAnsiTheme="minorHAnsi"/>
              </w:rPr>
              <w:t xml:space="preserve"> to </w:t>
            </w:r>
            <w:r w:rsidR="000979DB">
              <w:rPr>
                <w:rFonts w:asciiTheme="minorHAnsi" w:hAnsiTheme="minorHAnsi"/>
              </w:rPr>
              <w:t xml:space="preserve">improve the safety of the built environment and improve the delivery of care, by renovating its </w:t>
            </w:r>
            <w:r w:rsidR="00624DF9">
              <w:rPr>
                <w:rFonts w:asciiTheme="minorHAnsi" w:hAnsiTheme="minorHAnsi"/>
              </w:rPr>
              <w:t>short-term rehabilitation</w:t>
            </w:r>
            <w:r w:rsidR="000979DB">
              <w:rPr>
                <w:rFonts w:asciiTheme="minorHAnsi" w:hAnsiTheme="minorHAnsi"/>
              </w:rPr>
              <w:t xml:space="preserve"> unit, </w:t>
            </w:r>
            <w:r w:rsidR="00A42572" w:rsidRPr="1DE3E4F3">
              <w:rPr>
                <w:rFonts w:asciiTheme="minorHAnsi" w:hAnsiTheme="minorHAnsi"/>
              </w:rPr>
              <w:t xml:space="preserve">dining room, nurse stations, therapy rooms, and additional clinical and ancillary services on the unit, and </w:t>
            </w:r>
            <w:r w:rsidR="009B5BF4" w:rsidRPr="1DE3E4F3">
              <w:rPr>
                <w:rFonts w:asciiTheme="minorHAnsi" w:hAnsiTheme="minorHAnsi"/>
              </w:rPr>
              <w:t>address</w:t>
            </w:r>
            <w:r w:rsidR="000979DB">
              <w:rPr>
                <w:rFonts w:asciiTheme="minorHAnsi" w:hAnsiTheme="minorHAnsi"/>
              </w:rPr>
              <w:t>ing</w:t>
            </w:r>
            <w:r w:rsidR="009B5BF4" w:rsidRPr="1DE3E4F3">
              <w:rPr>
                <w:rFonts w:asciiTheme="minorHAnsi" w:hAnsiTheme="minorHAnsi"/>
              </w:rPr>
              <w:t xml:space="preserve"> </w:t>
            </w:r>
            <w:r w:rsidR="00A42572" w:rsidRPr="1DE3E4F3">
              <w:rPr>
                <w:rFonts w:asciiTheme="minorHAnsi" w:hAnsiTheme="minorHAnsi"/>
              </w:rPr>
              <w:t>deferred maintenance to the facility. Through the Proposed Project, the Applicant will close 21 Level II beds resulting in 146 beds, including 28 Level IV rest home beds and 118 Level II beds</w:t>
            </w:r>
            <w:r w:rsidR="00B64D47" w:rsidRPr="00B64D47">
              <w:rPr>
                <w:rFonts w:asciiTheme="minorHAnsi" w:hAnsiTheme="minorHAnsi"/>
              </w:rPr>
              <w:t xml:space="preserve"> </w:t>
            </w:r>
            <w:r w:rsidR="00DB2408">
              <w:rPr>
                <w:rFonts w:asciiTheme="minorHAnsi" w:hAnsiTheme="minorHAnsi"/>
              </w:rPr>
              <w:t xml:space="preserve">that </w:t>
            </w:r>
            <w:r w:rsidR="00D674A2" w:rsidRPr="00D674A2">
              <w:rPr>
                <w:rFonts w:asciiTheme="minorHAnsi" w:hAnsiTheme="minorHAnsi"/>
              </w:rPr>
              <w:t>are dually certified for Medicare and Medicaid</w:t>
            </w:r>
            <w:r w:rsidR="00D674A2">
              <w:rPr>
                <w:rFonts w:asciiTheme="minorHAnsi" w:hAnsiTheme="minorHAnsi"/>
              </w:rPr>
              <w:t xml:space="preserve"> and</w:t>
            </w:r>
            <w:r w:rsidR="00B64D47">
              <w:rPr>
                <w:rFonts w:asciiTheme="minorHAnsi" w:hAnsiTheme="minorHAnsi"/>
              </w:rPr>
              <w:t xml:space="preserve"> </w:t>
            </w:r>
            <w:r w:rsidR="00B64D47" w:rsidRPr="00B64D47">
              <w:rPr>
                <w:rFonts w:asciiTheme="minorHAnsi" w:hAnsiTheme="minorHAnsi"/>
              </w:rPr>
              <w:t>can be used interchangeably for long-term skilled nursing care or for short-term rehabilitation</w:t>
            </w:r>
            <w:r w:rsidR="00667A31">
              <w:rPr>
                <w:rFonts w:asciiTheme="minorHAnsi" w:hAnsiTheme="minorHAnsi"/>
              </w:rPr>
              <w:t>.</w:t>
            </w:r>
            <w:r w:rsidR="00A42572" w:rsidRPr="1DE3E4F3">
              <w:rPr>
                <w:rFonts w:asciiTheme="minorHAnsi" w:hAnsiTheme="minorHAnsi"/>
              </w:rPr>
              <w:t xml:space="preserve"> </w:t>
            </w:r>
            <w:r w:rsidR="00B64D47">
              <w:rPr>
                <w:rFonts w:asciiTheme="minorHAnsi" w:hAnsiTheme="minorHAnsi"/>
              </w:rPr>
              <w:t xml:space="preserve">The Applicant will designate </w:t>
            </w:r>
            <w:r w:rsidR="00A42572" w:rsidRPr="1DE3E4F3">
              <w:rPr>
                <w:rFonts w:asciiTheme="minorHAnsi" w:hAnsiTheme="minorHAnsi"/>
              </w:rPr>
              <w:t xml:space="preserve">78 </w:t>
            </w:r>
            <w:r w:rsidR="00667A31">
              <w:rPr>
                <w:rFonts w:asciiTheme="minorHAnsi" w:hAnsiTheme="minorHAnsi"/>
              </w:rPr>
              <w:t xml:space="preserve">Level II </w:t>
            </w:r>
            <w:r w:rsidR="00A42572" w:rsidRPr="1DE3E4F3">
              <w:rPr>
                <w:rFonts w:asciiTheme="minorHAnsi" w:hAnsiTheme="minorHAnsi"/>
              </w:rPr>
              <w:t>beds for long-term care</w:t>
            </w:r>
            <w:r w:rsidR="00667A31">
              <w:rPr>
                <w:rFonts w:asciiTheme="minorHAnsi" w:hAnsiTheme="minorHAnsi"/>
              </w:rPr>
              <w:t xml:space="preserve"> </w:t>
            </w:r>
            <w:r w:rsidR="00A42572" w:rsidRPr="1DE3E4F3">
              <w:rPr>
                <w:rFonts w:asciiTheme="minorHAnsi" w:hAnsiTheme="minorHAnsi"/>
              </w:rPr>
              <w:t xml:space="preserve">and 40 </w:t>
            </w:r>
            <w:r w:rsidR="00667A31">
              <w:rPr>
                <w:rFonts w:asciiTheme="minorHAnsi" w:hAnsiTheme="minorHAnsi"/>
              </w:rPr>
              <w:t xml:space="preserve">Level II </w:t>
            </w:r>
            <w:r w:rsidR="00A42572" w:rsidRPr="1DE3E4F3">
              <w:rPr>
                <w:rFonts w:asciiTheme="minorHAnsi" w:hAnsiTheme="minorHAnsi"/>
              </w:rPr>
              <w:t>beds for short</w:t>
            </w:r>
            <w:r w:rsidR="00721622" w:rsidRPr="1DE3E4F3">
              <w:rPr>
                <w:rFonts w:asciiTheme="minorHAnsi" w:hAnsiTheme="minorHAnsi"/>
              </w:rPr>
              <w:t>-</w:t>
            </w:r>
            <w:r w:rsidR="00A42572" w:rsidRPr="1DE3E4F3">
              <w:rPr>
                <w:rFonts w:asciiTheme="minorHAnsi" w:hAnsiTheme="minorHAnsi"/>
              </w:rPr>
              <w:t>term rehabilitation.</w:t>
            </w:r>
            <w:r w:rsidR="00E43952">
              <w:t xml:space="preserve"> </w:t>
            </w:r>
            <w:r w:rsidR="00E43952" w:rsidRPr="1DE3E4F3">
              <w:rPr>
                <w:rFonts w:asciiTheme="minorHAnsi" w:hAnsiTheme="minorHAnsi"/>
              </w:rPr>
              <w:t>The capital expenditure for the Proposed Project is $2,995,285.00; and the Community Health Initiatives (CHI) commitment is $89,858.55.</w:t>
            </w:r>
          </w:p>
          <w:p w14:paraId="5EB699F0" w14:textId="77777777" w:rsidR="00721622" w:rsidRDefault="00721622" w:rsidP="004A1BE8">
            <w:pPr>
              <w:rPr>
                <w:rFonts w:asciiTheme="minorHAnsi" w:hAnsiTheme="minorHAnsi"/>
              </w:rPr>
            </w:pPr>
          </w:p>
          <w:p w14:paraId="7390797A" w14:textId="4E5165C4" w:rsidR="0050463C" w:rsidRDefault="000A59B7" w:rsidP="004A1BE8">
            <w:pPr>
              <w:rPr>
                <w:rFonts w:asciiTheme="minorHAnsi" w:hAnsiTheme="minorHAnsi"/>
              </w:rPr>
            </w:pPr>
            <w:r w:rsidRPr="000A59B7">
              <w:rPr>
                <w:rFonts w:asciiTheme="minorHAnsi" w:hAnsiTheme="minorHAnsi"/>
              </w:rPr>
              <w:t>This Application for Determination of Need (DoN) falls within the definition of Substantial Capital Expenditure</w:t>
            </w:r>
            <w:r>
              <w:rPr>
                <w:rFonts w:asciiTheme="minorHAnsi" w:hAnsiTheme="minorHAnsi"/>
              </w:rPr>
              <w:t xml:space="preserve"> for a Long</w:t>
            </w:r>
            <w:r w:rsidR="00542428">
              <w:rPr>
                <w:rFonts w:asciiTheme="minorHAnsi" w:hAnsiTheme="minorHAnsi"/>
              </w:rPr>
              <w:t>-t</w:t>
            </w:r>
            <w:r>
              <w:rPr>
                <w:rFonts w:asciiTheme="minorHAnsi" w:hAnsiTheme="minorHAnsi"/>
              </w:rPr>
              <w:t>erm Care Facility</w:t>
            </w:r>
            <w:r w:rsidRPr="000A59B7">
              <w:rPr>
                <w:rFonts w:asciiTheme="minorHAnsi" w:hAnsiTheme="minorHAnsi"/>
              </w:rPr>
              <w:t>, which is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6F78CF" w:rsidRPr="006F78CF">
              <w:t xml:space="preserve"> </w:t>
            </w:r>
            <w:r w:rsidR="006F78CF" w:rsidRPr="006F78CF">
              <w:rPr>
                <w:rFonts w:asciiTheme="minorHAnsi" w:hAnsiTheme="minorHAnsi"/>
              </w:rPr>
              <w:t>Pursuant to 105 CMR 100.630, this Application for a Proposed Project on behalf of a Long-term Care Facility with a maximum Capital Expenditure below $3,000,000 is designated delegated review and Final Action by the Commissioner.</w:t>
            </w:r>
          </w:p>
          <w:p w14:paraId="07905368" w14:textId="31DD8D79" w:rsidR="007C5A7B" w:rsidRDefault="007C5A7B" w:rsidP="007C5A7B">
            <w:pPr>
              <w:spacing w:line="251" w:lineRule="exact"/>
              <w:rPr>
                <w:rFonts w:asciiTheme="minorHAnsi" w:hAnsiTheme="minorHAnsi"/>
              </w:rPr>
            </w:pPr>
          </w:p>
        </w:tc>
      </w:tr>
    </w:tbl>
    <w:p w14:paraId="4AF4C98A" w14:textId="77777777" w:rsidR="00024FA3" w:rsidRPr="003436F0" w:rsidRDefault="00024FA3">
      <w:pPr>
        <w:spacing w:line="251" w:lineRule="exact"/>
        <w:rPr>
          <w:rFonts w:asciiTheme="minorHAnsi" w:hAnsiTheme="minorHAnsi"/>
        </w:rPr>
        <w:sectPr w:rsidR="00024FA3" w:rsidRPr="003436F0" w:rsidSect="0074231B">
          <w:footerReference w:type="default" r:id="rId8"/>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noProof/>
          <w:sz w:val="24"/>
          <w:szCs w:val="24"/>
          <w:lang w:bidi="ar-SA"/>
        </w:rPr>
      </w:sdtEndPr>
      <w:sdtContent>
        <w:p w14:paraId="7AAE295D" w14:textId="53B6C1CD" w:rsidR="008650F2" w:rsidRDefault="008650F2">
          <w:pPr>
            <w:pStyle w:val="TOCHeading"/>
          </w:pPr>
          <w:r>
            <w:t>Contents</w:t>
          </w:r>
        </w:p>
        <w:p w14:paraId="440E21B5" w14:textId="51A24F91" w:rsidR="006659E5"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73743589" w:history="1">
            <w:r w:rsidR="006659E5" w:rsidRPr="00461935">
              <w:rPr>
                <w:rStyle w:val="Hyperlink"/>
                <w:noProof/>
              </w:rPr>
              <w:t>Background: Masonic Health System of Massachusetts, Inc.; and Application Overview</w:t>
            </w:r>
            <w:r w:rsidR="006659E5">
              <w:rPr>
                <w:noProof/>
                <w:webHidden/>
              </w:rPr>
              <w:tab/>
            </w:r>
            <w:r w:rsidR="006659E5">
              <w:rPr>
                <w:noProof/>
                <w:webHidden/>
              </w:rPr>
              <w:fldChar w:fldCharType="begin"/>
            </w:r>
            <w:r w:rsidR="006659E5">
              <w:rPr>
                <w:noProof/>
                <w:webHidden/>
              </w:rPr>
              <w:instrText xml:space="preserve"> PAGEREF _Toc173743589 \h </w:instrText>
            </w:r>
            <w:r w:rsidR="006659E5">
              <w:rPr>
                <w:noProof/>
                <w:webHidden/>
              </w:rPr>
            </w:r>
            <w:r w:rsidR="006659E5">
              <w:rPr>
                <w:noProof/>
                <w:webHidden/>
              </w:rPr>
              <w:fldChar w:fldCharType="separate"/>
            </w:r>
            <w:r w:rsidR="006659E5">
              <w:rPr>
                <w:noProof/>
                <w:webHidden/>
              </w:rPr>
              <w:t>3</w:t>
            </w:r>
            <w:r w:rsidR="006659E5">
              <w:rPr>
                <w:noProof/>
                <w:webHidden/>
              </w:rPr>
              <w:fldChar w:fldCharType="end"/>
            </w:r>
          </w:hyperlink>
        </w:p>
        <w:p w14:paraId="6D2FE92E" w14:textId="634FD855"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0" w:history="1">
            <w:r w:rsidR="006659E5" w:rsidRPr="00461935">
              <w:rPr>
                <w:rStyle w:val="Hyperlink"/>
                <w:noProof/>
              </w:rPr>
              <w:t>Patient Panel</w:t>
            </w:r>
            <w:r w:rsidR="006659E5">
              <w:rPr>
                <w:noProof/>
                <w:webHidden/>
              </w:rPr>
              <w:tab/>
            </w:r>
            <w:r w:rsidR="006659E5">
              <w:rPr>
                <w:noProof/>
                <w:webHidden/>
              </w:rPr>
              <w:fldChar w:fldCharType="begin"/>
            </w:r>
            <w:r w:rsidR="006659E5">
              <w:rPr>
                <w:noProof/>
                <w:webHidden/>
              </w:rPr>
              <w:instrText xml:space="preserve"> PAGEREF _Toc173743590 \h </w:instrText>
            </w:r>
            <w:r w:rsidR="006659E5">
              <w:rPr>
                <w:noProof/>
                <w:webHidden/>
              </w:rPr>
            </w:r>
            <w:r w:rsidR="006659E5">
              <w:rPr>
                <w:noProof/>
                <w:webHidden/>
              </w:rPr>
              <w:fldChar w:fldCharType="separate"/>
            </w:r>
            <w:r w:rsidR="006659E5">
              <w:rPr>
                <w:noProof/>
                <w:webHidden/>
              </w:rPr>
              <w:t>4</w:t>
            </w:r>
            <w:r w:rsidR="006659E5">
              <w:rPr>
                <w:noProof/>
                <w:webHidden/>
              </w:rPr>
              <w:fldChar w:fldCharType="end"/>
            </w:r>
          </w:hyperlink>
        </w:p>
        <w:p w14:paraId="62116E0A" w14:textId="1E27EC44"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1" w:history="1">
            <w:r w:rsidR="006659E5" w:rsidRPr="00461935">
              <w:rPr>
                <w:rStyle w:val="Hyperlink"/>
                <w:noProof/>
              </w:rPr>
              <w:t>Factor 1a: Patient Panel Need</w:t>
            </w:r>
            <w:r w:rsidR="006659E5">
              <w:rPr>
                <w:noProof/>
                <w:webHidden/>
              </w:rPr>
              <w:tab/>
            </w:r>
            <w:r w:rsidR="006659E5">
              <w:rPr>
                <w:noProof/>
                <w:webHidden/>
              </w:rPr>
              <w:fldChar w:fldCharType="begin"/>
            </w:r>
            <w:r w:rsidR="006659E5">
              <w:rPr>
                <w:noProof/>
                <w:webHidden/>
              </w:rPr>
              <w:instrText xml:space="preserve"> PAGEREF _Toc173743591 \h </w:instrText>
            </w:r>
            <w:r w:rsidR="006659E5">
              <w:rPr>
                <w:noProof/>
                <w:webHidden/>
              </w:rPr>
            </w:r>
            <w:r w:rsidR="006659E5">
              <w:rPr>
                <w:noProof/>
                <w:webHidden/>
              </w:rPr>
              <w:fldChar w:fldCharType="separate"/>
            </w:r>
            <w:r w:rsidR="006659E5">
              <w:rPr>
                <w:noProof/>
                <w:webHidden/>
              </w:rPr>
              <w:t>6</w:t>
            </w:r>
            <w:r w:rsidR="006659E5">
              <w:rPr>
                <w:noProof/>
                <w:webHidden/>
              </w:rPr>
              <w:fldChar w:fldCharType="end"/>
            </w:r>
          </w:hyperlink>
        </w:p>
        <w:p w14:paraId="51B757DD" w14:textId="1F7AAE90"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2" w:history="1">
            <w:r w:rsidR="006659E5" w:rsidRPr="00461935">
              <w:rPr>
                <w:rStyle w:val="Hyperlink"/>
                <w:noProof/>
              </w:rPr>
              <w:t>Factor 1: b) Public health value, improved health outcomes and quality of life; assurances of health equity</w:t>
            </w:r>
            <w:r w:rsidR="006659E5">
              <w:rPr>
                <w:noProof/>
                <w:webHidden/>
              </w:rPr>
              <w:tab/>
            </w:r>
            <w:r w:rsidR="006659E5">
              <w:rPr>
                <w:noProof/>
                <w:webHidden/>
              </w:rPr>
              <w:fldChar w:fldCharType="begin"/>
            </w:r>
            <w:r w:rsidR="006659E5">
              <w:rPr>
                <w:noProof/>
                <w:webHidden/>
              </w:rPr>
              <w:instrText xml:space="preserve"> PAGEREF _Toc173743592 \h </w:instrText>
            </w:r>
            <w:r w:rsidR="006659E5">
              <w:rPr>
                <w:noProof/>
                <w:webHidden/>
              </w:rPr>
            </w:r>
            <w:r w:rsidR="006659E5">
              <w:rPr>
                <w:noProof/>
                <w:webHidden/>
              </w:rPr>
              <w:fldChar w:fldCharType="separate"/>
            </w:r>
            <w:r w:rsidR="006659E5">
              <w:rPr>
                <w:noProof/>
                <w:webHidden/>
              </w:rPr>
              <w:t>9</w:t>
            </w:r>
            <w:r w:rsidR="006659E5">
              <w:rPr>
                <w:noProof/>
                <w:webHidden/>
              </w:rPr>
              <w:fldChar w:fldCharType="end"/>
            </w:r>
          </w:hyperlink>
        </w:p>
        <w:p w14:paraId="01B29826" w14:textId="6EC842B0"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3" w:history="1">
            <w:r w:rsidR="006659E5" w:rsidRPr="00461935">
              <w:rPr>
                <w:rStyle w:val="Hyperlink"/>
                <w:noProof/>
              </w:rPr>
              <w:t>Factor 1: c) Efficiency, Continuity of Care, Coordination of Care</w:t>
            </w:r>
            <w:r w:rsidR="006659E5">
              <w:rPr>
                <w:noProof/>
                <w:webHidden/>
              </w:rPr>
              <w:tab/>
            </w:r>
            <w:r w:rsidR="006659E5">
              <w:rPr>
                <w:noProof/>
                <w:webHidden/>
              </w:rPr>
              <w:fldChar w:fldCharType="begin"/>
            </w:r>
            <w:r w:rsidR="006659E5">
              <w:rPr>
                <w:noProof/>
                <w:webHidden/>
              </w:rPr>
              <w:instrText xml:space="preserve"> PAGEREF _Toc173743593 \h </w:instrText>
            </w:r>
            <w:r w:rsidR="006659E5">
              <w:rPr>
                <w:noProof/>
                <w:webHidden/>
              </w:rPr>
            </w:r>
            <w:r w:rsidR="006659E5">
              <w:rPr>
                <w:noProof/>
                <w:webHidden/>
              </w:rPr>
              <w:fldChar w:fldCharType="separate"/>
            </w:r>
            <w:r w:rsidR="006659E5">
              <w:rPr>
                <w:noProof/>
                <w:webHidden/>
              </w:rPr>
              <w:t>11</w:t>
            </w:r>
            <w:r w:rsidR="006659E5">
              <w:rPr>
                <w:noProof/>
                <w:webHidden/>
              </w:rPr>
              <w:fldChar w:fldCharType="end"/>
            </w:r>
          </w:hyperlink>
        </w:p>
        <w:p w14:paraId="3B839BA2" w14:textId="47E962F9"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4" w:history="1">
            <w:r w:rsidR="006659E5" w:rsidRPr="00461935">
              <w:rPr>
                <w:rStyle w:val="Hyperlink"/>
                <w:noProof/>
              </w:rPr>
              <w:t>Factor 1: d) Consultation</w:t>
            </w:r>
            <w:r w:rsidR="006659E5">
              <w:rPr>
                <w:noProof/>
                <w:webHidden/>
              </w:rPr>
              <w:tab/>
            </w:r>
            <w:r w:rsidR="006659E5">
              <w:rPr>
                <w:noProof/>
                <w:webHidden/>
              </w:rPr>
              <w:fldChar w:fldCharType="begin"/>
            </w:r>
            <w:r w:rsidR="006659E5">
              <w:rPr>
                <w:noProof/>
                <w:webHidden/>
              </w:rPr>
              <w:instrText xml:space="preserve"> PAGEREF _Toc173743594 \h </w:instrText>
            </w:r>
            <w:r w:rsidR="006659E5">
              <w:rPr>
                <w:noProof/>
                <w:webHidden/>
              </w:rPr>
            </w:r>
            <w:r w:rsidR="006659E5">
              <w:rPr>
                <w:noProof/>
                <w:webHidden/>
              </w:rPr>
              <w:fldChar w:fldCharType="separate"/>
            </w:r>
            <w:r w:rsidR="006659E5">
              <w:rPr>
                <w:noProof/>
                <w:webHidden/>
              </w:rPr>
              <w:t>12</w:t>
            </w:r>
            <w:r w:rsidR="006659E5">
              <w:rPr>
                <w:noProof/>
                <w:webHidden/>
              </w:rPr>
              <w:fldChar w:fldCharType="end"/>
            </w:r>
          </w:hyperlink>
        </w:p>
        <w:p w14:paraId="42F667AD" w14:textId="755F875C"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5" w:history="1">
            <w:r w:rsidR="006659E5" w:rsidRPr="00461935">
              <w:rPr>
                <w:rStyle w:val="Hyperlink"/>
                <w:noProof/>
              </w:rPr>
              <w:t>Factor 1: e) Evidence of Sound Community Engagement through the Patient Panel</w:t>
            </w:r>
            <w:r w:rsidR="006659E5">
              <w:rPr>
                <w:noProof/>
                <w:webHidden/>
              </w:rPr>
              <w:tab/>
            </w:r>
            <w:r w:rsidR="006659E5">
              <w:rPr>
                <w:noProof/>
                <w:webHidden/>
              </w:rPr>
              <w:fldChar w:fldCharType="begin"/>
            </w:r>
            <w:r w:rsidR="006659E5">
              <w:rPr>
                <w:noProof/>
                <w:webHidden/>
              </w:rPr>
              <w:instrText xml:space="preserve"> PAGEREF _Toc173743595 \h </w:instrText>
            </w:r>
            <w:r w:rsidR="006659E5">
              <w:rPr>
                <w:noProof/>
                <w:webHidden/>
              </w:rPr>
            </w:r>
            <w:r w:rsidR="006659E5">
              <w:rPr>
                <w:noProof/>
                <w:webHidden/>
              </w:rPr>
              <w:fldChar w:fldCharType="separate"/>
            </w:r>
            <w:r w:rsidR="006659E5">
              <w:rPr>
                <w:noProof/>
                <w:webHidden/>
              </w:rPr>
              <w:t>12</w:t>
            </w:r>
            <w:r w:rsidR="006659E5">
              <w:rPr>
                <w:noProof/>
                <w:webHidden/>
              </w:rPr>
              <w:fldChar w:fldCharType="end"/>
            </w:r>
          </w:hyperlink>
        </w:p>
        <w:p w14:paraId="01F42FD1" w14:textId="3E7D7395"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6" w:history="1">
            <w:r w:rsidR="006659E5" w:rsidRPr="00461935">
              <w:rPr>
                <w:rStyle w:val="Hyperlink"/>
                <w:noProof/>
              </w:rPr>
              <w:t>Factor 1: f) Competition on price, total medical expenses (TME), costs and other measures of health care spending</w:t>
            </w:r>
            <w:r w:rsidR="006659E5">
              <w:rPr>
                <w:noProof/>
                <w:webHidden/>
              </w:rPr>
              <w:tab/>
            </w:r>
            <w:r w:rsidR="006659E5">
              <w:rPr>
                <w:noProof/>
                <w:webHidden/>
              </w:rPr>
              <w:fldChar w:fldCharType="begin"/>
            </w:r>
            <w:r w:rsidR="006659E5">
              <w:rPr>
                <w:noProof/>
                <w:webHidden/>
              </w:rPr>
              <w:instrText xml:space="preserve"> PAGEREF _Toc173743596 \h </w:instrText>
            </w:r>
            <w:r w:rsidR="006659E5">
              <w:rPr>
                <w:noProof/>
                <w:webHidden/>
              </w:rPr>
            </w:r>
            <w:r w:rsidR="006659E5">
              <w:rPr>
                <w:noProof/>
                <w:webHidden/>
              </w:rPr>
              <w:fldChar w:fldCharType="separate"/>
            </w:r>
            <w:r w:rsidR="006659E5">
              <w:rPr>
                <w:noProof/>
                <w:webHidden/>
              </w:rPr>
              <w:t>13</w:t>
            </w:r>
            <w:r w:rsidR="006659E5">
              <w:rPr>
                <w:noProof/>
                <w:webHidden/>
              </w:rPr>
              <w:fldChar w:fldCharType="end"/>
            </w:r>
          </w:hyperlink>
        </w:p>
        <w:p w14:paraId="0FDB21D9" w14:textId="2BA00F85"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7" w:history="1">
            <w:r w:rsidR="006659E5" w:rsidRPr="00461935">
              <w:rPr>
                <w:rStyle w:val="Hyperlink"/>
                <w:noProof/>
              </w:rPr>
              <w:t>Factor 1 Summary</w:t>
            </w:r>
            <w:r w:rsidR="006659E5">
              <w:rPr>
                <w:noProof/>
                <w:webHidden/>
              </w:rPr>
              <w:tab/>
            </w:r>
            <w:r w:rsidR="006659E5">
              <w:rPr>
                <w:noProof/>
                <w:webHidden/>
              </w:rPr>
              <w:fldChar w:fldCharType="begin"/>
            </w:r>
            <w:r w:rsidR="006659E5">
              <w:rPr>
                <w:noProof/>
                <w:webHidden/>
              </w:rPr>
              <w:instrText xml:space="preserve"> PAGEREF _Toc173743597 \h </w:instrText>
            </w:r>
            <w:r w:rsidR="006659E5">
              <w:rPr>
                <w:noProof/>
                <w:webHidden/>
              </w:rPr>
            </w:r>
            <w:r w:rsidR="006659E5">
              <w:rPr>
                <w:noProof/>
                <w:webHidden/>
              </w:rPr>
              <w:fldChar w:fldCharType="separate"/>
            </w:r>
            <w:r w:rsidR="006659E5">
              <w:rPr>
                <w:noProof/>
                <w:webHidden/>
              </w:rPr>
              <w:t>13</w:t>
            </w:r>
            <w:r w:rsidR="006659E5">
              <w:rPr>
                <w:noProof/>
                <w:webHidden/>
              </w:rPr>
              <w:fldChar w:fldCharType="end"/>
            </w:r>
          </w:hyperlink>
        </w:p>
        <w:p w14:paraId="64AE28CC" w14:textId="1E2ED558"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8" w:history="1">
            <w:r w:rsidR="006659E5" w:rsidRPr="00461935">
              <w:rPr>
                <w:rStyle w:val="Hyperlink"/>
                <w:noProof/>
              </w:rPr>
              <w:t>Factor 2: Cost containment, Improved Public Health Outcomes and Delivery System Transformation</w:t>
            </w:r>
            <w:r w:rsidR="006659E5">
              <w:rPr>
                <w:noProof/>
                <w:webHidden/>
              </w:rPr>
              <w:tab/>
            </w:r>
            <w:r w:rsidR="006659E5">
              <w:rPr>
                <w:noProof/>
                <w:webHidden/>
              </w:rPr>
              <w:fldChar w:fldCharType="begin"/>
            </w:r>
            <w:r w:rsidR="006659E5">
              <w:rPr>
                <w:noProof/>
                <w:webHidden/>
              </w:rPr>
              <w:instrText xml:space="preserve"> PAGEREF _Toc173743598 \h </w:instrText>
            </w:r>
            <w:r w:rsidR="006659E5">
              <w:rPr>
                <w:noProof/>
                <w:webHidden/>
              </w:rPr>
            </w:r>
            <w:r w:rsidR="006659E5">
              <w:rPr>
                <w:noProof/>
                <w:webHidden/>
              </w:rPr>
              <w:fldChar w:fldCharType="separate"/>
            </w:r>
            <w:r w:rsidR="006659E5">
              <w:rPr>
                <w:noProof/>
                <w:webHidden/>
              </w:rPr>
              <w:t>14</w:t>
            </w:r>
            <w:r w:rsidR="006659E5">
              <w:rPr>
                <w:noProof/>
                <w:webHidden/>
              </w:rPr>
              <w:fldChar w:fldCharType="end"/>
            </w:r>
          </w:hyperlink>
        </w:p>
        <w:p w14:paraId="085FF5FA" w14:textId="3E459986"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599" w:history="1">
            <w:r w:rsidR="006659E5" w:rsidRPr="00461935">
              <w:rPr>
                <w:rStyle w:val="Hyperlink"/>
                <w:noProof/>
              </w:rPr>
              <w:t>Factor 2 Summary</w:t>
            </w:r>
            <w:r w:rsidR="006659E5">
              <w:rPr>
                <w:noProof/>
                <w:webHidden/>
              </w:rPr>
              <w:tab/>
            </w:r>
            <w:r w:rsidR="006659E5">
              <w:rPr>
                <w:noProof/>
                <w:webHidden/>
              </w:rPr>
              <w:fldChar w:fldCharType="begin"/>
            </w:r>
            <w:r w:rsidR="006659E5">
              <w:rPr>
                <w:noProof/>
                <w:webHidden/>
              </w:rPr>
              <w:instrText xml:space="preserve"> PAGEREF _Toc173743599 \h </w:instrText>
            </w:r>
            <w:r w:rsidR="006659E5">
              <w:rPr>
                <w:noProof/>
                <w:webHidden/>
              </w:rPr>
            </w:r>
            <w:r w:rsidR="006659E5">
              <w:rPr>
                <w:noProof/>
                <w:webHidden/>
              </w:rPr>
              <w:fldChar w:fldCharType="separate"/>
            </w:r>
            <w:r w:rsidR="006659E5">
              <w:rPr>
                <w:noProof/>
                <w:webHidden/>
              </w:rPr>
              <w:t>15</w:t>
            </w:r>
            <w:r w:rsidR="006659E5">
              <w:rPr>
                <w:noProof/>
                <w:webHidden/>
              </w:rPr>
              <w:fldChar w:fldCharType="end"/>
            </w:r>
          </w:hyperlink>
        </w:p>
        <w:p w14:paraId="646C1F75" w14:textId="07C84A16"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0" w:history="1">
            <w:r w:rsidR="006659E5" w:rsidRPr="00461935">
              <w:rPr>
                <w:rStyle w:val="Hyperlink"/>
                <w:noProof/>
              </w:rPr>
              <w:t>Factor 3: Relevant Licensure/Oversight Compliance</w:t>
            </w:r>
            <w:r w:rsidR="006659E5">
              <w:rPr>
                <w:noProof/>
                <w:webHidden/>
              </w:rPr>
              <w:tab/>
            </w:r>
            <w:r w:rsidR="006659E5">
              <w:rPr>
                <w:noProof/>
                <w:webHidden/>
              </w:rPr>
              <w:fldChar w:fldCharType="begin"/>
            </w:r>
            <w:r w:rsidR="006659E5">
              <w:rPr>
                <w:noProof/>
                <w:webHidden/>
              </w:rPr>
              <w:instrText xml:space="preserve"> PAGEREF _Toc173743600 \h </w:instrText>
            </w:r>
            <w:r w:rsidR="006659E5">
              <w:rPr>
                <w:noProof/>
                <w:webHidden/>
              </w:rPr>
            </w:r>
            <w:r w:rsidR="006659E5">
              <w:rPr>
                <w:noProof/>
                <w:webHidden/>
              </w:rPr>
              <w:fldChar w:fldCharType="separate"/>
            </w:r>
            <w:r w:rsidR="006659E5">
              <w:rPr>
                <w:noProof/>
                <w:webHidden/>
              </w:rPr>
              <w:t>15</w:t>
            </w:r>
            <w:r w:rsidR="006659E5">
              <w:rPr>
                <w:noProof/>
                <w:webHidden/>
              </w:rPr>
              <w:fldChar w:fldCharType="end"/>
            </w:r>
          </w:hyperlink>
        </w:p>
        <w:p w14:paraId="22FFA8B8" w14:textId="68939853"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1" w:history="1">
            <w:r w:rsidR="006659E5" w:rsidRPr="00461935">
              <w:rPr>
                <w:rStyle w:val="Hyperlink"/>
                <w:noProof/>
              </w:rPr>
              <w:t>Factor 4: Demonstration of Sufficient Funds as Supported by an Independent CPA Analysis</w:t>
            </w:r>
            <w:r w:rsidR="006659E5">
              <w:rPr>
                <w:noProof/>
                <w:webHidden/>
              </w:rPr>
              <w:tab/>
            </w:r>
            <w:r w:rsidR="006659E5">
              <w:rPr>
                <w:noProof/>
                <w:webHidden/>
              </w:rPr>
              <w:fldChar w:fldCharType="begin"/>
            </w:r>
            <w:r w:rsidR="006659E5">
              <w:rPr>
                <w:noProof/>
                <w:webHidden/>
              </w:rPr>
              <w:instrText xml:space="preserve"> PAGEREF _Toc173743601 \h </w:instrText>
            </w:r>
            <w:r w:rsidR="006659E5">
              <w:rPr>
                <w:noProof/>
                <w:webHidden/>
              </w:rPr>
            </w:r>
            <w:r w:rsidR="006659E5">
              <w:rPr>
                <w:noProof/>
                <w:webHidden/>
              </w:rPr>
              <w:fldChar w:fldCharType="separate"/>
            </w:r>
            <w:r w:rsidR="006659E5">
              <w:rPr>
                <w:noProof/>
                <w:webHidden/>
              </w:rPr>
              <w:t>15</w:t>
            </w:r>
            <w:r w:rsidR="006659E5">
              <w:rPr>
                <w:noProof/>
                <w:webHidden/>
              </w:rPr>
              <w:fldChar w:fldCharType="end"/>
            </w:r>
          </w:hyperlink>
        </w:p>
        <w:p w14:paraId="44F84CD2" w14:textId="1A4D13E6"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2" w:history="1">
            <w:r w:rsidR="006659E5" w:rsidRPr="00461935">
              <w:rPr>
                <w:rStyle w:val="Hyperlink"/>
                <w:noProof/>
              </w:rPr>
              <w:t>Factor 5: Assessment of the Proposed Project’s Relative Merit</w:t>
            </w:r>
            <w:r w:rsidR="006659E5">
              <w:rPr>
                <w:noProof/>
                <w:webHidden/>
              </w:rPr>
              <w:tab/>
            </w:r>
            <w:r w:rsidR="006659E5">
              <w:rPr>
                <w:noProof/>
                <w:webHidden/>
              </w:rPr>
              <w:fldChar w:fldCharType="begin"/>
            </w:r>
            <w:r w:rsidR="006659E5">
              <w:rPr>
                <w:noProof/>
                <w:webHidden/>
              </w:rPr>
              <w:instrText xml:space="preserve"> PAGEREF _Toc173743602 \h </w:instrText>
            </w:r>
            <w:r w:rsidR="006659E5">
              <w:rPr>
                <w:noProof/>
                <w:webHidden/>
              </w:rPr>
            </w:r>
            <w:r w:rsidR="006659E5">
              <w:rPr>
                <w:noProof/>
                <w:webHidden/>
              </w:rPr>
              <w:fldChar w:fldCharType="separate"/>
            </w:r>
            <w:r w:rsidR="006659E5">
              <w:rPr>
                <w:noProof/>
                <w:webHidden/>
              </w:rPr>
              <w:t>19</w:t>
            </w:r>
            <w:r w:rsidR="006659E5">
              <w:rPr>
                <w:noProof/>
                <w:webHidden/>
              </w:rPr>
              <w:fldChar w:fldCharType="end"/>
            </w:r>
          </w:hyperlink>
        </w:p>
        <w:p w14:paraId="04A7F40D" w14:textId="1AFE41CB"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3" w:history="1">
            <w:r w:rsidR="006659E5" w:rsidRPr="00461935">
              <w:rPr>
                <w:rStyle w:val="Hyperlink"/>
                <w:noProof/>
              </w:rPr>
              <w:t>Factor 6: Fulfillment of DPH Community-based Health Initiatives Guideline: Overall Application</w:t>
            </w:r>
            <w:r w:rsidR="006659E5">
              <w:rPr>
                <w:noProof/>
                <w:webHidden/>
              </w:rPr>
              <w:tab/>
            </w:r>
            <w:r w:rsidR="006659E5">
              <w:rPr>
                <w:noProof/>
                <w:webHidden/>
              </w:rPr>
              <w:fldChar w:fldCharType="begin"/>
            </w:r>
            <w:r w:rsidR="006659E5">
              <w:rPr>
                <w:noProof/>
                <w:webHidden/>
              </w:rPr>
              <w:instrText xml:space="preserve"> PAGEREF _Toc173743603 \h </w:instrText>
            </w:r>
            <w:r w:rsidR="006659E5">
              <w:rPr>
                <w:noProof/>
                <w:webHidden/>
              </w:rPr>
            </w:r>
            <w:r w:rsidR="006659E5">
              <w:rPr>
                <w:noProof/>
                <w:webHidden/>
              </w:rPr>
              <w:fldChar w:fldCharType="separate"/>
            </w:r>
            <w:r w:rsidR="006659E5">
              <w:rPr>
                <w:noProof/>
                <w:webHidden/>
              </w:rPr>
              <w:t>19</w:t>
            </w:r>
            <w:r w:rsidR="006659E5">
              <w:rPr>
                <w:noProof/>
                <w:webHidden/>
              </w:rPr>
              <w:fldChar w:fldCharType="end"/>
            </w:r>
          </w:hyperlink>
        </w:p>
        <w:p w14:paraId="3A4A4F72" w14:textId="6E734FCE"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4" w:history="1">
            <w:r w:rsidR="006659E5" w:rsidRPr="00461935">
              <w:rPr>
                <w:rStyle w:val="Hyperlink"/>
                <w:noProof/>
              </w:rPr>
              <w:t>Findings and Recommendations</w:t>
            </w:r>
            <w:r w:rsidR="006659E5">
              <w:rPr>
                <w:noProof/>
                <w:webHidden/>
              </w:rPr>
              <w:tab/>
            </w:r>
            <w:r w:rsidR="006659E5">
              <w:rPr>
                <w:noProof/>
                <w:webHidden/>
              </w:rPr>
              <w:fldChar w:fldCharType="begin"/>
            </w:r>
            <w:r w:rsidR="006659E5">
              <w:rPr>
                <w:noProof/>
                <w:webHidden/>
              </w:rPr>
              <w:instrText xml:space="preserve"> PAGEREF _Toc173743604 \h </w:instrText>
            </w:r>
            <w:r w:rsidR="006659E5">
              <w:rPr>
                <w:noProof/>
                <w:webHidden/>
              </w:rPr>
            </w:r>
            <w:r w:rsidR="006659E5">
              <w:rPr>
                <w:noProof/>
                <w:webHidden/>
              </w:rPr>
              <w:fldChar w:fldCharType="separate"/>
            </w:r>
            <w:r w:rsidR="006659E5">
              <w:rPr>
                <w:noProof/>
                <w:webHidden/>
              </w:rPr>
              <w:t>20</w:t>
            </w:r>
            <w:r w:rsidR="006659E5">
              <w:rPr>
                <w:noProof/>
                <w:webHidden/>
              </w:rPr>
              <w:fldChar w:fldCharType="end"/>
            </w:r>
          </w:hyperlink>
        </w:p>
        <w:p w14:paraId="4FD68F25" w14:textId="10484569"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5" w:history="1">
            <w:r w:rsidR="006659E5" w:rsidRPr="00461935">
              <w:rPr>
                <w:rStyle w:val="Hyperlink"/>
                <w:noProof/>
              </w:rPr>
              <w:t>Other Conditions</w:t>
            </w:r>
            <w:r w:rsidR="006659E5">
              <w:rPr>
                <w:noProof/>
                <w:webHidden/>
              </w:rPr>
              <w:tab/>
            </w:r>
            <w:r w:rsidR="006659E5">
              <w:rPr>
                <w:noProof/>
                <w:webHidden/>
              </w:rPr>
              <w:fldChar w:fldCharType="begin"/>
            </w:r>
            <w:r w:rsidR="006659E5">
              <w:rPr>
                <w:noProof/>
                <w:webHidden/>
              </w:rPr>
              <w:instrText xml:space="preserve"> PAGEREF _Toc173743605 \h </w:instrText>
            </w:r>
            <w:r w:rsidR="006659E5">
              <w:rPr>
                <w:noProof/>
                <w:webHidden/>
              </w:rPr>
            </w:r>
            <w:r w:rsidR="006659E5">
              <w:rPr>
                <w:noProof/>
                <w:webHidden/>
              </w:rPr>
              <w:fldChar w:fldCharType="separate"/>
            </w:r>
            <w:r w:rsidR="006659E5">
              <w:rPr>
                <w:noProof/>
                <w:webHidden/>
              </w:rPr>
              <w:t>20</w:t>
            </w:r>
            <w:r w:rsidR="006659E5">
              <w:rPr>
                <w:noProof/>
                <w:webHidden/>
              </w:rPr>
              <w:fldChar w:fldCharType="end"/>
            </w:r>
          </w:hyperlink>
        </w:p>
        <w:p w14:paraId="753E6A43" w14:textId="7910D7BF"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6" w:history="1">
            <w:r w:rsidR="006659E5" w:rsidRPr="00461935">
              <w:rPr>
                <w:rStyle w:val="Hyperlink"/>
                <w:noProof/>
                <w:bdr w:val="none" w:sz="0" w:space="0" w:color="auto" w:frame="1"/>
              </w:rPr>
              <w:t>Appendix I: Required Measures for Annual Reporting</w:t>
            </w:r>
            <w:r w:rsidR="006659E5">
              <w:rPr>
                <w:noProof/>
                <w:webHidden/>
              </w:rPr>
              <w:tab/>
            </w:r>
            <w:r w:rsidR="006659E5">
              <w:rPr>
                <w:noProof/>
                <w:webHidden/>
              </w:rPr>
              <w:fldChar w:fldCharType="begin"/>
            </w:r>
            <w:r w:rsidR="006659E5">
              <w:rPr>
                <w:noProof/>
                <w:webHidden/>
              </w:rPr>
              <w:instrText xml:space="preserve"> PAGEREF _Toc173743606 \h </w:instrText>
            </w:r>
            <w:r w:rsidR="006659E5">
              <w:rPr>
                <w:noProof/>
                <w:webHidden/>
              </w:rPr>
            </w:r>
            <w:r w:rsidR="006659E5">
              <w:rPr>
                <w:noProof/>
                <w:webHidden/>
              </w:rPr>
              <w:fldChar w:fldCharType="separate"/>
            </w:r>
            <w:r w:rsidR="006659E5">
              <w:rPr>
                <w:noProof/>
                <w:webHidden/>
              </w:rPr>
              <w:t>21</w:t>
            </w:r>
            <w:r w:rsidR="006659E5">
              <w:rPr>
                <w:noProof/>
                <w:webHidden/>
              </w:rPr>
              <w:fldChar w:fldCharType="end"/>
            </w:r>
          </w:hyperlink>
        </w:p>
        <w:p w14:paraId="767F74C9" w14:textId="6E9FFA45" w:rsidR="006659E5"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3743607" w:history="1">
            <w:r w:rsidR="006659E5" w:rsidRPr="00461935">
              <w:rPr>
                <w:rStyle w:val="Hyperlink"/>
                <w:noProof/>
              </w:rPr>
              <w:t>REFERENCES</w:t>
            </w:r>
            <w:r w:rsidR="006659E5">
              <w:rPr>
                <w:noProof/>
                <w:webHidden/>
              </w:rPr>
              <w:tab/>
            </w:r>
            <w:r w:rsidR="006659E5">
              <w:rPr>
                <w:noProof/>
                <w:webHidden/>
              </w:rPr>
              <w:fldChar w:fldCharType="begin"/>
            </w:r>
            <w:r w:rsidR="006659E5">
              <w:rPr>
                <w:noProof/>
                <w:webHidden/>
              </w:rPr>
              <w:instrText xml:space="preserve"> PAGEREF _Toc173743607 \h </w:instrText>
            </w:r>
            <w:r w:rsidR="006659E5">
              <w:rPr>
                <w:noProof/>
                <w:webHidden/>
              </w:rPr>
            </w:r>
            <w:r w:rsidR="006659E5">
              <w:rPr>
                <w:noProof/>
                <w:webHidden/>
              </w:rPr>
              <w:fldChar w:fldCharType="separate"/>
            </w:r>
            <w:r w:rsidR="006659E5">
              <w:rPr>
                <w:noProof/>
                <w:webHidden/>
              </w:rPr>
              <w:t>22</w:t>
            </w:r>
            <w:r w:rsidR="006659E5">
              <w:rPr>
                <w:noProof/>
                <w:webHidden/>
              </w:rPr>
              <w:fldChar w:fldCharType="end"/>
            </w:r>
          </w:hyperlink>
        </w:p>
        <w:p w14:paraId="0675CDB9" w14:textId="12B04B51"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74231B">
          <w:pgSz w:w="12240" w:h="15840"/>
          <w:pgMar w:top="1360" w:right="980" w:bottom="1120" w:left="860" w:header="0" w:footer="937" w:gutter="0"/>
          <w:cols w:space="720"/>
        </w:sectPr>
      </w:pPr>
    </w:p>
    <w:p w14:paraId="6280C006" w14:textId="5B9C89A8"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173743589"/>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C23C49">
        <w:rPr>
          <w:rFonts w:asciiTheme="minorHAnsi" w:hAnsiTheme="minorHAnsi"/>
          <w:color w:val="1F497D" w:themeColor="text2"/>
        </w:rPr>
        <w:t>Masonic Health System of Massachusetts, Inc.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5B708A77" w14:textId="7AE3B69C" w:rsidR="00863FEC" w:rsidRDefault="00F21CB9" w:rsidP="002B5CB8">
      <w:pPr>
        <w:pStyle w:val="BodyText"/>
        <w:rPr>
          <w:rFonts w:asciiTheme="minorHAnsi" w:hAnsiTheme="minorHAnsi"/>
        </w:rPr>
      </w:pPr>
      <w:r>
        <w:rPr>
          <w:rFonts w:asciiTheme="minorHAnsi" w:hAnsiTheme="minorHAnsi"/>
        </w:rPr>
        <w:t>Masonic Health System of Massachusetts, Inc.</w:t>
      </w:r>
      <w:r w:rsidR="000C683A">
        <w:rPr>
          <w:rFonts w:asciiTheme="minorHAnsi" w:hAnsiTheme="minorHAnsi"/>
        </w:rPr>
        <w:t xml:space="preserve"> (Applicant)</w:t>
      </w:r>
      <w:r>
        <w:rPr>
          <w:rFonts w:asciiTheme="minorHAnsi" w:hAnsiTheme="minorHAnsi"/>
        </w:rPr>
        <w:t xml:space="preserve"> is</w:t>
      </w:r>
      <w:r w:rsidR="00374A5F">
        <w:rPr>
          <w:rFonts w:asciiTheme="minorHAnsi" w:hAnsiTheme="minorHAnsi"/>
        </w:rPr>
        <w:t xml:space="preserve"> a</w:t>
      </w:r>
      <w:r>
        <w:rPr>
          <w:rFonts w:asciiTheme="minorHAnsi" w:hAnsiTheme="minorHAnsi"/>
        </w:rPr>
        <w:t xml:space="preserve"> </w:t>
      </w:r>
      <w:r w:rsidR="00E0055C">
        <w:rPr>
          <w:rFonts w:asciiTheme="minorHAnsi" w:hAnsiTheme="minorHAnsi"/>
        </w:rPr>
        <w:t>nonprofit</w:t>
      </w:r>
      <w:r>
        <w:rPr>
          <w:rFonts w:asciiTheme="minorHAnsi" w:hAnsiTheme="minorHAnsi"/>
        </w:rPr>
        <w:t xml:space="preserve"> corporation</w:t>
      </w:r>
      <w:r w:rsidR="00FC39FC">
        <w:rPr>
          <w:rFonts w:asciiTheme="minorHAnsi" w:hAnsiTheme="minorHAnsi"/>
        </w:rPr>
        <w:t xml:space="preserve"> </w:t>
      </w:r>
      <w:r w:rsidR="008850FB">
        <w:rPr>
          <w:rFonts w:asciiTheme="minorHAnsi" w:hAnsiTheme="minorHAnsi"/>
        </w:rPr>
        <w:t xml:space="preserve">with a principal place of business at 88 Masonic Home Road, Charlton, MA. </w:t>
      </w:r>
      <w:r w:rsidR="00D53BA3">
        <w:rPr>
          <w:rFonts w:asciiTheme="minorHAnsi" w:hAnsiTheme="minorHAnsi"/>
        </w:rPr>
        <w:t xml:space="preserve">The Applicant operates a </w:t>
      </w:r>
      <w:r w:rsidR="009236EE">
        <w:rPr>
          <w:rFonts w:asciiTheme="minorHAnsi" w:hAnsiTheme="minorHAnsi"/>
        </w:rPr>
        <w:t>Continuing Care Retirement Community (CCRC) in Charlton MA with a campus that includes</w:t>
      </w:r>
      <w:r w:rsidR="00EB24EC">
        <w:rPr>
          <w:rFonts w:asciiTheme="minorHAnsi" w:hAnsiTheme="minorHAnsi"/>
        </w:rPr>
        <w:t xml:space="preserve"> </w:t>
      </w:r>
      <w:r w:rsidR="0065739A">
        <w:rPr>
          <w:rFonts w:asciiTheme="minorHAnsi" w:hAnsiTheme="minorHAnsi"/>
        </w:rPr>
        <w:t>Overlook</w:t>
      </w:r>
      <w:r w:rsidR="009236EE">
        <w:rPr>
          <w:rFonts w:asciiTheme="minorHAnsi" w:hAnsiTheme="minorHAnsi"/>
        </w:rPr>
        <w:t xml:space="preserve"> Masonic Health Center (</w:t>
      </w:r>
      <w:r w:rsidR="0065739A">
        <w:rPr>
          <w:rFonts w:asciiTheme="minorHAnsi" w:hAnsiTheme="minorHAnsi"/>
        </w:rPr>
        <w:t>The Overlook</w:t>
      </w:r>
      <w:r w:rsidR="0069679F">
        <w:rPr>
          <w:rFonts w:asciiTheme="minorHAnsi" w:hAnsiTheme="minorHAnsi"/>
        </w:rPr>
        <w:t xml:space="preserve"> o</w:t>
      </w:r>
      <w:r w:rsidR="001B3A0E">
        <w:rPr>
          <w:rFonts w:asciiTheme="minorHAnsi" w:hAnsiTheme="minorHAnsi"/>
        </w:rPr>
        <w:t>r</w:t>
      </w:r>
      <w:r w:rsidR="0069679F">
        <w:rPr>
          <w:rFonts w:asciiTheme="minorHAnsi" w:hAnsiTheme="minorHAnsi"/>
        </w:rPr>
        <w:t xml:space="preserve"> Facility</w:t>
      </w:r>
      <w:r w:rsidR="009236EE">
        <w:rPr>
          <w:rFonts w:asciiTheme="minorHAnsi" w:hAnsiTheme="minorHAnsi"/>
        </w:rPr>
        <w:t>), a skilled nursing facility (SNF)</w:t>
      </w:r>
      <w:r w:rsidR="00374A5F">
        <w:rPr>
          <w:rFonts w:asciiTheme="minorHAnsi" w:hAnsiTheme="minorHAnsi"/>
        </w:rPr>
        <w:t>;</w:t>
      </w:r>
      <w:r w:rsidR="0092001E">
        <w:rPr>
          <w:rFonts w:asciiTheme="minorHAnsi" w:hAnsiTheme="minorHAnsi"/>
        </w:rPr>
        <w:t xml:space="preserve"> </w:t>
      </w:r>
      <w:r w:rsidR="009236EE">
        <w:rPr>
          <w:rFonts w:asciiTheme="minorHAnsi" w:hAnsiTheme="minorHAnsi"/>
        </w:rPr>
        <w:t xml:space="preserve">an </w:t>
      </w:r>
      <w:r w:rsidR="002A2F83">
        <w:rPr>
          <w:rFonts w:asciiTheme="minorHAnsi" w:hAnsiTheme="minorHAnsi"/>
        </w:rPr>
        <w:t>I</w:t>
      </w:r>
      <w:r w:rsidR="009236EE">
        <w:rPr>
          <w:rFonts w:asciiTheme="minorHAnsi" w:hAnsiTheme="minorHAnsi"/>
        </w:rPr>
        <w:t xml:space="preserve">ndependent </w:t>
      </w:r>
      <w:r w:rsidR="002A2F83">
        <w:rPr>
          <w:rFonts w:asciiTheme="minorHAnsi" w:hAnsiTheme="minorHAnsi"/>
        </w:rPr>
        <w:t>L</w:t>
      </w:r>
      <w:r w:rsidR="009236EE">
        <w:rPr>
          <w:rFonts w:asciiTheme="minorHAnsi" w:hAnsiTheme="minorHAnsi"/>
        </w:rPr>
        <w:t>iving community</w:t>
      </w:r>
      <w:r w:rsidR="00374A5F">
        <w:rPr>
          <w:rFonts w:asciiTheme="minorHAnsi" w:hAnsiTheme="minorHAnsi"/>
        </w:rPr>
        <w:t>;</w:t>
      </w:r>
      <w:r w:rsidR="009236EE">
        <w:rPr>
          <w:rFonts w:asciiTheme="minorHAnsi" w:hAnsiTheme="minorHAnsi"/>
        </w:rPr>
        <w:t xml:space="preserve"> </w:t>
      </w:r>
      <w:r w:rsidR="00EB24EC">
        <w:rPr>
          <w:rFonts w:asciiTheme="minorHAnsi" w:hAnsiTheme="minorHAnsi"/>
        </w:rPr>
        <w:t xml:space="preserve">an </w:t>
      </w:r>
      <w:r w:rsidR="002A2F83">
        <w:rPr>
          <w:rFonts w:asciiTheme="minorHAnsi" w:hAnsiTheme="minorHAnsi"/>
        </w:rPr>
        <w:t>a</w:t>
      </w:r>
      <w:r w:rsidR="009236EE">
        <w:rPr>
          <w:rFonts w:asciiTheme="minorHAnsi" w:hAnsiTheme="minorHAnsi"/>
        </w:rPr>
        <w:t xml:space="preserve">ssisted </w:t>
      </w:r>
      <w:r w:rsidR="002A2F83">
        <w:rPr>
          <w:rFonts w:asciiTheme="minorHAnsi" w:hAnsiTheme="minorHAnsi"/>
        </w:rPr>
        <w:t>l</w:t>
      </w:r>
      <w:r w:rsidR="009236EE">
        <w:rPr>
          <w:rFonts w:asciiTheme="minorHAnsi" w:hAnsiTheme="minorHAnsi"/>
        </w:rPr>
        <w:t>iving memory care unit</w:t>
      </w:r>
      <w:r w:rsidR="00374A5F">
        <w:rPr>
          <w:rFonts w:asciiTheme="minorHAnsi" w:hAnsiTheme="minorHAnsi"/>
        </w:rPr>
        <w:t>;</w:t>
      </w:r>
      <w:r w:rsidR="009236EE">
        <w:rPr>
          <w:rFonts w:asciiTheme="minorHAnsi" w:hAnsiTheme="minorHAnsi"/>
        </w:rPr>
        <w:t xml:space="preserve"> and an adult day health program</w:t>
      </w:r>
      <w:r w:rsidR="001B3A0E">
        <w:rPr>
          <w:rFonts w:asciiTheme="minorHAnsi" w:hAnsiTheme="minorHAnsi"/>
        </w:rPr>
        <w:t>,</w:t>
      </w:r>
      <w:r w:rsidR="00854080">
        <w:rPr>
          <w:rFonts w:asciiTheme="minorHAnsi" w:hAnsiTheme="minorHAnsi"/>
        </w:rPr>
        <w:t xml:space="preserve"> allowing members to age in place, and move through the care continuum while remaining in the same community. </w:t>
      </w:r>
      <w:r w:rsidR="00077FE6" w:rsidRPr="00077FE6">
        <w:rPr>
          <w:rFonts w:asciiTheme="minorHAnsi" w:hAnsiTheme="minorHAnsi"/>
        </w:rPr>
        <w:t>The Applicant provides in-home private companion and custodial services, Medicare certified home health, and hospice and palliative care wherever the individual calls home</w:t>
      </w:r>
      <w:r w:rsidR="00D07C71">
        <w:rPr>
          <w:rFonts w:asciiTheme="minorHAnsi" w:hAnsiTheme="minorHAnsi"/>
        </w:rPr>
        <w:t>.</w:t>
      </w:r>
    </w:p>
    <w:p w14:paraId="5BBAE235" w14:textId="77777777" w:rsidR="00863FEC" w:rsidRDefault="00863FEC" w:rsidP="004A1BE8">
      <w:pPr>
        <w:pStyle w:val="BodyText"/>
        <w:rPr>
          <w:rFonts w:asciiTheme="minorHAnsi" w:hAnsiTheme="minorHAnsi"/>
        </w:rPr>
      </w:pPr>
    </w:p>
    <w:p w14:paraId="0F920008" w14:textId="462AC4CF" w:rsidR="00F5082A" w:rsidRDefault="00806988" w:rsidP="004A1BE8">
      <w:pPr>
        <w:pStyle w:val="BodyText"/>
        <w:rPr>
          <w:rFonts w:asciiTheme="minorHAnsi" w:hAnsiTheme="minorHAnsi"/>
        </w:rPr>
      </w:pPr>
      <w:r>
        <w:rPr>
          <w:rFonts w:asciiTheme="minorHAnsi" w:hAnsiTheme="minorHAnsi"/>
        </w:rPr>
        <w:t>The</w:t>
      </w:r>
      <w:r w:rsidR="0065739A">
        <w:rPr>
          <w:rFonts w:asciiTheme="minorHAnsi" w:hAnsiTheme="minorHAnsi"/>
        </w:rPr>
        <w:t xml:space="preserve"> Overlook</w:t>
      </w:r>
      <w:r w:rsidR="005121BF">
        <w:rPr>
          <w:rFonts w:asciiTheme="minorHAnsi" w:hAnsiTheme="minorHAnsi"/>
        </w:rPr>
        <w:t>, the site of the Proposed Project, is an integral part of t</w:t>
      </w:r>
      <w:r w:rsidR="008850FB">
        <w:rPr>
          <w:rFonts w:asciiTheme="minorHAnsi" w:hAnsiTheme="minorHAnsi"/>
        </w:rPr>
        <w:t>he</w:t>
      </w:r>
      <w:r w:rsidR="005655DA">
        <w:rPr>
          <w:rFonts w:asciiTheme="minorHAnsi" w:hAnsiTheme="minorHAnsi"/>
        </w:rPr>
        <w:t xml:space="preserve"> Applicant</w:t>
      </w:r>
      <w:r w:rsidR="007A7CB5">
        <w:rPr>
          <w:rFonts w:asciiTheme="minorHAnsi" w:hAnsiTheme="minorHAnsi"/>
        </w:rPr>
        <w:t xml:space="preserve">’s </w:t>
      </w:r>
      <w:r w:rsidR="005121BF">
        <w:rPr>
          <w:rFonts w:asciiTheme="minorHAnsi" w:hAnsiTheme="minorHAnsi"/>
        </w:rPr>
        <w:t>CCRC.</w:t>
      </w:r>
      <w:r w:rsidR="007A7CB5">
        <w:rPr>
          <w:rFonts w:asciiTheme="minorHAnsi" w:hAnsiTheme="minorHAnsi"/>
        </w:rPr>
        <w:t xml:space="preserve"> </w:t>
      </w:r>
      <w:r w:rsidR="0065739A">
        <w:rPr>
          <w:rFonts w:asciiTheme="minorHAnsi" w:hAnsiTheme="minorHAnsi"/>
        </w:rPr>
        <w:t>The Overlook</w:t>
      </w:r>
      <w:r w:rsidR="0024156A">
        <w:rPr>
          <w:rFonts w:asciiTheme="minorHAnsi" w:hAnsiTheme="minorHAnsi"/>
        </w:rPr>
        <w:t xml:space="preserve"> was e</w:t>
      </w:r>
      <w:r w:rsidR="003B26B5">
        <w:rPr>
          <w:rFonts w:asciiTheme="minorHAnsi" w:hAnsiTheme="minorHAnsi"/>
        </w:rPr>
        <w:t>stablished in 1908 by the Grand Lodge of Masons in Massachusetts to provide nursing care for Masonic brethren and their family</w:t>
      </w:r>
      <w:r w:rsidR="00A81AEE">
        <w:rPr>
          <w:rFonts w:asciiTheme="minorHAnsi" w:hAnsiTheme="minorHAnsi"/>
        </w:rPr>
        <w:t>,</w:t>
      </w:r>
      <w:r w:rsidR="003B26B5">
        <w:rPr>
          <w:rFonts w:asciiTheme="minorHAnsi" w:hAnsiTheme="minorHAnsi"/>
        </w:rPr>
        <w:t xml:space="preserve"> promoting quality health and services statewide</w:t>
      </w:r>
      <w:r w:rsidR="0024156A">
        <w:rPr>
          <w:rFonts w:asciiTheme="minorHAnsi" w:hAnsiTheme="minorHAnsi"/>
        </w:rPr>
        <w:t>. The Mason’s vision included providing a continuum of housing, community and healthcare services as part of its mission</w:t>
      </w:r>
      <w:r w:rsidR="007B09DC">
        <w:rPr>
          <w:rFonts w:asciiTheme="minorHAnsi" w:hAnsiTheme="minorHAnsi"/>
        </w:rPr>
        <w:t>. T</w:t>
      </w:r>
      <w:r w:rsidR="003B26B5">
        <w:rPr>
          <w:rFonts w:asciiTheme="minorHAnsi" w:hAnsiTheme="minorHAnsi"/>
        </w:rPr>
        <w:t xml:space="preserve">he Applicant has grown to provide a continuum of care to older adults, from </w:t>
      </w:r>
      <w:r w:rsidR="0024156A">
        <w:rPr>
          <w:rFonts w:asciiTheme="minorHAnsi" w:hAnsiTheme="minorHAnsi"/>
        </w:rPr>
        <w:t>independent</w:t>
      </w:r>
      <w:r w:rsidR="003B26B5">
        <w:rPr>
          <w:rFonts w:asciiTheme="minorHAnsi" w:hAnsiTheme="minorHAnsi"/>
        </w:rPr>
        <w:t xml:space="preserve"> living to custodial and companion care, geriatric management, skilled nursing, short-term rehabilitation, a rest home, Medicare certified home health, hospice, palliative, adult day, and </w:t>
      </w:r>
      <w:r w:rsidR="002A2F83">
        <w:rPr>
          <w:rFonts w:asciiTheme="minorHAnsi" w:hAnsiTheme="minorHAnsi"/>
        </w:rPr>
        <w:t>a</w:t>
      </w:r>
      <w:r w:rsidR="003B26B5">
        <w:rPr>
          <w:rFonts w:asciiTheme="minorHAnsi" w:hAnsiTheme="minorHAnsi"/>
        </w:rPr>
        <w:t xml:space="preserve">ssisted </w:t>
      </w:r>
      <w:r w:rsidR="002A2F83">
        <w:rPr>
          <w:rFonts w:asciiTheme="minorHAnsi" w:hAnsiTheme="minorHAnsi"/>
        </w:rPr>
        <w:t>l</w:t>
      </w:r>
      <w:r w:rsidR="003B26B5">
        <w:rPr>
          <w:rFonts w:asciiTheme="minorHAnsi" w:hAnsiTheme="minorHAnsi"/>
        </w:rPr>
        <w:t xml:space="preserve">iving memory. </w:t>
      </w:r>
    </w:p>
    <w:p w14:paraId="02BA519B" w14:textId="77777777" w:rsidR="00F5082A" w:rsidRDefault="00F5082A" w:rsidP="004A1BE8">
      <w:pPr>
        <w:pStyle w:val="BodyText"/>
        <w:rPr>
          <w:rFonts w:asciiTheme="minorHAnsi" w:hAnsiTheme="minorHAnsi"/>
        </w:rPr>
      </w:pPr>
    </w:p>
    <w:p w14:paraId="14C68758" w14:textId="73652C97" w:rsidR="00814143" w:rsidRDefault="002E2470" w:rsidP="004A1BE8">
      <w:pPr>
        <w:pStyle w:val="BodyText"/>
        <w:rPr>
          <w:rFonts w:asciiTheme="minorHAnsi" w:hAnsiTheme="minorHAnsi"/>
        </w:rPr>
      </w:pPr>
      <w:r>
        <w:rPr>
          <w:rFonts w:asciiTheme="minorHAnsi" w:hAnsiTheme="minorHAnsi"/>
        </w:rPr>
        <w:t xml:space="preserve">The </w:t>
      </w:r>
      <w:r w:rsidR="0065739A">
        <w:rPr>
          <w:rFonts w:asciiTheme="minorHAnsi" w:hAnsiTheme="minorHAnsi"/>
        </w:rPr>
        <w:t>Overlook</w:t>
      </w:r>
      <w:r w:rsidR="0068157B">
        <w:rPr>
          <w:rFonts w:asciiTheme="minorHAnsi" w:hAnsiTheme="minorHAnsi"/>
        </w:rPr>
        <w:t xml:space="preserve"> </w:t>
      </w:r>
      <w:r w:rsidR="00F70987">
        <w:rPr>
          <w:rFonts w:asciiTheme="minorHAnsi" w:hAnsiTheme="minorHAnsi"/>
        </w:rPr>
        <w:t>is a SNF with 167</w:t>
      </w:r>
      <w:r w:rsidR="002F38E2">
        <w:rPr>
          <w:rFonts w:asciiTheme="minorHAnsi" w:hAnsiTheme="minorHAnsi"/>
        </w:rPr>
        <w:t xml:space="preserve"> </w:t>
      </w:r>
      <w:r w:rsidR="00F70987">
        <w:rPr>
          <w:rFonts w:asciiTheme="minorHAnsi" w:hAnsiTheme="minorHAnsi"/>
        </w:rPr>
        <w:t>licensed bed</w:t>
      </w:r>
      <w:r w:rsidR="00A760AA">
        <w:rPr>
          <w:rFonts w:asciiTheme="minorHAnsi" w:hAnsiTheme="minorHAnsi"/>
        </w:rPr>
        <w:t xml:space="preserve">s </w:t>
      </w:r>
      <w:r w:rsidR="008A6E66">
        <w:rPr>
          <w:rFonts w:asciiTheme="minorHAnsi" w:hAnsiTheme="minorHAnsi"/>
        </w:rPr>
        <w:t>that provides short-term rehabilitation</w:t>
      </w:r>
      <w:r w:rsidR="00675697">
        <w:rPr>
          <w:rFonts w:asciiTheme="minorHAnsi" w:hAnsiTheme="minorHAnsi"/>
        </w:rPr>
        <w:t xml:space="preserve"> and long-term care</w:t>
      </w:r>
      <w:r w:rsidR="008A6E66">
        <w:rPr>
          <w:rFonts w:asciiTheme="minorHAnsi" w:hAnsiTheme="minorHAnsi"/>
        </w:rPr>
        <w:t xml:space="preserve"> to</w:t>
      </w:r>
      <w:r w:rsidR="0029319C">
        <w:rPr>
          <w:rFonts w:asciiTheme="minorHAnsi" w:hAnsiTheme="minorHAnsi"/>
        </w:rPr>
        <w:t xml:space="preserve"> the Applicant’s Patient Panel who are members of the CCRC and </w:t>
      </w:r>
      <w:r w:rsidR="008A6E66">
        <w:rPr>
          <w:rFonts w:asciiTheme="minorHAnsi" w:hAnsiTheme="minorHAnsi"/>
        </w:rPr>
        <w:t>members of the surrounding community</w:t>
      </w:r>
      <w:r w:rsidR="00F70987">
        <w:rPr>
          <w:rFonts w:asciiTheme="minorHAnsi" w:hAnsiTheme="minorHAnsi"/>
        </w:rPr>
        <w:t xml:space="preserve">. </w:t>
      </w:r>
      <w:r w:rsidR="0008370E" w:rsidRPr="0008370E">
        <w:rPr>
          <w:rFonts w:asciiTheme="minorHAnsi" w:hAnsiTheme="minorHAnsi"/>
        </w:rPr>
        <w:t xml:space="preserve">Following hospitalization, members can receive post-acute care from The Overlook short-term rehabilitation unit, and higher levels of skilled nursing and long-term care when needed. </w:t>
      </w:r>
      <w:r w:rsidR="00A652D2" w:rsidRPr="00A652D2">
        <w:rPr>
          <w:rFonts w:asciiTheme="minorHAnsi" w:hAnsiTheme="minorHAnsi"/>
        </w:rPr>
        <w:t xml:space="preserve">The </w:t>
      </w:r>
      <w:r w:rsidR="00501DB2">
        <w:rPr>
          <w:rFonts w:asciiTheme="minorHAnsi" w:hAnsiTheme="minorHAnsi"/>
        </w:rPr>
        <w:t>F</w:t>
      </w:r>
      <w:r w:rsidR="00A652D2" w:rsidRPr="00A652D2">
        <w:rPr>
          <w:rFonts w:asciiTheme="minorHAnsi" w:hAnsiTheme="minorHAnsi"/>
        </w:rPr>
        <w:t>acility</w:t>
      </w:r>
      <w:r w:rsidR="00B171AC">
        <w:rPr>
          <w:rFonts w:asciiTheme="minorHAnsi" w:hAnsiTheme="minorHAnsi"/>
        </w:rPr>
        <w:t xml:space="preserve">, </w:t>
      </w:r>
      <w:r w:rsidR="00A652D2" w:rsidRPr="00A652D2">
        <w:rPr>
          <w:rFonts w:asciiTheme="minorHAnsi" w:hAnsiTheme="minorHAnsi"/>
        </w:rPr>
        <w:t>located at the same address as the Applicant</w:t>
      </w:r>
      <w:r w:rsidR="00B171AC">
        <w:rPr>
          <w:rFonts w:asciiTheme="minorHAnsi" w:hAnsiTheme="minorHAnsi"/>
        </w:rPr>
        <w:t xml:space="preserve">, </w:t>
      </w:r>
      <w:r w:rsidR="003C5DD8" w:rsidRPr="003C5DD8">
        <w:rPr>
          <w:rFonts w:asciiTheme="minorHAnsi" w:hAnsiTheme="minorHAnsi"/>
        </w:rPr>
        <w:t xml:space="preserve">currently has </w:t>
      </w:r>
      <w:r w:rsidR="003C5DD8">
        <w:rPr>
          <w:rFonts w:asciiTheme="minorHAnsi" w:hAnsiTheme="minorHAnsi"/>
        </w:rPr>
        <w:t xml:space="preserve">28 Level IV beds and </w:t>
      </w:r>
      <w:r w:rsidR="003C5DD8" w:rsidRPr="003C5DD8">
        <w:rPr>
          <w:rFonts w:asciiTheme="minorHAnsi" w:hAnsiTheme="minorHAnsi"/>
        </w:rPr>
        <w:t xml:space="preserve">139 Level II beds; 27 short-term beds and 112 long-term beds. All Level II </w:t>
      </w:r>
      <w:r w:rsidR="00F002BA">
        <w:rPr>
          <w:rFonts w:asciiTheme="minorHAnsi" w:hAnsiTheme="minorHAnsi"/>
        </w:rPr>
        <w:t xml:space="preserve">long-term care </w:t>
      </w:r>
      <w:r w:rsidR="003C5DD8" w:rsidRPr="003C5DD8">
        <w:rPr>
          <w:rFonts w:asciiTheme="minorHAnsi" w:hAnsiTheme="minorHAnsi"/>
        </w:rPr>
        <w:t xml:space="preserve">beds at The Overlook are dually certified for Medicare and Medicaid and can be used interchangeably for long-term skilled nursing care or for short-term rehabilitation. </w:t>
      </w:r>
      <w:r w:rsidR="00964581" w:rsidRPr="00964581">
        <w:rPr>
          <w:rFonts w:asciiTheme="minorHAnsi" w:hAnsiTheme="minorHAnsi"/>
        </w:rPr>
        <w:t>Focusing individual units on either short-term or long-term beds allows staff to serve residents efficiently and effectively in each type of unit.</w:t>
      </w:r>
      <w:r w:rsidR="00964581">
        <w:rPr>
          <w:rFonts w:asciiTheme="minorHAnsi" w:hAnsiTheme="minorHAnsi"/>
        </w:rPr>
        <w:t xml:space="preserve"> </w:t>
      </w:r>
      <w:r w:rsidR="00AA4D74" w:rsidRPr="00AA4D74">
        <w:rPr>
          <w:rFonts w:asciiTheme="minorHAnsi" w:hAnsiTheme="minorHAnsi"/>
        </w:rPr>
        <w:t>All resident rooms at the facility are private rooms with private bathrooms.</w:t>
      </w:r>
    </w:p>
    <w:p w14:paraId="674A1AAF" w14:textId="77777777" w:rsidR="00E3256B" w:rsidRPr="007B09DC" w:rsidRDefault="00E3256B" w:rsidP="004A1BE8">
      <w:pPr>
        <w:pStyle w:val="BodyText"/>
        <w:rPr>
          <w:rFonts w:asciiTheme="minorHAnsi" w:hAnsiTheme="minorHAnsi"/>
        </w:rPr>
      </w:pPr>
    </w:p>
    <w:p w14:paraId="793A5524" w14:textId="4B3020D1" w:rsidR="00C1378C" w:rsidRDefault="00A4110F" w:rsidP="004A1BE8">
      <w:pPr>
        <w:pStyle w:val="BodyText"/>
        <w:rPr>
          <w:b/>
          <w:bCs/>
        </w:rPr>
      </w:pPr>
      <w:r w:rsidRPr="003708FC">
        <w:rPr>
          <w:b/>
          <w:bCs/>
        </w:rPr>
        <w:t>Application Overview</w:t>
      </w:r>
    </w:p>
    <w:p w14:paraId="54A1A8ED" w14:textId="565FC9EA" w:rsidR="00920E86" w:rsidRPr="00920E86" w:rsidRDefault="00913A6B" w:rsidP="00920E86">
      <w:pPr>
        <w:pStyle w:val="BodyText"/>
      </w:pPr>
      <w:r>
        <w:t xml:space="preserve">The Applicant is proposing to </w:t>
      </w:r>
      <w:r w:rsidR="00A01900">
        <w:t xml:space="preserve">redesign and </w:t>
      </w:r>
      <w:r>
        <w:t xml:space="preserve">renovate </w:t>
      </w:r>
      <w:r w:rsidR="001F5817">
        <w:t>T</w:t>
      </w:r>
      <w:r>
        <w:t xml:space="preserve">he </w:t>
      </w:r>
      <w:r w:rsidR="0065739A">
        <w:t>Overlook</w:t>
      </w:r>
      <w:r>
        <w:t xml:space="preserve"> in order to </w:t>
      </w:r>
      <w:r w:rsidR="00A01900">
        <w:t>improve the delivery of care</w:t>
      </w:r>
      <w:r w:rsidR="00517EE2">
        <w:t xml:space="preserve"> and</w:t>
      </w:r>
      <w:r w:rsidR="00A01900">
        <w:t xml:space="preserve"> </w:t>
      </w:r>
      <w:r w:rsidR="006E3C11" w:rsidRPr="009C4A1B">
        <w:t xml:space="preserve">the </w:t>
      </w:r>
      <w:r w:rsidR="000979DB">
        <w:t xml:space="preserve">safety of the </w:t>
      </w:r>
      <w:r w:rsidR="006E3C11" w:rsidRPr="009C4A1B">
        <w:t>built environment for all residents</w:t>
      </w:r>
      <w:r w:rsidR="006E3C11">
        <w:t xml:space="preserve"> as the current Facility is dated, having received minimal construction and improvements since it was built in 1998. The Applicant affirms that b</w:t>
      </w:r>
      <w:r w:rsidR="006E3C11" w:rsidRPr="004E650A">
        <w:t>ecause the proposed renovations can take place within the footprint of the existing facility, there will be minimal disruption, and costs will be minimized, while the care and outcomes of resident</w:t>
      </w:r>
      <w:r w:rsidR="006E3C11">
        <w:t>s</w:t>
      </w:r>
      <w:r w:rsidR="006E3C11" w:rsidRPr="004E650A">
        <w:t xml:space="preserve"> will be improved. </w:t>
      </w:r>
      <w:r w:rsidR="00B313BE" w:rsidRPr="00B313BE">
        <w:t xml:space="preserve">The Proposed Project is limited to and will be entirely contained on the second floor of the facility. The Applicant maintains that travel through the facility will not be disrupted because travel through the second floor is not required to access other spaces in the </w:t>
      </w:r>
      <w:r w:rsidR="00B313BE" w:rsidRPr="00B313BE">
        <w:lastRenderedPageBreak/>
        <w:t>facility.</w:t>
      </w:r>
      <w:r w:rsidR="00B313BE">
        <w:t xml:space="preserve"> </w:t>
      </w:r>
      <w:r w:rsidR="006E3C11" w:rsidRPr="002665B7">
        <w:t>There will be no disruption to patient care, and every effort will be made to minimize sound disturbances</w:t>
      </w:r>
      <w:r w:rsidR="00920E86">
        <w:t>.</w:t>
      </w:r>
      <w:r w:rsidR="006E3C11">
        <w:t xml:space="preserve"> </w:t>
      </w:r>
      <w:r w:rsidR="0008370E">
        <w:t xml:space="preserve"> </w:t>
      </w:r>
    </w:p>
    <w:p w14:paraId="25206955" w14:textId="77777777" w:rsidR="00A75475" w:rsidRDefault="00A75475" w:rsidP="008B7AE7">
      <w:pPr>
        <w:pStyle w:val="BodyText"/>
      </w:pPr>
    </w:p>
    <w:p w14:paraId="0154E570" w14:textId="7439B64C" w:rsidR="00481F84" w:rsidRPr="00481F84" w:rsidRDefault="00FC0475" w:rsidP="004A1BE8">
      <w:pPr>
        <w:pStyle w:val="BodyText"/>
      </w:pPr>
      <w:r>
        <w:t xml:space="preserve">If the Proposed Project is approved, the Applicant will </w:t>
      </w:r>
      <w:r w:rsidR="0008370E" w:rsidRPr="0008370E">
        <w:t>re-design and renov</w:t>
      </w:r>
      <w:r w:rsidR="0008370E">
        <w:t xml:space="preserve">ate </w:t>
      </w:r>
      <w:r w:rsidR="0008370E" w:rsidRPr="0008370E">
        <w:t xml:space="preserve">its </w:t>
      </w:r>
      <w:r w:rsidR="00E04007">
        <w:t>short-term rehabilitation</w:t>
      </w:r>
      <w:r w:rsidR="0008370E" w:rsidRPr="0008370E">
        <w:t xml:space="preserve"> unit to accommodate 40 short-term rehabilitation beds in private rooms</w:t>
      </w:r>
      <w:r w:rsidR="00F21F18" w:rsidRPr="00F21F18">
        <w:rPr>
          <w:rFonts w:asciiTheme="minorHAnsi" w:hAnsiTheme="minorHAnsi"/>
          <w:szCs w:val="20"/>
        </w:rPr>
        <w:t xml:space="preserve"> </w:t>
      </w:r>
      <w:r w:rsidR="00F21F18" w:rsidRPr="00F21F18">
        <w:t xml:space="preserve">and make improvements to the dining room, nurse stations, therapy rooms, and additional clinical and ancillary services on the unit, and </w:t>
      </w:r>
      <w:r w:rsidR="009B5BF4">
        <w:t>address</w:t>
      </w:r>
      <w:r w:rsidR="00EB00B0">
        <w:t xml:space="preserve"> </w:t>
      </w:r>
      <w:r w:rsidR="00F21F18" w:rsidRPr="00F21F18">
        <w:t>deferred maintenance to the facility</w:t>
      </w:r>
      <w:r w:rsidR="00202585">
        <w:t xml:space="preserve">. </w:t>
      </w:r>
      <w:r w:rsidR="00920E86" w:rsidRPr="00920E86">
        <w:t xml:space="preserve">The Applicant states that the renovations to the Facility that will be achieved through the Proposed </w:t>
      </w:r>
      <w:r w:rsidR="0008729D">
        <w:t>P</w:t>
      </w:r>
      <w:r w:rsidR="00920E86" w:rsidRPr="00920E86">
        <w:t xml:space="preserve">roject, will </w:t>
      </w:r>
      <w:r w:rsidR="000979DB">
        <w:t xml:space="preserve">improve the care provided, </w:t>
      </w:r>
      <w:r w:rsidR="000979DB" w:rsidRPr="000979DB">
        <w:t xml:space="preserve">increase </w:t>
      </w:r>
      <w:r w:rsidR="0008370E">
        <w:t xml:space="preserve">resident </w:t>
      </w:r>
      <w:r w:rsidR="000979DB" w:rsidRPr="000979DB">
        <w:t xml:space="preserve">safety, </w:t>
      </w:r>
      <w:r w:rsidR="000979DB">
        <w:t xml:space="preserve">and </w:t>
      </w:r>
      <w:r w:rsidR="000979DB" w:rsidRPr="000979DB">
        <w:t xml:space="preserve">improve </w:t>
      </w:r>
      <w:r w:rsidR="00E04007">
        <w:t xml:space="preserve">resident outcomes and </w:t>
      </w:r>
      <w:r w:rsidR="000979DB" w:rsidRPr="000979DB">
        <w:t>quality of life</w:t>
      </w:r>
      <w:r w:rsidR="00920E86" w:rsidRPr="00920E86">
        <w:t xml:space="preserve">. </w:t>
      </w:r>
    </w:p>
    <w:p w14:paraId="5DD2F6DA" w14:textId="77777777" w:rsidR="00481F84" w:rsidRDefault="00481F84" w:rsidP="008910D9">
      <w:pPr>
        <w:pStyle w:val="BodyText"/>
        <w:spacing w:before="1"/>
      </w:pPr>
    </w:p>
    <w:p w14:paraId="0723DB56" w14:textId="4D7CCA6C" w:rsidR="00B447F3" w:rsidRPr="003436F0" w:rsidRDefault="00A4110F" w:rsidP="00C776B7">
      <w:pPr>
        <w:pStyle w:val="Heading1"/>
        <w:ind w:left="0"/>
      </w:pPr>
      <w:bookmarkStart w:id="2" w:name="_Toc173743590"/>
      <w:r w:rsidRPr="00C776B7">
        <w:rPr>
          <w:color w:val="1F497D" w:themeColor="text2"/>
        </w:rPr>
        <w:t>Patient Panel</w:t>
      </w:r>
      <w:r w:rsidR="000F1587">
        <w:rPr>
          <w:rStyle w:val="FootnoteReference"/>
          <w:rFonts w:asciiTheme="minorHAnsi" w:hAnsiTheme="minorHAnsi"/>
          <w:color w:val="42558C"/>
        </w:rPr>
        <w:footnoteReference w:id="2"/>
      </w:r>
      <w:bookmarkEnd w:id="2"/>
    </w:p>
    <w:p w14:paraId="4DABB851" w14:textId="6A08A3D3" w:rsidR="003F14B2" w:rsidRPr="00971E2C" w:rsidRDefault="00EA1B08" w:rsidP="004A1BE8">
      <w:pPr>
        <w:pStyle w:val="BodyText"/>
        <w:rPr>
          <w:rFonts w:asciiTheme="minorHAnsi" w:hAnsiTheme="minorHAnsi"/>
        </w:rPr>
      </w:pPr>
      <w:r w:rsidRPr="00971E2C">
        <w:rPr>
          <w:rFonts w:asciiTheme="minorHAnsi" w:hAnsiTheme="minorHAnsi"/>
        </w:rPr>
        <w:t xml:space="preserve">The Applicant provided Patient Panel data </w:t>
      </w:r>
      <w:r w:rsidR="002164EA" w:rsidRPr="00971E2C">
        <w:rPr>
          <w:rFonts w:asciiTheme="minorHAnsi" w:hAnsiTheme="minorHAnsi"/>
        </w:rPr>
        <w:t xml:space="preserve">based </w:t>
      </w:r>
      <w:r w:rsidR="00971E2C">
        <w:rPr>
          <w:rFonts w:asciiTheme="minorHAnsi" w:hAnsiTheme="minorHAnsi"/>
        </w:rPr>
        <w:t xml:space="preserve">on </w:t>
      </w:r>
      <w:r w:rsidR="0065739A" w:rsidRPr="00971E2C">
        <w:rPr>
          <w:rFonts w:asciiTheme="minorHAnsi" w:hAnsiTheme="minorHAnsi"/>
        </w:rPr>
        <w:t>T</w:t>
      </w:r>
      <w:r w:rsidR="00D07C71" w:rsidRPr="00971E2C">
        <w:rPr>
          <w:rFonts w:asciiTheme="minorHAnsi" w:hAnsiTheme="minorHAnsi"/>
        </w:rPr>
        <w:t xml:space="preserve">he </w:t>
      </w:r>
      <w:r w:rsidR="0065739A" w:rsidRPr="00971E2C">
        <w:rPr>
          <w:rFonts w:asciiTheme="minorHAnsi" w:hAnsiTheme="minorHAnsi"/>
        </w:rPr>
        <w:t>Overlook</w:t>
      </w:r>
      <w:r w:rsidR="00D07C71" w:rsidRPr="00971E2C">
        <w:rPr>
          <w:rFonts w:asciiTheme="minorHAnsi" w:hAnsiTheme="minorHAnsi"/>
        </w:rPr>
        <w:t>’s Level II</w:t>
      </w:r>
      <w:r w:rsidR="003F14B2" w:rsidRPr="00971E2C">
        <w:rPr>
          <w:rFonts w:asciiTheme="minorHAnsi" w:hAnsiTheme="minorHAnsi"/>
        </w:rPr>
        <w:t xml:space="preserve"> and Level IV</w:t>
      </w:r>
      <w:r w:rsidR="00D07C71" w:rsidRPr="00971E2C">
        <w:rPr>
          <w:rFonts w:asciiTheme="minorHAnsi" w:hAnsiTheme="minorHAnsi"/>
        </w:rPr>
        <w:t xml:space="preserve"> resident information for calendar years</w:t>
      </w:r>
      <w:r w:rsidR="004972DB">
        <w:rPr>
          <w:rFonts w:asciiTheme="minorHAnsi" w:hAnsiTheme="minorHAnsi"/>
        </w:rPr>
        <w:t xml:space="preserve"> (CYs)</w:t>
      </w:r>
      <w:r w:rsidR="00D07C71" w:rsidRPr="00971E2C">
        <w:rPr>
          <w:rFonts w:asciiTheme="minorHAnsi" w:hAnsiTheme="minorHAnsi"/>
        </w:rPr>
        <w:t xml:space="preserve"> 202</w:t>
      </w:r>
      <w:r w:rsidR="00512ED7" w:rsidRPr="00971E2C">
        <w:rPr>
          <w:rFonts w:asciiTheme="minorHAnsi" w:hAnsiTheme="minorHAnsi"/>
        </w:rPr>
        <w:t>1</w:t>
      </w:r>
      <w:r w:rsidR="00D07C71" w:rsidRPr="00971E2C">
        <w:rPr>
          <w:rFonts w:asciiTheme="minorHAnsi" w:hAnsiTheme="minorHAnsi"/>
        </w:rPr>
        <w:t xml:space="preserve"> through 2023</w:t>
      </w:r>
      <w:r w:rsidR="004F1B72">
        <w:rPr>
          <w:rFonts w:asciiTheme="minorHAnsi" w:hAnsiTheme="minorHAnsi"/>
        </w:rPr>
        <w:t>.</w:t>
      </w:r>
      <w:r w:rsidR="004F1B72" w:rsidRPr="004F1B72">
        <w:rPr>
          <w:rFonts w:asciiTheme="minorHAnsi" w:hAnsiTheme="minorHAnsi"/>
          <w:vertAlign w:val="superscript"/>
        </w:rPr>
        <w:footnoteReference w:id="3"/>
      </w:r>
      <w:r w:rsidR="004F1B72">
        <w:rPr>
          <w:rFonts w:asciiTheme="minorHAnsi" w:hAnsiTheme="minorHAnsi"/>
        </w:rPr>
        <w:t xml:space="preserve"> Staff note the Applicant </w:t>
      </w:r>
      <w:r w:rsidR="00512ED7" w:rsidRPr="00971E2C">
        <w:rPr>
          <w:rFonts w:asciiTheme="minorHAnsi" w:hAnsiTheme="minorHAnsi"/>
        </w:rPr>
        <w:t xml:space="preserve">included </w:t>
      </w:r>
      <w:r w:rsidR="004F1B72">
        <w:rPr>
          <w:rFonts w:asciiTheme="minorHAnsi" w:hAnsiTheme="minorHAnsi"/>
        </w:rPr>
        <w:t xml:space="preserve">an additional year of </w:t>
      </w:r>
      <w:r w:rsidR="00512ED7" w:rsidRPr="00971E2C">
        <w:rPr>
          <w:rFonts w:asciiTheme="minorHAnsi" w:hAnsiTheme="minorHAnsi"/>
        </w:rPr>
        <w:t>data from 2020.</w:t>
      </w:r>
      <w:r w:rsidR="00294E4E" w:rsidRPr="00971E2C">
        <w:rPr>
          <w:rFonts w:asciiTheme="minorHAnsi" w:hAnsiTheme="minorHAnsi"/>
        </w:rPr>
        <w:t xml:space="preserve"> </w:t>
      </w:r>
      <w:r w:rsidR="002164EA" w:rsidRPr="00971E2C">
        <w:rPr>
          <w:rFonts w:asciiTheme="minorHAnsi" w:hAnsiTheme="minorHAnsi"/>
        </w:rPr>
        <w:t>Patient Panel</w:t>
      </w:r>
      <w:r w:rsidR="004F68A6">
        <w:rPr>
          <w:rFonts w:asciiTheme="minorHAnsi" w:hAnsiTheme="minorHAnsi"/>
        </w:rPr>
        <w:t xml:space="preserve"> data</w:t>
      </w:r>
      <w:r w:rsidR="002164EA" w:rsidRPr="00971E2C">
        <w:rPr>
          <w:rFonts w:asciiTheme="minorHAnsi" w:hAnsiTheme="minorHAnsi"/>
        </w:rPr>
        <w:t xml:space="preserve"> </w:t>
      </w:r>
      <w:r w:rsidR="00F77CFE" w:rsidRPr="00971E2C">
        <w:rPr>
          <w:rFonts w:asciiTheme="minorHAnsi" w:hAnsiTheme="minorHAnsi"/>
        </w:rPr>
        <w:t>are</w:t>
      </w:r>
      <w:r w:rsidR="002164EA" w:rsidRPr="00971E2C">
        <w:rPr>
          <w:rFonts w:asciiTheme="minorHAnsi" w:hAnsiTheme="minorHAnsi"/>
        </w:rPr>
        <w:t xml:space="preserve"> shown in Table </w:t>
      </w:r>
      <w:r w:rsidR="00BE0A75">
        <w:rPr>
          <w:rFonts w:asciiTheme="minorHAnsi" w:hAnsiTheme="minorHAnsi"/>
        </w:rPr>
        <w:t>1</w:t>
      </w:r>
      <w:r w:rsidR="002164EA" w:rsidRPr="00971E2C">
        <w:rPr>
          <w:rFonts w:asciiTheme="minorHAnsi" w:hAnsiTheme="minorHAnsi"/>
        </w:rPr>
        <w:t xml:space="preserve">. </w:t>
      </w:r>
    </w:p>
    <w:p w14:paraId="742C4078" w14:textId="77777777" w:rsidR="003F14B2" w:rsidRDefault="003F14B2" w:rsidP="008917DC">
      <w:pPr>
        <w:pStyle w:val="BodyText"/>
        <w:spacing w:before="8"/>
        <w:rPr>
          <w:rFonts w:asciiTheme="minorHAnsi" w:hAnsiTheme="minorHAnsi"/>
          <w:sz w:val="23"/>
        </w:rPr>
      </w:pPr>
    </w:p>
    <w:p w14:paraId="453DB525" w14:textId="3CE4CF3C" w:rsidR="008A47B8" w:rsidRPr="004A1BE8" w:rsidRDefault="0011545B" w:rsidP="760ED6BA">
      <w:pPr>
        <w:pStyle w:val="BodyText"/>
        <w:spacing w:before="8"/>
        <w:rPr>
          <w:rFonts w:asciiTheme="minorHAnsi" w:hAnsiTheme="minorHAnsi"/>
          <w:b/>
          <w:bCs/>
        </w:rPr>
      </w:pPr>
      <w:r w:rsidRPr="760ED6BA">
        <w:rPr>
          <w:rFonts w:asciiTheme="minorHAnsi" w:hAnsiTheme="minorHAnsi"/>
          <w:b/>
          <w:bCs/>
          <w:u w:val="single"/>
        </w:rPr>
        <w:t xml:space="preserve">Table </w:t>
      </w:r>
      <w:r w:rsidR="00BE0A75">
        <w:rPr>
          <w:rFonts w:asciiTheme="minorHAnsi" w:hAnsiTheme="minorHAnsi"/>
          <w:b/>
          <w:bCs/>
          <w:u w:val="single"/>
        </w:rPr>
        <w:t>1</w:t>
      </w:r>
      <w:r w:rsidRPr="760ED6BA">
        <w:rPr>
          <w:rFonts w:asciiTheme="minorHAnsi" w:hAnsiTheme="minorHAnsi"/>
          <w:b/>
          <w:bCs/>
        </w:rPr>
        <w:t xml:space="preserve">: </w:t>
      </w:r>
      <w:r w:rsidR="0065739A" w:rsidRPr="760ED6BA">
        <w:rPr>
          <w:rFonts w:asciiTheme="minorHAnsi" w:hAnsiTheme="minorHAnsi"/>
          <w:b/>
          <w:bCs/>
        </w:rPr>
        <w:t>The</w:t>
      </w:r>
      <w:r w:rsidR="00A01C92" w:rsidRPr="760ED6BA">
        <w:rPr>
          <w:rFonts w:asciiTheme="minorHAnsi" w:hAnsiTheme="minorHAnsi"/>
          <w:b/>
          <w:bCs/>
        </w:rPr>
        <w:t xml:space="preserve"> </w:t>
      </w:r>
      <w:r w:rsidR="0065739A" w:rsidRPr="760ED6BA">
        <w:rPr>
          <w:rFonts w:asciiTheme="minorHAnsi" w:hAnsiTheme="minorHAnsi"/>
          <w:b/>
          <w:bCs/>
        </w:rPr>
        <w:t>Overlook</w:t>
      </w:r>
      <w:r w:rsidRPr="760ED6BA">
        <w:rPr>
          <w:rFonts w:asciiTheme="minorHAnsi" w:hAnsiTheme="minorHAnsi"/>
          <w:b/>
          <w:bCs/>
        </w:rPr>
        <w:t xml:space="preserve"> Patient Panel </w:t>
      </w:r>
    </w:p>
    <w:tbl>
      <w:tblPr>
        <w:tblStyle w:val="TableGrid"/>
        <w:tblW w:w="6837" w:type="dxa"/>
        <w:tblLook w:val="04A0" w:firstRow="1" w:lastRow="0" w:firstColumn="1" w:lastColumn="0" w:noHBand="0" w:noVBand="1"/>
      </w:tblPr>
      <w:tblGrid>
        <w:gridCol w:w="3033"/>
        <w:gridCol w:w="765"/>
        <w:gridCol w:w="750"/>
        <w:gridCol w:w="720"/>
        <w:gridCol w:w="1569"/>
      </w:tblGrid>
      <w:tr w:rsidR="007C4C38" w14:paraId="78C3E687" w14:textId="77777777" w:rsidTr="004A1BE8">
        <w:trPr>
          <w:trHeight w:val="300"/>
        </w:trPr>
        <w:tc>
          <w:tcPr>
            <w:tcW w:w="3033" w:type="dxa"/>
            <w:shd w:val="clear" w:color="auto" w:fill="DBE5F1" w:themeFill="accent1" w:themeFillTint="33"/>
          </w:tcPr>
          <w:p w14:paraId="65B7D36A" w14:textId="77777777" w:rsidR="007C4C38" w:rsidRDefault="007C4C38" w:rsidP="00943F4D">
            <w:pPr>
              <w:pStyle w:val="BodyText"/>
              <w:spacing w:before="8"/>
              <w:rPr>
                <w:rFonts w:asciiTheme="minorHAnsi" w:hAnsiTheme="minorHAnsi"/>
                <w:sz w:val="23"/>
              </w:rPr>
            </w:pPr>
          </w:p>
        </w:tc>
        <w:tc>
          <w:tcPr>
            <w:tcW w:w="765" w:type="dxa"/>
            <w:shd w:val="clear" w:color="auto" w:fill="DBE5F1" w:themeFill="accent1" w:themeFillTint="33"/>
          </w:tcPr>
          <w:p w14:paraId="3D9EB030" w14:textId="0EA3B62C" w:rsidR="007C4C38" w:rsidRPr="00943F4D" w:rsidRDefault="004972DB" w:rsidP="00943F4D">
            <w:pPr>
              <w:pStyle w:val="BodyText"/>
              <w:spacing w:before="8"/>
              <w:jc w:val="center"/>
              <w:rPr>
                <w:rFonts w:asciiTheme="minorHAnsi" w:hAnsiTheme="minorHAnsi"/>
                <w:b/>
                <w:bCs/>
                <w:sz w:val="23"/>
              </w:rPr>
            </w:pPr>
            <w:r>
              <w:rPr>
                <w:b/>
                <w:bCs/>
              </w:rPr>
              <w:t>CY</w:t>
            </w:r>
            <w:r w:rsidR="007C4C38" w:rsidRPr="00943F4D">
              <w:rPr>
                <w:b/>
                <w:bCs/>
              </w:rPr>
              <w:t>21</w:t>
            </w:r>
          </w:p>
        </w:tc>
        <w:tc>
          <w:tcPr>
            <w:tcW w:w="750" w:type="dxa"/>
            <w:shd w:val="clear" w:color="auto" w:fill="DBE5F1" w:themeFill="accent1" w:themeFillTint="33"/>
          </w:tcPr>
          <w:p w14:paraId="0BD9FF2D" w14:textId="39907680" w:rsidR="007C4C38" w:rsidRPr="00943F4D" w:rsidRDefault="004972DB" w:rsidP="00943F4D">
            <w:pPr>
              <w:pStyle w:val="BodyText"/>
              <w:spacing w:before="8"/>
              <w:jc w:val="center"/>
              <w:rPr>
                <w:rFonts w:asciiTheme="minorHAnsi" w:hAnsiTheme="minorHAnsi"/>
                <w:b/>
                <w:bCs/>
                <w:sz w:val="23"/>
              </w:rPr>
            </w:pPr>
            <w:r>
              <w:rPr>
                <w:b/>
                <w:bCs/>
              </w:rPr>
              <w:t>CY</w:t>
            </w:r>
            <w:r w:rsidR="007C4C38" w:rsidRPr="00943F4D">
              <w:rPr>
                <w:b/>
                <w:bCs/>
              </w:rPr>
              <w:t>22</w:t>
            </w:r>
          </w:p>
        </w:tc>
        <w:tc>
          <w:tcPr>
            <w:tcW w:w="720" w:type="dxa"/>
            <w:shd w:val="clear" w:color="auto" w:fill="DBE5F1" w:themeFill="accent1" w:themeFillTint="33"/>
          </w:tcPr>
          <w:p w14:paraId="451F1DBD" w14:textId="761ECF09" w:rsidR="007C4C38" w:rsidRPr="00943F4D" w:rsidRDefault="004972DB" w:rsidP="00943F4D">
            <w:pPr>
              <w:pStyle w:val="BodyText"/>
              <w:spacing w:before="8"/>
              <w:jc w:val="center"/>
              <w:rPr>
                <w:rFonts w:asciiTheme="minorHAnsi" w:hAnsiTheme="minorHAnsi"/>
                <w:b/>
                <w:bCs/>
                <w:sz w:val="23"/>
              </w:rPr>
            </w:pPr>
            <w:r>
              <w:rPr>
                <w:b/>
                <w:bCs/>
              </w:rPr>
              <w:t>CY</w:t>
            </w:r>
            <w:r w:rsidR="007C4C38" w:rsidRPr="00943F4D">
              <w:rPr>
                <w:b/>
                <w:bCs/>
              </w:rPr>
              <w:t>23</w:t>
            </w:r>
          </w:p>
        </w:tc>
        <w:tc>
          <w:tcPr>
            <w:tcW w:w="1569" w:type="dxa"/>
            <w:shd w:val="clear" w:color="auto" w:fill="DBE5F1" w:themeFill="accent1" w:themeFillTint="33"/>
          </w:tcPr>
          <w:p w14:paraId="2D616B8C" w14:textId="692C3B6A" w:rsidR="007C4C38" w:rsidRPr="00943F4D" w:rsidRDefault="007C4C38" w:rsidP="00943F4D">
            <w:pPr>
              <w:pStyle w:val="BodyText"/>
              <w:spacing w:before="8"/>
              <w:jc w:val="center"/>
              <w:rPr>
                <w:b/>
                <w:bCs/>
              </w:rPr>
            </w:pPr>
            <w:r w:rsidRPr="00943F4D">
              <w:rPr>
                <w:b/>
                <w:bCs/>
              </w:rPr>
              <w:t xml:space="preserve">% Change </w:t>
            </w:r>
          </w:p>
          <w:p w14:paraId="55C4C4EF" w14:textId="7A83FE42" w:rsidR="007C4C38" w:rsidRPr="00943F4D" w:rsidRDefault="004972DB" w:rsidP="00943F4D">
            <w:pPr>
              <w:pStyle w:val="BodyText"/>
              <w:spacing w:before="8"/>
              <w:jc w:val="center"/>
              <w:rPr>
                <w:b/>
                <w:bCs/>
              </w:rPr>
            </w:pPr>
            <w:r>
              <w:rPr>
                <w:b/>
                <w:bCs/>
              </w:rPr>
              <w:t>CY</w:t>
            </w:r>
            <w:r w:rsidR="007C4C38" w:rsidRPr="00943F4D">
              <w:rPr>
                <w:b/>
                <w:bCs/>
              </w:rPr>
              <w:t>2</w:t>
            </w:r>
            <w:r w:rsidR="005B4B8C">
              <w:rPr>
                <w:b/>
                <w:bCs/>
              </w:rPr>
              <w:t>1</w:t>
            </w:r>
            <w:r w:rsidR="007C4C38" w:rsidRPr="00943F4D">
              <w:rPr>
                <w:b/>
                <w:bCs/>
              </w:rPr>
              <w:t>-</w:t>
            </w:r>
            <w:r>
              <w:rPr>
                <w:b/>
                <w:bCs/>
              </w:rPr>
              <w:t>CY</w:t>
            </w:r>
            <w:r w:rsidR="007C4C38" w:rsidRPr="00943F4D">
              <w:rPr>
                <w:b/>
                <w:bCs/>
              </w:rPr>
              <w:t>23</w:t>
            </w:r>
          </w:p>
        </w:tc>
      </w:tr>
      <w:tr w:rsidR="007C4C38" w14:paraId="423EF059" w14:textId="77777777" w:rsidTr="004A1BE8">
        <w:trPr>
          <w:trHeight w:val="300"/>
        </w:trPr>
        <w:tc>
          <w:tcPr>
            <w:tcW w:w="3033" w:type="dxa"/>
          </w:tcPr>
          <w:p w14:paraId="4B51687A" w14:textId="193ACA95" w:rsidR="007C4C38" w:rsidRDefault="007C4C38" w:rsidP="001C5D6E">
            <w:pPr>
              <w:pStyle w:val="BodyText"/>
              <w:spacing w:before="8"/>
              <w:ind w:right="360"/>
            </w:pPr>
            <w:r>
              <w:t>Total Level II and Level IV</w:t>
            </w:r>
            <w:r w:rsidR="00314200">
              <w:t xml:space="preserve"> Residents</w:t>
            </w:r>
          </w:p>
        </w:tc>
        <w:tc>
          <w:tcPr>
            <w:tcW w:w="765" w:type="dxa"/>
          </w:tcPr>
          <w:p w14:paraId="681B6455" w14:textId="1616C9A9" w:rsidR="007C4C38" w:rsidRDefault="005B4B8C" w:rsidP="00101527">
            <w:pPr>
              <w:pStyle w:val="BodyText"/>
              <w:spacing w:before="8"/>
              <w:jc w:val="center"/>
            </w:pPr>
            <w:r>
              <w:t>403</w:t>
            </w:r>
          </w:p>
        </w:tc>
        <w:tc>
          <w:tcPr>
            <w:tcW w:w="750" w:type="dxa"/>
          </w:tcPr>
          <w:p w14:paraId="7DE50803" w14:textId="3D29CA1F" w:rsidR="007C4C38" w:rsidRDefault="005B4B8C" w:rsidP="00101527">
            <w:pPr>
              <w:pStyle w:val="BodyText"/>
              <w:spacing w:before="8"/>
              <w:jc w:val="center"/>
            </w:pPr>
            <w:r>
              <w:t>405</w:t>
            </w:r>
          </w:p>
        </w:tc>
        <w:tc>
          <w:tcPr>
            <w:tcW w:w="720" w:type="dxa"/>
          </w:tcPr>
          <w:p w14:paraId="567153F3" w14:textId="4EFAC471" w:rsidR="007C4C38" w:rsidRDefault="005B4B8C" w:rsidP="00101527">
            <w:pPr>
              <w:pStyle w:val="BodyText"/>
              <w:spacing w:before="8"/>
              <w:jc w:val="center"/>
            </w:pPr>
            <w:r>
              <w:t>433</w:t>
            </w:r>
          </w:p>
        </w:tc>
        <w:tc>
          <w:tcPr>
            <w:tcW w:w="1569" w:type="dxa"/>
          </w:tcPr>
          <w:p w14:paraId="54AE6AAA" w14:textId="1F32DCFB" w:rsidR="007C4C38" w:rsidRDefault="002C5A48" w:rsidP="00101527">
            <w:pPr>
              <w:pStyle w:val="BodyText"/>
              <w:spacing w:before="8"/>
              <w:jc w:val="center"/>
            </w:pPr>
            <w:r>
              <w:t>7.4%</w:t>
            </w:r>
          </w:p>
        </w:tc>
      </w:tr>
    </w:tbl>
    <w:p w14:paraId="6E9FF387" w14:textId="1425E19F" w:rsidR="00866B16" w:rsidRDefault="00866B16" w:rsidP="00AE6434">
      <w:pPr>
        <w:rPr>
          <w:b/>
          <w:bCs/>
          <w:u w:val="single"/>
        </w:rPr>
      </w:pPr>
    </w:p>
    <w:p w14:paraId="77368D23" w14:textId="77B76A2B" w:rsidR="00EF6B6A" w:rsidRDefault="00473694" w:rsidP="00AE6434">
      <w:r w:rsidRPr="00473694">
        <w:t xml:space="preserve">In FY23, </w:t>
      </w:r>
      <w:r w:rsidR="005566B5">
        <w:t xml:space="preserve">almost </w:t>
      </w:r>
      <w:r>
        <w:t>100% of</w:t>
      </w:r>
      <w:r w:rsidR="009C5752">
        <w:t xml:space="preserve"> the Applicant’s</w:t>
      </w:r>
      <w:r>
        <w:t xml:space="preserve"> Patient Panel was age</w:t>
      </w:r>
      <w:r w:rsidR="001B3A0E">
        <w:t>d</w:t>
      </w:r>
      <w:r>
        <w:t xml:space="preserve"> 65 and older, </w:t>
      </w:r>
      <w:r w:rsidR="00950CB4">
        <w:t xml:space="preserve">65% were Female, and the payer mix was as follows: 14% Commercial, </w:t>
      </w:r>
      <w:r w:rsidR="004E005B">
        <w:t>29% Medicare FFS, 14% Managed Medicare, 19% Medicaid, 2% Managed Medicaid</w:t>
      </w:r>
      <w:r w:rsidR="00943B9B">
        <w:t xml:space="preserve">, and 22% Private Pay. </w:t>
      </w:r>
      <w:r w:rsidR="00C61F08">
        <w:t xml:space="preserve">The Applicant states that 422 identify as White and the remaining 11 fall under the category Other/Unknown, to protect patient privacy due to counts less than 11.   </w:t>
      </w:r>
    </w:p>
    <w:p w14:paraId="71988AE8" w14:textId="77777777" w:rsidR="003E42CD" w:rsidRDefault="003E42CD" w:rsidP="00AE6434"/>
    <w:p w14:paraId="78FF2EE7" w14:textId="6881C97D" w:rsidR="008503DA" w:rsidRPr="008503DA" w:rsidRDefault="009C5752" w:rsidP="008503DA">
      <w:r>
        <w:t>The Applicant provided demographic information for residents in Level II beds</w:t>
      </w:r>
      <w:r w:rsidR="007C737A">
        <w:t xml:space="preserve">, </w:t>
      </w:r>
      <w:r w:rsidR="008503DA">
        <w:t>the subject of the Proposed Project</w:t>
      </w:r>
      <w:r>
        <w:t xml:space="preserve">. This is shown in Table </w:t>
      </w:r>
      <w:r w:rsidR="00B944ED">
        <w:t>2</w:t>
      </w:r>
      <w:r>
        <w:t xml:space="preserve">. </w:t>
      </w:r>
      <w:r w:rsidR="008503DA" w:rsidRPr="008503DA">
        <w:t xml:space="preserve">Level II residents include short-term and long-term residents. Short-term residents are defined as those who may be admitted to the </w:t>
      </w:r>
      <w:r w:rsidR="005566B5">
        <w:t>f</w:t>
      </w:r>
      <w:r w:rsidR="008503DA" w:rsidRPr="008503DA">
        <w:t xml:space="preserve">acility only when following a qualified hospital stay (inpatient admission) that lasted three days, and long-term residents are those who may be admitted based on meeting admission criteria, but without the need for a qualifying hospital admission, and may reside in the facility for more than 100 days. </w:t>
      </w:r>
    </w:p>
    <w:p w14:paraId="57AB176B" w14:textId="7E12B9C0" w:rsidR="009C5752" w:rsidRDefault="009C5752" w:rsidP="00AE6434"/>
    <w:p w14:paraId="35FF9BCF" w14:textId="03824D5A" w:rsidR="00B447F3" w:rsidRDefault="00A4110F" w:rsidP="00C776B7">
      <w:pPr>
        <w:pStyle w:val="NoSpacing"/>
        <w:rPr>
          <w:rFonts w:asciiTheme="minorHAnsi" w:hAnsiTheme="minorHAnsi" w:cstheme="minorHAnsi"/>
          <w:b/>
          <w:bCs/>
          <w:color w:val="1F497D" w:themeColor="text2"/>
          <w:sz w:val="28"/>
          <w:szCs w:val="28"/>
        </w:rPr>
      </w:pPr>
      <w:r w:rsidRPr="00C776B7">
        <w:rPr>
          <w:rFonts w:asciiTheme="minorHAnsi" w:hAnsiTheme="minorHAnsi" w:cstheme="minorHAnsi"/>
          <w:b/>
          <w:bCs/>
          <w:color w:val="1F497D" w:themeColor="text2"/>
          <w:sz w:val="28"/>
          <w:szCs w:val="28"/>
        </w:rPr>
        <w:lastRenderedPageBreak/>
        <w:t xml:space="preserve">Patient Information </w:t>
      </w:r>
    </w:p>
    <w:p w14:paraId="6D9162B8" w14:textId="6ACD6E4F" w:rsidR="00CA36A9" w:rsidRPr="001B5919" w:rsidRDefault="00FA331C" w:rsidP="009A4E6C">
      <w:pPr>
        <w:pStyle w:val="NoSpacing"/>
        <w:rPr>
          <w:rFonts w:asciiTheme="minorHAnsi" w:hAnsiTheme="minorHAnsi" w:cstheme="minorHAnsi"/>
          <w:szCs w:val="24"/>
        </w:rPr>
      </w:pPr>
      <w:r>
        <w:rPr>
          <w:rFonts w:asciiTheme="minorHAnsi" w:hAnsiTheme="minorHAnsi" w:cstheme="minorHAnsi"/>
          <w:szCs w:val="24"/>
        </w:rPr>
        <w:t>D</w:t>
      </w:r>
      <w:r w:rsidR="001B5919" w:rsidRPr="001B5919">
        <w:rPr>
          <w:rFonts w:asciiTheme="minorHAnsi" w:hAnsiTheme="minorHAnsi" w:cstheme="minorHAnsi"/>
          <w:szCs w:val="24"/>
        </w:rPr>
        <w:t xml:space="preserve">emographic data for </w:t>
      </w:r>
      <w:r w:rsidR="0065739A">
        <w:rPr>
          <w:rFonts w:asciiTheme="minorHAnsi" w:hAnsiTheme="minorHAnsi" w:cstheme="minorHAnsi"/>
          <w:szCs w:val="24"/>
        </w:rPr>
        <w:t>The Overlook</w:t>
      </w:r>
      <w:r w:rsidR="00033A5C">
        <w:rPr>
          <w:rFonts w:asciiTheme="minorHAnsi" w:hAnsiTheme="minorHAnsi" w:cstheme="minorHAnsi"/>
          <w:szCs w:val="24"/>
        </w:rPr>
        <w:t xml:space="preserve"> Level II </w:t>
      </w:r>
      <w:r w:rsidR="00FB1CF3">
        <w:rPr>
          <w:rFonts w:asciiTheme="minorHAnsi" w:hAnsiTheme="minorHAnsi" w:cstheme="minorHAnsi"/>
          <w:szCs w:val="24"/>
        </w:rPr>
        <w:t>residents</w:t>
      </w:r>
      <w:r w:rsidR="001B5919" w:rsidRPr="001B5919">
        <w:rPr>
          <w:rFonts w:asciiTheme="minorHAnsi" w:hAnsiTheme="minorHAnsi" w:cstheme="minorHAnsi"/>
          <w:szCs w:val="24"/>
        </w:rPr>
        <w:t xml:space="preserve"> is presented in Table</w:t>
      </w:r>
      <w:r w:rsidR="00090817">
        <w:rPr>
          <w:rFonts w:asciiTheme="minorHAnsi" w:hAnsiTheme="minorHAnsi" w:cstheme="minorHAnsi"/>
          <w:szCs w:val="24"/>
        </w:rPr>
        <w:t xml:space="preserve"> </w:t>
      </w:r>
      <w:r w:rsidR="00B22B4F">
        <w:rPr>
          <w:rFonts w:asciiTheme="minorHAnsi" w:hAnsiTheme="minorHAnsi" w:cstheme="minorHAnsi"/>
          <w:szCs w:val="24"/>
        </w:rPr>
        <w:t>2</w:t>
      </w:r>
      <w:r w:rsidR="001B5919" w:rsidRPr="001B5919">
        <w:rPr>
          <w:rFonts w:asciiTheme="minorHAnsi" w:hAnsiTheme="minorHAnsi" w:cstheme="minorHAnsi"/>
          <w:szCs w:val="24"/>
        </w:rPr>
        <w:t>.</w:t>
      </w:r>
    </w:p>
    <w:p w14:paraId="440BCD18" w14:textId="503C819A" w:rsidR="008917DC" w:rsidRDefault="008917DC" w:rsidP="002C52D4"/>
    <w:p w14:paraId="38B0541A" w14:textId="339A6EB0" w:rsidR="00B447F3" w:rsidRDefault="00A4110F" w:rsidP="6ACB936F">
      <w:pPr>
        <w:rPr>
          <w:rFonts w:asciiTheme="minorHAnsi" w:hAnsiTheme="minorHAnsi"/>
          <w:b/>
          <w:bCs/>
        </w:rPr>
      </w:pPr>
      <w:r w:rsidRPr="6ACB936F">
        <w:rPr>
          <w:rFonts w:asciiTheme="minorHAnsi" w:hAnsiTheme="minorHAnsi"/>
          <w:b/>
          <w:bCs/>
          <w:u w:val="single"/>
        </w:rPr>
        <w:t>Table</w:t>
      </w:r>
      <w:r w:rsidR="00F14E05" w:rsidRPr="6ACB936F">
        <w:rPr>
          <w:rFonts w:asciiTheme="minorHAnsi" w:hAnsiTheme="minorHAnsi"/>
          <w:b/>
          <w:bCs/>
          <w:u w:val="single"/>
        </w:rPr>
        <w:t xml:space="preserve"> </w:t>
      </w:r>
      <w:r w:rsidR="00B22B4F">
        <w:rPr>
          <w:rFonts w:asciiTheme="minorHAnsi" w:hAnsiTheme="minorHAnsi"/>
          <w:b/>
          <w:bCs/>
          <w:u w:val="single"/>
        </w:rPr>
        <w:t>2</w:t>
      </w:r>
      <w:r w:rsidR="2CD163D3" w:rsidRPr="6ACB936F">
        <w:rPr>
          <w:rFonts w:asciiTheme="minorHAnsi" w:hAnsiTheme="minorHAnsi"/>
          <w:b/>
          <w:bCs/>
          <w:u w:val="single"/>
        </w:rPr>
        <w:t>:</w:t>
      </w:r>
      <w:r w:rsidRPr="6ACB936F">
        <w:rPr>
          <w:rFonts w:asciiTheme="minorHAnsi" w:hAnsiTheme="minorHAnsi"/>
          <w:b/>
          <w:bCs/>
        </w:rPr>
        <w:t xml:space="preserve"> Overview of </w:t>
      </w:r>
      <w:r w:rsidR="0065739A">
        <w:rPr>
          <w:rFonts w:asciiTheme="minorHAnsi" w:hAnsiTheme="minorHAnsi"/>
          <w:b/>
          <w:bCs/>
        </w:rPr>
        <w:t>The Overlook</w:t>
      </w:r>
      <w:r w:rsidR="00477016">
        <w:rPr>
          <w:rFonts w:asciiTheme="minorHAnsi" w:hAnsiTheme="minorHAnsi"/>
          <w:b/>
          <w:bCs/>
        </w:rPr>
        <w:t xml:space="preserve"> Level II </w:t>
      </w:r>
      <w:r w:rsidR="00FB1CF3">
        <w:rPr>
          <w:rFonts w:asciiTheme="minorHAnsi" w:hAnsiTheme="minorHAnsi"/>
          <w:b/>
          <w:bCs/>
        </w:rPr>
        <w:t>Resident</w:t>
      </w:r>
      <w:r w:rsidRPr="6ACB936F">
        <w:rPr>
          <w:rFonts w:asciiTheme="minorHAnsi" w:hAnsiTheme="minorHAnsi"/>
          <w:b/>
          <w:bCs/>
        </w:rPr>
        <w:t xml:space="preserve"> </w:t>
      </w:r>
      <w:r w:rsidR="005B3D16" w:rsidRPr="6ACB936F">
        <w:rPr>
          <w:rFonts w:asciiTheme="minorHAnsi" w:hAnsiTheme="minorHAnsi"/>
          <w:b/>
          <w:bCs/>
        </w:rPr>
        <w:t>P</w:t>
      </w:r>
      <w:r w:rsidRPr="6ACB936F">
        <w:rPr>
          <w:rFonts w:asciiTheme="minorHAnsi" w:hAnsiTheme="minorHAnsi"/>
          <w:b/>
          <w:bCs/>
        </w:rPr>
        <w:t>opulation</w:t>
      </w:r>
      <w:r w:rsidR="00F14E05" w:rsidRPr="6ACB936F">
        <w:rPr>
          <w:rFonts w:asciiTheme="minorHAnsi" w:hAnsiTheme="minorHAnsi"/>
          <w:b/>
          <w:bCs/>
        </w:rPr>
        <w:t xml:space="preserve"> </w:t>
      </w:r>
    </w:p>
    <w:tbl>
      <w:tblPr>
        <w:tblStyle w:val="TableGrid"/>
        <w:tblW w:w="0" w:type="auto"/>
        <w:tblLook w:val="04A0" w:firstRow="1" w:lastRow="0" w:firstColumn="1" w:lastColumn="0" w:noHBand="0" w:noVBand="1"/>
      </w:tblPr>
      <w:tblGrid>
        <w:gridCol w:w="4315"/>
        <w:gridCol w:w="1800"/>
        <w:gridCol w:w="1800"/>
      </w:tblGrid>
      <w:tr w:rsidR="006A2E96" w:rsidRPr="0069277C" w14:paraId="5315AC75" w14:textId="3F52BEB8" w:rsidTr="008C2DC4">
        <w:trPr>
          <w:cantSplit/>
          <w:trHeight w:val="300"/>
          <w:tblHeader/>
        </w:trPr>
        <w:tc>
          <w:tcPr>
            <w:tcW w:w="4315" w:type="dxa"/>
          </w:tcPr>
          <w:p w14:paraId="75EB0428" w14:textId="58C946F1" w:rsidR="006A2E96" w:rsidRPr="004D117D" w:rsidRDefault="006A2E96">
            <w:pPr>
              <w:pStyle w:val="BodyText"/>
              <w:rPr>
                <w:rFonts w:asciiTheme="minorHAnsi" w:hAnsiTheme="minorHAnsi"/>
                <w:b/>
              </w:rPr>
            </w:pPr>
            <w:r w:rsidRPr="004D117D">
              <w:rPr>
                <w:rFonts w:asciiTheme="minorHAnsi" w:hAnsiTheme="minorHAnsi"/>
                <w:b/>
              </w:rPr>
              <w:t>CY23</w:t>
            </w:r>
          </w:p>
        </w:tc>
        <w:tc>
          <w:tcPr>
            <w:tcW w:w="1800" w:type="dxa"/>
            <w:shd w:val="clear" w:color="auto" w:fill="FFFFFF" w:themeFill="background1"/>
          </w:tcPr>
          <w:p w14:paraId="540B5DAE" w14:textId="3CB3652A" w:rsidR="006A2E96" w:rsidRPr="004D117D" w:rsidRDefault="006A2E96" w:rsidP="002D1958">
            <w:pPr>
              <w:pStyle w:val="BodyText"/>
              <w:jc w:val="center"/>
              <w:rPr>
                <w:rFonts w:asciiTheme="minorHAnsi" w:hAnsiTheme="minorHAnsi"/>
                <w:b/>
              </w:rPr>
            </w:pPr>
          </w:p>
        </w:tc>
        <w:tc>
          <w:tcPr>
            <w:tcW w:w="1800" w:type="dxa"/>
            <w:shd w:val="clear" w:color="auto" w:fill="FFFFFF" w:themeFill="background1"/>
          </w:tcPr>
          <w:p w14:paraId="798045DB" w14:textId="493CDF63" w:rsidR="006A2E96" w:rsidRPr="004D117D" w:rsidRDefault="006A2E96" w:rsidP="002D1958">
            <w:pPr>
              <w:pStyle w:val="BodyText"/>
              <w:jc w:val="center"/>
              <w:rPr>
                <w:rFonts w:asciiTheme="minorHAnsi" w:hAnsiTheme="minorHAnsi"/>
                <w:b/>
              </w:rPr>
            </w:pPr>
          </w:p>
        </w:tc>
      </w:tr>
      <w:tr w:rsidR="006A2E96" w:rsidRPr="0069277C" w14:paraId="6E62D7E6" w14:textId="1A7C734F" w:rsidTr="008C2DC4">
        <w:trPr>
          <w:cantSplit/>
          <w:trHeight w:val="300"/>
          <w:tblHeader/>
        </w:trPr>
        <w:tc>
          <w:tcPr>
            <w:tcW w:w="4315" w:type="dxa"/>
          </w:tcPr>
          <w:p w14:paraId="0185F2F4" w14:textId="646B65F1" w:rsidR="006A2E96" w:rsidRPr="004D117D" w:rsidRDefault="006A2E96">
            <w:pPr>
              <w:pStyle w:val="BodyText"/>
              <w:rPr>
                <w:rFonts w:asciiTheme="minorHAnsi" w:hAnsiTheme="minorHAnsi"/>
                <w:b/>
              </w:rPr>
            </w:pPr>
          </w:p>
        </w:tc>
        <w:tc>
          <w:tcPr>
            <w:tcW w:w="1800" w:type="dxa"/>
          </w:tcPr>
          <w:p w14:paraId="0A7E4EC8" w14:textId="42AB79DD" w:rsidR="006A2E96" w:rsidRPr="004D117D" w:rsidRDefault="006A2E96" w:rsidP="00634032">
            <w:pPr>
              <w:pStyle w:val="BodyText"/>
              <w:jc w:val="center"/>
              <w:rPr>
                <w:rFonts w:asciiTheme="minorHAnsi" w:hAnsiTheme="minorHAnsi"/>
                <w:b/>
              </w:rPr>
            </w:pPr>
            <w:r w:rsidRPr="004D117D">
              <w:rPr>
                <w:rFonts w:asciiTheme="minorHAnsi" w:hAnsiTheme="minorHAnsi"/>
                <w:b/>
              </w:rPr>
              <w:t xml:space="preserve">Level II </w:t>
            </w:r>
          </w:p>
          <w:p w14:paraId="0AC62414" w14:textId="05C253D8" w:rsidR="006A2E96" w:rsidRPr="004D117D" w:rsidRDefault="006A2E96" w:rsidP="00634032">
            <w:pPr>
              <w:pStyle w:val="BodyText"/>
              <w:jc w:val="center"/>
              <w:rPr>
                <w:rFonts w:asciiTheme="minorHAnsi" w:hAnsiTheme="minorHAnsi"/>
                <w:b/>
              </w:rPr>
            </w:pPr>
            <w:r w:rsidRPr="004D117D">
              <w:rPr>
                <w:rFonts w:asciiTheme="minorHAnsi" w:hAnsiTheme="minorHAnsi"/>
                <w:b/>
              </w:rPr>
              <w:t>Short-Term</w:t>
            </w:r>
          </w:p>
        </w:tc>
        <w:tc>
          <w:tcPr>
            <w:tcW w:w="1800" w:type="dxa"/>
          </w:tcPr>
          <w:p w14:paraId="61E3894D" w14:textId="14A2D115" w:rsidR="006A2E96" w:rsidRPr="004D117D" w:rsidRDefault="006A2E96" w:rsidP="00634032">
            <w:pPr>
              <w:pStyle w:val="BodyText"/>
              <w:jc w:val="center"/>
              <w:rPr>
                <w:rFonts w:asciiTheme="minorHAnsi" w:hAnsiTheme="minorHAnsi"/>
                <w:b/>
              </w:rPr>
            </w:pPr>
            <w:r w:rsidRPr="004D117D">
              <w:rPr>
                <w:rFonts w:asciiTheme="minorHAnsi" w:hAnsiTheme="minorHAnsi"/>
                <w:b/>
              </w:rPr>
              <w:t>Level II</w:t>
            </w:r>
          </w:p>
          <w:p w14:paraId="4B7B91F7" w14:textId="2087F2DB" w:rsidR="006A2E96" w:rsidRPr="004D117D" w:rsidRDefault="006A2E96" w:rsidP="00634032">
            <w:pPr>
              <w:pStyle w:val="BodyText"/>
              <w:jc w:val="center"/>
              <w:rPr>
                <w:rFonts w:asciiTheme="minorHAnsi" w:hAnsiTheme="minorHAnsi"/>
                <w:b/>
              </w:rPr>
            </w:pPr>
            <w:r w:rsidRPr="004D117D">
              <w:rPr>
                <w:rFonts w:asciiTheme="minorHAnsi" w:hAnsiTheme="minorHAnsi"/>
                <w:b/>
              </w:rPr>
              <w:t>Long-Term</w:t>
            </w:r>
          </w:p>
        </w:tc>
      </w:tr>
      <w:tr w:rsidR="006A2E96" w:rsidRPr="0069277C" w14:paraId="154CA991" w14:textId="186690C4" w:rsidTr="00B451A1">
        <w:trPr>
          <w:cantSplit/>
          <w:trHeight w:val="300"/>
        </w:trPr>
        <w:tc>
          <w:tcPr>
            <w:tcW w:w="4315" w:type="dxa"/>
          </w:tcPr>
          <w:p w14:paraId="1C8877F3" w14:textId="11E5F3B6" w:rsidR="006A2E96" w:rsidRPr="004D117D" w:rsidRDefault="00C14F87">
            <w:pPr>
              <w:pStyle w:val="BodyText"/>
              <w:rPr>
                <w:rFonts w:asciiTheme="minorHAnsi" w:hAnsiTheme="minorHAnsi"/>
                <w:b/>
              </w:rPr>
            </w:pPr>
            <w:r>
              <w:rPr>
                <w:rFonts w:asciiTheme="minorHAnsi" w:hAnsiTheme="minorHAnsi"/>
                <w:b/>
              </w:rPr>
              <w:t>Discharges</w:t>
            </w:r>
          </w:p>
        </w:tc>
        <w:tc>
          <w:tcPr>
            <w:tcW w:w="1800" w:type="dxa"/>
          </w:tcPr>
          <w:p w14:paraId="3988B0AB" w14:textId="08078815" w:rsidR="006A2E96" w:rsidRPr="004D117D" w:rsidRDefault="006A2E96" w:rsidP="00634032">
            <w:pPr>
              <w:pStyle w:val="BodyText"/>
              <w:jc w:val="center"/>
              <w:rPr>
                <w:rFonts w:asciiTheme="minorHAnsi" w:hAnsiTheme="minorHAnsi"/>
                <w:b/>
              </w:rPr>
            </w:pPr>
            <w:r w:rsidRPr="004D117D">
              <w:rPr>
                <w:rFonts w:asciiTheme="minorHAnsi" w:hAnsiTheme="minorHAnsi"/>
                <w:b/>
              </w:rPr>
              <w:t>367</w:t>
            </w:r>
          </w:p>
        </w:tc>
        <w:tc>
          <w:tcPr>
            <w:tcW w:w="1800" w:type="dxa"/>
          </w:tcPr>
          <w:p w14:paraId="4BEE7007" w14:textId="1F7CF8EE" w:rsidR="006A2E96" w:rsidRPr="004D117D" w:rsidRDefault="006A2E96" w:rsidP="00634032">
            <w:pPr>
              <w:pStyle w:val="BodyText"/>
              <w:jc w:val="center"/>
              <w:rPr>
                <w:rFonts w:asciiTheme="minorHAnsi" w:hAnsiTheme="minorHAnsi"/>
                <w:b/>
              </w:rPr>
            </w:pPr>
            <w:r w:rsidRPr="004D117D">
              <w:rPr>
                <w:rFonts w:asciiTheme="minorHAnsi" w:hAnsiTheme="minorHAnsi"/>
                <w:b/>
              </w:rPr>
              <w:t>140</w:t>
            </w:r>
          </w:p>
        </w:tc>
      </w:tr>
      <w:tr w:rsidR="006A2E96" w:rsidRPr="0069277C" w14:paraId="727A19C4" w14:textId="0AF4F4C7" w:rsidTr="00B451A1">
        <w:trPr>
          <w:cantSplit/>
          <w:trHeight w:val="300"/>
        </w:trPr>
        <w:tc>
          <w:tcPr>
            <w:tcW w:w="4315" w:type="dxa"/>
            <w:shd w:val="clear" w:color="auto" w:fill="F2F2F2" w:themeFill="background1" w:themeFillShade="F2"/>
          </w:tcPr>
          <w:p w14:paraId="61018694" w14:textId="07E16B2C" w:rsidR="006A2E96" w:rsidRPr="004D117D" w:rsidRDefault="006A2E96">
            <w:pPr>
              <w:pStyle w:val="BodyText"/>
              <w:rPr>
                <w:rFonts w:asciiTheme="minorHAnsi" w:hAnsiTheme="minorHAnsi"/>
                <w:b/>
              </w:rPr>
            </w:pPr>
            <w:r w:rsidRPr="004D117D">
              <w:rPr>
                <w:rFonts w:asciiTheme="minorHAnsi" w:hAnsiTheme="minorHAnsi"/>
                <w:b/>
              </w:rPr>
              <w:t>Gender</w:t>
            </w:r>
          </w:p>
        </w:tc>
        <w:tc>
          <w:tcPr>
            <w:tcW w:w="1800" w:type="dxa"/>
            <w:shd w:val="clear" w:color="auto" w:fill="F2F2F2" w:themeFill="background1" w:themeFillShade="F2"/>
          </w:tcPr>
          <w:p w14:paraId="1294D348" w14:textId="6DD931E0" w:rsidR="006A2E96" w:rsidRPr="004D117D" w:rsidRDefault="006A2E96" w:rsidP="00634032">
            <w:pPr>
              <w:pStyle w:val="BodyText"/>
              <w:jc w:val="center"/>
              <w:rPr>
                <w:rFonts w:asciiTheme="minorHAnsi" w:hAnsiTheme="minorHAnsi"/>
              </w:rPr>
            </w:pPr>
          </w:p>
        </w:tc>
        <w:tc>
          <w:tcPr>
            <w:tcW w:w="1800" w:type="dxa"/>
            <w:shd w:val="clear" w:color="auto" w:fill="F2F2F2" w:themeFill="background1" w:themeFillShade="F2"/>
          </w:tcPr>
          <w:p w14:paraId="64D602DD" w14:textId="405B55BC" w:rsidR="006A2E96" w:rsidRPr="004D117D" w:rsidRDefault="006A2E96" w:rsidP="00634032">
            <w:pPr>
              <w:pStyle w:val="BodyText"/>
              <w:jc w:val="center"/>
              <w:rPr>
                <w:rFonts w:asciiTheme="minorHAnsi" w:hAnsiTheme="minorHAnsi"/>
              </w:rPr>
            </w:pPr>
          </w:p>
        </w:tc>
      </w:tr>
      <w:tr w:rsidR="006A2E96" w:rsidRPr="0069277C" w14:paraId="6A7DF53B" w14:textId="63A0B7A6" w:rsidTr="00B451A1">
        <w:trPr>
          <w:cantSplit/>
          <w:trHeight w:val="300"/>
        </w:trPr>
        <w:tc>
          <w:tcPr>
            <w:tcW w:w="4315" w:type="dxa"/>
          </w:tcPr>
          <w:p w14:paraId="513B5F46" w14:textId="46EF2674" w:rsidR="006A2E96" w:rsidRPr="004D117D" w:rsidRDefault="006A2E96" w:rsidP="00DD4DD0">
            <w:pPr>
              <w:pStyle w:val="BodyText"/>
              <w:ind w:left="144"/>
              <w:rPr>
                <w:rFonts w:asciiTheme="minorHAnsi" w:hAnsiTheme="minorHAnsi"/>
              </w:rPr>
            </w:pPr>
            <w:r w:rsidRPr="004D117D">
              <w:rPr>
                <w:rFonts w:asciiTheme="minorHAnsi" w:hAnsiTheme="minorHAnsi"/>
              </w:rPr>
              <w:t xml:space="preserve">Male </w:t>
            </w:r>
          </w:p>
        </w:tc>
        <w:tc>
          <w:tcPr>
            <w:tcW w:w="1800" w:type="dxa"/>
          </w:tcPr>
          <w:p w14:paraId="6DC2EFFF" w14:textId="0F80144E" w:rsidR="006A2E96" w:rsidRPr="004D117D" w:rsidRDefault="006A2E96" w:rsidP="00634032">
            <w:pPr>
              <w:pStyle w:val="BodyText"/>
              <w:jc w:val="center"/>
              <w:rPr>
                <w:rFonts w:asciiTheme="minorHAnsi" w:hAnsiTheme="minorHAnsi"/>
              </w:rPr>
            </w:pPr>
            <w:r w:rsidRPr="004D117D">
              <w:rPr>
                <w:rFonts w:asciiTheme="minorHAnsi" w:hAnsiTheme="minorHAnsi"/>
              </w:rPr>
              <w:t>36%</w:t>
            </w:r>
          </w:p>
        </w:tc>
        <w:tc>
          <w:tcPr>
            <w:tcW w:w="1800" w:type="dxa"/>
          </w:tcPr>
          <w:p w14:paraId="225B6313" w14:textId="36C5F6FA" w:rsidR="006A2E96" w:rsidRPr="004D117D" w:rsidRDefault="006A2E96" w:rsidP="00634032">
            <w:pPr>
              <w:pStyle w:val="BodyText"/>
              <w:jc w:val="center"/>
              <w:rPr>
                <w:rFonts w:asciiTheme="minorHAnsi" w:hAnsiTheme="minorHAnsi"/>
              </w:rPr>
            </w:pPr>
            <w:r w:rsidRPr="004D117D">
              <w:rPr>
                <w:rFonts w:asciiTheme="minorHAnsi" w:hAnsiTheme="minorHAnsi"/>
              </w:rPr>
              <w:t>31%</w:t>
            </w:r>
          </w:p>
        </w:tc>
      </w:tr>
      <w:tr w:rsidR="006A2E96" w:rsidRPr="0069277C" w14:paraId="078E3D31" w14:textId="30DDB70B" w:rsidTr="00B451A1">
        <w:trPr>
          <w:cantSplit/>
          <w:trHeight w:val="300"/>
        </w:trPr>
        <w:tc>
          <w:tcPr>
            <w:tcW w:w="4315" w:type="dxa"/>
          </w:tcPr>
          <w:p w14:paraId="7D35D257" w14:textId="7E091771" w:rsidR="006A2E96" w:rsidRPr="004D117D" w:rsidRDefault="006A2E96" w:rsidP="00DD4DD0">
            <w:pPr>
              <w:pStyle w:val="BodyText"/>
              <w:ind w:left="144"/>
              <w:rPr>
                <w:rFonts w:asciiTheme="minorHAnsi" w:hAnsiTheme="minorHAnsi"/>
              </w:rPr>
            </w:pPr>
            <w:r w:rsidRPr="004D117D">
              <w:rPr>
                <w:rFonts w:asciiTheme="minorHAnsi" w:hAnsiTheme="minorHAnsi"/>
              </w:rPr>
              <w:t>Female</w:t>
            </w:r>
          </w:p>
        </w:tc>
        <w:tc>
          <w:tcPr>
            <w:tcW w:w="1800" w:type="dxa"/>
          </w:tcPr>
          <w:p w14:paraId="14D341C1" w14:textId="39CDD9F3" w:rsidR="006A2E96" w:rsidRPr="004D117D" w:rsidRDefault="006A2E96" w:rsidP="00634032">
            <w:pPr>
              <w:pStyle w:val="BodyText"/>
              <w:jc w:val="center"/>
              <w:rPr>
                <w:rFonts w:asciiTheme="minorHAnsi" w:hAnsiTheme="minorHAnsi"/>
              </w:rPr>
            </w:pPr>
            <w:r w:rsidRPr="004D117D">
              <w:rPr>
                <w:rFonts w:asciiTheme="minorHAnsi" w:hAnsiTheme="minorHAnsi"/>
              </w:rPr>
              <w:t>64%</w:t>
            </w:r>
          </w:p>
        </w:tc>
        <w:tc>
          <w:tcPr>
            <w:tcW w:w="1800" w:type="dxa"/>
          </w:tcPr>
          <w:p w14:paraId="32DE1706" w14:textId="0FF4794A" w:rsidR="006A2E96" w:rsidRPr="004D117D" w:rsidRDefault="006A2E96" w:rsidP="00634032">
            <w:pPr>
              <w:pStyle w:val="BodyText"/>
              <w:jc w:val="center"/>
              <w:rPr>
                <w:rFonts w:asciiTheme="minorHAnsi" w:hAnsiTheme="minorHAnsi"/>
              </w:rPr>
            </w:pPr>
            <w:r w:rsidRPr="004D117D">
              <w:rPr>
                <w:rFonts w:asciiTheme="minorHAnsi" w:hAnsiTheme="minorHAnsi"/>
              </w:rPr>
              <w:t>69%</w:t>
            </w:r>
          </w:p>
        </w:tc>
      </w:tr>
      <w:tr w:rsidR="006A2E96" w:rsidRPr="0069277C" w14:paraId="0A7726C7" w14:textId="2B398C60" w:rsidTr="00B451A1">
        <w:trPr>
          <w:cantSplit/>
          <w:trHeight w:val="300"/>
        </w:trPr>
        <w:tc>
          <w:tcPr>
            <w:tcW w:w="4315" w:type="dxa"/>
          </w:tcPr>
          <w:p w14:paraId="024F4AFC" w14:textId="2B52CE3F" w:rsidR="006A2E96" w:rsidRPr="004D117D" w:rsidRDefault="006A2E96" w:rsidP="00DD4DD0">
            <w:pPr>
              <w:pStyle w:val="BodyText"/>
              <w:ind w:left="144"/>
              <w:rPr>
                <w:rFonts w:asciiTheme="minorHAnsi" w:hAnsiTheme="minorHAnsi"/>
              </w:rPr>
            </w:pPr>
            <w:r w:rsidRPr="004D117D">
              <w:rPr>
                <w:rFonts w:asciiTheme="minorHAnsi" w:hAnsiTheme="minorHAnsi"/>
              </w:rPr>
              <w:t>Total</w:t>
            </w:r>
          </w:p>
        </w:tc>
        <w:tc>
          <w:tcPr>
            <w:tcW w:w="1800" w:type="dxa"/>
          </w:tcPr>
          <w:p w14:paraId="36FC5C8C" w14:textId="171E2ADA" w:rsidR="006A2E96" w:rsidRPr="004D117D" w:rsidRDefault="006A2E96" w:rsidP="00634032">
            <w:pPr>
              <w:pStyle w:val="BodyText"/>
              <w:jc w:val="center"/>
              <w:rPr>
                <w:rFonts w:asciiTheme="minorHAnsi" w:hAnsiTheme="minorHAnsi"/>
              </w:rPr>
            </w:pPr>
            <w:r w:rsidRPr="004D117D">
              <w:rPr>
                <w:rFonts w:asciiTheme="minorHAnsi" w:hAnsiTheme="minorHAnsi"/>
              </w:rPr>
              <w:t>100%</w:t>
            </w:r>
          </w:p>
        </w:tc>
        <w:tc>
          <w:tcPr>
            <w:tcW w:w="1800" w:type="dxa"/>
          </w:tcPr>
          <w:p w14:paraId="0FF5CF12" w14:textId="3C768E30" w:rsidR="006A2E96" w:rsidRPr="004D117D" w:rsidRDefault="006A2E96" w:rsidP="00634032">
            <w:pPr>
              <w:pStyle w:val="BodyText"/>
              <w:jc w:val="center"/>
              <w:rPr>
                <w:rFonts w:asciiTheme="minorHAnsi" w:hAnsiTheme="minorHAnsi"/>
              </w:rPr>
            </w:pPr>
            <w:r w:rsidRPr="004D117D">
              <w:rPr>
                <w:rFonts w:asciiTheme="minorHAnsi" w:hAnsiTheme="minorHAnsi"/>
              </w:rPr>
              <w:fldChar w:fldCharType="begin"/>
            </w:r>
            <w:r w:rsidRPr="004D117D">
              <w:rPr>
                <w:rFonts w:asciiTheme="minorHAnsi" w:hAnsiTheme="minorHAnsi"/>
              </w:rPr>
              <w:instrText xml:space="preserve"> =SUM(ABOVE)*100 \# "0.00%" </w:instrText>
            </w:r>
            <w:r w:rsidRPr="004D117D">
              <w:rPr>
                <w:rFonts w:asciiTheme="minorHAnsi" w:hAnsiTheme="minorHAnsi"/>
              </w:rPr>
              <w:fldChar w:fldCharType="separate"/>
            </w:r>
            <w:r w:rsidRPr="004D117D">
              <w:rPr>
                <w:rFonts w:asciiTheme="minorHAnsi" w:hAnsiTheme="minorHAnsi"/>
              </w:rPr>
              <w:t>100%</w:t>
            </w:r>
            <w:r w:rsidRPr="004D117D">
              <w:rPr>
                <w:rFonts w:asciiTheme="minorHAnsi" w:hAnsiTheme="minorHAnsi"/>
              </w:rPr>
              <w:fldChar w:fldCharType="end"/>
            </w:r>
          </w:p>
        </w:tc>
      </w:tr>
      <w:tr w:rsidR="006A2E96" w:rsidRPr="0069277C" w14:paraId="3A21E43F" w14:textId="71F57CD6" w:rsidTr="00B451A1">
        <w:trPr>
          <w:cantSplit/>
          <w:trHeight w:val="300"/>
        </w:trPr>
        <w:tc>
          <w:tcPr>
            <w:tcW w:w="4315" w:type="dxa"/>
            <w:shd w:val="clear" w:color="auto" w:fill="F2F2F2" w:themeFill="background1" w:themeFillShade="F2"/>
          </w:tcPr>
          <w:p w14:paraId="76CE3D7D" w14:textId="5A613120" w:rsidR="006A2E96" w:rsidRPr="004D117D" w:rsidRDefault="006A2E96">
            <w:pPr>
              <w:pStyle w:val="BodyText"/>
              <w:rPr>
                <w:rFonts w:asciiTheme="minorHAnsi" w:hAnsiTheme="minorHAnsi"/>
                <w:b/>
              </w:rPr>
            </w:pPr>
            <w:r w:rsidRPr="004D117D">
              <w:rPr>
                <w:rFonts w:asciiTheme="minorHAnsi" w:hAnsiTheme="minorHAnsi"/>
                <w:b/>
              </w:rPr>
              <w:t>Age</w:t>
            </w:r>
          </w:p>
        </w:tc>
        <w:tc>
          <w:tcPr>
            <w:tcW w:w="1800" w:type="dxa"/>
            <w:shd w:val="clear" w:color="auto" w:fill="F2F2F2" w:themeFill="background1" w:themeFillShade="F2"/>
          </w:tcPr>
          <w:p w14:paraId="6119E98E" w14:textId="5DA6716A" w:rsidR="006A2E96" w:rsidRPr="004D117D" w:rsidRDefault="006A2E96" w:rsidP="00634032">
            <w:pPr>
              <w:pStyle w:val="BodyText"/>
              <w:jc w:val="center"/>
              <w:rPr>
                <w:rFonts w:asciiTheme="minorHAnsi" w:hAnsiTheme="minorHAnsi"/>
              </w:rPr>
            </w:pPr>
          </w:p>
        </w:tc>
        <w:tc>
          <w:tcPr>
            <w:tcW w:w="1800" w:type="dxa"/>
            <w:shd w:val="clear" w:color="auto" w:fill="F2F2F2" w:themeFill="background1" w:themeFillShade="F2"/>
          </w:tcPr>
          <w:p w14:paraId="220FFB80" w14:textId="5559D2B6" w:rsidR="006A2E96" w:rsidRPr="004D117D" w:rsidRDefault="006A2E96" w:rsidP="00634032">
            <w:pPr>
              <w:pStyle w:val="BodyText"/>
              <w:jc w:val="center"/>
              <w:rPr>
                <w:rFonts w:asciiTheme="minorHAnsi" w:hAnsiTheme="minorHAnsi"/>
              </w:rPr>
            </w:pPr>
          </w:p>
        </w:tc>
      </w:tr>
      <w:tr w:rsidR="006A2E96" w:rsidRPr="0069277C" w14:paraId="110C07FC" w14:textId="543E81AA" w:rsidTr="00B451A1">
        <w:trPr>
          <w:cantSplit/>
          <w:trHeight w:val="300"/>
        </w:trPr>
        <w:tc>
          <w:tcPr>
            <w:tcW w:w="4315" w:type="dxa"/>
          </w:tcPr>
          <w:p w14:paraId="05481609" w14:textId="2B0685F2" w:rsidR="006A2E96" w:rsidRPr="004D117D" w:rsidRDefault="00F26FB4" w:rsidP="1A1BD66E">
            <w:pPr>
              <w:pStyle w:val="BodyText"/>
              <w:ind w:left="144"/>
              <w:rPr>
                <w:rFonts w:asciiTheme="minorHAnsi" w:hAnsiTheme="minorHAnsi"/>
              </w:rPr>
            </w:pPr>
            <w:r>
              <w:rPr>
                <w:rFonts w:asciiTheme="minorHAnsi" w:hAnsiTheme="minorHAnsi"/>
              </w:rPr>
              <w:t>&lt;</w:t>
            </w:r>
            <w:r w:rsidR="006A2E96" w:rsidRPr="1A1BD66E">
              <w:rPr>
                <w:rFonts w:asciiTheme="minorHAnsi" w:hAnsiTheme="minorHAnsi"/>
              </w:rPr>
              <w:t>65</w:t>
            </w:r>
          </w:p>
        </w:tc>
        <w:tc>
          <w:tcPr>
            <w:tcW w:w="1800" w:type="dxa"/>
          </w:tcPr>
          <w:p w14:paraId="39820C05" w14:textId="0A6DDF8B" w:rsidR="006A2E96" w:rsidRPr="004D117D" w:rsidRDefault="006A2E96" w:rsidP="00634032">
            <w:pPr>
              <w:pStyle w:val="BodyText"/>
              <w:jc w:val="center"/>
              <w:rPr>
                <w:rFonts w:asciiTheme="minorHAnsi" w:hAnsiTheme="minorHAnsi"/>
              </w:rPr>
            </w:pPr>
            <w:r w:rsidRPr="004D117D">
              <w:rPr>
                <w:rFonts w:asciiTheme="minorHAnsi" w:hAnsiTheme="minorHAnsi"/>
              </w:rPr>
              <w:t>0%</w:t>
            </w:r>
          </w:p>
        </w:tc>
        <w:tc>
          <w:tcPr>
            <w:tcW w:w="1800" w:type="dxa"/>
            <w:shd w:val="clear" w:color="auto" w:fill="FFFFFF" w:themeFill="background1"/>
          </w:tcPr>
          <w:p w14:paraId="4D13F0DC" w14:textId="2122EF2E" w:rsidR="006A2E96" w:rsidRPr="004D117D" w:rsidRDefault="006A2E96" w:rsidP="00634032">
            <w:pPr>
              <w:pStyle w:val="BodyText"/>
              <w:jc w:val="center"/>
              <w:rPr>
                <w:rFonts w:asciiTheme="minorHAnsi" w:hAnsiTheme="minorHAnsi"/>
              </w:rPr>
            </w:pPr>
            <w:r w:rsidRPr="004D117D">
              <w:rPr>
                <w:rFonts w:asciiTheme="minorHAnsi" w:hAnsiTheme="minorHAnsi"/>
              </w:rPr>
              <w:t>2%</w:t>
            </w:r>
          </w:p>
        </w:tc>
      </w:tr>
      <w:tr w:rsidR="006A2E96" w:rsidRPr="0069277C" w14:paraId="7B064BDA" w14:textId="4B2244A5" w:rsidTr="00B451A1">
        <w:trPr>
          <w:cantSplit/>
          <w:trHeight w:val="300"/>
        </w:trPr>
        <w:tc>
          <w:tcPr>
            <w:tcW w:w="4315" w:type="dxa"/>
          </w:tcPr>
          <w:p w14:paraId="19BA8A92" w14:textId="334D3CC3" w:rsidR="006A2E96" w:rsidRPr="004D117D" w:rsidRDefault="006A2E96" w:rsidP="00DD4DD0">
            <w:pPr>
              <w:pStyle w:val="BodyText"/>
              <w:ind w:left="144"/>
              <w:rPr>
                <w:rFonts w:asciiTheme="minorHAnsi" w:hAnsiTheme="minorHAnsi"/>
              </w:rPr>
            </w:pPr>
            <w:r w:rsidRPr="004D117D">
              <w:rPr>
                <w:rFonts w:asciiTheme="minorHAnsi" w:hAnsiTheme="minorHAnsi"/>
              </w:rPr>
              <w:t>65+</w:t>
            </w:r>
          </w:p>
        </w:tc>
        <w:tc>
          <w:tcPr>
            <w:tcW w:w="1800" w:type="dxa"/>
          </w:tcPr>
          <w:p w14:paraId="2462BD56" w14:textId="46E96374" w:rsidR="006A2E96" w:rsidRPr="004D117D" w:rsidRDefault="006A2E96" w:rsidP="00634032">
            <w:pPr>
              <w:pStyle w:val="BodyText"/>
              <w:jc w:val="center"/>
              <w:rPr>
                <w:rFonts w:asciiTheme="minorHAnsi" w:hAnsiTheme="minorHAnsi"/>
              </w:rPr>
            </w:pPr>
            <w:r w:rsidRPr="004D117D">
              <w:rPr>
                <w:rFonts w:asciiTheme="minorHAnsi" w:hAnsiTheme="minorHAnsi"/>
              </w:rPr>
              <w:t>100%</w:t>
            </w:r>
          </w:p>
        </w:tc>
        <w:tc>
          <w:tcPr>
            <w:tcW w:w="1800" w:type="dxa"/>
          </w:tcPr>
          <w:p w14:paraId="09FC4287" w14:textId="4C8FFE79" w:rsidR="006A2E96" w:rsidRPr="004D117D" w:rsidRDefault="006A2E96" w:rsidP="00634032">
            <w:pPr>
              <w:pStyle w:val="BodyText"/>
              <w:jc w:val="center"/>
              <w:rPr>
                <w:rFonts w:asciiTheme="minorHAnsi" w:hAnsiTheme="minorHAnsi"/>
              </w:rPr>
            </w:pPr>
            <w:r w:rsidRPr="004D117D">
              <w:rPr>
                <w:rFonts w:asciiTheme="minorHAnsi" w:hAnsiTheme="minorHAnsi"/>
              </w:rPr>
              <w:t>98%</w:t>
            </w:r>
          </w:p>
        </w:tc>
      </w:tr>
      <w:tr w:rsidR="006A2E96" w:rsidRPr="0069277C" w14:paraId="177EA995" w14:textId="7CE9812B" w:rsidTr="00B451A1">
        <w:trPr>
          <w:cantSplit/>
          <w:trHeight w:val="300"/>
        </w:trPr>
        <w:tc>
          <w:tcPr>
            <w:tcW w:w="4315" w:type="dxa"/>
          </w:tcPr>
          <w:p w14:paraId="1687FCD0" w14:textId="13680231" w:rsidR="006A2E96" w:rsidRPr="004D117D" w:rsidRDefault="006A2E96" w:rsidP="00DD4DD0">
            <w:pPr>
              <w:pStyle w:val="BodyText"/>
              <w:ind w:left="144"/>
              <w:rPr>
                <w:rFonts w:asciiTheme="minorHAnsi" w:hAnsiTheme="minorHAnsi"/>
              </w:rPr>
            </w:pPr>
            <w:r w:rsidRPr="004D117D">
              <w:rPr>
                <w:rFonts w:asciiTheme="minorHAnsi" w:hAnsiTheme="minorHAnsi"/>
              </w:rPr>
              <w:t xml:space="preserve">Total </w:t>
            </w:r>
          </w:p>
        </w:tc>
        <w:tc>
          <w:tcPr>
            <w:tcW w:w="1800" w:type="dxa"/>
          </w:tcPr>
          <w:p w14:paraId="79FA6EEE" w14:textId="6FAF0041" w:rsidR="006A2E96" w:rsidRPr="004D117D" w:rsidRDefault="006A2E96" w:rsidP="00634032">
            <w:pPr>
              <w:pStyle w:val="BodyText"/>
              <w:jc w:val="center"/>
              <w:rPr>
                <w:rFonts w:asciiTheme="minorHAnsi" w:hAnsiTheme="minorHAnsi"/>
              </w:rPr>
            </w:pPr>
            <w:r w:rsidRPr="004D117D">
              <w:rPr>
                <w:rFonts w:asciiTheme="minorHAnsi" w:hAnsiTheme="minorHAnsi"/>
              </w:rPr>
              <w:t>100%</w:t>
            </w:r>
          </w:p>
        </w:tc>
        <w:tc>
          <w:tcPr>
            <w:tcW w:w="1800" w:type="dxa"/>
          </w:tcPr>
          <w:p w14:paraId="12C9F303" w14:textId="063D68C8" w:rsidR="006A2E96" w:rsidRPr="004D117D" w:rsidRDefault="006A2E96" w:rsidP="00634032">
            <w:pPr>
              <w:pStyle w:val="BodyText"/>
              <w:jc w:val="center"/>
              <w:rPr>
                <w:rFonts w:asciiTheme="minorHAnsi" w:hAnsiTheme="minorHAnsi"/>
              </w:rPr>
            </w:pPr>
            <w:r w:rsidRPr="004D117D">
              <w:rPr>
                <w:rFonts w:asciiTheme="minorHAnsi" w:hAnsiTheme="minorHAnsi"/>
              </w:rPr>
              <w:fldChar w:fldCharType="begin"/>
            </w:r>
            <w:r w:rsidRPr="004D117D">
              <w:rPr>
                <w:rFonts w:asciiTheme="minorHAnsi" w:hAnsiTheme="minorHAnsi"/>
              </w:rPr>
              <w:instrText xml:space="preserve"> =SUM(ABOVE)*100 \# "0.00%" </w:instrText>
            </w:r>
            <w:r w:rsidRPr="004D117D">
              <w:rPr>
                <w:rFonts w:asciiTheme="minorHAnsi" w:hAnsiTheme="minorHAnsi"/>
              </w:rPr>
              <w:fldChar w:fldCharType="separate"/>
            </w:r>
            <w:r w:rsidRPr="004D117D">
              <w:rPr>
                <w:rFonts w:asciiTheme="minorHAnsi" w:hAnsiTheme="minorHAnsi"/>
              </w:rPr>
              <w:t>100.00%</w:t>
            </w:r>
            <w:r w:rsidRPr="004D117D">
              <w:rPr>
                <w:rFonts w:asciiTheme="minorHAnsi" w:hAnsiTheme="minorHAnsi"/>
              </w:rPr>
              <w:fldChar w:fldCharType="end"/>
            </w:r>
          </w:p>
        </w:tc>
      </w:tr>
      <w:tr w:rsidR="006A2E96" w:rsidRPr="0069277C" w14:paraId="3C3CF8DA" w14:textId="7C33A2A6" w:rsidTr="00B451A1">
        <w:trPr>
          <w:cantSplit/>
          <w:trHeight w:val="300"/>
        </w:trPr>
        <w:tc>
          <w:tcPr>
            <w:tcW w:w="4315" w:type="dxa"/>
            <w:shd w:val="clear" w:color="auto" w:fill="F2F2F2" w:themeFill="background1" w:themeFillShade="F2"/>
          </w:tcPr>
          <w:p w14:paraId="722D512B" w14:textId="04DC2BFC" w:rsidR="006A2E96" w:rsidRPr="004D117D" w:rsidRDefault="006A2E96">
            <w:pPr>
              <w:pStyle w:val="BodyText"/>
              <w:rPr>
                <w:rFonts w:asciiTheme="minorHAnsi" w:hAnsiTheme="minorHAnsi"/>
                <w:b/>
              </w:rPr>
            </w:pPr>
            <w:r w:rsidRPr="004D117D">
              <w:rPr>
                <w:rFonts w:asciiTheme="minorHAnsi" w:hAnsiTheme="minorHAnsi"/>
                <w:b/>
              </w:rPr>
              <w:t>Race/Ethnicity</w:t>
            </w:r>
            <w:r w:rsidRPr="004D117D">
              <w:rPr>
                <w:rStyle w:val="FootnoteReference"/>
                <w:rFonts w:asciiTheme="minorHAnsi" w:hAnsiTheme="minorHAnsi"/>
                <w:b/>
              </w:rPr>
              <w:footnoteReference w:id="4"/>
            </w:r>
            <w:r w:rsidRPr="004D117D">
              <w:rPr>
                <w:rFonts w:asciiTheme="minorHAnsi" w:hAnsiTheme="minorHAnsi"/>
                <w:b/>
                <w:vertAlign w:val="superscript"/>
              </w:rPr>
              <w:t>,</w:t>
            </w:r>
            <w:r w:rsidRPr="004D117D">
              <w:rPr>
                <w:rStyle w:val="FootnoteReference"/>
                <w:rFonts w:asciiTheme="minorHAnsi" w:hAnsiTheme="minorHAnsi"/>
                <w:b/>
              </w:rPr>
              <w:footnoteReference w:id="5"/>
            </w:r>
          </w:p>
        </w:tc>
        <w:tc>
          <w:tcPr>
            <w:tcW w:w="1800" w:type="dxa"/>
            <w:shd w:val="clear" w:color="auto" w:fill="F2F2F2" w:themeFill="background1" w:themeFillShade="F2"/>
          </w:tcPr>
          <w:p w14:paraId="4F8FE352" w14:textId="0D901D85" w:rsidR="006A2E96" w:rsidRPr="004D117D" w:rsidRDefault="006A2E96" w:rsidP="00634032">
            <w:pPr>
              <w:pStyle w:val="BodyText"/>
              <w:jc w:val="center"/>
              <w:rPr>
                <w:rFonts w:asciiTheme="minorHAnsi" w:hAnsiTheme="minorHAnsi"/>
                <w:b/>
              </w:rPr>
            </w:pPr>
          </w:p>
        </w:tc>
        <w:tc>
          <w:tcPr>
            <w:tcW w:w="1800" w:type="dxa"/>
            <w:shd w:val="clear" w:color="auto" w:fill="F2F2F2" w:themeFill="background1" w:themeFillShade="F2"/>
          </w:tcPr>
          <w:p w14:paraId="5E108EA3" w14:textId="6CC928EB" w:rsidR="006A2E96" w:rsidRPr="004D117D" w:rsidRDefault="006A2E96" w:rsidP="00634032">
            <w:pPr>
              <w:pStyle w:val="BodyText"/>
              <w:jc w:val="center"/>
              <w:rPr>
                <w:rFonts w:asciiTheme="minorHAnsi" w:hAnsiTheme="minorHAnsi"/>
                <w:b/>
              </w:rPr>
            </w:pPr>
          </w:p>
        </w:tc>
      </w:tr>
      <w:tr w:rsidR="00F83406" w:rsidRPr="0069277C" w14:paraId="117B2320" w14:textId="429A89DB" w:rsidTr="00B451A1">
        <w:trPr>
          <w:cantSplit/>
          <w:trHeight w:val="270"/>
        </w:trPr>
        <w:tc>
          <w:tcPr>
            <w:tcW w:w="4315" w:type="dxa"/>
            <w:shd w:val="clear" w:color="auto" w:fill="auto"/>
          </w:tcPr>
          <w:p w14:paraId="58F4DCA0" w14:textId="63F3AE11" w:rsidR="00F83406" w:rsidRPr="004D117D" w:rsidRDefault="00F83406" w:rsidP="00F83406">
            <w:pPr>
              <w:pStyle w:val="BodyText"/>
              <w:ind w:left="144"/>
              <w:rPr>
                <w:rFonts w:asciiTheme="minorHAnsi" w:hAnsiTheme="minorHAnsi"/>
              </w:rPr>
            </w:pPr>
          </w:p>
        </w:tc>
        <w:tc>
          <w:tcPr>
            <w:tcW w:w="1800" w:type="dxa"/>
            <w:shd w:val="clear" w:color="auto" w:fill="auto"/>
          </w:tcPr>
          <w:p w14:paraId="2FED7224"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Predominately White</w:t>
            </w:r>
          </w:p>
        </w:tc>
        <w:tc>
          <w:tcPr>
            <w:tcW w:w="1800" w:type="dxa"/>
            <w:shd w:val="clear" w:color="auto" w:fill="auto"/>
          </w:tcPr>
          <w:p w14:paraId="3226B1AE" w14:textId="519383B1" w:rsidR="00F83406" w:rsidRPr="004D117D" w:rsidRDefault="00F83406" w:rsidP="00F83406">
            <w:pPr>
              <w:pStyle w:val="BodyText"/>
              <w:jc w:val="center"/>
              <w:rPr>
                <w:rFonts w:asciiTheme="minorHAnsi" w:hAnsiTheme="minorHAnsi"/>
              </w:rPr>
            </w:pPr>
            <w:r w:rsidRPr="004D117D">
              <w:rPr>
                <w:rFonts w:asciiTheme="minorHAnsi" w:hAnsiTheme="minorHAnsi"/>
              </w:rPr>
              <w:t>Predominately White</w:t>
            </w:r>
          </w:p>
        </w:tc>
      </w:tr>
      <w:tr w:rsidR="00F83406" w:rsidRPr="0069277C" w14:paraId="4E15B165" w14:textId="01DF1968" w:rsidTr="00B451A1">
        <w:trPr>
          <w:cantSplit/>
          <w:trHeight w:val="300"/>
        </w:trPr>
        <w:tc>
          <w:tcPr>
            <w:tcW w:w="4315" w:type="dxa"/>
            <w:shd w:val="clear" w:color="auto" w:fill="F2F2F2" w:themeFill="background1" w:themeFillShade="F2"/>
          </w:tcPr>
          <w:p w14:paraId="3CAEB90D" w14:textId="0A56420A" w:rsidR="00F83406" w:rsidRPr="004D117D" w:rsidRDefault="00F83406" w:rsidP="00F83406">
            <w:pPr>
              <w:pStyle w:val="BodyText"/>
              <w:rPr>
                <w:rFonts w:asciiTheme="minorHAnsi" w:hAnsiTheme="minorHAnsi"/>
                <w:b/>
              </w:rPr>
            </w:pPr>
            <w:r w:rsidRPr="004D117D">
              <w:rPr>
                <w:rFonts w:asciiTheme="minorHAnsi" w:hAnsiTheme="minorHAnsi"/>
                <w:b/>
              </w:rPr>
              <w:t>Patient Origin</w:t>
            </w:r>
            <w:r w:rsidRPr="004D117D">
              <w:rPr>
                <w:rStyle w:val="FootnoteReference"/>
                <w:rFonts w:asciiTheme="minorHAnsi" w:hAnsiTheme="minorHAnsi"/>
                <w:b/>
              </w:rPr>
              <w:footnoteReference w:id="6"/>
            </w:r>
            <w:r w:rsidRPr="004D117D">
              <w:rPr>
                <w:rFonts w:asciiTheme="minorHAnsi" w:hAnsiTheme="minorHAnsi"/>
                <w:b/>
              </w:rPr>
              <w:t xml:space="preserve"> </w:t>
            </w:r>
          </w:p>
        </w:tc>
        <w:tc>
          <w:tcPr>
            <w:tcW w:w="1800" w:type="dxa"/>
            <w:shd w:val="clear" w:color="auto" w:fill="F2F2F2" w:themeFill="background1" w:themeFillShade="F2"/>
          </w:tcPr>
          <w:p w14:paraId="15FE0BC1" w14:textId="2A3027F1" w:rsidR="00F83406" w:rsidRPr="004D117D" w:rsidRDefault="00F83406" w:rsidP="00F83406">
            <w:pPr>
              <w:pStyle w:val="BodyText"/>
              <w:jc w:val="center"/>
              <w:rPr>
                <w:rFonts w:asciiTheme="minorHAnsi" w:hAnsiTheme="minorHAnsi"/>
                <w:b/>
              </w:rPr>
            </w:pPr>
          </w:p>
        </w:tc>
        <w:tc>
          <w:tcPr>
            <w:tcW w:w="1800" w:type="dxa"/>
            <w:shd w:val="clear" w:color="auto" w:fill="F2F2F2" w:themeFill="background1" w:themeFillShade="F2"/>
          </w:tcPr>
          <w:p w14:paraId="6D55BAE5" w14:textId="147905C5" w:rsidR="00F83406" w:rsidRPr="004D117D" w:rsidRDefault="00F83406" w:rsidP="00F83406">
            <w:pPr>
              <w:pStyle w:val="BodyText"/>
              <w:jc w:val="center"/>
              <w:rPr>
                <w:rFonts w:asciiTheme="minorHAnsi" w:hAnsiTheme="minorHAnsi"/>
                <w:b/>
              </w:rPr>
            </w:pPr>
          </w:p>
        </w:tc>
      </w:tr>
      <w:tr w:rsidR="00F83406" w:rsidRPr="0069277C" w14:paraId="25BF2430" w14:textId="3B06E571" w:rsidTr="00B451A1">
        <w:trPr>
          <w:cantSplit/>
          <w:trHeight w:val="300"/>
        </w:trPr>
        <w:tc>
          <w:tcPr>
            <w:tcW w:w="4315" w:type="dxa"/>
          </w:tcPr>
          <w:p w14:paraId="58DCB2AB" w14:textId="7BF55A18" w:rsidR="00F83406" w:rsidRPr="004D117D" w:rsidRDefault="00F83406" w:rsidP="00F83406">
            <w:pPr>
              <w:pStyle w:val="BodyText"/>
              <w:ind w:left="144"/>
              <w:rPr>
                <w:rFonts w:asciiTheme="minorHAnsi" w:hAnsiTheme="minorHAnsi"/>
              </w:rPr>
            </w:pPr>
            <w:r w:rsidRPr="004D117D">
              <w:rPr>
                <w:rFonts w:asciiTheme="minorHAnsi" w:hAnsiTheme="minorHAnsi"/>
              </w:rPr>
              <w:t>Charlton</w:t>
            </w:r>
          </w:p>
        </w:tc>
        <w:tc>
          <w:tcPr>
            <w:tcW w:w="1800" w:type="dxa"/>
          </w:tcPr>
          <w:p w14:paraId="62990C83"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43%</w:t>
            </w:r>
          </w:p>
        </w:tc>
        <w:tc>
          <w:tcPr>
            <w:tcW w:w="1800" w:type="dxa"/>
          </w:tcPr>
          <w:p w14:paraId="679C2BCF" w14:textId="36BBE963" w:rsidR="00F83406" w:rsidRPr="004D117D" w:rsidRDefault="00F83406" w:rsidP="00F83406">
            <w:pPr>
              <w:pStyle w:val="BodyText"/>
              <w:jc w:val="center"/>
              <w:rPr>
                <w:rFonts w:asciiTheme="minorHAnsi" w:hAnsiTheme="minorHAnsi"/>
              </w:rPr>
            </w:pPr>
            <w:r w:rsidRPr="004D117D">
              <w:rPr>
                <w:rFonts w:asciiTheme="minorHAnsi" w:hAnsiTheme="minorHAnsi"/>
              </w:rPr>
              <w:t>43%</w:t>
            </w:r>
          </w:p>
        </w:tc>
      </w:tr>
      <w:tr w:rsidR="00F83406" w:rsidRPr="0069277C" w14:paraId="6E1FB077" w14:textId="13198027" w:rsidTr="00B451A1">
        <w:trPr>
          <w:cantSplit/>
          <w:trHeight w:val="300"/>
        </w:trPr>
        <w:tc>
          <w:tcPr>
            <w:tcW w:w="4315" w:type="dxa"/>
          </w:tcPr>
          <w:p w14:paraId="767B2AA3" w14:textId="2C4524D4" w:rsidR="00F83406" w:rsidRPr="004D117D" w:rsidRDefault="00F83406" w:rsidP="00F83406">
            <w:pPr>
              <w:pStyle w:val="BodyText"/>
              <w:ind w:left="144"/>
              <w:rPr>
                <w:rFonts w:asciiTheme="minorHAnsi" w:hAnsiTheme="minorHAnsi"/>
              </w:rPr>
            </w:pPr>
            <w:r w:rsidRPr="004D117D">
              <w:rPr>
                <w:rFonts w:asciiTheme="minorHAnsi" w:hAnsiTheme="minorHAnsi"/>
              </w:rPr>
              <w:t>Sturbridge</w:t>
            </w:r>
          </w:p>
        </w:tc>
        <w:tc>
          <w:tcPr>
            <w:tcW w:w="1800" w:type="dxa"/>
          </w:tcPr>
          <w:p w14:paraId="1B3397D9"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11%</w:t>
            </w:r>
          </w:p>
        </w:tc>
        <w:tc>
          <w:tcPr>
            <w:tcW w:w="1800" w:type="dxa"/>
          </w:tcPr>
          <w:p w14:paraId="51BF7ACA" w14:textId="61F54657" w:rsidR="00F83406" w:rsidRPr="004D117D" w:rsidRDefault="00F83406" w:rsidP="00F83406">
            <w:pPr>
              <w:pStyle w:val="BodyText"/>
              <w:jc w:val="center"/>
              <w:rPr>
                <w:rFonts w:asciiTheme="minorHAnsi" w:hAnsiTheme="minorHAnsi"/>
              </w:rPr>
            </w:pPr>
            <w:r w:rsidRPr="004D117D">
              <w:rPr>
                <w:rFonts w:asciiTheme="minorHAnsi" w:hAnsiTheme="minorHAnsi"/>
              </w:rPr>
              <w:t>11%</w:t>
            </w:r>
          </w:p>
        </w:tc>
      </w:tr>
      <w:tr w:rsidR="00F83406" w:rsidRPr="0069277C" w14:paraId="0ED56D17" w14:textId="2FE08569" w:rsidTr="00B451A1">
        <w:trPr>
          <w:cantSplit/>
          <w:trHeight w:val="300"/>
        </w:trPr>
        <w:tc>
          <w:tcPr>
            <w:tcW w:w="4315" w:type="dxa"/>
          </w:tcPr>
          <w:p w14:paraId="2607A86F" w14:textId="0623126F" w:rsidR="00F83406" w:rsidRPr="004D117D" w:rsidRDefault="00F83406" w:rsidP="00F83406">
            <w:pPr>
              <w:pStyle w:val="BodyText"/>
              <w:ind w:left="144"/>
              <w:rPr>
                <w:rFonts w:asciiTheme="minorHAnsi" w:hAnsiTheme="minorHAnsi"/>
              </w:rPr>
            </w:pPr>
            <w:r w:rsidRPr="004D117D">
              <w:rPr>
                <w:rFonts w:asciiTheme="minorHAnsi" w:hAnsiTheme="minorHAnsi"/>
              </w:rPr>
              <w:t>Southbridge</w:t>
            </w:r>
          </w:p>
        </w:tc>
        <w:tc>
          <w:tcPr>
            <w:tcW w:w="1800" w:type="dxa"/>
          </w:tcPr>
          <w:p w14:paraId="499983B1"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8%</w:t>
            </w:r>
          </w:p>
        </w:tc>
        <w:tc>
          <w:tcPr>
            <w:tcW w:w="1800" w:type="dxa"/>
          </w:tcPr>
          <w:p w14:paraId="180442C0" w14:textId="19986D78" w:rsidR="00F83406" w:rsidRPr="004D117D" w:rsidRDefault="00F83406" w:rsidP="00F83406">
            <w:pPr>
              <w:pStyle w:val="BodyText"/>
              <w:jc w:val="center"/>
              <w:rPr>
                <w:rFonts w:asciiTheme="minorHAnsi" w:hAnsiTheme="minorHAnsi"/>
              </w:rPr>
            </w:pPr>
            <w:r w:rsidRPr="004D117D">
              <w:rPr>
                <w:rFonts w:asciiTheme="minorHAnsi" w:hAnsiTheme="minorHAnsi"/>
              </w:rPr>
              <w:t>8%</w:t>
            </w:r>
          </w:p>
        </w:tc>
      </w:tr>
      <w:tr w:rsidR="00F83406" w:rsidRPr="0069277C" w14:paraId="65AF08EE" w14:textId="2AB307E2" w:rsidTr="00B451A1">
        <w:trPr>
          <w:cantSplit/>
          <w:trHeight w:val="300"/>
        </w:trPr>
        <w:tc>
          <w:tcPr>
            <w:tcW w:w="4315" w:type="dxa"/>
          </w:tcPr>
          <w:p w14:paraId="099CF6A7" w14:textId="429757FC" w:rsidR="00F83406" w:rsidRPr="004D117D" w:rsidRDefault="00F83406" w:rsidP="00F83406">
            <w:pPr>
              <w:pStyle w:val="BodyText"/>
              <w:ind w:left="144"/>
              <w:rPr>
                <w:rFonts w:asciiTheme="minorHAnsi" w:hAnsiTheme="minorHAnsi"/>
              </w:rPr>
            </w:pPr>
            <w:r w:rsidRPr="004D117D">
              <w:rPr>
                <w:rFonts w:asciiTheme="minorHAnsi" w:hAnsiTheme="minorHAnsi"/>
              </w:rPr>
              <w:t>Dudley</w:t>
            </w:r>
          </w:p>
        </w:tc>
        <w:tc>
          <w:tcPr>
            <w:tcW w:w="1800" w:type="dxa"/>
          </w:tcPr>
          <w:p w14:paraId="7E7755D8"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7%</w:t>
            </w:r>
          </w:p>
        </w:tc>
        <w:tc>
          <w:tcPr>
            <w:tcW w:w="1800" w:type="dxa"/>
          </w:tcPr>
          <w:p w14:paraId="43FA37CA" w14:textId="07AC63B9" w:rsidR="00F83406" w:rsidRPr="004D117D" w:rsidRDefault="00F83406" w:rsidP="00F83406">
            <w:pPr>
              <w:pStyle w:val="BodyText"/>
              <w:jc w:val="center"/>
              <w:rPr>
                <w:rFonts w:asciiTheme="minorHAnsi" w:hAnsiTheme="minorHAnsi"/>
              </w:rPr>
            </w:pPr>
            <w:r w:rsidRPr="004D117D">
              <w:rPr>
                <w:rFonts w:asciiTheme="minorHAnsi" w:hAnsiTheme="minorHAnsi"/>
              </w:rPr>
              <w:t>7%</w:t>
            </w:r>
          </w:p>
        </w:tc>
      </w:tr>
      <w:tr w:rsidR="00F83406" w:rsidRPr="0069277C" w14:paraId="14A1CB99" w14:textId="089DB321" w:rsidTr="00B451A1">
        <w:trPr>
          <w:cantSplit/>
          <w:trHeight w:val="300"/>
        </w:trPr>
        <w:tc>
          <w:tcPr>
            <w:tcW w:w="4315" w:type="dxa"/>
          </w:tcPr>
          <w:p w14:paraId="74344757" w14:textId="54CCF7B5" w:rsidR="00F83406" w:rsidRPr="004D117D" w:rsidRDefault="00F83406" w:rsidP="00F83406">
            <w:pPr>
              <w:pStyle w:val="BodyText"/>
              <w:ind w:left="144"/>
              <w:rPr>
                <w:rFonts w:asciiTheme="minorHAnsi" w:hAnsiTheme="minorHAnsi"/>
              </w:rPr>
            </w:pPr>
            <w:r w:rsidRPr="004D117D">
              <w:rPr>
                <w:rFonts w:asciiTheme="minorHAnsi" w:hAnsiTheme="minorHAnsi"/>
              </w:rPr>
              <w:t>Webster</w:t>
            </w:r>
          </w:p>
        </w:tc>
        <w:tc>
          <w:tcPr>
            <w:tcW w:w="1800" w:type="dxa"/>
          </w:tcPr>
          <w:p w14:paraId="108DC06A"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7%</w:t>
            </w:r>
          </w:p>
        </w:tc>
        <w:tc>
          <w:tcPr>
            <w:tcW w:w="1800" w:type="dxa"/>
          </w:tcPr>
          <w:p w14:paraId="760C6E1F" w14:textId="7B7A5C7D" w:rsidR="00F83406" w:rsidRPr="004D117D" w:rsidRDefault="00F83406" w:rsidP="00F83406">
            <w:pPr>
              <w:pStyle w:val="BodyText"/>
              <w:jc w:val="center"/>
              <w:rPr>
                <w:rFonts w:asciiTheme="minorHAnsi" w:hAnsiTheme="minorHAnsi"/>
              </w:rPr>
            </w:pPr>
            <w:r w:rsidRPr="004D117D">
              <w:rPr>
                <w:rFonts w:asciiTheme="minorHAnsi" w:hAnsiTheme="minorHAnsi"/>
              </w:rPr>
              <w:t>7%</w:t>
            </w:r>
          </w:p>
        </w:tc>
      </w:tr>
      <w:tr w:rsidR="00F83406" w:rsidRPr="0069277C" w14:paraId="4199336A" w14:textId="2129A71C" w:rsidTr="00B451A1">
        <w:trPr>
          <w:cantSplit/>
          <w:trHeight w:val="300"/>
        </w:trPr>
        <w:tc>
          <w:tcPr>
            <w:tcW w:w="4315" w:type="dxa"/>
          </w:tcPr>
          <w:p w14:paraId="4546A0F2" w14:textId="4BD0507B" w:rsidR="00F83406" w:rsidRPr="004D117D" w:rsidRDefault="00F83406" w:rsidP="00F83406">
            <w:pPr>
              <w:pStyle w:val="BodyText"/>
              <w:ind w:left="144"/>
              <w:rPr>
                <w:rFonts w:asciiTheme="minorHAnsi" w:hAnsiTheme="minorHAnsi"/>
              </w:rPr>
            </w:pPr>
            <w:r w:rsidRPr="004D117D">
              <w:rPr>
                <w:rFonts w:asciiTheme="minorHAnsi" w:hAnsiTheme="minorHAnsi"/>
              </w:rPr>
              <w:t>Oxford</w:t>
            </w:r>
          </w:p>
        </w:tc>
        <w:tc>
          <w:tcPr>
            <w:tcW w:w="1800" w:type="dxa"/>
          </w:tcPr>
          <w:p w14:paraId="2FF9619D"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4%</w:t>
            </w:r>
          </w:p>
        </w:tc>
        <w:tc>
          <w:tcPr>
            <w:tcW w:w="1800" w:type="dxa"/>
          </w:tcPr>
          <w:p w14:paraId="74589085" w14:textId="203B0EAA" w:rsidR="00F83406" w:rsidRPr="004D117D" w:rsidRDefault="00F83406" w:rsidP="00F83406">
            <w:pPr>
              <w:pStyle w:val="BodyText"/>
              <w:jc w:val="center"/>
              <w:rPr>
                <w:rFonts w:asciiTheme="minorHAnsi" w:hAnsiTheme="minorHAnsi"/>
              </w:rPr>
            </w:pPr>
            <w:r w:rsidRPr="004D117D">
              <w:rPr>
                <w:rFonts w:asciiTheme="minorHAnsi" w:hAnsiTheme="minorHAnsi"/>
              </w:rPr>
              <w:t>4%</w:t>
            </w:r>
          </w:p>
        </w:tc>
      </w:tr>
      <w:tr w:rsidR="00F83406" w:rsidRPr="0069277C" w14:paraId="733BF959" w14:textId="60C854DD" w:rsidTr="00B451A1">
        <w:trPr>
          <w:cantSplit/>
          <w:trHeight w:val="300"/>
        </w:trPr>
        <w:tc>
          <w:tcPr>
            <w:tcW w:w="4315" w:type="dxa"/>
          </w:tcPr>
          <w:p w14:paraId="0A301FAE" w14:textId="5579BFA6" w:rsidR="00F83406" w:rsidRPr="004D117D" w:rsidRDefault="00F83406" w:rsidP="00F83406">
            <w:pPr>
              <w:pStyle w:val="BodyText"/>
              <w:ind w:left="144"/>
              <w:rPr>
                <w:rFonts w:asciiTheme="minorHAnsi" w:hAnsiTheme="minorHAnsi"/>
              </w:rPr>
            </w:pPr>
            <w:r w:rsidRPr="004D117D">
              <w:rPr>
                <w:rFonts w:asciiTheme="minorHAnsi" w:hAnsiTheme="minorHAnsi"/>
              </w:rPr>
              <w:t>North Brookfield</w:t>
            </w:r>
          </w:p>
        </w:tc>
        <w:tc>
          <w:tcPr>
            <w:tcW w:w="1800" w:type="dxa"/>
          </w:tcPr>
          <w:p w14:paraId="760940AE" w14:textId="77777777" w:rsidR="00F83406" w:rsidRPr="004D117D" w:rsidRDefault="00F83406" w:rsidP="00F83406">
            <w:pPr>
              <w:pStyle w:val="BodyText"/>
              <w:jc w:val="center"/>
              <w:rPr>
                <w:rFonts w:asciiTheme="minorHAnsi" w:hAnsiTheme="minorHAnsi"/>
              </w:rPr>
            </w:pPr>
            <w:r w:rsidRPr="004D117D">
              <w:rPr>
                <w:rFonts w:asciiTheme="minorHAnsi" w:hAnsiTheme="minorHAnsi"/>
              </w:rPr>
              <w:t>3%</w:t>
            </w:r>
          </w:p>
        </w:tc>
        <w:tc>
          <w:tcPr>
            <w:tcW w:w="1800" w:type="dxa"/>
          </w:tcPr>
          <w:p w14:paraId="2D6CA562" w14:textId="14AE4EED" w:rsidR="00F83406" w:rsidRPr="004D117D" w:rsidRDefault="00F83406" w:rsidP="00F83406">
            <w:pPr>
              <w:pStyle w:val="BodyText"/>
              <w:jc w:val="center"/>
              <w:rPr>
                <w:rFonts w:asciiTheme="minorHAnsi" w:hAnsiTheme="minorHAnsi"/>
              </w:rPr>
            </w:pPr>
            <w:r w:rsidRPr="004D117D">
              <w:rPr>
                <w:rFonts w:asciiTheme="minorHAnsi" w:hAnsiTheme="minorHAnsi"/>
              </w:rPr>
              <w:t>3%</w:t>
            </w:r>
          </w:p>
        </w:tc>
      </w:tr>
      <w:tr w:rsidR="00F83406" w:rsidRPr="0069277C" w14:paraId="2F7D9890" w14:textId="19CC5A45" w:rsidTr="00B451A1">
        <w:trPr>
          <w:cantSplit/>
          <w:trHeight w:val="300"/>
        </w:trPr>
        <w:tc>
          <w:tcPr>
            <w:tcW w:w="4315" w:type="dxa"/>
          </w:tcPr>
          <w:p w14:paraId="270C1B1B" w14:textId="5CB78B3C" w:rsidR="00F83406" w:rsidRPr="004D117D" w:rsidRDefault="00F83406" w:rsidP="00F83406">
            <w:pPr>
              <w:pStyle w:val="BodyText"/>
              <w:ind w:left="144"/>
              <w:rPr>
                <w:rFonts w:asciiTheme="minorHAnsi" w:hAnsiTheme="minorHAnsi"/>
              </w:rPr>
            </w:pPr>
            <w:r w:rsidRPr="004D117D">
              <w:rPr>
                <w:rFonts w:asciiTheme="minorHAnsi" w:hAnsiTheme="minorHAnsi"/>
              </w:rPr>
              <w:t xml:space="preserve">Total </w:t>
            </w:r>
          </w:p>
        </w:tc>
        <w:tc>
          <w:tcPr>
            <w:tcW w:w="1800" w:type="dxa"/>
          </w:tcPr>
          <w:p w14:paraId="1F3AE1A9" w14:textId="77777777" w:rsidR="00F83406" w:rsidRPr="004D117D" w:rsidRDefault="00F83406" w:rsidP="00F83406">
            <w:pPr>
              <w:pStyle w:val="BodyText"/>
              <w:jc w:val="center"/>
              <w:rPr>
                <w:rFonts w:asciiTheme="minorHAnsi" w:hAnsiTheme="minorHAnsi"/>
              </w:rPr>
            </w:pPr>
            <w:r w:rsidRPr="004D117D">
              <w:rPr>
                <w:rFonts w:asciiTheme="minorHAnsi" w:hAnsiTheme="minorHAnsi"/>
              </w:rPr>
              <w:fldChar w:fldCharType="begin"/>
            </w:r>
            <w:r w:rsidRPr="004D117D">
              <w:rPr>
                <w:rFonts w:asciiTheme="minorHAnsi" w:hAnsiTheme="minorHAnsi"/>
              </w:rPr>
              <w:instrText xml:space="preserve"> =SUM(ABOVE)*100 \# "0.00%" </w:instrText>
            </w:r>
            <w:r w:rsidRPr="004D117D">
              <w:rPr>
                <w:rFonts w:asciiTheme="minorHAnsi" w:hAnsiTheme="minorHAnsi"/>
              </w:rPr>
              <w:fldChar w:fldCharType="separate"/>
            </w:r>
            <w:r w:rsidRPr="004D117D">
              <w:rPr>
                <w:rFonts w:asciiTheme="minorHAnsi" w:hAnsiTheme="minorHAnsi"/>
              </w:rPr>
              <w:t>83%</w:t>
            </w:r>
            <w:r w:rsidRPr="004D117D">
              <w:rPr>
                <w:rFonts w:asciiTheme="minorHAnsi" w:hAnsiTheme="minorHAnsi"/>
              </w:rPr>
              <w:fldChar w:fldCharType="end"/>
            </w:r>
          </w:p>
        </w:tc>
        <w:tc>
          <w:tcPr>
            <w:tcW w:w="1800" w:type="dxa"/>
          </w:tcPr>
          <w:p w14:paraId="39C6395F" w14:textId="7E16924A" w:rsidR="00F83406" w:rsidRPr="004D117D" w:rsidRDefault="00F83406" w:rsidP="00F83406">
            <w:pPr>
              <w:pStyle w:val="BodyText"/>
              <w:jc w:val="center"/>
              <w:rPr>
                <w:rFonts w:asciiTheme="minorHAnsi" w:hAnsiTheme="minorHAnsi"/>
              </w:rPr>
            </w:pPr>
            <w:r w:rsidRPr="004D117D">
              <w:rPr>
                <w:rFonts w:asciiTheme="minorHAnsi" w:hAnsiTheme="minorHAnsi"/>
              </w:rPr>
              <w:fldChar w:fldCharType="begin"/>
            </w:r>
            <w:r w:rsidRPr="004D117D">
              <w:rPr>
                <w:rFonts w:asciiTheme="minorHAnsi" w:hAnsiTheme="minorHAnsi"/>
              </w:rPr>
              <w:instrText xml:space="preserve"> =SUM(ABOVE)*100 \# "0.00%" </w:instrText>
            </w:r>
            <w:r w:rsidRPr="004D117D">
              <w:rPr>
                <w:rFonts w:asciiTheme="minorHAnsi" w:hAnsiTheme="minorHAnsi"/>
              </w:rPr>
              <w:fldChar w:fldCharType="separate"/>
            </w:r>
            <w:r w:rsidRPr="004D117D">
              <w:rPr>
                <w:rFonts w:asciiTheme="minorHAnsi" w:hAnsiTheme="minorHAnsi"/>
              </w:rPr>
              <w:t>83%</w:t>
            </w:r>
            <w:r w:rsidRPr="004D117D">
              <w:rPr>
                <w:rFonts w:asciiTheme="minorHAnsi" w:hAnsiTheme="minorHAnsi"/>
              </w:rPr>
              <w:fldChar w:fldCharType="end"/>
            </w:r>
          </w:p>
        </w:tc>
      </w:tr>
      <w:tr w:rsidR="00F83406" w:rsidRPr="0069277C" w14:paraId="291087DE" w14:textId="01AC57DB" w:rsidTr="00B451A1">
        <w:trPr>
          <w:cantSplit/>
          <w:trHeight w:val="300"/>
        </w:trPr>
        <w:tc>
          <w:tcPr>
            <w:tcW w:w="4315" w:type="dxa"/>
            <w:shd w:val="clear" w:color="auto" w:fill="F2F2F2" w:themeFill="background1" w:themeFillShade="F2"/>
          </w:tcPr>
          <w:p w14:paraId="1CFA3872" w14:textId="50C9E220" w:rsidR="00F83406" w:rsidRPr="004D117D" w:rsidRDefault="00F83406" w:rsidP="00F83406">
            <w:pPr>
              <w:pStyle w:val="BodyText"/>
              <w:rPr>
                <w:rFonts w:asciiTheme="minorHAnsi" w:hAnsiTheme="minorHAnsi"/>
                <w:b/>
              </w:rPr>
            </w:pPr>
            <w:bookmarkStart w:id="3" w:name="_Hlk162246947"/>
            <w:r w:rsidRPr="004D117D">
              <w:rPr>
                <w:rFonts w:asciiTheme="minorHAnsi" w:hAnsiTheme="minorHAnsi"/>
                <w:b/>
              </w:rPr>
              <w:t>Payer Mix</w:t>
            </w:r>
            <w:r>
              <w:rPr>
                <w:rStyle w:val="FootnoteReference"/>
                <w:rFonts w:asciiTheme="minorHAnsi" w:hAnsiTheme="minorHAnsi"/>
                <w:b/>
              </w:rPr>
              <w:footnoteReference w:id="7"/>
            </w:r>
          </w:p>
        </w:tc>
        <w:tc>
          <w:tcPr>
            <w:tcW w:w="1800" w:type="dxa"/>
            <w:shd w:val="clear" w:color="auto" w:fill="F2F2F2" w:themeFill="background1" w:themeFillShade="F2"/>
          </w:tcPr>
          <w:p w14:paraId="46543F63" w14:textId="66297E50" w:rsidR="00F83406" w:rsidRPr="004D117D" w:rsidRDefault="00F83406" w:rsidP="00F83406">
            <w:pPr>
              <w:pStyle w:val="BodyText"/>
              <w:jc w:val="right"/>
              <w:rPr>
                <w:rFonts w:asciiTheme="minorHAnsi" w:hAnsiTheme="minorHAnsi"/>
              </w:rPr>
            </w:pPr>
          </w:p>
        </w:tc>
        <w:tc>
          <w:tcPr>
            <w:tcW w:w="1800" w:type="dxa"/>
            <w:shd w:val="clear" w:color="auto" w:fill="F2F2F2" w:themeFill="background1" w:themeFillShade="F2"/>
          </w:tcPr>
          <w:p w14:paraId="556B8E17" w14:textId="60DFB840" w:rsidR="00F83406" w:rsidRPr="004D117D" w:rsidRDefault="00F83406" w:rsidP="00F83406">
            <w:pPr>
              <w:pStyle w:val="BodyText"/>
              <w:jc w:val="right"/>
              <w:rPr>
                <w:rFonts w:asciiTheme="minorHAnsi" w:hAnsiTheme="minorHAnsi"/>
              </w:rPr>
            </w:pPr>
          </w:p>
        </w:tc>
      </w:tr>
      <w:tr w:rsidR="00F83406" w:rsidRPr="0069277C" w14:paraId="6CB4FED6" w14:textId="18129D6E" w:rsidTr="00B451A1">
        <w:trPr>
          <w:cantSplit/>
          <w:trHeight w:val="300"/>
        </w:trPr>
        <w:tc>
          <w:tcPr>
            <w:tcW w:w="4315" w:type="dxa"/>
          </w:tcPr>
          <w:p w14:paraId="7EBF0201" w14:textId="2F686766" w:rsidR="00F83406" w:rsidRPr="004D117D" w:rsidRDefault="00F83406" w:rsidP="00F83406">
            <w:pPr>
              <w:pStyle w:val="BodyText"/>
              <w:ind w:left="144"/>
              <w:rPr>
                <w:rFonts w:asciiTheme="minorHAnsi" w:hAnsiTheme="minorHAnsi"/>
              </w:rPr>
            </w:pPr>
            <w:r w:rsidRPr="004D117D">
              <w:rPr>
                <w:rFonts w:asciiTheme="minorHAnsi" w:hAnsiTheme="minorHAnsi"/>
              </w:rPr>
              <w:t>Commercial</w:t>
            </w:r>
          </w:p>
        </w:tc>
        <w:tc>
          <w:tcPr>
            <w:tcW w:w="1800" w:type="dxa"/>
          </w:tcPr>
          <w:p w14:paraId="00BCD362" w14:textId="42FC6F77" w:rsidR="00F83406" w:rsidRPr="004D117D" w:rsidRDefault="00F83406" w:rsidP="00F83406">
            <w:pPr>
              <w:pStyle w:val="BodyText"/>
              <w:jc w:val="right"/>
              <w:rPr>
                <w:rFonts w:asciiTheme="minorHAnsi" w:hAnsiTheme="minorHAnsi"/>
              </w:rPr>
            </w:pPr>
            <w:r w:rsidRPr="004D117D">
              <w:rPr>
                <w:rFonts w:asciiTheme="minorHAnsi" w:hAnsiTheme="minorHAnsi"/>
              </w:rPr>
              <w:t>15%</w:t>
            </w:r>
          </w:p>
        </w:tc>
        <w:tc>
          <w:tcPr>
            <w:tcW w:w="1800" w:type="dxa"/>
          </w:tcPr>
          <w:p w14:paraId="6706032F" w14:textId="4977E82B" w:rsidR="00F83406" w:rsidRPr="004D117D" w:rsidRDefault="00F83406" w:rsidP="00F83406">
            <w:pPr>
              <w:pStyle w:val="BodyText"/>
              <w:jc w:val="right"/>
              <w:rPr>
                <w:rFonts w:asciiTheme="minorHAnsi" w:hAnsiTheme="minorHAnsi"/>
              </w:rPr>
            </w:pPr>
            <w:r w:rsidRPr="004D117D">
              <w:rPr>
                <w:rFonts w:asciiTheme="minorHAnsi" w:hAnsiTheme="minorHAnsi"/>
              </w:rPr>
              <w:t>8%</w:t>
            </w:r>
          </w:p>
        </w:tc>
      </w:tr>
      <w:tr w:rsidR="00F83406" w:rsidRPr="0069277C" w14:paraId="1C92FF8A" w14:textId="2F1F66BB" w:rsidTr="00B451A1">
        <w:trPr>
          <w:cantSplit/>
          <w:trHeight w:val="300"/>
        </w:trPr>
        <w:tc>
          <w:tcPr>
            <w:tcW w:w="4315" w:type="dxa"/>
          </w:tcPr>
          <w:p w14:paraId="25A89DA0" w14:textId="10E775FC" w:rsidR="00F83406" w:rsidRPr="004D117D" w:rsidRDefault="00F83406" w:rsidP="00F83406">
            <w:pPr>
              <w:pStyle w:val="BodyText"/>
              <w:ind w:left="144"/>
              <w:rPr>
                <w:rFonts w:asciiTheme="minorHAnsi" w:hAnsiTheme="minorHAnsi"/>
              </w:rPr>
            </w:pPr>
            <w:r w:rsidRPr="004D117D">
              <w:rPr>
                <w:rFonts w:asciiTheme="minorHAnsi" w:hAnsiTheme="minorHAnsi"/>
              </w:rPr>
              <w:lastRenderedPageBreak/>
              <w:t>Medicare Fee-For-Service (FFS)</w:t>
            </w:r>
          </w:p>
        </w:tc>
        <w:tc>
          <w:tcPr>
            <w:tcW w:w="1800" w:type="dxa"/>
          </w:tcPr>
          <w:p w14:paraId="50B3CB81" w14:textId="6C23101C" w:rsidR="00F83406" w:rsidRPr="004D117D" w:rsidRDefault="00F83406" w:rsidP="00F83406">
            <w:pPr>
              <w:pStyle w:val="BodyText"/>
              <w:jc w:val="right"/>
              <w:rPr>
                <w:rFonts w:asciiTheme="minorHAnsi" w:hAnsiTheme="minorHAnsi"/>
              </w:rPr>
            </w:pPr>
            <w:r w:rsidRPr="004D117D">
              <w:rPr>
                <w:rFonts w:asciiTheme="minorHAnsi" w:hAnsiTheme="minorHAnsi"/>
              </w:rPr>
              <w:t>56%</w:t>
            </w:r>
          </w:p>
        </w:tc>
        <w:tc>
          <w:tcPr>
            <w:tcW w:w="1800" w:type="dxa"/>
          </w:tcPr>
          <w:p w14:paraId="7FC10E18" w14:textId="33892363" w:rsidR="00F83406" w:rsidRPr="004D117D" w:rsidRDefault="00F83406" w:rsidP="00F83406">
            <w:pPr>
              <w:pStyle w:val="BodyText"/>
              <w:jc w:val="right"/>
              <w:rPr>
                <w:rFonts w:asciiTheme="minorHAnsi" w:hAnsiTheme="minorHAnsi"/>
              </w:rPr>
            </w:pPr>
            <w:r w:rsidRPr="004D117D">
              <w:rPr>
                <w:rFonts w:asciiTheme="minorHAnsi" w:hAnsiTheme="minorHAnsi"/>
              </w:rPr>
              <w:t>5%</w:t>
            </w:r>
          </w:p>
        </w:tc>
      </w:tr>
      <w:tr w:rsidR="00F83406" w:rsidRPr="0069277C" w14:paraId="4B5C6861" w14:textId="26C9562F" w:rsidTr="00B451A1">
        <w:trPr>
          <w:cantSplit/>
          <w:trHeight w:val="300"/>
        </w:trPr>
        <w:tc>
          <w:tcPr>
            <w:tcW w:w="4315" w:type="dxa"/>
          </w:tcPr>
          <w:p w14:paraId="1B0F1060" w14:textId="2A98DD6C" w:rsidR="00F83406" w:rsidRPr="004D117D" w:rsidRDefault="00F83406" w:rsidP="00F83406">
            <w:pPr>
              <w:pStyle w:val="BodyText"/>
              <w:rPr>
                <w:rFonts w:asciiTheme="minorHAnsi" w:hAnsiTheme="minorHAnsi"/>
              </w:rPr>
            </w:pPr>
            <w:r w:rsidRPr="004D117D">
              <w:rPr>
                <w:rFonts w:asciiTheme="minorHAnsi" w:hAnsiTheme="minorHAnsi"/>
                <w:b/>
              </w:rPr>
              <w:t xml:space="preserve">   </w:t>
            </w:r>
            <w:r w:rsidRPr="004D117D">
              <w:rPr>
                <w:rFonts w:asciiTheme="minorHAnsi" w:hAnsiTheme="minorHAnsi"/>
              </w:rPr>
              <w:t xml:space="preserve">Managed Medicare </w:t>
            </w:r>
          </w:p>
        </w:tc>
        <w:tc>
          <w:tcPr>
            <w:tcW w:w="1800" w:type="dxa"/>
          </w:tcPr>
          <w:p w14:paraId="2BF40479" w14:textId="728B26CE" w:rsidR="00F83406" w:rsidRPr="004D117D" w:rsidRDefault="00F83406" w:rsidP="00F83406">
            <w:pPr>
              <w:pStyle w:val="BodyText"/>
              <w:jc w:val="right"/>
              <w:rPr>
                <w:rFonts w:asciiTheme="minorHAnsi" w:hAnsiTheme="minorHAnsi"/>
              </w:rPr>
            </w:pPr>
            <w:r w:rsidRPr="004D117D">
              <w:rPr>
                <w:rFonts w:asciiTheme="minorHAnsi" w:hAnsiTheme="minorHAnsi"/>
              </w:rPr>
              <w:t>14%</w:t>
            </w:r>
          </w:p>
        </w:tc>
        <w:tc>
          <w:tcPr>
            <w:tcW w:w="1800" w:type="dxa"/>
          </w:tcPr>
          <w:p w14:paraId="7C9EEE7A" w14:textId="022D8163" w:rsidR="00F83406" w:rsidRPr="004D117D" w:rsidRDefault="00F83406" w:rsidP="00F83406">
            <w:pPr>
              <w:pStyle w:val="BodyText"/>
              <w:jc w:val="right"/>
              <w:rPr>
                <w:rFonts w:asciiTheme="minorHAnsi" w:hAnsiTheme="minorHAnsi"/>
              </w:rPr>
            </w:pPr>
            <w:r w:rsidRPr="004D117D">
              <w:rPr>
                <w:rFonts w:asciiTheme="minorHAnsi" w:hAnsiTheme="minorHAnsi"/>
              </w:rPr>
              <w:t>0%</w:t>
            </w:r>
          </w:p>
        </w:tc>
      </w:tr>
      <w:tr w:rsidR="00F83406" w:rsidRPr="0069277C" w14:paraId="4D284512" w14:textId="32EB1BA4" w:rsidTr="00B451A1">
        <w:trPr>
          <w:cantSplit/>
          <w:trHeight w:val="300"/>
        </w:trPr>
        <w:tc>
          <w:tcPr>
            <w:tcW w:w="4315" w:type="dxa"/>
          </w:tcPr>
          <w:p w14:paraId="74F3C682" w14:textId="2436BD54" w:rsidR="00F83406" w:rsidRPr="004D117D" w:rsidRDefault="00F83406" w:rsidP="00F83406">
            <w:pPr>
              <w:pStyle w:val="BodyText"/>
              <w:ind w:left="144"/>
              <w:rPr>
                <w:rFonts w:asciiTheme="minorHAnsi" w:hAnsiTheme="minorHAnsi"/>
              </w:rPr>
            </w:pPr>
            <w:r w:rsidRPr="004D117D">
              <w:rPr>
                <w:rFonts w:asciiTheme="minorHAnsi" w:hAnsiTheme="minorHAnsi"/>
              </w:rPr>
              <w:t xml:space="preserve">Medicaid </w:t>
            </w:r>
          </w:p>
        </w:tc>
        <w:tc>
          <w:tcPr>
            <w:tcW w:w="1800" w:type="dxa"/>
          </w:tcPr>
          <w:p w14:paraId="47135ECA" w14:textId="11B2D551" w:rsidR="00F83406" w:rsidRPr="004D117D" w:rsidRDefault="00F83406" w:rsidP="00F83406">
            <w:pPr>
              <w:pStyle w:val="BodyText"/>
              <w:jc w:val="right"/>
              <w:rPr>
                <w:rFonts w:asciiTheme="minorHAnsi" w:hAnsiTheme="minorHAnsi"/>
              </w:rPr>
            </w:pPr>
            <w:r w:rsidRPr="004D117D">
              <w:rPr>
                <w:rFonts w:asciiTheme="minorHAnsi" w:hAnsiTheme="minorHAnsi"/>
              </w:rPr>
              <w:t>7%</w:t>
            </w:r>
          </w:p>
        </w:tc>
        <w:tc>
          <w:tcPr>
            <w:tcW w:w="1800" w:type="dxa"/>
          </w:tcPr>
          <w:p w14:paraId="21E44D80" w14:textId="7BBA3E0B" w:rsidR="00F83406" w:rsidRPr="004D117D" w:rsidRDefault="00F83406" w:rsidP="00F83406">
            <w:pPr>
              <w:pStyle w:val="BodyText"/>
              <w:jc w:val="right"/>
              <w:rPr>
                <w:rFonts w:asciiTheme="minorHAnsi" w:hAnsiTheme="minorHAnsi"/>
              </w:rPr>
            </w:pPr>
            <w:r w:rsidRPr="004D117D">
              <w:rPr>
                <w:rFonts w:asciiTheme="minorHAnsi" w:hAnsiTheme="minorHAnsi"/>
              </w:rPr>
              <w:t>45%</w:t>
            </w:r>
          </w:p>
        </w:tc>
      </w:tr>
      <w:tr w:rsidR="00F83406" w:rsidRPr="0069277C" w14:paraId="7FF74047" w14:textId="009BB1EC" w:rsidTr="00B451A1">
        <w:trPr>
          <w:cantSplit/>
          <w:trHeight w:val="300"/>
        </w:trPr>
        <w:tc>
          <w:tcPr>
            <w:tcW w:w="4315" w:type="dxa"/>
          </w:tcPr>
          <w:p w14:paraId="700348F6" w14:textId="36653DD3" w:rsidR="00F83406" w:rsidRPr="004D117D" w:rsidRDefault="00F83406" w:rsidP="00F83406">
            <w:pPr>
              <w:pStyle w:val="BodyText"/>
              <w:rPr>
                <w:rFonts w:asciiTheme="minorHAnsi" w:hAnsiTheme="minorHAnsi"/>
              </w:rPr>
            </w:pPr>
            <w:r w:rsidRPr="004D117D">
              <w:rPr>
                <w:rFonts w:asciiTheme="minorHAnsi" w:hAnsiTheme="minorHAnsi"/>
              </w:rPr>
              <w:t xml:space="preserve">   Managed Medicaid </w:t>
            </w:r>
          </w:p>
        </w:tc>
        <w:tc>
          <w:tcPr>
            <w:tcW w:w="1800" w:type="dxa"/>
          </w:tcPr>
          <w:p w14:paraId="49130186" w14:textId="06BAA8A9" w:rsidR="00F83406" w:rsidRPr="004D117D" w:rsidRDefault="00F83406" w:rsidP="00F83406">
            <w:pPr>
              <w:pStyle w:val="BodyText"/>
              <w:jc w:val="right"/>
              <w:rPr>
                <w:rFonts w:asciiTheme="minorHAnsi" w:hAnsiTheme="minorHAnsi"/>
              </w:rPr>
            </w:pPr>
            <w:r w:rsidRPr="004D117D">
              <w:rPr>
                <w:rFonts w:asciiTheme="minorHAnsi" w:hAnsiTheme="minorHAnsi"/>
              </w:rPr>
              <w:t>1%</w:t>
            </w:r>
          </w:p>
        </w:tc>
        <w:tc>
          <w:tcPr>
            <w:tcW w:w="1800" w:type="dxa"/>
          </w:tcPr>
          <w:p w14:paraId="792E4AC4" w14:textId="0B2AB62E" w:rsidR="00F83406" w:rsidRPr="004D117D" w:rsidRDefault="00F83406" w:rsidP="00F83406">
            <w:pPr>
              <w:pStyle w:val="BodyText"/>
              <w:jc w:val="right"/>
              <w:rPr>
                <w:rFonts w:asciiTheme="minorHAnsi" w:hAnsiTheme="minorHAnsi"/>
              </w:rPr>
            </w:pPr>
            <w:r w:rsidRPr="004D117D">
              <w:rPr>
                <w:rFonts w:asciiTheme="minorHAnsi" w:hAnsiTheme="minorHAnsi"/>
              </w:rPr>
              <w:t>2%</w:t>
            </w:r>
          </w:p>
        </w:tc>
      </w:tr>
      <w:tr w:rsidR="00F83406" w:rsidRPr="0069277C" w14:paraId="536B60F6" w14:textId="0232FD8E" w:rsidTr="00B451A1">
        <w:trPr>
          <w:cantSplit/>
          <w:trHeight w:val="300"/>
        </w:trPr>
        <w:tc>
          <w:tcPr>
            <w:tcW w:w="4315" w:type="dxa"/>
          </w:tcPr>
          <w:p w14:paraId="016D7D50" w14:textId="15BA74CC" w:rsidR="00F83406" w:rsidRPr="004D117D" w:rsidRDefault="00F83406" w:rsidP="00F83406">
            <w:pPr>
              <w:pStyle w:val="BodyText"/>
              <w:rPr>
                <w:rFonts w:asciiTheme="minorHAnsi" w:hAnsiTheme="minorHAnsi"/>
              </w:rPr>
            </w:pPr>
            <w:r w:rsidRPr="004D117D">
              <w:rPr>
                <w:rFonts w:asciiTheme="minorHAnsi" w:hAnsiTheme="minorHAnsi"/>
              </w:rPr>
              <w:t xml:space="preserve">   Private Pay</w:t>
            </w:r>
          </w:p>
        </w:tc>
        <w:tc>
          <w:tcPr>
            <w:tcW w:w="1800" w:type="dxa"/>
          </w:tcPr>
          <w:p w14:paraId="606D127E" w14:textId="2BAC13F0" w:rsidR="00F83406" w:rsidRPr="004D117D" w:rsidRDefault="00F83406" w:rsidP="00F83406">
            <w:pPr>
              <w:pStyle w:val="BodyText"/>
              <w:jc w:val="right"/>
              <w:rPr>
                <w:rFonts w:asciiTheme="minorHAnsi" w:hAnsiTheme="minorHAnsi"/>
              </w:rPr>
            </w:pPr>
            <w:r w:rsidRPr="004D117D">
              <w:rPr>
                <w:rFonts w:asciiTheme="minorHAnsi" w:hAnsiTheme="minorHAnsi"/>
              </w:rPr>
              <w:t>7%</w:t>
            </w:r>
          </w:p>
        </w:tc>
        <w:tc>
          <w:tcPr>
            <w:tcW w:w="1800" w:type="dxa"/>
          </w:tcPr>
          <w:p w14:paraId="30A85DEA" w14:textId="3A48495B" w:rsidR="00F83406" w:rsidRPr="004D117D" w:rsidRDefault="00F83406" w:rsidP="00F83406">
            <w:pPr>
              <w:pStyle w:val="BodyText"/>
              <w:jc w:val="right"/>
              <w:rPr>
                <w:rFonts w:asciiTheme="minorHAnsi" w:hAnsiTheme="minorHAnsi"/>
              </w:rPr>
            </w:pPr>
            <w:r w:rsidRPr="004D117D">
              <w:rPr>
                <w:rFonts w:asciiTheme="minorHAnsi" w:hAnsiTheme="minorHAnsi"/>
              </w:rPr>
              <w:t>40%</w:t>
            </w:r>
          </w:p>
        </w:tc>
      </w:tr>
      <w:tr w:rsidR="00F83406" w:rsidRPr="0069277C" w14:paraId="3C6ECFA9" w14:textId="000A6805" w:rsidTr="00B451A1">
        <w:trPr>
          <w:cantSplit/>
          <w:trHeight w:val="300"/>
        </w:trPr>
        <w:tc>
          <w:tcPr>
            <w:tcW w:w="4315" w:type="dxa"/>
          </w:tcPr>
          <w:p w14:paraId="1DF2E2F3" w14:textId="24EDDACE" w:rsidR="00F83406" w:rsidRPr="004D117D" w:rsidRDefault="00F83406" w:rsidP="00F83406">
            <w:pPr>
              <w:pStyle w:val="BodyText"/>
              <w:ind w:left="144"/>
              <w:rPr>
                <w:rFonts w:asciiTheme="minorHAnsi" w:hAnsiTheme="minorHAnsi"/>
                <w:b/>
              </w:rPr>
            </w:pPr>
            <w:r w:rsidRPr="004D117D">
              <w:rPr>
                <w:rFonts w:asciiTheme="minorHAnsi" w:hAnsiTheme="minorHAnsi"/>
              </w:rPr>
              <w:t xml:space="preserve">Total </w:t>
            </w:r>
          </w:p>
        </w:tc>
        <w:tc>
          <w:tcPr>
            <w:tcW w:w="1800" w:type="dxa"/>
          </w:tcPr>
          <w:p w14:paraId="09F94F95" w14:textId="347E125E" w:rsidR="00F83406" w:rsidRPr="004D117D" w:rsidRDefault="00F83406" w:rsidP="00F83406">
            <w:pPr>
              <w:pStyle w:val="BodyText"/>
              <w:jc w:val="right"/>
              <w:rPr>
                <w:rFonts w:asciiTheme="minorHAnsi" w:hAnsiTheme="minorHAnsi"/>
              </w:rPr>
            </w:pPr>
            <w:r w:rsidRPr="004D117D">
              <w:rPr>
                <w:rFonts w:asciiTheme="minorHAnsi" w:hAnsiTheme="minorHAnsi"/>
              </w:rPr>
              <w:t>100%</w:t>
            </w:r>
          </w:p>
        </w:tc>
        <w:tc>
          <w:tcPr>
            <w:tcW w:w="1800" w:type="dxa"/>
          </w:tcPr>
          <w:p w14:paraId="3A9D9162" w14:textId="2AA7BD00" w:rsidR="00F83406" w:rsidRPr="004D117D" w:rsidRDefault="00F83406" w:rsidP="00F83406">
            <w:pPr>
              <w:pStyle w:val="BodyText"/>
              <w:jc w:val="right"/>
              <w:rPr>
                <w:rFonts w:asciiTheme="minorHAnsi" w:hAnsiTheme="minorHAnsi"/>
              </w:rPr>
            </w:pPr>
            <w:r w:rsidRPr="004D117D">
              <w:rPr>
                <w:rFonts w:asciiTheme="minorHAnsi" w:hAnsiTheme="minorHAnsi"/>
              </w:rPr>
              <w:t>100%</w:t>
            </w:r>
          </w:p>
        </w:tc>
      </w:tr>
    </w:tbl>
    <w:p w14:paraId="51F711DA" w14:textId="5A89E1A6" w:rsidR="00C765A9" w:rsidRDefault="00C765A9" w:rsidP="00C765A9">
      <w:bookmarkStart w:id="4" w:name="Factor_1a:_Patient_Panel_Need"/>
      <w:bookmarkEnd w:id="3"/>
      <w:bookmarkEnd w:id="4"/>
    </w:p>
    <w:p w14:paraId="4DCEC9EA" w14:textId="67661316" w:rsidR="00B447F3" w:rsidRPr="003436F0" w:rsidRDefault="00F06B37" w:rsidP="008917DC">
      <w:pPr>
        <w:pStyle w:val="Heading1"/>
        <w:spacing w:before="268"/>
        <w:ind w:left="0"/>
        <w:rPr>
          <w:rFonts w:asciiTheme="minorHAnsi" w:hAnsiTheme="minorHAnsi"/>
        </w:rPr>
      </w:pPr>
      <w:bookmarkStart w:id="5" w:name="_Toc173743591"/>
      <w:r>
        <w:rPr>
          <w:rFonts w:asciiTheme="minorHAnsi" w:hAnsiTheme="minorHAnsi"/>
          <w:color w:val="42558C"/>
        </w:rPr>
        <w:t>F</w:t>
      </w:r>
      <w:r w:rsidR="00A4110F" w:rsidRPr="003436F0">
        <w:rPr>
          <w:rFonts w:asciiTheme="minorHAnsi" w:hAnsiTheme="minorHAnsi"/>
          <w:color w:val="42558C"/>
        </w:rPr>
        <w:t>actor 1a: Patient Panel Need</w:t>
      </w:r>
      <w:bookmarkEnd w:id="5"/>
    </w:p>
    <w:p w14:paraId="3F979AE8" w14:textId="77777777" w:rsidR="002760B1" w:rsidRPr="002760B1" w:rsidRDefault="002760B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5AD79A82" w14:textId="361E85EE" w:rsidR="00CA57BC" w:rsidRDefault="002760B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p>
    <w:p w14:paraId="31930ACE" w14:textId="77777777" w:rsidR="00080819" w:rsidRDefault="00080819" w:rsidP="002760B1">
      <w:pPr>
        <w:pStyle w:val="BodyText"/>
        <w:spacing w:line="269" w:lineRule="exact"/>
        <w:rPr>
          <w:rFonts w:asciiTheme="minorHAnsi" w:hAnsiTheme="minorHAnsi"/>
        </w:rPr>
      </w:pPr>
    </w:p>
    <w:p w14:paraId="23F8E4A2" w14:textId="5C544DED" w:rsidR="00080819" w:rsidRPr="00080819" w:rsidRDefault="00080819" w:rsidP="008B7AE7">
      <w:pPr>
        <w:pStyle w:val="BodyText"/>
        <w:rPr>
          <w:rFonts w:asciiTheme="minorHAnsi" w:hAnsiTheme="minorHAnsi"/>
        </w:rPr>
      </w:pPr>
      <w:r w:rsidRPr="00080819">
        <w:rPr>
          <w:rFonts w:asciiTheme="minorHAnsi" w:hAnsiTheme="minorHAnsi"/>
        </w:rPr>
        <w:t xml:space="preserve">The Applicant attributes Patient Panel need for the Proposed Project to </w:t>
      </w:r>
      <w:r w:rsidR="00B2582D">
        <w:rPr>
          <w:rFonts w:asciiTheme="minorHAnsi" w:hAnsiTheme="minorHAnsi"/>
        </w:rPr>
        <w:t>the n</w:t>
      </w:r>
      <w:r w:rsidRPr="00080819">
        <w:rPr>
          <w:rFonts w:asciiTheme="minorHAnsi" w:hAnsiTheme="minorHAnsi"/>
        </w:rPr>
        <w:t xml:space="preserve">eed to </w:t>
      </w:r>
      <w:r w:rsidR="008629E4">
        <w:rPr>
          <w:rFonts w:asciiTheme="minorHAnsi" w:hAnsiTheme="minorHAnsi"/>
        </w:rPr>
        <w:t xml:space="preserve">upgrade the </w:t>
      </w:r>
      <w:r w:rsidR="00F002BA">
        <w:rPr>
          <w:rFonts w:asciiTheme="minorHAnsi" w:hAnsiTheme="minorHAnsi"/>
        </w:rPr>
        <w:t>F</w:t>
      </w:r>
      <w:r w:rsidR="008629E4">
        <w:rPr>
          <w:rFonts w:asciiTheme="minorHAnsi" w:hAnsiTheme="minorHAnsi"/>
        </w:rPr>
        <w:t xml:space="preserve">acility in order to </w:t>
      </w:r>
      <w:r w:rsidR="000705DF">
        <w:rPr>
          <w:rFonts w:asciiTheme="minorHAnsi" w:hAnsiTheme="minorHAnsi"/>
        </w:rPr>
        <w:t>imp</w:t>
      </w:r>
      <w:r w:rsidR="00AA3C57">
        <w:rPr>
          <w:rFonts w:asciiTheme="minorHAnsi" w:hAnsiTheme="minorHAnsi"/>
        </w:rPr>
        <w:t>r</w:t>
      </w:r>
      <w:r w:rsidR="000705DF">
        <w:rPr>
          <w:rFonts w:asciiTheme="minorHAnsi" w:hAnsiTheme="minorHAnsi"/>
        </w:rPr>
        <w:t>ove</w:t>
      </w:r>
      <w:r w:rsidR="000705DF" w:rsidRPr="00080819">
        <w:rPr>
          <w:rFonts w:asciiTheme="minorHAnsi" w:hAnsiTheme="minorHAnsi"/>
        </w:rPr>
        <w:t xml:space="preserve"> </w:t>
      </w:r>
      <w:r w:rsidR="00B2582D">
        <w:rPr>
          <w:rFonts w:asciiTheme="minorHAnsi" w:hAnsiTheme="minorHAnsi"/>
        </w:rPr>
        <w:t xml:space="preserve">the provision of care, </w:t>
      </w:r>
      <w:r w:rsidRPr="00080819">
        <w:rPr>
          <w:rFonts w:asciiTheme="minorHAnsi" w:hAnsiTheme="minorHAnsi"/>
        </w:rPr>
        <w:t>resident services and the resident experience</w:t>
      </w:r>
      <w:r w:rsidR="00B2582D">
        <w:rPr>
          <w:rFonts w:asciiTheme="minorHAnsi" w:hAnsiTheme="minorHAnsi"/>
        </w:rPr>
        <w:t>.</w:t>
      </w:r>
      <w:r w:rsidRPr="00080819">
        <w:rPr>
          <w:rFonts w:asciiTheme="minorHAnsi" w:hAnsiTheme="minorHAnsi"/>
        </w:rPr>
        <w:t xml:space="preserve"> </w:t>
      </w:r>
    </w:p>
    <w:p w14:paraId="5D414847" w14:textId="55BC05FB" w:rsidR="00D75F5A" w:rsidRDefault="00D75F5A" w:rsidP="00080819">
      <w:pPr>
        <w:pStyle w:val="BodyText"/>
        <w:spacing w:line="269" w:lineRule="exact"/>
        <w:rPr>
          <w:rFonts w:asciiTheme="minorHAnsi" w:hAnsiTheme="minorHAnsi"/>
        </w:rPr>
      </w:pPr>
    </w:p>
    <w:p w14:paraId="1F896669" w14:textId="58661DAD" w:rsidR="00080819" w:rsidRDefault="00080819" w:rsidP="00CB12FE">
      <w:pPr>
        <w:pStyle w:val="BodyText"/>
        <w:numPr>
          <w:ilvl w:val="0"/>
          <w:numId w:val="7"/>
        </w:numPr>
        <w:rPr>
          <w:rFonts w:asciiTheme="minorHAnsi" w:hAnsiTheme="minorHAnsi"/>
          <w:b/>
          <w:bCs/>
        </w:rPr>
      </w:pPr>
      <w:r w:rsidRPr="008831B4">
        <w:rPr>
          <w:rFonts w:asciiTheme="minorHAnsi" w:hAnsiTheme="minorHAnsi"/>
          <w:b/>
          <w:bCs/>
        </w:rPr>
        <w:t xml:space="preserve">Need to </w:t>
      </w:r>
      <w:r w:rsidR="008629E4">
        <w:rPr>
          <w:rFonts w:asciiTheme="minorHAnsi" w:hAnsiTheme="minorHAnsi"/>
          <w:b/>
          <w:bCs/>
        </w:rPr>
        <w:t xml:space="preserve">upgrade the </w:t>
      </w:r>
      <w:r w:rsidR="00F002BA">
        <w:rPr>
          <w:rFonts w:asciiTheme="minorHAnsi" w:hAnsiTheme="minorHAnsi"/>
          <w:b/>
          <w:bCs/>
        </w:rPr>
        <w:t>F</w:t>
      </w:r>
      <w:r w:rsidR="008629E4">
        <w:rPr>
          <w:rFonts w:asciiTheme="minorHAnsi" w:hAnsiTheme="minorHAnsi"/>
          <w:b/>
          <w:bCs/>
        </w:rPr>
        <w:t xml:space="preserve">acility in order to </w:t>
      </w:r>
      <w:r w:rsidR="000705DF">
        <w:rPr>
          <w:rFonts w:asciiTheme="minorHAnsi" w:hAnsiTheme="minorHAnsi"/>
          <w:b/>
          <w:bCs/>
        </w:rPr>
        <w:t>improve</w:t>
      </w:r>
      <w:r w:rsidR="000705DF" w:rsidRPr="008831B4">
        <w:rPr>
          <w:rFonts w:asciiTheme="minorHAnsi" w:hAnsiTheme="minorHAnsi"/>
          <w:b/>
          <w:bCs/>
        </w:rPr>
        <w:t xml:space="preserve"> </w:t>
      </w:r>
      <w:r w:rsidR="00B2582D">
        <w:rPr>
          <w:rFonts w:asciiTheme="minorHAnsi" w:hAnsiTheme="minorHAnsi"/>
          <w:b/>
          <w:bCs/>
        </w:rPr>
        <w:t xml:space="preserve">the provision of care, </w:t>
      </w:r>
      <w:r w:rsidRPr="008831B4">
        <w:rPr>
          <w:rFonts w:asciiTheme="minorHAnsi" w:hAnsiTheme="minorHAnsi"/>
          <w:b/>
          <w:bCs/>
        </w:rPr>
        <w:t xml:space="preserve">resident services and the resident experience </w:t>
      </w:r>
    </w:p>
    <w:p w14:paraId="4D81CF3E" w14:textId="77777777" w:rsidR="00ED6607" w:rsidRPr="008831B4" w:rsidRDefault="00ED6607" w:rsidP="008B7AE7">
      <w:pPr>
        <w:pStyle w:val="BodyText"/>
        <w:ind w:left="1080"/>
        <w:rPr>
          <w:rFonts w:asciiTheme="minorHAnsi" w:hAnsiTheme="minorHAnsi"/>
          <w:b/>
          <w:bCs/>
        </w:rPr>
      </w:pPr>
    </w:p>
    <w:p w14:paraId="077174AF" w14:textId="2D5C92C0" w:rsidR="00080819" w:rsidRPr="008831B4" w:rsidRDefault="00080819" w:rsidP="004A1BE8">
      <w:pPr>
        <w:pStyle w:val="BodyText"/>
        <w:rPr>
          <w:rFonts w:asciiTheme="minorHAnsi" w:hAnsiTheme="minorHAnsi"/>
        </w:rPr>
      </w:pPr>
      <w:r w:rsidRPr="008831B4">
        <w:rPr>
          <w:rFonts w:asciiTheme="minorHAnsi" w:hAnsiTheme="minorHAnsi"/>
        </w:rPr>
        <w:t>The</w:t>
      </w:r>
      <w:r w:rsidR="008E36A9" w:rsidRPr="008831B4">
        <w:rPr>
          <w:rFonts w:asciiTheme="minorHAnsi" w:hAnsiTheme="minorHAnsi"/>
        </w:rPr>
        <w:t xml:space="preserve"> Applicant states that</w:t>
      </w:r>
      <w:r w:rsidRPr="008831B4">
        <w:rPr>
          <w:rFonts w:asciiTheme="minorHAnsi" w:hAnsiTheme="minorHAnsi"/>
        </w:rPr>
        <w:t xml:space="preserve"> </w:t>
      </w:r>
      <w:r w:rsidR="0065739A" w:rsidRPr="008831B4">
        <w:rPr>
          <w:rFonts w:asciiTheme="minorHAnsi" w:hAnsiTheme="minorHAnsi"/>
        </w:rPr>
        <w:t>The Overlook</w:t>
      </w:r>
      <w:r w:rsidR="00DD4EC1" w:rsidRPr="008831B4">
        <w:rPr>
          <w:rFonts w:asciiTheme="minorHAnsi" w:hAnsiTheme="minorHAnsi"/>
        </w:rPr>
        <w:t>,</w:t>
      </w:r>
      <w:r w:rsidRPr="008831B4">
        <w:rPr>
          <w:rFonts w:asciiTheme="minorHAnsi" w:hAnsiTheme="minorHAnsi"/>
        </w:rPr>
        <w:t xml:space="preserve"> built in 1998</w:t>
      </w:r>
      <w:r w:rsidR="00DD4EC1" w:rsidRPr="008831B4">
        <w:rPr>
          <w:rFonts w:asciiTheme="minorHAnsi" w:hAnsiTheme="minorHAnsi"/>
        </w:rPr>
        <w:t>,</w:t>
      </w:r>
      <w:r w:rsidRPr="008831B4">
        <w:rPr>
          <w:rFonts w:asciiTheme="minorHAnsi" w:hAnsiTheme="minorHAnsi"/>
        </w:rPr>
        <w:t xml:space="preserve"> has received minimal structural and cosmetic improvements in the past 25 years. As a result, the building is dated and disjointed. The </w:t>
      </w:r>
      <w:r w:rsidR="008E36A9" w:rsidRPr="008831B4">
        <w:rPr>
          <w:rFonts w:asciiTheme="minorHAnsi" w:hAnsiTheme="minorHAnsi"/>
        </w:rPr>
        <w:t xml:space="preserve">proposed </w:t>
      </w:r>
      <w:r w:rsidRPr="008831B4">
        <w:rPr>
          <w:rFonts w:asciiTheme="minorHAnsi" w:hAnsiTheme="minorHAnsi"/>
        </w:rPr>
        <w:t xml:space="preserve">renovations will help to address this by centralizing and consolidating resident care areas and services. The renovations proposed through the project will create and optimize resident-centered space </w:t>
      </w:r>
      <w:r w:rsidR="008E36A9" w:rsidRPr="008831B4">
        <w:rPr>
          <w:rFonts w:asciiTheme="minorHAnsi" w:hAnsiTheme="minorHAnsi"/>
        </w:rPr>
        <w:t>to make it s</w:t>
      </w:r>
      <w:r w:rsidRPr="008831B4">
        <w:rPr>
          <w:rFonts w:asciiTheme="minorHAnsi" w:hAnsiTheme="minorHAnsi"/>
        </w:rPr>
        <w:t xml:space="preserve">afer, and more efficient for residents. The </w:t>
      </w:r>
      <w:r w:rsidR="00B313BE">
        <w:rPr>
          <w:rFonts w:asciiTheme="minorHAnsi" w:hAnsiTheme="minorHAnsi"/>
        </w:rPr>
        <w:t>Proposed Project includes</w:t>
      </w:r>
      <w:r w:rsidRPr="008831B4">
        <w:rPr>
          <w:rFonts w:asciiTheme="minorHAnsi" w:hAnsiTheme="minorHAnsi"/>
        </w:rPr>
        <w:t xml:space="preserve"> a full renovation</w:t>
      </w:r>
      <w:r w:rsidR="00B313BE">
        <w:rPr>
          <w:rFonts w:asciiTheme="minorHAnsi" w:hAnsiTheme="minorHAnsi"/>
        </w:rPr>
        <w:t xml:space="preserve"> of the floor</w:t>
      </w:r>
      <w:r w:rsidRPr="008831B4">
        <w:rPr>
          <w:rFonts w:asciiTheme="minorHAnsi" w:hAnsiTheme="minorHAnsi"/>
        </w:rPr>
        <w:t xml:space="preserve"> to maximize the efficiency of care delivery, improve resident safety, and expand and </w:t>
      </w:r>
      <w:r w:rsidR="00FD5107">
        <w:rPr>
          <w:rFonts w:asciiTheme="minorHAnsi" w:hAnsiTheme="minorHAnsi"/>
        </w:rPr>
        <w:t>improve</w:t>
      </w:r>
      <w:r w:rsidR="00FD5107" w:rsidRPr="008831B4">
        <w:rPr>
          <w:rFonts w:asciiTheme="minorHAnsi" w:hAnsiTheme="minorHAnsi"/>
        </w:rPr>
        <w:t xml:space="preserve"> </w:t>
      </w:r>
      <w:r w:rsidRPr="008831B4">
        <w:rPr>
          <w:rFonts w:asciiTheme="minorHAnsi" w:hAnsiTheme="minorHAnsi"/>
        </w:rPr>
        <w:t xml:space="preserve">services available to residents, including therapy, dining, and social programming. </w:t>
      </w:r>
      <w:r w:rsidR="00B22B4F">
        <w:rPr>
          <w:rFonts w:asciiTheme="minorHAnsi" w:hAnsiTheme="minorHAnsi"/>
        </w:rPr>
        <w:t xml:space="preserve">The </w:t>
      </w:r>
      <w:r w:rsidR="00A95BD2">
        <w:rPr>
          <w:rFonts w:asciiTheme="minorHAnsi" w:hAnsiTheme="minorHAnsi"/>
        </w:rPr>
        <w:t xml:space="preserve">Facility’s long-term skilled nursing care unit </w:t>
      </w:r>
      <w:r w:rsidR="00B22B4F">
        <w:rPr>
          <w:rFonts w:asciiTheme="minorHAnsi" w:hAnsiTheme="minorHAnsi"/>
        </w:rPr>
        <w:t xml:space="preserve">on the second floor </w:t>
      </w:r>
      <w:r w:rsidR="00A95BD2">
        <w:rPr>
          <w:rFonts w:asciiTheme="minorHAnsi" w:hAnsiTheme="minorHAnsi"/>
        </w:rPr>
        <w:t xml:space="preserve">will be converted into the Facility’s short-term rehabilitation unit. </w:t>
      </w:r>
      <w:r w:rsidR="00DB626C" w:rsidRPr="00DB626C">
        <w:rPr>
          <w:rFonts w:asciiTheme="minorHAnsi" w:hAnsiTheme="minorHAnsi"/>
        </w:rPr>
        <w:t xml:space="preserve">The main changes to the </w:t>
      </w:r>
      <w:r w:rsidR="00F002BA">
        <w:rPr>
          <w:rFonts w:asciiTheme="minorHAnsi" w:hAnsiTheme="minorHAnsi"/>
        </w:rPr>
        <w:t>floor plan</w:t>
      </w:r>
      <w:r w:rsidR="00A95BD2">
        <w:rPr>
          <w:rFonts w:asciiTheme="minorHAnsi" w:hAnsiTheme="minorHAnsi"/>
        </w:rPr>
        <w:t xml:space="preserve"> </w:t>
      </w:r>
      <w:r w:rsidR="00DB626C" w:rsidRPr="00DB626C">
        <w:rPr>
          <w:rFonts w:asciiTheme="minorHAnsi" w:hAnsiTheme="minorHAnsi"/>
        </w:rPr>
        <w:t>that will be accomplished through the Proposed Project</w:t>
      </w:r>
      <w:r w:rsidR="00624DF9">
        <w:rPr>
          <w:rFonts w:asciiTheme="minorHAnsi" w:hAnsiTheme="minorHAnsi"/>
        </w:rPr>
        <w:t xml:space="preserve"> include</w:t>
      </w:r>
      <w:r w:rsidR="0008729D">
        <w:rPr>
          <w:rFonts w:asciiTheme="minorHAnsi" w:hAnsiTheme="minorHAnsi"/>
        </w:rPr>
        <w:t xml:space="preserve"> increasing the number of resident rooms from 34 to 40,</w:t>
      </w:r>
      <w:r w:rsidR="00DB626C" w:rsidRPr="00DB626C">
        <w:rPr>
          <w:rFonts w:asciiTheme="minorHAnsi" w:hAnsiTheme="minorHAnsi"/>
        </w:rPr>
        <w:t xml:space="preserve"> converting the existing nursing station area into a full-service kitchen and dining room, converting half of the existing multi-purpose activity room into a rehabilitation therapy suite, and creating additional conference room/meeting space with the other half of the activity room. Through the Proposed Project, the Applicant will close 21 Level II beds resulting in 118 Level II beds</w:t>
      </w:r>
      <w:r w:rsidR="001A54C9">
        <w:rPr>
          <w:szCs w:val="20"/>
        </w:rPr>
        <w:t xml:space="preserve"> </w:t>
      </w:r>
      <w:r w:rsidR="001A54C9" w:rsidRPr="001A54C9">
        <w:rPr>
          <w:rFonts w:asciiTheme="minorHAnsi" w:hAnsiTheme="minorHAnsi"/>
        </w:rPr>
        <w:t>of which 78 beds will be for long-term care residents and 40 beds for short</w:t>
      </w:r>
      <w:r w:rsidR="001A54C9">
        <w:rPr>
          <w:rFonts w:asciiTheme="minorHAnsi" w:hAnsiTheme="minorHAnsi"/>
        </w:rPr>
        <w:t>-</w:t>
      </w:r>
      <w:r w:rsidR="001A54C9" w:rsidRPr="001A54C9">
        <w:rPr>
          <w:rFonts w:asciiTheme="minorHAnsi" w:hAnsiTheme="minorHAnsi"/>
        </w:rPr>
        <w:t>term rehabilitation residents</w:t>
      </w:r>
      <w:r w:rsidR="00DB626C" w:rsidRPr="00DB626C">
        <w:rPr>
          <w:rFonts w:asciiTheme="minorHAnsi" w:hAnsiTheme="minorHAnsi"/>
        </w:rPr>
        <w:t>.</w:t>
      </w:r>
      <w:r w:rsidR="003D04CD">
        <w:rPr>
          <w:rStyle w:val="FootnoteReference"/>
          <w:rFonts w:asciiTheme="minorHAnsi" w:hAnsiTheme="minorHAnsi"/>
        </w:rPr>
        <w:footnoteReference w:id="8"/>
      </w:r>
      <w:r w:rsidR="00DB626C" w:rsidRPr="00DB626C">
        <w:rPr>
          <w:rFonts w:asciiTheme="minorHAnsi" w:hAnsiTheme="minorHAnsi"/>
        </w:rPr>
        <w:t xml:space="preserve"> </w:t>
      </w:r>
      <w:r w:rsidR="00D031AF" w:rsidRPr="008831B4">
        <w:rPr>
          <w:rFonts w:asciiTheme="minorHAnsi" w:hAnsiTheme="minorHAnsi"/>
        </w:rPr>
        <w:t xml:space="preserve">The proposed changes are described further below. </w:t>
      </w:r>
    </w:p>
    <w:p w14:paraId="6D02B65F" w14:textId="77777777" w:rsidR="007041CB" w:rsidRPr="008831B4" w:rsidRDefault="007041CB" w:rsidP="004A1BE8">
      <w:pPr>
        <w:pStyle w:val="BodyText"/>
        <w:rPr>
          <w:rFonts w:asciiTheme="minorHAnsi" w:hAnsiTheme="minorHAnsi"/>
          <w:b/>
          <w:bCs/>
        </w:rPr>
      </w:pPr>
    </w:p>
    <w:p w14:paraId="269624D5" w14:textId="77C18562" w:rsidR="00080819" w:rsidRPr="008831B4" w:rsidRDefault="00080819" w:rsidP="004A1BE8">
      <w:pPr>
        <w:pStyle w:val="BodyText"/>
        <w:rPr>
          <w:rFonts w:asciiTheme="minorHAnsi" w:hAnsiTheme="minorHAnsi"/>
        </w:rPr>
      </w:pPr>
      <w:r w:rsidRPr="008831B4">
        <w:rPr>
          <w:rFonts w:asciiTheme="minorHAnsi" w:hAnsiTheme="minorHAnsi"/>
          <w:b/>
          <w:bCs/>
        </w:rPr>
        <w:t>Age-Friendly Features</w:t>
      </w:r>
      <w:r w:rsidRPr="008831B4">
        <w:rPr>
          <w:rFonts w:asciiTheme="minorHAnsi" w:hAnsiTheme="minorHAnsi"/>
        </w:rPr>
        <w:t xml:space="preserve">: The Proposed Project will include age-friendly renovations </w:t>
      </w:r>
      <w:r w:rsidR="000979DB">
        <w:rPr>
          <w:rFonts w:asciiTheme="minorHAnsi" w:hAnsiTheme="minorHAnsi"/>
        </w:rPr>
        <w:t xml:space="preserve">that will improve the physical environment for residents, </w:t>
      </w:r>
      <w:r w:rsidRPr="008831B4">
        <w:rPr>
          <w:rFonts w:asciiTheme="minorHAnsi" w:hAnsiTheme="minorHAnsi"/>
        </w:rPr>
        <w:t xml:space="preserve">including frosted finish lights to minimize glare, slip resistance flooring choices, contrasting color choices for walls and flooring, and </w:t>
      </w:r>
      <w:r w:rsidR="007C2453" w:rsidRPr="008831B4">
        <w:rPr>
          <w:rFonts w:asciiTheme="minorHAnsi" w:hAnsiTheme="minorHAnsi"/>
        </w:rPr>
        <w:t>American with Disabilities Act (</w:t>
      </w:r>
      <w:r w:rsidRPr="008831B4">
        <w:rPr>
          <w:rFonts w:asciiTheme="minorHAnsi" w:hAnsiTheme="minorHAnsi"/>
        </w:rPr>
        <w:t>ADA</w:t>
      </w:r>
      <w:r w:rsidR="007C2453" w:rsidRPr="008831B4">
        <w:rPr>
          <w:rFonts w:asciiTheme="minorHAnsi" w:hAnsiTheme="minorHAnsi"/>
        </w:rPr>
        <w:t>)</w:t>
      </w:r>
      <w:r w:rsidR="000D7E84" w:rsidRPr="008831B4">
        <w:rPr>
          <w:rFonts w:asciiTheme="minorHAnsi" w:hAnsiTheme="minorHAnsi"/>
        </w:rPr>
        <w:t xml:space="preserve"> </w:t>
      </w:r>
      <w:r w:rsidRPr="008831B4">
        <w:rPr>
          <w:rFonts w:asciiTheme="minorHAnsi" w:hAnsiTheme="minorHAnsi"/>
        </w:rPr>
        <w:t xml:space="preserve">accessible countertops and bathrooms. </w:t>
      </w:r>
    </w:p>
    <w:p w14:paraId="6103A9C2" w14:textId="77777777" w:rsidR="007041CB" w:rsidRPr="008831B4" w:rsidRDefault="007041CB" w:rsidP="004A1BE8">
      <w:pPr>
        <w:pStyle w:val="BodyText"/>
        <w:rPr>
          <w:rFonts w:asciiTheme="minorHAnsi" w:hAnsiTheme="minorHAnsi"/>
          <w:b/>
          <w:bCs/>
        </w:rPr>
      </w:pPr>
    </w:p>
    <w:p w14:paraId="690FCF40" w14:textId="1C1B5E77" w:rsidR="00080819" w:rsidRPr="008831B4" w:rsidRDefault="00080819" w:rsidP="004A1BE8">
      <w:pPr>
        <w:pStyle w:val="BodyText"/>
        <w:rPr>
          <w:rFonts w:asciiTheme="minorHAnsi" w:hAnsiTheme="minorHAnsi"/>
        </w:rPr>
      </w:pPr>
      <w:r w:rsidRPr="008831B4">
        <w:rPr>
          <w:rFonts w:asciiTheme="minorHAnsi" w:hAnsiTheme="minorHAnsi"/>
          <w:b/>
          <w:bCs/>
        </w:rPr>
        <w:t>Home-like Environment</w:t>
      </w:r>
      <w:r w:rsidRPr="008831B4">
        <w:rPr>
          <w:rFonts w:asciiTheme="minorHAnsi" w:hAnsiTheme="minorHAnsi"/>
        </w:rPr>
        <w:t>: The renovations will create a more home-like environment by designing and enhancing the space to mimic home and day-to</w:t>
      </w:r>
      <w:r w:rsidR="0038567B" w:rsidRPr="008831B4">
        <w:rPr>
          <w:rFonts w:asciiTheme="minorHAnsi" w:hAnsiTheme="minorHAnsi"/>
        </w:rPr>
        <w:t>-</w:t>
      </w:r>
      <w:r w:rsidRPr="008831B4">
        <w:rPr>
          <w:rFonts w:asciiTheme="minorHAnsi" w:hAnsiTheme="minorHAnsi"/>
        </w:rPr>
        <w:t>day environments.</w:t>
      </w:r>
      <w:r w:rsidR="007C2453" w:rsidRPr="008831B4">
        <w:rPr>
          <w:rFonts w:asciiTheme="minorHAnsi" w:hAnsiTheme="minorHAnsi"/>
        </w:rPr>
        <w:t xml:space="preserve"> The Applicant maintains that creating a home-like environment will aid in resident recovery and in a safe transition home. </w:t>
      </w:r>
      <w:r w:rsidRPr="008831B4">
        <w:rPr>
          <w:rFonts w:asciiTheme="minorHAnsi" w:hAnsiTheme="minorHAnsi"/>
        </w:rPr>
        <w:t xml:space="preserve"> </w:t>
      </w:r>
    </w:p>
    <w:p w14:paraId="2D980D34" w14:textId="77777777" w:rsidR="007041CB" w:rsidRPr="008831B4" w:rsidRDefault="007041CB" w:rsidP="004A1BE8">
      <w:pPr>
        <w:pStyle w:val="BodyText"/>
        <w:rPr>
          <w:rFonts w:asciiTheme="minorHAnsi" w:hAnsiTheme="minorHAnsi"/>
          <w:b/>
          <w:bCs/>
        </w:rPr>
      </w:pPr>
    </w:p>
    <w:p w14:paraId="1E8EBC38" w14:textId="0CC23381" w:rsidR="00080819" w:rsidRDefault="00080819" w:rsidP="004A1BE8">
      <w:pPr>
        <w:pStyle w:val="BodyText"/>
        <w:rPr>
          <w:rFonts w:asciiTheme="minorHAnsi" w:hAnsiTheme="minorHAnsi"/>
        </w:rPr>
      </w:pPr>
      <w:r w:rsidRPr="008831B4">
        <w:rPr>
          <w:rFonts w:asciiTheme="minorHAnsi" w:hAnsiTheme="minorHAnsi"/>
          <w:b/>
          <w:bCs/>
        </w:rPr>
        <w:t xml:space="preserve">Private </w:t>
      </w:r>
      <w:r w:rsidR="007041CB" w:rsidRPr="008831B4">
        <w:rPr>
          <w:rFonts w:asciiTheme="minorHAnsi" w:hAnsiTheme="minorHAnsi"/>
          <w:b/>
          <w:bCs/>
        </w:rPr>
        <w:t xml:space="preserve">and Secure </w:t>
      </w:r>
      <w:r w:rsidRPr="008831B4">
        <w:rPr>
          <w:rFonts w:asciiTheme="minorHAnsi" w:hAnsiTheme="minorHAnsi"/>
          <w:b/>
          <w:bCs/>
        </w:rPr>
        <w:t>Spaces</w:t>
      </w:r>
      <w:r w:rsidRPr="008831B4">
        <w:rPr>
          <w:rFonts w:asciiTheme="minorHAnsi" w:hAnsiTheme="minorHAnsi"/>
        </w:rPr>
        <w:t>: The design will include the creation of dedicate</w:t>
      </w:r>
      <w:r w:rsidR="007C2453" w:rsidRPr="008831B4">
        <w:rPr>
          <w:rFonts w:asciiTheme="minorHAnsi" w:hAnsiTheme="minorHAnsi"/>
        </w:rPr>
        <w:t>d</w:t>
      </w:r>
      <w:r w:rsidRPr="008831B4">
        <w:rPr>
          <w:rFonts w:asciiTheme="minorHAnsi" w:hAnsiTheme="minorHAnsi"/>
        </w:rPr>
        <w:t xml:space="preserve"> space for residents to meet their families privately or for families to meet with staff. The renovated facility will include a private office for staff to discuss resident care as well as a designated medication room only accessible by key card access. </w:t>
      </w:r>
    </w:p>
    <w:p w14:paraId="6AA8A3C4" w14:textId="77777777" w:rsidR="00626F84" w:rsidRPr="008831B4" w:rsidRDefault="00626F84" w:rsidP="004A1BE8">
      <w:pPr>
        <w:pStyle w:val="BodyText"/>
        <w:rPr>
          <w:rFonts w:asciiTheme="minorHAnsi" w:hAnsiTheme="minorHAnsi"/>
        </w:rPr>
      </w:pPr>
    </w:p>
    <w:p w14:paraId="64D76E62" w14:textId="29A3375E" w:rsidR="00080819" w:rsidRPr="008831B4" w:rsidRDefault="00080819" w:rsidP="004A1BE8">
      <w:pPr>
        <w:pStyle w:val="BodyText"/>
        <w:rPr>
          <w:rFonts w:asciiTheme="minorHAnsi" w:hAnsiTheme="minorHAnsi"/>
        </w:rPr>
      </w:pPr>
      <w:r w:rsidRPr="008831B4">
        <w:rPr>
          <w:rFonts w:asciiTheme="minorHAnsi" w:hAnsiTheme="minorHAnsi"/>
          <w:b/>
          <w:bCs/>
        </w:rPr>
        <w:t>Safety</w:t>
      </w:r>
      <w:r w:rsidRPr="008831B4">
        <w:rPr>
          <w:rFonts w:asciiTheme="minorHAnsi" w:hAnsiTheme="minorHAnsi"/>
        </w:rPr>
        <w:t xml:space="preserve">: Currently, there is one nurse’s station that doubles as a lobby and permits view of </w:t>
      </w:r>
      <w:r w:rsidR="00966D68" w:rsidRPr="008831B4">
        <w:rPr>
          <w:rFonts w:asciiTheme="minorHAnsi" w:hAnsiTheme="minorHAnsi"/>
        </w:rPr>
        <w:t xml:space="preserve">only </w:t>
      </w:r>
      <w:r w:rsidRPr="008831B4">
        <w:rPr>
          <w:rFonts w:asciiTheme="minorHAnsi" w:hAnsiTheme="minorHAnsi"/>
        </w:rPr>
        <w:t xml:space="preserve">one patient room. In addition, the nurse’s station is large in size which feels overwhelming to </w:t>
      </w:r>
      <w:r w:rsidR="00966D68" w:rsidRPr="008831B4">
        <w:rPr>
          <w:rFonts w:asciiTheme="minorHAnsi" w:hAnsiTheme="minorHAnsi"/>
        </w:rPr>
        <w:t>residents</w:t>
      </w:r>
      <w:r w:rsidRPr="008831B4">
        <w:rPr>
          <w:rFonts w:asciiTheme="minorHAnsi" w:hAnsiTheme="minorHAnsi"/>
        </w:rPr>
        <w:t xml:space="preserve"> and limits interactions initiated by residents. In the redesigned unit, the nurse’s station will be in a smaller, more personalized space across from the dining area, which the Applicant states will invite engagement from residents who are in the area to eat and socialize. The renovated space will include two new resident lounges at the midpoint of each with adjacent nurse landing stations which better positions staff</w:t>
      </w:r>
      <w:r w:rsidR="006553DF" w:rsidRPr="008831B4">
        <w:rPr>
          <w:rFonts w:asciiTheme="minorHAnsi" w:hAnsiTheme="minorHAnsi"/>
        </w:rPr>
        <w:t xml:space="preserve"> to</w:t>
      </w:r>
      <w:r w:rsidRPr="008831B4">
        <w:rPr>
          <w:rFonts w:asciiTheme="minorHAnsi" w:hAnsiTheme="minorHAnsi"/>
        </w:rPr>
        <w:t xml:space="preserve"> both see and hear residents, for enhanced safety. </w:t>
      </w:r>
      <w:r w:rsidR="002F20DB" w:rsidRPr="008831B4">
        <w:rPr>
          <w:rFonts w:asciiTheme="minorHAnsi" w:hAnsiTheme="minorHAnsi"/>
        </w:rPr>
        <w:t xml:space="preserve">New satellite lounge spaces are being provided at the end of wings to engage residents who may have mobility challenges at the ends of the hall. Resident lounge spaces are paired with staff touch-down desks to </w:t>
      </w:r>
      <w:r w:rsidR="00561BB1" w:rsidRPr="008831B4">
        <w:rPr>
          <w:rFonts w:asciiTheme="minorHAnsi" w:hAnsiTheme="minorHAnsi"/>
        </w:rPr>
        <w:t>provide</w:t>
      </w:r>
      <w:r w:rsidR="002F20DB" w:rsidRPr="008831B4">
        <w:rPr>
          <w:rFonts w:asciiTheme="minorHAnsi" w:hAnsiTheme="minorHAnsi"/>
        </w:rPr>
        <w:t xml:space="preserve"> additional staff-resident touchpoints for engagement and safety. </w:t>
      </w:r>
    </w:p>
    <w:p w14:paraId="29ABBBA8" w14:textId="77777777" w:rsidR="007041CB" w:rsidRPr="008831B4" w:rsidRDefault="007041CB" w:rsidP="004A1BE8">
      <w:pPr>
        <w:pStyle w:val="BodyText"/>
        <w:rPr>
          <w:rFonts w:asciiTheme="minorHAnsi" w:hAnsiTheme="minorHAnsi"/>
          <w:b/>
          <w:bCs/>
        </w:rPr>
      </w:pPr>
    </w:p>
    <w:p w14:paraId="37B28EBA" w14:textId="580736C7" w:rsidR="00080819" w:rsidRDefault="00080819" w:rsidP="004A1BE8">
      <w:pPr>
        <w:pStyle w:val="BodyText"/>
        <w:rPr>
          <w:rFonts w:asciiTheme="minorHAnsi" w:hAnsiTheme="minorHAnsi"/>
        </w:rPr>
      </w:pPr>
      <w:r w:rsidRPr="34464BEE">
        <w:rPr>
          <w:rFonts w:asciiTheme="minorHAnsi" w:hAnsiTheme="minorHAnsi"/>
          <w:b/>
          <w:bCs/>
        </w:rPr>
        <w:t>Rehabilitation Therapy Area</w:t>
      </w:r>
      <w:r w:rsidRPr="34464BEE">
        <w:rPr>
          <w:rFonts w:asciiTheme="minorHAnsi" w:hAnsiTheme="minorHAnsi"/>
        </w:rPr>
        <w:t>: The existing rehabilitation room is 51</w:t>
      </w:r>
      <w:r w:rsidR="00533DCA">
        <w:rPr>
          <w:rFonts w:asciiTheme="minorHAnsi" w:hAnsiTheme="minorHAnsi"/>
        </w:rPr>
        <w:t>2</w:t>
      </w:r>
      <w:r w:rsidRPr="34464BEE">
        <w:rPr>
          <w:rFonts w:asciiTheme="minorHAnsi" w:hAnsiTheme="minorHAnsi"/>
        </w:rPr>
        <w:t xml:space="preserve"> square feet and does not provide space sufficient for residents or the necessary equipment for therapy sessions. The redesigned unit will add 363 square feet to the therapy room in order to accommodate four concurrent resident sessions. The rooms will include recumbent bikes, a larger space for balance and obstacle training, and general strengthening equipment.</w:t>
      </w:r>
      <w:r w:rsidR="00C806C8" w:rsidRPr="34464BEE">
        <w:rPr>
          <w:rFonts w:asciiTheme="minorHAnsi" w:hAnsiTheme="minorHAnsi"/>
        </w:rPr>
        <w:t xml:space="preserve"> </w:t>
      </w:r>
      <w:r w:rsidRPr="34464BEE">
        <w:rPr>
          <w:rFonts w:asciiTheme="minorHAnsi" w:hAnsiTheme="minorHAnsi"/>
        </w:rPr>
        <w:t xml:space="preserve">Expansion and renovation of therapy rooms will allow </w:t>
      </w:r>
      <w:r w:rsidR="0065739A" w:rsidRPr="34464BEE">
        <w:rPr>
          <w:rFonts w:asciiTheme="minorHAnsi" w:hAnsiTheme="minorHAnsi"/>
        </w:rPr>
        <w:t>The Overlook</w:t>
      </w:r>
      <w:r w:rsidRPr="34464BEE">
        <w:rPr>
          <w:rFonts w:asciiTheme="minorHAnsi" w:hAnsiTheme="minorHAnsi"/>
        </w:rPr>
        <w:t xml:space="preserve"> to serve a wider range of clinical conditions and therefore serve a greater number of residents. </w:t>
      </w:r>
      <w:r w:rsidR="00FD5107" w:rsidRPr="34464BEE">
        <w:rPr>
          <w:rFonts w:asciiTheme="minorHAnsi" w:hAnsiTheme="minorHAnsi"/>
        </w:rPr>
        <w:t>Through the Proposed Project, an outdoor space will be available for working with residents on their uneven surface mobility.</w:t>
      </w:r>
    </w:p>
    <w:p w14:paraId="32735220" w14:textId="77777777" w:rsidR="00B22B4F" w:rsidRDefault="00B22B4F" w:rsidP="004A1BE8">
      <w:pPr>
        <w:pStyle w:val="BodyText"/>
        <w:rPr>
          <w:rFonts w:asciiTheme="minorHAnsi" w:hAnsiTheme="minorHAnsi"/>
        </w:rPr>
      </w:pPr>
    </w:p>
    <w:p w14:paraId="30B191BE" w14:textId="2EF4F212" w:rsidR="008629E4" w:rsidRPr="008B7AE7" w:rsidRDefault="00B15821" w:rsidP="008629E4">
      <w:pPr>
        <w:pStyle w:val="BodyText"/>
        <w:rPr>
          <w:rFonts w:asciiTheme="minorHAnsi" w:hAnsiTheme="minorHAnsi"/>
          <w:i/>
          <w:iCs/>
        </w:rPr>
      </w:pPr>
      <w:r>
        <w:rPr>
          <w:rFonts w:asciiTheme="minorHAnsi" w:hAnsiTheme="minorHAnsi"/>
          <w:b/>
          <w:bCs/>
        </w:rPr>
        <w:t xml:space="preserve">Increased Access to </w:t>
      </w:r>
      <w:r w:rsidR="00B22B4F" w:rsidRPr="00B22B4F">
        <w:rPr>
          <w:rFonts w:asciiTheme="minorHAnsi" w:hAnsiTheme="minorHAnsi"/>
          <w:b/>
          <w:bCs/>
        </w:rPr>
        <w:t xml:space="preserve">Short-term Rehabilitation </w:t>
      </w:r>
      <w:r>
        <w:rPr>
          <w:rFonts w:asciiTheme="minorHAnsi" w:hAnsiTheme="minorHAnsi"/>
          <w:b/>
          <w:bCs/>
        </w:rPr>
        <w:t>Services</w:t>
      </w:r>
      <w:r w:rsidR="00B22B4F" w:rsidRPr="00B22B4F">
        <w:rPr>
          <w:rFonts w:asciiTheme="minorHAnsi" w:hAnsiTheme="minorHAnsi"/>
          <w:b/>
          <w:bCs/>
        </w:rPr>
        <w:t xml:space="preserve">: </w:t>
      </w:r>
      <w:r w:rsidR="008629E4" w:rsidRPr="008B7AE7">
        <w:rPr>
          <w:rFonts w:asciiTheme="minorHAnsi" w:hAnsiTheme="minorHAnsi"/>
        </w:rPr>
        <w:t xml:space="preserve">The Applicant states that there is unmet need from the Applicant’s Patient Panel for short-term rehabilitation services, and that the Proposed Project seeks to match The Overlook’s services to the needs of its Patient Panel. The </w:t>
      </w:r>
      <w:r w:rsidR="008629E4" w:rsidRPr="008B7AE7">
        <w:rPr>
          <w:rFonts w:asciiTheme="minorHAnsi" w:hAnsiTheme="minorHAnsi"/>
        </w:rPr>
        <w:lastRenderedPageBreak/>
        <w:t>Applicant affirms that the Proposed Project will address three overlapping needs: (1) meeting the needs of its Continuing Care Retirement Community (CCRC) members for short-term rehabilitation and long-term care, (2) improving access to short-term rehabilitation in the community, including expanded clinical capabilities which requires additional capacity, and (3) consolidating its Level II nursing services under one roof and providing renovated space that includes rehabilitation-focused services.</w:t>
      </w:r>
    </w:p>
    <w:p w14:paraId="2731040F" w14:textId="77777777" w:rsidR="008629E4" w:rsidRPr="008B7AE7" w:rsidRDefault="008629E4" w:rsidP="008629E4">
      <w:pPr>
        <w:pStyle w:val="BodyText"/>
        <w:rPr>
          <w:rFonts w:asciiTheme="minorHAnsi" w:hAnsiTheme="minorHAnsi"/>
        </w:rPr>
      </w:pPr>
    </w:p>
    <w:p w14:paraId="1E758BB8" w14:textId="3B526596" w:rsidR="008629E4" w:rsidRPr="008B7AE7" w:rsidRDefault="008629E4" w:rsidP="008629E4">
      <w:pPr>
        <w:pStyle w:val="BodyText"/>
        <w:rPr>
          <w:rFonts w:asciiTheme="minorHAnsi" w:hAnsiTheme="minorHAnsi"/>
        </w:rPr>
      </w:pPr>
      <w:r w:rsidRPr="008B7AE7">
        <w:rPr>
          <w:rFonts w:asciiTheme="minorHAnsi" w:hAnsiTheme="minorHAnsi"/>
        </w:rPr>
        <w:t xml:space="preserve">Through the Proposed Project, the Applicant will create a new short-term rehabilitation unit on the second floor of The Overlook in a space that currently houses 34 private rooms occupied by long-term care residents. The Applicant affirms the proposed renovations will address the Patient Panel’s increasing need for short-term rehabilitation services by providing more timely access to such services and that the combined effect of the changes will improve health outcomes, including functionality and mobility, and will decrease hospital admissions and allow for more adults to live successfully in the community. </w:t>
      </w:r>
    </w:p>
    <w:p w14:paraId="6268801E" w14:textId="1E7DC446" w:rsidR="00B22B4F" w:rsidRPr="00B22B4F" w:rsidRDefault="00B22B4F" w:rsidP="00B22B4F">
      <w:pPr>
        <w:pStyle w:val="BodyText"/>
        <w:rPr>
          <w:rFonts w:asciiTheme="minorHAnsi" w:hAnsiTheme="minorHAnsi"/>
          <w:b/>
          <w:bCs/>
        </w:rPr>
      </w:pPr>
    </w:p>
    <w:p w14:paraId="5454D8A3" w14:textId="77777777" w:rsidR="00A2300F" w:rsidRDefault="008629E4" w:rsidP="008629E4">
      <w:pPr>
        <w:pStyle w:val="BodyText"/>
        <w:rPr>
          <w:rFonts w:asciiTheme="minorHAnsi" w:hAnsiTheme="minorHAnsi"/>
        </w:rPr>
      </w:pPr>
      <w:r w:rsidRPr="008629E4">
        <w:rPr>
          <w:rFonts w:asciiTheme="minorHAnsi" w:hAnsiTheme="minorHAnsi"/>
        </w:rPr>
        <w:t xml:space="preserve">The Applicant states that the shift in utilization towards more short-term utilization will become more prominent as the population ages, and seeks treatment to allow them to live more independently. The Proposed Project is intended to address its Patient Panel’s current and projected increasing need for short-term rehabilitation services through providing residents timely access to short-term care in their community. The Applicant states that need for short-term rehabilitation services among older adults is increasing as more adults live longer, more active lives, and as a result of an increase in complex medical conditions that require more specialized care than the Facility can currently provide. </w:t>
      </w:r>
    </w:p>
    <w:p w14:paraId="055B49AE" w14:textId="77777777" w:rsidR="00A2300F" w:rsidRDefault="00A2300F" w:rsidP="008629E4">
      <w:pPr>
        <w:pStyle w:val="BodyText"/>
        <w:rPr>
          <w:rFonts w:asciiTheme="minorHAnsi" w:hAnsiTheme="minorHAnsi"/>
        </w:rPr>
      </w:pPr>
    </w:p>
    <w:p w14:paraId="010CB8D3" w14:textId="5607D3F5" w:rsidR="008629E4" w:rsidRPr="008629E4" w:rsidRDefault="008629E4" w:rsidP="008629E4">
      <w:pPr>
        <w:pStyle w:val="BodyText"/>
        <w:rPr>
          <w:rFonts w:asciiTheme="minorHAnsi" w:hAnsiTheme="minorHAnsi"/>
        </w:rPr>
      </w:pPr>
      <w:r w:rsidRPr="008629E4">
        <w:rPr>
          <w:rFonts w:asciiTheme="minorHAnsi" w:hAnsiTheme="minorHAnsi"/>
        </w:rPr>
        <w:t>The Applicant asserts that the current trend towards increasing need for short-term beds will continue as a result of an aging population living longer and seeking treatment to enable them to live independently, including short-term rehabilitation to recover from a hospitalization or a surgery. The Applicant provided the example of increasing joint replacements</w:t>
      </w:r>
      <w:r w:rsidR="003D04CD">
        <w:rPr>
          <w:rStyle w:val="FootnoteReference"/>
          <w:rFonts w:asciiTheme="minorHAnsi" w:hAnsiTheme="minorHAnsi"/>
        </w:rPr>
        <w:footnoteReference w:id="9"/>
      </w:r>
      <w:r w:rsidRPr="008629E4">
        <w:rPr>
          <w:rFonts w:asciiTheme="minorHAnsi" w:hAnsiTheme="minorHAnsi"/>
        </w:rPr>
        <w:t xml:space="preserve"> performed in the United States citing a study on Total Joint Replacements which projects significant increases in the annual rate (incidence) of primary total hip arthroplasty (THA) and total knee arthroplasty (TKA) from 2020 to 2040 across all age groups, if current trends continue.</w:t>
      </w:r>
      <w:r w:rsidR="00011744">
        <w:rPr>
          <w:rStyle w:val="EndnoteReference"/>
          <w:rFonts w:asciiTheme="minorHAnsi" w:hAnsiTheme="minorHAnsi"/>
        </w:rPr>
        <w:endnoteReference w:id="2"/>
      </w:r>
      <w:r w:rsidR="003D04CD" w:rsidRPr="003D04CD">
        <w:rPr>
          <w:rFonts w:asciiTheme="minorHAnsi" w:hAnsiTheme="minorHAnsi"/>
          <w:vertAlign w:val="superscript"/>
        </w:rPr>
        <w:t>,</w:t>
      </w:r>
      <w:r w:rsidR="003D04CD">
        <w:rPr>
          <w:rStyle w:val="FootnoteReference"/>
          <w:rFonts w:asciiTheme="minorHAnsi" w:hAnsiTheme="minorHAnsi"/>
        </w:rPr>
        <w:footnoteReference w:id="10"/>
      </w:r>
      <w:r w:rsidRPr="008629E4">
        <w:rPr>
          <w:rFonts w:asciiTheme="minorHAnsi" w:hAnsiTheme="minorHAnsi"/>
        </w:rPr>
        <w:t xml:space="preserve"> The Applicant maintains that the downstream effect of increasing joint replacements will be an increase in the number of individuals seeking short-term rehabilitation to shorten recovery and maximize functionality, including amongst the Applicant’s Patient Panel. </w:t>
      </w:r>
    </w:p>
    <w:p w14:paraId="0752BF5B" w14:textId="0F3F4378" w:rsidR="00B22B4F" w:rsidRPr="008831B4" w:rsidRDefault="00B22B4F" w:rsidP="004A1BE8">
      <w:pPr>
        <w:pStyle w:val="BodyText"/>
        <w:rPr>
          <w:rFonts w:asciiTheme="minorHAnsi" w:hAnsiTheme="minorHAnsi"/>
        </w:rPr>
      </w:pPr>
    </w:p>
    <w:p w14:paraId="581A4957" w14:textId="6C33FEB3" w:rsidR="00080819" w:rsidRDefault="00080819" w:rsidP="3D5D9414">
      <w:pPr>
        <w:pStyle w:val="BodyText"/>
        <w:rPr>
          <w:rFonts w:asciiTheme="minorHAnsi" w:hAnsiTheme="minorHAnsi"/>
        </w:rPr>
      </w:pPr>
      <w:r w:rsidRPr="3D5D9414">
        <w:rPr>
          <w:rFonts w:asciiTheme="minorHAnsi" w:hAnsiTheme="minorHAnsi"/>
          <w:b/>
          <w:bCs/>
        </w:rPr>
        <w:t>Dining</w:t>
      </w:r>
      <w:r w:rsidR="001F3050" w:rsidRPr="3D5D9414">
        <w:rPr>
          <w:rFonts w:asciiTheme="minorHAnsi" w:hAnsiTheme="minorHAnsi"/>
          <w:b/>
          <w:bCs/>
        </w:rPr>
        <w:t xml:space="preserve"> Area</w:t>
      </w:r>
      <w:r w:rsidRPr="3D5D9414">
        <w:rPr>
          <w:rFonts w:asciiTheme="minorHAnsi" w:hAnsiTheme="minorHAnsi"/>
        </w:rPr>
        <w:t xml:space="preserve">: </w:t>
      </w:r>
      <w:r w:rsidR="00883BE7" w:rsidRPr="3D5D9414">
        <w:rPr>
          <w:rFonts w:asciiTheme="minorHAnsi" w:hAnsiTheme="minorHAnsi"/>
        </w:rPr>
        <w:t>The Proposed Project will create centralized dining, where residents will be more likely to eat with others, which increases socialization and residents</w:t>
      </w:r>
      <w:r w:rsidR="00F551F1" w:rsidRPr="3D5D9414">
        <w:rPr>
          <w:rFonts w:asciiTheme="minorHAnsi" w:hAnsiTheme="minorHAnsi"/>
        </w:rPr>
        <w:t>’</w:t>
      </w:r>
      <w:r w:rsidR="00883BE7" w:rsidRPr="3D5D9414">
        <w:rPr>
          <w:rFonts w:asciiTheme="minorHAnsi" w:hAnsiTheme="minorHAnsi"/>
        </w:rPr>
        <w:t xml:space="preserve"> daily movement as they walk to and </w:t>
      </w:r>
      <w:r w:rsidR="00883BE7" w:rsidRPr="3D5D9414">
        <w:rPr>
          <w:rFonts w:asciiTheme="minorHAnsi" w:hAnsiTheme="minorHAnsi"/>
        </w:rPr>
        <w:lastRenderedPageBreak/>
        <w:t xml:space="preserve">from the dining room. </w:t>
      </w:r>
      <w:r w:rsidRPr="3D5D9414">
        <w:rPr>
          <w:rFonts w:asciiTheme="minorHAnsi" w:hAnsiTheme="minorHAnsi"/>
        </w:rPr>
        <w:t>The current set</w:t>
      </w:r>
      <w:r w:rsidR="00F4744F" w:rsidRPr="3D5D9414">
        <w:rPr>
          <w:rFonts w:asciiTheme="minorHAnsi" w:hAnsiTheme="minorHAnsi"/>
        </w:rPr>
        <w:t>-</w:t>
      </w:r>
      <w:r w:rsidRPr="3D5D9414">
        <w:rPr>
          <w:rFonts w:asciiTheme="minorHAnsi" w:hAnsiTheme="minorHAnsi"/>
        </w:rPr>
        <w:t>up includes the use of multiple small dining spaces which limits the ability of residents to socialize. Currently, there are two dining rooms divided into separate spaces</w:t>
      </w:r>
      <w:r w:rsidR="00F4744F" w:rsidRPr="3D5D9414">
        <w:rPr>
          <w:rFonts w:asciiTheme="minorHAnsi" w:hAnsiTheme="minorHAnsi"/>
        </w:rPr>
        <w:t xml:space="preserve">, and because of the configuration design, </w:t>
      </w:r>
      <w:r w:rsidRPr="3D5D9414">
        <w:rPr>
          <w:rFonts w:asciiTheme="minorHAnsi" w:hAnsiTheme="minorHAnsi"/>
        </w:rPr>
        <w:t>residents eat in their rooms more frequently,</w:t>
      </w:r>
      <w:r w:rsidR="00D045EA" w:rsidRPr="3D5D9414">
        <w:rPr>
          <w:rFonts w:asciiTheme="minorHAnsi" w:hAnsiTheme="minorHAnsi"/>
        </w:rPr>
        <w:t xml:space="preserve"> rather</w:t>
      </w:r>
      <w:r w:rsidRPr="3D5D9414">
        <w:rPr>
          <w:rFonts w:asciiTheme="minorHAnsi" w:hAnsiTheme="minorHAnsi"/>
        </w:rPr>
        <w:t xml:space="preserve"> than sitting alone in one of the dining spaces. The current design also makes it difficult for staff to see and assist residents in using the space. The new design will allow staff to see and assist residents in using the space. The new space will include a kitchen with windows allow</w:t>
      </w:r>
      <w:r w:rsidR="002535C0" w:rsidRPr="3D5D9414">
        <w:rPr>
          <w:rFonts w:asciiTheme="minorHAnsi" w:hAnsiTheme="minorHAnsi"/>
        </w:rPr>
        <w:t>ing</w:t>
      </w:r>
      <w:r w:rsidRPr="3D5D9414">
        <w:rPr>
          <w:rFonts w:asciiTheme="minorHAnsi" w:hAnsiTheme="minorHAnsi"/>
        </w:rPr>
        <w:t xml:space="preserve"> for two</w:t>
      </w:r>
      <w:r w:rsidR="61BD8F61" w:rsidRPr="3D5D9414">
        <w:rPr>
          <w:rFonts w:asciiTheme="minorHAnsi" w:hAnsiTheme="minorHAnsi"/>
        </w:rPr>
        <w:t>-</w:t>
      </w:r>
      <w:r w:rsidRPr="3D5D9414">
        <w:rPr>
          <w:rFonts w:asciiTheme="minorHAnsi" w:hAnsiTheme="minorHAnsi"/>
        </w:rPr>
        <w:t xml:space="preserve">way visibility so that residents and staff can watch the preparation of their food, creating a restaurant like atmosphere, and promoting a sense of participation and engagement in the culinary and dining experience. The space will be designed to host enrichment activities, such as games, movies, and music, which the Applicant states will increase likelihood to congregate and socialize, which can improve resident well-being, satisfaction and safety. </w:t>
      </w:r>
    </w:p>
    <w:p w14:paraId="20BA005A" w14:textId="77777777" w:rsidR="00F002BA" w:rsidRDefault="00F002BA" w:rsidP="004A1BE8">
      <w:pPr>
        <w:pStyle w:val="BodyText"/>
        <w:rPr>
          <w:rFonts w:asciiTheme="minorHAnsi" w:hAnsiTheme="minorHAnsi"/>
        </w:rPr>
      </w:pPr>
    </w:p>
    <w:p w14:paraId="6969D605" w14:textId="77777777" w:rsidR="008D4F52" w:rsidRPr="008D4F52" w:rsidRDefault="008D4F52" w:rsidP="008D4F52">
      <w:pPr>
        <w:pStyle w:val="BodyText"/>
        <w:rPr>
          <w:rFonts w:asciiTheme="minorHAnsi" w:hAnsiTheme="minorHAnsi"/>
          <w:i/>
          <w:iCs/>
        </w:rPr>
      </w:pPr>
      <w:r w:rsidRPr="008D4F52">
        <w:rPr>
          <w:rFonts w:asciiTheme="minorHAnsi" w:hAnsiTheme="minorHAnsi"/>
          <w:i/>
          <w:iCs/>
        </w:rPr>
        <w:t>Staffing</w:t>
      </w:r>
    </w:p>
    <w:p w14:paraId="1C445F87" w14:textId="7783355C" w:rsidR="008D4F52" w:rsidRPr="008D4F52" w:rsidRDefault="008D4F52" w:rsidP="008D4F52">
      <w:pPr>
        <w:pStyle w:val="BodyText"/>
        <w:rPr>
          <w:rFonts w:asciiTheme="minorHAnsi" w:hAnsiTheme="minorHAnsi"/>
        </w:rPr>
      </w:pPr>
      <w:r w:rsidRPr="008D4F52">
        <w:rPr>
          <w:rFonts w:asciiTheme="minorHAnsi" w:hAnsiTheme="minorHAnsi"/>
        </w:rPr>
        <w:t xml:space="preserve">The Applicant maintains that because the Proposed Project will result in a reduction of the overall Level II licensed bed count at the Facility, the </w:t>
      </w:r>
      <w:r w:rsidR="00B15821">
        <w:rPr>
          <w:rFonts w:asciiTheme="minorHAnsi" w:hAnsiTheme="minorHAnsi"/>
        </w:rPr>
        <w:t>Facility currently has the necessary staffing for the Proposed Project. Additionally,</w:t>
      </w:r>
      <w:r w:rsidR="00B15821" w:rsidRPr="00B15821">
        <w:rPr>
          <w:rFonts w:asciiTheme="minorHAnsi" w:hAnsiTheme="minorHAnsi"/>
        </w:rPr>
        <w:t xml:space="preserve"> the Proposed Project will promote more efficient staffing patterns because all of the Facility’s Level II services will be centralized in one building.</w:t>
      </w:r>
      <w:r w:rsidR="00B15821">
        <w:rPr>
          <w:rFonts w:asciiTheme="minorHAnsi" w:hAnsiTheme="minorHAnsi"/>
        </w:rPr>
        <w:t xml:space="preserve"> The Applicant states that the most significant change to staffing will be the Facility’s</w:t>
      </w:r>
      <w:r w:rsidRPr="008D4F52">
        <w:rPr>
          <w:rFonts w:asciiTheme="minorHAnsi" w:hAnsiTheme="minorHAnsi"/>
        </w:rPr>
        <w:t xml:space="preserve"> reduced reliance on temporary staffing agencies. The Applicant will maintain a contract with these staffing agencies to ensure that any staffing needs can be immediately addressed. The Applicant maintains that it will continue to assess future staffing needs as utilization increases, and as a result, the Facility will maintain a competent, dedicated workforce to care for its residents. </w:t>
      </w:r>
    </w:p>
    <w:p w14:paraId="4021624A" w14:textId="77777777" w:rsidR="008D4F52" w:rsidRPr="008831B4" w:rsidRDefault="008D4F52" w:rsidP="004A1BE8">
      <w:pPr>
        <w:pStyle w:val="BodyText"/>
        <w:rPr>
          <w:rFonts w:asciiTheme="minorHAnsi" w:hAnsiTheme="minorHAnsi"/>
        </w:rPr>
      </w:pPr>
    </w:p>
    <w:p w14:paraId="5B8ABEC9" w14:textId="07A224CC" w:rsidR="00B447F3" w:rsidRPr="008831B4" w:rsidRDefault="00A4110F" w:rsidP="00CB12FE">
      <w:pPr>
        <w:rPr>
          <w:rFonts w:asciiTheme="minorHAnsi" w:hAnsiTheme="minorHAnsi"/>
          <w:b/>
          <w:bCs/>
          <w:i/>
          <w:iCs/>
          <w:szCs w:val="24"/>
        </w:rPr>
      </w:pPr>
      <w:r w:rsidRPr="008831B4">
        <w:rPr>
          <w:rFonts w:asciiTheme="minorHAnsi" w:hAnsiTheme="minorHAnsi"/>
          <w:b/>
          <w:bCs/>
          <w:i/>
          <w:iCs/>
          <w:szCs w:val="24"/>
        </w:rPr>
        <w:t>Analysis</w:t>
      </w:r>
    </w:p>
    <w:p w14:paraId="65D7E103" w14:textId="4EB19F38" w:rsidR="00280C84" w:rsidRDefault="00280C84" w:rsidP="00CB12FE">
      <w:pPr>
        <w:rPr>
          <w:rFonts w:asciiTheme="minorHAnsi" w:hAnsiTheme="minorHAnsi"/>
          <w:szCs w:val="24"/>
        </w:rPr>
      </w:pPr>
      <w:r w:rsidRPr="008831B4">
        <w:rPr>
          <w:rFonts w:asciiTheme="minorHAnsi" w:hAnsiTheme="minorHAnsi"/>
          <w:szCs w:val="24"/>
        </w:rPr>
        <w:t xml:space="preserve">Staff finds that the Applicant has demonstrated </w:t>
      </w:r>
      <w:r w:rsidR="00AD6FDA">
        <w:rPr>
          <w:rFonts w:asciiTheme="minorHAnsi" w:hAnsiTheme="minorHAnsi"/>
          <w:szCs w:val="24"/>
        </w:rPr>
        <w:t>Patient Panel need for renovations to The Overlook to improve the delivery of care</w:t>
      </w:r>
      <w:r w:rsidR="00AD6FDA" w:rsidRPr="00AD6FDA">
        <w:rPr>
          <w:rFonts w:asciiTheme="minorHAnsi" w:hAnsiTheme="minorHAnsi"/>
          <w:szCs w:val="24"/>
        </w:rPr>
        <w:t>, the safety of the built environment,</w:t>
      </w:r>
      <w:r w:rsidR="007C742B">
        <w:rPr>
          <w:rFonts w:asciiTheme="minorHAnsi" w:hAnsiTheme="minorHAnsi"/>
          <w:szCs w:val="24"/>
        </w:rPr>
        <w:t xml:space="preserve"> and</w:t>
      </w:r>
      <w:r w:rsidR="00AD6FDA" w:rsidRPr="00AD6FDA">
        <w:rPr>
          <w:rFonts w:asciiTheme="minorHAnsi" w:hAnsiTheme="minorHAnsi"/>
          <w:szCs w:val="24"/>
        </w:rPr>
        <w:t xml:space="preserve"> </w:t>
      </w:r>
      <w:r w:rsidR="00AD6FDA">
        <w:rPr>
          <w:rFonts w:asciiTheme="minorHAnsi" w:hAnsiTheme="minorHAnsi"/>
          <w:szCs w:val="24"/>
        </w:rPr>
        <w:t xml:space="preserve">the resident experience </w:t>
      </w:r>
      <w:r w:rsidR="007C742B">
        <w:rPr>
          <w:rFonts w:asciiTheme="minorHAnsi" w:hAnsiTheme="minorHAnsi"/>
          <w:szCs w:val="24"/>
        </w:rPr>
        <w:t>which will contribute to improved quality of life and resident outcomes</w:t>
      </w:r>
      <w:r w:rsidR="00AD6FDA">
        <w:rPr>
          <w:rFonts w:asciiTheme="minorHAnsi" w:hAnsiTheme="minorHAnsi"/>
          <w:szCs w:val="24"/>
        </w:rPr>
        <w:t xml:space="preserve">. </w:t>
      </w:r>
      <w:r w:rsidR="00E85132" w:rsidRPr="008831B4">
        <w:rPr>
          <w:rFonts w:asciiTheme="minorHAnsi" w:hAnsiTheme="minorHAnsi"/>
          <w:szCs w:val="24"/>
        </w:rPr>
        <w:t>As a result of information provided by the Applicant and additional analysis, staff finds that</w:t>
      </w:r>
      <w:r w:rsidR="00AD6FDA">
        <w:rPr>
          <w:rFonts w:asciiTheme="minorHAnsi" w:hAnsiTheme="minorHAnsi"/>
          <w:szCs w:val="24"/>
        </w:rPr>
        <w:t xml:space="preserve"> </w:t>
      </w:r>
      <w:r w:rsidR="00E85132" w:rsidRPr="008831B4">
        <w:rPr>
          <w:rFonts w:asciiTheme="minorHAnsi" w:hAnsiTheme="minorHAnsi"/>
          <w:szCs w:val="24"/>
        </w:rPr>
        <w:t xml:space="preserve">the Applicant has demonstrated that the Proposed Project has met Factor 1(a). </w:t>
      </w:r>
      <w:r w:rsidR="00543614" w:rsidRPr="008831B4">
        <w:rPr>
          <w:rFonts w:asciiTheme="minorHAnsi" w:hAnsiTheme="minorHAnsi"/>
          <w:szCs w:val="24"/>
        </w:rPr>
        <w:t xml:space="preserve"> </w:t>
      </w:r>
    </w:p>
    <w:p w14:paraId="14B0D3D1" w14:textId="77777777" w:rsidR="00432087" w:rsidRDefault="00432087" w:rsidP="00932E5D">
      <w:pPr>
        <w:rPr>
          <w:rFonts w:asciiTheme="minorHAnsi" w:hAnsiTheme="minorHAnsi"/>
          <w:szCs w:val="24"/>
        </w:rPr>
      </w:pPr>
    </w:p>
    <w:p w14:paraId="0ADCD05D" w14:textId="5C692A7F" w:rsidR="00B447F3" w:rsidRPr="003436F0" w:rsidRDefault="00A4110F" w:rsidP="008917DC">
      <w:pPr>
        <w:pStyle w:val="Heading1"/>
        <w:spacing w:before="188"/>
        <w:ind w:left="0" w:right="403"/>
        <w:rPr>
          <w:rFonts w:asciiTheme="minorHAnsi" w:hAnsiTheme="minorHAnsi"/>
        </w:rPr>
      </w:pPr>
      <w:bookmarkStart w:id="6" w:name="_Toc173743592"/>
      <w:r w:rsidRPr="003436F0">
        <w:rPr>
          <w:rFonts w:asciiTheme="minorHAnsi" w:hAnsiTheme="minorHAnsi"/>
          <w:color w:val="42558C"/>
        </w:rPr>
        <w:t>Factor 1: b) Public health value, improved health outcomes and quality of life; assurances of health equity</w:t>
      </w:r>
      <w:bookmarkEnd w:id="6"/>
    </w:p>
    <w:p w14:paraId="0821EED9" w14:textId="1870D6E0" w:rsidR="00615885" w:rsidRPr="00E04133" w:rsidRDefault="00615885" w:rsidP="00915290">
      <w:pPr>
        <w:pStyle w:val="BodyText"/>
        <w:rPr>
          <w:rFonts w:asciiTheme="minorHAnsi" w:hAnsiTheme="minorHAnsi"/>
        </w:rPr>
      </w:pPr>
    </w:p>
    <w:p w14:paraId="0B47360A" w14:textId="78E6A79E" w:rsidR="00E04133" w:rsidRPr="008831B4" w:rsidRDefault="00750186" w:rsidP="00915290">
      <w:pPr>
        <w:pStyle w:val="BodyText"/>
        <w:rPr>
          <w:rFonts w:asciiTheme="minorHAnsi" w:hAnsiTheme="minorHAnsi"/>
          <w:b/>
          <w:bCs/>
        </w:rPr>
      </w:pPr>
      <w:r w:rsidRPr="008831B4">
        <w:rPr>
          <w:rFonts w:asciiTheme="minorHAnsi" w:hAnsiTheme="minorHAnsi"/>
          <w:b/>
          <w:bCs/>
        </w:rPr>
        <w:t>Public Health Value: Improved Outcomes and Quality of Life</w:t>
      </w:r>
    </w:p>
    <w:p w14:paraId="43B96424" w14:textId="3EED8C4A" w:rsidR="00750186" w:rsidRPr="008831B4" w:rsidRDefault="00C4344A" w:rsidP="00915290">
      <w:pPr>
        <w:pStyle w:val="BodyText"/>
      </w:pPr>
      <w:r w:rsidRPr="008831B4">
        <w:t xml:space="preserve">The Applicant asserts that </w:t>
      </w:r>
      <w:r w:rsidR="005141BA" w:rsidRPr="008831B4">
        <w:t>the renovated space will improve resident safety</w:t>
      </w:r>
      <w:r w:rsidR="00254B33" w:rsidRPr="008831B4">
        <w:t xml:space="preserve"> </w:t>
      </w:r>
      <w:r w:rsidR="005141BA" w:rsidRPr="008831B4">
        <w:t xml:space="preserve">and satisfaction, and further promote </w:t>
      </w:r>
      <w:r w:rsidR="00EA79EC" w:rsidRPr="008831B4">
        <w:t xml:space="preserve">the </w:t>
      </w:r>
      <w:r w:rsidR="005141BA" w:rsidRPr="008831B4">
        <w:t xml:space="preserve">physical, social, and mental well-being of the Applicant’s residents. </w:t>
      </w:r>
      <w:r w:rsidR="00DE532B" w:rsidRPr="008831B4">
        <w:t>The Applicant states that it will accomplish the following t</w:t>
      </w:r>
      <w:r w:rsidR="005141BA" w:rsidRPr="008831B4">
        <w:t>hrough the Proposed Project:</w:t>
      </w:r>
    </w:p>
    <w:p w14:paraId="1A7DDDD0" w14:textId="21F72A29" w:rsidR="00C4344A" w:rsidRPr="008831B4" w:rsidRDefault="00C4344A" w:rsidP="00276A85">
      <w:pPr>
        <w:pStyle w:val="BodyText"/>
        <w:numPr>
          <w:ilvl w:val="0"/>
          <w:numId w:val="2"/>
        </w:numPr>
      </w:pPr>
      <w:r w:rsidRPr="008831B4">
        <w:t xml:space="preserve">Expand clinical capabilities to further increase access and improve outcomes. </w:t>
      </w:r>
    </w:p>
    <w:p w14:paraId="39A22E56" w14:textId="3DD8A943" w:rsidR="00C4344A" w:rsidRPr="008831B4" w:rsidRDefault="00C4344A" w:rsidP="00276A85">
      <w:pPr>
        <w:pStyle w:val="BodyText"/>
        <w:numPr>
          <w:ilvl w:val="0"/>
          <w:numId w:val="2"/>
        </w:numPr>
      </w:pPr>
      <w:r w:rsidRPr="008831B4">
        <w:t xml:space="preserve">Improve </w:t>
      </w:r>
      <w:r w:rsidR="00BA6956">
        <w:t>resident</w:t>
      </w:r>
      <w:r w:rsidR="00BA6956" w:rsidRPr="008831B4">
        <w:t xml:space="preserve"> </w:t>
      </w:r>
      <w:r w:rsidRPr="008831B4">
        <w:t>safety through resident-centered, age-friendly design choices</w:t>
      </w:r>
      <w:r w:rsidR="00254B33" w:rsidRPr="008831B4">
        <w:t>.</w:t>
      </w:r>
    </w:p>
    <w:p w14:paraId="51DBC890" w14:textId="77777777" w:rsidR="00254B33" w:rsidRPr="008831B4" w:rsidRDefault="00254B33" w:rsidP="00276A85">
      <w:pPr>
        <w:pStyle w:val="BodyText"/>
        <w:numPr>
          <w:ilvl w:val="0"/>
          <w:numId w:val="2"/>
        </w:numPr>
      </w:pPr>
      <w:r w:rsidRPr="008831B4">
        <w:t>R</w:t>
      </w:r>
      <w:r w:rsidR="00C4344A" w:rsidRPr="008831B4">
        <w:t xml:space="preserve">educe redundancies and promote </w:t>
      </w:r>
      <w:r w:rsidR="000E3B92" w:rsidRPr="008831B4">
        <w:t>efficien</w:t>
      </w:r>
      <w:r w:rsidRPr="008831B4">
        <w:t xml:space="preserve">cy </w:t>
      </w:r>
      <w:r w:rsidR="000E3B92" w:rsidRPr="008831B4">
        <w:t>through</w:t>
      </w:r>
      <w:r w:rsidR="00C4344A" w:rsidRPr="008831B4">
        <w:t xml:space="preserve"> centralization of dining services</w:t>
      </w:r>
      <w:r w:rsidRPr="008831B4">
        <w:t>.</w:t>
      </w:r>
    </w:p>
    <w:p w14:paraId="4BC34823" w14:textId="3BE23DA4" w:rsidR="00254B33" w:rsidRPr="008831B4" w:rsidRDefault="00254B33" w:rsidP="00276A85">
      <w:pPr>
        <w:pStyle w:val="BodyText"/>
        <w:numPr>
          <w:ilvl w:val="0"/>
          <w:numId w:val="2"/>
        </w:numPr>
      </w:pPr>
      <w:r w:rsidRPr="008831B4">
        <w:lastRenderedPageBreak/>
        <w:t>P</w:t>
      </w:r>
      <w:r w:rsidR="00C4344A" w:rsidRPr="008831B4">
        <w:t xml:space="preserve">rovide dedicated spaces for equipment storage, further reducing placement of unused items in </w:t>
      </w:r>
      <w:r w:rsidR="007B1BF2">
        <w:t>corridors</w:t>
      </w:r>
      <w:r w:rsidRPr="008831B4">
        <w:t xml:space="preserve">. </w:t>
      </w:r>
    </w:p>
    <w:p w14:paraId="69D326D8" w14:textId="64F2A57B" w:rsidR="00C4344A" w:rsidRPr="008831B4" w:rsidRDefault="00254B33" w:rsidP="00276A85">
      <w:pPr>
        <w:pStyle w:val="BodyText"/>
        <w:numPr>
          <w:ilvl w:val="0"/>
          <w:numId w:val="2"/>
        </w:numPr>
      </w:pPr>
      <w:r w:rsidRPr="008831B4">
        <w:t>C</w:t>
      </w:r>
      <w:r w:rsidR="00C4344A" w:rsidRPr="008831B4">
        <w:t xml:space="preserve">reate additional staff touch-down desks near the staff lounges for </w:t>
      </w:r>
      <w:r w:rsidR="000E3B92" w:rsidRPr="008831B4">
        <w:t>added</w:t>
      </w:r>
      <w:r w:rsidR="00C4344A" w:rsidRPr="008831B4">
        <w:t xml:space="preserve"> engagement, security, and safety. </w:t>
      </w:r>
    </w:p>
    <w:p w14:paraId="0564D9D0" w14:textId="77777777" w:rsidR="005141BA" w:rsidRDefault="005141BA" w:rsidP="005141BA">
      <w:pPr>
        <w:pStyle w:val="BodyText"/>
      </w:pPr>
    </w:p>
    <w:p w14:paraId="4B8755FF" w14:textId="77777777" w:rsidR="00406622" w:rsidRPr="00406622" w:rsidRDefault="00406622" w:rsidP="00406622">
      <w:pPr>
        <w:pStyle w:val="BodyText"/>
      </w:pPr>
      <w:r w:rsidRPr="00406622">
        <w:t>The Applicant states that The Overlook hosts activities that offer new opportunities and engagement with the broader community, such as The Overlook’s partnership with a childcare center in the same building, through which residents and children engage in activities and programs to promote meaningful interaction for both children and residents to promote emotional, social and physical well-being</w:t>
      </w:r>
    </w:p>
    <w:p w14:paraId="4D55BF2F" w14:textId="77777777" w:rsidR="00406622" w:rsidRPr="008831B4" w:rsidRDefault="00406622" w:rsidP="005141BA">
      <w:pPr>
        <w:pStyle w:val="BodyText"/>
      </w:pPr>
    </w:p>
    <w:p w14:paraId="0800DEF7" w14:textId="58554596" w:rsidR="004A0A2D" w:rsidRPr="008831B4" w:rsidRDefault="005141BA" w:rsidP="004A0A2D">
      <w:pPr>
        <w:pStyle w:val="BodyText"/>
      </w:pPr>
      <w:r w:rsidRPr="008831B4">
        <w:t xml:space="preserve">The Applicant states that it is exploring options for </w:t>
      </w:r>
      <w:r w:rsidR="00BA7E2C" w:rsidRPr="008831B4">
        <w:t>providing</w:t>
      </w:r>
      <w:r w:rsidRPr="008831B4">
        <w:t xml:space="preserve"> specialized rehabilitation care for residents seeking post-acute</w:t>
      </w:r>
      <w:r w:rsidR="00432087">
        <w:t xml:space="preserve">, </w:t>
      </w:r>
      <w:r w:rsidR="00AA3C57">
        <w:t>short-term</w:t>
      </w:r>
      <w:r w:rsidRPr="008831B4">
        <w:t xml:space="preserve"> care</w:t>
      </w:r>
      <w:r w:rsidR="007E4E34">
        <w:t xml:space="preserve"> services </w:t>
      </w:r>
      <w:r w:rsidRPr="008831B4">
        <w:t xml:space="preserve">for wound and infection, chronic tracheotomy, and substance use disorder. </w:t>
      </w:r>
      <w:r w:rsidR="004A0A2D" w:rsidRPr="008831B4">
        <w:t>If approved, the Applicant will report on these efforts as part of the annual reporting requirements.</w:t>
      </w:r>
    </w:p>
    <w:p w14:paraId="34BAF575" w14:textId="77777777" w:rsidR="00013507" w:rsidRPr="008831B4" w:rsidRDefault="00013507" w:rsidP="004A0A2D">
      <w:pPr>
        <w:pStyle w:val="BodyText"/>
      </w:pPr>
    </w:p>
    <w:p w14:paraId="2ADDC30A" w14:textId="5714C2E3" w:rsidR="001F3BC0" w:rsidRDefault="009B25E8" w:rsidP="004A0A2D">
      <w:pPr>
        <w:pStyle w:val="BodyText"/>
      </w:pPr>
      <w:r w:rsidRPr="008831B4">
        <w:t>The Applicant states that because all licensed beds are in private rooms, all infection control occurs in a contained area with limited exposure to non-infected residents.</w:t>
      </w:r>
      <w:r w:rsidR="00D22CB9" w:rsidRPr="008831B4">
        <w:t xml:space="preserve"> </w:t>
      </w:r>
      <w:r w:rsidR="001F3BC0" w:rsidRPr="008831B4">
        <w:t>The Facility employs an Infection Preventionist and Staff Development Coordinator who work in tandem to educate team members through annual an</w:t>
      </w:r>
      <w:r w:rsidR="00FD5107">
        <w:t>d</w:t>
      </w:r>
      <w:r w:rsidR="001F3BC0" w:rsidRPr="008831B4">
        <w:t xml:space="preserve"> intermittent in-servicing and competencies for infection control, which includes but is not limited to hand hygiene, personal protective equipment (PPE) don/doff management, and multiple levels of precautions. The Infection Preventionist </w:t>
      </w:r>
      <w:r w:rsidR="00762D43" w:rsidRPr="008831B4">
        <w:t xml:space="preserve">ensures new information from the Centers for Disease Control and Prevention (CDC) and the Department is reviewed, added to policy as appropriate, presented to the team, and audited for compliance. </w:t>
      </w:r>
      <w:r w:rsidR="002C21C2">
        <w:t>T</w:t>
      </w:r>
      <w:r w:rsidR="00291D6D">
        <w:t>eam members are vaccinated i</w:t>
      </w:r>
      <w:r w:rsidR="00762D43" w:rsidRPr="008831B4">
        <w:t xml:space="preserve">n </w:t>
      </w:r>
      <w:r w:rsidR="00291D6D">
        <w:t>accordance</w:t>
      </w:r>
      <w:r w:rsidR="00291D6D" w:rsidRPr="008831B4">
        <w:t xml:space="preserve"> </w:t>
      </w:r>
      <w:r w:rsidR="00762D43" w:rsidRPr="008831B4">
        <w:t xml:space="preserve">with </w:t>
      </w:r>
      <w:r w:rsidR="002C21C2" w:rsidRPr="002C21C2">
        <w:t>105 CMR 150.002(D)(</w:t>
      </w:r>
      <w:r w:rsidR="002C21C2">
        <w:t>8</w:t>
      </w:r>
      <w:r w:rsidR="002C21C2" w:rsidRPr="002C21C2">
        <w:t>)</w:t>
      </w:r>
      <w:r w:rsidR="002C21C2">
        <w:t xml:space="preserve"> and </w:t>
      </w:r>
      <w:r w:rsidR="00762D43" w:rsidRPr="008831B4">
        <w:t>105 CMR 150.0</w:t>
      </w:r>
      <w:r w:rsidR="00446C7A" w:rsidRPr="008831B4">
        <w:t>0</w:t>
      </w:r>
      <w:r w:rsidR="00762D43" w:rsidRPr="008831B4">
        <w:t>2(D)(11). Vaccines are offered to all resident</w:t>
      </w:r>
      <w:r w:rsidR="002535C0">
        <w:t>s</w:t>
      </w:r>
      <w:r w:rsidR="00762D43" w:rsidRPr="008831B4">
        <w:t xml:space="preserve"> annually, including but not limited to Influenza, COVID-19, </w:t>
      </w:r>
      <w:r w:rsidR="00533DCA">
        <w:t>p</w:t>
      </w:r>
      <w:r w:rsidR="00762D43" w:rsidRPr="008831B4">
        <w:t xml:space="preserve">neumonia and </w:t>
      </w:r>
      <w:r w:rsidR="00533DCA">
        <w:t>r</w:t>
      </w:r>
      <w:r w:rsidR="00762D43" w:rsidRPr="008831B4">
        <w:t xml:space="preserve">espiratory </w:t>
      </w:r>
      <w:r w:rsidR="00700769">
        <w:t>s</w:t>
      </w:r>
      <w:r w:rsidR="00700769" w:rsidRPr="008831B4">
        <w:t>yncytial</w:t>
      </w:r>
      <w:r w:rsidR="00AB136D" w:rsidRPr="008831B4">
        <w:t xml:space="preserve"> </w:t>
      </w:r>
      <w:r w:rsidR="00533DCA">
        <w:t>v</w:t>
      </w:r>
      <w:r w:rsidR="00AB136D" w:rsidRPr="008831B4">
        <w:t>irus</w:t>
      </w:r>
      <w:r w:rsidR="00762D43" w:rsidRPr="008831B4">
        <w:t xml:space="preserve"> (RSV). </w:t>
      </w:r>
    </w:p>
    <w:p w14:paraId="491238D4" w14:textId="77777777" w:rsidR="0037409D" w:rsidRDefault="0037409D" w:rsidP="004A0A2D">
      <w:pPr>
        <w:pStyle w:val="BodyText"/>
      </w:pPr>
    </w:p>
    <w:p w14:paraId="2CD04CA1" w14:textId="5A5B7478" w:rsidR="00A62516" w:rsidRPr="008831B4" w:rsidRDefault="00B77B76" w:rsidP="00A62516">
      <w:pPr>
        <w:pStyle w:val="BodyText"/>
        <w:rPr>
          <w:rFonts w:asciiTheme="minorHAnsi" w:hAnsiTheme="minorHAnsi"/>
        </w:rPr>
      </w:pPr>
      <w:r w:rsidRPr="008831B4">
        <w:rPr>
          <w:rFonts w:asciiTheme="minorHAnsi" w:hAnsiTheme="minorHAnsi"/>
        </w:rPr>
        <w:t xml:space="preserve">To assess the impact of the Proposed Project, the Applicant developed quality metrics to measure overall satisfaction and quality of care of the short-term rehabilitation unit. </w:t>
      </w:r>
      <w:r w:rsidR="00A62516" w:rsidRPr="008831B4">
        <w:rPr>
          <w:rFonts w:asciiTheme="minorHAnsi" w:hAnsiTheme="minorHAnsi"/>
        </w:rPr>
        <w:t xml:space="preserve">The measures are presented in Appendix I and will be reported to DPH on an annual basis following implementation of the Proposed Project. </w:t>
      </w:r>
    </w:p>
    <w:p w14:paraId="636640D4" w14:textId="77777777" w:rsidR="00764638" w:rsidRPr="008831B4" w:rsidRDefault="00764638" w:rsidP="00A62516">
      <w:pPr>
        <w:pStyle w:val="BodyText"/>
        <w:rPr>
          <w:rFonts w:asciiTheme="minorHAnsi" w:hAnsiTheme="minorHAnsi"/>
        </w:rPr>
      </w:pPr>
    </w:p>
    <w:p w14:paraId="221DF517" w14:textId="70B789AF" w:rsidR="00B447F3" w:rsidRPr="008831B4" w:rsidRDefault="00A4110F" w:rsidP="00932E5D">
      <w:pPr>
        <w:rPr>
          <w:rFonts w:asciiTheme="minorHAnsi" w:hAnsiTheme="minorHAnsi"/>
          <w:b/>
          <w:bCs/>
          <w:i/>
          <w:iCs/>
          <w:szCs w:val="24"/>
        </w:rPr>
      </w:pPr>
      <w:r w:rsidRPr="008831B4">
        <w:rPr>
          <w:rFonts w:asciiTheme="minorHAnsi" w:hAnsiTheme="minorHAnsi"/>
          <w:b/>
          <w:bCs/>
          <w:i/>
          <w:iCs/>
          <w:szCs w:val="24"/>
        </w:rPr>
        <w:t>Analysis</w:t>
      </w:r>
      <w:r w:rsidR="00303C0E" w:rsidRPr="008831B4">
        <w:rPr>
          <w:rFonts w:asciiTheme="minorHAnsi" w:hAnsiTheme="minorHAnsi"/>
          <w:b/>
          <w:bCs/>
          <w:i/>
          <w:iCs/>
          <w:szCs w:val="24"/>
        </w:rPr>
        <w:t>:</w:t>
      </w:r>
      <w:r w:rsidR="00E04133" w:rsidRPr="008831B4">
        <w:rPr>
          <w:rFonts w:asciiTheme="minorHAnsi" w:hAnsiTheme="minorHAnsi"/>
          <w:b/>
          <w:bCs/>
          <w:i/>
          <w:iCs/>
          <w:szCs w:val="24"/>
        </w:rPr>
        <w:t xml:space="preserve"> </w:t>
      </w:r>
      <w:r w:rsidR="00303C0E" w:rsidRPr="008831B4">
        <w:rPr>
          <w:rFonts w:asciiTheme="minorHAnsi" w:hAnsiTheme="minorHAnsi"/>
          <w:b/>
          <w:bCs/>
          <w:i/>
          <w:iCs/>
          <w:szCs w:val="24"/>
        </w:rPr>
        <w:t>Improved Outcomes and Quality of Life</w:t>
      </w:r>
    </w:p>
    <w:p w14:paraId="6AB1BE6F" w14:textId="6C90A313" w:rsidR="00924009" w:rsidRPr="008831B4" w:rsidRDefault="00B36A97" w:rsidP="00EF24A6">
      <w:pPr>
        <w:rPr>
          <w:szCs w:val="24"/>
        </w:rPr>
      </w:pPr>
      <w:r w:rsidRPr="008831B4">
        <w:rPr>
          <w:szCs w:val="24"/>
        </w:rPr>
        <w:t xml:space="preserve">Staff researched the existing publicly available nursing home quality metrics to determine where the current facility ranks. </w:t>
      </w:r>
      <w:r w:rsidR="00615B1A" w:rsidRPr="008831B4">
        <w:rPr>
          <w:szCs w:val="24"/>
        </w:rPr>
        <w:t>The</w:t>
      </w:r>
      <w:r w:rsidRPr="008831B4">
        <w:rPr>
          <w:szCs w:val="24"/>
        </w:rPr>
        <w:t xml:space="preserve"> </w:t>
      </w:r>
      <w:r w:rsidR="004519E1" w:rsidRPr="008831B4">
        <w:rPr>
          <w:szCs w:val="24"/>
        </w:rPr>
        <w:t>Overlook</w:t>
      </w:r>
      <w:r w:rsidRPr="008831B4">
        <w:rPr>
          <w:szCs w:val="24"/>
        </w:rPr>
        <w:t xml:space="preserve"> is rated five out of five stars on the CMS Star rating</w:t>
      </w:r>
      <w:r w:rsidR="00B45A5A" w:rsidRPr="008831B4">
        <w:rPr>
          <w:rStyle w:val="FootnoteReference"/>
          <w:szCs w:val="24"/>
        </w:rPr>
        <w:footnoteReference w:id="11"/>
      </w:r>
      <w:r w:rsidRPr="008831B4">
        <w:rPr>
          <w:szCs w:val="24"/>
        </w:rPr>
        <w:t xml:space="preserve"> and scores </w:t>
      </w:r>
      <w:r w:rsidRPr="008831B4">
        <w:rPr>
          <w:szCs w:val="24"/>
        </w:rPr>
        <w:lastRenderedPageBreak/>
        <w:t>12</w:t>
      </w:r>
      <w:r w:rsidR="00600074" w:rsidRPr="008831B4">
        <w:rPr>
          <w:szCs w:val="24"/>
        </w:rPr>
        <w:t>4</w:t>
      </w:r>
      <w:r w:rsidR="00ED07D8" w:rsidRPr="008831B4">
        <w:rPr>
          <w:szCs w:val="24"/>
        </w:rPr>
        <w:t xml:space="preserve"> points</w:t>
      </w:r>
      <w:r w:rsidRPr="008831B4">
        <w:rPr>
          <w:szCs w:val="24"/>
        </w:rPr>
        <w:t xml:space="preserve"> </w:t>
      </w:r>
      <w:r w:rsidR="00ED07D8" w:rsidRPr="008831B4">
        <w:rPr>
          <w:szCs w:val="24"/>
        </w:rPr>
        <w:t xml:space="preserve">out of 132 points </w:t>
      </w:r>
      <w:r w:rsidRPr="008831B4">
        <w:rPr>
          <w:szCs w:val="24"/>
        </w:rPr>
        <w:t>on the Massachusetts Nursing Home Scorecard.</w:t>
      </w:r>
      <w:r w:rsidR="00F47B32" w:rsidRPr="008831B4">
        <w:rPr>
          <w:rStyle w:val="FootnoteReference"/>
          <w:szCs w:val="24"/>
        </w:rPr>
        <w:footnoteReference w:id="12"/>
      </w:r>
      <w:r w:rsidRPr="008831B4">
        <w:rPr>
          <w:szCs w:val="24"/>
        </w:rPr>
        <w:t xml:space="preserve"> </w:t>
      </w:r>
      <w:r w:rsidR="0074116D" w:rsidRPr="008831B4">
        <w:rPr>
          <w:szCs w:val="24"/>
        </w:rPr>
        <w:t>The statewide average facility score is 116.</w:t>
      </w:r>
      <w:r w:rsidR="008D4F52">
        <w:rPr>
          <w:szCs w:val="24"/>
        </w:rPr>
        <w:t xml:space="preserve"> </w:t>
      </w:r>
      <w:r w:rsidR="00EB4C62" w:rsidRPr="008831B4">
        <w:rPr>
          <w:szCs w:val="24"/>
        </w:rPr>
        <w:t xml:space="preserve">Staff finds that </w:t>
      </w:r>
      <w:r w:rsidR="008D4F52">
        <w:rPr>
          <w:szCs w:val="24"/>
        </w:rPr>
        <w:t>improving the built environment by</w:t>
      </w:r>
      <w:r w:rsidR="004D27CE" w:rsidRPr="008831B4">
        <w:rPr>
          <w:szCs w:val="24"/>
        </w:rPr>
        <w:t xml:space="preserve"> </w:t>
      </w:r>
      <w:r w:rsidR="008D4F52">
        <w:rPr>
          <w:szCs w:val="24"/>
        </w:rPr>
        <w:t xml:space="preserve">redesigning and renovating </w:t>
      </w:r>
      <w:r w:rsidR="00251759" w:rsidRPr="008831B4">
        <w:rPr>
          <w:szCs w:val="24"/>
        </w:rPr>
        <w:t xml:space="preserve">the Facility </w:t>
      </w:r>
      <w:r w:rsidR="00EB4C62" w:rsidRPr="008831B4">
        <w:rPr>
          <w:szCs w:val="24"/>
        </w:rPr>
        <w:t>ha</w:t>
      </w:r>
      <w:r w:rsidR="00A2300F">
        <w:rPr>
          <w:szCs w:val="24"/>
        </w:rPr>
        <w:t>s</w:t>
      </w:r>
      <w:r w:rsidR="00EB4C62" w:rsidRPr="008831B4">
        <w:rPr>
          <w:szCs w:val="24"/>
        </w:rPr>
        <w:t xml:space="preserve"> the potential to improve health outcomes and quality of life </w:t>
      </w:r>
      <w:r w:rsidR="00902F71" w:rsidRPr="008831B4">
        <w:rPr>
          <w:szCs w:val="24"/>
        </w:rPr>
        <w:t>for</w:t>
      </w:r>
      <w:r w:rsidR="00EB4C62" w:rsidRPr="008831B4">
        <w:rPr>
          <w:szCs w:val="24"/>
        </w:rPr>
        <w:t xml:space="preserve"> the Patient Panel. As a result, Staff finds that the Applicant meets the requirements of Public Health Value: Health Outcomes as part of Factor 1b.</w:t>
      </w:r>
    </w:p>
    <w:p w14:paraId="3FFB503F" w14:textId="77777777" w:rsidR="00EB4C62" w:rsidRDefault="00EB4C62" w:rsidP="00EF24A6">
      <w:pPr>
        <w:rPr>
          <w:szCs w:val="24"/>
        </w:rPr>
      </w:pPr>
    </w:p>
    <w:p w14:paraId="7E97B2EA" w14:textId="72725315" w:rsidR="00E04133" w:rsidRPr="008831B4" w:rsidRDefault="00303C0E" w:rsidP="00932E5D">
      <w:pPr>
        <w:rPr>
          <w:rFonts w:asciiTheme="minorHAnsi" w:hAnsiTheme="minorHAnsi"/>
          <w:b/>
          <w:bCs/>
          <w:i/>
          <w:iCs/>
          <w:szCs w:val="24"/>
        </w:rPr>
      </w:pPr>
      <w:r w:rsidRPr="008831B4">
        <w:rPr>
          <w:rFonts w:asciiTheme="minorHAnsi" w:hAnsiTheme="minorHAnsi"/>
          <w:b/>
          <w:bCs/>
          <w:i/>
          <w:iCs/>
          <w:szCs w:val="24"/>
        </w:rPr>
        <w:t xml:space="preserve">Public Health </w:t>
      </w:r>
      <w:r w:rsidR="00F80934" w:rsidRPr="008831B4">
        <w:rPr>
          <w:rFonts w:asciiTheme="minorHAnsi" w:hAnsiTheme="minorHAnsi"/>
          <w:b/>
          <w:bCs/>
          <w:i/>
          <w:iCs/>
          <w:szCs w:val="24"/>
        </w:rPr>
        <w:t>Value: Health</w:t>
      </w:r>
      <w:r w:rsidR="00E04133" w:rsidRPr="008831B4">
        <w:rPr>
          <w:rFonts w:asciiTheme="minorHAnsi" w:hAnsiTheme="minorHAnsi"/>
          <w:b/>
          <w:bCs/>
          <w:i/>
          <w:iCs/>
          <w:szCs w:val="24"/>
        </w:rPr>
        <w:t xml:space="preserve"> Equity</w:t>
      </w:r>
    </w:p>
    <w:p w14:paraId="6FF22867" w14:textId="77777777" w:rsidR="003D3A29" w:rsidRPr="008831B4" w:rsidRDefault="003D3A29" w:rsidP="00210581">
      <w:pPr>
        <w:rPr>
          <w:rFonts w:cs="Calibri"/>
          <w:szCs w:val="24"/>
        </w:rPr>
      </w:pPr>
    </w:p>
    <w:p w14:paraId="1212D832" w14:textId="5F499F37" w:rsidR="00210581" w:rsidRPr="008831B4" w:rsidRDefault="0079436F" w:rsidP="00FD5107">
      <w:pPr>
        <w:rPr>
          <w:rFonts w:cs="Calibri"/>
          <w:szCs w:val="24"/>
        </w:rPr>
      </w:pPr>
      <w:r w:rsidRPr="008831B4">
        <w:rPr>
          <w:rFonts w:cs="Calibri"/>
          <w:szCs w:val="24"/>
        </w:rPr>
        <w:t xml:space="preserve">The Applicant affirms that is strives to promote health equity as both a provider and an employer and that it will increase access to short-term rehabilitation services </w:t>
      </w:r>
      <w:r w:rsidR="00A2300F">
        <w:rPr>
          <w:rFonts w:cs="Calibri"/>
          <w:szCs w:val="24"/>
        </w:rPr>
        <w:t xml:space="preserve">and improve the built environment </w:t>
      </w:r>
      <w:r w:rsidRPr="008831B4">
        <w:rPr>
          <w:rFonts w:cs="Calibri"/>
          <w:szCs w:val="24"/>
        </w:rPr>
        <w:t xml:space="preserve">without discriminating or limiting access based on payer source. </w:t>
      </w:r>
      <w:r w:rsidR="00935AE5" w:rsidRPr="008831B4">
        <w:rPr>
          <w:rFonts w:cs="Calibri"/>
          <w:szCs w:val="24"/>
        </w:rPr>
        <w:t xml:space="preserve">The Applicant states that it </w:t>
      </w:r>
      <w:r w:rsidR="00F45B7D" w:rsidRPr="008831B4">
        <w:rPr>
          <w:rFonts w:cs="Calibri"/>
          <w:szCs w:val="24"/>
        </w:rPr>
        <w:t>provides</w:t>
      </w:r>
      <w:r w:rsidR="00935AE5" w:rsidRPr="008831B4">
        <w:rPr>
          <w:rFonts w:cs="Calibri"/>
          <w:szCs w:val="24"/>
        </w:rPr>
        <w:t xml:space="preserve"> culturally and linguistically competent care available to all residents</w:t>
      </w:r>
      <w:r w:rsidR="00F45B7D" w:rsidRPr="008831B4">
        <w:rPr>
          <w:rFonts w:cs="Calibri"/>
          <w:szCs w:val="24"/>
        </w:rPr>
        <w:t xml:space="preserve"> through the following processes:</w:t>
      </w:r>
    </w:p>
    <w:p w14:paraId="65426E97" w14:textId="436BDA6C" w:rsidR="00F45B7D" w:rsidRPr="008831B4" w:rsidRDefault="002535C0" w:rsidP="00FD5107">
      <w:pPr>
        <w:pStyle w:val="ListParagraph"/>
        <w:numPr>
          <w:ilvl w:val="0"/>
          <w:numId w:val="4"/>
        </w:numPr>
        <w:rPr>
          <w:rFonts w:cs="Calibri"/>
          <w:szCs w:val="24"/>
        </w:rPr>
      </w:pPr>
      <w:r>
        <w:rPr>
          <w:rFonts w:cs="Calibri"/>
          <w:szCs w:val="24"/>
        </w:rPr>
        <w:t>Making i</w:t>
      </w:r>
      <w:r w:rsidR="00F45B7D" w:rsidRPr="008831B4">
        <w:rPr>
          <w:rFonts w:cs="Calibri"/>
          <w:szCs w:val="24"/>
        </w:rPr>
        <w:t xml:space="preserve">nterpreter services available for residents and family members through BoostLingo phone interpreters </w:t>
      </w:r>
    </w:p>
    <w:p w14:paraId="0F6EF503" w14:textId="1BA73FDF" w:rsidR="00F45B7D" w:rsidRPr="008831B4" w:rsidRDefault="0044721C" w:rsidP="00FD5107">
      <w:pPr>
        <w:pStyle w:val="ListParagraph"/>
        <w:numPr>
          <w:ilvl w:val="0"/>
          <w:numId w:val="4"/>
        </w:numPr>
        <w:rPr>
          <w:rFonts w:cs="Calibri"/>
          <w:szCs w:val="24"/>
        </w:rPr>
      </w:pPr>
      <w:r>
        <w:rPr>
          <w:rFonts w:cs="Calibri"/>
          <w:szCs w:val="24"/>
        </w:rPr>
        <w:t>Providing</w:t>
      </w:r>
      <w:r w:rsidR="00F45B7D" w:rsidRPr="008831B4">
        <w:rPr>
          <w:rFonts w:cs="Calibri"/>
          <w:szCs w:val="24"/>
        </w:rPr>
        <w:t xml:space="preserve"> many of its internal communications in both English and Spanish in recognition of the linguistic needs of its workforce</w:t>
      </w:r>
    </w:p>
    <w:p w14:paraId="2398131B" w14:textId="6E554805" w:rsidR="00E476FF" w:rsidRPr="008831B4" w:rsidRDefault="002535C0" w:rsidP="00FD5107">
      <w:pPr>
        <w:pStyle w:val="ListParagraph"/>
        <w:numPr>
          <w:ilvl w:val="0"/>
          <w:numId w:val="4"/>
        </w:numPr>
        <w:rPr>
          <w:rFonts w:cs="Calibri"/>
          <w:szCs w:val="24"/>
        </w:rPr>
      </w:pPr>
      <w:r>
        <w:rPr>
          <w:rFonts w:cs="Calibri"/>
          <w:szCs w:val="24"/>
        </w:rPr>
        <w:t>Providing c</w:t>
      </w:r>
      <w:r w:rsidR="00F45B7D" w:rsidRPr="008831B4">
        <w:rPr>
          <w:rFonts w:cs="Calibri"/>
          <w:szCs w:val="24"/>
        </w:rPr>
        <w:t xml:space="preserve">ultural competency training for all staff </w:t>
      </w:r>
      <w:r w:rsidR="00E476FF" w:rsidRPr="008831B4">
        <w:rPr>
          <w:rFonts w:cs="Calibri"/>
          <w:szCs w:val="24"/>
        </w:rPr>
        <w:t>o</w:t>
      </w:r>
      <w:r w:rsidR="00F45B7D" w:rsidRPr="008831B4">
        <w:rPr>
          <w:rFonts w:cs="Calibri"/>
          <w:szCs w:val="24"/>
        </w:rPr>
        <w:t xml:space="preserve">n hire </w:t>
      </w:r>
      <w:r w:rsidR="00AB136D" w:rsidRPr="008831B4">
        <w:rPr>
          <w:rFonts w:cs="Calibri"/>
          <w:szCs w:val="24"/>
        </w:rPr>
        <w:t xml:space="preserve">and </w:t>
      </w:r>
      <w:r w:rsidR="00F45B7D" w:rsidRPr="008831B4">
        <w:rPr>
          <w:rFonts w:cs="Calibri"/>
          <w:szCs w:val="24"/>
        </w:rPr>
        <w:t xml:space="preserve">annually </w:t>
      </w:r>
    </w:p>
    <w:p w14:paraId="5BE9D8E2" w14:textId="77777777" w:rsidR="00517EE2" w:rsidRPr="008831B4" w:rsidRDefault="00517EE2" w:rsidP="00FD5107">
      <w:pPr>
        <w:rPr>
          <w:rFonts w:cs="Calibri"/>
          <w:szCs w:val="24"/>
        </w:rPr>
      </w:pPr>
    </w:p>
    <w:p w14:paraId="4FAE34C0" w14:textId="77777777" w:rsidR="00DC1DA7" w:rsidRPr="008831B4" w:rsidRDefault="00E04133" w:rsidP="00B517EA">
      <w:pPr>
        <w:rPr>
          <w:rFonts w:asciiTheme="minorHAnsi" w:hAnsiTheme="minorHAnsi"/>
          <w:b/>
          <w:bCs/>
          <w:i/>
          <w:iCs/>
          <w:szCs w:val="24"/>
        </w:rPr>
      </w:pPr>
      <w:r w:rsidRPr="008831B4">
        <w:rPr>
          <w:rFonts w:asciiTheme="minorHAnsi" w:hAnsiTheme="minorHAnsi"/>
          <w:b/>
          <w:bCs/>
          <w:i/>
          <w:iCs/>
          <w:szCs w:val="24"/>
        </w:rPr>
        <w:t>Analysis</w:t>
      </w:r>
      <w:r w:rsidR="00303C0E" w:rsidRPr="008831B4">
        <w:rPr>
          <w:rFonts w:asciiTheme="minorHAnsi" w:hAnsiTheme="minorHAnsi"/>
          <w:b/>
          <w:bCs/>
          <w:i/>
          <w:iCs/>
          <w:szCs w:val="24"/>
        </w:rPr>
        <w:t>:</w:t>
      </w:r>
      <w:r w:rsidRPr="008831B4">
        <w:rPr>
          <w:rFonts w:asciiTheme="minorHAnsi" w:hAnsiTheme="minorHAnsi"/>
          <w:b/>
          <w:bCs/>
          <w:i/>
          <w:iCs/>
          <w:szCs w:val="24"/>
        </w:rPr>
        <w:t xml:space="preserve"> Health Equity </w:t>
      </w:r>
    </w:p>
    <w:p w14:paraId="662DBF90" w14:textId="41BEAE3B" w:rsidR="00DC1DA7" w:rsidRPr="008831B4" w:rsidRDefault="009B5377" w:rsidP="00FD5107">
      <w:pPr>
        <w:rPr>
          <w:szCs w:val="24"/>
        </w:rPr>
      </w:pPr>
      <w:bookmarkStart w:id="7" w:name="Factor_1:_c)_Efficiency,_Continuity_of_C"/>
      <w:bookmarkEnd w:id="7"/>
      <w:r w:rsidRPr="008831B4">
        <w:rPr>
          <w:szCs w:val="24"/>
        </w:rPr>
        <w:t>Staff finds that the Applicant has sufficiently demonstrated reasonable efforts to provide equitable access to The Overlook’s services. As a result, Staff finds that the Applicant meets the requirements of  Public Health Value: Health Equity part of Factor 1b</w:t>
      </w:r>
      <w:r w:rsidR="004519E1" w:rsidRPr="008831B4">
        <w:rPr>
          <w:szCs w:val="24"/>
        </w:rPr>
        <w:t>.</w:t>
      </w:r>
    </w:p>
    <w:p w14:paraId="1AB099C2" w14:textId="77777777" w:rsidR="00C20452" w:rsidRDefault="00C20452" w:rsidP="00602B1E"/>
    <w:p w14:paraId="7897ED02" w14:textId="041AE456" w:rsidR="00B447F3" w:rsidRDefault="00A4110F" w:rsidP="00C15F61">
      <w:pPr>
        <w:pStyle w:val="Heading1"/>
        <w:spacing w:before="174"/>
        <w:ind w:left="0"/>
        <w:rPr>
          <w:rFonts w:asciiTheme="minorHAnsi" w:hAnsiTheme="minorHAnsi"/>
          <w:color w:val="42558C"/>
        </w:rPr>
      </w:pPr>
      <w:bookmarkStart w:id="8" w:name="_Toc173743593"/>
      <w:r w:rsidRPr="003436F0">
        <w:rPr>
          <w:rFonts w:asciiTheme="minorHAnsi" w:hAnsiTheme="minorHAnsi"/>
          <w:color w:val="42558C"/>
        </w:rPr>
        <w:t>Factor 1: c) Efficiency, Continuity of Care, Coordination of Care</w:t>
      </w:r>
      <w:bookmarkEnd w:id="8"/>
    </w:p>
    <w:p w14:paraId="245F1055" w14:textId="77777777" w:rsidR="00E516FC" w:rsidRDefault="00E516FC" w:rsidP="000C6E88"/>
    <w:p w14:paraId="7934D36C" w14:textId="6B347A0D" w:rsidR="00E61BFA" w:rsidRDefault="005E41D2" w:rsidP="00FD5107">
      <w:r>
        <w:t>Ca</w:t>
      </w:r>
      <w:r w:rsidR="002B2C26">
        <w:t xml:space="preserve">re coordination and </w:t>
      </w:r>
      <w:r w:rsidR="002776D8">
        <w:t>integration</w:t>
      </w:r>
      <w:r w:rsidR="002B2C26">
        <w:t xml:space="preserve"> processes </w:t>
      </w:r>
      <w:r>
        <w:t>through the Applicant’s</w:t>
      </w:r>
      <w:r w:rsidR="002B2C26">
        <w:t xml:space="preserve"> continuum of care as well as with external care providers following a resident’s discharge from the Facility’s short-term </w:t>
      </w:r>
      <w:r w:rsidR="007E4E34">
        <w:t xml:space="preserve">rehabilitation </w:t>
      </w:r>
      <w:r w:rsidR="002B2C26">
        <w:t xml:space="preserve">unit, </w:t>
      </w:r>
      <w:r w:rsidR="00187B0F">
        <w:t>are</w:t>
      </w:r>
      <w:r w:rsidR="002B2C26">
        <w:t xml:space="preserve"> implemented to ensure that residents are receiving the right level of care</w:t>
      </w:r>
      <w:r w:rsidR="00E61BFA">
        <w:t xml:space="preserve"> in the appropriate setting</w:t>
      </w:r>
      <w:r w:rsidR="002B2C26">
        <w:t>, and</w:t>
      </w:r>
      <w:r w:rsidR="00E61BFA">
        <w:t xml:space="preserve"> </w:t>
      </w:r>
      <w:r w:rsidR="008613B6">
        <w:t xml:space="preserve">to </w:t>
      </w:r>
      <w:r w:rsidR="002B2C26">
        <w:t xml:space="preserve">support ongoing and open communication to promote team-based care and resident-centered care delivery. </w:t>
      </w:r>
      <w:r w:rsidR="00E476FF">
        <w:t xml:space="preserve">The Applicant </w:t>
      </w:r>
      <w:r w:rsidR="00491648">
        <w:t xml:space="preserve">states that it </w:t>
      </w:r>
      <w:r w:rsidR="00E476FF">
        <w:t>m</w:t>
      </w:r>
      <w:r w:rsidR="00E61BFA">
        <w:t>aintain</w:t>
      </w:r>
      <w:r w:rsidR="00E476FF">
        <w:t>s</w:t>
      </w:r>
      <w:r w:rsidR="00E61BFA">
        <w:t xml:space="preserve"> relationships with Harrington Hospital, UMass Memorial, St. Vincent’s, and several other hospitals in the surrounding area, which provides the Applicant with an understanding of the post-acute needs of the greater </w:t>
      </w:r>
      <w:r w:rsidR="00E61BFA">
        <w:lastRenderedPageBreak/>
        <w:t>community, allow</w:t>
      </w:r>
      <w:r w:rsidR="00187B0F">
        <w:t>ing</w:t>
      </w:r>
      <w:r w:rsidR="00E61BFA">
        <w:t xml:space="preserve"> for </w:t>
      </w:r>
      <w:r w:rsidR="0065739A">
        <w:t>The Overlook</w:t>
      </w:r>
      <w:r w:rsidR="00E61BFA">
        <w:t xml:space="preserve"> to anticipate and plan for new admissions with better efficiency, and foster</w:t>
      </w:r>
      <w:r w:rsidR="00187B0F">
        <w:t>ing</w:t>
      </w:r>
      <w:r w:rsidR="00E61BFA">
        <w:t xml:space="preserve"> open and ongoing communications between </w:t>
      </w:r>
      <w:r w:rsidR="0065739A">
        <w:t>The Overlook</w:t>
      </w:r>
      <w:r w:rsidR="00E61BFA">
        <w:t xml:space="preserve"> and the hospital to better facilitate sharing of information. </w:t>
      </w:r>
    </w:p>
    <w:p w14:paraId="1DA536D3" w14:textId="77777777" w:rsidR="00E476FF" w:rsidRDefault="00E476FF" w:rsidP="00E476FF"/>
    <w:p w14:paraId="3645FE4A" w14:textId="28C37C31" w:rsidR="00E4345D" w:rsidRDefault="0065739A" w:rsidP="00FD5107">
      <w:r>
        <w:t>The Overlook</w:t>
      </w:r>
      <w:r w:rsidR="00E61BFA">
        <w:t>’s Case Manager coordinates the work of Social Services, Rehabilitation and Nursing to ensure each resident is receiving the right care at the</w:t>
      </w:r>
      <w:r w:rsidR="002535C0">
        <w:t xml:space="preserve"> right</w:t>
      </w:r>
      <w:r w:rsidR="00E61BFA">
        <w:t xml:space="preserve"> time during their stay, and to ensure that resident treatment plan</w:t>
      </w:r>
      <w:r w:rsidR="002535C0">
        <w:t>s</w:t>
      </w:r>
      <w:r w:rsidR="00E61BFA">
        <w:t xml:space="preserve"> </w:t>
      </w:r>
      <w:r w:rsidR="002535C0">
        <w:t>are</w:t>
      </w:r>
      <w:r w:rsidR="00E61BFA">
        <w:t xml:space="preserve"> tailored to</w:t>
      </w:r>
      <w:r w:rsidR="002535C0">
        <w:t xml:space="preserve"> the residents’</w:t>
      </w:r>
      <w:r w:rsidR="00E61BFA">
        <w:t xml:space="preserve"> recovery. The Case Manager works to facilitate successful discharge planning which begins at the start of a resident’s admission to </w:t>
      </w:r>
      <w:r>
        <w:t>The Overlook</w:t>
      </w:r>
      <w:r w:rsidR="00E61BFA">
        <w:t>. Processes to support successful discharge planning include scheduling a post-stay appointment with the resident’s primary care provider</w:t>
      </w:r>
      <w:r w:rsidR="002E52F7">
        <w:t xml:space="preserve"> (PCP)</w:t>
      </w:r>
      <w:r w:rsidR="00E61BFA">
        <w:t xml:space="preserve">, and coordinating services once the resident is discharged home, such as home health, meal delivery, and other community-based services that the resident may need for a successful transition and long-term recovery. </w:t>
      </w:r>
      <w:r w:rsidR="002776D8">
        <w:t xml:space="preserve">Continuum of care meetings hosted by the Applicant with representatives from each level of care provided by the Applicant enable </w:t>
      </w:r>
      <w:r>
        <w:t>The Overlook</w:t>
      </w:r>
      <w:r w:rsidR="002776D8">
        <w:t xml:space="preserve"> to quickly address changes in residents and implement a plan to add or increase services, or move a resident to a more appropriate level of care to address the resident’s changing care needs</w:t>
      </w:r>
      <w:r w:rsidR="00E4345D">
        <w:t>. For incoming admissions, the Applicant obtains access to certain medical records via electronic medical record access, and if shared access i</w:t>
      </w:r>
      <w:r w:rsidR="00C553F7">
        <w:t>s</w:t>
      </w:r>
      <w:r w:rsidR="00E4345D">
        <w:t xml:space="preserve"> unavailable, the discharging hospital will provide the Applicant with a copy of the record via a secured electronic method or paper copy. The Applicant states further that medical records are only shared after obtaining a signed release authorizing the sharing of information, and in the manner pr</w:t>
      </w:r>
      <w:r w:rsidR="00BA6956">
        <w:t>e</w:t>
      </w:r>
      <w:r w:rsidR="00E4345D">
        <w:t xml:space="preserve">scribed, including fax, email or mail. </w:t>
      </w:r>
    </w:p>
    <w:p w14:paraId="731C94A0" w14:textId="40D5797F" w:rsidR="007830FE" w:rsidRDefault="00210333" w:rsidP="000C6E88">
      <w:r>
        <w:t xml:space="preserve">   </w:t>
      </w:r>
    </w:p>
    <w:p w14:paraId="550AD8B9" w14:textId="08F93E52" w:rsidR="00B447F3" w:rsidRDefault="00A4110F" w:rsidP="0064204E">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0BB34DBA" w14:textId="776F55AE" w:rsidR="00B447F3" w:rsidRPr="006E2AE1" w:rsidRDefault="00117E82" w:rsidP="00FD5107">
      <w:pPr>
        <w:rPr>
          <w:rFonts w:asciiTheme="minorHAnsi" w:hAnsiTheme="minorHAnsi"/>
          <w:szCs w:val="24"/>
        </w:rPr>
      </w:pPr>
      <w:r>
        <w:rPr>
          <w:rFonts w:asciiTheme="minorHAnsi" w:hAnsiTheme="minorHAnsi"/>
          <w:szCs w:val="24"/>
        </w:rPr>
        <w:t xml:space="preserve">As a result of the processes in place to support coordination of care and continuity of care for the Applicant’s Patient Panel, </w:t>
      </w:r>
      <w:r w:rsidR="006E2AE1" w:rsidRPr="006E2AE1">
        <w:rPr>
          <w:rFonts w:asciiTheme="minorHAnsi" w:hAnsiTheme="minorHAnsi"/>
          <w:szCs w:val="24"/>
        </w:rPr>
        <w:t>Staff finds that the Proposed Project meets the requirements of Factor 1c.</w:t>
      </w:r>
    </w:p>
    <w:p w14:paraId="67EC1B2E" w14:textId="77777777" w:rsidR="009B5377" w:rsidRDefault="009B5377">
      <w:pPr>
        <w:rPr>
          <w:rFonts w:asciiTheme="minorHAnsi" w:hAnsiTheme="minorHAnsi"/>
          <w:sz w:val="18"/>
        </w:rPr>
      </w:pPr>
    </w:p>
    <w:p w14:paraId="1C366B98" w14:textId="23676C2A" w:rsidR="00B447F3" w:rsidRPr="003436F0" w:rsidRDefault="00A4110F" w:rsidP="00A67666">
      <w:pPr>
        <w:pStyle w:val="Heading1"/>
        <w:spacing w:before="87"/>
        <w:ind w:left="0"/>
        <w:jc w:val="both"/>
        <w:rPr>
          <w:rFonts w:asciiTheme="minorHAnsi" w:hAnsiTheme="minorHAnsi"/>
        </w:rPr>
      </w:pPr>
      <w:bookmarkStart w:id="9" w:name="Factor_1:_d)_Consultation"/>
      <w:bookmarkStart w:id="10" w:name="_Toc173743594"/>
      <w:bookmarkEnd w:id="9"/>
      <w:r w:rsidRPr="003436F0">
        <w:rPr>
          <w:rFonts w:asciiTheme="minorHAnsi" w:hAnsiTheme="minorHAnsi"/>
          <w:color w:val="42558C"/>
        </w:rPr>
        <w:t>Factor 1: d) Consultation</w:t>
      </w:r>
      <w:bookmarkEnd w:id="10"/>
    </w:p>
    <w:p w14:paraId="6ECA67A1" w14:textId="77777777" w:rsidR="00B447F3" w:rsidRPr="003436F0" w:rsidRDefault="00A4110F" w:rsidP="00D01951">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373A4978" w14:textId="77777777" w:rsidR="00971FE7" w:rsidRDefault="00971FE7" w:rsidP="00D01951">
      <w:pPr>
        <w:pStyle w:val="Heading1"/>
        <w:ind w:left="0" w:right="496"/>
        <w:rPr>
          <w:rFonts w:asciiTheme="minorHAnsi" w:hAnsiTheme="minorHAnsi"/>
          <w:color w:val="42558C"/>
        </w:rPr>
      </w:pPr>
      <w:bookmarkStart w:id="11" w:name="Factor_1:_e)_Evidence_of_Sound_Community"/>
      <w:bookmarkEnd w:id="11"/>
    </w:p>
    <w:p w14:paraId="3BE4534C" w14:textId="02F97641" w:rsidR="00B447F3" w:rsidRPr="003436F0" w:rsidRDefault="00A4110F" w:rsidP="00D01951">
      <w:pPr>
        <w:pStyle w:val="Heading1"/>
        <w:ind w:left="0" w:right="496"/>
        <w:rPr>
          <w:rFonts w:asciiTheme="minorHAnsi" w:hAnsiTheme="minorHAnsi"/>
        </w:rPr>
      </w:pPr>
      <w:bookmarkStart w:id="12" w:name="_Toc173743595"/>
      <w:r w:rsidRPr="003436F0">
        <w:rPr>
          <w:rFonts w:asciiTheme="minorHAnsi" w:hAnsiTheme="minorHAnsi"/>
          <w:color w:val="42558C"/>
        </w:rPr>
        <w:t>Factor 1: e) Evidence of Sound Community Engagement through the Patient Panel</w:t>
      </w:r>
      <w:bookmarkEnd w:id="12"/>
    </w:p>
    <w:p w14:paraId="415C51CB" w14:textId="40DC63C2" w:rsidR="00B447F3" w:rsidRPr="004A1BE8" w:rsidRDefault="00A4110F" w:rsidP="00026A2F">
      <w:pPr>
        <w:rPr>
          <w:position w:val="10"/>
        </w:rPr>
      </w:pPr>
      <w:r w:rsidRPr="008831B4">
        <w:t>The Department’s Guideline</w:t>
      </w:r>
      <w:r w:rsidRPr="003F0838">
        <w:rPr>
          <w:position w:val="10"/>
          <w:szCs w:val="24"/>
          <w:vertAlign w:val="subscript"/>
        </w:rPr>
        <w:t>dd</w:t>
      </w:r>
      <w:r w:rsidRPr="004A1BE8">
        <w:rPr>
          <w:position w:val="10"/>
        </w:rPr>
        <w:t xml:space="preserve"> </w:t>
      </w:r>
      <w:r w:rsidRPr="008831B4">
        <w:t>for community engagement defines “community” as the Patient Panel,</w:t>
      </w:r>
      <w:r w:rsidRPr="008831B4">
        <w:rPr>
          <w:spacing w:val="-3"/>
        </w:rPr>
        <w:t xml:space="preserve"> </w:t>
      </w:r>
      <w:r w:rsidRPr="008831B4">
        <w:t>and</w:t>
      </w:r>
      <w:r w:rsidRPr="008831B4">
        <w:rPr>
          <w:spacing w:val="-4"/>
        </w:rPr>
        <w:t xml:space="preserve"> </w:t>
      </w:r>
      <w:r w:rsidRPr="008831B4">
        <w:t>requires</w:t>
      </w:r>
      <w:r w:rsidRPr="008831B4">
        <w:rPr>
          <w:spacing w:val="-4"/>
        </w:rPr>
        <w:t xml:space="preserve"> </w:t>
      </w:r>
      <w:r w:rsidRPr="008831B4">
        <w:t>that</w:t>
      </w:r>
      <w:r w:rsidRPr="008831B4">
        <w:rPr>
          <w:spacing w:val="-4"/>
        </w:rPr>
        <w:t xml:space="preserve"> </w:t>
      </w:r>
      <w:r w:rsidRPr="008831B4">
        <w:t>at</w:t>
      </w:r>
      <w:r w:rsidRPr="008831B4">
        <w:rPr>
          <w:spacing w:val="-5"/>
        </w:rPr>
        <w:t xml:space="preserve"> </w:t>
      </w:r>
      <w:r w:rsidRPr="008831B4">
        <w:t>minimum,</w:t>
      </w:r>
      <w:r w:rsidRPr="008831B4">
        <w:rPr>
          <w:spacing w:val="-3"/>
        </w:rPr>
        <w:t xml:space="preserve"> </w:t>
      </w:r>
      <w:r w:rsidRPr="008831B4">
        <w:t>the</w:t>
      </w:r>
      <w:r w:rsidRPr="008831B4">
        <w:rPr>
          <w:spacing w:val="-3"/>
        </w:rPr>
        <w:t xml:space="preserve"> </w:t>
      </w:r>
      <w:r w:rsidRPr="008831B4">
        <w:t>Applicant</w:t>
      </w:r>
      <w:r w:rsidRPr="008831B4">
        <w:rPr>
          <w:spacing w:val="-5"/>
        </w:rPr>
        <w:t xml:space="preserve"> </w:t>
      </w:r>
      <w:r w:rsidRPr="008831B4">
        <w:t>must</w:t>
      </w:r>
      <w:r w:rsidRPr="008831B4">
        <w:rPr>
          <w:spacing w:val="-4"/>
        </w:rPr>
        <w:t xml:space="preserve"> </w:t>
      </w:r>
      <w:r w:rsidRPr="008831B4">
        <w:t>“consult”</w:t>
      </w:r>
      <w:r w:rsidRPr="008831B4">
        <w:rPr>
          <w:spacing w:val="-3"/>
        </w:rPr>
        <w:t xml:space="preserve"> </w:t>
      </w:r>
      <w:r w:rsidRPr="008831B4">
        <w:t>with</w:t>
      </w:r>
      <w:r w:rsidRPr="008831B4">
        <w:rPr>
          <w:spacing w:val="-3"/>
        </w:rPr>
        <w:t xml:space="preserve"> </w:t>
      </w:r>
      <w:r w:rsidRPr="008831B4">
        <w:t>groups</w:t>
      </w:r>
      <w:r w:rsidRPr="008831B4">
        <w:rPr>
          <w:spacing w:val="-5"/>
        </w:rPr>
        <w:t xml:space="preserve"> </w:t>
      </w:r>
      <w:r w:rsidRPr="008831B4">
        <w:t>representative</w:t>
      </w:r>
      <w:r w:rsidRPr="008831B4">
        <w:rPr>
          <w:spacing w:val="-2"/>
        </w:rPr>
        <w:t xml:space="preserve"> </w:t>
      </w:r>
      <w:r w:rsidRPr="008831B4">
        <w:t>of</w:t>
      </w:r>
      <w:r w:rsidRPr="008831B4">
        <w:rPr>
          <w:spacing w:val="-4"/>
        </w:rPr>
        <w:t xml:space="preserve"> </w:t>
      </w:r>
      <w:r w:rsidRPr="008831B4">
        <w:t>the Applicant's Patient Panel. Regulations state that efforts in such consultation should consist of</w:t>
      </w:r>
      <w:r w:rsidR="00026A2F">
        <w:t xml:space="preserve"> </w:t>
      </w:r>
      <w:r w:rsidRPr="008831B4">
        <w:t>engaging “community coalitions statistically representative of the Patient</w:t>
      </w:r>
      <w:r w:rsidRPr="008831B4">
        <w:rPr>
          <w:spacing w:val="-14"/>
        </w:rPr>
        <w:t xml:space="preserve"> </w:t>
      </w:r>
      <w:r w:rsidRPr="008831B4">
        <w:t>Panel.”</w:t>
      </w:r>
      <w:r w:rsidRPr="003F0838">
        <w:rPr>
          <w:position w:val="10"/>
          <w:szCs w:val="24"/>
          <w:vertAlign w:val="superscript"/>
        </w:rPr>
        <w:t>ee</w:t>
      </w:r>
    </w:p>
    <w:p w14:paraId="25E481C1" w14:textId="77777777" w:rsidR="00A95124" w:rsidRPr="004A1BE8" w:rsidRDefault="00A95124" w:rsidP="00232313">
      <w:pPr>
        <w:pStyle w:val="BodyText"/>
        <w:ind w:right="259"/>
        <w:rPr>
          <w:rFonts w:asciiTheme="minorHAnsi" w:hAnsiTheme="minorHAnsi"/>
          <w:position w:val="10"/>
        </w:rPr>
      </w:pPr>
    </w:p>
    <w:p w14:paraId="5AB050F2" w14:textId="486EE1E8" w:rsidR="00A95124" w:rsidRPr="008831B4" w:rsidRDefault="00294268" w:rsidP="00232313">
      <w:pPr>
        <w:pStyle w:val="BodyText"/>
        <w:ind w:right="259"/>
        <w:rPr>
          <w:rFonts w:asciiTheme="minorHAnsi" w:hAnsiTheme="minorHAnsi"/>
          <w:position w:val="10"/>
        </w:rPr>
      </w:pPr>
      <w:r w:rsidRPr="008831B4">
        <w:rPr>
          <w:rFonts w:asciiTheme="minorHAnsi" w:hAnsiTheme="minorHAnsi"/>
          <w:position w:val="10"/>
        </w:rPr>
        <w:t xml:space="preserve">To comply with the community engagement requirement, the Applicant hosted the following </w:t>
      </w:r>
      <w:r w:rsidRPr="008831B4">
        <w:rPr>
          <w:rFonts w:asciiTheme="minorHAnsi" w:hAnsiTheme="minorHAnsi"/>
          <w:position w:val="10"/>
        </w:rPr>
        <w:lastRenderedPageBreak/>
        <w:t>events:</w:t>
      </w:r>
    </w:p>
    <w:p w14:paraId="246B438D" w14:textId="5EC4D89F" w:rsidR="00294268" w:rsidRPr="008831B4" w:rsidRDefault="0044721C" w:rsidP="00276A85">
      <w:pPr>
        <w:pStyle w:val="BodyText"/>
        <w:numPr>
          <w:ilvl w:val="0"/>
          <w:numId w:val="5"/>
        </w:numPr>
        <w:ind w:right="259"/>
        <w:rPr>
          <w:rFonts w:asciiTheme="minorHAnsi" w:hAnsiTheme="minorHAnsi"/>
          <w:position w:val="10"/>
        </w:rPr>
      </w:pPr>
      <w:r>
        <w:rPr>
          <w:rFonts w:asciiTheme="minorHAnsi" w:hAnsiTheme="minorHAnsi"/>
          <w:b/>
          <w:bCs/>
          <w:position w:val="10"/>
        </w:rPr>
        <w:t xml:space="preserve">Eight </w:t>
      </w:r>
      <w:r w:rsidR="00294268" w:rsidRPr="008831B4">
        <w:rPr>
          <w:rFonts w:asciiTheme="minorHAnsi" w:hAnsiTheme="minorHAnsi"/>
          <w:b/>
          <w:bCs/>
          <w:position w:val="10"/>
        </w:rPr>
        <w:t>Focus Groups</w:t>
      </w:r>
      <w:r w:rsidR="00294268" w:rsidRPr="008831B4">
        <w:rPr>
          <w:rFonts w:asciiTheme="minorHAnsi" w:hAnsiTheme="minorHAnsi"/>
          <w:position w:val="10"/>
        </w:rPr>
        <w:t xml:space="preserve">: conducted with </w:t>
      </w:r>
      <w:r w:rsidR="0065739A" w:rsidRPr="008831B4">
        <w:rPr>
          <w:rFonts w:asciiTheme="minorHAnsi" w:hAnsiTheme="minorHAnsi"/>
          <w:position w:val="10"/>
        </w:rPr>
        <w:t>The Overlook</w:t>
      </w:r>
      <w:r w:rsidR="00294268" w:rsidRPr="008831B4">
        <w:rPr>
          <w:rFonts w:asciiTheme="minorHAnsi" w:hAnsiTheme="minorHAnsi"/>
          <w:position w:val="10"/>
        </w:rPr>
        <w:t xml:space="preserve"> and community stakeholders on January 23</w:t>
      </w:r>
      <w:r w:rsidR="00294268" w:rsidRPr="008831B4">
        <w:rPr>
          <w:rFonts w:asciiTheme="minorHAnsi" w:hAnsiTheme="minorHAnsi"/>
          <w:position w:val="10"/>
          <w:vertAlign w:val="superscript"/>
        </w:rPr>
        <w:t>rd</w:t>
      </w:r>
      <w:r w:rsidR="00294268" w:rsidRPr="008831B4">
        <w:rPr>
          <w:rFonts w:asciiTheme="minorHAnsi" w:hAnsiTheme="minorHAnsi"/>
          <w:position w:val="10"/>
        </w:rPr>
        <w:t xml:space="preserve"> and 24</w:t>
      </w:r>
      <w:r w:rsidR="00294268" w:rsidRPr="008831B4">
        <w:rPr>
          <w:rFonts w:asciiTheme="minorHAnsi" w:hAnsiTheme="minorHAnsi"/>
          <w:position w:val="10"/>
          <w:vertAlign w:val="superscript"/>
        </w:rPr>
        <w:t>th</w:t>
      </w:r>
      <w:r w:rsidR="00294268" w:rsidRPr="008831B4">
        <w:rPr>
          <w:rFonts w:asciiTheme="minorHAnsi" w:hAnsiTheme="minorHAnsi"/>
          <w:position w:val="10"/>
        </w:rPr>
        <w:t xml:space="preserve">, 2024. </w:t>
      </w:r>
    </w:p>
    <w:p w14:paraId="6B555DC0" w14:textId="67B95B3F" w:rsidR="0002634C" w:rsidRPr="008831B4" w:rsidRDefault="0002634C" w:rsidP="00276A85">
      <w:pPr>
        <w:pStyle w:val="BodyText"/>
        <w:numPr>
          <w:ilvl w:val="0"/>
          <w:numId w:val="5"/>
        </w:numPr>
        <w:ind w:right="259"/>
        <w:rPr>
          <w:rFonts w:asciiTheme="minorHAnsi" w:hAnsiTheme="minorHAnsi"/>
          <w:position w:val="10"/>
        </w:rPr>
      </w:pPr>
      <w:r w:rsidRPr="008831B4">
        <w:rPr>
          <w:rFonts w:asciiTheme="minorHAnsi" w:hAnsiTheme="minorHAnsi"/>
          <w:b/>
          <w:bCs/>
          <w:position w:val="10"/>
        </w:rPr>
        <w:t>Town Hall</w:t>
      </w:r>
      <w:r w:rsidRPr="008831B4">
        <w:rPr>
          <w:rFonts w:asciiTheme="minorHAnsi" w:hAnsiTheme="minorHAnsi"/>
          <w:position w:val="10"/>
        </w:rPr>
        <w:t xml:space="preserve">: conducted for </w:t>
      </w:r>
      <w:r w:rsidR="0065739A" w:rsidRPr="008831B4">
        <w:rPr>
          <w:rFonts w:asciiTheme="minorHAnsi" w:hAnsiTheme="minorHAnsi"/>
          <w:position w:val="10"/>
        </w:rPr>
        <w:t>The Overlook</w:t>
      </w:r>
      <w:r w:rsidRPr="008831B4">
        <w:rPr>
          <w:rFonts w:asciiTheme="minorHAnsi" w:hAnsiTheme="minorHAnsi"/>
          <w:position w:val="10"/>
        </w:rPr>
        <w:t xml:space="preserve"> residents on January 17, 2024. </w:t>
      </w:r>
    </w:p>
    <w:p w14:paraId="135410CD" w14:textId="6FB2BDB4" w:rsidR="0002634C" w:rsidRPr="008831B4" w:rsidRDefault="007105AA" w:rsidP="00276A85">
      <w:pPr>
        <w:pStyle w:val="BodyText"/>
        <w:numPr>
          <w:ilvl w:val="0"/>
          <w:numId w:val="5"/>
        </w:numPr>
        <w:ind w:right="259"/>
        <w:rPr>
          <w:rFonts w:asciiTheme="minorHAnsi" w:hAnsiTheme="minorHAnsi"/>
          <w:position w:val="10"/>
        </w:rPr>
      </w:pPr>
      <w:r w:rsidRPr="008831B4">
        <w:rPr>
          <w:rFonts w:asciiTheme="minorHAnsi" w:hAnsiTheme="minorHAnsi"/>
          <w:b/>
          <w:bCs/>
          <w:position w:val="10"/>
        </w:rPr>
        <w:t>Family Night</w:t>
      </w:r>
      <w:r w:rsidRPr="008831B4">
        <w:rPr>
          <w:rFonts w:asciiTheme="minorHAnsi" w:hAnsiTheme="minorHAnsi"/>
          <w:position w:val="10"/>
        </w:rPr>
        <w:t xml:space="preserve">: conducted on January 23, 2024 for family members of </w:t>
      </w:r>
      <w:r w:rsidR="0065739A" w:rsidRPr="008831B4">
        <w:rPr>
          <w:rFonts w:asciiTheme="minorHAnsi" w:hAnsiTheme="minorHAnsi"/>
          <w:position w:val="10"/>
        </w:rPr>
        <w:t>The Overlook</w:t>
      </w:r>
      <w:r w:rsidRPr="008831B4">
        <w:rPr>
          <w:rFonts w:asciiTheme="minorHAnsi" w:hAnsiTheme="minorHAnsi"/>
          <w:position w:val="10"/>
        </w:rPr>
        <w:t xml:space="preserve"> residents. </w:t>
      </w:r>
    </w:p>
    <w:p w14:paraId="282882C0" w14:textId="7BCC7648" w:rsidR="007105AA" w:rsidRPr="008831B4" w:rsidRDefault="00C12049" w:rsidP="00276A85">
      <w:pPr>
        <w:pStyle w:val="BodyText"/>
        <w:numPr>
          <w:ilvl w:val="0"/>
          <w:numId w:val="5"/>
        </w:numPr>
        <w:ind w:right="259"/>
        <w:rPr>
          <w:rFonts w:asciiTheme="minorHAnsi" w:hAnsiTheme="minorHAnsi"/>
          <w:position w:val="10"/>
        </w:rPr>
      </w:pPr>
      <w:r w:rsidRPr="008831B4">
        <w:rPr>
          <w:rFonts w:asciiTheme="minorHAnsi" w:hAnsiTheme="minorHAnsi"/>
          <w:b/>
          <w:bCs/>
          <w:position w:val="10"/>
        </w:rPr>
        <w:t xml:space="preserve">Virtual </w:t>
      </w:r>
      <w:r w:rsidR="005C72E6" w:rsidRPr="008831B4">
        <w:rPr>
          <w:rFonts w:asciiTheme="minorHAnsi" w:hAnsiTheme="minorHAnsi"/>
          <w:b/>
          <w:bCs/>
          <w:position w:val="10"/>
        </w:rPr>
        <w:t>Public Meeting</w:t>
      </w:r>
      <w:r w:rsidR="005C72E6" w:rsidRPr="008831B4">
        <w:rPr>
          <w:rFonts w:asciiTheme="minorHAnsi" w:hAnsiTheme="minorHAnsi"/>
          <w:position w:val="10"/>
        </w:rPr>
        <w:t xml:space="preserve">: held on January 30, 2024. </w:t>
      </w:r>
    </w:p>
    <w:p w14:paraId="59E187D7" w14:textId="77777777" w:rsidR="00A95124" w:rsidRPr="008831B4" w:rsidRDefault="00A95124" w:rsidP="00232313">
      <w:pPr>
        <w:pStyle w:val="BodyText"/>
        <w:ind w:right="259"/>
        <w:rPr>
          <w:rFonts w:asciiTheme="minorHAnsi" w:hAnsiTheme="minorHAnsi"/>
          <w:position w:val="10"/>
        </w:rPr>
      </w:pPr>
    </w:p>
    <w:p w14:paraId="7A9FECBA" w14:textId="75DE651D" w:rsidR="00445AE5" w:rsidRPr="008831B4" w:rsidRDefault="003D4F53" w:rsidP="007830FE">
      <w:r w:rsidRPr="008831B4">
        <w:t>The Applicant states that m</w:t>
      </w:r>
      <w:r w:rsidR="00A97FEE" w:rsidRPr="008831B4">
        <w:t>ore than 200 residents, staff and community members participated in the events, and contributed to the vision and design of the Proposed Project.</w:t>
      </w:r>
      <w:r w:rsidR="00F323A9" w:rsidRPr="008831B4">
        <w:t xml:space="preserve"> A specific need for resident engagement space was identified. F</w:t>
      </w:r>
      <w:r w:rsidR="00A97FEE" w:rsidRPr="008831B4">
        <w:t xml:space="preserve">eedback received during the events regarding the use of clinical and common space, lighting and outlet placement, flooring choices, and resident flow is currently being incorporated into final design plans. </w:t>
      </w:r>
      <w:r w:rsidR="00E06E46" w:rsidRPr="008831B4">
        <w:t xml:space="preserve">The Applicant states </w:t>
      </w:r>
      <w:r w:rsidRPr="008831B4">
        <w:t xml:space="preserve">the Proposed Project is reflective of the needs of the Applicant’s Patient Panel because of the </w:t>
      </w:r>
      <w:r w:rsidR="00E06E46" w:rsidRPr="008831B4">
        <w:t>continuous involvement of the community in the planning process</w:t>
      </w:r>
      <w:r w:rsidRPr="008831B4">
        <w:t>.</w:t>
      </w:r>
      <w:r w:rsidR="00E06E46" w:rsidRPr="008831B4">
        <w:t xml:space="preserve"> </w:t>
      </w:r>
    </w:p>
    <w:p w14:paraId="35EFA64E" w14:textId="45CBC2E5" w:rsidR="00F164BC" w:rsidRPr="004A1BE8" w:rsidRDefault="00F164BC" w:rsidP="005D245C">
      <w:pPr>
        <w:pStyle w:val="BodyText"/>
        <w:ind w:right="263"/>
        <w:rPr>
          <w:rFonts w:asciiTheme="minorHAnsi" w:hAnsiTheme="minorHAnsi"/>
          <w:position w:val="10"/>
        </w:rPr>
      </w:pPr>
    </w:p>
    <w:p w14:paraId="1B7CB00F" w14:textId="0E446AC9" w:rsidR="003A7B86" w:rsidRPr="008831B4" w:rsidRDefault="00A4110F" w:rsidP="004D5540">
      <w:pPr>
        <w:rPr>
          <w:rFonts w:asciiTheme="minorHAnsi" w:hAnsiTheme="minorHAnsi"/>
          <w:b/>
          <w:bCs/>
          <w:i/>
          <w:iCs/>
          <w:szCs w:val="24"/>
        </w:rPr>
      </w:pPr>
      <w:r w:rsidRPr="008831B4">
        <w:rPr>
          <w:rFonts w:asciiTheme="minorHAnsi" w:hAnsiTheme="minorHAnsi"/>
          <w:b/>
          <w:bCs/>
          <w:i/>
          <w:iCs/>
          <w:szCs w:val="24"/>
        </w:rPr>
        <w:t>Analysis</w:t>
      </w:r>
    </w:p>
    <w:p w14:paraId="0999036E" w14:textId="3C0EB684" w:rsidR="003346BB" w:rsidRPr="008831B4" w:rsidRDefault="003346BB" w:rsidP="004D5540">
      <w:pPr>
        <w:rPr>
          <w:rFonts w:asciiTheme="minorHAnsi" w:hAnsiTheme="minorHAnsi"/>
          <w:b/>
          <w:bCs/>
          <w:i/>
          <w:iCs/>
          <w:szCs w:val="24"/>
        </w:rPr>
      </w:pPr>
      <w:r w:rsidRPr="008831B4">
        <w:rPr>
          <w:rFonts w:asciiTheme="minorHAnsi" w:hAnsiTheme="minorHAnsi"/>
          <w:szCs w:val="24"/>
        </w:rPr>
        <w:t xml:space="preserve">Staff reviewed the information on the Applicant’s community engagement and finds that </w:t>
      </w:r>
    </w:p>
    <w:p w14:paraId="3C066104" w14:textId="08A91D3B" w:rsidR="00B447F3" w:rsidRDefault="003346BB" w:rsidP="004D5540">
      <w:pPr>
        <w:rPr>
          <w:rFonts w:asciiTheme="minorHAnsi" w:hAnsiTheme="minorHAnsi"/>
          <w:szCs w:val="24"/>
        </w:rPr>
      </w:pPr>
      <w:r w:rsidRPr="008831B4">
        <w:rPr>
          <w:rFonts w:asciiTheme="minorHAnsi" w:hAnsiTheme="minorHAnsi"/>
          <w:szCs w:val="24"/>
        </w:rPr>
        <w:t>the Applicant has met the required community engagement standard of Consult</w:t>
      </w:r>
      <w:r w:rsidR="003A7B86" w:rsidRPr="008831B4">
        <w:rPr>
          <w:rFonts w:asciiTheme="minorHAnsi" w:hAnsiTheme="minorHAnsi"/>
          <w:szCs w:val="24"/>
        </w:rPr>
        <w:t xml:space="preserve"> </w:t>
      </w:r>
      <w:r w:rsidRPr="008831B4">
        <w:rPr>
          <w:rFonts w:asciiTheme="minorHAnsi" w:hAnsiTheme="minorHAnsi"/>
          <w:szCs w:val="24"/>
        </w:rPr>
        <w:t>in the planning phase of the Proposed Project.</w:t>
      </w:r>
      <w:r w:rsidR="006E2AE1" w:rsidRPr="008831B4">
        <w:rPr>
          <w:szCs w:val="24"/>
        </w:rPr>
        <w:t xml:space="preserve"> </w:t>
      </w:r>
      <w:r w:rsidR="006E2AE1" w:rsidRPr="008831B4">
        <w:rPr>
          <w:rFonts w:asciiTheme="minorHAnsi" w:hAnsiTheme="minorHAnsi"/>
          <w:szCs w:val="24"/>
        </w:rPr>
        <w:t>As a result, Staff finds that the Proposed Project meets the requirements of Factor 1e.</w:t>
      </w:r>
    </w:p>
    <w:p w14:paraId="693E7403" w14:textId="77777777" w:rsidR="00CB12FE" w:rsidRDefault="00CB12FE" w:rsidP="004D5540">
      <w:pPr>
        <w:rPr>
          <w:rFonts w:asciiTheme="minorHAnsi" w:hAnsiTheme="minorHAnsi"/>
          <w:szCs w:val="24"/>
        </w:rPr>
      </w:pPr>
    </w:p>
    <w:p w14:paraId="62ADE9A1" w14:textId="77777777" w:rsidR="00AB1711" w:rsidRDefault="00AB1711" w:rsidP="00771386">
      <w:pPr>
        <w:pStyle w:val="Heading1"/>
        <w:ind w:left="0"/>
        <w:rPr>
          <w:color w:val="1F497D" w:themeColor="text2"/>
        </w:rPr>
      </w:pPr>
      <w:bookmarkStart w:id="13" w:name="Factor_1:_f)_Competition_on_price,_total"/>
      <w:bookmarkEnd w:id="13"/>
    </w:p>
    <w:p w14:paraId="1284B21B" w14:textId="15225F47" w:rsidR="004A2BD8" w:rsidRDefault="00A4110F" w:rsidP="00771386">
      <w:pPr>
        <w:pStyle w:val="Heading1"/>
        <w:ind w:left="0"/>
        <w:rPr>
          <w:color w:val="1F497D" w:themeColor="text2"/>
        </w:rPr>
      </w:pPr>
      <w:bookmarkStart w:id="14" w:name="_Toc173743596"/>
      <w:r w:rsidRPr="00771386">
        <w:rPr>
          <w:color w:val="1F497D" w:themeColor="text2"/>
        </w:rPr>
        <w:t>Factor 1: f) Competition on price, total medical expenses (TME), costs and other measures of health care spending</w:t>
      </w:r>
      <w:bookmarkEnd w:id="14"/>
    </w:p>
    <w:p w14:paraId="3B85AE2D" w14:textId="77777777" w:rsidR="004A2BD8" w:rsidRDefault="004A2BD8" w:rsidP="00CD2125"/>
    <w:p w14:paraId="364EDED6" w14:textId="14B6AD8B" w:rsidR="00CD2125" w:rsidRDefault="00D7591F" w:rsidP="00CD2125">
      <w:r>
        <w:t xml:space="preserve">The Applicant states that the Proposed Project will compete on the basis of price, total medical expenses (TME), </w:t>
      </w:r>
      <w:r w:rsidR="00F54963">
        <w:t xml:space="preserve">and other measures of health care spending by expanding access to </w:t>
      </w:r>
      <w:r w:rsidR="008D4F52">
        <w:t>The Overlook’s services</w:t>
      </w:r>
      <w:r w:rsidR="007E4E34">
        <w:t xml:space="preserve"> </w:t>
      </w:r>
      <w:r w:rsidR="00F54963">
        <w:t>to CCRC’s members and the surrounding community which will address projected increasing need for such services, and support</w:t>
      </w:r>
      <w:r w:rsidR="00637FDA">
        <w:t xml:space="preserve"> the</w:t>
      </w:r>
      <w:r w:rsidR="00F54963">
        <w:t xml:space="preserve"> discharge of patients from the hospital to the appropriate care setting in a </w:t>
      </w:r>
      <w:r w:rsidR="00BE3BF5">
        <w:t>timelier</w:t>
      </w:r>
      <w:r w:rsidR="00F54963">
        <w:t xml:space="preserve"> manner</w:t>
      </w:r>
      <w:r w:rsidR="00BE3BF5">
        <w:t xml:space="preserve">. This will in turn, </w:t>
      </w:r>
      <w:r w:rsidR="00F54963">
        <w:t>free up medical/surgical (M/S)</w:t>
      </w:r>
      <w:r w:rsidR="00F323A9">
        <w:t xml:space="preserve"> </w:t>
      </w:r>
      <w:r w:rsidR="00F54963">
        <w:t xml:space="preserve">capacity for other patients, </w:t>
      </w:r>
      <w:r w:rsidR="00791BE3">
        <w:t>which</w:t>
      </w:r>
      <w:r w:rsidR="0021203A">
        <w:t xml:space="preserve"> can</w:t>
      </w:r>
      <w:r w:rsidR="00F54963">
        <w:t xml:space="preserve"> </w:t>
      </w:r>
      <w:r w:rsidR="006B2B4B">
        <w:t xml:space="preserve">decrease ED boarding, and </w:t>
      </w:r>
      <w:r w:rsidR="00E75A7F">
        <w:t>reduce</w:t>
      </w:r>
      <w:r w:rsidR="00F54963">
        <w:t xml:space="preserve"> health care spending across the healthcare continuum. The Applicant states that it will not increase its insurance rates for short-term and long-term care as a result of the Proposed Project. </w:t>
      </w:r>
    </w:p>
    <w:p w14:paraId="302173A3" w14:textId="77777777" w:rsidR="005C3E55" w:rsidRPr="002743D9" w:rsidRDefault="005C3E55" w:rsidP="008157B2"/>
    <w:p w14:paraId="6AF82A6F" w14:textId="62F1C886" w:rsidR="00B447F3" w:rsidRDefault="00A4110F" w:rsidP="009A0C61">
      <w:pPr>
        <w:rPr>
          <w:rFonts w:asciiTheme="minorHAnsi" w:hAnsiTheme="minorHAnsi"/>
          <w:b/>
          <w:bCs/>
          <w:i/>
          <w:iCs/>
          <w:szCs w:val="24"/>
        </w:rPr>
      </w:pPr>
      <w:r w:rsidRPr="009A0C61">
        <w:rPr>
          <w:rFonts w:asciiTheme="minorHAnsi" w:hAnsiTheme="minorHAnsi"/>
          <w:b/>
          <w:bCs/>
          <w:i/>
          <w:iCs/>
          <w:szCs w:val="24"/>
        </w:rPr>
        <w:t>Analysis</w:t>
      </w:r>
    </w:p>
    <w:p w14:paraId="05439A26" w14:textId="32BE17B5" w:rsidR="009F7C4F" w:rsidRDefault="00F2742D" w:rsidP="007965AC">
      <w:r w:rsidRPr="00F2742D">
        <w:t>Staff finds that, on balance, the requirement that the Proposed Project will likely compete on the basis of price, TME provider costs, and other measures of health care spending and therefore, the requirements of Factor 1f have been met.</w:t>
      </w:r>
    </w:p>
    <w:p w14:paraId="6FF194D4" w14:textId="77777777" w:rsidR="006E2AE1" w:rsidRDefault="006E2AE1" w:rsidP="007965AC"/>
    <w:p w14:paraId="7A94A1AC" w14:textId="6CB46311" w:rsidR="00B447F3" w:rsidRPr="00771386" w:rsidRDefault="00A4110F" w:rsidP="00771386">
      <w:pPr>
        <w:pStyle w:val="Heading1"/>
        <w:ind w:left="0"/>
        <w:rPr>
          <w:color w:val="1F497D" w:themeColor="text2"/>
        </w:rPr>
      </w:pPr>
      <w:bookmarkStart w:id="15" w:name="_Toc173743597"/>
      <w:r w:rsidRPr="00771386">
        <w:rPr>
          <w:color w:val="1F497D" w:themeColor="text2"/>
        </w:rPr>
        <w:t>Factor 1</w:t>
      </w:r>
      <w:r w:rsidR="0060024E" w:rsidRPr="00771386">
        <w:rPr>
          <w:color w:val="1F497D" w:themeColor="text2"/>
        </w:rPr>
        <w:t xml:space="preserve"> Summary</w:t>
      </w:r>
      <w:bookmarkEnd w:id="15"/>
      <w:r w:rsidR="0060024E" w:rsidRPr="00771386">
        <w:rPr>
          <w:color w:val="1F497D" w:themeColor="text2"/>
        </w:rPr>
        <w:t xml:space="preserve"> </w:t>
      </w:r>
    </w:p>
    <w:p w14:paraId="362449F2" w14:textId="3F2C5A01" w:rsidR="0060024E" w:rsidRDefault="0060024E" w:rsidP="009A0C61">
      <w:pPr>
        <w:rPr>
          <w:rFonts w:asciiTheme="minorHAnsi" w:hAnsiTheme="minorHAnsi"/>
          <w:szCs w:val="24"/>
        </w:rPr>
      </w:pPr>
      <w:r w:rsidRPr="0060024E">
        <w:rPr>
          <w:rFonts w:asciiTheme="minorHAnsi" w:hAnsiTheme="minorHAnsi"/>
          <w:szCs w:val="24"/>
        </w:rPr>
        <w:t>As a result of information provided by the Applicant and additional analysis, staff finds that with the standard reporting requirements</w:t>
      </w:r>
      <w:r w:rsidR="0098663C">
        <w:rPr>
          <w:rFonts w:asciiTheme="minorHAnsi" w:hAnsiTheme="minorHAnsi"/>
          <w:szCs w:val="24"/>
        </w:rPr>
        <w:t>,</w:t>
      </w:r>
      <w:r w:rsidR="00DE04DC">
        <w:rPr>
          <w:rFonts w:asciiTheme="minorHAnsi" w:hAnsiTheme="minorHAnsi"/>
          <w:szCs w:val="24"/>
        </w:rPr>
        <w:t xml:space="preserve"> </w:t>
      </w:r>
      <w:r w:rsidRPr="0060024E">
        <w:rPr>
          <w:rFonts w:asciiTheme="minorHAnsi" w:hAnsiTheme="minorHAnsi"/>
          <w:szCs w:val="24"/>
        </w:rPr>
        <w:t>the Applicant has demonstrated that the Proposed Project has met Factor 1(a-f). The Applicant proposed specific outcome, and process measures to track the impact of the Proposed Project which staff has reviewed, and which will become a part of the reporting requirements.</w:t>
      </w:r>
      <w:r w:rsidR="001B3B97">
        <w:rPr>
          <w:rFonts w:asciiTheme="minorHAnsi" w:hAnsiTheme="minorHAnsi"/>
          <w:szCs w:val="24"/>
        </w:rPr>
        <w:t xml:space="preserve"> The</w:t>
      </w:r>
      <w:r w:rsidR="006A4268">
        <w:rPr>
          <w:rFonts w:asciiTheme="minorHAnsi" w:hAnsiTheme="minorHAnsi"/>
          <w:szCs w:val="24"/>
        </w:rPr>
        <w:t>se</w:t>
      </w:r>
      <w:r w:rsidR="001B3B97">
        <w:rPr>
          <w:rFonts w:asciiTheme="minorHAnsi" w:hAnsiTheme="minorHAnsi"/>
          <w:szCs w:val="24"/>
        </w:rPr>
        <w:t xml:space="preserve"> measures are shown in Appendix I. </w:t>
      </w:r>
    </w:p>
    <w:p w14:paraId="7A14F754" w14:textId="77777777" w:rsidR="00D874E9" w:rsidRDefault="00D874E9" w:rsidP="009A0C61">
      <w:pPr>
        <w:rPr>
          <w:rFonts w:asciiTheme="minorHAnsi" w:hAnsiTheme="minorHAnsi"/>
          <w:szCs w:val="24"/>
        </w:rPr>
      </w:pPr>
    </w:p>
    <w:p w14:paraId="5F289F31" w14:textId="77777777" w:rsidR="00A2300F" w:rsidRDefault="00A2300F" w:rsidP="009A0C61">
      <w:pPr>
        <w:rPr>
          <w:rFonts w:asciiTheme="minorHAnsi" w:hAnsiTheme="minorHAnsi"/>
          <w:szCs w:val="24"/>
        </w:rPr>
      </w:pPr>
    </w:p>
    <w:p w14:paraId="2B57A9A3" w14:textId="77777777" w:rsidR="00AB1711" w:rsidRPr="0060024E" w:rsidRDefault="00AB1711" w:rsidP="009A0C61">
      <w:pPr>
        <w:rPr>
          <w:rFonts w:asciiTheme="minorHAnsi" w:hAnsiTheme="minorHAnsi"/>
          <w:szCs w:val="24"/>
        </w:rPr>
      </w:pPr>
    </w:p>
    <w:p w14:paraId="48C2065F" w14:textId="77777777" w:rsidR="00B447F3" w:rsidRPr="003436F0" w:rsidRDefault="00A4110F" w:rsidP="008917DC">
      <w:pPr>
        <w:pStyle w:val="Heading1"/>
        <w:spacing w:before="87"/>
        <w:ind w:left="0" w:right="467"/>
        <w:rPr>
          <w:rFonts w:asciiTheme="minorHAnsi" w:hAnsiTheme="minorHAnsi"/>
        </w:rPr>
      </w:pPr>
      <w:bookmarkStart w:id="16" w:name="Factor_2:_Cost_containment,_Improved_Pub"/>
      <w:bookmarkStart w:id="17" w:name="_Toc173743598"/>
      <w:bookmarkEnd w:id="16"/>
      <w:r w:rsidRPr="003436F0">
        <w:rPr>
          <w:rFonts w:asciiTheme="minorHAnsi" w:hAnsiTheme="minorHAnsi"/>
          <w:color w:val="42558C"/>
        </w:rPr>
        <w:t>Factor 2: Cost containment, Improved Public Health Outcomes and Delivery System Transformation</w:t>
      </w:r>
      <w:bookmarkEnd w:id="17"/>
    </w:p>
    <w:p w14:paraId="1CE0B37B" w14:textId="77777777" w:rsidR="009A0C61" w:rsidRDefault="009A0C61" w:rsidP="009A0C61"/>
    <w:p w14:paraId="567B3969" w14:textId="4051CADF" w:rsidR="00B447F3" w:rsidRPr="009A0C61" w:rsidRDefault="00A4110F" w:rsidP="00CB12FE">
      <w:pPr>
        <w:rPr>
          <w:rFonts w:asciiTheme="minorHAnsi" w:hAnsiTheme="minorHAnsi"/>
          <w:b/>
          <w:bCs/>
          <w:szCs w:val="24"/>
        </w:rPr>
      </w:pPr>
      <w:r w:rsidRPr="009A0C61">
        <w:rPr>
          <w:rFonts w:asciiTheme="minorHAnsi" w:hAnsiTheme="minorHAnsi"/>
          <w:b/>
          <w:bCs/>
          <w:szCs w:val="24"/>
        </w:rPr>
        <w:t>Cost Containment</w:t>
      </w:r>
    </w:p>
    <w:p w14:paraId="1C516648" w14:textId="5BF9F35E" w:rsidR="00D02C53" w:rsidRPr="0021203A" w:rsidRDefault="00032D98" w:rsidP="004A1BE8">
      <w:pPr>
        <w:pStyle w:val="BodyText"/>
        <w:rPr>
          <w:rFonts w:asciiTheme="minorHAnsi" w:hAnsiTheme="minorHAnsi"/>
        </w:rPr>
      </w:pPr>
      <w:r w:rsidRPr="0021203A">
        <w:rPr>
          <w:rFonts w:asciiTheme="minorHAnsi" w:hAnsiTheme="minorHAnsi"/>
        </w:rPr>
        <w:t>The Applicant affirms that the Proposed Project meaningfully contributes to the Commonwealth’s goals for cost containment, which include focusing on high quality care at the lowest reasonable cos</w:t>
      </w:r>
      <w:r w:rsidR="00F323A9" w:rsidRPr="0021203A">
        <w:rPr>
          <w:rFonts w:asciiTheme="minorHAnsi" w:hAnsiTheme="minorHAnsi"/>
        </w:rPr>
        <w:t>t</w:t>
      </w:r>
      <w:r w:rsidRPr="0021203A">
        <w:rPr>
          <w:rFonts w:asciiTheme="minorHAnsi" w:hAnsiTheme="minorHAnsi"/>
        </w:rPr>
        <w:t xml:space="preserve">, because it will improve access to </w:t>
      </w:r>
      <w:r w:rsidR="008D4F52">
        <w:rPr>
          <w:rFonts w:asciiTheme="minorHAnsi" w:hAnsiTheme="minorHAnsi"/>
        </w:rPr>
        <w:t>The Overlook’s services</w:t>
      </w:r>
      <w:r w:rsidRPr="0021203A">
        <w:rPr>
          <w:rFonts w:asciiTheme="minorHAnsi" w:hAnsiTheme="minorHAnsi"/>
        </w:rPr>
        <w:t xml:space="preserve"> and </w:t>
      </w:r>
      <w:r w:rsidR="0021203A">
        <w:rPr>
          <w:rFonts w:asciiTheme="minorHAnsi" w:hAnsiTheme="minorHAnsi"/>
        </w:rPr>
        <w:t xml:space="preserve">improve </w:t>
      </w:r>
      <w:r w:rsidRPr="0021203A">
        <w:rPr>
          <w:rFonts w:asciiTheme="minorHAnsi" w:hAnsiTheme="minorHAnsi"/>
        </w:rPr>
        <w:t xml:space="preserve">health outcomes. </w:t>
      </w:r>
      <w:r w:rsidR="00C907E9" w:rsidRPr="0021203A">
        <w:rPr>
          <w:rFonts w:asciiTheme="minorHAnsi" w:hAnsiTheme="minorHAnsi"/>
        </w:rPr>
        <w:t xml:space="preserve">As noted above in Factor 1f, the Proposed Project will not increase the insurance rates of the services provided by the Applicant and will not impact residents insurance costs. </w:t>
      </w:r>
      <w:r w:rsidR="002475F4">
        <w:rPr>
          <w:rFonts w:asciiTheme="minorHAnsi" w:hAnsiTheme="minorHAnsi"/>
        </w:rPr>
        <w:t>Further,</w:t>
      </w:r>
      <w:r w:rsidR="00F323A9" w:rsidRPr="0021203A">
        <w:rPr>
          <w:rFonts w:asciiTheme="minorHAnsi" w:hAnsiTheme="minorHAnsi"/>
        </w:rPr>
        <w:t xml:space="preserve"> the</w:t>
      </w:r>
      <w:r w:rsidR="007A33C7" w:rsidRPr="0021203A">
        <w:rPr>
          <w:rFonts w:asciiTheme="minorHAnsi" w:hAnsiTheme="minorHAnsi"/>
        </w:rPr>
        <w:t xml:space="preserve"> improved health outcomes and operational efficiencies that will be achieved through the Proposed Project</w:t>
      </w:r>
      <w:r w:rsidR="000B3556">
        <w:rPr>
          <w:rFonts w:asciiTheme="minorHAnsi" w:hAnsiTheme="minorHAnsi"/>
        </w:rPr>
        <w:t xml:space="preserve"> can</w:t>
      </w:r>
      <w:r w:rsidR="007A33C7" w:rsidRPr="0021203A">
        <w:rPr>
          <w:rFonts w:asciiTheme="minorHAnsi" w:hAnsiTheme="minorHAnsi"/>
        </w:rPr>
        <w:t xml:space="preserve"> reduce overall healthcare spending. </w:t>
      </w:r>
    </w:p>
    <w:p w14:paraId="5DA93511" w14:textId="77777777" w:rsidR="00D02C53" w:rsidRPr="003436F0" w:rsidRDefault="00D02C53" w:rsidP="004A1BE8">
      <w:pPr>
        <w:pStyle w:val="BodyText"/>
        <w:rPr>
          <w:rFonts w:asciiTheme="minorHAnsi" w:hAnsiTheme="minorHAnsi"/>
          <w:sz w:val="23"/>
        </w:rPr>
      </w:pPr>
    </w:p>
    <w:p w14:paraId="33FC7E4D" w14:textId="26C09E20" w:rsidR="00B447F3" w:rsidRDefault="00A4110F" w:rsidP="00CB12FE">
      <w:pPr>
        <w:rPr>
          <w:rFonts w:asciiTheme="minorHAnsi" w:hAnsiTheme="minorHAnsi"/>
          <w:b/>
          <w:bCs/>
          <w:i/>
          <w:iCs/>
          <w:szCs w:val="24"/>
        </w:rPr>
      </w:pPr>
      <w:r w:rsidRPr="009A0C61">
        <w:rPr>
          <w:rFonts w:asciiTheme="minorHAnsi" w:hAnsiTheme="minorHAnsi"/>
          <w:b/>
          <w:bCs/>
          <w:i/>
          <w:iCs/>
          <w:szCs w:val="24"/>
        </w:rPr>
        <w:t>Analysis: Cost Containment</w:t>
      </w:r>
    </w:p>
    <w:p w14:paraId="4E5249FC" w14:textId="761D0963" w:rsidR="00B447F3" w:rsidRDefault="00F2742D" w:rsidP="00CB12FE">
      <w:pPr>
        <w:pStyle w:val="BodyText"/>
        <w:rPr>
          <w:rFonts w:asciiTheme="minorHAnsi" w:hAnsiTheme="minorHAnsi"/>
        </w:rPr>
      </w:pPr>
      <w:r w:rsidRPr="002475F4">
        <w:rPr>
          <w:rFonts w:asciiTheme="minorHAnsi" w:hAnsiTheme="minorHAnsi"/>
        </w:rPr>
        <w:t>DoN Staff can conclude that the Proposed Project will likely meet the cost containment component of Factor 2.</w:t>
      </w:r>
    </w:p>
    <w:p w14:paraId="61AAE811" w14:textId="77777777" w:rsidR="004D117D" w:rsidRPr="002475F4" w:rsidRDefault="004D117D" w:rsidP="00CB12FE">
      <w:pPr>
        <w:pStyle w:val="BodyText"/>
        <w:rPr>
          <w:rFonts w:asciiTheme="minorHAnsi" w:hAnsiTheme="minorHAnsi"/>
        </w:rPr>
      </w:pPr>
    </w:p>
    <w:p w14:paraId="45ED2C47" w14:textId="77777777" w:rsidR="00B447F3" w:rsidRDefault="00A4110F" w:rsidP="008917DC">
      <w:pPr>
        <w:pStyle w:val="Heading4"/>
        <w:ind w:left="0"/>
        <w:rPr>
          <w:rFonts w:asciiTheme="minorHAnsi" w:hAnsiTheme="minorHAnsi"/>
        </w:rPr>
      </w:pPr>
      <w:r w:rsidRPr="003436F0">
        <w:rPr>
          <w:rFonts w:asciiTheme="minorHAnsi" w:hAnsiTheme="minorHAnsi"/>
        </w:rPr>
        <w:t>Improved Public Health Outcomes</w:t>
      </w:r>
    </w:p>
    <w:p w14:paraId="35ED6DD3" w14:textId="6F074A24" w:rsidR="00932688" w:rsidRDefault="00932688" w:rsidP="00932688">
      <w:r w:rsidRPr="000C4238">
        <w:t>The Applicant affirms that the Proposed Project will promote and optimize clinical care delivery, quality of life, and health outcomes. The proposed renovations to the facility will provide the necessary space and amenities for The Overlook to expand its clinical capabilities, and will increase resident safety through resident-centered, age-friendly design choices. Increasing access to short-term rehabilitation services can achieve improved health outcomes through lowering rates of hospital re-admissions, and reducing infections, and functional decline</w:t>
      </w:r>
      <w:r w:rsidR="00910749">
        <w:t>.</w:t>
      </w:r>
      <w:r w:rsidRPr="000C4238">
        <w:t xml:space="preserve"> Through the proposed changes</w:t>
      </w:r>
      <w:r>
        <w:t xml:space="preserve"> to the facility</w:t>
      </w:r>
      <w:r w:rsidRPr="000C4238">
        <w:t xml:space="preserve">, the Applicant states, The Overlook will increase Patient Panel access to its services, and improve the provision of care, which </w:t>
      </w:r>
      <w:r w:rsidR="00C553F7">
        <w:t xml:space="preserve">can </w:t>
      </w:r>
      <w:r w:rsidRPr="000C4238">
        <w:t xml:space="preserve">improve health outcomes, resident </w:t>
      </w:r>
      <w:r>
        <w:t xml:space="preserve">experience, resident </w:t>
      </w:r>
      <w:r w:rsidRPr="000C4238">
        <w:t>satisfaction and quality of life.</w:t>
      </w:r>
    </w:p>
    <w:p w14:paraId="3C0BDF78" w14:textId="77777777" w:rsidR="00932688" w:rsidRDefault="00932688" w:rsidP="00CB12FE"/>
    <w:p w14:paraId="259E9A4D" w14:textId="1B37272B" w:rsidR="00B447F3" w:rsidRPr="009A0C61" w:rsidRDefault="00A4110F" w:rsidP="00CB12FE">
      <w:pPr>
        <w:rPr>
          <w:rFonts w:asciiTheme="minorHAnsi" w:hAnsiTheme="minorHAnsi"/>
          <w:b/>
          <w:bCs/>
          <w:i/>
          <w:iCs/>
          <w:szCs w:val="24"/>
        </w:rPr>
      </w:pPr>
      <w:r w:rsidRPr="009A0C61">
        <w:rPr>
          <w:rFonts w:asciiTheme="minorHAnsi" w:hAnsiTheme="minorHAnsi"/>
          <w:b/>
          <w:bCs/>
          <w:i/>
          <w:iCs/>
          <w:szCs w:val="24"/>
        </w:rPr>
        <w:t>Analysis: Public Health Outcomes</w:t>
      </w:r>
    </w:p>
    <w:p w14:paraId="07CD1D04" w14:textId="0C9F1BC0" w:rsidR="00D451AE" w:rsidRDefault="007A5DD5" w:rsidP="004A1BE8">
      <w:pPr>
        <w:pStyle w:val="BodyText"/>
        <w:rPr>
          <w:rFonts w:asciiTheme="minorHAnsi" w:hAnsiTheme="minorHAnsi"/>
        </w:rPr>
      </w:pPr>
      <w:r w:rsidRPr="007A5DD5">
        <w:rPr>
          <w:rFonts w:asciiTheme="minorHAnsi" w:hAnsiTheme="minorHAnsi"/>
        </w:rPr>
        <w:t>DoN Staff can conclude that the Proposed Project will likely meet the Public Health Outcomes component of Factor 2.</w:t>
      </w:r>
    </w:p>
    <w:p w14:paraId="0F0EDC1B" w14:textId="77777777" w:rsidR="00A903C8" w:rsidRPr="003436F0" w:rsidRDefault="00A903C8" w:rsidP="004A1BE8">
      <w:pPr>
        <w:pStyle w:val="BodyText"/>
        <w:rPr>
          <w:rFonts w:asciiTheme="minorHAnsi" w:hAnsiTheme="minorHAnsi"/>
        </w:rPr>
      </w:pPr>
    </w:p>
    <w:p w14:paraId="5A5B5207" w14:textId="15BDBFAC" w:rsidR="00B447F3" w:rsidRPr="009A0C61" w:rsidRDefault="00A4110F" w:rsidP="00CB12FE">
      <w:pPr>
        <w:rPr>
          <w:rFonts w:asciiTheme="minorHAnsi" w:hAnsiTheme="minorHAnsi"/>
          <w:b/>
          <w:bCs/>
          <w:i/>
          <w:iCs/>
          <w:szCs w:val="24"/>
        </w:rPr>
      </w:pPr>
      <w:r w:rsidRPr="009A0C61">
        <w:rPr>
          <w:rFonts w:asciiTheme="minorHAnsi" w:hAnsiTheme="minorHAnsi"/>
          <w:b/>
          <w:bCs/>
          <w:i/>
          <w:iCs/>
          <w:szCs w:val="24"/>
        </w:rPr>
        <w:t>Delivery System Transformation</w:t>
      </w:r>
    </w:p>
    <w:p w14:paraId="46B68926" w14:textId="3ED95BF5" w:rsidR="00A903C8" w:rsidRDefault="004E3F93" w:rsidP="00CB12FE">
      <w:pPr>
        <w:pStyle w:val="BodyText"/>
        <w:rPr>
          <w:rFonts w:asciiTheme="minorHAnsi" w:hAnsiTheme="minorHAnsi"/>
        </w:rPr>
      </w:pPr>
      <w:r>
        <w:rPr>
          <w:rFonts w:asciiTheme="minorHAnsi" w:hAnsiTheme="minorHAnsi"/>
        </w:rPr>
        <w:t xml:space="preserve">The Applicant states that </w:t>
      </w:r>
      <w:r w:rsidR="0065739A">
        <w:rPr>
          <w:rFonts w:asciiTheme="minorHAnsi" w:hAnsiTheme="minorHAnsi"/>
        </w:rPr>
        <w:t>The Overlook</w:t>
      </w:r>
      <w:r>
        <w:rPr>
          <w:rFonts w:asciiTheme="minorHAnsi" w:hAnsiTheme="minorHAnsi"/>
        </w:rPr>
        <w:t>’s Interdisciplinary Team oversees and coordinates each resident’s care using a resident-centered, holistic approach</w:t>
      </w:r>
      <w:r w:rsidR="00EE7068">
        <w:rPr>
          <w:rFonts w:asciiTheme="minorHAnsi" w:hAnsiTheme="minorHAnsi"/>
        </w:rPr>
        <w:t xml:space="preserve"> and works to facilitate a successful transition back to the community</w:t>
      </w:r>
      <w:r>
        <w:rPr>
          <w:rFonts w:asciiTheme="minorHAnsi" w:hAnsiTheme="minorHAnsi"/>
        </w:rPr>
        <w:t xml:space="preserve">. The Interdisciplinary Team, which is comprised of </w:t>
      </w:r>
      <w:r w:rsidR="0065739A">
        <w:rPr>
          <w:rFonts w:asciiTheme="minorHAnsi" w:hAnsiTheme="minorHAnsi"/>
        </w:rPr>
        <w:t>The Overlook</w:t>
      </w:r>
      <w:r>
        <w:rPr>
          <w:rFonts w:asciiTheme="minorHAnsi" w:hAnsiTheme="minorHAnsi"/>
        </w:rPr>
        <w:t xml:space="preserve">’s Case Manager, and representatives from Nursing, Social Services, Rehabilitation, Activities and Minimum Data Set (MDS) coordinators, meets daily to ensure each resident has the resources necessary for their recovery, both during their stay and upon discharge home. </w:t>
      </w:r>
      <w:r w:rsidR="00177FC1">
        <w:rPr>
          <w:rFonts w:asciiTheme="minorHAnsi" w:hAnsiTheme="minorHAnsi"/>
        </w:rPr>
        <w:t xml:space="preserve">Services set up to support these efforts include setting up a private duty nursing or home health meal delivery options, or addiction services. </w:t>
      </w:r>
      <w:r>
        <w:rPr>
          <w:rFonts w:asciiTheme="minorHAnsi" w:hAnsiTheme="minorHAnsi"/>
        </w:rPr>
        <w:t xml:space="preserve"> </w:t>
      </w:r>
    </w:p>
    <w:p w14:paraId="3EE8A516" w14:textId="77777777" w:rsidR="00553EA2" w:rsidRPr="003436F0" w:rsidRDefault="00553EA2" w:rsidP="008917DC">
      <w:pPr>
        <w:pStyle w:val="BodyText"/>
        <w:rPr>
          <w:rFonts w:asciiTheme="minorHAnsi" w:hAnsiTheme="minorHAnsi"/>
        </w:rPr>
      </w:pPr>
    </w:p>
    <w:p w14:paraId="070B40EB" w14:textId="77777777"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Delivery System Transformation</w:t>
      </w:r>
    </w:p>
    <w:p w14:paraId="43317E62" w14:textId="0C1A1BEC" w:rsidR="008D7A1C" w:rsidRDefault="00A4110F" w:rsidP="008D7A1C">
      <w:pPr>
        <w:rPr>
          <w:rFonts w:asciiTheme="minorHAnsi" w:hAnsiTheme="minorHAnsi"/>
          <w:szCs w:val="24"/>
        </w:rPr>
      </w:pPr>
      <w:r w:rsidRPr="009A0C61">
        <w:rPr>
          <w:rFonts w:asciiTheme="minorHAnsi" w:hAnsiTheme="minorHAnsi"/>
          <w:szCs w:val="24"/>
        </w:rPr>
        <w:t>The Applicant has demonstrated how</w:t>
      </w:r>
      <w:r w:rsidR="004519E1">
        <w:rPr>
          <w:rFonts w:asciiTheme="minorHAnsi" w:hAnsiTheme="minorHAnsi"/>
          <w:szCs w:val="24"/>
        </w:rPr>
        <w:t xml:space="preserve"> the Proposed Project</w:t>
      </w:r>
      <w:r w:rsidRPr="009A0C61">
        <w:rPr>
          <w:rFonts w:asciiTheme="minorHAnsi" w:hAnsiTheme="minorHAnsi"/>
          <w:szCs w:val="24"/>
        </w:rPr>
        <w:t xml:space="preserve"> has the potential to improve the continuity of care</w:t>
      </w:r>
      <w:r w:rsidR="008D7A1C">
        <w:rPr>
          <w:rFonts w:asciiTheme="minorHAnsi" w:hAnsiTheme="minorHAnsi"/>
          <w:szCs w:val="24"/>
        </w:rPr>
        <w:t xml:space="preserve"> and health outcomes.</w:t>
      </w:r>
      <w:r w:rsidR="007A5DD5">
        <w:rPr>
          <w:rFonts w:asciiTheme="minorHAnsi" w:hAnsiTheme="minorHAnsi"/>
          <w:szCs w:val="24"/>
        </w:rPr>
        <w:t xml:space="preserve"> </w:t>
      </w:r>
      <w:r w:rsidR="007A5DD5" w:rsidRPr="007A5DD5">
        <w:rPr>
          <w:rFonts w:asciiTheme="minorHAnsi" w:hAnsiTheme="minorHAnsi"/>
          <w:szCs w:val="24"/>
        </w:rPr>
        <w:t>Therefore, DoN Staff can conclude that the Proposed Project will likely meet the Delivery System Transformation component of Factor 2.</w:t>
      </w:r>
    </w:p>
    <w:p w14:paraId="7555C4D9" w14:textId="77777777" w:rsidR="00B370FB" w:rsidRDefault="00B370FB" w:rsidP="008D7A1C">
      <w:pPr>
        <w:rPr>
          <w:rFonts w:asciiTheme="minorHAnsi" w:hAnsiTheme="minorHAnsi"/>
          <w:szCs w:val="24"/>
        </w:rPr>
      </w:pPr>
    </w:p>
    <w:p w14:paraId="62929AAA" w14:textId="0F075BBF" w:rsidR="00B447F3" w:rsidRDefault="00A4110F" w:rsidP="008917DC">
      <w:pPr>
        <w:pStyle w:val="Heading1"/>
        <w:spacing w:before="179"/>
        <w:ind w:left="0"/>
        <w:rPr>
          <w:rFonts w:asciiTheme="minorHAnsi" w:hAnsiTheme="minorHAnsi"/>
          <w:color w:val="42558C"/>
        </w:rPr>
      </w:pPr>
      <w:bookmarkStart w:id="18" w:name="_Toc173743599"/>
      <w:r w:rsidRPr="003436F0">
        <w:rPr>
          <w:rFonts w:asciiTheme="minorHAnsi" w:hAnsiTheme="minorHAnsi"/>
          <w:color w:val="42558C"/>
        </w:rPr>
        <w:t>Factor 2</w:t>
      </w:r>
      <w:r w:rsidR="0037406F">
        <w:rPr>
          <w:rFonts w:asciiTheme="minorHAnsi" w:hAnsiTheme="minorHAnsi"/>
          <w:color w:val="42558C"/>
        </w:rPr>
        <w:t xml:space="preserve"> Summary</w:t>
      </w:r>
      <w:bookmarkEnd w:id="18"/>
      <w:r w:rsidR="0037406F">
        <w:rPr>
          <w:rFonts w:asciiTheme="minorHAnsi" w:hAnsiTheme="minorHAnsi"/>
          <w:color w:val="42558C"/>
        </w:rPr>
        <w:t xml:space="preserve"> </w:t>
      </w:r>
    </w:p>
    <w:p w14:paraId="49BF185E" w14:textId="77777777" w:rsidR="0037406F" w:rsidRPr="0037406F" w:rsidRDefault="0037406F" w:rsidP="00203868">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43169CC0" w14:textId="77777777" w:rsidR="0037406F" w:rsidRPr="0037406F" w:rsidRDefault="0037406F" w:rsidP="00203868">
      <w:pPr>
        <w:rPr>
          <w:rFonts w:asciiTheme="minorHAnsi" w:hAnsiTheme="minorHAnsi"/>
          <w:szCs w:val="24"/>
        </w:rPr>
      </w:pPr>
      <w:r w:rsidRPr="0037406F">
        <w:rPr>
          <w:rFonts w:asciiTheme="minorHAnsi" w:hAnsiTheme="minorHAnsi"/>
          <w:szCs w:val="24"/>
        </w:rPr>
        <w:t>the standard reporting conditions, the Applicant has demonstrated that the Proposed Project</w:t>
      </w:r>
    </w:p>
    <w:p w14:paraId="285765B0" w14:textId="62DEDAF2" w:rsidR="0037406F" w:rsidRDefault="0037406F" w:rsidP="00203868">
      <w:pPr>
        <w:rPr>
          <w:rFonts w:asciiTheme="minorHAnsi" w:hAnsiTheme="minorHAnsi"/>
          <w:szCs w:val="24"/>
        </w:rPr>
      </w:pPr>
      <w:r w:rsidRPr="0037406F">
        <w:rPr>
          <w:rFonts w:asciiTheme="minorHAnsi" w:hAnsiTheme="minorHAnsi"/>
          <w:szCs w:val="24"/>
        </w:rPr>
        <w:t>has met Factor 2.</w:t>
      </w:r>
    </w:p>
    <w:p w14:paraId="4B5C972E" w14:textId="77777777" w:rsidR="002B557F" w:rsidRDefault="002B557F" w:rsidP="00203868">
      <w:pPr>
        <w:rPr>
          <w:rFonts w:asciiTheme="minorHAnsi" w:hAnsiTheme="minorHAnsi"/>
          <w:szCs w:val="24"/>
        </w:rPr>
      </w:pPr>
    </w:p>
    <w:p w14:paraId="0BE36815" w14:textId="77777777" w:rsidR="00B447F3" w:rsidRPr="003436F0" w:rsidRDefault="00A4110F" w:rsidP="008917DC">
      <w:pPr>
        <w:pStyle w:val="Heading1"/>
        <w:ind w:left="0"/>
        <w:rPr>
          <w:rFonts w:asciiTheme="minorHAnsi" w:hAnsiTheme="minorHAnsi"/>
        </w:rPr>
      </w:pPr>
      <w:bookmarkStart w:id="19" w:name="Factor_3:_Relevant_Licensure/Oversight_C"/>
      <w:bookmarkStart w:id="20" w:name="_Toc173743600"/>
      <w:bookmarkEnd w:id="19"/>
      <w:r w:rsidRPr="003436F0">
        <w:rPr>
          <w:rFonts w:asciiTheme="minorHAnsi" w:hAnsiTheme="minorHAnsi"/>
          <w:color w:val="42558C"/>
        </w:rPr>
        <w:t>Factor 3: Relevant Licensure/Oversight Compliance</w:t>
      </w:r>
      <w:bookmarkEnd w:id="20"/>
    </w:p>
    <w:p w14:paraId="01533F5A" w14:textId="77777777" w:rsidR="00B447F3" w:rsidRDefault="00A4110F" w:rsidP="008917DC">
      <w:pPr>
        <w:pStyle w:val="BodyText"/>
        <w:ind w:right="321"/>
        <w:rPr>
          <w:rFonts w:asciiTheme="minorHAnsi" w:hAnsiTheme="minorHAnsi"/>
        </w:rPr>
      </w:pPr>
      <w:r w:rsidRPr="003436F0">
        <w:rPr>
          <w:rFonts w:asciiTheme="minorHAnsi" w:hAnsiTheme="minorHAnsi"/>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14:paraId="1BD047DD" w14:textId="77777777" w:rsidR="00517EE2" w:rsidRDefault="00517EE2" w:rsidP="008917DC">
      <w:pPr>
        <w:pStyle w:val="BodyText"/>
        <w:ind w:right="321"/>
        <w:rPr>
          <w:rFonts w:asciiTheme="minorHAnsi" w:hAnsiTheme="minorHAnsi"/>
        </w:rPr>
      </w:pPr>
    </w:p>
    <w:p w14:paraId="41FED647" w14:textId="77777777" w:rsidR="00517EE2" w:rsidRDefault="00517EE2" w:rsidP="008917DC">
      <w:pPr>
        <w:pStyle w:val="BodyText"/>
        <w:ind w:right="321"/>
        <w:rPr>
          <w:rFonts w:asciiTheme="minorHAnsi" w:hAnsiTheme="minorHAnsi"/>
        </w:rPr>
      </w:pPr>
    </w:p>
    <w:p w14:paraId="3DDFCA58" w14:textId="77777777" w:rsidR="00B447F3" w:rsidRPr="003436F0" w:rsidRDefault="00A4110F" w:rsidP="008917DC">
      <w:pPr>
        <w:pStyle w:val="Heading1"/>
        <w:spacing w:before="87"/>
        <w:ind w:left="0" w:right="441"/>
        <w:rPr>
          <w:rFonts w:asciiTheme="minorHAnsi" w:hAnsiTheme="minorHAnsi"/>
        </w:rPr>
      </w:pPr>
      <w:bookmarkStart w:id="21" w:name="Factor_4:_Demonstration_of_Sufficient_Fu"/>
      <w:bookmarkStart w:id="22" w:name="_Toc173743601"/>
      <w:bookmarkEnd w:id="21"/>
      <w:r w:rsidRPr="003436F0">
        <w:rPr>
          <w:rFonts w:asciiTheme="minorHAnsi" w:hAnsiTheme="minorHAnsi"/>
          <w:color w:val="42558C"/>
        </w:rPr>
        <w:t>Factor 4: Demonstration of Sufficient Funds as Supported by an Independent CPA Analysis</w:t>
      </w:r>
      <w:bookmarkEnd w:id="22"/>
    </w:p>
    <w:p w14:paraId="4D625B2C" w14:textId="008DD775" w:rsidR="00B447F3" w:rsidRPr="008831B4" w:rsidRDefault="00A4110F" w:rsidP="00CB12FE">
      <w:pPr>
        <w:pStyle w:val="BodyText"/>
        <w:ind w:right="306"/>
        <w:rPr>
          <w:rFonts w:asciiTheme="minorHAnsi" w:hAnsiTheme="minorHAnsi"/>
        </w:rPr>
      </w:pPr>
      <w:r w:rsidRPr="008831B4">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w:t>
      </w:r>
      <w:r w:rsidR="00C35F2F" w:rsidRPr="008831B4">
        <w:rPr>
          <w:rFonts w:asciiTheme="minorHAnsi" w:hAnsiTheme="minorHAnsi"/>
        </w:rPr>
        <w:t>Meyers Brothers Kalicka, P.C.</w:t>
      </w:r>
      <w:r w:rsidR="00DA7D8E" w:rsidRPr="008831B4">
        <w:rPr>
          <w:rFonts w:asciiTheme="minorHAnsi" w:hAnsiTheme="minorHAnsi"/>
        </w:rPr>
        <w:t xml:space="preserve"> </w:t>
      </w:r>
      <w:r w:rsidRPr="008831B4">
        <w:rPr>
          <w:rFonts w:asciiTheme="minorHAnsi" w:hAnsiTheme="minorHAnsi"/>
        </w:rPr>
        <w:t>(CPA Report).</w:t>
      </w:r>
    </w:p>
    <w:p w14:paraId="51509295" w14:textId="119CD433" w:rsidR="00B447F3" w:rsidRPr="008831B4" w:rsidRDefault="00B447F3" w:rsidP="00CB12FE">
      <w:pPr>
        <w:pStyle w:val="BodyText"/>
        <w:rPr>
          <w:rFonts w:asciiTheme="minorHAnsi" w:hAnsiTheme="minorHAnsi"/>
        </w:rPr>
      </w:pPr>
    </w:p>
    <w:p w14:paraId="22E076F7" w14:textId="0DBAADB6" w:rsidR="00EF52A7" w:rsidRPr="008831B4" w:rsidRDefault="00F05598" w:rsidP="00CB12FE">
      <w:pPr>
        <w:rPr>
          <w:rFonts w:asciiTheme="minorHAnsi" w:hAnsiTheme="minorHAnsi"/>
          <w:szCs w:val="24"/>
        </w:rPr>
      </w:pPr>
      <w:r w:rsidRPr="008831B4">
        <w:rPr>
          <w:rFonts w:asciiTheme="minorHAnsi" w:hAnsiTheme="minorHAnsi"/>
          <w:szCs w:val="24"/>
        </w:rPr>
        <w:t xml:space="preserve">The CPA report details the CPA’s analysis and findings with regards to the reasonableness of assumptions used in the preparation and feasibility of the projected financial information of the </w:t>
      </w:r>
      <w:r w:rsidRPr="008831B4">
        <w:rPr>
          <w:rFonts w:asciiTheme="minorHAnsi" w:hAnsiTheme="minorHAnsi"/>
          <w:szCs w:val="24"/>
        </w:rPr>
        <w:lastRenderedPageBreak/>
        <w:t>Project as prepared by management of Overlook (Management)</w:t>
      </w:r>
      <w:r w:rsidR="00FA561B" w:rsidRPr="008831B4">
        <w:rPr>
          <w:rFonts w:asciiTheme="minorHAnsi" w:hAnsiTheme="minorHAnsi"/>
          <w:szCs w:val="24"/>
        </w:rPr>
        <w:t>.</w:t>
      </w:r>
      <w:r w:rsidR="00047C59" w:rsidRPr="008831B4">
        <w:rPr>
          <w:rStyle w:val="FootnoteReference"/>
          <w:rFonts w:asciiTheme="minorHAnsi" w:hAnsiTheme="minorHAnsi"/>
          <w:szCs w:val="24"/>
        </w:rPr>
        <w:footnoteReference w:id="13"/>
      </w:r>
      <w:r w:rsidR="00022628" w:rsidRPr="008831B4">
        <w:rPr>
          <w:rFonts w:asciiTheme="minorHAnsi" w:hAnsiTheme="minorHAnsi"/>
          <w:szCs w:val="24"/>
        </w:rPr>
        <w:t xml:space="preserve"> </w:t>
      </w:r>
      <w:r w:rsidR="00572969" w:rsidRPr="008831B4">
        <w:rPr>
          <w:rFonts w:asciiTheme="minorHAnsi" w:hAnsiTheme="minorHAnsi"/>
          <w:szCs w:val="24"/>
        </w:rPr>
        <w:t xml:space="preserve">Reasonableness is defined within the context of this report as supportable and proper, given the underlying information. Feasibility is defined as based on the assumptions used, the plan is not likely to result in insufficient funds available for capital and ongoing operating costs necessary to support the </w:t>
      </w:r>
      <w:r w:rsidR="00047C59" w:rsidRPr="008831B4">
        <w:rPr>
          <w:rFonts w:asciiTheme="minorHAnsi" w:hAnsiTheme="minorHAnsi"/>
          <w:szCs w:val="24"/>
        </w:rPr>
        <w:t>P</w:t>
      </w:r>
      <w:r w:rsidR="00572969" w:rsidRPr="008831B4">
        <w:rPr>
          <w:rFonts w:asciiTheme="minorHAnsi" w:hAnsiTheme="minorHAnsi"/>
          <w:szCs w:val="24"/>
        </w:rPr>
        <w:t xml:space="preserve">roposed </w:t>
      </w:r>
      <w:r w:rsidR="00047C59" w:rsidRPr="008831B4">
        <w:rPr>
          <w:rFonts w:asciiTheme="minorHAnsi" w:hAnsiTheme="minorHAnsi"/>
          <w:szCs w:val="24"/>
        </w:rPr>
        <w:t>P</w:t>
      </w:r>
      <w:r w:rsidR="00572969" w:rsidRPr="008831B4">
        <w:rPr>
          <w:rFonts w:asciiTheme="minorHAnsi" w:hAnsiTheme="minorHAnsi"/>
          <w:szCs w:val="24"/>
        </w:rPr>
        <w:t xml:space="preserve">roject without negative impacts or consequences to the Applicant’s existing </w:t>
      </w:r>
      <w:r w:rsidR="00047C59" w:rsidRPr="008831B4">
        <w:rPr>
          <w:rFonts w:asciiTheme="minorHAnsi" w:hAnsiTheme="minorHAnsi"/>
          <w:szCs w:val="24"/>
        </w:rPr>
        <w:t>P</w:t>
      </w:r>
      <w:r w:rsidR="00572969" w:rsidRPr="008831B4">
        <w:rPr>
          <w:rFonts w:asciiTheme="minorHAnsi" w:hAnsiTheme="minorHAnsi"/>
          <w:szCs w:val="24"/>
        </w:rPr>
        <w:t xml:space="preserve">atient </w:t>
      </w:r>
      <w:r w:rsidR="00047C59" w:rsidRPr="008831B4">
        <w:rPr>
          <w:rFonts w:asciiTheme="minorHAnsi" w:hAnsiTheme="minorHAnsi"/>
          <w:szCs w:val="24"/>
        </w:rPr>
        <w:t>P</w:t>
      </w:r>
      <w:r w:rsidR="00572969" w:rsidRPr="008831B4">
        <w:rPr>
          <w:rFonts w:asciiTheme="minorHAnsi" w:hAnsiTheme="minorHAnsi"/>
          <w:szCs w:val="24"/>
        </w:rPr>
        <w:t>anel.</w:t>
      </w:r>
      <w:r w:rsidR="00047C59" w:rsidRPr="008831B4">
        <w:rPr>
          <w:rFonts w:asciiTheme="minorHAnsi" w:hAnsiTheme="minorHAnsi"/>
          <w:szCs w:val="24"/>
        </w:rPr>
        <w:t xml:space="preserve"> </w:t>
      </w:r>
    </w:p>
    <w:p w14:paraId="0629648F" w14:textId="77777777" w:rsidR="00EF52A7" w:rsidRPr="008831B4" w:rsidRDefault="00EF52A7" w:rsidP="00CB12FE">
      <w:pPr>
        <w:rPr>
          <w:rFonts w:asciiTheme="minorHAnsi" w:hAnsiTheme="minorHAnsi"/>
          <w:szCs w:val="24"/>
        </w:rPr>
      </w:pPr>
    </w:p>
    <w:p w14:paraId="24EDA020" w14:textId="1840B9EC" w:rsidR="00B45171" w:rsidRPr="008831B4" w:rsidRDefault="00B45171" w:rsidP="00CB12FE">
      <w:pPr>
        <w:rPr>
          <w:rFonts w:asciiTheme="minorHAnsi" w:hAnsiTheme="minorHAnsi"/>
          <w:szCs w:val="24"/>
        </w:rPr>
      </w:pPr>
      <w:r w:rsidRPr="008831B4">
        <w:rPr>
          <w:rFonts w:asciiTheme="minorHAnsi" w:hAnsiTheme="minorHAnsi"/>
          <w:szCs w:val="24"/>
        </w:rPr>
        <w:t>The CPA analysis included a review of numerous documents in order to form an opinion as to the reasonableness and feasibility of the projections regarding the Proposed Project.</w:t>
      </w:r>
    </w:p>
    <w:p w14:paraId="5C2E3E1C" w14:textId="77777777" w:rsidR="00B45171" w:rsidRPr="008831B4" w:rsidRDefault="00B45171" w:rsidP="00CB12FE">
      <w:pPr>
        <w:rPr>
          <w:rFonts w:asciiTheme="minorHAnsi" w:hAnsiTheme="minorHAnsi"/>
          <w:szCs w:val="24"/>
        </w:rPr>
      </w:pPr>
      <w:r w:rsidRPr="008831B4">
        <w:rPr>
          <w:rFonts w:asciiTheme="minorHAnsi" w:hAnsiTheme="minorHAnsi"/>
          <w:szCs w:val="24"/>
        </w:rPr>
        <w:t>Sources of information used and relied upon in the report:</w:t>
      </w:r>
    </w:p>
    <w:p w14:paraId="512D5BE6"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 xml:space="preserve">Historical nursing home, sub-acute, rest home, and fieldstone patient volume at Overlook Masonic Health Center for the years ended December 31, 2020, 2021 and 2022 and annualized 2023, which was based on the nine months ended September 30, 2023. </w:t>
      </w:r>
    </w:p>
    <w:p w14:paraId="213FFBCB"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 xml:space="preserve">Historical nursing home, sub-acute, rest home, and fieldstone revenue for the years ended December 31, 2020, 2021 and 2022 and annualized 2023, which was based on the nine months ended September 30, 2023. </w:t>
      </w:r>
    </w:p>
    <w:p w14:paraId="00378C1A"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 xml:space="preserve">Historical operating statements of Overlook Masonic Health Center for the years ended December 31, 2020, 2021 and 2022 and annualized 2023, which was based on the nine months ended September 30, 2023. </w:t>
      </w:r>
    </w:p>
    <w:p w14:paraId="09DA06BD"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 xml:space="preserve">Projected nursing home, sub-acute, rest home, and fieldstone volume at Overlook Masonic Health Center for the years ending December 31, 2025, 2026, 2027, 2028 and 2029. </w:t>
      </w:r>
    </w:p>
    <w:p w14:paraId="3B887F40"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Projected revenue and expenses for the Project for the years ending December 31, 2025, 2026, 2027, 2028 and 2029.</w:t>
      </w:r>
    </w:p>
    <w:p w14:paraId="0BFD4741"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Projected statements of cash flows from operations for the Project for the years ending December 31, 2025, 2026, 2027, 2028 and 2029.</w:t>
      </w:r>
    </w:p>
    <w:p w14:paraId="293EF945"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 xml:space="preserve">Overlook Masonic Health Center’s 2024 budget. </w:t>
      </w:r>
    </w:p>
    <w:p w14:paraId="05BB83BD" w14:textId="77777777" w:rsidR="00E75AE5" w:rsidRPr="008831B4" w:rsidRDefault="00E75AE5" w:rsidP="00CB12FE">
      <w:pPr>
        <w:numPr>
          <w:ilvl w:val="0"/>
          <w:numId w:val="8"/>
        </w:numPr>
        <w:ind w:left="720"/>
        <w:rPr>
          <w:rFonts w:asciiTheme="minorHAnsi" w:hAnsiTheme="minorHAnsi"/>
          <w:szCs w:val="24"/>
        </w:rPr>
      </w:pPr>
      <w:r w:rsidRPr="008831B4">
        <w:rPr>
          <w:rFonts w:asciiTheme="minorHAnsi" w:hAnsiTheme="minorHAnsi"/>
          <w:szCs w:val="24"/>
        </w:rPr>
        <w:t>Electricity supply agreement between Overlook Masonic Health Center and Constellation NewEnergy, Inc. beginning in June 2025.</w:t>
      </w:r>
    </w:p>
    <w:p w14:paraId="28328F53" w14:textId="77777777" w:rsidR="00BD301C" w:rsidRPr="008831B4" w:rsidRDefault="00BD301C" w:rsidP="00CB12FE">
      <w:pPr>
        <w:numPr>
          <w:ilvl w:val="0"/>
          <w:numId w:val="8"/>
        </w:numPr>
        <w:ind w:left="720"/>
        <w:rPr>
          <w:rFonts w:asciiTheme="minorHAnsi" w:hAnsiTheme="minorHAnsi"/>
          <w:szCs w:val="24"/>
        </w:rPr>
      </w:pPr>
      <w:r w:rsidRPr="008831B4">
        <w:rPr>
          <w:rFonts w:asciiTheme="minorHAnsi" w:hAnsiTheme="minorHAnsi"/>
          <w:szCs w:val="24"/>
        </w:rPr>
        <w:t xml:space="preserve">Masonic Health System of Massachusetts, Inc.’s 2024 budget. </w:t>
      </w:r>
    </w:p>
    <w:p w14:paraId="479D7808" w14:textId="77777777" w:rsidR="00BD301C" w:rsidRPr="008831B4" w:rsidRDefault="00BD301C" w:rsidP="00CB12FE">
      <w:pPr>
        <w:numPr>
          <w:ilvl w:val="0"/>
          <w:numId w:val="8"/>
        </w:numPr>
        <w:ind w:left="720"/>
        <w:rPr>
          <w:rFonts w:asciiTheme="minorHAnsi" w:hAnsiTheme="minorHAnsi"/>
          <w:szCs w:val="24"/>
        </w:rPr>
      </w:pPr>
      <w:r w:rsidRPr="008831B4">
        <w:rPr>
          <w:rFonts w:asciiTheme="minorHAnsi" w:hAnsiTheme="minorHAnsi"/>
          <w:bCs/>
          <w:szCs w:val="24"/>
        </w:rPr>
        <w:t>Masonic Health System of Massachusetts, Inc.’s</w:t>
      </w:r>
      <w:r w:rsidRPr="008831B4">
        <w:rPr>
          <w:rFonts w:asciiTheme="minorHAnsi" w:hAnsiTheme="minorHAnsi"/>
          <w:szCs w:val="24"/>
        </w:rPr>
        <w:t xml:space="preserve"> audited consolidated financial statements as of and for the years ended December 31, 2021 and December 31, 2022.</w:t>
      </w:r>
    </w:p>
    <w:p w14:paraId="0B636CC0" w14:textId="51E9E240" w:rsidR="00BD301C" w:rsidRPr="008831B4" w:rsidRDefault="00BD301C" w:rsidP="00CB12FE">
      <w:pPr>
        <w:numPr>
          <w:ilvl w:val="0"/>
          <w:numId w:val="8"/>
        </w:numPr>
        <w:ind w:left="720"/>
        <w:rPr>
          <w:rFonts w:asciiTheme="minorHAnsi" w:hAnsiTheme="minorHAnsi"/>
          <w:szCs w:val="24"/>
        </w:rPr>
      </w:pPr>
      <w:r w:rsidRPr="008831B4">
        <w:rPr>
          <w:rFonts w:asciiTheme="minorHAnsi" w:hAnsiTheme="minorHAnsi"/>
          <w:szCs w:val="24"/>
        </w:rPr>
        <w:t>Construction contractor budget for the proposal of project costs.</w:t>
      </w:r>
    </w:p>
    <w:p w14:paraId="0BBD5132" w14:textId="77777777" w:rsidR="00BD301C" w:rsidRPr="008831B4" w:rsidRDefault="00BD301C" w:rsidP="00CB12FE">
      <w:pPr>
        <w:numPr>
          <w:ilvl w:val="0"/>
          <w:numId w:val="8"/>
        </w:numPr>
        <w:ind w:left="720"/>
        <w:rPr>
          <w:rFonts w:asciiTheme="minorHAnsi" w:hAnsiTheme="minorHAnsi"/>
          <w:szCs w:val="24"/>
        </w:rPr>
      </w:pPr>
      <w:r w:rsidRPr="008831B4">
        <w:rPr>
          <w:rFonts w:asciiTheme="minorHAnsi" w:hAnsiTheme="minorHAnsi"/>
          <w:szCs w:val="24"/>
        </w:rPr>
        <w:t>DON Application Instructions dated March 2017.</w:t>
      </w:r>
    </w:p>
    <w:p w14:paraId="5D1E8F05" w14:textId="77777777" w:rsidR="00BD301C" w:rsidRPr="008831B4" w:rsidRDefault="00BD301C" w:rsidP="00CB12FE">
      <w:pPr>
        <w:numPr>
          <w:ilvl w:val="0"/>
          <w:numId w:val="8"/>
        </w:numPr>
        <w:ind w:left="720"/>
        <w:rPr>
          <w:rFonts w:asciiTheme="minorHAnsi" w:hAnsiTheme="minorHAnsi"/>
          <w:szCs w:val="24"/>
        </w:rPr>
      </w:pPr>
      <w:r w:rsidRPr="008831B4">
        <w:rPr>
          <w:rFonts w:asciiTheme="minorHAnsi" w:hAnsiTheme="minorHAnsi"/>
          <w:szCs w:val="24"/>
        </w:rPr>
        <w:t>DON Narrative draft provided March 8, 2024.</w:t>
      </w:r>
    </w:p>
    <w:p w14:paraId="10DA98D7" w14:textId="77777777" w:rsidR="00BD301C" w:rsidRPr="008831B4" w:rsidRDefault="00BD301C" w:rsidP="00CB12FE">
      <w:pPr>
        <w:numPr>
          <w:ilvl w:val="0"/>
          <w:numId w:val="8"/>
        </w:numPr>
        <w:ind w:left="720"/>
        <w:rPr>
          <w:rFonts w:asciiTheme="minorHAnsi" w:hAnsiTheme="minorHAnsi"/>
          <w:szCs w:val="24"/>
        </w:rPr>
      </w:pPr>
      <w:r w:rsidRPr="008831B4">
        <w:rPr>
          <w:rFonts w:asciiTheme="minorHAnsi" w:hAnsiTheme="minorHAnsi"/>
          <w:szCs w:val="24"/>
        </w:rPr>
        <w:t>DON Application Form</w:t>
      </w:r>
    </w:p>
    <w:p w14:paraId="71C46082" w14:textId="51A6ADC9" w:rsidR="00B45171" w:rsidRPr="008831B4" w:rsidRDefault="00BD301C" w:rsidP="00CB12FE">
      <w:pPr>
        <w:numPr>
          <w:ilvl w:val="0"/>
          <w:numId w:val="8"/>
        </w:numPr>
        <w:ind w:left="720"/>
        <w:rPr>
          <w:rFonts w:asciiTheme="minorHAnsi" w:hAnsiTheme="minorHAnsi"/>
          <w:szCs w:val="24"/>
        </w:rPr>
      </w:pPr>
      <w:r w:rsidRPr="008831B4">
        <w:rPr>
          <w:rFonts w:asciiTheme="minorHAnsi" w:hAnsiTheme="minorHAnsi"/>
          <w:szCs w:val="24"/>
        </w:rPr>
        <w:t>Total project costs of the Applicant</w:t>
      </w:r>
    </w:p>
    <w:p w14:paraId="78D0FA32" w14:textId="77777777" w:rsidR="00EC3B92" w:rsidRPr="008831B4" w:rsidRDefault="00EC3B92" w:rsidP="00CB12FE">
      <w:pPr>
        <w:rPr>
          <w:rFonts w:asciiTheme="minorHAnsi" w:hAnsiTheme="minorHAnsi"/>
          <w:b/>
          <w:bCs/>
          <w:szCs w:val="24"/>
        </w:rPr>
      </w:pPr>
    </w:p>
    <w:p w14:paraId="0CADB0DB" w14:textId="045BC2F4" w:rsidR="00B45171" w:rsidRPr="008831B4" w:rsidRDefault="00B45171" w:rsidP="00CB12FE">
      <w:pPr>
        <w:rPr>
          <w:rFonts w:asciiTheme="minorHAnsi" w:hAnsiTheme="minorHAnsi"/>
          <w:szCs w:val="24"/>
        </w:rPr>
      </w:pPr>
      <w:r w:rsidRPr="008831B4">
        <w:rPr>
          <w:rFonts w:asciiTheme="minorHAnsi" w:hAnsiTheme="minorHAnsi"/>
          <w:b/>
          <w:bCs/>
          <w:szCs w:val="24"/>
        </w:rPr>
        <w:t>Revenues:</w:t>
      </w:r>
      <w:r w:rsidRPr="008831B4">
        <w:rPr>
          <w:rFonts w:asciiTheme="minorHAnsi" w:hAnsiTheme="minorHAnsi"/>
          <w:szCs w:val="24"/>
        </w:rPr>
        <w:t xml:space="preserve"> </w:t>
      </w:r>
      <w:r w:rsidR="00B67098" w:rsidRPr="008831B4">
        <w:rPr>
          <w:rFonts w:asciiTheme="minorHAnsi" w:hAnsiTheme="minorHAnsi"/>
          <w:szCs w:val="24"/>
        </w:rPr>
        <w:t xml:space="preserve">The CPA reviewed and analyzed the net operating revenues in the historical and projected financial information. </w:t>
      </w:r>
      <w:r w:rsidR="00B222E8" w:rsidRPr="008831B4">
        <w:rPr>
          <w:rFonts w:asciiTheme="minorHAnsi" w:hAnsiTheme="minorHAnsi"/>
          <w:szCs w:val="24"/>
        </w:rPr>
        <w:t xml:space="preserve">Based on discussions with Management and review of the historical </w:t>
      </w:r>
      <w:r w:rsidR="00B222E8" w:rsidRPr="008831B4">
        <w:rPr>
          <w:rFonts w:asciiTheme="minorHAnsi" w:hAnsiTheme="minorHAnsi"/>
          <w:szCs w:val="24"/>
        </w:rPr>
        <w:lastRenderedPageBreak/>
        <w:t xml:space="preserve">patient days analysis, after the re-design and renovation of its post-acute care unit, the Facility will have 40 beds in its </w:t>
      </w:r>
      <w:r w:rsidR="00432087">
        <w:rPr>
          <w:rFonts w:asciiTheme="minorHAnsi" w:hAnsiTheme="minorHAnsi"/>
          <w:szCs w:val="24"/>
        </w:rPr>
        <w:t>short-term rehabilitation unit</w:t>
      </w:r>
      <w:r w:rsidR="00B222E8" w:rsidRPr="008831B4">
        <w:rPr>
          <w:rFonts w:asciiTheme="minorHAnsi" w:hAnsiTheme="minorHAnsi"/>
          <w:szCs w:val="24"/>
        </w:rPr>
        <w:t xml:space="preserve"> operating at 80% capacity for the year ending December 31, 2025 and increasing to 90% capacity for the year ending December 31, 2026. The Facility will also have 78 beds in its long-term care (LTC) unit operating at 95% capacity, 28 beds in its rest home (RH) unit operating at 100% capacity, and 14 beds in its fieldstone unit operating at 93% capacity for the years ending December 31, 2025 through December 31, 2029. </w:t>
      </w:r>
      <w:r w:rsidR="00057751" w:rsidRPr="008831B4">
        <w:rPr>
          <w:rFonts w:asciiTheme="minorHAnsi" w:hAnsiTheme="minorHAnsi"/>
          <w:szCs w:val="24"/>
        </w:rPr>
        <w:t>The CPA report states that o</w:t>
      </w:r>
      <w:r w:rsidR="00B222E8" w:rsidRPr="008831B4">
        <w:rPr>
          <w:rFonts w:asciiTheme="minorHAnsi" w:hAnsiTheme="minorHAnsi"/>
          <w:szCs w:val="24"/>
        </w:rPr>
        <w:t>ccupancy rates are consistent with historical averages.</w:t>
      </w:r>
    </w:p>
    <w:p w14:paraId="0D38DBC2" w14:textId="77777777" w:rsidR="00057751" w:rsidRPr="008831B4" w:rsidRDefault="00057751" w:rsidP="00CB12FE">
      <w:pPr>
        <w:rPr>
          <w:rFonts w:asciiTheme="minorHAnsi" w:hAnsiTheme="minorHAnsi"/>
          <w:szCs w:val="24"/>
        </w:rPr>
      </w:pPr>
    </w:p>
    <w:p w14:paraId="162638B5" w14:textId="0303B173" w:rsidR="00F705EE" w:rsidRPr="008831B4" w:rsidRDefault="00506F4A" w:rsidP="00CB12FE">
      <w:pPr>
        <w:rPr>
          <w:rFonts w:asciiTheme="minorHAnsi" w:hAnsiTheme="minorHAnsi"/>
          <w:szCs w:val="24"/>
        </w:rPr>
      </w:pPr>
      <w:r w:rsidRPr="008831B4">
        <w:rPr>
          <w:rFonts w:asciiTheme="minorHAnsi" w:hAnsiTheme="minorHAnsi"/>
          <w:szCs w:val="24"/>
        </w:rPr>
        <w:t>For the year ending December 31, 2025</w:t>
      </w:r>
      <w:r w:rsidR="00F705EE" w:rsidRPr="008831B4">
        <w:rPr>
          <w:rFonts w:asciiTheme="minorHAnsi" w:hAnsiTheme="minorHAnsi"/>
          <w:szCs w:val="24"/>
        </w:rPr>
        <w:t>, a</w:t>
      </w:r>
      <w:r w:rsidRPr="008831B4">
        <w:rPr>
          <w:rFonts w:asciiTheme="minorHAnsi" w:hAnsiTheme="minorHAnsi"/>
          <w:szCs w:val="24"/>
        </w:rPr>
        <w:t xml:space="preserve">verage service revenue per patient day for </w:t>
      </w:r>
      <w:r w:rsidR="00432087">
        <w:rPr>
          <w:rFonts w:asciiTheme="minorHAnsi" w:hAnsiTheme="minorHAnsi"/>
          <w:szCs w:val="24"/>
        </w:rPr>
        <w:t>Short-term care</w:t>
      </w:r>
      <w:r w:rsidRPr="008831B4">
        <w:rPr>
          <w:rFonts w:asciiTheme="minorHAnsi" w:hAnsiTheme="minorHAnsi"/>
          <w:szCs w:val="24"/>
        </w:rPr>
        <w:t xml:space="preserve">, </w:t>
      </w:r>
      <w:r w:rsidR="00432087">
        <w:rPr>
          <w:rFonts w:asciiTheme="minorHAnsi" w:hAnsiTheme="minorHAnsi"/>
          <w:szCs w:val="24"/>
        </w:rPr>
        <w:t>long-term care</w:t>
      </w:r>
      <w:r w:rsidRPr="008831B4">
        <w:rPr>
          <w:rFonts w:asciiTheme="minorHAnsi" w:hAnsiTheme="minorHAnsi"/>
          <w:szCs w:val="24"/>
        </w:rPr>
        <w:t xml:space="preserve">, </w:t>
      </w:r>
      <w:r w:rsidR="00432087">
        <w:rPr>
          <w:rFonts w:asciiTheme="minorHAnsi" w:hAnsiTheme="minorHAnsi"/>
          <w:szCs w:val="24"/>
        </w:rPr>
        <w:t>rest home</w:t>
      </w:r>
      <w:r w:rsidRPr="008831B4">
        <w:rPr>
          <w:rFonts w:asciiTheme="minorHAnsi" w:hAnsiTheme="minorHAnsi"/>
          <w:szCs w:val="24"/>
        </w:rPr>
        <w:t xml:space="preserve">, and fieldstone is projected to be $625, $419, $296, and $263, respectively. These rates are based on historical information and projected rates by service category. Service revenue per patient day will vary based on the payor mix. </w:t>
      </w:r>
    </w:p>
    <w:p w14:paraId="264E5C0F" w14:textId="77777777" w:rsidR="00F705EE" w:rsidRPr="008831B4" w:rsidRDefault="00F705EE" w:rsidP="00CB12FE">
      <w:pPr>
        <w:rPr>
          <w:rFonts w:asciiTheme="minorHAnsi" w:hAnsiTheme="minorHAnsi"/>
          <w:szCs w:val="24"/>
        </w:rPr>
      </w:pPr>
    </w:p>
    <w:p w14:paraId="6B0BFC09" w14:textId="26A16B12" w:rsidR="00057751" w:rsidRPr="008831B4" w:rsidRDefault="00506F4A" w:rsidP="00CB12FE">
      <w:pPr>
        <w:rPr>
          <w:rFonts w:asciiTheme="minorHAnsi" w:hAnsiTheme="minorHAnsi"/>
          <w:szCs w:val="24"/>
        </w:rPr>
      </w:pPr>
      <w:r w:rsidRPr="008831B4">
        <w:rPr>
          <w:rFonts w:asciiTheme="minorHAnsi" w:hAnsiTheme="minorHAnsi"/>
          <w:szCs w:val="24"/>
        </w:rPr>
        <w:t>Management estimated ancillary revenue ranging from approximately $1,475,000 to $1,660,000 for the years ending December 31, 2025 through December 31, 2029, which is based on historical information. Ancillary services revenue is projected to be approximately 5</w:t>
      </w:r>
      <w:r w:rsidR="00E02327" w:rsidRPr="008831B4">
        <w:rPr>
          <w:rFonts w:asciiTheme="minorHAnsi" w:hAnsiTheme="minorHAnsi"/>
          <w:szCs w:val="24"/>
        </w:rPr>
        <w:t xml:space="preserve">% to </w:t>
      </w:r>
      <w:r w:rsidRPr="008831B4">
        <w:rPr>
          <w:rFonts w:asciiTheme="minorHAnsi" w:hAnsiTheme="minorHAnsi"/>
          <w:szCs w:val="24"/>
        </w:rPr>
        <w:t>6% of total annual revenue.</w:t>
      </w:r>
      <w:r w:rsidR="00E02327" w:rsidRPr="004A1BE8">
        <w:rPr>
          <w:rFonts w:asciiTheme="minorHAnsi" w:hAnsiTheme="minorHAnsi"/>
          <w:szCs w:val="24"/>
        </w:rPr>
        <w:t xml:space="preserve"> </w:t>
      </w:r>
      <w:r w:rsidR="00E02327" w:rsidRPr="008831B4">
        <w:rPr>
          <w:rFonts w:asciiTheme="minorHAnsi" w:hAnsiTheme="minorHAnsi"/>
          <w:szCs w:val="24"/>
        </w:rPr>
        <w:t>Total revenue is expected to increase approximately 3% every year through December 31, 2029.</w:t>
      </w:r>
    </w:p>
    <w:p w14:paraId="561CF264" w14:textId="77777777" w:rsidR="00AB28B4" w:rsidRPr="008831B4" w:rsidRDefault="00AB28B4" w:rsidP="00CB12FE">
      <w:pPr>
        <w:rPr>
          <w:rFonts w:asciiTheme="minorHAnsi" w:hAnsiTheme="minorHAnsi"/>
          <w:szCs w:val="24"/>
        </w:rPr>
      </w:pPr>
    </w:p>
    <w:p w14:paraId="2088B596" w14:textId="19839B98" w:rsidR="00AB28B4" w:rsidRDefault="00AB28B4" w:rsidP="00CB12FE">
      <w:pPr>
        <w:rPr>
          <w:rFonts w:asciiTheme="minorHAnsi" w:hAnsiTheme="minorHAnsi"/>
          <w:szCs w:val="24"/>
        </w:rPr>
      </w:pPr>
      <w:r w:rsidRPr="008831B4">
        <w:rPr>
          <w:rFonts w:asciiTheme="minorHAnsi" w:hAnsiTheme="minorHAnsi"/>
          <w:szCs w:val="24"/>
        </w:rPr>
        <w:t>The CPA analyzed projected/pro-forma revenue for the years ending December 31, 2025, 2026, 2027, 2028, and 2029 in relation to the historical results of Overlook to assess the reasonableness of the projected/pro-forma statements, and determined that the revenue projected by Management is a reasonable estimation and conservative based primarily upon historical volume of operations and other factors</w:t>
      </w:r>
      <w:r w:rsidR="00C61029" w:rsidRPr="008831B4">
        <w:rPr>
          <w:rFonts w:asciiTheme="minorHAnsi" w:hAnsiTheme="minorHAnsi"/>
          <w:szCs w:val="24"/>
        </w:rPr>
        <w:t>, and based on their analysis found that</w:t>
      </w:r>
      <w:r w:rsidRPr="008831B4">
        <w:rPr>
          <w:rFonts w:asciiTheme="minorHAnsi" w:hAnsiTheme="minorHAnsi"/>
          <w:szCs w:val="24"/>
        </w:rPr>
        <w:t xml:space="preserve"> pro-forma revenues are reasonable.</w:t>
      </w:r>
    </w:p>
    <w:p w14:paraId="75E55538" w14:textId="77777777" w:rsidR="005F5B70" w:rsidRPr="008831B4" w:rsidRDefault="005F5B70" w:rsidP="00CB12FE">
      <w:pPr>
        <w:rPr>
          <w:rFonts w:asciiTheme="minorHAnsi" w:hAnsiTheme="minorHAnsi"/>
          <w:szCs w:val="24"/>
        </w:rPr>
      </w:pPr>
    </w:p>
    <w:p w14:paraId="7AD6F0FD" w14:textId="77777777" w:rsidR="00F532C4" w:rsidRPr="008831B4" w:rsidRDefault="00B45171" w:rsidP="00CB12FE">
      <w:pPr>
        <w:rPr>
          <w:rFonts w:asciiTheme="minorHAnsi" w:hAnsiTheme="minorHAnsi"/>
          <w:szCs w:val="24"/>
        </w:rPr>
      </w:pPr>
      <w:r w:rsidRPr="008831B4">
        <w:rPr>
          <w:rFonts w:asciiTheme="minorHAnsi" w:hAnsiTheme="minorHAnsi"/>
          <w:b/>
          <w:bCs/>
          <w:szCs w:val="24"/>
        </w:rPr>
        <w:t>Expenses:</w:t>
      </w:r>
      <w:r w:rsidRPr="008831B4">
        <w:rPr>
          <w:rFonts w:asciiTheme="minorHAnsi" w:hAnsiTheme="minorHAnsi"/>
          <w:szCs w:val="24"/>
        </w:rPr>
        <w:t xml:space="preserve"> </w:t>
      </w:r>
      <w:r w:rsidR="003163D8" w:rsidRPr="008831B4">
        <w:rPr>
          <w:rFonts w:asciiTheme="minorHAnsi" w:hAnsiTheme="minorHAnsi"/>
          <w:szCs w:val="24"/>
        </w:rPr>
        <w:t xml:space="preserve">The CPA analyzed each of the categorized expenses for reasonableness and feasibility as it relates to the projected revenue. </w:t>
      </w:r>
      <w:r w:rsidR="003163D8" w:rsidRPr="008831B4">
        <w:rPr>
          <w:rFonts w:asciiTheme="minorHAnsi" w:hAnsiTheme="minorHAnsi"/>
          <w:szCs w:val="24"/>
        </w:rPr>
        <w:cr/>
      </w:r>
      <w:r w:rsidR="00F532C4" w:rsidRPr="008831B4">
        <w:rPr>
          <w:rFonts w:asciiTheme="minorHAnsi" w:hAnsiTheme="minorHAnsi"/>
          <w:szCs w:val="24"/>
        </w:rPr>
        <w:t>Salaries and wages in the year ending December 31, 2025 includes:</w:t>
      </w:r>
    </w:p>
    <w:p w14:paraId="217B3206" w14:textId="77777777" w:rsidR="00F532C4" w:rsidRPr="008831B4" w:rsidRDefault="00F532C4" w:rsidP="00CB12FE">
      <w:pPr>
        <w:pStyle w:val="ListParagraph"/>
        <w:numPr>
          <w:ilvl w:val="0"/>
          <w:numId w:val="9"/>
        </w:numPr>
        <w:rPr>
          <w:rFonts w:asciiTheme="minorHAnsi" w:hAnsiTheme="minorHAnsi"/>
          <w:szCs w:val="24"/>
        </w:rPr>
      </w:pPr>
      <w:r w:rsidRPr="008831B4">
        <w:rPr>
          <w:rFonts w:asciiTheme="minorHAnsi" w:hAnsiTheme="minorHAnsi"/>
          <w:szCs w:val="24"/>
        </w:rPr>
        <w:t xml:space="preserve">265 full-time equivalents (FTEs), of which 1 FTE is a director of nursing with an average salary of $144,000, </w:t>
      </w:r>
    </w:p>
    <w:p w14:paraId="050EBCC4" w14:textId="77777777" w:rsidR="00F532C4" w:rsidRPr="008831B4" w:rsidRDefault="00F532C4" w:rsidP="00CB12FE">
      <w:pPr>
        <w:pStyle w:val="ListParagraph"/>
        <w:numPr>
          <w:ilvl w:val="0"/>
          <w:numId w:val="9"/>
        </w:numPr>
        <w:rPr>
          <w:rFonts w:asciiTheme="minorHAnsi" w:hAnsiTheme="minorHAnsi"/>
          <w:szCs w:val="24"/>
        </w:rPr>
      </w:pPr>
      <w:r w:rsidRPr="008831B4">
        <w:rPr>
          <w:rFonts w:asciiTheme="minorHAnsi" w:hAnsiTheme="minorHAnsi"/>
          <w:szCs w:val="24"/>
        </w:rPr>
        <w:t>9 FTEs are registered nurses (RN) with an average salary of $91,000,</w:t>
      </w:r>
    </w:p>
    <w:p w14:paraId="7103A63B" w14:textId="77777777" w:rsidR="00F532C4" w:rsidRPr="008831B4" w:rsidRDefault="00F532C4" w:rsidP="00CB12FE">
      <w:pPr>
        <w:pStyle w:val="ListParagraph"/>
        <w:numPr>
          <w:ilvl w:val="0"/>
          <w:numId w:val="9"/>
        </w:numPr>
        <w:rPr>
          <w:rFonts w:asciiTheme="minorHAnsi" w:hAnsiTheme="minorHAnsi"/>
          <w:szCs w:val="24"/>
        </w:rPr>
      </w:pPr>
      <w:r w:rsidRPr="008831B4">
        <w:rPr>
          <w:rFonts w:asciiTheme="minorHAnsi" w:hAnsiTheme="minorHAnsi"/>
          <w:szCs w:val="24"/>
        </w:rPr>
        <w:t xml:space="preserve">25 FTEs are licensed practical nurses (LPN) with an average salary of $74,000, </w:t>
      </w:r>
    </w:p>
    <w:p w14:paraId="2A400E4B" w14:textId="0CE55C22" w:rsidR="00F532C4" w:rsidRPr="008831B4" w:rsidRDefault="00F532C4" w:rsidP="00CB12FE">
      <w:pPr>
        <w:pStyle w:val="ListParagraph"/>
        <w:numPr>
          <w:ilvl w:val="0"/>
          <w:numId w:val="9"/>
        </w:numPr>
        <w:rPr>
          <w:rFonts w:asciiTheme="minorHAnsi" w:hAnsiTheme="minorHAnsi"/>
          <w:szCs w:val="24"/>
        </w:rPr>
      </w:pPr>
      <w:r w:rsidRPr="008831B4">
        <w:rPr>
          <w:rFonts w:asciiTheme="minorHAnsi" w:hAnsiTheme="minorHAnsi"/>
          <w:szCs w:val="24"/>
        </w:rPr>
        <w:t>71 FTEs are certified nursing assistants (</w:t>
      </w:r>
      <w:r w:rsidR="00772A2B" w:rsidRPr="008831B4">
        <w:rPr>
          <w:rFonts w:asciiTheme="minorHAnsi" w:hAnsiTheme="minorHAnsi"/>
          <w:szCs w:val="24"/>
        </w:rPr>
        <w:t>CAN)</w:t>
      </w:r>
      <w:r w:rsidRPr="008831B4">
        <w:rPr>
          <w:rFonts w:asciiTheme="minorHAnsi" w:hAnsiTheme="minorHAnsi"/>
          <w:szCs w:val="24"/>
        </w:rPr>
        <w:t xml:space="preserve"> with an average salary of $47,000, and </w:t>
      </w:r>
    </w:p>
    <w:p w14:paraId="3C51242F" w14:textId="329F745E" w:rsidR="00B45171" w:rsidRPr="008831B4" w:rsidRDefault="00F532C4" w:rsidP="00CB12FE">
      <w:pPr>
        <w:pStyle w:val="ListParagraph"/>
        <w:numPr>
          <w:ilvl w:val="0"/>
          <w:numId w:val="9"/>
        </w:numPr>
        <w:rPr>
          <w:rFonts w:asciiTheme="minorHAnsi" w:hAnsiTheme="minorHAnsi"/>
          <w:szCs w:val="24"/>
        </w:rPr>
      </w:pPr>
      <w:r w:rsidRPr="008831B4">
        <w:rPr>
          <w:rFonts w:asciiTheme="minorHAnsi" w:hAnsiTheme="minorHAnsi"/>
          <w:szCs w:val="24"/>
        </w:rPr>
        <w:t>the remainder of the employees, whose average annual salary for the year ending December 31, 2025 is approximately $39,300, work in other departments within the Facility.</w:t>
      </w:r>
    </w:p>
    <w:p w14:paraId="3E948FB4" w14:textId="77777777" w:rsidR="00171755" w:rsidRPr="008831B4" w:rsidRDefault="00171755" w:rsidP="00CB12FE">
      <w:pPr>
        <w:rPr>
          <w:rFonts w:asciiTheme="minorHAnsi" w:hAnsiTheme="minorHAnsi"/>
          <w:szCs w:val="24"/>
        </w:rPr>
      </w:pPr>
    </w:p>
    <w:p w14:paraId="7856D253" w14:textId="7723B4BA" w:rsidR="00171755" w:rsidRPr="008831B4" w:rsidRDefault="00171755" w:rsidP="00CB12FE">
      <w:pPr>
        <w:rPr>
          <w:rFonts w:asciiTheme="minorHAnsi" w:hAnsiTheme="minorHAnsi"/>
          <w:szCs w:val="24"/>
        </w:rPr>
      </w:pPr>
      <w:r w:rsidRPr="008831B4">
        <w:rPr>
          <w:rFonts w:asciiTheme="minorHAnsi" w:hAnsiTheme="minorHAnsi"/>
          <w:szCs w:val="24"/>
        </w:rPr>
        <w:t>Management assumed any increase in FTEs in the years ending December 31, 2026 through December 31, 2029 in relation to an increase in capacity will be outsourced through contract labor, which is included in other expenses. Management assumes a 3% cost of living adjustment every year.</w:t>
      </w:r>
      <w:r w:rsidR="000C384C" w:rsidRPr="008831B4">
        <w:rPr>
          <w:rFonts w:asciiTheme="minorHAnsi" w:hAnsiTheme="minorHAnsi"/>
          <w:szCs w:val="24"/>
        </w:rPr>
        <w:t xml:space="preserve"> </w:t>
      </w:r>
      <w:r w:rsidR="00AC0EBE" w:rsidRPr="008831B4">
        <w:rPr>
          <w:rFonts w:asciiTheme="minorHAnsi" w:hAnsiTheme="minorHAnsi"/>
          <w:szCs w:val="24"/>
        </w:rPr>
        <w:t>Management has estimated the projected fringe benefits at approximately 18% of salaries and wages, which is consistent with historical fringe benefits.</w:t>
      </w:r>
    </w:p>
    <w:p w14:paraId="77BF2EE7" w14:textId="77777777" w:rsidR="00AC0EBE" w:rsidRPr="008831B4" w:rsidRDefault="00AC0EBE" w:rsidP="00CB12FE">
      <w:pPr>
        <w:rPr>
          <w:rFonts w:asciiTheme="minorHAnsi" w:hAnsiTheme="minorHAnsi"/>
          <w:szCs w:val="24"/>
        </w:rPr>
      </w:pPr>
    </w:p>
    <w:p w14:paraId="08FCD9C6" w14:textId="27C8A083" w:rsidR="00AC0EBE" w:rsidRPr="008831B4" w:rsidRDefault="00AC0EBE" w:rsidP="00CB12FE">
      <w:pPr>
        <w:rPr>
          <w:rFonts w:asciiTheme="minorHAnsi" w:hAnsiTheme="minorHAnsi"/>
          <w:szCs w:val="24"/>
        </w:rPr>
      </w:pPr>
      <w:r w:rsidRPr="008831B4">
        <w:rPr>
          <w:rFonts w:asciiTheme="minorHAnsi" w:hAnsiTheme="minorHAnsi"/>
          <w:szCs w:val="24"/>
        </w:rPr>
        <w:t xml:space="preserve">The management fee is paid to Masonic Health System of Massachusetts, Inc. by </w:t>
      </w:r>
      <w:r w:rsidR="004519E1" w:rsidRPr="008831B4">
        <w:rPr>
          <w:rFonts w:asciiTheme="minorHAnsi" w:hAnsiTheme="minorHAnsi"/>
          <w:szCs w:val="24"/>
        </w:rPr>
        <w:t xml:space="preserve">The </w:t>
      </w:r>
      <w:r w:rsidRPr="008831B4">
        <w:rPr>
          <w:rFonts w:asciiTheme="minorHAnsi" w:hAnsiTheme="minorHAnsi"/>
          <w:szCs w:val="24"/>
        </w:rPr>
        <w:t xml:space="preserve">Overlook to cover various operating expenses, which is based on the percentage of total consolidated revenue. Management has estimated </w:t>
      </w:r>
      <w:r w:rsidR="004519E1" w:rsidRPr="008831B4">
        <w:rPr>
          <w:rFonts w:asciiTheme="minorHAnsi" w:hAnsiTheme="minorHAnsi"/>
          <w:szCs w:val="24"/>
        </w:rPr>
        <w:t xml:space="preserve">The </w:t>
      </w:r>
      <w:r w:rsidRPr="008831B4">
        <w:rPr>
          <w:rFonts w:asciiTheme="minorHAnsi" w:hAnsiTheme="minorHAnsi"/>
          <w:szCs w:val="24"/>
        </w:rPr>
        <w:t>Overlook will make up 47% of Masonic Health System of Massachusetts, Inc.’s total consolidated revenue in the year ending December 31, 2025. Management assumes a 3% increase every year in the management fee, which is in line with the anticipated annual increase in revenue.</w:t>
      </w:r>
    </w:p>
    <w:p w14:paraId="431CD578" w14:textId="77777777" w:rsidR="003E6F8F" w:rsidRPr="008831B4" w:rsidRDefault="003E6F8F" w:rsidP="00CB12FE">
      <w:pPr>
        <w:rPr>
          <w:rFonts w:asciiTheme="minorHAnsi" w:hAnsiTheme="minorHAnsi"/>
          <w:szCs w:val="24"/>
        </w:rPr>
      </w:pPr>
    </w:p>
    <w:p w14:paraId="23AE0133" w14:textId="59D2557F" w:rsidR="003E6F8F" w:rsidRPr="008831B4" w:rsidRDefault="003E6F8F" w:rsidP="00CB12FE">
      <w:pPr>
        <w:rPr>
          <w:rFonts w:asciiTheme="minorHAnsi" w:hAnsiTheme="minorHAnsi"/>
          <w:szCs w:val="24"/>
        </w:rPr>
      </w:pPr>
      <w:r w:rsidRPr="008831B4">
        <w:rPr>
          <w:rFonts w:asciiTheme="minorHAnsi" w:hAnsiTheme="minorHAnsi"/>
          <w:szCs w:val="24"/>
        </w:rPr>
        <w:t>The Overlook has entered into a fixed rate contract for electricity beginning in June 2025, which runs through May 2027. The overall savings on electricity from this contract are anticipated to be approximately $250,000.</w:t>
      </w:r>
    </w:p>
    <w:p w14:paraId="4F0D1995" w14:textId="77777777" w:rsidR="003B0C51" w:rsidRPr="008831B4" w:rsidRDefault="003B0C51" w:rsidP="00CB12FE">
      <w:pPr>
        <w:rPr>
          <w:rFonts w:asciiTheme="minorHAnsi" w:hAnsiTheme="minorHAnsi"/>
          <w:szCs w:val="24"/>
        </w:rPr>
      </w:pPr>
    </w:p>
    <w:p w14:paraId="32693BAE" w14:textId="4011D98F" w:rsidR="003E6F8F" w:rsidRPr="008831B4" w:rsidRDefault="003B0C51" w:rsidP="00CB12FE">
      <w:pPr>
        <w:rPr>
          <w:rFonts w:asciiTheme="minorHAnsi" w:hAnsiTheme="minorHAnsi"/>
          <w:szCs w:val="24"/>
        </w:rPr>
      </w:pPr>
      <w:r w:rsidRPr="008831B4">
        <w:rPr>
          <w:rFonts w:asciiTheme="minorHAnsi" w:hAnsiTheme="minorHAnsi"/>
          <w:szCs w:val="24"/>
        </w:rPr>
        <w:t>User fees are paid to the Commonwealth of Massachusetts by Overlook and are charged on a per day basis to patients who are insured by providers other than Medicare.</w:t>
      </w:r>
    </w:p>
    <w:p w14:paraId="13E92FD2" w14:textId="77777777" w:rsidR="003B0C51" w:rsidRPr="008831B4" w:rsidRDefault="003B0C51" w:rsidP="00CB12FE">
      <w:pPr>
        <w:rPr>
          <w:rFonts w:asciiTheme="minorHAnsi" w:hAnsiTheme="minorHAnsi"/>
          <w:szCs w:val="24"/>
        </w:rPr>
      </w:pPr>
    </w:p>
    <w:p w14:paraId="3B628178" w14:textId="77777777" w:rsidR="00FB50BD" w:rsidRPr="008831B4" w:rsidRDefault="003B0C51" w:rsidP="00CB12FE">
      <w:pPr>
        <w:rPr>
          <w:rFonts w:asciiTheme="minorHAnsi" w:hAnsiTheme="minorHAnsi"/>
          <w:szCs w:val="24"/>
        </w:rPr>
      </w:pPr>
      <w:r w:rsidRPr="008831B4">
        <w:rPr>
          <w:rFonts w:asciiTheme="minorHAnsi" w:hAnsiTheme="minorHAnsi"/>
          <w:szCs w:val="24"/>
        </w:rPr>
        <w:t xml:space="preserve">Other expenses in the year ending December 31, 2025 include ancillary service expenses (40%), professional fees (16%), unemployment (9%), and other miscellaneous operating expenses (35%). Other expenses in the year ending December 31, 2026 includes approximately $213,000 of contract labor to cover the transition related to the increase in the number of projected patient days of 1,460. Management assumes an approximate 7% increase in other expenses for the years ending December 31, 2027 through December 31, 2029. </w:t>
      </w:r>
    </w:p>
    <w:p w14:paraId="1FA5F377" w14:textId="77777777" w:rsidR="00FB50BD" w:rsidRPr="008831B4" w:rsidRDefault="00FB50BD" w:rsidP="00CB12FE">
      <w:pPr>
        <w:rPr>
          <w:rFonts w:asciiTheme="minorHAnsi" w:hAnsiTheme="minorHAnsi"/>
          <w:szCs w:val="24"/>
        </w:rPr>
      </w:pPr>
    </w:p>
    <w:p w14:paraId="63A5B3C5" w14:textId="4D0DA5FF" w:rsidR="003B0C51" w:rsidRPr="008831B4" w:rsidRDefault="003B0C51" w:rsidP="00CB12FE">
      <w:pPr>
        <w:rPr>
          <w:rFonts w:asciiTheme="minorHAnsi" w:hAnsiTheme="minorHAnsi"/>
          <w:szCs w:val="24"/>
        </w:rPr>
      </w:pPr>
      <w:r w:rsidRPr="008831B4">
        <w:rPr>
          <w:rFonts w:asciiTheme="minorHAnsi" w:hAnsiTheme="minorHAnsi"/>
          <w:szCs w:val="24"/>
        </w:rPr>
        <w:t>Costs of approximately $2,995,285 for construction, architectural, and development costs will be depreciated over 20 years, beginning in the year ending December 31, 2025. The anticipated annual depreciation for the project will be approximately $150,000 per year. Additional depreciation expense related to existing assets in service will be approximately $1,496,000 per year.</w:t>
      </w:r>
    </w:p>
    <w:p w14:paraId="26F88576" w14:textId="77777777" w:rsidR="00B67C03" w:rsidRPr="008831B4" w:rsidRDefault="00B67C03" w:rsidP="00CB12FE">
      <w:pPr>
        <w:rPr>
          <w:rFonts w:asciiTheme="minorHAnsi" w:hAnsiTheme="minorHAnsi"/>
          <w:szCs w:val="24"/>
        </w:rPr>
      </w:pPr>
    </w:p>
    <w:p w14:paraId="49A17EDE" w14:textId="341A8865" w:rsidR="00B67C03" w:rsidRPr="008831B4" w:rsidRDefault="00B67C03" w:rsidP="00CB12FE">
      <w:pPr>
        <w:rPr>
          <w:rFonts w:asciiTheme="minorHAnsi" w:hAnsiTheme="minorHAnsi"/>
          <w:szCs w:val="24"/>
        </w:rPr>
      </w:pPr>
      <w:r w:rsidRPr="008831B4">
        <w:rPr>
          <w:rFonts w:asciiTheme="minorHAnsi" w:hAnsiTheme="minorHAnsi"/>
          <w:szCs w:val="24"/>
        </w:rPr>
        <w:t xml:space="preserve">The CPA analyzed the projected/pro forma expenses for the years ending December 31, 2025 through December 31, 2029 in relation to the existing operations at Overlook for the years ended December 31, 2020, 2021, 2022 and annualized 2023, based on the nine months ended September 30, 2023, in order to assess the reasonableness of the projected/pro forma statements. Based on </w:t>
      </w:r>
      <w:r w:rsidR="002A2F83">
        <w:rPr>
          <w:rFonts w:asciiTheme="minorHAnsi" w:hAnsiTheme="minorHAnsi"/>
          <w:szCs w:val="24"/>
        </w:rPr>
        <w:t xml:space="preserve">the CPA’s </w:t>
      </w:r>
      <w:r w:rsidRPr="008831B4">
        <w:rPr>
          <w:rFonts w:asciiTheme="minorHAnsi" w:hAnsiTheme="minorHAnsi"/>
          <w:szCs w:val="24"/>
        </w:rPr>
        <w:t>analysis, the pro-forma total expenses projected by Management are a reasonable estimation and conservative based primarily upon historical volume of operations and other factors.</w:t>
      </w:r>
    </w:p>
    <w:p w14:paraId="0FE5E788" w14:textId="77777777" w:rsidR="00B45171" w:rsidRPr="008831B4" w:rsidRDefault="00B45171" w:rsidP="00CB12FE">
      <w:pPr>
        <w:rPr>
          <w:rFonts w:asciiTheme="minorHAnsi" w:hAnsiTheme="minorHAnsi"/>
          <w:szCs w:val="24"/>
        </w:rPr>
      </w:pPr>
    </w:p>
    <w:p w14:paraId="01F018B0" w14:textId="0A7C5557" w:rsidR="00B45171" w:rsidRPr="008831B4" w:rsidRDefault="00A634B1" w:rsidP="00CB12FE">
      <w:pPr>
        <w:rPr>
          <w:rFonts w:asciiTheme="minorHAnsi" w:hAnsiTheme="minorHAnsi"/>
          <w:szCs w:val="24"/>
        </w:rPr>
      </w:pPr>
      <w:r w:rsidRPr="008831B4">
        <w:rPr>
          <w:rFonts w:asciiTheme="minorHAnsi" w:hAnsiTheme="minorHAnsi"/>
          <w:b/>
          <w:bCs/>
          <w:szCs w:val="24"/>
        </w:rPr>
        <w:t xml:space="preserve">Cash Flows: </w:t>
      </w:r>
      <w:r w:rsidRPr="008831B4">
        <w:rPr>
          <w:rFonts w:asciiTheme="minorHAnsi" w:hAnsiTheme="minorHAnsi"/>
          <w:szCs w:val="24"/>
        </w:rPr>
        <w:t xml:space="preserve">Based upon </w:t>
      </w:r>
      <w:r w:rsidR="00132247" w:rsidRPr="008831B4">
        <w:rPr>
          <w:rFonts w:asciiTheme="minorHAnsi" w:hAnsiTheme="minorHAnsi"/>
          <w:szCs w:val="24"/>
        </w:rPr>
        <w:t>the</w:t>
      </w:r>
      <w:r w:rsidR="003E3733" w:rsidRPr="008831B4">
        <w:rPr>
          <w:rFonts w:asciiTheme="minorHAnsi" w:hAnsiTheme="minorHAnsi"/>
          <w:szCs w:val="24"/>
        </w:rPr>
        <w:t xml:space="preserve"> CPA’s </w:t>
      </w:r>
      <w:r w:rsidRPr="008831B4">
        <w:rPr>
          <w:rFonts w:asciiTheme="minorHAnsi" w:hAnsiTheme="minorHAnsi"/>
          <w:szCs w:val="24"/>
        </w:rPr>
        <w:t xml:space="preserve">discussions with Management and review of the information provided, the </w:t>
      </w:r>
      <w:r w:rsidR="005E258C" w:rsidRPr="008831B4">
        <w:rPr>
          <w:rFonts w:asciiTheme="minorHAnsi" w:hAnsiTheme="minorHAnsi"/>
          <w:szCs w:val="24"/>
        </w:rPr>
        <w:t xml:space="preserve">CPA determined the </w:t>
      </w:r>
      <w:r w:rsidRPr="008831B4">
        <w:rPr>
          <w:rFonts w:asciiTheme="minorHAnsi" w:hAnsiTheme="minorHAnsi"/>
          <w:szCs w:val="24"/>
        </w:rPr>
        <w:t>capital needs and ongoing operating costs required for the re-design and renovation of</w:t>
      </w:r>
      <w:r w:rsidR="004519E1" w:rsidRPr="008831B4">
        <w:rPr>
          <w:rFonts w:asciiTheme="minorHAnsi" w:hAnsiTheme="minorHAnsi"/>
          <w:szCs w:val="24"/>
        </w:rPr>
        <w:t xml:space="preserve"> The</w:t>
      </w:r>
      <w:r w:rsidRPr="008831B4">
        <w:rPr>
          <w:rFonts w:asciiTheme="minorHAnsi" w:hAnsiTheme="minorHAnsi"/>
          <w:szCs w:val="24"/>
        </w:rPr>
        <w:t xml:space="preserve"> Overlook’s post-acute care unit are not likely to result in a scenario where there is negative cash flow.</w:t>
      </w:r>
    </w:p>
    <w:p w14:paraId="72EFC7F7" w14:textId="77777777" w:rsidR="00B45171" w:rsidRPr="008831B4" w:rsidRDefault="00B45171" w:rsidP="00CB12FE">
      <w:pPr>
        <w:rPr>
          <w:rFonts w:asciiTheme="minorHAnsi" w:hAnsiTheme="minorHAnsi"/>
          <w:szCs w:val="24"/>
        </w:rPr>
      </w:pPr>
    </w:p>
    <w:p w14:paraId="77C98AEA" w14:textId="034D9F41" w:rsidR="00B45171" w:rsidRPr="008831B4" w:rsidRDefault="00A634B1" w:rsidP="00CB12FE">
      <w:pPr>
        <w:rPr>
          <w:rFonts w:asciiTheme="minorHAnsi" w:hAnsiTheme="minorHAnsi"/>
          <w:b/>
          <w:bCs/>
          <w:szCs w:val="24"/>
        </w:rPr>
      </w:pPr>
      <w:r w:rsidRPr="008831B4">
        <w:rPr>
          <w:rFonts w:asciiTheme="minorHAnsi" w:hAnsiTheme="minorHAnsi"/>
          <w:b/>
          <w:bCs/>
          <w:szCs w:val="24"/>
        </w:rPr>
        <w:t xml:space="preserve">Capital Expenditure: </w:t>
      </w:r>
      <w:r w:rsidR="006F0576" w:rsidRPr="008831B4">
        <w:rPr>
          <w:rFonts w:asciiTheme="minorHAnsi" w:hAnsiTheme="minorHAnsi"/>
          <w:szCs w:val="24"/>
        </w:rPr>
        <w:t xml:space="preserve">Based upon </w:t>
      </w:r>
      <w:r w:rsidR="003E3733" w:rsidRPr="008831B4">
        <w:rPr>
          <w:rFonts w:asciiTheme="minorHAnsi" w:hAnsiTheme="minorHAnsi"/>
          <w:szCs w:val="24"/>
        </w:rPr>
        <w:t xml:space="preserve">the CPA’s </w:t>
      </w:r>
      <w:r w:rsidR="006F0576" w:rsidRPr="008831B4">
        <w:rPr>
          <w:rFonts w:asciiTheme="minorHAnsi" w:hAnsiTheme="minorHAnsi"/>
          <w:szCs w:val="24"/>
        </w:rPr>
        <w:t xml:space="preserve">discussions with Management and review of the information </w:t>
      </w:r>
      <w:r w:rsidR="003E3733" w:rsidRPr="008831B4">
        <w:rPr>
          <w:rFonts w:asciiTheme="minorHAnsi" w:hAnsiTheme="minorHAnsi"/>
          <w:szCs w:val="24"/>
        </w:rPr>
        <w:t>provided</w:t>
      </w:r>
      <w:r w:rsidR="006F0576" w:rsidRPr="008831B4">
        <w:rPr>
          <w:rFonts w:asciiTheme="minorHAnsi" w:hAnsiTheme="minorHAnsi"/>
          <w:szCs w:val="24"/>
        </w:rPr>
        <w:t xml:space="preserve"> the projected capital expenditures are $2,995,285. The </w:t>
      </w:r>
      <w:r w:rsidR="003E3733" w:rsidRPr="008831B4">
        <w:rPr>
          <w:rFonts w:asciiTheme="minorHAnsi" w:hAnsiTheme="minorHAnsi"/>
          <w:szCs w:val="24"/>
        </w:rPr>
        <w:t xml:space="preserve">CPA determined the </w:t>
      </w:r>
      <w:r w:rsidR="006F0576" w:rsidRPr="008831B4">
        <w:rPr>
          <w:rFonts w:asciiTheme="minorHAnsi" w:hAnsiTheme="minorHAnsi"/>
          <w:szCs w:val="24"/>
        </w:rPr>
        <w:lastRenderedPageBreak/>
        <w:t>Applicant has the resources to fund the initial capital requirements.</w:t>
      </w:r>
    </w:p>
    <w:p w14:paraId="48CEF69B" w14:textId="77777777" w:rsidR="00A634B1" w:rsidRPr="008831B4" w:rsidRDefault="00A634B1" w:rsidP="00CB12FE">
      <w:pPr>
        <w:rPr>
          <w:rFonts w:asciiTheme="minorHAnsi" w:hAnsiTheme="minorHAnsi"/>
          <w:b/>
          <w:bCs/>
          <w:szCs w:val="24"/>
        </w:rPr>
      </w:pPr>
    </w:p>
    <w:p w14:paraId="565CECCF" w14:textId="53D9558B" w:rsidR="00B45171" w:rsidRPr="008831B4" w:rsidRDefault="00B45171" w:rsidP="00CB12FE">
      <w:pPr>
        <w:rPr>
          <w:rFonts w:asciiTheme="minorHAnsi" w:hAnsiTheme="minorHAnsi"/>
          <w:b/>
          <w:bCs/>
          <w:szCs w:val="24"/>
        </w:rPr>
      </w:pPr>
      <w:r w:rsidRPr="008831B4">
        <w:rPr>
          <w:rFonts w:asciiTheme="minorHAnsi" w:hAnsiTheme="minorHAnsi"/>
          <w:b/>
          <w:bCs/>
          <w:szCs w:val="24"/>
        </w:rPr>
        <w:t>CPA’s Conclusion of Feasibility</w:t>
      </w:r>
      <w:r w:rsidR="006F0576" w:rsidRPr="008831B4">
        <w:rPr>
          <w:rFonts w:asciiTheme="minorHAnsi" w:hAnsiTheme="minorHAnsi"/>
          <w:b/>
          <w:bCs/>
          <w:szCs w:val="24"/>
        </w:rPr>
        <w:t xml:space="preserve">: </w:t>
      </w:r>
      <w:r w:rsidR="006F0576" w:rsidRPr="008831B4">
        <w:rPr>
          <w:rFonts w:asciiTheme="minorHAnsi" w:hAnsiTheme="minorHAnsi"/>
          <w:szCs w:val="24"/>
        </w:rPr>
        <w:t>“We determined that the projections were not likely to result in insufficient funds available for ongoing operating costs necessary to support the Project. Based upon our review of the projections and relevant supporting documentation, we determined the re-design and renovation of Overlook’s post-acute care unit and the capital needs associated with the Project is financially feasible and within the financial capability of the Applicant.”</w:t>
      </w:r>
    </w:p>
    <w:p w14:paraId="02F4568A" w14:textId="77777777" w:rsidR="003C0D4F" w:rsidRPr="008831B4" w:rsidRDefault="003C0D4F" w:rsidP="00CB12FE">
      <w:pPr>
        <w:pStyle w:val="BodyText"/>
        <w:rPr>
          <w:rFonts w:asciiTheme="minorHAnsi" w:hAnsiTheme="minorHAnsi"/>
        </w:rPr>
      </w:pPr>
    </w:p>
    <w:p w14:paraId="6E40EA66" w14:textId="3624C63D" w:rsidR="00B447F3" w:rsidRPr="008831B4" w:rsidRDefault="00A4110F" w:rsidP="00CB12FE">
      <w:pPr>
        <w:pStyle w:val="BodyText"/>
        <w:ind w:left="-144"/>
        <w:rPr>
          <w:rFonts w:asciiTheme="minorHAnsi" w:hAnsiTheme="minorHAnsi"/>
          <w:b/>
          <w:bCs/>
          <w:i/>
          <w:iCs/>
        </w:rPr>
      </w:pPr>
      <w:r w:rsidRPr="008831B4">
        <w:rPr>
          <w:rFonts w:asciiTheme="minorHAnsi" w:hAnsiTheme="minorHAnsi"/>
          <w:b/>
          <w:bCs/>
          <w:i/>
          <w:iCs/>
        </w:rPr>
        <w:t xml:space="preserve">   Analysis</w:t>
      </w:r>
    </w:p>
    <w:p w14:paraId="30653C8F" w14:textId="1A062749" w:rsidR="00FE3BD6" w:rsidRPr="008831B4" w:rsidRDefault="00FE3BD6" w:rsidP="00CB12FE">
      <w:pPr>
        <w:pStyle w:val="BodyText"/>
        <w:ind w:hanging="144"/>
        <w:rPr>
          <w:rFonts w:asciiTheme="minorHAnsi" w:hAnsiTheme="minorHAnsi"/>
        </w:rPr>
      </w:pPr>
      <w:r w:rsidRPr="004A1BE8">
        <w:rPr>
          <w:rFonts w:asciiTheme="minorHAnsi" w:hAnsiTheme="minorHAnsi"/>
        </w:rPr>
        <w:t xml:space="preserve">   </w:t>
      </w:r>
      <w:r w:rsidRPr="008831B4">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39D90124" w14:textId="51480EE6" w:rsidR="00B447F3" w:rsidRPr="003436F0" w:rsidRDefault="00A4110F" w:rsidP="008917DC">
      <w:pPr>
        <w:pStyle w:val="Heading1"/>
        <w:spacing w:before="1"/>
        <w:ind w:left="0"/>
        <w:rPr>
          <w:rFonts w:asciiTheme="minorHAnsi" w:hAnsiTheme="minorHAnsi"/>
        </w:rPr>
      </w:pPr>
      <w:bookmarkStart w:id="23" w:name="Factor_5:_Assessment_of_the_Proposed_Pro"/>
      <w:bookmarkStart w:id="24" w:name="_Toc173743602"/>
      <w:bookmarkEnd w:id="23"/>
      <w:r w:rsidRPr="003436F0">
        <w:rPr>
          <w:rFonts w:asciiTheme="minorHAnsi" w:hAnsiTheme="minorHAnsi"/>
          <w:color w:val="42558C"/>
        </w:rPr>
        <w:t>Factor 5: Assessment of the Proposed Project’s Relative Merit</w:t>
      </w:r>
      <w:bookmarkEnd w:id="24"/>
    </w:p>
    <w:p w14:paraId="4FC717A7" w14:textId="24946567" w:rsidR="00B447F3" w:rsidRPr="008831B4" w:rsidRDefault="006D7D58" w:rsidP="6ACB936F">
      <w:pPr>
        <w:pStyle w:val="BodyText"/>
        <w:rPr>
          <w:rFonts w:asciiTheme="minorHAnsi" w:hAnsiTheme="minorHAnsi"/>
        </w:rPr>
      </w:pPr>
      <w:r w:rsidRPr="008831B4">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25" w:name="_Int_BedYxzXG"/>
      <w:r w:rsidRPr="008831B4">
        <w:rPr>
          <w:rFonts w:asciiTheme="minorHAnsi" w:hAnsiTheme="minorHAnsi"/>
        </w:rPr>
        <w:t>take into account</w:t>
      </w:r>
      <w:bookmarkEnd w:id="25"/>
      <w:r w:rsidRPr="008831B4">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Pr="008831B4" w:rsidRDefault="006D7D58" w:rsidP="006D275F">
      <w:pPr>
        <w:pStyle w:val="BodyText"/>
        <w:rPr>
          <w:rFonts w:asciiTheme="minorHAnsi" w:hAnsiTheme="minorHAnsi"/>
        </w:rPr>
      </w:pPr>
    </w:p>
    <w:p w14:paraId="69F5426B" w14:textId="01C253A6" w:rsidR="006D275F" w:rsidRPr="008831B4" w:rsidRDefault="000133ED" w:rsidP="004A1BE8">
      <w:pPr>
        <w:pStyle w:val="BodyText"/>
        <w:rPr>
          <w:rFonts w:asciiTheme="minorHAnsi" w:hAnsiTheme="minorHAnsi"/>
        </w:rPr>
      </w:pPr>
      <w:r w:rsidRPr="008831B4">
        <w:rPr>
          <w:rFonts w:asciiTheme="minorHAnsi" w:hAnsiTheme="minorHAnsi"/>
          <w:b/>
          <w:bCs/>
        </w:rPr>
        <w:t xml:space="preserve">Alternative 1: </w:t>
      </w:r>
      <w:r w:rsidR="00915A49" w:rsidRPr="008831B4">
        <w:rPr>
          <w:rFonts w:asciiTheme="minorHAnsi" w:hAnsiTheme="minorHAnsi"/>
        </w:rPr>
        <w:t xml:space="preserve">Forgo the Proposed Project and continue operation of </w:t>
      </w:r>
      <w:r w:rsidR="0065739A" w:rsidRPr="008831B4">
        <w:rPr>
          <w:rFonts w:asciiTheme="minorHAnsi" w:hAnsiTheme="minorHAnsi"/>
        </w:rPr>
        <w:t>The Overlook</w:t>
      </w:r>
      <w:r w:rsidR="00915A49" w:rsidRPr="008831B4">
        <w:rPr>
          <w:rFonts w:asciiTheme="minorHAnsi" w:hAnsiTheme="minorHAnsi"/>
        </w:rPr>
        <w:t xml:space="preserve"> with no renovations. </w:t>
      </w:r>
    </w:p>
    <w:p w14:paraId="5736425B" w14:textId="160C78A2" w:rsidR="00915A49" w:rsidRPr="008831B4" w:rsidRDefault="00915A49" w:rsidP="004A1BE8">
      <w:pPr>
        <w:pStyle w:val="BodyText"/>
        <w:numPr>
          <w:ilvl w:val="1"/>
          <w:numId w:val="29"/>
        </w:numPr>
        <w:rPr>
          <w:rFonts w:asciiTheme="minorHAnsi" w:hAnsiTheme="minorHAnsi"/>
        </w:rPr>
      </w:pPr>
      <w:r w:rsidRPr="008831B4">
        <w:rPr>
          <w:rFonts w:asciiTheme="minorHAnsi" w:hAnsiTheme="minorHAnsi"/>
          <w:b/>
          <w:bCs/>
        </w:rPr>
        <w:t>Quality</w:t>
      </w:r>
      <w:r w:rsidR="004519E1" w:rsidRPr="008831B4">
        <w:rPr>
          <w:rFonts w:asciiTheme="minorHAnsi" w:hAnsiTheme="minorHAnsi"/>
          <w:b/>
          <w:bCs/>
        </w:rPr>
        <w:t>:</w:t>
      </w:r>
      <w:r w:rsidRPr="008831B4">
        <w:rPr>
          <w:rFonts w:asciiTheme="minorHAnsi" w:hAnsiTheme="minorHAnsi"/>
        </w:rPr>
        <w:t xml:space="preserve"> </w:t>
      </w:r>
      <w:r w:rsidR="007F2DC8" w:rsidRPr="008831B4">
        <w:rPr>
          <w:rFonts w:asciiTheme="minorHAnsi" w:hAnsiTheme="minorHAnsi"/>
        </w:rPr>
        <w:t>Quality would not improve because the building would remain in its current and declining physical s</w:t>
      </w:r>
      <w:r w:rsidR="00152B19">
        <w:rPr>
          <w:rFonts w:asciiTheme="minorHAnsi" w:hAnsiTheme="minorHAnsi"/>
        </w:rPr>
        <w:t>t</w:t>
      </w:r>
      <w:r w:rsidR="007F2DC8" w:rsidRPr="008831B4">
        <w:rPr>
          <w:rFonts w:asciiTheme="minorHAnsi" w:hAnsiTheme="minorHAnsi"/>
        </w:rPr>
        <w:t>ate and the renovations need</w:t>
      </w:r>
      <w:r w:rsidR="002A2F83">
        <w:rPr>
          <w:rFonts w:asciiTheme="minorHAnsi" w:hAnsiTheme="minorHAnsi"/>
        </w:rPr>
        <w:t>ed</w:t>
      </w:r>
      <w:r w:rsidR="007F2DC8" w:rsidRPr="008831B4">
        <w:rPr>
          <w:rFonts w:asciiTheme="minorHAnsi" w:hAnsiTheme="minorHAnsi"/>
        </w:rPr>
        <w:t xml:space="preserve"> to address service delivery and efficiency would not be done, which would further prevent </w:t>
      </w:r>
      <w:r w:rsidR="0065739A" w:rsidRPr="008831B4">
        <w:rPr>
          <w:rFonts w:asciiTheme="minorHAnsi" w:hAnsiTheme="minorHAnsi"/>
        </w:rPr>
        <w:t>The Overlook</w:t>
      </w:r>
      <w:r w:rsidR="007F2DC8" w:rsidRPr="008831B4">
        <w:rPr>
          <w:rFonts w:asciiTheme="minorHAnsi" w:hAnsiTheme="minorHAnsi"/>
        </w:rPr>
        <w:t xml:space="preserve"> from expanding its clinical capabilities and offering to the community. </w:t>
      </w:r>
    </w:p>
    <w:p w14:paraId="4CB878BE" w14:textId="46E515AD" w:rsidR="007F2DC8" w:rsidRPr="008831B4" w:rsidRDefault="007F2DC8" w:rsidP="004A1BE8">
      <w:pPr>
        <w:pStyle w:val="BodyText"/>
        <w:numPr>
          <w:ilvl w:val="1"/>
          <w:numId w:val="29"/>
        </w:numPr>
        <w:rPr>
          <w:rFonts w:asciiTheme="minorHAnsi" w:hAnsiTheme="minorHAnsi"/>
        </w:rPr>
      </w:pPr>
      <w:r w:rsidRPr="008831B4">
        <w:rPr>
          <w:rFonts w:asciiTheme="minorHAnsi" w:hAnsiTheme="minorHAnsi"/>
          <w:b/>
          <w:bCs/>
        </w:rPr>
        <w:t>Efficiency</w:t>
      </w:r>
      <w:r w:rsidR="004519E1" w:rsidRPr="008831B4">
        <w:rPr>
          <w:rFonts w:asciiTheme="minorHAnsi" w:hAnsiTheme="minorHAnsi"/>
          <w:b/>
          <w:bCs/>
        </w:rPr>
        <w:t xml:space="preserve">: </w:t>
      </w:r>
      <w:r w:rsidRPr="008831B4">
        <w:rPr>
          <w:rFonts w:asciiTheme="minorHAnsi" w:hAnsiTheme="minorHAnsi"/>
        </w:rPr>
        <w:t xml:space="preserve">The current facility is aging and without renovations to modernize the space and service offerings, inefficiencies would persist, such as insufficient storage and multiple, unused dining rooms. </w:t>
      </w:r>
    </w:p>
    <w:p w14:paraId="0AF14321" w14:textId="14DA57C2" w:rsidR="007F2DC8" w:rsidRPr="008831B4" w:rsidRDefault="007F2DC8" w:rsidP="004A1BE8">
      <w:pPr>
        <w:pStyle w:val="BodyText"/>
        <w:numPr>
          <w:ilvl w:val="1"/>
          <w:numId w:val="29"/>
        </w:numPr>
        <w:rPr>
          <w:rFonts w:asciiTheme="minorHAnsi" w:hAnsiTheme="minorHAnsi"/>
        </w:rPr>
      </w:pPr>
      <w:r w:rsidRPr="008831B4">
        <w:rPr>
          <w:rFonts w:asciiTheme="minorHAnsi" w:hAnsiTheme="minorHAnsi"/>
          <w:b/>
          <w:bCs/>
        </w:rPr>
        <w:t>Capital Expenses</w:t>
      </w:r>
      <w:r w:rsidR="004519E1" w:rsidRPr="008831B4">
        <w:rPr>
          <w:rFonts w:asciiTheme="minorHAnsi" w:hAnsiTheme="minorHAnsi"/>
          <w:b/>
          <w:bCs/>
        </w:rPr>
        <w:t>:</w:t>
      </w:r>
      <w:r w:rsidRPr="008831B4">
        <w:rPr>
          <w:rFonts w:asciiTheme="minorHAnsi" w:hAnsiTheme="minorHAnsi"/>
        </w:rPr>
        <w:t xml:space="preserve"> There is no capital expenses associated with this alternative. However, capital expens</w:t>
      </w:r>
      <w:r w:rsidR="001B6448" w:rsidRPr="008831B4">
        <w:rPr>
          <w:rFonts w:asciiTheme="minorHAnsi" w:hAnsiTheme="minorHAnsi"/>
        </w:rPr>
        <w:t>es</w:t>
      </w:r>
      <w:r w:rsidRPr="008831B4">
        <w:rPr>
          <w:rFonts w:asciiTheme="minorHAnsi" w:hAnsiTheme="minorHAnsi"/>
        </w:rPr>
        <w:t xml:space="preserve"> would occur at a later date to address the deferred maintenance. </w:t>
      </w:r>
    </w:p>
    <w:p w14:paraId="5BDBE4E0" w14:textId="2CB3F0E3" w:rsidR="007F2DC8" w:rsidRPr="008831B4" w:rsidRDefault="007F2DC8" w:rsidP="004A1BE8">
      <w:pPr>
        <w:pStyle w:val="BodyText"/>
        <w:numPr>
          <w:ilvl w:val="1"/>
          <w:numId w:val="29"/>
        </w:numPr>
        <w:rPr>
          <w:rFonts w:asciiTheme="minorHAnsi" w:hAnsiTheme="minorHAnsi"/>
        </w:rPr>
      </w:pPr>
      <w:r w:rsidRPr="008831B4">
        <w:rPr>
          <w:rFonts w:asciiTheme="minorHAnsi" w:hAnsiTheme="minorHAnsi"/>
          <w:b/>
          <w:bCs/>
        </w:rPr>
        <w:t>Operating Costs</w:t>
      </w:r>
      <w:r w:rsidR="004519E1" w:rsidRPr="008831B4">
        <w:rPr>
          <w:rFonts w:asciiTheme="minorHAnsi" w:hAnsiTheme="minorHAnsi"/>
          <w:b/>
          <w:bCs/>
        </w:rPr>
        <w:t xml:space="preserve">: </w:t>
      </w:r>
      <w:r w:rsidRPr="008831B4">
        <w:rPr>
          <w:rFonts w:asciiTheme="minorHAnsi" w:hAnsiTheme="minorHAnsi"/>
        </w:rPr>
        <w:t>There would be no change to current operating cost</w:t>
      </w:r>
      <w:r w:rsidR="0062545B" w:rsidRPr="008831B4">
        <w:rPr>
          <w:rFonts w:asciiTheme="minorHAnsi" w:hAnsiTheme="minorHAnsi"/>
        </w:rPr>
        <w:t>s</w:t>
      </w:r>
      <w:r w:rsidR="00F605A1" w:rsidRPr="008831B4">
        <w:rPr>
          <w:rFonts w:asciiTheme="minorHAnsi" w:hAnsiTheme="minorHAnsi"/>
        </w:rPr>
        <w:t>. The Applicant notes that</w:t>
      </w:r>
      <w:r w:rsidR="00A608C2" w:rsidRPr="008831B4">
        <w:rPr>
          <w:rFonts w:asciiTheme="minorHAnsi" w:hAnsiTheme="minorHAnsi"/>
        </w:rPr>
        <w:t xml:space="preserve"> operating expenses will decrease as a result of the</w:t>
      </w:r>
      <w:r w:rsidR="00F605A1" w:rsidRPr="008831B4">
        <w:rPr>
          <w:rFonts w:asciiTheme="minorHAnsi" w:hAnsiTheme="minorHAnsi"/>
        </w:rPr>
        <w:t xml:space="preserve"> Proposed Project </w:t>
      </w:r>
      <w:r w:rsidR="00A608C2" w:rsidRPr="008831B4">
        <w:rPr>
          <w:rFonts w:asciiTheme="minorHAnsi" w:hAnsiTheme="minorHAnsi"/>
        </w:rPr>
        <w:t xml:space="preserve">due to </w:t>
      </w:r>
      <w:r w:rsidR="00F605A1" w:rsidRPr="008831B4">
        <w:rPr>
          <w:rFonts w:asciiTheme="minorHAnsi" w:hAnsiTheme="minorHAnsi"/>
        </w:rPr>
        <w:t>the reduction in capacity of the Facility</w:t>
      </w:r>
      <w:r w:rsidR="00A608C2" w:rsidRPr="008831B4">
        <w:rPr>
          <w:rFonts w:asciiTheme="minorHAnsi" w:hAnsiTheme="minorHAnsi"/>
        </w:rPr>
        <w:t>, and the corresponding reduction in need for additional staff</w:t>
      </w:r>
      <w:r w:rsidR="0003726F" w:rsidRPr="008831B4">
        <w:rPr>
          <w:rFonts w:asciiTheme="minorHAnsi" w:hAnsiTheme="minorHAnsi"/>
        </w:rPr>
        <w:t xml:space="preserve">, including reliance on temporary staff. </w:t>
      </w:r>
      <w:r w:rsidR="00F605A1" w:rsidRPr="008831B4">
        <w:rPr>
          <w:rFonts w:asciiTheme="minorHAnsi" w:hAnsiTheme="minorHAnsi"/>
        </w:rPr>
        <w:t xml:space="preserve"> </w:t>
      </w:r>
    </w:p>
    <w:p w14:paraId="1A3BDDC2" w14:textId="77777777" w:rsidR="003E179C" w:rsidRDefault="003E179C" w:rsidP="003E179C">
      <w:pPr>
        <w:pStyle w:val="BodyText"/>
        <w:rPr>
          <w:rFonts w:asciiTheme="minorHAnsi" w:hAnsiTheme="minorHAnsi"/>
          <w:b/>
          <w:bCs/>
        </w:rPr>
      </w:pPr>
    </w:p>
    <w:p w14:paraId="4517F930" w14:textId="2606992B" w:rsidR="00A4110F" w:rsidRPr="008831B4" w:rsidRDefault="00A4110F">
      <w:pPr>
        <w:pStyle w:val="BodyText"/>
        <w:rPr>
          <w:rFonts w:asciiTheme="minorHAnsi" w:hAnsiTheme="minorHAnsi"/>
          <w:b/>
          <w:bCs/>
          <w:i/>
          <w:iCs/>
        </w:rPr>
      </w:pPr>
      <w:r w:rsidRPr="008831B4">
        <w:rPr>
          <w:rFonts w:asciiTheme="minorHAnsi" w:hAnsiTheme="minorHAnsi"/>
          <w:b/>
          <w:bCs/>
          <w:i/>
          <w:iCs/>
        </w:rPr>
        <w:t xml:space="preserve">Analysis </w:t>
      </w:r>
    </w:p>
    <w:p w14:paraId="4610C39B" w14:textId="2B1BC208" w:rsidR="00A4110F" w:rsidRPr="008831B4" w:rsidRDefault="00374DEC" w:rsidP="00374DEC">
      <w:pPr>
        <w:pStyle w:val="BodyText"/>
        <w:rPr>
          <w:rFonts w:asciiTheme="minorHAnsi" w:hAnsiTheme="minorHAnsi"/>
        </w:rPr>
      </w:pPr>
      <w:r w:rsidRPr="008831B4">
        <w:rPr>
          <w:rFonts w:asciiTheme="minorHAnsi" w:hAnsiTheme="minorHAnsi"/>
        </w:rPr>
        <w:t>Staff finds that the Applicant has appropriately considered the quality, efficiency, and capital</w:t>
      </w:r>
      <w:r w:rsidR="0047754F" w:rsidRPr="008831B4">
        <w:rPr>
          <w:rFonts w:asciiTheme="minorHAnsi" w:hAnsiTheme="minorHAnsi"/>
        </w:rPr>
        <w:t xml:space="preserve"> </w:t>
      </w:r>
      <w:r w:rsidRPr="008831B4">
        <w:rPr>
          <w:rFonts w:asciiTheme="minorHAnsi" w:hAnsiTheme="minorHAnsi"/>
        </w:rPr>
        <w:t>and operating costs of the Proposed Project relative to potential alternatives. As a result of</w:t>
      </w:r>
      <w:r w:rsidR="0047754F" w:rsidRPr="008831B4">
        <w:rPr>
          <w:rFonts w:asciiTheme="minorHAnsi" w:hAnsiTheme="minorHAnsi"/>
        </w:rPr>
        <w:t xml:space="preserve"> </w:t>
      </w:r>
      <w:r w:rsidRPr="008831B4">
        <w:rPr>
          <w:rFonts w:asciiTheme="minorHAnsi" w:hAnsiTheme="minorHAnsi"/>
        </w:rPr>
        <w:t>information provided by the Applicant and additional analysis, staff finds the Applicant has</w:t>
      </w:r>
      <w:r w:rsidR="0047754F" w:rsidRPr="008831B4">
        <w:rPr>
          <w:rFonts w:asciiTheme="minorHAnsi" w:hAnsiTheme="minorHAnsi"/>
        </w:rPr>
        <w:t xml:space="preserve"> </w:t>
      </w:r>
      <w:r w:rsidRPr="008831B4">
        <w:rPr>
          <w:rFonts w:asciiTheme="minorHAnsi" w:hAnsiTheme="minorHAnsi"/>
        </w:rPr>
        <w:t>reasonably met the standards of Factor 5.</w:t>
      </w:r>
    </w:p>
    <w:p w14:paraId="2CC88530" w14:textId="7A493C2F" w:rsidR="00FE3BD6" w:rsidRDefault="00FE3BD6">
      <w:pPr>
        <w:pStyle w:val="BodyText"/>
        <w:rPr>
          <w:rFonts w:asciiTheme="minorHAnsi" w:hAnsiTheme="minorHAnsi"/>
        </w:rPr>
      </w:pPr>
    </w:p>
    <w:p w14:paraId="23E345B3" w14:textId="2AB6B47A" w:rsidR="00B447F3" w:rsidRDefault="00A4110F" w:rsidP="00143E9A">
      <w:pPr>
        <w:pStyle w:val="Heading1"/>
        <w:ind w:left="0" w:right="424"/>
        <w:rPr>
          <w:rFonts w:asciiTheme="minorHAnsi" w:hAnsiTheme="minorHAnsi"/>
          <w:color w:val="42558C"/>
        </w:rPr>
      </w:pPr>
      <w:bookmarkStart w:id="26" w:name="_Toc173743603"/>
      <w:r w:rsidRPr="003436F0">
        <w:rPr>
          <w:rFonts w:asciiTheme="minorHAnsi" w:hAnsiTheme="minorHAnsi"/>
          <w:color w:val="42558C"/>
        </w:rPr>
        <w:t>Factor 6: Fulfillment of DPH Community-based Health Initiatives Guideline: Overall Application</w:t>
      </w:r>
      <w:bookmarkEnd w:id="26"/>
    </w:p>
    <w:p w14:paraId="4255597C" w14:textId="77777777" w:rsidR="00F92C18" w:rsidRPr="004D3DE6" w:rsidRDefault="00F92C18" w:rsidP="004D3DE6">
      <w:pPr>
        <w:rPr>
          <w:rStyle w:val="normaltextrun"/>
          <w:rFonts w:asciiTheme="minorHAnsi" w:hAnsiTheme="minorHAnsi"/>
          <w:sz w:val="22"/>
          <w:szCs w:val="22"/>
        </w:rPr>
      </w:pPr>
    </w:p>
    <w:p w14:paraId="347211AF" w14:textId="58A256E3" w:rsidR="004D3DE6" w:rsidRPr="004C6774" w:rsidRDefault="004C6774" w:rsidP="49560892">
      <w:pPr>
        <w:rPr>
          <w:rStyle w:val="eop"/>
          <w:rFonts w:cs="Calibri"/>
          <w:color w:val="000000"/>
          <w:shd w:val="clear" w:color="auto" w:fill="FFFFFF"/>
        </w:rPr>
      </w:pPr>
      <w:r w:rsidRPr="49560892">
        <w:rPr>
          <w:rStyle w:val="normaltextrun"/>
          <w:rFonts w:cs="Calibri"/>
          <w:color w:val="000000"/>
          <w:shd w:val="clear" w:color="auto" w:fill="FFFFFF"/>
        </w:rPr>
        <w:t xml:space="preserve">The DoN regulation requires Long Term Care Facilities completing a Substantial </w:t>
      </w:r>
      <w:r w:rsidR="00BE6F48">
        <w:rPr>
          <w:rStyle w:val="normaltextrun"/>
          <w:rFonts w:cs="Calibri"/>
          <w:color w:val="000000"/>
          <w:shd w:val="clear" w:color="auto" w:fill="FFFFFF"/>
        </w:rPr>
        <w:t xml:space="preserve">Capital Expenditure </w:t>
      </w:r>
      <w:r w:rsidRPr="49560892">
        <w:rPr>
          <w:rStyle w:val="normaltextrun"/>
          <w:rFonts w:cs="Calibri"/>
          <w:color w:val="000000"/>
          <w:shd w:val="clear" w:color="auto" w:fill="FFFFFF"/>
        </w:rPr>
        <w:t xml:space="preserve"> project to contribute 3% of the total value of the project, to the Massachusetts Statewide Healthy Aging Fund. The Applicant confirmed with the DPH that payment shall be made in two equal installments. </w:t>
      </w:r>
      <w:r w:rsidR="613999BB" w:rsidRPr="49560892">
        <w:rPr>
          <w:rStyle w:val="normaltextrun"/>
          <w:rFonts w:cs="Calibri"/>
          <w:color w:val="000000"/>
          <w:shd w:val="clear" w:color="auto" w:fill="FFFFFF"/>
        </w:rPr>
        <w:t>Traditionally, t</w:t>
      </w:r>
      <w:r w:rsidRPr="49560892">
        <w:rPr>
          <w:rStyle w:val="normaltextrun"/>
          <w:rFonts w:cs="Calibri"/>
          <w:color w:val="000000"/>
          <w:shd w:val="clear" w:color="auto" w:fill="FFFFFF"/>
        </w:rPr>
        <w:t xml:space="preserve">he first installment is due within 30 days from the date of the Notice of Approval and the second installment is due within </w:t>
      </w:r>
      <w:r w:rsidR="477B5521" w:rsidRPr="49560892">
        <w:rPr>
          <w:rStyle w:val="normaltextrun"/>
          <w:rFonts w:cs="Calibri"/>
          <w:color w:val="000000"/>
          <w:shd w:val="clear" w:color="auto" w:fill="FFFFFF"/>
        </w:rPr>
        <w:t>12</w:t>
      </w:r>
      <w:r w:rsidRPr="49560892">
        <w:rPr>
          <w:rStyle w:val="normaltextrun"/>
          <w:rFonts w:cs="Calibri"/>
          <w:color w:val="000000"/>
          <w:shd w:val="clear" w:color="auto" w:fill="FFFFFF"/>
        </w:rPr>
        <w:t xml:space="preserve"> months of the Notice of Approval. Any deviation to this payment schedule will require program approval. Based on the Applicant’s compliance with the above requirement, the Applicant meets the terms of Factor 6.</w:t>
      </w:r>
      <w:r w:rsidRPr="49560892">
        <w:rPr>
          <w:rStyle w:val="eop"/>
          <w:rFonts w:cs="Calibri"/>
          <w:color w:val="000000"/>
          <w:shd w:val="clear" w:color="auto" w:fill="FFFFFF"/>
        </w:rPr>
        <w:t> </w:t>
      </w:r>
    </w:p>
    <w:p w14:paraId="3EB2FD84" w14:textId="77777777" w:rsidR="004C6774" w:rsidRDefault="004C6774" w:rsidP="004D3DE6">
      <w:pPr>
        <w:rPr>
          <w:rStyle w:val="eop"/>
          <w:rFonts w:cs="Calibri"/>
          <w:color w:val="000000"/>
          <w:sz w:val="22"/>
          <w:szCs w:val="22"/>
          <w:shd w:val="clear" w:color="auto" w:fill="FFFFFF"/>
        </w:rPr>
      </w:pPr>
    </w:p>
    <w:p w14:paraId="5DD29CEB" w14:textId="473A2445" w:rsidR="00B447F3" w:rsidRPr="008917DC" w:rsidRDefault="00A4110F" w:rsidP="008917DC">
      <w:pPr>
        <w:pStyle w:val="Heading1"/>
        <w:ind w:left="0"/>
        <w:rPr>
          <w:rFonts w:asciiTheme="minorHAnsi" w:hAnsiTheme="minorHAnsi"/>
          <w:color w:val="1F497D" w:themeColor="text2"/>
        </w:rPr>
      </w:pPr>
      <w:bookmarkStart w:id="27" w:name="_Toc173743604"/>
      <w:r w:rsidRPr="008917DC">
        <w:rPr>
          <w:rFonts w:asciiTheme="minorHAnsi" w:hAnsiTheme="minorHAnsi"/>
          <w:color w:val="1F497D" w:themeColor="text2"/>
        </w:rPr>
        <w:t>Findings and Recommendations</w:t>
      </w:r>
      <w:bookmarkEnd w:id="27"/>
    </w:p>
    <w:p w14:paraId="73DAD46F" w14:textId="2FC809F3" w:rsidR="00B447F3" w:rsidRPr="008831B4" w:rsidRDefault="00A4110F" w:rsidP="6ACB936F">
      <w:pPr>
        <w:pStyle w:val="BodyText"/>
        <w:ind w:right="226"/>
        <w:rPr>
          <w:rFonts w:asciiTheme="minorHAnsi" w:hAnsiTheme="minorHAnsi"/>
        </w:rPr>
      </w:pPr>
      <w:r w:rsidRPr="008831B4">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008831B4">
        <w:rPr>
          <w:rFonts w:asciiTheme="minorHAnsi" w:hAnsiTheme="minorHAnsi"/>
        </w:rPr>
        <w:t>Project and</w:t>
      </w:r>
      <w:r w:rsidRPr="008831B4">
        <w:rPr>
          <w:rFonts w:asciiTheme="minorHAnsi" w:hAnsiTheme="minorHAnsi"/>
        </w:rPr>
        <w:t xml:space="preserve"> recommends that the Department approve this Determination of Need, subject to all applicable Standard and Other Conditions.</w:t>
      </w:r>
    </w:p>
    <w:p w14:paraId="05F40255" w14:textId="77777777" w:rsidR="00B14FF9" w:rsidRDefault="00B14FF9" w:rsidP="6ACB936F">
      <w:pPr>
        <w:pStyle w:val="BodyText"/>
        <w:ind w:right="226"/>
        <w:rPr>
          <w:rFonts w:asciiTheme="minorHAnsi" w:hAnsiTheme="minorHAnsi"/>
        </w:rPr>
      </w:pPr>
    </w:p>
    <w:p w14:paraId="517FA6A2" w14:textId="77777777" w:rsidR="0069292A" w:rsidRPr="003436F0" w:rsidRDefault="0069292A" w:rsidP="6ACB936F">
      <w:pPr>
        <w:pStyle w:val="BodyText"/>
        <w:ind w:right="226"/>
        <w:rPr>
          <w:rFonts w:asciiTheme="minorHAnsi" w:hAnsiTheme="minorHAnsi"/>
        </w:rPr>
      </w:pPr>
    </w:p>
    <w:p w14:paraId="0CD23462" w14:textId="23A9888E" w:rsidR="00B447F3" w:rsidRPr="00BF381D" w:rsidRDefault="00A4110F" w:rsidP="008917DC">
      <w:pPr>
        <w:pStyle w:val="Heading1"/>
        <w:spacing w:before="184"/>
        <w:ind w:left="0"/>
        <w:rPr>
          <w:rFonts w:asciiTheme="minorHAnsi" w:hAnsiTheme="minorHAnsi"/>
          <w:color w:val="42558C"/>
        </w:rPr>
      </w:pPr>
      <w:bookmarkStart w:id="28" w:name="Other_Conditions"/>
      <w:bookmarkStart w:id="29" w:name="_Toc173743605"/>
      <w:bookmarkEnd w:id="28"/>
      <w:r w:rsidRPr="003436F0">
        <w:rPr>
          <w:rFonts w:asciiTheme="minorHAnsi" w:hAnsiTheme="minorHAnsi"/>
          <w:color w:val="42558C"/>
        </w:rPr>
        <w:t>Other Conditions</w:t>
      </w:r>
      <w:bookmarkEnd w:id="29"/>
    </w:p>
    <w:p w14:paraId="0CE1D5E3" w14:textId="10F9756F" w:rsidR="00B14FF9" w:rsidRDefault="00B14FF9">
      <w:pPr>
        <w:rPr>
          <w:color w:val="1F497D" w:themeColor="text2"/>
          <w:bdr w:val="none" w:sz="0" w:space="0" w:color="auto" w:frame="1"/>
        </w:rPr>
      </w:pPr>
      <w:bookmarkStart w:id="30" w:name="Attachment_1:_Required_Measures_for_Annu"/>
      <w:bookmarkEnd w:id="30"/>
    </w:p>
    <w:p w14:paraId="5C9BF208" w14:textId="77777777" w:rsidR="004C6774" w:rsidRPr="004C6774" w:rsidRDefault="004C6774" w:rsidP="004C6774">
      <w:pPr>
        <w:numPr>
          <w:ilvl w:val="0"/>
          <w:numId w:val="21"/>
        </w:numPr>
        <w:rPr>
          <w:bdr w:val="none" w:sz="0" w:space="0" w:color="auto" w:frame="1"/>
        </w:rPr>
      </w:pPr>
      <w:r w:rsidRPr="004C6774">
        <w:rPr>
          <w:bdr w:val="none" w:sz="0" w:space="0" w:color="auto" w:frame="1"/>
        </w:rPr>
        <w:t>The total required CHI contribution of $89,858.55 will be directed to the Massachusetts Statewide Healthy Aging Fund.  </w:t>
      </w:r>
    </w:p>
    <w:p w14:paraId="65A0FEC3" w14:textId="77777777" w:rsidR="004C6774" w:rsidRPr="004C6774" w:rsidRDefault="004C6774" w:rsidP="004C6774">
      <w:pPr>
        <w:numPr>
          <w:ilvl w:val="0"/>
          <w:numId w:val="22"/>
        </w:numPr>
        <w:rPr>
          <w:bdr w:val="none" w:sz="0" w:space="0" w:color="auto" w:frame="1"/>
        </w:rPr>
      </w:pPr>
      <w:r w:rsidRPr="004C6774">
        <w:rPr>
          <w:bdr w:val="none" w:sz="0" w:space="0" w:color="auto" w:frame="1"/>
        </w:rPr>
        <w:t>To comply with the Holder’s obligation to contribute to the Massachusetts Statewide Community Health Funds, the Holder must submit payment to Health Resources in Action (HRiA), the fiscal agent for the CHI Statewide Initiative, in</w:t>
      </w:r>
      <w:r w:rsidRPr="004C6774">
        <w:rPr>
          <w:b/>
          <w:bCs/>
          <w:bdr w:val="none" w:sz="0" w:space="0" w:color="auto" w:frame="1"/>
        </w:rPr>
        <w:t xml:space="preserve"> two installments</w:t>
      </w:r>
      <w:r w:rsidRPr="004C6774">
        <w:rPr>
          <w:bdr w:val="none" w:sz="0" w:space="0" w:color="auto" w:frame="1"/>
        </w:rPr>
        <w:t>. </w:t>
      </w:r>
    </w:p>
    <w:p w14:paraId="6C5A6138" w14:textId="77777777" w:rsidR="004C6774" w:rsidRPr="004C6774" w:rsidRDefault="004C6774" w:rsidP="004D117D">
      <w:pPr>
        <w:numPr>
          <w:ilvl w:val="0"/>
          <w:numId w:val="23"/>
        </w:numPr>
        <w:ind w:left="1080"/>
        <w:rPr>
          <w:bdr w:val="none" w:sz="0" w:space="0" w:color="auto" w:frame="1"/>
        </w:rPr>
      </w:pPr>
      <w:r w:rsidRPr="004C6774">
        <w:rPr>
          <w:bdr w:val="none" w:sz="0" w:space="0" w:color="auto" w:frame="1"/>
        </w:rPr>
        <w:t xml:space="preserve">The Holder must submit the first installment of $44,929.27 to HRiA </w:t>
      </w:r>
      <w:r w:rsidRPr="004C6774">
        <w:rPr>
          <w:b/>
          <w:bCs/>
          <w:bdr w:val="none" w:sz="0" w:space="0" w:color="auto" w:frame="1"/>
        </w:rPr>
        <w:t>within 30 days</w:t>
      </w:r>
      <w:r w:rsidRPr="004C6774">
        <w:rPr>
          <w:bdr w:val="none" w:sz="0" w:space="0" w:color="auto" w:frame="1"/>
        </w:rPr>
        <w:t xml:space="preserve"> from the date of the Notice of Approval. </w:t>
      </w:r>
    </w:p>
    <w:p w14:paraId="62508E23" w14:textId="5A63D9A2" w:rsidR="004C6774" w:rsidRPr="004C6774" w:rsidRDefault="004C6774" w:rsidP="004D117D">
      <w:pPr>
        <w:numPr>
          <w:ilvl w:val="0"/>
          <w:numId w:val="24"/>
        </w:numPr>
        <w:ind w:left="1080"/>
      </w:pPr>
      <w:r w:rsidRPr="004C6774">
        <w:rPr>
          <w:bdr w:val="none" w:sz="0" w:space="0" w:color="auto" w:frame="1"/>
        </w:rPr>
        <w:t xml:space="preserve">The Holder must submit the second installment of $44,929.28 to HRiA </w:t>
      </w:r>
      <w:r w:rsidRPr="004C6774">
        <w:rPr>
          <w:b/>
          <w:bCs/>
          <w:bdr w:val="none" w:sz="0" w:space="0" w:color="auto" w:frame="1"/>
        </w:rPr>
        <w:t xml:space="preserve">within </w:t>
      </w:r>
      <w:r w:rsidR="02B1E739" w:rsidRPr="004C6774">
        <w:rPr>
          <w:b/>
          <w:bCs/>
          <w:bdr w:val="none" w:sz="0" w:space="0" w:color="auto" w:frame="1"/>
        </w:rPr>
        <w:t>12</w:t>
      </w:r>
      <w:r w:rsidRPr="004C6774">
        <w:rPr>
          <w:b/>
          <w:bCs/>
          <w:bdr w:val="none" w:sz="0" w:space="0" w:color="auto" w:frame="1"/>
        </w:rPr>
        <w:t xml:space="preserve"> months</w:t>
      </w:r>
      <w:r w:rsidRPr="004C6774">
        <w:rPr>
          <w:bdr w:val="none" w:sz="0" w:space="0" w:color="auto" w:frame="1"/>
        </w:rPr>
        <w:t xml:space="preserve"> from the date of the Notice of Approval.  </w:t>
      </w:r>
    </w:p>
    <w:p w14:paraId="4769CB07" w14:textId="77777777" w:rsidR="004C6774" w:rsidRPr="004C6774" w:rsidRDefault="004C6774" w:rsidP="004C6774">
      <w:pPr>
        <w:rPr>
          <w:bdr w:val="none" w:sz="0" w:space="0" w:color="auto" w:frame="1"/>
        </w:rPr>
      </w:pPr>
      <w:r w:rsidRPr="004C6774">
        <w:rPr>
          <w:bdr w:val="none" w:sz="0" w:space="0" w:color="auto" w:frame="1"/>
        </w:rPr>
        <w:t> </w:t>
      </w:r>
    </w:p>
    <w:p w14:paraId="409E9E1D" w14:textId="77777777" w:rsidR="004C6774" w:rsidRPr="004C6774" w:rsidRDefault="004C6774" w:rsidP="004C6774">
      <w:pPr>
        <w:numPr>
          <w:ilvl w:val="0"/>
          <w:numId w:val="25"/>
        </w:numPr>
        <w:rPr>
          <w:bdr w:val="none" w:sz="0" w:space="0" w:color="auto" w:frame="1"/>
        </w:rPr>
      </w:pPr>
      <w:r w:rsidRPr="004C6774">
        <w:rPr>
          <w:bdr w:val="none" w:sz="0" w:space="0" w:color="auto" w:frame="1"/>
        </w:rPr>
        <w:t>Payments should be made out to: </w:t>
      </w:r>
    </w:p>
    <w:p w14:paraId="20249ED2" w14:textId="77777777" w:rsidR="004C6774" w:rsidRPr="004C6774" w:rsidRDefault="004C6774" w:rsidP="004C6774">
      <w:pPr>
        <w:ind w:left="720" w:firstLine="720"/>
        <w:rPr>
          <w:bdr w:val="none" w:sz="0" w:space="0" w:color="auto" w:frame="1"/>
        </w:rPr>
      </w:pPr>
      <w:r w:rsidRPr="004C6774">
        <w:rPr>
          <w:bdr w:val="none" w:sz="0" w:space="0" w:color="auto" w:frame="1"/>
        </w:rPr>
        <w:t>Health Resources in Action, Inc. (HRiA)  </w:t>
      </w:r>
    </w:p>
    <w:p w14:paraId="37EDA16D" w14:textId="77777777" w:rsidR="004C6774" w:rsidRPr="004C6774" w:rsidRDefault="004C6774" w:rsidP="004C6774">
      <w:pPr>
        <w:ind w:left="720" w:firstLine="720"/>
        <w:rPr>
          <w:bdr w:val="none" w:sz="0" w:space="0" w:color="auto" w:frame="1"/>
        </w:rPr>
      </w:pPr>
      <w:r w:rsidRPr="004C6774">
        <w:rPr>
          <w:bdr w:val="none" w:sz="0" w:space="0" w:color="auto" w:frame="1"/>
        </w:rPr>
        <w:t>2 Boylston Street, 4th Floor  </w:t>
      </w:r>
    </w:p>
    <w:p w14:paraId="3256A2D9" w14:textId="77777777" w:rsidR="004C6774" w:rsidRPr="004C6774" w:rsidRDefault="004C6774" w:rsidP="004C6774">
      <w:pPr>
        <w:ind w:left="720" w:firstLine="720"/>
        <w:rPr>
          <w:bdr w:val="none" w:sz="0" w:space="0" w:color="auto" w:frame="1"/>
        </w:rPr>
      </w:pPr>
      <w:r w:rsidRPr="004C6774">
        <w:rPr>
          <w:bdr w:val="none" w:sz="0" w:space="0" w:color="auto" w:frame="1"/>
        </w:rPr>
        <w:t>Boston, MA 02116  </w:t>
      </w:r>
    </w:p>
    <w:p w14:paraId="40B226EA" w14:textId="77777777" w:rsidR="004C6774" w:rsidRPr="004C6774" w:rsidRDefault="004C6774" w:rsidP="004C6774">
      <w:pPr>
        <w:ind w:left="720" w:firstLine="720"/>
        <w:rPr>
          <w:bdr w:val="none" w:sz="0" w:space="0" w:color="auto" w:frame="1"/>
        </w:rPr>
      </w:pPr>
      <w:r w:rsidRPr="004C6774">
        <w:rPr>
          <w:bdr w:val="none" w:sz="0" w:space="0" w:color="auto" w:frame="1"/>
        </w:rPr>
        <w:t>Attn: MACHHAF c/o Bora Toro  </w:t>
      </w:r>
    </w:p>
    <w:p w14:paraId="0D8BAECF" w14:textId="77777777" w:rsidR="004C6774" w:rsidRPr="004C6774" w:rsidRDefault="004C6774" w:rsidP="004C6774">
      <w:pPr>
        <w:ind w:left="720" w:firstLine="720"/>
        <w:rPr>
          <w:bdr w:val="none" w:sz="0" w:space="0" w:color="auto" w:frame="1"/>
        </w:rPr>
      </w:pPr>
      <w:r w:rsidRPr="004C6774">
        <w:rPr>
          <w:bdr w:val="none" w:sz="0" w:space="0" w:color="auto" w:frame="1"/>
        </w:rPr>
        <w:t>DoN project #: ___________ </w:t>
      </w:r>
    </w:p>
    <w:p w14:paraId="42BDFFD5" w14:textId="77777777" w:rsidR="004C6774" w:rsidRPr="004C6774" w:rsidRDefault="004C6774" w:rsidP="004C6774">
      <w:pPr>
        <w:rPr>
          <w:bdr w:val="none" w:sz="0" w:space="0" w:color="auto" w:frame="1"/>
        </w:rPr>
      </w:pPr>
      <w:r w:rsidRPr="004C6774">
        <w:rPr>
          <w:bdr w:val="none" w:sz="0" w:space="0" w:color="auto" w:frame="1"/>
        </w:rPr>
        <w:t> </w:t>
      </w:r>
    </w:p>
    <w:p w14:paraId="0E0C76E8" w14:textId="77777777" w:rsidR="004C6774" w:rsidRPr="004C6774" w:rsidRDefault="004C6774" w:rsidP="004D117D">
      <w:pPr>
        <w:numPr>
          <w:ilvl w:val="0"/>
          <w:numId w:val="26"/>
        </w:numPr>
        <w:ind w:left="1080"/>
        <w:rPr>
          <w:bdr w:val="none" w:sz="0" w:space="0" w:color="auto" w:frame="1"/>
        </w:rPr>
      </w:pPr>
      <w:r w:rsidRPr="004C6774">
        <w:rPr>
          <w:bdr w:val="none" w:sz="0" w:space="0" w:color="auto" w:frame="1"/>
        </w:rPr>
        <w:t xml:space="preserve">The </w:t>
      </w:r>
      <w:r w:rsidRPr="004C6774">
        <w:rPr>
          <w:b/>
          <w:bCs/>
          <w:bdr w:val="none" w:sz="0" w:space="0" w:color="auto" w:frame="1"/>
        </w:rPr>
        <w:t>Holder must promptly notify DPH</w:t>
      </w:r>
      <w:r w:rsidRPr="004C6774">
        <w:rPr>
          <w:bdr w:val="none" w:sz="0" w:space="0" w:color="auto" w:frame="1"/>
        </w:rPr>
        <w:t xml:space="preserve"> (CHI contact staff) when each payment has been made. Please send a PDF image of the check or</w:t>
      </w:r>
      <w:r w:rsidRPr="004C6774">
        <w:rPr>
          <w:b/>
          <w:bCs/>
          <w:bdr w:val="none" w:sz="0" w:space="0" w:color="auto" w:frame="1"/>
        </w:rPr>
        <w:t xml:space="preserve"> confirmation of payment</w:t>
      </w:r>
      <w:r w:rsidRPr="004C6774">
        <w:rPr>
          <w:bdr w:val="none" w:sz="0" w:space="0" w:color="auto" w:frame="1"/>
        </w:rPr>
        <w:t xml:space="preserve"> to </w:t>
      </w:r>
      <w:r w:rsidRPr="004C6774">
        <w:rPr>
          <w:u w:val="single"/>
          <w:bdr w:val="none" w:sz="0" w:space="0" w:color="auto" w:frame="1"/>
        </w:rPr>
        <w:lastRenderedPageBreak/>
        <w:t>DONCHI@Mass.gov</w:t>
      </w:r>
      <w:r w:rsidRPr="004C6774">
        <w:rPr>
          <w:bdr w:val="none" w:sz="0" w:space="0" w:color="auto" w:frame="1"/>
        </w:rPr>
        <w:t xml:space="preserve"> and </w:t>
      </w:r>
      <w:hyperlink r:id="rId9" w:tgtFrame="_blank" w:history="1">
        <w:r w:rsidRPr="004C6774">
          <w:rPr>
            <w:rStyle w:val="Hyperlink"/>
            <w:bdr w:val="none" w:sz="0" w:space="0" w:color="auto" w:frame="1"/>
            <w:lang w:val="fr-FR"/>
          </w:rPr>
          <w:t>dongrants@hria.org</w:t>
        </w:r>
      </w:hyperlink>
      <w:r w:rsidRPr="004C6774">
        <w:rPr>
          <w:bdr w:val="none" w:sz="0" w:space="0" w:color="auto" w:frame="1"/>
        </w:rPr>
        <w:t> </w:t>
      </w:r>
    </w:p>
    <w:p w14:paraId="0F3A64AC" w14:textId="77777777" w:rsidR="004C6774" w:rsidRPr="004C6774" w:rsidRDefault="004C6774" w:rsidP="004C6774">
      <w:pPr>
        <w:rPr>
          <w:bdr w:val="none" w:sz="0" w:space="0" w:color="auto" w:frame="1"/>
        </w:rPr>
      </w:pPr>
      <w:r w:rsidRPr="004C6774">
        <w:rPr>
          <w:bdr w:val="none" w:sz="0" w:space="0" w:color="auto" w:frame="1"/>
        </w:rPr>
        <w:t> </w:t>
      </w:r>
    </w:p>
    <w:p w14:paraId="4E34CB69" w14:textId="77777777" w:rsidR="004C6774" w:rsidRPr="004C6774" w:rsidRDefault="004C6774" w:rsidP="004D117D">
      <w:pPr>
        <w:numPr>
          <w:ilvl w:val="0"/>
          <w:numId w:val="27"/>
        </w:numPr>
        <w:ind w:left="1080"/>
        <w:rPr>
          <w:bdr w:val="none" w:sz="0" w:space="0" w:color="auto" w:frame="1"/>
        </w:rPr>
      </w:pPr>
      <w:r w:rsidRPr="004C6774">
        <w:rPr>
          <w:bdr w:val="none" w:sz="0" w:space="0" w:color="auto" w:frame="1"/>
        </w:rPr>
        <w:t xml:space="preserve">If you should have any questions or concerns regarding the payment, please contact the CHI team at </w:t>
      </w:r>
      <w:hyperlink r:id="rId10" w:tgtFrame="_blank" w:history="1">
        <w:r w:rsidRPr="004C6774">
          <w:rPr>
            <w:rStyle w:val="Hyperlink"/>
            <w:bdr w:val="none" w:sz="0" w:space="0" w:color="auto" w:frame="1"/>
          </w:rPr>
          <w:t>DONCHI@Mass.gov</w:t>
        </w:r>
      </w:hyperlink>
      <w:r w:rsidRPr="004C6774">
        <w:rPr>
          <w:bdr w:val="none" w:sz="0" w:space="0" w:color="auto" w:frame="1"/>
        </w:rPr>
        <w:t>. </w:t>
      </w:r>
    </w:p>
    <w:p w14:paraId="1AE5BA2E" w14:textId="77777777" w:rsidR="004D3DE6" w:rsidRDefault="004D3DE6" w:rsidP="004D3DE6">
      <w:pPr>
        <w:rPr>
          <w:bdr w:val="none" w:sz="0" w:space="0" w:color="auto" w:frame="1"/>
        </w:rPr>
      </w:pPr>
    </w:p>
    <w:p w14:paraId="145DD409" w14:textId="72E8AC41" w:rsidR="00DE04DC" w:rsidRDefault="00DE04DC" w:rsidP="008B7AE7">
      <w:pPr>
        <w:pStyle w:val="ListParagraph"/>
        <w:ind w:left="720"/>
        <w:rPr>
          <w:bdr w:val="none" w:sz="0" w:space="0" w:color="auto" w:frame="1"/>
        </w:rPr>
      </w:pPr>
    </w:p>
    <w:p w14:paraId="3EBA196F" w14:textId="77777777" w:rsidR="006659E5" w:rsidRDefault="006659E5" w:rsidP="008B7AE7">
      <w:pPr>
        <w:pStyle w:val="ListParagraph"/>
        <w:ind w:left="720"/>
        <w:rPr>
          <w:bdr w:val="none" w:sz="0" w:space="0" w:color="auto" w:frame="1"/>
        </w:rPr>
      </w:pPr>
    </w:p>
    <w:p w14:paraId="3B6BA7C9" w14:textId="77777777" w:rsidR="006659E5" w:rsidRDefault="006659E5" w:rsidP="008B7AE7">
      <w:pPr>
        <w:pStyle w:val="ListParagraph"/>
        <w:ind w:left="720"/>
        <w:rPr>
          <w:bdr w:val="none" w:sz="0" w:space="0" w:color="auto" w:frame="1"/>
        </w:rPr>
      </w:pPr>
    </w:p>
    <w:p w14:paraId="46C3885D" w14:textId="77777777" w:rsidR="006659E5" w:rsidRDefault="006659E5" w:rsidP="008B7AE7">
      <w:pPr>
        <w:pStyle w:val="ListParagraph"/>
        <w:ind w:left="720"/>
        <w:rPr>
          <w:bdr w:val="none" w:sz="0" w:space="0" w:color="auto" w:frame="1"/>
        </w:rPr>
      </w:pPr>
    </w:p>
    <w:p w14:paraId="57E0636D" w14:textId="77777777" w:rsidR="006659E5" w:rsidRDefault="006659E5" w:rsidP="008B7AE7">
      <w:pPr>
        <w:pStyle w:val="ListParagraph"/>
        <w:ind w:left="720"/>
        <w:rPr>
          <w:bdr w:val="none" w:sz="0" w:space="0" w:color="auto" w:frame="1"/>
        </w:rPr>
      </w:pPr>
    </w:p>
    <w:p w14:paraId="63C70D29" w14:textId="77777777" w:rsidR="006659E5" w:rsidRPr="00DE04DC" w:rsidRDefault="006659E5" w:rsidP="008B7AE7">
      <w:pPr>
        <w:pStyle w:val="ListParagraph"/>
        <w:ind w:left="720"/>
        <w:rPr>
          <w:bdr w:val="none" w:sz="0" w:space="0" w:color="auto" w:frame="1"/>
        </w:rPr>
      </w:pPr>
    </w:p>
    <w:p w14:paraId="1681E1B5" w14:textId="729E8700" w:rsidR="00507877" w:rsidRPr="00507877" w:rsidRDefault="00507877" w:rsidP="00507877">
      <w:pPr>
        <w:pStyle w:val="Heading1"/>
        <w:ind w:left="0"/>
        <w:rPr>
          <w:color w:val="1F497D" w:themeColor="text2"/>
        </w:rPr>
      </w:pPr>
      <w:bookmarkStart w:id="31" w:name="_Toc173743606"/>
      <w:r w:rsidRPr="00507877">
        <w:rPr>
          <w:color w:val="1F497D" w:themeColor="text2"/>
          <w:bdr w:val="none" w:sz="0" w:space="0" w:color="auto" w:frame="1"/>
        </w:rPr>
        <w:t>Appendix I: Required Measures for Annual Reporting</w:t>
      </w:r>
      <w:bookmarkEnd w:id="31"/>
      <w:r w:rsidRPr="00507877">
        <w:rPr>
          <w:color w:val="1F497D" w:themeColor="text2"/>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If applicable, include baseline data for measures (a year prior to implementation of DoN-approved project).</w:t>
      </w:r>
    </w:p>
    <w:p w14:paraId="6983D45C" w14:textId="1E465380" w:rsidR="00103239" w:rsidRPr="00B77B76" w:rsidRDefault="00507877" w:rsidP="00103239">
      <w:pPr>
        <w:rPr>
          <w:bdr w:val="none" w:sz="0" w:space="0" w:color="auto" w:frame="1"/>
        </w:rPr>
      </w:pPr>
      <w:r>
        <w:rPr>
          <w:bdr w:val="none" w:sz="0" w:space="0" w:color="auto" w:frame="1"/>
        </w:rPr>
        <w:t> </w:t>
      </w:r>
    </w:p>
    <w:p w14:paraId="67D706C3" w14:textId="77777777" w:rsidR="00DA469D" w:rsidRPr="00DA469D" w:rsidRDefault="00DA469D" w:rsidP="00276A85">
      <w:pPr>
        <w:numPr>
          <w:ilvl w:val="0"/>
          <w:numId w:val="3"/>
        </w:numPr>
        <w:ind w:left="360"/>
        <w:rPr>
          <w:rFonts w:asciiTheme="minorHAnsi" w:hAnsiTheme="minorHAnsi"/>
          <w:szCs w:val="24"/>
        </w:rPr>
      </w:pPr>
      <w:r w:rsidRPr="00DA469D">
        <w:rPr>
          <w:rFonts w:asciiTheme="minorHAnsi" w:hAnsiTheme="minorHAnsi"/>
          <w:b/>
          <w:szCs w:val="24"/>
        </w:rPr>
        <w:t xml:space="preserve">Rehospitalizations: </w:t>
      </w:r>
      <w:r w:rsidRPr="00DA469D">
        <w:rPr>
          <w:rFonts w:asciiTheme="minorHAnsi" w:hAnsiTheme="minorHAnsi"/>
          <w:szCs w:val="24"/>
        </w:rPr>
        <w:t>High quality care coupled with a safe environment reduce the risk of rehospitalization.</w:t>
      </w:r>
    </w:p>
    <w:p w14:paraId="3F2B5B34" w14:textId="5EA97668" w:rsidR="00DA469D" w:rsidRPr="00DA469D" w:rsidRDefault="00AF3263" w:rsidP="00DA469D">
      <w:pPr>
        <w:ind w:firstLine="720"/>
        <w:rPr>
          <w:rFonts w:asciiTheme="minorHAnsi" w:hAnsiTheme="minorHAnsi"/>
          <w:szCs w:val="24"/>
        </w:rPr>
      </w:pPr>
      <w:r w:rsidRPr="00B462F0">
        <w:rPr>
          <w:rFonts w:asciiTheme="minorHAnsi" w:hAnsiTheme="minorHAnsi"/>
          <w:b/>
          <w:szCs w:val="24"/>
        </w:rPr>
        <w:t xml:space="preserve">            </w:t>
      </w:r>
      <w:r w:rsidR="00DA469D" w:rsidRPr="00DA469D">
        <w:rPr>
          <w:rFonts w:asciiTheme="minorHAnsi" w:hAnsiTheme="minorHAnsi"/>
          <w:b/>
          <w:szCs w:val="24"/>
        </w:rPr>
        <w:t xml:space="preserve">Measure: </w:t>
      </w:r>
      <w:r w:rsidR="00DA469D" w:rsidRPr="00DA469D">
        <w:rPr>
          <w:rFonts w:asciiTheme="minorHAnsi" w:hAnsiTheme="minorHAnsi"/>
          <w:szCs w:val="24"/>
        </w:rPr>
        <w:t>The Applicant will measure the rate of hospital readmissions.</w:t>
      </w:r>
      <w:r w:rsidR="000F7589" w:rsidRPr="00B462F0">
        <w:rPr>
          <w:rStyle w:val="FootnoteReference"/>
          <w:rFonts w:asciiTheme="minorHAnsi" w:hAnsiTheme="minorHAnsi"/>
          <w:szCs w:val="24"/>
        </w:rPr>
        <w:footnoteReference w:id="14"/>
      </w:r>
      <w:r w:rsidR="000F7589" w:rsidRPr="00B462F0">
        <w:rPr>
          <w:rFonts w:asciiTheme="minorHAnsi" w:hAnsiTheme="minorHAnsi"/>
          <w:szCs w:val="24"/>
        </w:rPr>
        <w:t xml:space="preserve"> </w:t>
      </w:r>
    </w:p>
    <w:p w14:paraId="51A01D18" w14:textId="77777777" w:rsidR="00B77B76" w:rsidRDefault="00DA469D" w:rsidP="00AF3263">
      <w:pPr>
        <w:ind w:firstLine="720"/>
        <w:jc w:val="center"/>
        <w:rPr>
          <w:rFonts w:asciiTheme="minorHAnsi" w:hAnsiTheme="minorHAnsi"/>
          <w:szCs w:val="24"/>
        </w:rPr>
      </w:pPr>
      <w:r w:rsidRPr="00DA469D">
        <w:rPr>
          <w:rFonts w:asciiTheme="minorHAnsi" w:hAnsiTheme="minorHAnsi"/>
          <w:szCs w:val="24"/>
          <w:u w:val="single"/>
        </w:rPr>
        <w:t># of rehospitalization per year</w:t>
      </w:r>
      <w:r w:rsidRPr="00DA469D">
        <w:rPr>
          <w:rFonts w:asciiTheme="minorHAnsi" w:hAnsiTheme="minorHAnsi"/>
          <w:szCs w:val="24"/>
        </w:rPr>
        <w:t xml:space="preserve"> </w:t>
      </w:r>
    </w:p>
    <w:p w14:paraId="7D56B719" w14:textId="2B4D5AC6" w:rsidR="00DA469D" w:rsidRPr="00DA469D" w:rsidRDefault="00DA469D" w:rsidP="00AF3263">
      <w:pPr>
        <w:ind w:firstLine="720"/>
        <w:jc w:val="center"/>
        <w:rPr>
          <w:rFonts w:asciiTheme="minorHAnsi" w:hAnsiTheme="minorHAnsi"/>
          <w:szCs w:val="24"/>
        </w:rPr>
      </w:pPr>
      <w:r w:rsidRPr="00DA469D">
        <w:rPr>
          <w:rFonts w:asciiTheme="minorHAnsi" w:hAnsiTheme="minorHAnsi"/>
          <w:szCs w:val="24"/>
        </w:rPr>
        <w:t># of residents</w:t>
      </w:r>
    </w:p>
    <w:p w14:paraId="590BA39E" w14:textId="65F9EC15" w:rsidR="003A7A7C" w:rsidRPr="00B462F0" w:rsidRDefault="003A7A7C" w:rsidP="00E71FF1">
      <w:pPr>
        <w:rPr>
          <w:rFonts w:asciiTheme="minorHAnsi" w:hAnsi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85"/>
        <w:gridCol w:w="720"/>
        <w:gridCol w:w="720"/>
        <w:gridCol w:w="720"/>
        <w:gridCol w:w="810"/>
      </w:tblGrid>
      <w:tr w:rsidR="00175B36" w:rsidRPr="008300E2" w14:paraId="27C60503" w14:textId="77777777" w:rsidTr="00175B36">
        <w:trPr>
          <w:trHeight w:val="350"/>
        </w:trPr>
        <w:tc>
          <w:tcPr>
            <w:tcW w:w="1885" w:type="dxa"/>
            <w:shd w:val="clear" w:color="auto" w:fill="D9E1F3"/>
          </w:tcPr>
          <w:p w14:paraId="07689800" w14:textId="77777777" w:rsidR="008300E2" w:rsidRPr="008300E2" w:rsidRDefault="008300E2" w:rsidP="008300E2">
            <w:pPr>
              <w:rPr>
                <w:rFonts w:asciiTheme="minorHAnsi" w:eastAsia="Trebuchet MS" w:hAnsiTheme="minorHAnsi"/>
                <w:szCs w:val="24"/>
              </w:rPr>
            </w:pPr>
          </w:p>
        </w:tc>
        <w:tc>
          <w:tcPr>
            <w:tcW w:w="720" w:type="dxa"/>
            <w:shd w:val="clear" w:color="auto" w:fill="D9E1F3"/>
          </w:tcPr>
          <w:p w14:paraId="529BEF12" w14:textId="77777777" w:rsidR="008300E2" w:rsidRPr="008300E2" w:rsidRDefault="008300E2" w:rsidP="00175B36">
            <w:pPr>
              <w:spacing w:before="62"/>
              <w:ind w:left="5"/>
              <w:jc w:val="center"/>
              <w:rPr>
                <w:rFonts w:asciiTheme="minorHAnsi" w:eastAsia="Trebuchet MS" w:hAnsiTheme="minorHAnsi"/>
                <w:b/>
                <w:szCs w:val="24"/>
              </w:rPr>
            </w:pPr>
            <w:r w:rsidRPr="008300E2">
              <w:rPr>
                <w:rFonts w:asciiTheme="minorHAnsi" w:eastAsia="Trebuchet MS" w:hAnsiTheme="minorHAnsi"/>
                <w:b/>
                <w:spacing w:val="-4"/>
                <w:szCs w:val="24"/>
              </w:rPr>
              <w:t>2023</w:t>
            </w:r>
          </w:p>
        </w:tc>
        <w:tc>
          <w:tcPr>
            <w:tcW w:w="720" w:type="dxa"/>
            <w:shd w:val="clear" w:color="auto" w:fill="D9E1F3"/>
          </w:tcPr>
          <w:p w14:paraId="432F72C9" w14:textId="77777777" w:rsidR="008300E2" w:rsidRPr="008300E2" w:rsidRDefault="008300E2" w:rsidP="00175B36">
            <w:pPr>
              <w:spacing w:before="62"/>
              <w:jc w:val="center"/>
              <w:rPr>
                <w:rFonts w:asciiTheme="minorHAnsi" w:eastAsia="Trebuchet MS" w:hAnsiTheme="minorHAnsi"/>
                <w:b/>
                <w:szCs w:val="24"/>
              </w:rPr>
            </w:pPr>
            <w:r w:rsidRPr="008300E2">
              <w:rPr>
                <w:rFonts w:asciiTheme="minorHAnsi" w:eastAsia="Trebuchet MS" w:hAnsiTheme="minorHAnsi"/>
                <w:b/>
                <w:szCs w:val="24"/>
              </w:rPr>
              <w:t>Year</w:t>
            </w:r>
            <w:r w:rsidRPr="008300E2">
              <w:rPr>
                <w:rFonts w:asciiTheme="minorHAnsi" w:eastAsia="Trebuchet MS" w:hAnsiTheme="minorHAnsi"/>
                <w:b/>
                <w:spacing w:val="-7"/>
                <w:szCs w:val="24"/>
              </w:rPr>
              <w:t xml:space="preserve"> </w:t>
            </w:r>
            <w:r w:rsidRPr="008300E2">
              <w:rPr>
                <w:rFonts w:asciiTheme="minorHAnsi" w:eastAsia="Trebuchet MS" w:hAnsiTheme="minorHAnsi"/>
                <w:b/>
                <w:spacing w:val="-12"/>
                <w:szCs w:val="24"/>
              </w:rPr>
              <w:t>1</w:t>
            </w:r>
          </w:p>
        </w:tc>
        <w:tc>
          <w:tcPr>
            <w:tcW w:w="720" w:type="dxa"/>
            <w:shd w:val="clear" w:color="auto" w:fill="D9E1F3"/>
          </w:tcPr>
          <w:p w14:paraId="0E535C6B" w14:textId="77777777" w:rsidR="008300E2" w:rsidRPr="008300E2" w:rsidRDefault="008300E2" w:rsidP="00175B36">
            <w:pPr>
              <w:spacing w:before="62"/>
              <w:jc w:val="center"/>
              <w:rPr>
                <w:rFonts w:asciiTheme="minorHAnsi" w:eastAsia="Trebuchet MS" w:hAnsiTheme="minorHAnsi"/>
                <w:b/>
                <w:szCs w:val="24"/>
              </w:rPr>
            </w:pPr>
            <w:r w:rsidRPr="008300E2">
              <w:rPr>
                <w:rFonts w:asciiTheme="minorHAnsi" w:eastAsia="Trebuchet MS" w:hAnsiTheme="minorHAnsi"/>
                <w:b/>
                <w:szCs w:val="24"/>
              </w:rPr>
              <w:t>Year</w:t>
            </w:r>
            <w:r w:rsidRPr="008300E2">
              <w:rPr>
                <w:rFonts w:asciiTheme="minorHAnsi" w:eastAsia="Trebuchet MS" w:hAnsiTheme="minorHAnsi"/>
                <w:b/>
                <w:spacing w:val="-7"/>
                <w:szCs w:val="24"/>
              </w:rPr>
              <w:t xml:space="preserve"> </w:t>
            </w:r>
            <w:r w:rsidRPr="008300E2">
              <w:rPr>
                <w:rFonts w:asciiTheme="minorHAnsi" w:eastAsia="Trebuchet MS" w:hAnsiTheme="minorHAnsi"/>
                <w:b/>
                <w:spacing w:val="-12"/>
                <w:szCs w:val="24"/>
              </w:rPr>
              <w:t>2</w:t>
            </w:r>
          </w:p>
        </w:tc>
        <w:tc>
          <w:tcPr>
            <w:tcW w:w="810" w:type="dxa"/>
            <w:shd w:val="clear" w:color="auto" w:fill="D9E1F3"/>
          </w:tcPr>
          <w:p w14:paraId="2F0D2EB8" w14:textId="77777777" w:rsidR="008300E2" w:rsidRPr="008300E2" w:rsidRDefault="008300E2" w:rsidP="00175B36">
            <w:pPr>
              <w:spacing w:before="62"/>
              <w:jc w:val="center"/>
              <w:rPr>
                <w:rFonts w:asciiTheme="minorHAnsi" w:eastAsia="Trebuchet MS" w:hAnsiTheme="minorHAnsi"/>
                <w:b/>
                <w:szCs w:val="24"/>
              </w:rPr>
            </w:pPr>
            <w:r w:rsidRPr="008300E2">
              <w:rPr>
                <w:rFonts w:asciiTheme="minorHAnsi" w:eastAsia="Trebuchet MS" w:hAnsiTheme="minorHAnsi"/>
                <w:b/>
                <w:szCs w:val="24"/>
              </w:rPr>
              <w:t>Year</w:t>
            </w:r>
            <w:r w:rsidRPr="008300E2">
              <w:rPr>
                <w:rFonts w:asciiTheme="minorHAnsi" w:eastAsia="Trebuchet MS" w:hAnsiTheme="minorHAnsi"/>
                <w:b/>
                <w:spacing w:val="-7"/>
                <w:szCs w:val="24"/>
              </w:rPr>
              <w:t xml:space="preserve"> </w:t>
            </w:r>
            <w:r w:rsidRPr="008300E2">
              <w:rPr>
                <w:rFonts w:asciiTheme="minorHAnsi" w:eastAsia="Trebuchet MS" w:hAnsiTheme="minorHAnsi"/>
                <w:b/>
                <w:spacing w:val="-12"/>
                <w:szCs w:val="24"/>
              </w:rPr>
              <w:t>3</w:t>
            </w:r>
          </w:p>
        </w:tc>
      </w:tr>
      <w:tr w:rsidR="00175B36" w:rsidRPr="008300E2" w14:paraId="2278AE60" w14:textId="77777777" w:rsidTr="00175B36">
        <w:trPr>
          <w:trHeight w:val="352"/>
        </w:trPr>
        <w:tc>
          <w:tcPr>
            <w:tcW w:w="1885" w:type="dxa"/>
          </w:tcPr>
          <w:p w14:paraId="72BB1875" w14:textId="77777777" w:rsidR="008300E2" w:rsidRPr="008300E2" w:rsidRDefault="008300E2" w:rsidP="00175B36">
            <w:pPr>
              <w:spacing w:before="62"/>
              <w:jc w:val="both"/>
              <w:rPr>
                <w:rFonts w:asciiTheme="minorHAnsi" w:eastAsia="Trebuchet MS" w:hAnsiTheme="minorHAnsi"/>
                <w:szCs w:val="24"/>
              </w:rPr>
            </w:pPr>
            <w:r w:rsidRPr="008300E2">
              <w:rPr>
                <w:rFonts w:asciiTheme="minorHAnsi" w:eastAsia="Trebuchet MS" w:hAnsiTheme="minorHAnsi"/>
                <w:spacing w:val="-2"/>
                <w:szCs w:val="24"/>
              </w:rPr>
              <w:t>Rehospitalizations</w:t>
            </w:r>
          </w:p>
        </w:tc>
        <w:tc>
          <w:tcPr>
            <w:tcW w:w="720" w:type="dxa"/>
          </w:tcPr>
          <w:p w14:paraId="0EA62E94" w14:textId="77777777" w:rsidR="008300E2" w:rsidRPr="008300E2" w:rsidRDefault="008300E2" w:rsidP="008300E2">
            <w:pPr>
              <w:spacing w:before="62"/>
              <w:ind w:left="105"/>
              <w:rPr>
                <w:rFonts w:asciiTheme="minorHAnsi" w:eastAsia="Trebuchet MS" w:hAnsiTheme="minorHAnsi"/>
                <w:szCs w:val="24"/>
              </w:rPr>
            </w:pPr>
            <w:r w:rsidRPr="008300E2">
              <w:rPr>
                <w:rFonts w:asciiTheme="minorHAnsi" w:eastAsia="Trebuchet MS" w:hAnsiTheme="minorHAnsi"/>
                <w:spacing w:val="-5"/>
                <w:szCs w:val="24"/>
              </w:rPr>
              <w:t>27%</w:t>
            </w:r>
          </w:p>
        </w:tc>
        <w:tc>
          <w:tcPr>
            <w:tcW w:w="720" w:type="dxa"/>
          </w:tcPr>
          <w:p w14:paraId="185590CD" w14:textId="77777777" w:rsidR="008300E2" w:rsidRPr="008300E2" w:rsidRDefault="008300E2" w:rsidP="008300E2">
            <w:pPr>
              <w:spacing w:before="62"/>
              <w:ind w:left="108"/>
              <w:rPr>
                <w:rFonts w:asciiTheme="minorHAnsi" w:eastAsia="Trebuchet MS" w:hAnsiTheme="minorHAnsi"/>
                <w:szCs w:val="24"/>
              </w:rPr>
            </w:pPr>
            <w:r w:rsidRPr="008300E2">
              <w:rPr>
                <w:rFonts w:asciiTheme="minorHAnsi" w:eastAsia="Trebuchet MS" w:hAnsiTheme="minorHAnsi"/>
                <w:spacing w:val="-5"/>
                <w:szCs w:val="24"/>
              </w:rPr>
              <w:t>24%</w:t>
            </w:r>
          </w:p>
        </w:tc>
        <w:tc>
          <w:tcPr>
            <w:tcW w:w="720" w:type="dxa"/>
          </w:tcPr>
          <w:p w14:paraId="25A0C252" w14:textId="77777777" w:rsidR="008300E2" w:rsidRPr="008300E2" w:rsidRDefault="008300E2" w:rsidP="008300E2">
            <w:pPr>
              <w:spacing w:before="62"/>
              <w:ind w:left="109"/>
              <w:rPr>
                <w:rFonts w:asciiTheme="minorHAnsi" w:eastAsia="Trebuchet MS" w:hAnsiTheme="minorHAnsi"/>
                <w:szCs w:val="24"/>
              </w:rPr>
            </w:pPr>
            <w:r w:rsidRPr="008300E2">
              <w:rPr>
                <w:rFonts w:asciiTheme="minorHAnsi" w:eastAsia="Trebuchet MS" w:hAnsiTheme="minorHAnsi"/>
                <w:spacing w:val="-5"/>
                <w:szCs w:val="24"/>
              </w:rPr>
              <w:t>22%</w:t>
            </w:r>
          </w:p>
        </w:tc>
        <w:tc>
          <w:tcPr>
            <w:tcW w:w="810" w:type="dxa"/>
          </w:tcPr>
          <w:p w14:paraId="234B7FF5" w14:textId="77777777" w:rsidR="008300E2" w:rsidRPr="008300E2" w:rsidRDefault="008300E2" w:rsidP="008300E2">
            <w:pPr>
              <w:spacing w:before="62"/>
              <w:ind w:left="109"/>
              <w:rPr>
                <w:rFonts w:asciiTheme="minorHAnsi" w:eastAsia="Trebuchet MS" w:hAnsiTheme="minorHAnsi"/>
                <w:szCs w:val="24"/>
              </w:rPr>
            </w:pPr>
            <w:r w:rsidRPr="008300E2">
              <w:rPr>
                <w:rFonts w:asciiTheme="minorHAnsi" w:eastAsia="Trebuchet MS" w:hAnsiTheme="minorHAnsi"/>
                <w:spacing w:val="-5"/>
                <w:szCs w:val="24"/>
              </w:rPr>
              <w:t>20%</w:t>
            </w:r>
          </w:p>
        </w:tc>
      </w:tr>
    </w:tbl>
    <w:p w14:paraId="1D3A707B" w14:textId="77777777" w:rsidR="00C92DDC" w:rsidRPr="00B462F0" w:rsidRDefault="00C92DDC">
      <w:pPr>
        <w:rPr>
          <w:rFonts w:asciiTheme="minorHAnsi" w:hAnsiTheme="minorHAnsi"/>
          <w:b/>
          <w:bCs/>
          <w:color w:val="1F497D" w:themeColor="text2"/>
          <w:szCs w:val="24"/>
        </w:rPr>
      </w:pPr>
    </w:p>
    <w:p w14:paraId="704A1A65" w14:textId="0C498CBB" w:rsidR="00845F5F" w:rsidRPr="00B462F0" w:rsidRDefault="00845F5F" w:rsidP="00276A85">
      <w:pPr>
        <w:pStyle w:val="ListParagraph"/>
        <w:numPr>
          <w:ilvl w:val="0"/>
          <w:numId w:val="3"/>
        </w:numPr>
        <w:tabs>
          <w:tab w:val="left" w:pos="1918"/>
          <w:tab w:val="left" w:pos="1920"/>
        </w:tabs>
        <w:ind w:left="360" w:right="1236"/>
        <w:rPr>
          <w:rFonts w:asciiTheme="minorHAnsi" w:eastAsia="Arial" w:hAnsiTheme="minorHAnsi"/>
          <w:szCs w:val="24"/>
        </w:rPr>
      </w:pPr>
      <w:r w:rsidRPr="00B462F0">
        <w:rPr>
          <w:rFonts w:asciiTheme="minorHAnsi" w:eastAsia="Arial" w:hAnsiTheme="minorHAnsi"/>
          <w:b/>
          <w:szCs w:val="24"/>
        </w:rPr>
        <w:t xml:space="preserve">Infection Prevention and Control: </w:t>
      </w:r>
      <w:r w:rsidRPr="00B462F0">
        <w:rPr>
          <w:rFonts w:asciiTheme="minorHAnsi" w:eastAsia="Arial" w:hAnsiTheme="minorHAnsi"/>
          <w:szCs w:val="24"/>
        </w:rPr>
        <w:t>Due to risks associated with increased age, skilled nursing facility residents are more susceptible to poor outcomes when faced with infections. In a post- COVID-19</w:t>
      </w:r>
      <w:r w:rsidRPr="00B462F0">
        <w:rPr>
          <w:rFonts w:asciiTheme="minorHAnsi" w:eastAsia="Arial" w:hAnsiTheme="minorHAnsi"/>
          <w:spacing w:val="-2"/>
          <w:szCs w:val="24"/>
        </w:rPr>
        <w:t xml:space="preserve"> </w:t>
      </w:r>
      <w:r w:rsidRPr="00B462F0">
        <w:rPr>
          <w:rFonts w:asciiTheme="minorHAnsi" w:eastAsia="Arial" w:hAnsiTheme="minorHAnsi"/>
          <w:szCs w:val="24"/>
        </w:rPr>
        <w:t>environment,</w:t>
      </w:r>
      <w:r w:rsidRPr="00B462F0">
        <w:rPr>
          <w:rFonts w:asciiTheme="minorHAnsi" w:eastAsia="Arial" w:hAnsiTheme="minorHAnsi"/>
          <w:spacing w:val="-2"/>
          <w:szCs w:val="24"/>
        </w:rPr>
        <w:t xml:space="preserve"> </w:t>
      </w:r>
      <w:r w:rsidRPr="00B462F0">
        <w:rPr>
          <w:rFonts w:asciiTheme="minorHAnsi" w:eastAsia="Arial" w:hAnsiTheme="minorHAnsi"/>
          <w:szCs w:val="24"/>
        </w:rPr>
        <w:t>infection</w:t>
      </w:r>
      <w:r w:rsidRPr="00B462F0">
        <w:rPr>
          <w:rFonts w:asciiTheme="minorHAnsi" w:eastAsia="Arial" w:hAnsiTheme="minorHAnsi"/>
          <w:spacing w:val="-2"/>
          <w:szCs w:val="24"/>
        </w:rPr>
        <w:t xml:space="preserve"> </w:t>
      </w:r>
      <w:r w:rsidRPr="00B462F0">
        <w:rPr>
          <w:rFonts w:asciiTheme="minorHAnsi" w:eastAsia="Arial" w:hAnsiTheme="minorHAnsi"/>
          <w:szCs w:val="24"/>
        </w:rPr>
        <w:t>control</w:t>
      </w:r>
      <w:r w:rsidRPr="00B462F0">
        <w:rPr>
          <w:rFonts w:asciiTheme="minorHAnsi" w:eastAsia="Arial" w:hAnsiTheme="minorHAnsi"/>
          <w:spacing w:val="-5"/>
          <w:szCs w:val="24"/>
        </w:rPr>
        <w:t xml:space="preserve"> </w:t>
      </w:r>
      <w:r w:rsidRPr="00B462F0">
        <w:rPr>
          <w:rFonts w:asciiTheme="minorHAnsi" w:eastAsia="Arial" w:hAnsiTheme="minorHAnsi"/>
          <w:szCs w:val="24"/>
        </w:rPr>
        <w:t>is</w:t>
      </w:r>
      <w:r w:rsidRPr="00B462F0">
        <w:rPr>
          <w:rFonts w:asciiTheme="minorHAnsi" w:eastAsia="Arial" w:hAnsiTheme="minorHAnsi"/>
          <w:spacing w:val="-1"/>
          <w:szCs w:val="24"/>
        </w:rPr>
        <w:t xml:space="preserve"> </w:t>
      </w:r>
      <w:r w:rsidRPr="00B462F0">
        <w:rPr>
          <w:rFonts w:asciiTheme="minorHAnsi" w:eastAsia="Arial" w:hAnsiTheme="minorHAnsi"/>
          <w:szCs w:val="24"/>
        </w:rPr>
        <w:t>at</w:t>
      </w:r>
      <w:r w:rsidRPr="00B462F0">
        <w:rPr>
          <w:rFonts w:asciiTheme="minorHAnsi" w:eastAsia="Arial" w:hAnsiTheme="minorHAnsi"/>
          <w:spacing w:val="-4"/>
          <w:szCs w:val="24"/>
        </w:rPr>
        <w:t xml:space="preserve"> </w:t>
      </w:r>
      <w:r w:rsidRPr="00B462F0">
        <w:rPr>
          <w:rFonts w:asciiTheme="minorHAnsi" w:eastAsia="Arial" w:hAnsiTheme="minorHAnsi"/>
          <w:szCs w:val="24"/>
        </w:rPr>
        <w:t>the</w:t>
      </w:r>
      <w:r w:rsidRPr="00B462F0">
        <w:rPr>
          <w:rFonts w:asciiTheme="minorHAnsi" w:eastAsia="Arial" w:hAnsiTheme="minorHAnsi"/>
          <w:spacing w:val="-4"/>
          <w:szCs w:val="24"/>
        </w:rPr>
        <w:t xml:space="preserve"> </w:t>
      </w:r>
      <w:r w:rsidRPr="00B462F0">
        <w:rPr>
          <w:rFonts w:asciiTheme="minorHAnsi" w:eastAsia="Arial" w:hAnsiTheme="minorHAnsi"/>
          <w:szCs w:val="24"/>
        </w:rPr>
        <w:t>forefront</w:t>
      </w:r>
      <w:r w:rsidRPr="00B462F0">
        <w:rPr>
          <w:rFonts w:asciiTheme="minorHAnsi" w:eastAsia="Arial" w:hAnsiTheme="minorHAnsi"/>
          <w:spacing w:val="-4"/>
          <w:szCs w:val="24"/>
        </w:rPr>
        <w:t xml:space="preserve"> </w:t>
      </w:r>
      <w:r w:rsidRPr="00B462F0">
        <w:rPr>
          <w:rFonts w:asciiTheme="minorHAnsi" w:eastAsia="Arial" w:hAnsiTheme="minorHAnsi"/>
          <w:szCs w:val="24"/>
        </w:rPr>
        <w:t>of</w:t>
      </w:r>
      <w:r w:rsidRPr="00B462F0">
        <w:rPr>
          <w:rFonts w:asciiTheme="minorHAnsi" w:eastAsia="Arial" w:hAnsiTheme="minorHAnsi"/>
          <w:spacing w:val="-4"/>
          <w:szCs w:val="24"/>
        </w:rPr>
        <w:t xml:space="preserve"> </w:t>
      </w:r>
      <w:r w:rsidRPr="00B462F0">
        <w:rPr>
          <w:rFonts w:asciiTheme="minorHAnsi" w:eastAsia="Arial" w:hAnsiTheme="minorHAnsi"/>
          <w:szCs w:val="24"/>
        </w:rPr>
        <w:t>concerns</w:t>
      </w:r>
      <w:r w:rsidRPr="00B462F0">
        <w:rPr>
          <w:rFonts w:asciiTheme="minorHAnsi" w:eastAsia="Arial" w:hAnsiTheme="minorHAnsi"/>
          <w:spacing w:val="-3"/>
          <w:szCs w:val="24"/>
        </w:rPr>
        <w:t xml:space="preserve"> </w:t>
      </w:r>
      <w:r w:rsidRPr="00B462F0">
        <w:rPr>
          <w:rFonts w:asciiTheme="minorHAnsi" w:eastAsia="Arial" w:hAnsiTheme="minorHAnsi"/>
          <w:szCs w:val="24"/>
        </w:rPr>
        <w:t>at</w:t>
      </w:r>
      <w:r w:rsidRPr="00B462F0">
        <w:rPr>
          <w:rFonts w:asciiTheme="minorHAnsi" w:eastAsia="Arial" w:hAnsiTheme="minorHAnsi"/>
          <w:spacing w:val="-4"/>
          <w:szCs w:val="24"/>
        </w:rPr>
        <w:t xml:space="preserve"> </w:t>
      </w:r>
      <w:r w:rsidRPr="00B462F0">
        <w:rPr>
          <w:rFonts w:asciiTheme="minorHAnsi" w:eastAsia="Arial" w:hAnsiTheme="minorHAnsi"/>
          <w:szCs w:val="24"/>
        </w:rPr>
        <w:t>skilled</w:t>
      </w:r>
      <w:r w:rsidRPr="00B462F0">
        <w:rPr>
          <w:rFonts w:asciiTheme="minorHAnsi" w:eastAsia="Arial" w:hAnsiTheme="minorHAnsi"/>
          <w:spacing w:val="-4"/>
          <w:szCs w:val="24"/>
        </w:rPr>
        <w:t xml:space="preserve"> </w:t>
      </w:r>
      <w:r w:rsidRPr="00B462F0">
        <w:rPr>
          <w:rFonts w:asciiTheme="minorHAnsi" w:eastAsia="Arial" w:hAnsiTheme="minorHAnsi"/>
          <w:szCs w:val="24"/>
        </w:rPr>
        <w:t>nursing</w:t>
      </w:r>
      <w:r w:rsidRPr="00B462F0">
        <w:rPr>
          <w:rFonts w:asciiTheme="minorHAnsi" w:eastAsia="Arial" w:hAnsiTheme="minorHAnsi"/>
          <w:spacing w:val="-4"/>
          <w:szCs w:val="24"/>
        </w:rPr>
        <w:t xml:space="preserve"> </w:t>
      </w:r>
      <w:r w:rsidRPr="00B462F0">
        <w:rPr>
          <w:rFonts w:asciiTheme="minorHAnsi" w:eastAsia="Arial" w:hAnsiTheme="minorHAnsi"/>
          <w:szCs w:val="24"/>
        </w:rPr>
        <w:t>facilities.</w:t>
      </w:r>
    </w:p>
    <w:p w14:paraId="334F4F0F" w14:textId="77777777" w:rsidR="008300E2" w:rsidRPr="00B462F0" w:rsidRDefault="008300E2">
      <w:pPr>
        <w:rPr>
          <w:rFonts w:asciiTheme="minorHAnsi" w:hAnsiTheme="minorHAnsi"/>
          <w:b/>
          <w:bCs/>
          <w:color w:val="1F497D" w:themeColor="text2"/>
          <w:szCs w:val="24"/>
        </w:rPr>
      </w:pPr>
    </w:p>
    <w:p w14:paraId="51365C33" w14:textId="77777777" w:rsidR="00041E91" w:rsidRPr="00041E91" w:rsidRDefault="00041E91" w:rsidP="00041E91">
      <w:pPr>
        <w:spacing w:before="122"/>
        <w:ind w:firstLine="360"/>
        <w:rPr>
          <w:rFonts w:asciiTheme="minorHAnsi" w:eastAsia="Arial" w:hAnsiTheme="minorHAnsi"/>
          <w:szCs w:val="24"/>
        </w:rPr>
      </w:pPr>
      <w:r w:rsidRPr="00041E91">
        <w:rPr>
          <w:rFonts w:asciiTheme="minorHAnsi" w:eastAsia="Arial" w:hAnsiTheme="minorHAnsi"/>
          <w:b/>
          <w:szCs w:val="24"/>
        </w:rPr>
        <w:t>Measure:</w:t>
      </w:r>
      <w:r w:rsidRPr="00041E91">
        <w:rPr>
          <w:rFonts w:asciiTheme="minorHAnsi" w:eastAsia="Arial" w:hAnsiTheme="minorHAnsi"/>
          <w:b/>
          <w:spacing w:val="-6"/>
          <w:szCs w:val="24"/>
        </w:rPr>
        <w:t xml:space="preserve"> </w:t>
      </w:r>
      <w:r w:rsidRPr="00041E91">
        <w:rPr>
          <w:rFonts w:asciiTheme="minorHAnsi" w:eastAsia="Arial" w:hAnsiTheme="minorHAnsi"/>
          <w:szCs w:val="24"/>
        </w:rPr>
        <w:t>The</w:t>
      </w:r>
      <w:r w:rsidRPr="00041E91">
        <w:rPr>
          <w:rFonts w:asciiTheme="minorHAnsi" w:eastAsia="Arial" w:hAnsiTheme="minorHAnsi"/>
          <w:spacing w:val="-7"/>
          <w:szCs w:val="24"/>
        </w:rPr>
        <w:t xml:space="preserve"> </w:t>
      </w:r>
      <w:r w:rsidRPr="00041E91">
        <w:rPr>
          <w:rFonts w:asciiTheme="minorHAnsi" w:eastAsia="Arial" w:hAnsiTheme="minorHAnsi"/>
          <w:szCs w:val="24"/>
        </w:rPr>
        <w:t>Applicant</w:t>
      </w:r>
      <w:r w:rsidRPr="00041E91">
        <w:rPr>
          <w:rFonts w:asciiTheme="minorHAnsi" w:eastAsia="Arial" w:hAnsiTheme="minorHAnsi"/>
          <w:spacing w:val="-6"/>
          <w:szCs w:val="24"/>
        </w:rPr>
        <w:t xml:space="preserve"> </w:t>
      </w:r>
      <w:r w:rsidRPr="00041E91">
        <w:rPr>
          <w:rFonts w:asciiTheme="minorHAnsi" w:eastAsia="Arial" w:hAnsiTheme="minorHAnsi"/>
          <w:szCs w:val="24"/>
        </w:rPr>
        <w:t>will</w:t>
      </w:r>
      <w:r w:rsidRPr="00041E91">
        <w:rPr>
          <w:rFonts w:asciiTheme="minorHAnsi" w:eastAsia="Arial" w:hAnsiTheme="minorHAnsi"/>
          <w:spacing w:val="-8"/>
          <w:szCs w:val="24"/>
        </w:rPr>
        <w:t xml:space="preserve"> </w:t>
      </w:r>
      <w:r w:rsidRPr="00041E91">
        <w:rPr>
          <w:rFonts w:asciiTheme="minorHAnsi" w:eastAsia="Arial" w:hAnsiTheme="minorHAnsi"/>
          <w:szCs w:val="24"/>
        </w:rPr>
        <w:t>measure</w:t>
      </w:r>
      <w:r w:rsidRPr="00041E91">
        <w:rPr>
          <w:rFonts w:asciiTheme="minorHAnsi" w:eastAsia="Arial" w:hAnsiTheme="minorHAnsi"/>
          <w:spacing w:val="-6"/>
          <w:szCs w:val="24"/>
        </w:rPr>
        <w:t xml:space="preserve"> </w:t>
      </w:r>
      <w:r w:rsidRPr="00041E91">
        <w:rPr>
          <w:rFonts w:asciiTheme="minorHAnsi" w:eastAsia="Arial" w:hAnsiTheme="minorHAnsi"/>
          <w:szCs w:val="24"/>
        </w:rPr>
        <w:t>the</w:t>
      </w:r>
      <w:r w:rsidRPr="00041E91">
        <w:rPr>
          <w:rFonts w:asciiTheme="minorHAnsi" w:eastAsia="Arial" w:hAnsiTheme="minorHAnsi"/>
          <w:spacing w:val="-5"/>
          <w:szCs w:val="24"/>
        </w:rPr>
        <w:t xml:space="preserve"> </w:t>
      </w:r>
      <w:r w:rsidRPr="00041E91">
        <w:rPr>
          <w:rFonts w:asciiTheme="minorHAnsi" w:eastAsia="Arial" w:hAnsiTheme="minorHAnsi"/>
          <w:szCs w:val="24"/>
        </w:rPr>
        <w:t>incidence</w:t>
      </w:r>
      <w:r w:rsidRPr="00041E91">
        <w:rPr>
          <w:rFonts w:asciiTheme="minorHAnsi" w:eastAsia="Arial" w:hAnsiTheme="minorHAnsi"/>
          <w:spacing w:val="-7"/>
          <w:szCs w:val="24"/>
        </w:rPr>
        <w:t xml:space="preserve"> </w:t>
      </w:r>
      <w:r w:rsidRPr="00041E91">
        <w:rPr>
          <w:rFonts w:asciiTheme="minorHAnsi" w:eastAsia="Arial" w:hAnsiTheme="minorHAnsi"/>
          <w:szCs w:val="24"/>
        </w:rPr>
        <w:t>rate</w:t>
      </w:r>
      <w:r w:rsidRPr="00041E91">
        <w:rPr>
          <w:rFonts w:asciiTheme="minorHAnsi" w:eastAsia="Arial" w:hAnsiTheme="minorHAnsi"/>
          <w:spacing w:val="-6"/>
          <w:szCs w:val="24"/>
        </w:rPr>
        <w:t xml:space="preserve"> </w:t>
      </w:r>
      <w:r w:rsidRPr="00041E91">
        <w:rPr>
          <w:rFonts w:asciiTheme="minorHAnsi" w:eastAsia="Arial" w:hAnsiTheme="minorHAnsi"/>
          <w:szCs w:val="24"/>
        </w:rPr>
        <w:t>of</w:t>
      </w:r>
      <w:r w:rsidRPr="00041E91">
        <w:rPr>
          <w:rFonts w:asciiTheme="minorHAnsi" w:eastAsia="Arial" w:hAnsiTheme="minorHAnsi"/>
          <w:spacing w:val="-5"/>
          <w:szCs w:val="24"/>
        </w:rPr>
        <w:t xml:space="preserve"> </w:t>
      </w:r>
      <w:r w:rsidRPr="00041E91">
        <w:rPr>
          <w:rFonts w:asciiTheme="minorHAnsi" w:eastAsia="Arial" w:hAnsiTheme="minorHAnsi"/>
          <w:szCs w:val="24"/>
        </w:rPr>
        <w:t>new</w:t>
      </w:r>
      <w:r w:rsidRPr="00041E91">
        <w:rPr>
          <w:rFonts w:asciiTheme="minorHAnsi" w:eastAsia="Arial" w:hAnsiTheme="minorHAnsi"/>
          <w:spacing w:val="-4"/>
          <w:szCs w:val="24"/>
        </w:rPr>
        <w:t xml:space="preserve"> </w:t>
      </w:r>
      <w:r w:rsidRPr="00041E91">
        <w:rPr>
          <w:rFonts w:asciiTheme="minorHAnsi" w:eastAsia="Arial" w:hAnsiTheme="minorHAnsi"/>
          <w:szCs w:val="24"/>
        </w:rPr>
        <w:t>nosocomial</w:t>
      </w:r>
      <w:r w:rsidRPr="00041E91">
        <w:rPr>
          <w:rFonts w:asciiTheme="minorHAnsi" w:eastAsia="Arial" w:hAnsiTheme="minorHAnsi"/>
          <w:spacing w:val="-8"/>
          <w:szCs w:val="24"/>
        </w:rPr>
        <w:t xml:space="preserve"> </w:t>
      </w:r>
      <w:r w:rsidRPr="00041E91">
        <w:rPr>
          <w:rFonts w:asciiTheme="minorHAnsi" w:eastAsia="Arial" w:hAnsiTheme="minorHAnsi"/>
          <w:spacing w:val="-2"/>
          <w:szCs w:val="24"/>
        </w:rPr>
        <w:t>infections.</w:t>
      </w:r>
    </w:p>
    <w:p w14:paraId="44BD97EA" w14:textId="77777777" w:rsidR="000F1FBE" w:rsidRPr="00B462F0" w:rsidRDefault="000F1FBE">
      <w:pPr>
        <w:rPr>
          <w:rFonts w:asciiTheme="minorHAnsi" w:hAnsiTheme="minorHAnsi"/>
          <w:b/>
          <w:bCs/>
          <w:color w:val="1F497D" w:themeColor="text2"/>
          <w:szCs w:val="24"/>
        </w:rPr>
      </w:pPr>
    </w:p>
    <w:p w14:paraId="60B8F453" w14:textId="28B22B74" w:rsidR="00B462F0" w:rsidRPr="00B462F0" w:rsidRDefault="00A9400B" w:rsidP="00A9400B">
      <w:pPr>
        <w:rPr>
          <w:rFonts w:asciiTheme="minorHAnsi" w:hAnsiTheme="minorHAnsi"/>
          <w:szCs w:val="24"/>
        </w:rPr>
      </w:pPr>
      <w:r w:rsidRPr="00B462F0">
        <w:rPr>
          <w:rFonts w:asciiTheme="minorHAnsi" w:hAnsiTheme="minorHAnsi"/>
          <w:b/>
          <w:bCs/>
          <w:color w:val="1F497D" w:themeColor="text2"/>
          <w:szCs w:val="24"/>
        </w:rPr>
        <w:tab/>
      </w:r>
      <w:r w:rsidRPr="00B462F0">
        <w:rPr>
          <w:rFonts w:asciiTheme="minorHAnsi" w:hAnsiTheme="minorHAnsi"/>
          <w:szCs w:val="24"/>
          <w:u w:val="single"/>
        </w:rPr>
        <w:t xml:space="preserve"># of new nosocomial infection occurring per year </w:t>
      </w:r>
      <w:r w:rsidR="00B462F0" w:rsidRPr="00B462F0">
        <w:rPr>
          <w:rFonts w:asciiTheme="minorHAnsi" w:hAnsiTheme="minorHAnsi"/>
          <w:szCs w:val="24"/>
          <w:u w:val="single"/>
        </w:rPr>
        <w:t xml:space="preserve"> </w:t>
      </w:r>
      <w:r w:rsidR="00B462F0" w:rsidRPr="00B462F0">
        <w:rPr>
          <w:rFonts w:asciiTheme="minorHAnsi" w:hAnsiTheme="minorHAnsi"/>
          <w:szCs w:val="24"/>
        </w:rPr>
        <w:t xml:space="preserve">              * 1000 = incidence rate</w:t>
      </w:r>
    </w:p>
    <w:p w14:paraId="2136D290" w14:textId="7EAD645C" w:rsidR="00A9400B" w:rsidRPr="00B462F0" w:rsidRDefault="00B462F0" w:rsidP="00B462F0">
      <w:pPr>
        <w:ind w:firstLine="720"/>
        <w:rPr>
          <w:rFonts w:asciiTheme="minorHAnsi" w:hAnsiTheme="minorHAnsi"/>
          <w:szCs w:val="24"/>
        </w:rPr>
      </w:pPr>
      <w:r w:rsidRPr="00B462F0">
        <w:rPr>
          <w:rFonts w:asciiTheme="minorHAnsi" w:hAnsiTheme="minorHAnsi"/>
          <w:szCs w:val="24"/>
        </w:rPr>
        <w:t xml:space="preserve">                    </w:t>
      </w:r>
      <w:r w:rsidR="00A9400B" w:rsidRPr="00B462F0">
        <w:rPr>
          <w:rFonts w:asciiTheme="minorHAnsi" w:hAnsiTheme="minorHAnsi"/>
          <w:szCs w:val="24"/>
        </w:rPr>
        <w:t># of resident days per year</w:t>
      </w:r>
    </w:p>
    <w:p w14:paraId="333D60C8" w14:textId="5639C819" w:rsidR="000F1FBE" w:rsidRPr="00A9400B" w:rsidRDefault="00A9400B" w:rsidP="00A9400B">
      <w:pPr>
        <w:rPr>
          <w:rFonts w:asciiTheme="minorHAnsi" w:hAnsiTheme="minorHAnsi"/>
          <w:szCs w:val="24"/>
        </w:rPr>
      </w:pPr>
      <w:r w:rsidRPr="00A9400B">
        <w:rPr>
          <w:rFonts w:asciiTheme="minorHAnsi" w:hAnsiTheme="minorHAnsi"/>
          <w:szCs w:val="24"/>
        </w:rPr>
        <w:t xml:space="preserve"> </w:t>
      </w:r>
    </w:p>
    <w:p w14:paraId="7C7AEB61" w14:textId="77777777" w:rsidR="000F1FBE" w:rsidRDefault="000F1FBE">
      <w:pPr>
        <w:rPr>
          <w:rFonts w:asciiTheme="minorHAnsi" w:hAnsiTheme="minorHAnsi"/>
          <w:b/>
          <w:bCs/>
          <w:color w:val="1F497D" w:themeColor="text2"/>
          <w:sz w:val="28"/>
          <w:szCs w:val="28"/>
        </w:rPr>
      </w:pPr>
    </w:p>
    <w:tbl>
      <w:tblPr>
        <w:tblStyle w:val="TableGrid1"/>
        <w:tblW w:w="0" w:type="auto"/>
        <w:tblLook w:val="04A0" w:firstRow="1" w:lastRow="0" w:firstColumn="1" w:lastColumn="0" w:noHBand="0" w:noVBand="1"/>
      </w:tblPr>
      <w:tblGrid>
        <w:gridCol w:w="2173"/>
        <w:gridCol w:w="814"/>
        <w:gridCol w:w="842"/>
        <w:gridCol w:w="842"/>
        <w:gridCol w:w="842"/>
      </w:tblGrid>
      <w:tr w:rsidR="00175B36" w:rsidRPr="001B5E44" w14:paraId="02D70F3D" w14:textId="77777777" w:rsidTr="00175B36">
        <w:tc>
          <w:tcPr>
            <w:tcW w:w="0" w:type="auto"/>
            <w:shd w:val="clear" w:color="auto" w:fill="D9E2F3"/>
          </w:tcPr>
          <w:p w14:paraId="19176CE2" w14:textId="77777777" w:rsidR="00175B36" w:rsidRPr="001B5E44" w:rsidRDefault="00175B36" w:rsidP="00175B36">
            <w:pPr>
              <w:spacing w:before="60" w:after="60"/>
              <w:rPr>
                <w:rFonts w:ascii="Calibri" w:eastAsia="Calibri" w:hAnsi="Calibri" w:cs="Calibri"/>
                <w:b/>
                <w:bCs/>
                <w:sz w:val="24"/>
                <w:szCs w:val="24"/>
              </w:rPr>
            </w:pPr>
            <w:r w:rsidRPr="001B5E44">
              <w:rPr>
                <w:rFonts w:ascii="Calibri" w:eastAsia="Calibri" w:hAnsi="Calibri" w:cs="Calibri"/>
                <w:b/>
                <w:bCs/>
                <w:sz w:val="24"/>
                <w:szCs w:val="24"/>
              </w:rPr>
              <w:t>Quality Measure #2</w:t>
            </w:r>
          </w:p>
        </w:tc>
        <w:tc>
          <w:tcPr>
            <w:tcW w:w="0" w:type="auto"/>
            <w:shd w:val="clear" w:color="auto" w:fill="D9E2F3"/>
          </w:tcPr>
          <w:p w14:paraId="32B8E57B" w14:textId="77777777" w:rsidR="00175B36" w:rsidRPr="001B5E44" w:rsidRDefault="00175B36" w:rsidP="00175B36">
            <w:pPr>
              <w:spacing w:before="60" w:after="60"/>
              <w:jc w:val="center"/>
              <w:rPr>
                <w:rFonts w:ascii="Calibri" w:eastAsia="Calibri" w:hAnsi="Calibri" w:cs="Calibri"/>
                <w:b/>
                <w:bCs/>
                <w:sz w:val="24"/>
                <w:szCs w:val="24"/>
              </w:rPr>
            </w:pPr>
            <w:r w:rsidRPr="001B5E44">
              <w:rPr>
                <w:rFonts w:ascii="Calibri" w:eastAsia="Calibri" w:hAnsi="Calibri" w:cs="Calibri"/>
                <w:b/>
                <w:bCs/>
                <w:sz w:val="24"/>
                <w:szCs w:val="24"/>
              </w:rPr>
              <w:t>2023</w:t>
            </w:r>
          </w:p>
        </w:tc>
        <w:tc>
          <w:tcPr>
            <w:tcW w:w="0" w:type="auto"/>
            <w:shd w:val="clear" w:color="auto" w:fill="D9E2F3"/>
          </w:tcPr>
          <w:p w14:paraId="7A486F2E" w14:textId="77777777" w:rsidR="00175B36" w:rsidRPr="001B5E44" w:rsidRDefault="00175B36" w:rsidP="00175B36">
            <w:pPr>
              <w:spacing w:before="60" w:after="60"/>
              <w:jc w:val="center"/>
              <w:rPr>
                <w:rFonts w:ascii="Calibri" w:eastAsia="Calibri" w:hAnsi="Calibri" w:cs="Calibri"/>
                <w:b/>
                <w:bCs/>
                <w:sz w:val="24"/>
                <w:szCs w:val="24"/>
              </w:rPr>
            </w:pPr>
            <w:r w:rsidRPr="001B5E44">
              <w:rPr>
                <w:rFonts w:ascii="Calibri" w:eastAsia="Calibri" w:hAnsi="Calibri" w:cs="Calibri"/>
                <w:b/>
                <w:bCs/>
                <w:sz w:val="24"/>
                <w:szCs w:val="24"/>
              </w:rPr>
              <w:t>Year 1</w:t>
            </w:r>
          </w:p>
        </w:tc>
        <w:tc>
          <w:tcPr>
            <w:tcW w:w="0" w:type="auto"/>
            <w:shd w:val="clear" w:color="auto" w:fill="D9E2F3"/>
          </w:tcPr>
          <w:p w14:paraId="47DE2D33" w14:textId="77777777" w:rsidR="00175B36" w:rsidRPr="001B5E44" w:rsidRDefault="00175B36" w:rsidP="00175B36">
            <w:pPr>
              <w:spacing w:before="60" w:after="60"/>
              <w:jc w:val="center"/>
              <w:rPr>
                <w:rFonts w:ascii="Calibri" w:eastAsia="Calibri" w:hAnsi="Calibri" w:cs="Calibri"/>
                <w:b/>
                <w:bCs/>
                <w:sz w:val="24"/>
                <w:szCs w:val="24"/>
              </w:rPr>
            </w:pPr>
            <w:r w:rsidRPr="001B5E44">
              <w:rPr>
                <w:rFonts w:ascii="Calibri" w:eastAsia="Calibri" w:hAnsi="Calibri" w:cs="Calibri"/>
                <w:b/>
                <w:bCs/>
                <w:sz w:val="24"/>
                <w:szCs w:val="24"/>
              </w:rPr>
              <w:t>Year 2</w:t>
            </w:r>
          </w:p>
        </w:tc>
        <w:tc>
          <w:tcPr>
            <w:tcW w:w="0" w:type="auto"/>
            <w:shd w:val="clear" w:color="auto" w:fill="D9E2F3"/>
          </w:tcPr>
          <w:p w14:paraId="3178D02D" w14:textId="77777777" w:rsidR="00175B36" w:rsidRPr="001B5E44" w:rsidRDefault="00175B36" w:rsidP="00175B36">
            <w:pPr>
              <w:spacing w:before="60" w:after="60"/>
              <w:jc w:val="center"/>
              <w:rPr>
                <w:rFonts w:ascii="Calibri" w:eastAsia="Calibri" w:hAnsi="Calibri" w:cs="Calibri"/>
                <w:b/>
                <w:bCs/>
                <w:sz w:val="24"/>
                <w:szCs w:val="24"/>
              </w:rPr>
            </w:pPr>
            <w:r w:rsidRPr="001B5E44">
              <w:rPr>
                <w:rFonts w:ascii="Calibri" w:eastAsia="Calibri" w:hAnsi="Calibri" w:cs="Calibri"/>
                <w:b/>
                <w:bCs/>
                <w:sz w:val="24"/>
                <w:szCs w:val="24"/>
              </w:rPr>
              <w:t>Year 3</w:t>
            </w:r>
          </w:p>
        </w:tc>
      </w:tr>
      <w:tr w:rsidR="00175B36" w:rsidRPr="001B5E44" w14:paraId="56FD4548" w14:textId="77777777" w:rsidTr="00175B36">
        <w:tc>
          <w:tcPr>
            <w:tcW w:w="0" w:type="auto"/>
          </w:tcPr>
          <w:p w14:paraId="0F70562E" w14:textId="77777777" w:rsidR="00175B36" w:rsidRPr="001B5E44" w:rsidRDefault="00175B36" w:rsidP="00175B36">
            <w:pPr>
              <w:spacing w:before="60" w:after="60"/>
              <w:rPr>
                <w:rFonts w:ascii="Calibri" w:eastAsia="Calibri" w:hAnsi="Calibri" w:cs="Calibri"/>
                <w:sz w:val="24"/>
                <w:szCs w:val="24"/>
              </w:rPr>
            </w:pPr>
            <w:r w:rsidRPr="001B5E44">
              <w:rPr>
                <w:rFonts w:ascii="Calibri" w:eastAsia="Calibri" w:hAnsi="Calibri" w:cs="Calibri"/>
                <w:sz w:val="24"/>
                <w:szCs w:val="24"/>
              </w:rPr>
              <w:t>Infection Rate</w:t>
            </w:r>
          </w:p>
        </w:tc>
        <w:tc>
          <w:tcPr>
            <w:tcW w:w="0" w:type="auto"/>
          </w:tcPr>
          <w:p w14:paraId="63A6CCF9" w14:textId="77777777" w:rsidR="00175B36" w:rsidRPr="001B5E44" w:rsidRDefault="00175B36" w:rsidP="00175B36">
            <w:pPr>
              <w:spacing w:before="60" w:after="60"/>
              <w:jc w:val="center"/>
              <w:rPr>
                <w:rFonts w:ascii="Calibri" w:eastAsia="Calibri" w:hAnsi="Calibri" w:cs="Calibri"/>
                <w:sz w:val="24"/>
                <w:szCs w:val="24"/>
              </w:rPr>
            </w:pPr>
            <w:r w:rsidRPr="001B5E44">
              <w:rPr>
                <w:rFonts w:ascii="Calibri" w:eastAsia="Calibri" w:hAnsi="Calibri" w:cs="Calibri"/>
                <w:sz w:val="24"/>
                <w:szCs w:val="24"/>
              </w:rPr>
              <w:t>4.17%</w:t>
            </w:r>
          </w:p>
        </w:tc>
        <w:tc>
          <w:tcPr>
            <w:tcW w:w="0" w:type="auto"/>
          </w:tcPr>
          <w:p w14:paraId="11124806" w14:textId="77777777" w:rsidR="00175B36" w:rsidRPr="001B5E44" w:rsidRDefault="00175B36" w:rsidP="00175B36">
            <w:pPr>
              <w:spacing w:before="60" w:after="60"/>
              <w:jc w:val="center"/>
              <w:rPr>
                <w:rFonts w:ascii="Calibri" w:eastAsia="Calibri" w:hAnsi="Calibri" w:cs="Calibri"/>
                <w:sz w:val="24"/>
                <w:szCs w:val="24"/>
              </w:rPr>
            </w:pPr>
            <w:r w:rsidRPr="001B5E44">
              <w:rPr>
                <w:rFonts w:ascii="Calibri" w:eastAsia="Calibri" w:hAnsi="Calibri" w:cs="Calibri"/>
                <w:sz w:val="24"/>
                <w:szCs w:val="24"/>
              </w:rPr>
              <w:t>4%</w:t>
            </w:r>
          </w:p>
        </w:tc>
        <w:tc>
          <w:tcPr>
            <w:tcW w:w="0" w:type="auto"/>
          </w:tcPr>
          <w:p w14:paraId="0561C050" w14:textId="77777777" w:rsidR="00175B36" w:rsidRPr="001B5E44" w:rsidRDefault="00175B36" w:rsidP="00175B36">
            <w:pPr>
              <w:spacing w:before="60" w:after="60"/>
              <w:jc w:val="center"/>
              <w:rPr>
                <w:rFonts w:ascii="Calibri" w:eastAsia="Calibri" w:hAnsi="Calibri" w:cs="Calibri"/>
                <w:sz w:val="24"/>
                <w:szCs w:val="24"/>
              </w:rPr>
            </w:pPr>
            <w:r w:rsidRPr="001B5E44">
              <w:rPr>
                <w:rFonts w:ascii="Calibri" w:eastAsia="Calibri" w:hAnsi="Calibri" w:cs="Calibri"/>
                <w:sz w:val="24"/>
                <w:szCs w:val="24"/>
              </w:rPr>
              <w:t>3.9%</w:t>
            </w:r>
          </w:p>
        </w:tc>
        <w:tc>
          <w:tcPr>
            <w:tcW w:w="0" w:type="auto"/>
          </w:tcPr>
          <w:p w14:paraId="121B5E09" w14:textId="77777777" w:rsidR="00175B36" w:rsidRPr="001B5E44" w:rsidRDefault="00175B36" w:rsidP="00175B36">
            <w:pPr>
              <w:spacing w:before="60" w:after="60"/>
              <w:jc w:val="center"/>
              <w:rPr>
                <w:rFonts w:ascii="Calibri" w:eastAsia="Calibri" w:hAnsi="Calibri" w:cs="Calibri"/>
                <w:sz w:val="24"/>
                <w:szCs w:val="24"/>
              </w:rPr>
            </w:pPr>
            <w:r w:rsidRPr="001B5E44">
              <w:rPr>
                <w:rFonts w:ascii="Calibri" w:eastAsia="Calibri" w:hAnsi="Calibri" w:cs="Calibri"/>
                <w:sz w:val="24"/>
                <w:szCs w:val="24"/>
              </w:rPr>
              <w:t>3.75%</w:t>
            </w:r>
          </w:p>
        </w:tc>
      </w:tr>
    </w:tbl>
    <w:p w14:paraId="4B6AE726" w14:textId="77777777" w:rsidR="00175B36" w:rsidRDefault="00175B36" w:rsidP="00175B36">
      <w:pPr>
        <w:pStyle w:val="ListParagraph"/>
        <w:ind w:left="360" w:firstLine="0"/>
      </w:pPr>
    </w:p>
    <w:p w14:paraId="1B1B48D0" w14:textId="77777777" w:rsidR="000722F8" w:rsidRDefault="000722F8" w:rsidP="000722F8"/>
    <w:p w14:paraId="4D02B79F" w14:textId="77777777" w:rsidR="008D4F52" w:rsidRDefault="008D4F52" w:rsidP="000722F8"/>
    <w:p w14:paraId="352F32BE" w14:textId="77777777" w:rsidR="008D4F52" w:rsidRDefault="008D4F52" w:rsidP="000722F8"/>
    <w:p w14:paraId="774723F2" w14:textId="77777777" w:rsidR="008D4F52" w:rsidRDefault="008D4F52" w:rsidP="000722F8"/>
    <w:p w14:paraId="1D07FBC1" w14:textId="77777777" w:rsidR="00DE04DC" w:rsidRDefault="00DE04DC" w:rsidP="00014053">
      <w:pPr>
        <w:pStyle w:val="Heading1"/>
        <w:ind w:left="0"/>
        <w:rPr>
          <w:rFonts w:asciiTheme="minorHAnsi" w:hAnsiTheme="minorHAnsi"/>
          <w:color w:val="1F497D" w:themeColor="text2"/>
        </w:rPr>
      </w:pPr>
    </w:p>
    <w:p w14:paraId="2D36721A" w14:textId="6E190025" w:rsidR="007C3F17" w:rsidRDefault="007C3F17" w:rsidP="00014053">
      <w:pPr>
        <w:pStyle w:val="Heading1"/>
        <w:ind w:left="0"/>
        <w:rPr>
          <w:rFonts w:asciiTheme="minorHAnsi" w:hAnsiTheme="minorHAnsi"/>
          <w:color w:val="1F497D" w:themeColor="text2"/>
        </w:rPr>
      </w:pPr>
    </w:p>
    <w:p w14:paraId="110CB8DE" w14:textId="0E618876" w:rsidR="00011744" w:rsidRDefault="00011744" w:rsidP="00014053">
      <w:pPr>
        <w:pStyle w:val="Heading1"/>
        <w:ind w:left="0"/>
        <w:rPr>
          <w:rFonts w:asciiTheme="minorHAnsi" w:hAnsiTheme="minorHAnsi"/>
          <w:color w:val="1F497D" w:themeColor="text2"/>
        </w:rPr>
      </w:pPr>
      <w:bookmarkStart w:id="32" w:name="_Toc173743607"/>
      <w:r>
        <w:rPr>
          <w:rFonts w:asciiTheme="minorHAnsi" w:hAnsiTheme="minorHAnsi"/>
          <w:color w:val="1F497D" w:themeColor="text2"/>
        </w:rPr>
        <w:t>REFERENCES</w:t>
      </w:r>
      <w:bookmarkEnd w:id="32"/>
    </w:p>
    <w:sectPr w:rsidR="00011744">
      <w:headerReference w:type="even" r:id="rId11"/>
      <w:headerReference w:type="default" r:id="rId12"/>
      <w:footerReference w:type="default" r:id="rId13"/>
      <w:headerReference w:type="first" r:id="rId14"/>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4838C" w14:textId="77777777" w:rsidR="007F79E2" w:rsidRDefault="007F79E2">
      <w:r>
        <w:separator/>
      </w:r>
    </w:p>
  </w:endnote>
  <w:endnote w:type="continuationSeparator" w:id="0">
    <w:p w14:paraId="4C16AC29" w14:textId="77777777" w:rsidR="007F79E2" w:rsidRDefault="007F79E2">
      <w:r>
        <w:continuationSeparator/>
      </w:r>
    </w:p>
  </w:endnote>
  <w:endnote w:type="continuationNotice" w:id="1">
    <w:p w14:paraId="14103301" w14:textId="77777777" w:rsidR="007F79E2" w:rsidRDefault="007F79E2"/>
  </w:endnote>
  <w:endnote w:id="2">
    <w:p w14:paraId="1999DCB0" w14:textId="68089E3D" w:rsidR="00011744" w:rsidRDefault="00011744">
      <w:pPr>
        <w:pStyle w:val="EndnoteText"/>
      </w:pPr>
      <w:r>
        <w:rPr>
          <w:rStyle w:val="EndnoteReference"/>
        </w:rPr>
        <w:endnoteRef/>
      </w:r>
      <w:r>
        <w:t xml:space="preserve"> </w:t>
      </w:r>
      <w:r w:rsidRPr="00011744">
        <w:t>Singh JA, Yu S, Chen L, Cleveland JD. Rates of Total Joint Replacement in the United States: Future Projections to 2020-2040 Using the National Inpatient Sample. J Rheumatol. 2019 Sep;46(9):1134-1140. doi: 10.3899/jrheum.170990. Epub 2019 Apr 15. PMID: 30988126.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p w14:paraId="59CCC43D" w14:textId="77777777" w:rsidR="00561BB1" w:rsidRDefault="00561BB1"/>
  <w:p w14:paraId="1E637D7A" w14:textId="77777777" w:rsidR="00561BB1" w:rsidRDefault="00561BB1"/>
  <w:p w14:paraId="1DE0B242" w14:textId="77777777" w:rsidR="00561BB1" w:rsidRDefault="00561B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20A97" w14:textId="77777777" w:rsidR="007F79E2" w:rsidRDefault="007F79E2">
      <w:r>
        <w:separator/>
      </w:r>
    </w:p>
  </w:footnote>
  <w:footnote w:type="continuationSeparator" w:id="0">
    <w:p w14:paraId="3117A73C" w14:textId="77777777" w:rsidR="007F79E2" w:rsidRDefault="007F79E2">
      <w:r>
        <w:continuationSeparator/>
      </w:r>
    </w:p>
  </w:footnote>
  <w:footnote w:type="continuationNotice" w:id="1">
    <w:p w14:paraId="47775FF1" w14:textId="77777777" w:rsidR="007F79E2" w:rsidRDefault="007F79E2"/>
  </w:footnote>
  <w:footnote w:id="2">
    <w:p w14:paraId="43F1E1DC" w14:textId="79D35ADE" w:rsidR="00E54588" w:rsidRPr="004F68A6" w:rsidRDefault="00E54588">
      <w:pPr>
        <w:pStyle w:val="FootnoteText"/>
        <w:rPr>
          <w:rFonts w:asciiTheme="minorHAnsi" w:hAnsiTheme="minorHAnsi"/>
        </w:rPr>
      </w:pPr>
      <w:r w:rsidRPr="004F68A6">
        <w:rPr>
          <w:rStyle w:val="FootnoteReference"/>
          <w:rFonts w:asciiTheme="minorHAnsi" w:hAnsiTheme="minorHAnsi"/>
        </w:rPr>
        <w:footnoteRef/>
      </w:r>
      <w:r w:rsidRPr="004F68A6">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3">
    <w:p w14:paraId="66FE1638" w14:textId="77777777" w:rsidR="004F1B72" w:rsidRDefault="004F1B72" w:rsidP="004F1B72">
      <w:pPr>
        <w:pStyle w:val="FootnoteText"/>
      </w:pPr>
      <w:r w:rsidRPr="004F68A6">
        <w:rPr>
          <w:rStyle w:val="FootnoteReference"/>
        </w:rPr>
        <w:footnoteRef/>
      </w:r>
      <w:r w:rsidRPr="004F68A6">
        <w:t xml:space="preserve"> The Applicant’s fiscal year runs on a calendar year.</w:t>
      </w:r>
      <w:r>
        <w:t xml:space="preserve"> </w:t>
      </w:r>
    </w:p>
  </w:footnote>
  <w:footnote w:id="4">
    <w:p w14:paraId="58E1FBBB" w14:textId="75944DB7" w:rsidR="006A2E96" w:rsidRPr="00ED6607" w:rsidRDefault="006A2E96" w:rsidP="00B41717">
      <w:pPr>
        <w:pStyle w:val="FootnoteText"/>
      </w:pPr>
      <w:r w:rsidRPr="00ED6607">
        <w:rPr>
          <w:rStyle w:val="FootnoteReference"/>
        </w:rPr>
        <w:footnoteRef/>
      </w:r>
      <w:r w:rsidRPr="00ED6607">
        <w:t xml:space="preserve"> Due to HIPAA privacy rules surrounding low counts, the Applicant is unable to provide relevant percentages with respect to race/ethnicity information for </w:t>
      </w:r>
      <w:r w:rsidR="00C61F08" w:rsidRPr="00ED6607">
        <w:t>Level II residents</w:t>
      </w:r>
      <w:r w:rsidRPr="00ED6607">
        <w:t>.</w:t>
      </w:r>
    </w:p>
  </w:footnote>
  <w:footnote w:id="5">
    <w:p w14:paraId="4C946ADA" w14:textId="5498245D" w:rsidR="006A2E96" w:rsidRPr="00ED6607" w:rsidRDefault="006A2E96">
      <w:pPr>
        <w:pStyle w:val="FootnoteText"/>
      </w:pPr>
      <w:r w:rsidRPr="00ED6607">
        <w:rPr>
          <w:rStyle w:val="FootnoteReference"/>
        </w:rPr>
        <w:footnoteRef/>
      </w:r>
      <w:r w:rsidRPr="00ED6607">
        <w:t xml:space="preserve"> The Applicant states that the Town of Charlton, located in southern Worcester County, has a current population of approximately 13,000, and 94% of residents identify as White, with 91% identifying as White/Non-Hispanic. </w:t>
      </w:r>
      <w:hyperlink r:id="rId1" w:history="1">
        <w:r w:rsidRPr="00ED6607">
          <w:rPr>
            <w:rStyle w:val="Hyperlink"/>
          </w:rPr>
          <w:t>https://www.census.gov/quickfacts/fact/table/charltontownworcestercountymassachusetts,US/PST045222</w:t>
        </w:r>
      </w:hyperlink>
      <w:r w:rsidRPr="00ED6607">
        <w:t xml:space="preserve"> </w:t>
      </w:r>
    </w:p>
  </w:footnote>
  <w:footnote w:id="6">
    <w:p w14:paraId="2DD1DDD7" w14:textId="59C67BF9" w:rsidR="00F83406" w:rsidRPr="00ED6607" w:rsidRDefault="00F83406">
      <w:pPr>
        <w:pStyle w:val="FootnoteText"/>
      </w:pPr>
      <w:r w:rsidRPr="00ED6607">
        <w:rPr>
          <w:rStyle w:val="FootnoteReference"/>
        </w:rPr>
        <w:footnoteRef/>
      </w:r>
      <w:r w:rsidRPr="00ED6607">
        <w:t xml:space="preserve"> The list of towns and one city represents more than 80% of admissions to The Overlook in 2023 for both short-term and long-term residents. </w:t>
      </w:r>
    </w:p>
  </w:footnote>
  <w:footnote w:id="7">
    <w:p w14:paraId="6BF4D0EC" w14:textId="195FDDE7" w:rsidR="00F83406" w:rsidRDefault="00F83406">
      <w:pPr>
        <w:pStyle w:val="FootnoteText"/>
      </w:pPr>
      <w:r>
        <w:rPr>
          <w:rStyle w:val="FootnoteReference"/>
        </w:rPr>
        <w:footnoteRef/>
      </w:r>
      <w:r>
        <w:t xml:space="preserve"> </w:t>
      </w:r>
      <w:r w:rsidRPr="003D04CD">
        <w:t>The Applicant states that when looking at payer mix for short-term and long-term residents separately, the percentages are unlikely to change as a result of the Proposed Project, but given the planned increase in short-term beds and corresponding decrease in long-term beds, the Applicant expects the payer mix to shift proportionally.</w:t>
      </w:r>
    </w:p>
  </w:footnote>
  <w:footnote w:id="8">
    <w:p w14:paraId="335B680C" w14:textId="6EEEB1D4" w:rsidR="003D04CD" w:rsidRDefault="003D04CD">
      <w:pPr>
        <w:pStyle w:val="FootnoteText"/>
      </w:pPr>
      <w:r>
        <w:rPr>
          <w:rStyle w:val="FootnoteReference"/>
        </w:rPr>
        <w:footnoteRef/>
      </w:r>
      <w:r>
        <w:t xml:space="preserve"> </w:t>
      </w:r>
      <w:r w:rsidRPr="003D04CD">
        <w:t>All Level II beds are dually certified for Medicare and Medicaid and can be used interchangeably for long-term skilled nursing care or for short-term rehabilitation. The Applicant will maintain the flexibility to use the beds interchangeably for long-term and short-term care after project implementation. The Applicant is required to notify the Department’s Division of Health Care Facility Licensure and Certification of any reduction in its licensed bed count.</w:t>
      </w:r>
    </w:p>
  </w:footnote>
  <w:footnote w:id="9">
    <w:p w14:paraId="685AFAFA" w14:textId="77777777" w:rsidR="003D04CD" w:rsidRPr="003D04CD" w:rsidRDefault="003D04CD" w:rsidP="003D04CD">
      <w:pPr>
        <w:pStyle w:val="FootnoteText"/>
      </w:pPr>
      <w:r>
        <w:rPr>
          <w:rStyle w:val="FootnoteReference"/>
        </w:rPr>
        <w:footnoteRef/>
      </w:r>
      <w:r>
        <w:t xml:space="preserve"> </w:t>
      </w:r>
      <w:r w:rsidRPr="003D04CD">
        <w:t>Total joint arthroplasty (TJA) is a successful elective procedure performed for the treatment of refractory pain</w:t>
      </w:r>
    </w:p>
    <w:p w14:paraId="3E462483" w14:textId="055B3DA3" w:rsidR="003D04CD" w:rsidRDefault="003D04CD" w:rsidP="003D04CD">
      <w:pPr>
        <w:pStyle w:val="FootnoteText"/>
      </w:pPr>
      <w:r w:rsidRPr="003D04CD">
        <w:t>and functional limitation associated with end stage arthritis.</w:t>
      </w:r>
    </w:p>
  </w:footnote>
  <w:footnote w:id="10">
    <w:p w14:paraId="7C23946C" w14:textId="109E8171" w:rsidR="003D04CD" w:rsidRDefault="003D04CD">
      <w:pPr>
        <w:pStyle w:val="FootnoteText"/>
      </w:pPr>
      <w:r>
        <w:rPr>
          <w:rStyle w:val="FootnoteReference"/>
        </w:rPr>
        <w:footnoteRef/>
      </w:r>
      <w:r>
        <w:t xml:space="preserve"> </w:t>
      </w:r>
      <w:r w:rsidRPr="003D04CD">
        <w:t>Used the 2000 to 2014 US Nationwide Inpatient Sample (NIS) data in combination with Census Bureau data to produce projections for primary total hip arthroplasty (THA) and total knee arthroplasty (TKA) from 2020 to 2040.</w:t>
      </w:r>
    </w:p>
  </w:footnote>
  <w:footnote w:id="11">
    <w:p w14:paraId="39629027" w14:textId="4AB2B0FE" w:rsidR="00B45A5A" w:rsidRDefault="00B45A5A">
      <w:pPr>
        <w:pStyle w:val="FootnoteText"/>
      </w:pPr>
      <w:r>
        <w:rPr>
          <w:rStyle w:val="FootnoteReference"/>
        </w:rPr>
        <w:footnoteRef/>
      </w:r>
      <w:r>
        <w:t xml:space="preserve"> </w:t>
      </w:r>
      <w:r w:rsidR="00C84996" w:rsidRPr="00C84996">
        <w:t>Data last updated: April 24, 2024</w:t>
      </w:r>
      <w:r w:rsidR="00C84996">
        <w:t xml:space="preserve">. </w:t>
      </w:r>
      <w:r w:rsidR="00100586" w:rsidRPr="00100586">
        <w:t>The rating, between 1 to 5 stars, combines results and data from 3 important sources, including:</w:t>
      </w:r>
      <w:r w:rsidR="00100586">
        <w:t xml:space="preserve"> </w:t>
      </w:r>
      <w:r w:rsidR="00100586" w:rsidRPr="00100586">
        <w:t>Health inspections</w:t>
      </w:r>
      <w:r w:rsidR="00100586">
        <w:t xml:space="preserve">, </w:t>
      </w:r>
      <w:r w:rsidR="00100586" w:rsidRPr="00100586">
        <w:t>Staffing</w:t>
      </w:r>
      <w:r w:rsidR="00100586">
        <w:t xml:space="preserve">, and </w:t>
      </w:r>
      <w:r w:rsidR="00100586" w:rsidRPr="00100586">
        <w:t>Quality measures</w:t>
      </w:r>
      <w:r w:rsidR="00100586">
        <w:t xml:space="preserve">. </w:t>
      </w:r>
      <w:r w:rsidR="00100586" w:rsidRPr="00100586">
        <w:t>A star rating is calculated for each of these 3 sources, along with an overall rating.</w:t>
      </w:r>
    </w:p>
  </w:footnote>
  <w:footnote w:id="12">
    <w:p w14:paraId="73B7E14B" w14:textId="2EE37C92" w:rsidR="00F47B32" w:rsidRDefault="00F47B32">
      <w:pPr>
        <w:pStyle w:val="FootnoteText"/>
      </w:pPr>
      <w:r>
        <w:rPr>
          <w:rStyle w:val="FootnoteReference"/>
        </w:rPr>
        <w:footnoteRef/>
      </w:r>
      <w:r w:rsidR="00601953">
        <w:t xml:space="preserve"> </w:t>
      </w:r>
      <w:r w:rsidR="00601953" w:rsidRPr="00601953">
        <w:t>The Maximum Possible Score that a facility can achieve is 132 points. The tool includes information from the 3 most recent standard surveys and information from all complaint surveys performed after or within one year of the most recent standard survey. Five categories (Administration, Nursing, Resident Rights, Kitchen/Food Services, and Environment) are reported and there are 132 scored items (3 surveys x 44 requirements).</w:t>
      </w:r>
      <w:r>
        <w:t xml:space="preserve"> </w:t>
      </w:r>
      <w:r w:rsidRPr="00F47B32">
        <w:t>Th</w:t>
      </w:r>
      <w:r>
        <w:t xml:space="preserve">e </w:t>
      </w:r>
      <w:r w:rsidRPr="00F47B32">
        <w:t>nursing facility met 124 out of the 132 key requirements in</w:t>
      </w:r>
      <w:r>
        <w:t xml:space="preserve"> </w:t>
      </w:r>
      <w:r w:rsidRPr="00F47B32">
        <w:t>all five categories in its last three surveys. The number of deficiencies not met as a result of complaint investigations is: 0 . The facility's score is 124 after adjustment for scope and severity. 60% of all facilities had a score of 124 or lower. The statewide average facility score is 116.</w:t>
      </w:r>
    </w:p>
  </w:footnote>
  <w:footnote w:id="13">
    <w:p w14:paraId="26098509" w14:textId="4FAD33D4" w:rsidR="00047C59" w:rsidRDefault="00047C59">
      <w:pPr>
        <w:pStyle w:val="FootnoteText"/>
      </w:pPr>
      <w:r>
        <w:rPr>
          <w:rStyle w:val="FootnoteReference"/>
        </w:rPr>
        <w:footnoteRef/>
      </w:r>
      <w:r>
        <w:t xml:space="preserve"> </w:t>
      </w:r>
      <w:r w:rsidRPr="00047C59">
        <w:t>In addition to the 167 beds licensed by the Department, the CPA report also includes revenues and expenses for 14 fieldstone beds that are licensed under the Massachusetts Executive Office of Health and Human Services.</w:t>
      </w:r>
    </w:p>
  </w:footnote>
  <w:footnote w:id="14">
    <w:p w14:paraId="611D84B1" w14:textId="16BD9949" w:rsidR="00AF3263" w:rsidRPr="00AF3263" w:rsidRDefault="000F7589" w:rsidP="00AF3263">
      <w:pPr>
        <w:pStyle w:val="FootnoteText"/>
      </w:pPr>
      <w:r>
        <w:rPr>
          <w:rStyle w:val="FootnoteReference"/>
        </w:rPr>
        <w:footnoteRef/>
      </w:r>
      <w:r>
        <w:t xml:space="preserve"> </w:t>
      </w:r>
      <w:r w:rsidR="00AF3263">
        <w:t>T</w:t>
      </w:r>
      <w:r w:rsidR="00AF3263" w:rsidRPr="00AF3263">
        <w:t>hese are the Applicant’s internal metrics and may not match Medicare’s Value-Based Purchasing program values.</w:t>
      </w:r>
    </w:p>
    <w:p w14:paraId="7162B3B4" w14:textId="44785F4E" w:rsidR="000F7589" w:rsidRDefault="000F75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p w14:paraId="714A946A" w14:textId="77777777" w:rsidR="00561BB1" w:rsidRDefault="00561BB1"/>
  <w:p w14:paraId="2635D532" w14:textId="77777777" w:rsidR="00561BB1" w:rsidRDefault="00561BB1"/>
  <w:p w14:paraId="460A5D77" w14:textId="77777777" w:rsidR="00561BB1" w:rsidRDefault="00561B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7D3B5955" w:rsidR="00E54588" w:rsidRDefault="00E54588">
    <w:pPr>
      <w:pStyle w:val="Header"/>
    </w:pPr>
  </w:p>
  <w:p w14:paraId="3931F850" w14:textId="77777777" w:rsidR="00561BB1" w:rsidRDefault="00561BB1"/>
  <w:p w14:paraId="22D0712A" w14:textId="77777777" w:rsidR="00561BB1" w:rsidRDefault="00561BB1"/>
  <w:p w14:paraId="07082E23" w14:textId="77777777" w:rsidR="00561BB1" w:rsidRDefault="00561B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27066"/>
    <w:multiLevelType w:val="multilevel"/>
    <w:tmpl w:val="A042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744A8"/>
    <w:multiLevelType w:val="multilevel"/>
    <w:tmpl w:val="3B6ACC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E35FFF"/>
    <w:multiLevelType w:val="multilevel"/>
    <w:tmpl w:val="15943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417F2"/>
    <w:multiLevelType w:val="hybridMultilevel"/>
    <w:tmpl w:val="AAE0C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A784B"/>
    <w:multiLevelType w:val="multilevel"/>
    <w:tmpl w:val="2B025C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5C7705"/>
    <w:multiLevelType w:val="hybridMultilevel"/>
    <w:tmpl w:val="AC76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2325C"/>
    <w:multiLevelType w:val="multilevel"/>
    <w:tmpl w:val="57B2C9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6F51CE"/>
    <w:multiLevelType w:val="hybridMultilevel"/>
    <w:tmpl w:val="0C94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842AB"/>
    <w:multiLevelType w:val="multilevel"/>
    <w:tmpl w:val="CD18A4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57301D"/>
    <w:multiLevelType w:val="multilevel"/>
    <w:tmpl w:val="13EE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429F3"/>
    <w:multiLevelType w:val="hybridMultilevel"/>
    <w:tmpl w:val="378A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662B3"/>
    <w:multiLevelType w:val="hybridMultilevel"/>
    <w:tmpl w:val="07301588"/>
    <w:lvl w:ilvl="0" w:tplc="92986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41F89"/>
    <w:multiLevelType w:val="hybridMultilevel"/>
    <w:tmpl w:val="B39871E0"/>
    <w:lvl w:ilvl="0" w:tplc="1AB859A8">
      <w:start w:val="1"/>
      <w:numFmt w:val="decimal"/>
      <w:lvlText w:val="%1."/>
      <w:lvlJc w:val="left"/>
      <w:pPr>
        <w:ind w:left="1919" w:hanging="360"/>
      </w:pPr>
      <w:rPr>
        <w:rFonts w:ascii="Arial" w:eastAsia="Arial" w:hAnsi="Arial" w:cs="Arial" w:hint="default"/>
        <w:b w:val="0"/>
        <w:bCs w:val="0"/>
        <w:i w:val="0"/>
        <w:iCs w:val="0"/>
        <w:spacing w:val="-1"/>
        <w:w w:val="99"/>
        <w:sz w:val="20"/>
        <w:szCs w:val="20"/>
        <w:lang w:val="en-US" w:eastAsia="en-US" w:bidi="ar-SA"/>
      </w:rPr>
    </w:lvl>
    <w:lvl w:ilvl="1" w:tplc="66205A1A">
      <w:numFmt w:val="bullet"/>
      <w:lvlText w:val="•"/>
      <w:lvlJc w:val="left"/>
      <w:pPr>
        <w:ind w:left="2904" w:hanging="360"/>
      </w:pPr>
      <w:rPr>
        <w:rFonts w:hint="default"/>
        <w:lang w:val="en-US" w:eastAsia="en-US" w:bidi="ar-SA"/>
      </w:rPr>
    </w:lvl>
    <w:lvl w:ilvl="2" w:tplc="2D380F14">
      <w:numFmt w:val="bullet"/>
      <w:lvlText w:val="•"/>
      <w:lvlJc w:val="left"/>
      <w:pPr>
        <w:ind w:left="3888" w:hanging="360"/>
      </w:pPr>
      <w:rPr>
        <w:rFonts w:hint="default"/>
        <w:lang w:val="en-US" w:eastAsia="en-US" w:bidi="ar-SA"/>
      </w:rPr>
    </w:lvl>
    <w:lvl w:ilvl="3" w:tplc="F170EB92">
      <w:numFmt w:val="bullet"/>
      <w:lvlText w:val="•"/>
      <w:lvlJc w:val="left"/>
      <w:pPr>
        <w:ind w:left="4872" w:hanging="360"/>
      </w:pPr>
      <w:rPr>
        <w:rFonts w:hint="default"/>
        <w:lang w:val="en-US" w:eastAsia="en-US" w:bidi="ar-SA"/>
      </w:rPr>
    </w:lvl>
    <w:lvl w:ilvl="4" w:tplc="E73697F8">
      <w:numFmt w:val="bullet"/>
      <w:lvlText w:val="•"/>
      <w:lvlJc w:val="left"/>
      <w:pPr>
        <w:ind w:left="5856" w:hanging="360"/>
      </w:pPr>
      <w:rPr>
        <w:rFonts w:hint="default"/>
        <w:lang w:val="en-US" w:eastAsia="en-US" w:bidi="ar-SA"/>
      </w:rPr>
    </w:lvl>
    <w:lvl w:ilvl="5" w:tplc="92AAF80A">
      <w:numFmt w:val="bullet"/>
      <w:lvlText w:val="•"/>
      <w:lvlJc w:val="left"/>
      <w:pPr>
        <w:ind w:left="6840" w:hanging="360"/>
      </w:pPr>
      <w:rPr>
        <w:rFonts w:hint="default"/>
        <w:lang w:val="en-US" w:eastAsia="en-US" w:bidi="ar-SA"/>
      </w:rPr>
    </w:lvl>
    <w:lvl w:ilvl="6" w:tplc="18303BA2">
      <w:numFmt w:val="bullet"/>
      <w:lvlText w:val="•"/>
      <w:lvlJc w:val="left"/>
      <w:pPr>
        <w:ind w:left="7824" w:hanging="360"/>
      </w:pPr>
      <w:rPr>
        <w:rFonts w:hint="default"/>
        <w:lang w:val="en-US" w:eastAsia="en-US" w:bidi="ar-SA"/>
      </w:rPr>
    </w:lvl>
    <w:lvl w:ilvl="7" w:tplc="3858E1C2">
      <w:numFmt w:val="bullet"/>
      <w:lvlText w:val="•"/>
      <w:lvlJc w:val="left"/>
      <w:pPr>
        <w:ind w:left="8808" w:hanging="360"/>
      </w:pPr>
      <w:rPr>
        <w:rFonts w:hint="default"/>
        <w:lang w:val="en-US" w:eastAsia="en-US" w:bidi="ar-SA"/>
      </w:rPr>
    </w:lvl>
    <w:lvl w:ilvl="8" w:tplc="4AD6602C">
      <w:numFmt w:val="bullet"/>
      <w:lvlText w:val="•"/>
      <w:lvlJc w:val="left"/>
      <w:pPr>
        <w:ind w:left="9792" w:hanging="360"/>
      </w:pPr>
      <w:rPr>
        <w:rFonts w:hint="default"/>
        <w:lang w:val="en-US" w:eastAsia="en-US" w:bidi="ar-SA"/>
      </w:rPr>
    </w:lvl>
  </w:abstractNum>
  <w:abstractNum w:abstractNumId="13"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329E2"/>
    <w:multiLevelType w:val="hybridMultilevel"/>
    <w:tmpl w:val="0FFE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27CD4"/>
    <w:multiLevelType w:val="hybridMultilevel"/>
    <w:tmpl w:val="41F2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642AD"/>
    <w:multiLevelType w:val="multilevel"/>
    <w:tmpl w:val="4DB82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9299A"/>
    <w:multiLevelType w:val="hybridMultilevel"/>
    <w:tmpl w:val="604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E2FC4"/>
    <w:multiLevelType w:val="hybridMultilevel"/>
    <w:tmpl w:val="5898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04A89"/>
    <w:multiLevelType w:val="hybridMultilevel"/>
    <w:tmpl w:val="3A26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51282"/>
    <w:multiLevelType w:val="hybridMultilevel"/>
    <w:tmpl w:val="89B4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66EA5"/>
    <w:multiLevelType w:val="multilevel"/>
    <w:tmpl w:val="F858E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1A67D8"/>
    <w:multiLevelType w:val="multilevel"/>
    <w:tmpl w:val="206E8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9F0F54"/>
    <w:multiLevelType w:val="multilevel"/>
    <w:tmpl w:val="7E564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40B406A"/>
    <w:multiLevelType w:val="multilevel"/>
    <w:tmpl w:val="D18EEA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4C524AF"/>
    <w:multiLevelType w:val="hybridMultilevel"/>
    <w:tmpl w:val="7D3CD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A713B"/>
    <w:multiLevelType w:val="multilevel"/>
    <w:tmpl w:val="68062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FD45BD7"/>
    <w:multiLevelType w:val="hybridMultilevel"/>
    <w:tmpl w:val="C3B2FB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681E67"/>
    <w:multiLevelType w:val="multilevel"/>
    <w:tmpl w:val="FE9406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C0F1AA8"/>
    <w:multiLevelType w:val="hybridMultilevel"/>
    <w:tmpl w:val="81D8AC22"/>
    <w:lvl w:ilvl="0" w:tplc="2410D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5430683">
    <w:abstractNumId w:val="10"/>
  </w:num>
  <w:num w:numId="2" w16cid:durableId="234359890">
    <w:abstractNumId w:val="19"/>
  </w:num>
  <w:num w:numId="3" w16cid:durableId="724640947">
    <w:abstractNumId w:val="12"/>
  </w:num>
  <w:num w:numId="4" w16cid:durableId="513303126">
    <w:abstractNumId w:val="20"/>
  </w:num>
  <w:num w:numId="5" w16cid:durableId="461190725">
    <w:abstractNumId w:val="14"/>
  </w:num>
  <w:num w:numId="6" w16cid:durableId="835926465">
    <w:abstractNumId w:val="26"/>
  </w:num>
  <w:num w:numId="7" w16cid:durableId="801508037">
    <w:abstractNumId w:val="11"/>
  </w:num>
  <w:num w:numId="8" w16cid:durableId="1809933658">
    <w:abstractNumId w:val="13"/>
  </w:num>
  <w:num w:numId="9" w16cid:durableId="233048955">
    <w:abstractNumId w:val="5"/>
  </w:num>
  <w:num w:numId="10" w16cid:durableId="390739735">
    <w:abstractNumId w:val="15"/>
  </w:num>
  <w:num w:numId="11" w16cid:durableId="1853642165">
    <w:abstractNumId w:val="18"/>
  </w:num>
  <w:num w:numId="12" w16cid:durableId="674648407">
    <w:abstractNumId w:val="16"/>
  </w:num>
  <w:num w:numId="13" w16cid:durableId="1813015774">
    <w:abstractNumId w:val="21"/>
  </w:num>
  <w:num w:numId="14" w16cid:durableId="1673409913">
    <w:abstractNumId w:val="0"/>
  </w:num>
  <w:num w:numId="15" w16cid:durableId="1680279726">
    <w:abstractNumId w:val="17"/>
  </w:num>
  <w:num w:numId="16" w16cid:durableId="1164203066">
    <w:abstractNumId w:val="29"/>
  </w:num>
  <w:num w:numId="17" w16cid:durableId="1906144177">
    <w:abstractNumId w:val="27"/>
  </w:num>
  <w:num w:numId="18" w16cid:durableId="233047245">
    <w:abstractNumId w:val="22"/>
  </w:num>
  <w:num w:numId="19" w16cid:durableId="1137990593">
    <w:abstractNumId w:val="24"/>
  </w:num>
  <w:num w:numId="20" w16cid:durableId="103814624">
    <w:abstractNumId w:val="4"/>
  </w:num>
  <w:num w:numId="21" w16cid:durableId="823811183">
    <w:abstractNumId w:val="9"/>
  </w:num>
  <w:num w:numId="22" w16cid:durableId="1596792170">
    <w:abstractNumId w:val="23"/>
  </w:num>
  <w:num w:numId="23" w16cid:durableId="1788229649">
    <w:abstractNumId w:val="8"/>
  </w:num>
  <w:num w:numId="24" w16cid:durableId="597325869">
    <w:abstractNumId w:val="25"/>
  </w:num>
  <w:num w:numId="25" w16cid:durableId="2002657397">
    <w:abstractNumId w:val="2"/>
  </w:num>
  <w:num w:numId="26" w16cid:durableId="1545606133">
    <w:abstractNumId w:val="1"/>
  </w:num>
  <w:num w:numId="27" w16cid:durableId="2043744347">
    <w:abstractNumId w:val="6"/>
  </w:num>
  <w:num w:numId="28" w16cid:durableId="1921403672">
    <w:abstractNumId w:val="7"/>
  </w:num>
  <w:num w:numId="29" w16cid:durableId="545219719">
    <w:abstractNumId w:val="28"/>
  </w:num>
  <w:num w:numId="30" w16cid:durableId="1333878558">
    <w:abstractNumId w:val="3"/>
  </w:num>
  <w:num w:numId="31" w16cid:durableId="82058392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5D4"/>
    <w:rsid w:val="00000BE6"/>
    <w:rsid w:val="00000EBA"/>
    <w:rsid w:val="00001564"/>
    <w:rsid w:val="00001815"/>
    <w:rsid w:val="00002CD2"/>
    <w:rsid w:val="00003299"/>
    <w:rsid w:val="00003423"/>
    <w:rsid w:val="00004439"/>
    <w:rsid w:val="000060CB"/>
    <w:rsid w:val="0000711B"/>
    <w:rsid w:val="00007482"/>
    <w:rsid w:val="000111C9"/>
    <w:rsid w:val="00011511"/>
    <w:rsid w:val="00011744"/>
    <w:rsid w:val="00011775"/>
    <w:rsid w:val="00012022"/>
    <w:rsid w:val="0001206F"/>
    <w:rsid w:val="00013251"/>
    <w:rsid w:val="000133ED"/>
    <w:rsid w:val="00013507"/>
    <w:rsid w:val="00014053"/>
    <w:rsid w:val="000148AA"/>
    <w:rsid w:val="00014C98"/>
    <w:rsid w:val="0001556D"/>
    <w:rsid w:val="00015AD7"/>
    <w:rsid w:val="00016D36"/>
    <w:rsid w:val="00017697"/>
    <w:rsid w:val="00017D87"/>
    <w:rsid w:val="000201AF"/>
    <w:rsid w:val="00020688"/>
    <w:rsid w:val="00020D91"/>
    <w:rsid w:val="00020EE5"/>
    <w:rsid w:val="00021538"/>
    <w:rsid w:val="000225A0"/>
    <w:rsid w:val="00022628"/>
    <w:rsid w:val="00022E70"/>
    <w:rsid w:val="000230AA"/>
    <w:rsid w:val="00024390"/>
    <w:rsid w:val="000244B9"/>
    <w:rsid w:val="00024B39"/>
    <w:rsid w:val="00024FA3"/>
    <w:rsid w:val="00025EBC"/>
    <w:rsid w:val="0002634C"/>
    <w:rsid w:val="0002683C"/>
    <w:rsid w:val="00026A2F"/>
    <w:rsid w:val="00031314"/>
    <w:rsid w:val="00031B37"/>
    <w:rsid w:val="0003231C"/>
    <w:rsid w:val="0003236F"/>
    <w:rsid w:val="00032D98"/>
    <w:rsid w:val="0003348F"/>
    <w:rsid w:val="00033544"/>
    <w:rsid w:val="00033A5C"/>
    <w:rsid w:val="00033B78"/>
    <w:rsid w:val="00035015"/>
    <w:rsid w:val="000359AD"/>
    <w:rsid w:val="00036774"/>
    <w:rsid w:val="0003726F"/>
    <w:rsid w:val="00040284"/>
    <w:rsid w:val="00040BA1"/>
    <w:rsid w:val="000413D2"/>
    <w:rsid w:val="00041E91"/>
    <w:rsid w:val="00042863"/>
    <w:rsid w:val="000435DC"/>
    <w:rsid w:val="000437AE"/>
    <w:rsid w:val="00043D67"/>
    <w:rsid w:val="00044442"/>
    <w:rsid w:val="000444EC"/>
    <w:rsid w:val="000458A3"/>
    <w:rsid w:val="000461AA"/>
    <w:rsid w:val="00046219"/>
    <w:rsid w:val="00046530"/>
    <w:rsid w:val="000472FF"/>
    <w:rsid w:val="00047C59"/>
    <w:rsid w:val="00050F22"/>
    <w:rsid w:val="00050F90"/>
    <w:rsid w:val="000517D0"/>
    <w:rsid w:val="00051C7D"/>
    <w:rsid w:val="00052EA8"/>
    <w:rsid w:val="00053B7B"/>
    <w:rsid w:val="000545AE"/>
    <w:rsid w:val="00055649"/>
    <w:rsid w:val="00056189"/>
    <w:rsid w:val="00056976"/>
    <w:rsid w:val="00056F00"/>
    <w:rsid w:val="00057751"/>
    <w:rsid w:val="00060ABB"/>
    <w:rsid w:val="00060C7E"/>
    <w:rsid w:val="00060D97"/>
    <w:rsid w:val="00061F58"/>
    <w:rsid w:val="0006368F"/>
    <w:rsid w:val="00063F0A"/>
    <w:rsid w:val="000641F9"/>
    <w:rsid w:val="00065786"/>
    <w:rsid w:val="000657BA"/>
    <w:rsid w:val="00066A91"/>
    <w:rsid w:val="00066B6D"/>
    <w:rsid w:val="000672B7"/>
    <w:rsid w:val="000673D1"/>
    <w:rsid w:val="000675C5"/>
    <w:rsid w:val="000675EC"/>
    <w:rsid w:val="00067F7F"/>
    <w:rsid w:val="000705DF"/>
    <w:rsid w:val="000718D3"/>
    <w:rsid w:val="00071BA0"/>
    <w:rsid w:val="000722F8"/>
    <w:rsid w:val="00072550"/>
    <w:rsid w:val="0007311E"/>
    <w:rsid w:val="00073448"/>
    <w:rsid w:val="00074101"/>
    <w:rsid w:val="0007450C"/>
    <w:rsid w:val="00075E2F"/>
    <w:rsid w:val="0007677E"/>
    <w:rsid w:val="00077D80"/>
    <w:rsid w:val="00077DD8"/>
    <w:rsid w:val="00077FE6"/>
    <w:rsid w:val="00080819"/>
    <w:rsid w:val="00081DD3"/>
    <w:rsid w:val="0008222E"/>
    <w:rsid w:val="0008231B"/>
    <w:rsid w:val="00082B47"/>
    <w:rsid w:val="00082DDC"/>
    <w:rsid w:val="000831AB"/>
    <w:rsid w:val="0008335D"/>
    <w:rsid w:val="00083706"/>
    <w:rsid w:val="0008370E"/>
    <w:rsid w:val="00083B0B"/>
    <w:rsid w:val="00084942"/>
    <w:rsid w:val="00085277"/>
    <w:rsid w:val="000860D8"/>
    <w:rsid w:val="0008729D"/>
    <w:rsid w:val="00087EFA"/>
    <w:rsid w:val="0009069D"/>
    <w:rsid w:val="00090817"/>
    <w:rsid w:val="00090C49"/>
    <w:rsid w:val="00091004"/>
    <w:rsid w:val="000910A7"/>
    <w:rsid w:val="00091302"/>
    <w:rsid w:val="000930F1"/>
    <w:rsid w:val="00094DB4"/>
    <w:rsid w:val="00094DBE"/>
    <w:rsid w:val="00095307"/>
    <w:rsid w:val="000954E5"/>
    <w:rsid w:val="00095920"/>
    <w:rsid w:val="00095B48"/>
    <w:rsid w:val="0009684C"/>
    <w:rsid w:val="000969A6"/>
    <w:rsid w:val="00097186"/>
    <w:rsid w:val="000971D6"/>
    <w:rsid w:val="00097620"/>
    <w:rsid w:val="0009799B"/>
    <w:rsid w:val="000979DB"/>
    <w:rsid w:val="000A10D0"/>
    <w:rsid w:val="000A111D"/>
    <w:rsid w:val="000A14B8"/>
    <w:rsid w:val="000A1594"/>
    <w:rsid w:val="000A1875"/>
    <w:rsid w:val="000A2040"/>
    <w:rsid w:val="000A2D1B"/>
    <w:rsid w:val="000A3081"/>
    <w:rsid w:val="000A3DFD"/>
    <w:rsid w:val="000A41A1"/>
    <w:rsid w:val="000A56CE"/>
    <w:rsid w:val="000A59B7"/>
    <w:rsid w:val="000A6D20"/>
    <w:rsid w:val="000A70AC"/>
    <w:rsid w:val="000A74E3"/>
    <w:rsid w:val="000A7F78"/>
    <w:rsid w:val="000B0443"/>
    <w:rsid w:val="000B15ED"/>
    <w:rsid w:val="000B3556"/>
    <w:rsid w:val="000B3D6A"/>
    <w:rsid w:val="000B42F3"/>
    <w:rsid w:val="000B460A"/>
    <w:rsid w:val="000B4F8B"/>
    <w:rsid w:val="000B5405"/>
    <w:rsid w:val="000B5465"/>
    <w:rsid w:val="000B5D2A"/>
    <w:rsid w:val="000B6A59"/>
    <w:rsid w:val="000C0092"/>
    <w:rsid w:val="000C0EE8"/>
    <w:rsid w:val="000C0FAD"/>
    <w:rsid w:val="000C384C"/>
    <w:rsid w:val="000C3AAA"/>
    <w:rsid w:val="000C4064"/>
    <w:rsid w:val="000C5E8C"/>
    <w:rsid w:val="000C683A"/>
    <w:rsid w:val="000C6E88"/>
    <w:rsid w:val="000D05C2"/>
    <w:rsid w:val="000D1B82"/>
    <w:rsid w:val="000D2EF4"/>
    <w:rsid w:val="000D3845"/>
    <w:rsid w:val="000D4AD2"/>
    <w:rsid w:val="000D570A"/>
    <w:rsid w:val="000D578B"/>
    <w:rsid w:val="000D5C97"/>
    <w:rsid w:val="000D5E2F"/>
    <w:rsid w:val="000D7682"/>
    <w:rsid w:val="000D77F4"/>
    <w:rsid w:val="000D7BD9"/>
    <w:rsid w:val="000D7E1C"/>
    <w:rsid w:val="000D7E84"/>
    <w:rsid w:val="000E10F4"/>
    <w:rsid w:val="000E1A42"/>
    <w:rsid w:val="000E205D"/>
    <w:rsid w:val="000E25CF"/>
    <w:rsid w:val="000E3113"/>
    <w:rsid w:val="000E3B92"/>
    <w:rsid w:val="000E3E53"/>
    <w:rsid w:val="000E5EE1"/>
    <w:rsid w:val="000E621F"/>
    <w:rsid w:val="000E64ED"/>
    <w:rsid w:val="000E6B35"/>
    <w:rsid w:val="000E6FB3"/>
    <w:rsid w:val="000E7BA9"/>
    <w:rsid w:val="000F1587"/>
    <w:rsid w:val="000F1FBE"/>
    <w:rsid w:val="000F2A52"/>
    <w:rsid w:val="000F4026"/>
    <w:rsid w:val="000F6E8E"/>
    <w:rsid w:val="000F7589"/>
    <w:rsid w:val="000F7AC6"/>
    <w:rsid w:val="0010041A"/>
    <w:rsid w:val="00100534"/>
    <w:rsid w:val="00100586"/>
    <w:rsid w:val="0010116B"/>
    <w:rsid w:val="00101527"/>
    <w:rsid w:val="001015E0"/>
    <w:rsid w:val="00102755"/>
    <w:rsid w:val="00103239"/>
    <w:rsid w:val="00103999"/>
    <w:rsid w:val="00104C48"/>
    <w:rsid w:val="001054AB"/>
    <w:rsid w:val="00106BE6"/>
    <w:rsid w:val="00106E13"/>
    <w:rsid w:val="00107D2E"/>
    <w:rsid w:val="00110125"/>
    <w:rsid w:val="0011022F"/>
    <w:rsid w:val="00110D88"/>
    <w:rsid w:val="001115A6"/>
    <w:rsid w:val="00111AD5"/>
    <w:rsid w:val="00112011"/>
    <w:rsid w:val="00112D27"/>
    <w:rsid w:val="001131F6"/>
    <w:rsid w:val="0011545B"/>
    <w:rsid w:val="00115EDD"/>
    <w:rsid w:val="00115EE2"/>
    <w:rsid w:val="001169EF"/>
    <w:rsid w:val="00116FAB"/>
    <w:rsid w:val="001177D3"/>
    <w:rsid w:val="00117E42"/>
    <w:rsid w:val="00117E82"/>
    <w:rsid w:val="0012245E"/>
    <w:rsid w:val="001226EE"/>
    <w:rsid w:val="00122858"/>
    <w:rsid w:val="00123319"/>
    <w:rsid w:val="0012391F"/>
    <w:rsid w:val="0012403F"/>
    <w:rsid w:val="0012465C"/>
    <w:rsid w:val="00125A29"/>
    <w:rsid w:val="00125C8A"/>
    <w:rsid w:val="00125E89"/>
    <w:rsid w:val="00126BB7"/>
    <w:rsid w:val="00126DAB"/>
    <w:rsid w:val="00127518"/>
    <w:rsid w:val="001278A1"/>
    <w:rsid w:val="00127B06"/>
    <w:rsid w:val="00127ED5"/>
    <w:rsid w:val="00131E45"/>
    <w:rsid w:val="00131EE6"/>
    <w:rsid w:val="00132247"/>
    <w:rsid w:val="001322D5"/>
    <w:rsid w:val="00132866"/>
    <w:rsid w:val="001329C3"/>
    <w:rsid w:val="00133407"/>
    <w:rsid w:val="0013510E"/>
    <w:rsid w:val="001355B1"/>
    <w:rsid w:val="001371FE"/>
    <w:rsid w:val="001410CE"/>
    <w:rsid w:val="00141333"/>
    <w:rsid w:val="00142167"/>
    <w:rsid w:val="00142902"/>
    <w:rsid w:val="00142AEC"/>
    <w:rsid w:val="00143408"/>
    <w:rsid w:val="00143A43"/>
    <w:rsid w:val="00143E9A"/>
    <w:rsid w:val="0014400A"/>
    <w:rsid w:val="001441EC"/>
    <w:rsid w:val="001447E7"/>
    <w:rsid w:val="001450E1"/>
    <w:rsid w:val="001456AF"/>
    <w:rsid w:val="00145CB1"/>
    <w:rsid w:val="00145D22"/>
    <w:rsid w:val="00145D96"/>
    <w:rsid w:val="00145FC8"/>
    <w:rsid w:val="00145FF0"/>
    <w:rsid w:val="00147D35"/>
    <w:rsid w:val="00150E51"/>
    <w:rsid w:val="0015165E"/>
    <w:rsid w:val="00152349"/>
    <w:rsid w:val="001526D5"/>
    <w:rsid w:val="00152791"/>
    <w:rsid w:val="00152B19"/>
    <w:rsid w:val="00153307"/>
    <w:rsid w:val="001537E0"/>
    <w:rsid w:val="001541F7"/>
    <w:rsid w:val="00154953"/>
    <w:rsid w:val="00155279"/>
    <w:rsid w:val="001558A9"/>
    <w:rsid w:val="001559E8"/>
    <w:rsid w:val="00155C9A"/>
    <w:rsid w:val="00155D09"/>
    <w:rsid w:val="00155FE9"/>
    <w:rsid w:val="001560B7"/>
    <w:rsid w:val="001569F9"/>
    <w:rsid w:val="00157C45"/>
    <w:rsid w:val="00160086"/>
    <w:rsid w:val="00160195"/>
    <w:rsid w:val="0016055C"/>
    <w:rsid w:val="001618D0"/>
    <w:rsid w:val="00161EAB"/>
    <w:rsid w:val="00162A84"/>
    <w:rsid w:val="00163C55"/>
    <w:rsid w:val="00163C86"/>
    <w:rsid w:val="0016499B"/>
    <w:rsid w:val="00164C8A"/>
    <w:rsid w:val="001655AD"/>
    <w:rsid w:val="00165F50"/>
    <w:rsid w:val="00166081"/>
    <w:rsid w:val="001660F7"/>
    <w:rsid w:val="00166CFF"/>
    <w:rsid w:val="00167A2F"/>
    <w:rsid w:val="00170EFB"/>
    <w:rsid w:val="00171032"/>
    <w:rsid w:val="00171671"/>
    <w:rsid w:val="00171755"/>
    <w:rsid w:val="00172552"/>
    <w:rsid w:val="00174FA5"/>
    <w:rsid w:val="001750B6"/>
    <w:rsid w:val="00175B36"/>
    <w:rsid w:val="00175FE4"/>
    <w:rsid w:val="001764E2"/>
    <w:rsid w:val="00177076"/>
    <w:rsid w:val="00177FC1"/>
    <w:rsid w:val="00180107"/>
    <w:rsid w:val="0018117F"/>
    <w:rsid w:val="0018195C"/>
    <w:rsid w:val="00182973"/>
    <w:rsid w:val="00182DDB"/>
    <w:rsid w:val="00184F38"/>
    <w:rsid w:val="001857C3"/>
    <w:rsid w:val="00185C2D"/>
    <w:rsid w:val="00186D81"/>
    <w:rsid w:val="00186DF1"/>
    <w:rsid w:val="00187B0F"/>
    <w:rsid w:val="00187B1C"/>
    <w:rsid w:val="001903CF"/>
    <w:rsid w:val="00190B34"/>
    <w:rsid w:val="00191E94"/>
    <w:rsid w:val="00192095"/>
    <w:rsid w:val="001923DD"/>
    <w:rsid w:val="00192CDA"/>
    <w:rsid w:val="00193878"/>
    <w:rsid w:val="00196447"/>
    <w:rsid w:val="001964A3"/>
    <w:rsid w:val="0019687C"/>
    <w:rsid w:val="0019693B"/>
    <w:rsid w:val="0019757E"/>
    <w:rsid w:val="00197D67"/>
    <w:rsid w:val="001A05F5"/>
    <w:rsid w:val="001A1C6E"/>
    <w:rsid w:val="001A27B1"/>
    <w:rsid w:val="001A3434"/>
    <w:rsid w:val="001A3DE0"/>
    <w:rsid w:val="001A4BFB"/>
    <w:rsid w:val="001A5080"/>
    <w:rsid w:val="001A54C9"/>
    <w:rsid w:val="001A5D31"/>
    <w:rsid w:val="001A79DA"/>
    <w:rsid w:val="001A7C8D"/>
    <w:rsid w:val="001B021B"/>
    <w:rsid w:val="001B09B2"/>
    <w:rsid w:val="001B2879"/>
    <w:rsid w:val="001B2AA1"/>
    <w:rsid w:val="001B3A0E"/>
    <w:rsid w:val="001B3B97"/>
    <w:rsid w:val="001B5919"/>
    <w:rsid w:val="001B5E44"/>
    <w:rsid w:val="001B60D3"/>
    <w:rsid w:val="001B611E"/>
    <w:rsid w:val="001B6448"/>
    <w:rsid w:val="001B698F"/>
    <w:rsid w:val="001B6F05"/>
    <w:rsid w:val="001B72C7"/>
    <w:rsid w:val="001B776F"/>
    <w:rsid w:val="001C0146"/>
    <w:rsid w:val="001C0B5C"/>
    <w:rsid w:val="001C0CB1"/>
    <w:rsid w:val="001C1A36"/>
    <w:rsid w:val="001C2A61"/>
    <w:rsid w:val="001C388E"/>
    <w:rsid w:val="001C464B"/>
    <w:rsid w:val="001C4691"/>
    <w:rsid w:val="001C527E"/>
    <w:rsid w:val="001C5891"/>
    <w:rsid w:val="001C5D6E"/>
    <w:rsid w:val="001C65DC"/>
    <w:rsid w:val="001C68DC"/>
    <w:rsid w:val="001C6C8B"/>
    <w:rsid w:val="001C7B0C"/>
    <w:rsid w:val="001D0540"/>
    <w:rsid w:val="001D0841"/>
    <w:rsid w:val="001D1BCC"/>
    <w:rsid w:val="001D1E8E"/>
    <w:rsid w:val="001D26BE"/>
    <w:rsid w:val="001D2FD2"/>
    <w:rsid w:val="001D3374"/>
    <w:rsid w:val="001D364F"/>
    <w:rsid w:val="001D52C3"/>
    <w:rsid w:val="001D5363"/>
    <w:rsid w:val="001D5617"/>
    <w:rsid w:val="001D60CA"/>
    <w:rsid w:val="001D6CC0"/>
    <w:rsid w:val="001D7995"/>
    <w:rsid w:val="001D7F80"/>
    <w:rsid w:val="001E075C"/>
    <w:rsid w:val="001E128D"/>
    <w:rsid w:val="001E1746"/>
    <w:rsid w:val="001E198B"/>
    <w:rsid w:val="001E2E85"/>
    <w:rsid w:val="001E32FA"/>
    <w:rsid w:val="001E3A28"/>
    <w:rsid w:val="001E4DC3"/>
    <w:rsid w:val="001E4FA4"/>
    <w:rsid w:val="001E6175"/>
    <w:rsid w:val="001E6432"/>
    <w:rsid w:val="001E6930"/>
    <w:rsid w:val="001E7899"/>
    <w:rsid w:val="001E7E18"/>
    <w:rsid w:val="001F0A13"/>
    <w:rsid w:val="001F0EE7"/>
    <w:rsid w:val="001F2F7D"/>
    <w:rsid w:val="001F3050"/>
    <w:rsid w:val="001F353C"/>
    <w:rsid w:val="001F3687"/>
    <w:rsid w:val="001F36E2"/>
    <w:rsid w:val="001F3BC0"/>
    <w:rsid w:val="001F4CFD"/>
    <w:rsid w:val="001F4EB1"/>
    <w:rsid w:val="001F5817"/>
    <w:rsid w:val="001F6D5D"/>
    <w:rsid w:val="001F7707"/>
    <w:rsid w:val="001F780F"/>
    <w:rsid w:val="002008BB"/>
    <w:rsid w:val="0020120C"/>
    <w:rsid w:val="00201647"/>
    <w:rsid w:val="00202585"/>
    <w:rsid w:val="00202AB7"/>
    <w:rsid w:val="00202F9E"/>
    <w:rsid w:val="002034BC"/>
    <w:rsid w:val="00203868"/>
    <w:rsid w:val="00205AF7"/>
    <w:rsid w:val="00205F07"/>
    <w:rsid w:val="002062F0"/>
    <w:rsid w:val="0021021D"/>
    <w:rsid w:val="00210333"/>
    <w:rsid w:val="00210581"/>
    <w:rsid w:val="00210C9D"/>
    <w:rsid w:val="002113D0"/>
    <w:rsid w:val="002115C6"/>
    <w:rsid w:val="00211C59"/>
    <w:rsid w:val="00211E68"/>
    <w:rsid w:val="0021203A"/>
    <w:rsid w:val="00212CC4"/>
    <w:rsid w:val="00212E62"/>
    <w:rsid w:val="00213B69"/>
    <w:rsid w:val="00213CD0"/>
    <w:rsid w:val="00214549"/>
    <w:rsid w:val="002147A4"/>
    <w:rsid w:val="002147D9"/>
    <w:rsid w:val="0021544F"/>
    <w:rsid w:val="002156ED"/>
    <w:rsid w:val="00215878"/>
    <w:rsid w:val="00215F86"/>
    <w:rsid w:val="0021636E"/>
    <w:rsid w:val="002164EA"/>
    <w:rsid w:val="00216D41"/>
    <w:rsid w:val="0021740C"/>
    <w:rsid w:val="002176DF"/>
    <w:rsid w:val="00217C72"/>
    <w:rsid w:val="00220993"/>
    <w:rsid w:val="00220A2B"/>
    <w:rsid w:val="00221231"/>
    <w:rsid w:val="00221331"/>
    <w:rsid w:val="00221A80"/>
    <w:rsid w:val="002228B2"/>
    <w:rsid w:val="00223A42"/>
    <w:rsid w:val="00224E05"/>
    <w:rsid w:val="0022679E"/>
    <w:rsid w:val="00226C17"/>
    <w:rsid w:val="00227540"/>
    <w:rsid w:val="00227936"/>
    <w:rsid w:val="00230B0E"/>
    <w:rsid w:val="00230E7C"/>
    <w:rsid w:val="00230F06"/>
    <w:rsid w:val="00231202"/>
    <w:rsid w:val="002313B5"/>
    <w:rsid w:val="002319D6"/>
    <w:rsid w:val="00231B44"/>
    <w:rsid w:val="00231D84"/>
    <w:rsid w:val="00232313"/>
    <w:rsid w:val="00234800"/>
    <w:rsid w:val="00235009"/>
    <w:rsid w:val="00235196"/>
    <w:rsid w:val="00235724"/>
    <w:rsid w:val="00235903"/>
    <w:rsid w:val="00235F91"/>
    <w:rsid w:val="0023607C"/>
    <w:rsid w:val="00236081"/>
    <w:rsid w:val="002363E3"/>
    <w:rsid w:val="0023644A"/>
    <w:rsid w:val="00237372"/>
    <w:rsid w:val="00237706"/>
    <w:rsid w:val="00237CFE"/>
    <w:rsid w:val="0024083D"/>
    <w:rsid w:val="0024156A"/>
    <w:rsid w:val="002415B5"/>
    <w:rsid w:val="00241F64"/>
    <w:rsid w:val="00242904"/>
    <w:rsid w:val="002443C0"/>
    <w:rsid w:val="002449C0"/>
    <w:rsid w:val="00244D1F"/>
    <w:rsid w:val="00246153"/>
    <w:rsid w:val="0024684B"/>
    <w:rsid w:val="002475F4"/>
    <w:rsid w:val="00250CCF"/>
    <w:rsid w:val="00250E19"/>
    <w:rsid w:val="00251035"/>
    <w:rsid w:val="0025164F"/>
    <w:rsid w:val="00251759"/>
    <w:rsid w:val="00251AFB"/>
    <w:rsid w:val="00251FB9"/>
    <w:rsid w:val="00252C3D"/>
    <w:rsid w:val="0025342C"/>
    <w:rsid w:val="002535C0"/>
    <w:rsid w:val="002538EB"/>
    <w:rsid w:val="00254B33"/>
    <w:rsid w:val="00254EEC"/>
    <w:rsid w:val="00255562"/>
    <w:rsid w:val="002559B2"/>
    <w:rsid w:val="002567FF"/>
    <w:rsid w:val="002569F9"/>
    <w:rsid w:val="00257CA0"/>
    <w:rsid w:val="002603A6"/>
    <w:rsid w:val="0026181F"/>
    <w:rsid w:val="00261DB0"/>
    <w:rsid w:val="00262891"/>
    <w:rsid w:val="00262CA3"/>
    <w:rsid w:val="002630DB"/>
    <w:rsid w:val="00263331"/>
    <w:rsid w:val="00263386"/>
    <w:rsid w:val="0026392A"/>
    <w:rsid w:val="00263D80"/>
    <w:rsid w:val="00265ABF"/>
    <w:rsid w:val="00265BEB"/>
    <w:rsid w:val="00265BF5"/>
    <w:rsid w:val="00265C4A"/>
    <w:rsid w:val="002665B7"/>
    <w:rsid w:val="0026663E"/>
    <w:rsid w:val="00266A34"/>
    <w:rsid w:val="00266B02"/>
    <w:rsid w:val="00266B1E"/>
    <w:rsid w:val="00267BCF"/>
    <w:rsid w:val="00267F9A"/>
    <w:rsid w:val="0027131B"/>
    <w:rsid w:val="002717BE"/>
    <w:rsid w:val="00271851"/>
    <w:rsid w:val="00271DC6"/>
    <w:rsid w:val="00272095"/>
    <w:rsid w:val="00272A74"/>
    <w:rsid w:val="00272C6B"/>
    <w:rsid w:val="00272D3B"/>
    <w:rsid w:val="00272E66"/>
    <w:rsid w:val="00272ED6"/>
    <w:rsid w:val="0027320E"/>
    <w:rsid w:val="002732B5"/>
    <w:rsid w:val="00273CBA"/>
    <w:rsid w:val="002743D9"/>
    <w:rsid w:val="00274F7C"/>
    <w:rsid w:val="00275BAD"/>
    <w:rsid w:val="00275ED3"/>
    <w:rsid w:val="002760B1"/>
    <w:rsid w:val="00276187"/>
    <w:rsid w:val="00276365"/>
    <w:rsid w:val="00276A85"/>
    <w:rsid w:val="002776D8"/>
    <w:rsid w:val="00280620"/>
    <w:rsid w:val="00280C84"/>
    <w:rsid w:val="00281373"/>
    <w:rsid w:val="002814BB"/>
    <w:rsid w:val="0028282F"/>
    <w:rsid w:val="0028289A"/>
    <w:rsid w:val="00284312"/>
    <w:rsid w:val="00284E90"/>
    <w:rsid w:val="002859F8"/>
    <w:rsid w:val="0028622B"/>
    <w:rsid w:val="0028627B"/>
    <w:rsid w:val="002868FE"/>
    <w:rsid w:val="002875B7"/>
    <w:rsid w:val="00287F68"/>
    <w:rsid w:val="0029006D"/>
    <w:rsid w:val="00290279"/>
    <w:rsid w:val="0029089C"/>
    <w:rsid w:val="00291D6D"/>
    <w:rsid w:val="00291DAA"/>
    <w:rsid w:val="00292037"/>
    <w:rsid w:val="0029319C"/>
    <w:rsid w:val="00293387"/>
    <w:rsid w:val="00293753"/>
    <w:rsid w:val="0029423B"/>
    <w:rsid w:val="00294268"/>
    <w:rsid w:val="00294E4E"/>
    <w:rsid w:val="00295399"/>
    <w:rsid w:val="00295F6D"/>
    <w:rsid w:val="00295FDB"/>
    <w:rsid w:val="00296CBB"/>
    <w:rsid w:val="00296D38"/>
    <w:rsid w:val="002976C1"/>
    <w:rsid w:val="00297C7E"/>
    <w:rsid w:val="002A034A"/>
    <w:rsid w:val="002A0709"/>
    <w:rsid w:val="002A0F79"/>
    <w:rsid w:val="002A1C1D"/>
    <w:rsid w:val="002A2B2F"/>
    <w:rsid w:val="002A2ECF"/>
    <w:rsid w:val="002A2F83"/>
    <w:rsid w:val="002A395B"/>
    <w:rsid w:val="002A453D"/>
    <w:rsid w:val="002A4553"/>
    <w:rsid w:val="002A4713"/>
    <w:rsid w:val="002A4D77"/>
    <w:rsid w:val="002A4EA9"/>
    <w:rsid w:val="002A59FC"/>
    <w:rsid w:val="002A5CA8"/>
    <w:rsid w:val="002A602D"/>
    <w:rsid w:val="002A644F"/>
    <w:rsid w:val="002A647D"/>
    <w:rsid w:val="002A6DFB"/>
    <w:rsid w:val="002A7499"/>
    <w:rsid w:val="002A765F"/>
    <w:rsid w:val="002B0088"/>
    <w:rsid w:val="002B0424"/>
    <w:rsid w:val="002B0B2F"/>
    <w:rsid w:val="002B0CBF"/>
    <w:rsid w:val="002B111D"/>
    <w:rsid w:val="002B12DF"/>
    <w:rsid w:val="002B2C26"/>
    <w:rsid w:val="002B2C4D"/>
    <w:rsid w:val="002B320E"/>
    <w:rsid w:val="002B331B"/>
    <w:rsid w:val="002B3A3D"/>
    <w:rsid w:val="002B4655"/>
    <w:rsid w:val="002B4D90"/>
    <w:rsid w:val="002B557F"/>
    <w:rsid w:val="002B5695"/>
    <w:rsid w:val="002B5CB8"/>
    <w:rsid w:val="002B5E41"/>
    <w:rsid w:val="002B7032"/>
    <w:rsid w:val="002B71B7"/>
    <w:rsid w:val="002B7448"/>
    <w:rsid w:val="002C02B3"/>
    <w:rsid w:val="002C0446"/>
    <w:rsid w:val="002C16FE"/>
    <w:rsid w:val="002C21C2"/>
    <w:rsid w:val="002C36E7"/>
    <w:rsid w:val="002C3D4F"/>
    <w:rsid w:val="002C4DF3"/>
    <w:rsid w:val="002C52D4"/>
    <w:rsid w:val="002C5A48"/>
    <w:rsid w:val="002C5C6A"/>
    <w:rsid w:val="002C5EB9"/>
    <w:rsid w:val="002C7D41"/>
    <w:rsid w:val="002C7DA0"/>
    <w:rsid w:val="002D0B6A"/>
    <w:rsid w:val="002D0F7F"/>
    <w:rsid w:val="002D1307"/>
    <w:rsid w:val="002D14DD"/>
    <w:rsid w:val="002D1958"/>
    <w:rsid w:val="002D2637"/>
    <w:rsid w:val="002D3644"/>
    <w:rsid w:val="002D4546"/>
    <w:rsid w:val="002D5BB8"/>
    <w:rsid w:val="002D5C02"/>
    <w:rsid w:val="002D618A"/>
    <w:rsid w:val="002D694C"/>
    <w:rsid w:val="002E12B1"/>
    <w:rsid w:val="002E2458"/>
    <w:rsid w:val="002E2470"/>
    <w:rsid w:val="002E2B52"/>
    <w:rsid w:val="002E2F0E"/>
    <w:rsid w:val="002E2F5D"/>
    <w:rsid w:val="002E3806"/>
    <w:rsid w:val="002E3B41"/>
    <w:rsid w:val="002E52F7"/>
    <w:rsid w:val="002E58B2"/>
    <w:rsid w:val="002E629C"/>
    <w:rsid w:val="002E76B1"/>
    <w:rsid w:val="002E7AB2"/>
    <w:rsid w:val="002F019A"/>
    <w:rsid w:val="002F0A1F"/>
    <w:rsid w:val="002F0B2D"/>
    <w:rsid w:val="002F0C9C"/>
    <w:rsid w:val="002F16A5"/>
    <w:rsid w:val="002F1F7D"/>
    <w:rsid w:val="002F20DB"/>
    <w:rsid w:val="002F2344"/>
    <w:rsid w:val="002F238C"/>
    <w:rsid w:val="002F2AA2"/>
    <w:rsid w:val="002F2CF2"/>
    <w:rsid w:val="002F38E2"/>
    <w:rsid w:val="002F46E2"/>
    <w:rsid w:val="002F4902"/>
    <w:rsid w:val="002F6A17"/>
    <w:rsid w:val="002F7410"/>
    <w:rsid w:val="002F7B0B"/>
    <w:rsid w:val="003001B6"/>
    <w:rsid w:val="00301204"/>
    <w:rsid w:val="00301709"/>
    <w:rsid w:val="00302951"/>
    <w:rsid w:val="00303C0E"/>
    <w:rsid w:val="003040BF"/>
    <w:rsid w:val="00304AA4"/>
    <w:rsid w:val="00304CF3"/>
    <w:rsid w:val="003050FB"/>
    <w:rsid w:val="00305BB0"/>
    <w:rsid w:val="00305D15"/>
    <w:rsid w:val="00305F02"/>
    <w:rsid w:val="00306E75"/>
    <w:rsid w:val="00307209"/>
    <w:rsid w:val="003119B2"/>
    <w:rsid w:val="0031228F"/>
    <w:rsid w:val="00313272"/>
    <w:rsid w:val="00313569"/>
    <w:rsid w:val="00314200"/>
    <w:rsid w:val="00314ABE"/>
    <w:rsid w:val="003151AE"/>
    <w:rsid w:val="0031596B"/>
    <w:rsid w:val="00315996"/>
    <w:rsid w:val="003163D8"/>
    <w:rsid w:val="003169EC"/>
    <w:rsid w:val="00316DFF"/>
    <w:rsid w:val="003175B6"/>
    <w:rsid w:val="00317A20"/>
    <w:rsid w:val="00317F9A"/>
    <w:rsid w:val="00320058"/>
    <w:rsid w:val="00320235"/>
    <w:rsid w:val="003207C7"/>
    <w:rsid w:val="0032096D"/>
    <w:rsid w:val="00320E0C"/>
    <w:rsid w:val="00321740"/>
    <w:rsid w:val="003225E1"/>
    <w:rsid w:val="003226CD"/>
    <w:rsid w:val="003231BF"/>
    <w:rsid w:val="0032348E"/>
    <w:rsid w:val="003238AC"/>
    <w:rsid w:val="00323CE5"/>
    <w:rsid w:val="00323FF2"/>
    <w:rsid w:val="00324045"/>
    <w:rsid w:val="00325919"/>
    <w:rsid w:val="00325B51"/>
    <w:rsid w:val="0032644D"/>
    <w:rsid w:val="00327401"/>
    <w:rsid w:val="00327659"/>
    <w:rsid w:val="00327813"/>
    <w:rsid w:val="00330847"/>
    <w:rsid w:val="003310EC"/>
    <w:rsid w:val="003314ED"/>
    <w:rsid w:val="00331836"/>
    <w:rsid w:val="0033186F"/>
    <w:rsid w:val="00332497"/>
    <w:rsid w:val="003334F4"/>
    <w:rsid w:val="003346BB"/>
    <w:rsid w:val="00334A00"/>
    <w:rsid w:val="00334B6E"/>
    <w:rsid w:val="0033536C"/>
    <w:rsid w:val="00335409"/>
    <w:rsid w:val="00335F59"/>
    <w:rsid w:val="00336252"/>
    <w:rsid w:val="003366FF"/>
    <w:rsid w:val="00336A37"/>
    <w:rsid w:val="003371A5"/>
    <w:rsid w:val="00337FA3"/>
    <w:rsid w:val="00340A12"/>
    <w:rsid w:val="00340C56"/>
    <w:rsid w:val="00340F4A"/>
    <w:rsid w:val="00342EA8"/>
    <w:rsid w:val="003436F0"/>
    <w:rsid w:val="00343B30"/>
    <w:rsid w:val="003445CF"/>
    <w:rsid w:val="003449A4"/>
    <w:rsid w:val="003454BB"/>
    <w:rsid w:val="00346113"/>
    <w:rsid w:val="003509F3"/>
    <w:rsid w:val="003512D4"/>
    <w:rsid w:val="003512E4"/>
    <w:rsid w:val="00353486"/>
    <w:rsid w:val="00353FF9"/>
    <w:rsid w:val="00354CD8"/>
    <w:rsid w:val="00354D9B"/>
    <w:rsid w:val="00355809"/>
    <w:rsid w:val="0035599B"/>
    <w:rsid w:val="0035653B"/>
    <w:rsid w:val="00356E0A"/>
    <w:rsid w:val="00356E83"/>
    <w:rsid w:val="00357DD1"/>
    <w:rsid w:val="003606AF"/>
    <w:rsid w:val="003607B1"/>
    <w:rsid w:val="00361558"/>
    <w:rsid w:val="0036193E"/>
    <w:rsid w:val="00361980"/>
    <w:rsid w:val="003627CF"/>
    <w:rsid w:val="00363423"/>
    <w:rsid w:val="00363590"/>
    <w:rsid w:val="00363D4E"/>
    <w:rsid w:val="00365B3C"/>
    <w:rsid w:val="00365F2C"/>
    <w:rsid w:val="003664C2"/>
    <w:rsid w:val="0036670D"/>
    <w:rsid w:val="00367E65"/>
    <w:rsid w:val="003701BC"/>
    <w:rsid w:val="003708FC"/>
    <w:rsid w:val="00371EFE"/>
    <w:rsid w:val="00372AA7"/>
    <w:rsid w:val="00373E5D"/>
    <w:rsid w:val="00373F1F"/>
    <w:rsid w:val="0037406F"/>
    <w:rsid w:val="0037409D"/>
    <w:rsid w:val="00374A5F"/>
    <w:rsid w:val="00374DEC"/>
    <w:rsid w:val="00374E3B"/>
    <w:rsid w:val="00375E9B"/>
    <w:rsid w:val="00376134"/>
    <w:rsid w:val="003768C4"/>
    <w:rsid w:val="00376947"/>
    <w:rsid w:val="0037780E"/>
    <w:rsid w:val="00377E38"/>
    <w:rsid w:val="00380514"/>
    <w:rsid w:val="003813F3"/>
    <w:rsid w:val="0038191A"/>
    <w:rsid w:val="00382717"/>
    <w:rsid w:val="00382D80"/>
    <w:rsid w:val="00383C06"/>
    <w:rsid w:val="00383CBB"/>
    <w:rsid w:val="0038474C"/>
    <w:rsid w:val="003853E8"/>
    <w:rsid w:val="0038567B"/>
    <w:rsid w:val="003868D2"/>
    <w:rsid w:val="003869F8"/>
    <w:rsid w:val="00387489"/>
    <w:rsid w:val="00387D29"/>
    <w:rsid w:val="00391EFC"/>
    <w:rsid w:val="00394A0F"/>
    <w:rsid w:val="0039564F"/>
    <w:rsid w:val="00395CB8"/>
    <w:rsid w:val="00395F22"/>
    <w:rsid w:val="003961B3"/>
    <w:rsid w:val="0039634E"/>
    <w:rsid w:val="00396AB7"/>
    <w:rsid w:val="003975AB"/>
    <w:rsid w:val="00397769"/>
    <w:rsid w:val="003979CA"/>
    <w:rsid w:val="00397E56"/>
    <w:rsid w:val="003A1F93"/>
    <w:rsid w:val="003A3CE1"/>
    <w:rsid w:val="003A4474"/>
    <w:rsid w:val="003A4CBF"/>
    <w:rsid w:val="003A4F09"/>
    <w:rsid w:val="003A5B4C"/>
    <w:rsid w:val="003A69A1"/>
    <w:rsid w:val="003A6A6E"/>
    <w:rsid w:val="003A6D86"/>
    <w:rsid w:val="003A7084"/>
    <w:rsid w:val="003A730C"/>
    <w:rsid w:val="003A736A"/>
    <w:rsid w:val="003A76D7"/>
    <w:rsid w:val="003A7A0B"/>
    <w:rsid w:val="003A7A7C"/>
    <w:rsid w:val="003A7AF8"/>
    <w:rsid w:val="003A7B86"/>
    <w:rsid w:val="003A7D73"/>
    <w:rsid w:val="003B0C51"/>
    <w:rsid w:val="003B1A7D"/>
    <w:rsid w:val="003B26B5"/>
    <w:rsid w:val="003B2B26"/>
    <w:rsid w:val="003B2D03"/>
    <w:rsid w:val="003B38C6"/>
    <w:rsid w:val="003B3E29"/>
    <w:rsid w:val="003B493B"/>
    <w:rsid w:val="003B60A2"/>
    <w:rsid w:val="003B63C7"/>
    <w:rsid w:val="003B63F7"/>
    <w:rsid w:val="003B74E4"/>
    <w:rsid w:val="003B75A3"/>
    <w:rsid w:val="003B7FB3"/>
    <w:rsid w:val="003B7FF8"/>
    <w:rsid w:val="003C02B3"/>
    <w:rsid w:val="003C0D4F"/>
    <w:rsid w:val="003C1699"/>
    <w:rsid w:val="003C1B05"/>
    <w:rsid w:val="003C2EE2"/>
    <w:rsid w:val="003C360F"/>
    <w:rsid w:val="003C5517"/>
    <w:rsid w:val="003C5DD8"/>
    <w:rsid w:val="003C6119"/>
    <w:rsid w:val="003C62F0"/>
    <w:rsid w:val="003D04CD"/>
    <w:rsid w:val="003D0D77"/>
    <w:rsid w:val="003D1042"/>
    <w:rsid w:val="003D210D"/>
    <w:rsid w:val="003D3A29"/>
    <w:rsid w:val="003D4320"/>
    <w:rsid w:val="003D4F53"/>
    <w:rsid w:val="003D5CBC"/>
    <w:rsid w:val="003D6209"/>
    <w:rsid w:val="003D6AD2"/>
    <w:rsid w:val="003D716D"/>
    <w:rsid w:val="003E026B"/>
    <w:rsid w:val="003E044B"/>
    <w:rsid w:val="003E0979"/>
    <w:rsid w:val="003E0E46"/>
    <w:rsid w:val="003E176E"/>
    <w:rsid w:val="003E179C"/>
    <w:rsid w:val="003E1C4C"/>
    <w:rsid w:val="003E2339"/>
    <w:rsid w:val="003E2EAC"/>
    <w:rsid w:val="003E30FD"/>
    <w:rsid w:val="003E322E"/>
    <w:rsid w:val="003E343B"/>
    <w:rsid w:val="003E3733"/>
    <w:rsid w:val="003E42CD"/>
    <w:rsid w:val="003E445D"/>
    <w:rsid w:val="003E446B"/>
    <w:rsid w:val="003E4871"/>
    <w:rsid w:val="003E5589"/>
    <w:rsid w:val="003E5A68"/>
    <w:rsid w:val="003E5D14"/>
    <w:rsid w:val="003E6DA1"/>
    <w:rsid w:val="003E6DBD"/>
    <w:rsid w:val="003E6EF3"/>
    <w:rsid w:val="003E6F8F"/>
    <w:rsid w:val="003E6FE6"/>
    <w:rsid w:val="003E726D"/>
    <w:rsid w:val="003E7521"/>
    <w:rsid w:val="003F0006"/>
    <w:rsid w:val="003F03BC"/>
    <w:rsid w:val="003F046D"/>
    <w:rsid w:val="003F05B7"/>
    <w:rsid w:val="003F0838"/>
    <w:rsid w:val="003F0FEE"/>
    <w:rsid w:val="003F14B2"/>
    <w:rsid w:val="003F19E2"/>
    <w:rsid w:val="003F2051"/>
    <w:rsid w:val="003F24D7"/>
    <w:rsid w:val="003F3000"/>
    <w:rsid w:val="003F3136"/>
    <w:rsid w:val="003F391F"/>
    <w:rsid w:val="003F4066"/>
    <w:rsid w:val="003F442B"/>
    <w:rsid w:val="003F47E2"/>
    <w:rsid w:val="003F4A03"/>
    <w:rsid w:val="003F4BC0"/>
    <w:rsid w:val="003F4C84"/>
    <w:rsid w:val="003F51C7"/>
    <w:rsid w:val="00400FF4"/>
    <w:rsid w:val="00401F45"/>
    <w:rsid w:val="004045E3"/>
    <w:rsid w:val="004053DF"/>
    <w:rsid w:val="00406622"/>
    <w:rsid w:val="00406642"/>
    <w:rsid w:val="00406702"/>
    <w:rsid w:val="00406E6C"/>
    <w:rsid w:val="0040792D"/>
    <w:rsid w:val="00407E15"/>
    <w:rsid w:val="00410DF1"/>
    <w:rsid w:val="004125B8"/>
    <w:rsid w:val="004128BB"/>
    <w:rsid w:val="004128E4"/>
    <w:rsid w:val="00412EAD"/>
    <w:rsid w:val="00414103"/>
    <w:rsid w:val="00414789"/>
    <w:rsid w:val="00414BD9"/>
    <w:rsid w:val="00414F24"/>
    <w:rsid w:val="00414F26"/>
    <w:rsid w:val="00415268"/>
    <w:rsid w:val="00415880"/>
    <w:rsid w:val="00416737"/>
    <w:rsid w:val="00421CB2"/>
    <w:rsid w:val="0042260C"/>
    <w:rsid w:val="0042380A"/>
    <w:rsid w:val="004239C2"/>
    <w:rsid w:val="0042499A"/>
    <w:rsid w:val="00424E8B"/>
    <w:rsid w:val="004262E8"/>
    <w:rsid w:val="00426E38"/>
    <w:rsid w:val="0042761F"/>
    <w:rsid w:val="00431C36"/>
    <w:rsid w:val="00431FBE"/>
    <w:rsid w:val="00432087"/>
    <w:rsid w:val="00432760"/>
    <w:rsid w:val="00433A7B"/>
    <w:rsid w:val="00434EAD"/>
    <w:rsid w:val="00435122"/>
    <w:rsid w:val="00435A88"/>
    <w:rsid w:val="00435B83"/>
    <w:rsid w:val="00436FFA"/>
    <w:rsid w:val="00440083"/>
    <w:rsid w:val="004401CB"/>
    <w:rsid w:val="00442B9B"/>
    <w:rsid w:val="00442BBD"/>
    <w:rsid w:val="00442E75"/>
    <w:rsid w:val="00443054"/>
    <w:rsid w:val="004431CD"/>
    <w:rsid w:val="0044327F"/>
    <w:rsid w:val="00443658"/>
    <w:rsid w:val="00444148"/>
    <w:rsid w:val="00444561"/>
    <w:rsid w:val="00445242"/>
    <w:rsid w:val="00445A39"/>
    <w:rsid w:val="00445AE5"/>
    <w:rsid w:val="00446719"/>
    <w:rsid w:val="00446BEF"/>
    <w:rsid w:val="00446C7A"/>
    <w:rsid w:val="0044721C"/>
    <w:rsid w:val="00450F66"/>
    <w:rsid w:val="00451796"/>
    <w:rsid w:val="004519E1"/>
    <w:rsid w:val="00452F41"/>
    <w:rsid w:val="00453270"/>
    <w:rsid w:val="00453A45"/>
    <w:rsid w:val="00453E28"/>
    <w:rsid w:val="0045483C"/>
    <w:rsid w:val="004565F5"/>
    <w:rsid w:val="00457240"/>
    <w:rsid w:val="00457B76"/>
    <w:rsid w:val="004609EF"/>
    <w:rsid w:val="00460A6A"/>
    <w:rsid w:val="00460B8B"/>
    <w:rsid w:val="0046146E"/>
    <w:rsid w:val="00461B08"/>
    <w:rsid w:val="00462599"/>
    <w:rsid w:val="00462AAD"/>
    <w:rsid w:val="00463FC0"/>
    <w:rsid w:val="0046448E"/>
    <w:rsid w:val="004655DF"/>
    <w:rsid w:val="00466C3A"/>
    <w:rsid w:val="00466C8C"/>
    <w:rsid w:val="00470016"/>
    <w:rsid w:val="00470498"/>
    <w:rsid w:val="00470564"/>
    <w:rsid w:val="00473694"/>
    <w:rsid w:val="00474282"/>
    <w:rsid w:val="0047475C"/>
    <w:rsid w:val="00475D58"/>
    <w:rsid w:val="004762C5"/>
    <w:rsid w:val="00477016"/>
    <w:rsid w:val="0047754F"/>
    <w:rsid w:val="004776C2"/>
    <w:rsid w:val="00477C9B"/>
    <w:rsid w:val="00477FDB"/>
    <w:rsid w:val="004804CB"/>
    <w:rsid w:val="00480E47"/>
    <w:rsid w:val="00481547"/>
    <w:rsid w:val="00481785"/>
    <w:rsid w:val="00481F84"/>
    <w:rsid w:val="00482AFC"/>
    <w:rsid w:val="00483315"/>
    <w:rsid w:val="00483E77"/>
    <w:rsid w:val="00484356"/>
    <w:rsid w:val="004847DA"/>
    <w:rsid w:val="00484DC0"/>
    <w:rsid w:val="0048569F"/>
    <w:rsid w:val="0048584E"/>
    <w:rsid w:val="00485D1B"/>
    <w:rsid w:val="00485FCF"/>
    <w:rsid w:val="00486144"/>
    <w:rsid w:val="0048761C"/>
    <w:rsid w:val="00490338"/>
    <w:rsid w:val="004911C7"/>
    <w:rsid w:val="004912F1"/>
    <w:rsid w:val="00491648"/>
    <w:rsid w:val="004916F6"/>
    <w:rsid w:val="00492268"/>
    <w:rsid w:val="004922E4"/>
    <w:rsid w:val="004948F2"/>
    <w:rsid w:val="00495CD6"/>
    <w:rsid w:val="00496083"/>
    <w:rsid w:val="004972DB"/>
    <w:rsid w:val="00497E83"/>
    <w:rsid w:val="00497EB7"/>
    <w:rsid w:val="004A0A2D"/>
    <w:rsid w:val="004A0C6C"/>
    <w:rsid w:val="004A120C"/>
    <w:rsid w:val="004A1321"/>
    <w:rsid w:val="004A156E"/>
    <w:rsid w:val="004A15E1"/>
    <w:rsid w:val="004A1BE8"/>
    <w:rsid w:val="004A2668"/>
    <w:rsid w:val="004A2BD8"/>
    <w:rsid w:val="004A2D54"/>
    <w:rsid w:val="004A47F8"/>
    <w:rsid w:val="004A4CA9"/>
    <w:rsid w:val="004A4E02"/>
    <w:rsid w:val="004A4FD9"/>
    <w:rsid w:val="004A506D"/>
    <w:rsid w:val="004A513E"/>
    <w:rsid w:val="004A67EB"/>
    <w:rsid w:val="004A72CB"/>
    <w:rsid w:val="004A7AB6"/>
    <w:rsid w:val="004B28C1"/>
    <w:rsid w:val="004B331B"/>
    <w:rsid w:val="004B37CA"/>
    <w:rsid w:val="004B3A5C"/>
    <w:rsid w:val="004B3F76"/>
    <w:rsid w:val="004B501C"/>
    <w:rsid w:val="004B6FF7"/>
    <w:rsid w:val="004B70B2"/>
    <w:rsid w:val="004C07F7"/>
    <w:rsid w:val="004C11EA"/>
    <w:rsid w:val="004C19E0"/>
    <w:rsid w:val="004C26F0"/>
    <w:rsid w:val="004C3311"/>
    <w:rsid w:val="004C3F77"/>
    <w:rsid w:val="004C4C3C"/>
    <w:rsid w:val="004C5B65"/>
    <w:rsid w:val="004C60C5"/>
    <w:rsid w:val="004C669A"/>
    <w:rsid w:val="004C6774"/>
    <w:rsid w:val="004C6AEC"/>
    <w:rsid w:val="004D04D4"/>
    <w:rsid w:val="004D0EB2"/>
    <w:rsid w:val="004D117D"/>
    <w:rsid w:val="004D1989"/>
    <w:rsid w:val="004D247A"/>
    <w:rsid w:val="004D27CE"/>
    <w:rsid w:val="004D2AD2"/>
    <w:rsid w:val="004D2C87"/>
    <w:rsid w:val="004D396B"/>
    <w:rsid w:val="004D3A11"/>
    <w:rsid w:val="004D3DE6"/>
    <w:rsid w:val="004D46B2"/>
    <w:rsid w:val="004D5540"/>
    <w:rsid w:val="004D5F73"/>
    <w:rsid w:val="004D5FA0"/>
    <w:rsid w:val="004D6244"/>
    <w:rsid w:val="004D66AE"/>
    <w:rsid w:val="004D77ED"/>
    <w:rsid w:val="004D78FE"/>
    <w:rsid w:val="004E005B"/>
    <w:rsid w:val="004E0276"/>
    <w:rsid w:val="004E1568"/>
    <w:rsid w:val="004E1CDA"/>
    <w:rsid w:val="004E23C1"/>
    <w:rsid w:val="004E2CA6"/>
    <w:rsid w:val="004E38BC"/>
    <w:rsid w:val="004E3A4A"/>
    <w:rsid w:val="004E3F93"/>
    <w:rsid w:val="004E41C2"/>
    <w:rsid w:val="004E4723"/>
    <w:rsid w:val="004E59F9"/>
    <w:rsid w:val="004E650A"/>
    <w:rsid w:val="004E6FA7"/>
    <w:rsid w:val="004E7949"/>
    <w:rsid w:val="004E799F"/>
    <w:rsid w:val="004E7FEC"/>
    <w:rsid w:val="004F02F0"/>
    <w:rsid w:val="004F0500"/>
    <w:rsid w:val="004F0805"/>
    <w:rsid w:val="004F08DC"/>
    <w:rsid w:val="004F1B72"/>
    <w:rsid w:val="004F2079"/>
    <w:rsid w:val="004F28C3"/>
    <w:rsid w:val="004F2DEA"/>
    <w:rsid w:val="004F4834"/>
    <w:rsid w:val="004F48AB"/>
    <w:rsid w:val="004F4B72"/>
    <w:rsid w:val="004F5484"/>
    <w:rsid w:val="004F62F6"/>
    <w:rsid w:val="004F68A6"/>
    <w:rsid w:val="004F7398"/>
    <w:rsid w:val="004F799E"/>
    <w:rsid w:val="00500249"/>
    <w:rsid w:val="0050035D"/>
    <w:rsid w:val="00500B0B"/>
    <w:rsid w:val="00500D3E"/>
    <w:rsid w:val="005019AB"/>
    <w:rsid w:val="00501DB2"/>
    <w:rsid w:val="00501DE5"/>
    <w:rsid w:val="00502500"/>
    <w:rsid w:val="00503DEB"/>
    <w:rsid w:val="005042B5"/>
    <w:rsid w:val="0050463C"/>
    <w:rsid w:val="00504ACD"/>
    <w:rsid w:val="00505066"/>
    <w:rsid w:val="0050532A"/>
    <w:rsid w:val="00505518"/>
    <w:rsid w:val="00505B9B"/>
    <w:rsid w:val="00505F1D"/>
    <w:rsid w:val="0050688C"/>
    <w:rsid w:val="00506EBE"/>
    <w:rsid w:val="00506F4A"/>
    <w:rsid w:val="00507017"/>
    <w:rsid w:val="00507369"/>
    <w:rsid w:val="00507877"/>
    <w:rsid w:val="00510E85"/>
    <w:rsid w:val="005115A0"/>
    <w:rsid w:val="00512142"/>
    <w:rsid w:val="005121BF"/>
    <w:rsid w:val="005121EB"/>
    <w:rsid w:val="005126E8"/>
    <w:rsid w:val="00512ED7"/>
    <w:rsid w:val="005131E5"/>
    <w:rsid w:val="005141BA"/>
    <w:rsid w:val="005141D3"/>
    <w:rsid w:val="0051525C"/>
    <w:rsid w:val="005157A2"/>
    <w:rsid w:val="0051594F"/>
    <w:rsid w:val="00515DF8"/>
    <w:rsid w:val="00516ABA"/>
    <w:rsid w:val="00516FBE"/>
    <w:rsid w:val="0051733D"/>
    <w:rsid w:val="0051764E"/>
    <w:rsid w:val="00517EE2"/>
    <w:rsid w:val="00520C0B"/>
    <w:rsid w:val="00520D5A"/>
    <w:rsid w:val="00520DD5"/>
    <w:rsid w:val="00521F71"/>
    <w:rsid w:val="0052264A"/>
    <w:rsid w:val="005228FB"/>
    <w:rsid w:val="00522CEF"/>
    <w:rsid w:val="00523E88"/>
    <w:rsid w:val="00523F68"/>
    <w:rsid w:val="00524B34"/>
    <w:rsid w:val="00525390"/>
    <w:rsid w:val="00525C89"/>
    <w:rsid w:val="00526D7B"/>
    <w:rsid w:val="00527C90"/>
    <w:rsid w:val="00527E5F"/>
    <w:rsid w:val="00527EED"/>
    <w:rsid w:val="00530AB5"/>
    <w:rsid w:val="00531DFC"/>
    <w:rsid w:val="00533AFC"/>
    <w:rsid w:val="00533DCA"/>
    <w:rsid w:val="00534304"/>
    <w:rsid w:val="00535377"/>
    <w:rsid w:val="005363BC"/>
    <w:rsid w:val="00536641"/>
    <w:rsid w:val="00536971"/>
    <w:rsid w:val="0053786F"/>
    <w:rsid w:val="00540E29"/>
    <w:rsid w:val="0054139B"/>
    <w:rsid w:val="00542428"/>
    <w:rsid w:val="00542854"/>
    <w:rsid w:val="00543614"/>
    <w:rsid w:val="0054454B"/>
    <w:rsid w:val="00544633"/>
    <w:rsid w:val="0054545D"/>
    <w:rsid w:val="00546731"/>
    <w:rsid w:val="0054702A"/>
    <w:rsid w:val="00547476"/>
    <w:rsid w:val="00547B43"/>
    <w:rsid w:val="00550F71"/>
    <w:rsid w:val="00551EC3"/>
    <w:rsid w:val="005529A7"/>
    <w:rsid w:val="00552ED2"/>
    <w:rsid w:val="00553150"/>
    <w:rsid w:val="005535C9"/>
    <w:rsid w:val="00553BB2"/>
    <w:rsid w:val="00553EA2"/>
    <w:rsid w:val="00554121"/>
    <w:rsid w:val="00554B28"/>
    <w:rsid w:val="00555128"/>
    <w:rsid w:val="00555B59"/>
    <w:rsid w:val="00556301"/>
    <w:rsid w:val="005566B5"/>
    <w:rsid w:val="00556C6C"/>
    <w:rsid w:val="005576E4"/>
    <w:rsid w:val="00560792"/>
    <w:rsid w:val="0056146C"/>
    <w:rsid w:val="005619F8"/>
    <w:rsid w:val="00561BB1"/>
    <w:rsid w:val="00561E21"/>
    <w:rsid w:val="005620A2"/>
    <w:rsid w:val="00564181"/>
    <w:rsid w:val="00564B22"/>
    <w:rsid w:val="00565581"/>
    <w:rsid w:val="005655DA"/>
    <w:rsid w:val="00565D09"/>
    <w:rsid w:val="00566A10"/>
    <w:rsid w:val="00567086"/>
    <w:rsid w:val="005678BD"/>
    <w:rsid w:val="00567E77"/>
    <w:rsid w:val="00570246"/>
    <w:rsid w:val="005703AF"/>
    <w:rsid w:val="00570782"/>
    <w:rsid w:val="00570876"/>
    <w:rsid w:val="00570CAC"/>
    <w:rsid w:val="00571EDB"/>
    <w:rsid w:val="00572969"/>
    <w:rsid w:val="00573C97"/>
    <w:rsid w:val="00573F73"/>
    <w:rsid w:val="005773BE"/>
    <w:rsid w:val="005801B7"/>
    <w:rsid w:val="00580F1B"/>
    <w:rsid w:val="005811C7"/>
    <w:rsid w:val="005822B5"/>
    <w:rsid w:val="00582BDE"/>
    <w:rsid w:val="00583753"/>
    <w:rsid w:val="005843A9"/>
    <w:rsid w:val="00585234"/>
    <w:rsid w:val="00585BD7"/>
    <w:rsid w:val="0058693B"/>
    <w:rsid w:val="00586CE2"/>
    <w:rsid w:val="00586D54"/>
    <w:rsid w:val="005877B8"/>
    <w:rsid w:val="00590172"/>
    <w:rsid w:val="005903C0"/>
    <w:rsid w:val="00590438"/>
    <w:rsid w:val="005906AE"/>
    <w:rsid w:val="005910E8"/>
    <w:rsid w:val="00591136"/>
    <w:rsid w:val="005911CA"/>
    <w:rsid w:val="005911FC"/>
    <w:rsid w:val="00593439"/>
    <w:rsid w:val="00593798"/>
    <w:rsid w:val="00593DCB"/>
    <w:rsid w:val="00593EAE"/>
    <w:rsid w:val="00595A95"/>
    <w:rsid w:val="00595FBB"/>
    <w:rsid w:val="00596569"/>
    <w:rsid w:val="00596F91"/>
    <w:rsid w:val="00597432"/>
    <w:rsid w:val="005976C6"/>
    <w:rsid w:val="005A1BF9"/>
    <w:rsid w:val="005A3A3F"/>
    <w:rsid w:val="005A4B2A"/>
    <w:rsid w:val="005A5D3B"/>
    <w:rsid w:val="005A5D8A"/>
    <w:rsid w:val="005A6238"/>
    <w:rsid w:val="005A6564"/>
    <w:rsid w:val="005B02DC"/>
    <w:rsid w:val="005B118E"/>
    <w:rsid w:val="005B1301"/>
    <w:rsid w:val="005B1A0F"/>
    <w:rsid w:val="005B1ED4"/>
    <w:rsid w:val="005B2031"/>
    <w:rsid w:val="005B2519"/>
    <w:rsid w:val="005B252C"/>
    <w:rsid w:val="005B2E12"/>
    <w:rsid w:val="005B2F13"/>
    <w:rsid w:val="005B2F78"/>
    <w:rsid w:val="005B31F3"/>
    <w:rsid w:val="005B3D16"/>
    <w:rsid w:val="005B446D"/>
    <w:rsid w:val="005B4568"/>
    <w:rsid w:val="005B4B8C"/>
    <w:rsid w:val="005B5504"/>
    <w:rsid w:val="005B5CA3"/>
    <w:rsid w:val="005B5CD8"/>
    <w:rsid w:val="005B6886"/>
    <w:rsid w:val="005B6CEB"/>
    <w:rsid w:val="005B6E67"/>
    <w:rsid w:val="005B70E2"/>
    <w:rsid w:val="005B75D9"/>
    <w:rsid w:val="005B7C6F"/>
    <w:rsid w:val="005C1B58"/>
    <w:rsid w:val="005C2A75"/>
    <w:rsid w:val="005C2B9F"/>
    <w:rsid w:val="005C3DF4"/>
    <w:rsid w:val="005C3E55"/>
    <w:rsid w:val="005C4822"/>
    <w:rsid w:val="005C4C15"/>
    <w:rsid w:val="005C5C35"/>
    <w:rsid w:val="005C5D49"/>
    <w:rsid w:val="005C6787"/>
    <w:rsid w:val="005C72E6"/>
    <w:rsid w:val="005C7654"/>
    <w:rsid w:val="005C78C5"/>
    <w:rsid w:val="005C7CEF"/>
    <w:rsid w:val="005D0682"/>
    <w:rsid w:val="005D0BC2"/>
    <w:rsid w:val="005D1D77"/>
    <w:rsid w:val="005D238A"/>
    <w:rsid w:val="005D245C"/>
    <w:rsid w:val="005D2999"/>
    <w:rsid w:val="005D2D0F"/>
    <w:rsid w:val="005D2DED"/>
    <w:rsid w:val="005D3444"/>
    <w:rsid w:val="005D3537"/>
    <w:rsid w:val="005D4FD3"/>
    <w:rsid w:val="005D5504"/>
    <w:rsid w:val="005D580E"/>
    <w:rsid w:val="005D6186"/>
    <w:rsid w:val="005D6D13"/>
    <w:rsid w:val="005D767D"/>
    <w:rsid w:val="005D7E9A"/>
    <w:rsid w:val="005E06D8"/>
    <w:rsid w:val="005E14FD"/>
    <w:rsid w:val="005E17DB"/>
    <w:rsid w:val="005E1896"/>
    <w:rsid w:val="005E1D9C"/>
    <w:rsid w:val="005E2168"/>
    <w:rsid w:val="005E2240"/>
    <w:rsid w:val="005E258C"/>
    <w:rsid w:val="005E34BA"/>
    <w:rsid w:val="005E383C"/>
    <w:rsid w:val="005E40D1"/>
    <w:rsid w:val="005E41D2"/>
    <w:rsid w:val="005E4F99"/>
    <w:rsid w:val="005E576B"/>
    <w:rsid w:val="005E6EFD"/>
    <w:rsid w:val="005E74ED"/>
    <w:rsid w:val="005F0BD9"/>
    <w:rsid w:val="005F1791"/>
    <w:rsid w:val="005F3800"/>
    <w:rsid w:val="005F3C6E"/>
    <w:rsid w:val="005F3D7A"/>
    <w:rsid w:val="005F44E2"/>
    <w:rsid w:val="005F4EF7"/>
    <w:rsid w:val="005F5474"/>
    <w:rsid w:val="005F5AED"/>
    <w:rsid w:val="005F5B17"/>
    <w:rsid w:val="005F5B70"/>
    <w:rsid w:val="005F600D"/>
    <w:rsid w:val="005F662F"/>
    <w:rsid w:val="005F6F6F"/>
    <w:rsid w:val="005F739E"/>
    <w:rsid w:val="005F7788"/>
    <w:rsid w:val="005F7EBF"/>
    <w:rsid w:val="00600074"/>
    <w:rsid w:val="0060024E"/>
    <w:rsid w:val="00600763"/>
    <w:rsid w:val="006009C5"/>
    <w:rsid w:val="006009F0"/>
    <w:rsid w:val="00600AD4"/>
    <w:rsid w:val="00600CA9"/>
    <w:rsid w:val="0060109A"/>
    <w:rsid w:val="00601953"/>
    <w:rsid w:val="0060196C"/>
    <w:rsid w:val="00601E3D"/>
    <w:rsid w:val="006022C5"/>
    <w:rsid w:val="00602B1E"/>
    <w:rsid w:val="00602C5F"/>
    <w:rsid w:val="00602E7D"/>
    <w:rsid w:val="006030A0"/>
    <w:rsid w:val="006038B0"/>
    <w:rsid w:val="00604FC6"/>
    <w:rsid w:val="006050AC"/>
    <w:rsid w:val="006051DF"/>
    <w:rsid w:val="00605908"/>
    <w:rsid w:val="00605B7C"/>
    <w:rsid w:val="00610305"/>
    <w:rsid w:val="00610C33"/>
    <w:rsid w:val="00610E69"/>
    <w:rsid w:val="00611038"/>
    <w:rsid w:val="00611170"/>
    <w:rsid w:val="006113A1"/>
    <w:rsid w:val="00611E5D"/>
    <w:rsid w:val="00611F6C"/>
    <w:rsid w:val="0061268B"/>
    <w:rsid w:val="006136D9"/>
    <w:rsid w:val="00613795"/>
    <w:rsid w:val="00613FBF"/>
    <w:rsid w:val="0061414A"/>
    <w:rsid w:val="00615885"/>
    <w:rsid w:val="00615B19"/>
    <w:rsid w:val="00615B1A"/>
    <w:rsid w:val="006167AE"/>
    <w:rsid w:val="0062009D"/>
    <w:rsid w:val="0062064D"/>
    <w:rsid w:val="00621D34"/>
    <w:rsid w:val="006220B5"/>
    <w:rsid w:val="006235B7"/>
    <w:rsid w:val="0062374E"/>
    <w:rsid w:val="00623A76"/>
    <w:rsid w:val="006242C9"/>
    <w:rsid w:val="00624648"/>
    <w:rsid w:val="00624DF9"/>
    <w:rsid w:val="0062545B"/>
    <w:rsid w:val="00625640"/>
    <w:rsid w:val="0062592E"/>
    <w:rsid w:val="00626F84"/>
    <w:rsid w:val="00627938"/>
    <w:rsid w:val="00627C9A"/>
    <w:rsid w:val="006303AF"/>
    <w:rsid w:val="006310B9"/>
    <w:rsid w:val="0063159C"/>
    <w:rsid w:val="00632D6E"/>
    <w:rsid w:val="0063399D"/>
    <w:rsid w:val="00634032"/>
    <w:rsid w:val="00634BB8"/>
    <w:rsid w:val="0063599D"/>
    <w:rsid w:val="00636114"/>
    <w:rsid w:val="00636178"/>
    <w:rsid w:val="0063737E"/>
    <w:rsid w:val="00637979"/>
    <w:rsid w:val="00637FDA"/>
    <w:rsid w:val="006409F8"/>
    <w:rsid w:val="00641105"/>
    <w:rsid w:val="0064204E"/>
    <w:rsid w:val="00642821"/>
    <w:rsid w:val="00643185"/>
    <w:rsid w:val="006440ED"/>
    <w:rsid w:val="006458BA"/>
    <w:rsid w:val="0064661A"/>
    <w:rsid w:val="006468B4"/>
    <w:rsid w:val="00647B9B"/>
    <w:rsid w:val="00647CA3"/>
    <w:rsid w:val="006506C9"/>
    <w:rsid w:val="00650C4C"/>
    <w:rsid w:val="00651034"/>
    <w:rsid w:val="00651B4A"/>
    <w:rsid w:val="006524A3"/>
    <w:rsid w:val="00653F67"/>
    <w:rsid w:val="006553DF"/>
    <w:rsid w:val="006572FE"/>
    <w:rsid w:val="0065739A"/>
    <w:rsid w:val="00657FC8"/>
    <w:rsid w:val="00660ABF"/>
    <w:rsid w:val="00661E84"/>
    <w:rsid w:val="0066240C"/>
    <w:rsid w:val="006627A6"/>
    <w:rsid w:val="006649AB"/>
    <w:rsid w:val="006651EA"/>
    <w:rsid w:val="00665242"/>
    <w:rsid w:val="006659E5"/>
    <w:rsid w:val="00666086"/>
    <w:rsid w:val="00667A31"/>
    <w:rsid w:val="0067044F"/>
    <w:rsid w:val="00671366"/>
    <w:rsid w:val="00671BC5"/>
    <w:rsid w:val="00671D5B"/>
    <w:rsid w:val="00672117"/>
    <w:rsid w:val="006728F8"/>
    <w:rsid w:val="00673163"/>
    <w:rsid w:val="0067340F"/>
    <w:rsid w:val="006737F9"/>
    <w:rsid w:val="00673A54"/>
    <w:rsid w:val="00673B20"/>
    <w:rsid w:val="00674033"/>
    <w:rsid w:val="0067464D"/>
    <w:rsid w:val="006751F5"/>
    <w:rsid w:val="00675697"/>
    <w:rsid w:val="00676452"/>
    <w:rsid w:val="0067673B"/>
    <w:rsid w:val="006769DC"/>
    <w:rsid w:val="006769DD"/>
    <w:rsid w:val="00676AF4"/>
    <w:rsid w:val="00677289"/>
    <w:rsid w:val="006810F1"/>
    <w:rsid w:val="0068157B"/>
    <w:rsid w:val="00682149"/>
    <w:rsid w:val="00682690"/>
    <w:rsid w:val="006832C9"/>
    <w:rsid w:val="00683C36"/>
    <w:rsid w:val="00683D20"/>
    <w:rsid w:val="0068475E"/>
    <w:rsid w:val="00684C01"/>
    <w:rsid w:val="00685552"/>
    <w:rsid w:val="00685D4A"/>
    <w:rsid w:val="006861F1"/>
    <w:rsid w:val="00686237"/>
    <w:rsid w:val="0068772E"/>
    <w:rsid w:val="00687838"/>
    <w:rsid w:val="00690C6E"/>
    <w:rsid w:val="0069119C"/>
    <w:rsid w:val="0069261A"/>
    <w:rsid w:val="0069277C"/>
    <w:rsid w:val="0069292A"/>
    <w:rsid w:val="006929D6"/>
    <w:rsid w:val="00692A6F"/>
    <w:rsid w:val="00695A55"/>
    <w:rsid w:val="00695C13"/>
    <w:rsid w:val="0069679F"/>
    <w:rsid w:val="00696D0F"/>
    <w:rsid w:val="00697135"/>
    <w:rsid w:val="006971C3"/>
    <w:rsid w:val="006972AB"/>
    <w:rsid w:val="00697421"/>
    <w:rsid w:val="00697BCF"/>
    <w:rsid w:val="00697C81"/>
    <w:rsid w:val="006A0305"/>
    <w:rsid w:val="006A03CF"/>
    <w:rsid w:val="006A0425"/>
    <w:rsid w:val="006A09C3"/>
    <w:rsid w:val="006A0DAA"/>
    <w:rsid w:val="006A1030"/>
    <w:rsid w:val="006A12E6"/>
    <w:rsid w:val="006A2E96"/>
    <w:rsid w:val="006A4268"/>
    <w:rsid w:val="006A4FE1"/>
    <w:rsid w:val="006A52F1"/>
    <w:rsid w:val="006A5A89"/>
    <w:rsid w:val="006A6115"/>
    <w:rsid w:val="006A663A"/>
    <w:rsid w:val="006A6DC2"/>
    <w:rsid w:val="006A712A"/>
    <w:rsid w:val="006A7FC4"/>
    <w:rsid w:val="006B02D7"/>
    <w:rsid w:val="006B0FE7"/>
    <w:rsid w:val="006B1332"/>
    <w:rsid w:val="006B18E3"/>
    <w:rsid w:val="006B2B4B"/>
    <w:rsid w:val="006B4691"/>
    <w:rsid w:val="006B478D"/>
    <w:rsid w:val="006B4B1D"/>
    <w:rsid w:val="006B5B7E"/>
    <w:rsid w:val="006C06F6"/>
    <w:rsid w:val="006C117E"/>
    <w:rsid w:val="006C1E99"/>
    <w:rsid w:val="006C3DD2"/>
    <w:rsid w:val="006C3E62"/>
    <w:rsid w:val="006C57FC"/>
    <w:rsid w:val="006C5ED6"/>
    <w:rsid w:val="006D0819"/>
    <w:rsid w:val="006D0826"/>
    <w:rsid w:val="006D0F78"/>
    <w:rsid w:val="006D1B02"/>
    <w:rsid w:val="006D21C9"/>
    <w:rsid w:val="006D275F"/>
    <w:rsid w:val="006D2C06"/>
    <w:rsid w:val="006D3164"/>
    <w:rsid w:val="006D3D2A"/>
    <w:rsid w:val="006D47F5"/>
    <w:rsid w:val="006D4F67"/>
    <w:rsid w:val="006D578C"/>
    <w:rsid w:val="006D60EC"/>
    <w:rsid w:val="006D660C"/>
    <w:rsid w:val="006D742A"/>
    <w:rsid w:val="006D7D58"/>
    <w:rsid w:val="006D7D78"/>
    <w:rsid w:val="006D7DD1"/>
    <w:rsid w:val="006E07EF"/>
    <w:rsid w:val="006E082C"/>
    <w:rsid w:val="006E09C1"/>
    <w:rsid w:val="006E1B30"/>
    <w:rsid w:val="006E233D"/>
    <w:rsid w:val="006E243A"/>
    <w:rsid w:val="006E2AE1"/>
    <w:rsid w:val="006E376E"/>
    <w:rsid w:val="006E3C11"/>
    <w:rsid w:val="006E46F4"/>
    <w:rsid w:val="006E4809"/>
    <w:rsid w:val="006E49D1"/>
    <w:rsid w:val="006E4C3D"/>
    <w:rsid w:val="006E4D39"/>
    <w:rsid w:val="006E5F00"/>
    <w:rsid w:val="006E6AB3"/>
    <w:rsid w:val="006E7B12"/>
    <w:rsid w:val="006E7B9B"/>
    <w:rsid w:val="006E7D52"/>
    <w:rsid w:val="006F0576"/>
    <w:rsid w:val="006F070B"/>
    <w:rsid w:val="006F2D9B"/>
    <w:rsid w:val="006F2E42"/>
    <w:rsid w:val="006F3593"/>
    <w:rsid w:val="006F38EB"/>
    <w:rsid w:val="006F43B9"/>
    <w:rsid w:val="006F7464"/>
    <w:rsid w:val="006F78CF"/>
    <w:rsid w:val="006F7E2D"/>
    <w:rsid w:val="00700769"/>
    <w:rsid w:val="00700D38"/>
    <w:rsid w:val="00700D93"/>
    <w:rsid w:val="0070119E"/>
    <w:rsid w:val="0070397C"/>
    <w:rsid w:val="00703E02"/>
    <w:rsid w:val="00704162"/>
    <w:rsid w:val="007041CB"/>
    <w:rsid w:val="0070438F"/>
    <w:rsid w:val="007045FE"/>
    <w:rsid w:val="00704E6A"/>
    <w:rsid w:val="007074E3"/>
    <w:rsid w:val="007076AF"/>
    <w:rsid w:val="00707934"/>
    <w:rsid w:val="007103A2"/>
    <w:rsid w:val="007105AA"/>
    <w:rsid w:val="00710EC2"/>
    <w:rsid w:val="00711040"/>
    <w:rsid w:val="007119F1"/>
    <w:rsid w:val="007122C1"/>
    <w:rsid w:val="00712489"/>
    <w:rsid w:val="00712956"/>
    <w:rsid w:val="00712A23"/>
    <w:rsid w:val="0071329F"/>
    <w:rsid w:val="00714D46"/>
    <w:rsid w:val="00715260"/>
    <w:rsid w:val="007152F3"/>
    <w:rsid w:val="00716549"/>
    <w:rsid w:val="00720459"/>
    <w:rsid w:val="00721622"/>
    <w:rsid w:val="007225DB"/>
    <w:rsid w:val="007228AF"/>
    <w:rsid w:val="0072305C"/>
    <w:rsid w:val="007230BD"/>
    <w:rsid w:val="00723DAA"/>
    <w:rsid w:val="00724D8A"/>
    <w:rsid w:val="00724F7A"/>
    <w:rsid w:val="007252A1"/>
    <w:rsid w:val="007261EF"/>
    <w:rsid w:val="0072688C"/>
    <w:rsid w:val="00726D60"/>
    <w:rsid w:val="00727B85"/>
    <w:rsid w:val="00727BCC"/>
    <w:rsid w:val="00727FFE"/>
    <w:rsid w:val="00731479"/>
    <w:rsid w:val="00731614"/>
    <w:rsid w:val="00731A49"/>
    <w:rsid w:val="00732428"/>
    <w:rsid w:val="00733F54"/>
    <w:rsid w:val="007342D6"/>
    <w:rsid w:val="007347DF"/>
    <w:rsid w:val="0073484A"/>
    <w:rsid w:val="00734C9F"/>
    <w:rsid w:val="00734E05"/>
    <w:rsid w:val="007352BC"/>
    <w:rsid w:val="00735AD2"/>
    <w:rsid w:val="00735B4A"/>
    <w:rsid w:val="00736456"/>
    <w:rsid w:val="00736FB5"/>
    <w:rsid w:val="00737B05"/>
    <w:rsid w:val="007401FD"/>
    <w:rsid w:val="00740728"/>
    <w:rsid w:val="0074099E"/>
    <w:rsid w:val="0074116D"/>
    <w:rsid w:val="00741175"/>
    <w:rsid w:val="00741215"/>
    <w:rsid w:val="007413A0"/>
    <w:rsid w:val="007415E1"/>
    <w:rsid w:val="00741DCE"/>
    <w:rsid w:val="00741E76"/>
    <w:rsid w:val="0074231B"/>
    <w:rsid w:val="007427A4"/>
    <w:rsid w:val="00742A21"/>
    <w:rsid w:val="00744C78"/>
    <w:rsid w:val="00744DE1"/>
    <w:rsid w:val="00750186"/>
    <w:rsid w:val="0075182D"/>
    <w:rsid w:val="0075190E"/>
    <w:rsid w:val="00751963"/>
    <w:rsid w:val="00751F7D"/>
    <w:rsid w:val="007538DB"/>
    <w:rsid w:val="00754052"/>
    <w:rsid w:val="007547B2"/>
    <w:rsid w:val="00756554"/>
    <w:rsid w:val="0075665D"/>
    <w:rsid w:val="007603C3"/>
    <w:rsid w:val="00760E00"/>
    <w:rsid w:val="00760E4F"/>
    <w:rsid w:val="00761705"/>
    <w:rsid w:val="00761D89"/>
    <w:rsid w:val="00762103"/>
    <w:rsid w:val="00762315"/>
    <w:rsid w:val="0076293A"/>
    <w:rsid w:val="00762D43"/>
    <w:rsid w:val="007633D3"/>
    <w:rsid w:val="00763F08"/>
    <w:rsid w:val="00764638"/>
    <w:rsid w:val="00764F96"/>
    <w:rsid w:val="00765494"/>
    <w:rsid w:val="0076584E"/>
    <w:rsid w:val="00765E72"/>
    <w:rsid w:val="00771173"/>
    <w:rsid w:val="00771386"/>
    <w:rsid w:val="00772A2B"/>
    <w:rsid w:val="00772C0C"/>
    <w:rsid w:val="00772DFF"/>
    <w:rsid w:val="007734C0"/>
    <w:rsid w:val="00773CF4"/>
    <w:rsid w:val="00773FA1"/>
    <w:rsid w:val="0077491D"/>
    <w:rsid w:val="00777424"/>
    <w:rsid w:val="00777BB2"/>
    <w:rsid w:val="007803C1"/>
    <w:rsid w:val="00780843"/>
    <w:rsid w:val="00780A16"/>
    <w:rsid w:val="0078101D"/>
    <w:rsid w:val="0078136B"/>
    <w:rsid w:val="00782A0D"/>
    <w:rsid w:val="00782DD0"/>
    <w:rsid w:val="007830F3"/>
    <w:rsid w:val="007830FE"/>
    <w:rsid w:val="00783519"/>
    <w:rsid w:val="00783B72"/>
    <w:rsid w:val="00784050"/>
    <w:rsid w:val="007847CE"/>
    <w:rsid w:val="00784A47"/>
    <w:rsid w:val="00785175"/>
    <w:rsid w:val="007857C5"/>
    <w:rsid w:val="007858A0"/>
    <w:rsid w:val="00786207"/>
    <w:rsid w:val="007863FF"/>
    <w:rsid w:val="007868B9"/>
    <w:rsid w:val="00786EE2"/>
    <w:rsid w:val="0078770B"/>
    <w:rsid w:val="007915F7"/>
    <w:rsid w:val="007918A0"/>
    <w:rsid w:val="00791BE1"/>
    <w:rsid w:val="00791BE3"/>
    <w:rsid w:val="00791D0E"/>
    <w:rsid w:val="00791D26"/>
    <w:rsid w:val="007923C7"/>
    <w:rsid w:val="007924C2"/>
    <w:rsid w:val="007925FD"/>
    <w:rsid w:val="00793634"/>
    <w:rsid w:val="007940CF"/>
    <w:rsid w:val="0079436F"/>
    <w:rsid w:val="007948A7"/>
    <w:rsid w:val="00794952"/>
    <w:rsid w:val="00795828"/>
    <w:rsid w:val="007965AC"/>
    <w:rsid w:val="007A019C"/>
    <w:rsid w:val="007A03F6"/>
    <w:rsid w:val="007A0ABA"/>
    <w:rsid w:val="007A0DF4"/>
    <w:rsid w:val="007A162D"/>
    <w:rsid w:val="007A1A53"/>
    <w:rsid w:val="007A23BB"/>
    <w:rsid w:val="007A243C"/>
    <w:rsid w:val="007A33C7"/>
    <w:rsid w:val="007A3CE0"/>
    <w:rsid w:val="007A4831"/>
    <w:rsid w:val="007A4B4D"/>
    <w:rsid w:val="007A5A8F"/>
    <w:rsid w:val="007A5DD5"/>
    <w:rsid w:val="007A6320"/>
    <w:rsid w:val="007A679E"/>
    <w:rsid w:val="007A7768"/>
    <w:rsid w:val="007A7CB5"/>
    <w:rsid w:val="007A7F08"/>
    <w:rsid w:val="007B05DC"/>
    <w:rsid w:val="007B08B8"/>
    <w:rsid w:val="007B09DC"/>
    <w:rsid w:val="007B17E2"/>
    <w:rsid w:val="007B1841"/>
    <w:rsid w:val="007B1BAD"/>
    <w:rsid w:val="007B1BF2"/>
    <w:rsid w:val="007B1EEF"/>
    <w:rsid w:val="007B4A0C"/>
    <w:rsid w:val="007B4BC6"/>
    <w:rsid w:val="007B66CA"/>
    <w:rsid w:val="007B671F"/>
    <w:rsid w:val="007B75E9"/>
    <w:rsid w:val="007B76AC"/>
    <w:rsid w:val="007B7742"/>
    <w:rsid w:val="007C11BF"/>
    <w:rsid w:val="007C12F9"/>
    <w:rsid w:val="007C1747"/>
    <w:rsid w:val="007C1994"/>
    <w:rsid w:val="007C1D99"/>
    <w:rsid w:val="007C2453"/>
    <w:rsid w:val="007C25B6"/>
    <w:rsid w:val="007C3626"/>
    <w:rsid w:val="007C3A98"/>
    <w:rsid w:val="007C3F13"/>
    <w:rsid w:val="007C3F17"/>
    <w:rsid w:val="007C430B"/>
    <w:rsid w:val="007C47E7"/>
    <w:rsid w:val="007C4BC5"/>
    <w:rsid w:val="007C4C38"/>
    <w:rsid w:val="007C5A7B"/>
    <w:rsid w:val="007C5E57"/>
    <w:rsid w:val="007C6640"/>
    <w:rsid w:val="007C6B01"/>
    <w:rsid w:val="007C6F44"/>
    <w:rsid w:val="007C737A"/>
    <w:rsid w:val="007C73F9"/>
    <w:rsid w:val="007C742B"/>
    <w:rsid w:val="007C760E"/>
    <w:rsid w:val="007D02F7"/>
    <w:rsid w:val="007D1C1D"/>
    <w:rsid w:val="007D2071"/>
    <w:rsid w:val="007D2E42"/>
    <w:rsid w:val="007D3366"/>
    <w:rsid w:val="007D3DF7"/>
    <w:rsid w:val="007D4F6F"/>
    <w:rsid w:val="007D51D8"/>
    <w:rsid w:val="007D546D"/>
    <w:rsid w:val="007D716A"/>
    <w:rsid w:val="007E109B"/>
    <w:rsid w:val="007E1695"/>
    <w:rsid w:val="007E1AB3"/>
    <w:rsid w:val="007E1FD7"/>
    <w:rsid w:val="007E245A"/>
    <w:rsid w:val="007E2639"/>
    <w:rsid w:val="007E33C8"/>
    <w:rsid w:val="007E351D"/>
    <w:rsid w:val="007E4D37"/>
    <w:rsid w:val="007E4E34"/>
    <w:rsid w:val="007E53A0"/>
    <w:rsid w:val="007E5C51"/>
    <w:rsid w:val="007E7A25"/>
    <w:rsid w:val="007E7A9C"/>
    <w:rsid w:val="007E7E7B"/>
    <w:rsid w:val="007F0DE4"/>
    <w:rsid w:val="007F0FB4"/>
    <w:rsid w:val="007F14DD"/>
    <w:rsid w:val="007F14E4"/>
    <w:rsid w:val="007F1A7A"/>
    <w:rsid w:val="007F21E4"/>
    <w:rsid w:val="007F2DC8"/>
    <w:rsid w:val="007F399E"/>
    <w:rsid w:val="007F420E"/>
    <w:rsid w:val="007F46F5"/>
    <w:rsid w:val="007F4F3F"/>
    <w:rsid w:val="007F51F4"/>
    <w:rsid w:val="007F5691"/>
    <w:rsid w:val="007F6598"/>
    <w:rsid w:val="007F6EE8"/>
    <w:rsid w:val="007F79E2"/>
    <w:rsid w:val="00800271"/>
    <w:rsid w:val="008009BE"/>
    <w:rsid w:val="0080294A"/>
    <w:rsid w:val="00802FF6"/>
    <w:rsid w:val="00803D62"/>
    <w:rsid w:val="008059E9"/>
    <w:rsid w:val="00805E8D"/>
    <w:rsid w:val="00805F3E"/>
    <w:rsid w:val="008064F5"/>
    <w:rsid w:val="00806988"/>
    <w:rsid w:val="00806C7E"/>
    <w:rsid w:val="00806D2D"/>
    <w:rsid w:val="008071AB"/>
    <w:rsid w:val="0080730A"/>
    <w:rsid w:val="0080731D"/>
    <w:rsid w:val="00807E52"/>
    <w:rsid w:val="008100CE"/>
    <w:rsid w:val="008101BB"/>
    <w:rsid w:val="00810201"/>
    <w:rsid w:val="00810CC2"/>
    <w:rsid w:val="00812824"/>
    <w:rsid w:val="00813348"/>
    <w:rsid w:val="00813F8E"/>
    <w:rsid w:val="008140DB"/>
    <w:rsid w:val="00814143"/>
    <w:rsid w:val="00814436"/>
    <w:rsid w:val="00814A15"/>
    <w:rsid w:val="00814B14"/>
    <w:rsid w:val="008157B2"/>
    <w:rsid w:val="008163B5"/>
    <w:rsid w:val="00820492"/>
    <w:rsid w:val="008208BC"/>
    <w:rsid w:val="00820A5C"/>
    <w:rsid w:val="00820DDB"/>
    <w:rsid w:val="00820E95"/>
    <w:rsid w:val="008233EE"/>
    <w:rsid w:val="00823720"/>
    <w:rsid w:val="00823985"/>
    <w:rsid w:val="0082574B"/>
    <w:rsid w:val="00825929"/>
    <w:rsid w:val="00825956"/>
    <w:rsid w:val="00826342"/>
    <w:rsid w:val="00826866"/>
    <w:rsid w:val="00827FE3"/>
    <w:rsid w:val="0083001E"/>
    <w:rsid w:val="008300E2"/>
    <w:rsid w:val="00830DCA"/>
    <w:rsid w:val="00831060"/>
    <w:rsid w:val="00831B5A"/>
    <w:rsid w:val="00831F67"/>
    <w:rsid w:val="008325E1"/>
    <w:rsid w:val="00833529"/>
    <w:rsid w:val="0083377D"/>
    <w:rsid w:val="00833DF0"/>
    <w:rsid w:val="008344ED"/>
    <w:rsid w:val="00835392"/>
    <w:rsid w:val="00835583"/>
    <w:rsid w:val="008364E1"/>
    <w:rsid w:val="0083725A"/>
    <w:rsid w:val="008372CE"/>
    <w:rsid w:val="00837999"/>
    <w:rsid w:val="00837D8C"/>
    <w:rsid w:val="0084230C"/>
    <w:rsid w:val="008424AD"/>
    <w:rsid w:val="00843274"/>
    <w:rsid w:val="00843669"/>
    <w:rsid w:val="008453FC"/>
    <w:rsid w:val="00845759"/>
    <w:rsid w:val="00845814"/>
    <w:rsid w:val="00845F5F"/>
    <w:rsid w:val="0084603F"/>
    <w:rsid w:val="008465C5"/>
    <w:rsid w:val="008478DB"/>
    <w:rsid w:val="00847B67"/>
    <w:rsid w:val="00847E8B"/>
    <w:rsid w:val="008500A0"/>
    <w:rsid w:val="008503DA"/>
    <w:rsid w:val="008505FA"/>
    <w:rsid w:val="00850725"/>
    <w:rsid w:val="00850827"/>
    <w:rsid w:val="00850955"/>
    <w:rsid w:val="00850B58"/>
    <w:rsid w:val="0085211A"/>
    <w:rsid w:val="0085233A"/>
    <w:rsid w:val="00852E05"/>
    <w:rsid w:val="008530DA"/>
    <w:rsid w:val="00853994"/>
    <w:rsid w:val="00854080"/>
    <w:rsid w:val="00854268"/>
    <w:rsid w:val="00854BEF"/>
    <w:rsid w:val="008567B5"/>
    <w:rsid w:val="00857C36"/>
    <w:rsid w:val="00860336"/>
    <w:rsid w:val="00860C5E"/>
    <w:rsid w:val="00860C71"/>
    <w:rsid w:val="008613B6"/>
    <w:rsid w:val="0086279E"/>
    <w:rsid w:val="008628D2"/>
    <w:rsid w:val="008629E4"/>
    <w:rsid w:val="008638E4"/>
    <w:rsid w:val="00863C02"/>
    <w:rsid w:val="00863FEC"/>
    <w:rsid w:val="008650F2"/>
    <w:rsid w:val="008651F9"/>
    <w:rsid w:val="008654E4"/>
    <w:rsid w:val="008657AA"/>
    <w:rsid w:val="00866332"/>
    <w:rsid w:val="00866B16"/>
    <w:rsid w:val="00866B94"/>
    <w:rsid w:val="00867ED8"/>
    <w:rsid w:val="008704F6"/>
    <w:rsid w:val="008705F9"/>
    <w:rsid w:val="00870755"/>
    <w:rsid w:val="00870ACB"/>
    <w:rsid w:val="0087124B"/>
    <w:rsid w:val="008713E7"/>
    <w:rsid w:val="008717AF"/>
    <w:rsid w:val="00871B34"/>
    <w:rsid w:val="00871F82"/>
    <w:rsid w:val="008720DF"/>
    <w:rsid w:val="00872CB9"/>
    <w:rsid w:val="00872EEB"/>
    <w:rsid w:val="008739AB"/>
    <w:rsid w:val="00873E86"/>
    <w:rsid w:val="008749FD"/>
    <w:rsid w:val="00875228"/>
    <w:rsid w:val="00877D8A"/>
    <w:rsid w:val="008803E4"/>
    <w:rsid w:val="0088053D"/>
    <w:rsid w:val="00880ABF"/>
    <w:rsid w:val="00881112"/>
    <w:rsid w:val="00882269"/>
    <w:rsid w:val="008822D2"/>
    <w:rsid w:val="008822DC"/>
    <w:rsid w:val="008822E2"/>
    <w:rsid w:val="0088316D"/>
    <w:rsid w:val="008831B4"/>
    <w:rsid w:val="008834AA"/>
    <w:rsid w:val="00883BE7"/>
    <w:rsid w:val="00884FEC"/>
    <w:rsid w:val="008850FB"/>
    <w:rsid w:val="008854C6"/>
    <w:rsid w:val="008868EF"/>
    <w:rsid w:val="00886EE6"/>
    <w:rsid w:val="00890B06"/>
    <w:rsid w:val="008910D9"/>
    <w:rsid w:val="008917DC"/>
    <w:rsid w:val="00891B7D"/>
    <w:rsid w:val="00892857"/>
    <w:rsid w:val="00892E77"/>
    <w:rsid w:val="008933AA"/>
    <w:rsid w:val="00893701"/>
    <w:rsid w:val="008937F8"/>
    <w:rsid w:val="00893DB9"/>
    <w:rsid w:val="00893DE0"/>
    <w:rsid w:val="008944FB"/>
    <w:rsid w:val="00896201"/>
    <w:rsid w:val="00896C55"/>
    <w:rsid w:val="00896D27"/>
    <w:rsid w:val="00897BD0"/>
    <w:rsid w:val="00897C8A"/>
    <w:rsid w:val="008A00EB"/>
    <w:rsid w:val="008A1674"/>
    <w:rsid w:val="008A198B"/>
    <w:rsid w:val="008A230A"/>
    <w:rsid w:val="008A2F5F"/>
    <w:rsid w:val="008A439F"/>
    <w:rsid w:val="008A4644"/>
    <w:rsid w:val="008A47B8"/>
    <w:rsid w:val="008A50E0"/>
    <w:rsid w:val="008A50F0"/>
    <w:rsid w:val="008A6C65"/>
    <w:rsid w:val="008A6E66"/>
    <w:rsid w:val="008B094D"/>
    <w:rsid w:val="008B1406"/>
    <w:rsid w:val="008B1618"/>
    <w:rsid w:val="008B2230"/>
    <w:rsid w:val="008B2A9A"/>
    <w:rsid w:val="008B2E4D"/>
    <w:rsid w:val="008B2EB4"/>
    <w:rsid w:val="008B31BD"/>
    <w:rsid w:val="008B3F62"/>
    <w:rsid w:val="008B426B"/>
    <w:rsid w:val="008B4A4F"/>
    <w:rsid w:val="008B4D8D"/>
    <w:rsid w:val="008B5B6B"/>
    <w:rsid w:val="008B608C"/>
    <w:rsid w:val="008B61C6"/>
    <w:rsid w:val="008B672E"/>
    <w:rsid w:val="008B728D"/>
    <w:rsid w:val="008B7A13"/>
    <w:rsid w:val="008B7AE7"/>
    <w:rsid w:val="008B7C26"/>
    <w:rsid w:val="008C1653"/>
    <w:rsid w:val="008C1E20"/>
    <w:rsid w:val="008C1F12"/>
    <w:rsid w:val="008C1FBD"/>
    <w:rsid w:val="008C2DC4"/>
    <w:rsid w:val="008C328D"/>
    <w:rsid w:val="008C3A9A"/>
    <w:rsid w:val="008C4760"/>
    <w:rsid w:val="008C4F5F"/>
    <w:rsid w:val="008C4FC9"/>
    <w:rsid w:val="008C54F6"/>
    <w:rsid w:val="008C59DB"/>
    <w:rsid w:val="008C68EF"/>
    <w:rsid w:val="008C6923"/>
    <w:rsid w:val="008C69B3"/>
    <w:rsid w:val="008D01EA"/>
    <w:rsid w:val="008D0569"/>
    <w:rsid w:val="008D07CB"/>
    <w:rsid w:val="008D08A4"/>
    <w:rsid w:val="008D1461"/>
    <w:rsid w:val="008D2022"/>
    <w:rsid w:val="008D2798"/>
    <w:rsid w:val="008D292F"/>
    <w:rsid w:val="008D3B56"/>
    <w:rsid w:val="008D3C07"/>
    <w:rsid w:val="008D3EED"/>
    <w:rsid w:val="008D4077"/>
    <w:rsid w:val="008D4E33"/>
    <w:rsid w:val="008D4F52"/>
    <w:rsid w:val="008D681D"/>
    <w:rsid w:val="008D7A1C"/>
    <w:rsid w:val="008E0933"/>
    <w:rsid w:val="008E29E6"/>
    <w:rsid w:val="008E31E3"/>
    <w:rsid w:val="008E336A"/>
    <w:rsid w:val="008E36A9"/>
    <w:rsid w:val="008E38E3"/>
    <w:rsid w:val="008E4551"/>
    <w:rsid w:val="008E478A"/>
    <w:rsid w:val="008E48AE"/>
    <w:rsid w:val="008E4CB3"/>
    <w:rsid w:val="008E6DFE"/>
    <w:rsid w:val="008E7626"/>
    <w:rsid w:val="008E78F7"/>
    <w:rsid w:val="008E7C3E"/>
    <w:rsid w:val="008E7F24"/>
    <w:rsid w:val="008F04EF"/>
    <w:rsid w:val="008F0DE0"/>
    <w:rsid w:val="008F1A2F"/>
    <w:rsid w:val="008F229F"/>
    <w:rsid w:val="008F3957"/>
    <w:rsid w:val="008F40AC"/>
    <w:rsid w:val="008F416A"/>
    <w:rsid w:val="008F5310"/>
    <w:rsid w:val="008F54DD"/>
    <w:rsid w:val="008F5B33"/>
    <w:rsid w:val="008F5F55"/>
    <w:rsid w:val="008F657C"/>
    <w:rsid w:val="008F7490"/>
    <w:rsid w:val="008F7910"/>
    <w:rsid w:val="008F7DB8"/>
    <w:rsid w:val="00902822"/>
    <w:rsid w:val="00902F71"/>
    <w:rsid w:val="00903440"/>
    <w:rsid w:val="0090478C"/>
    <w:rsid w:val="00904A7E"/>
    <w:rsid w:val="009050F7"/>
    <w:rsid w:val="009052CF"/>
    <w:rsid w:val="00907ECA"/>
    <w:rsid w:val="00910749"/>
    <w:rsid w:val="00910CF1"/>
    <w:rsid w:val="00910FF4"/>
    <w:rsid w:val="009116B3"/>
    <w:rsid w:val="009129F6"/>
    <w:rsid w:val="00913A6B"/>
    <w:rsid w:val="00913A92"/>
    <w:rsid w:val="00913C4D"/>
    <w:rsid w:val="009141B9"/>
    <w:rsid w:val="009149F2"/>
    <w:rsid w:val="00915290"/>
    <w:rsid w:val="00915A49"/>
    <w:rsid w:val="00915F05"/>
    <w:rsid w:val="0091682B"/>
    <w:rsid w:val="00916F14"/>
    <w:rsid w:val="00917B6B"/>
    <w:rsid w:val="0092001E"/>
    <w:rsid w:val="009209DB"/>
    <w:rsid w:val="00920E86"/>
    <w:rsid w:val="0092233C"/>
    <w:rsid w:val="009226EB"/>
    <w:rsid w:val="00923134"/>
    <w:rsid w:val="009236EE"/>
    <w:rsid w:val="00923B4B"/>
    <w:rsid w:val="00924009"/>
    <w:rsid w:val="00924E1F"/>
    <w:rsid w:val="009250DC"/>
    <w:rsid w:val="00925C32"/>
    <w:rsid w:val="00925FA3"/>
    <w:rsid w:val="009260D3"/>
    <w:rsid w:val="00926142"/>
    <w:rsid w:val="009264DD"/>
    <w:rsid w:val="009273BD"/>
    <w:rsid w:val="009275EE"/>
    <w:rsid w:val="009301C3"/>
    <w:rsid w:val="00930312"/>
    <w:rsid w:val="009314BC"/>
    <w:rsid w:val="00932688"/>
    <w:rsid w:val="009328B4"/>
    <w:rsid w:val="00932A5A"/>
    <w:rsid w:val="00932E5D"/>
    <w:rsid w:val="00934BBA"/>
    <w:rsid w:val="009357E0"/>
    <w:rsid w:val="00935AE5"/>
    <w:rsid w:val="00935B92"/>
    <w:rsid w:val="00937B65"/>
    <w:rsid w:val="00937C46"/>
    <w:rsid w:val="00937EAD"/>
    <w:rsid w:val="009400E9"/>
    <w:rsid w:val="0094012F"/>
    <w:rsid w:val="00941B8A"/>
    <w:rsid w:val="009420AB"/>
    <w:rsid w:val="00942346"/>
    <w:rsid w:val="00942665"/>
    <w:rsid w:val="00942884"/>
    <w:rsid w:val="00943B9B"/>
    <w:rsid w:val="00943F4D"/>
    <w:rsid w:val="0094428A"/>
    <w:rsid w:val="00944542"/>
    <w:rsid w:val="00945C3F"/>
    <w:rsid w:val="009465B4"/>
    <w:rsid w:val="00947970"/>
    <w:rsid w:val="00947C3D"/>
    <w:rsid w:val="00950CB4"/>
    <w:rsid w:val="0095183D"/>
    <w:rsid w:val="00951CEE"/>
    <w:rsid w:val="00952676"/>
    <w:rsid w:val="00952E01"/>
    <w:rsid w:val="009532CD"/>
    <w:rsid w:val="00953978"/>
    <w:rsid w:val="00953C7F"/>
    <w:rsid w:val="00953DFB"/>
    <w:rsid w:val="009545F4"/>
    <w:rsid w:val="00955610"/>
    <w:rsid w:val="00955C8F"/>
    <w:rsid w:val="00956249"/>
    <w:rsid w:val="00957079"/>
    <w:rsid w:val="0096090B"/>
    <w:rsid w:val="00962F9F"/>
    <w:rsid w:val="00962FAD"/>
    <w:rsid w:val="009632E2"/>
    <w:rsid w:val="0096416C"/>
    <w:rsid w:val="00964581"/>
    <w:rsid w:val="00965398"/>
    <w:rsid w:val="00966D01"/>
    <w:rsid w:val="00966D68"/>
    <w:rsid w:val="00966FB3"/>
    <w:rsid w:val="009677F4"/>
    <w:rsid w:val="00967CE7"/>
    <w:rsid w:val="00970741"/>
    <w:rsid w:val="00971E2C"/>
    <w:rsid w:val="00971FE7"/>
    <w:rsid w:val="00972076"/>
    <w:rsid w:val="009738B4"/>
    <w:rsid w:val="00973B7C"/>
    <w:rsid w:val="009748F1"/>
    <w:rsid w:val="00974E7C"/>
    <w:rsid w:val="009750BC"/>
    <w:rsid w:val="00975CB2"/>
    <w:rsid w:val="00975CDF"/>
    <w:rsid w:val="00976D27"/>
    <w:rsid w:val="009774CE"/>
    <w:rsid w:val="00977A77"/>
    <w:rsid w:val="009811C5"/>
    <w:rsid w:val="00981FF1"/>
    <w:rsid w:val="00982B17"/>
    <w:rsid w:val="00983068"/>
    <w:rsid w:val="009830AB"/>
    <w:rsid w:val="009831FF"/>
    <w:rsid w:val="00983C60"/>
    <w:rsid w:val="00983FF2"/>
    <w:rsid w:val="009845AA"/>
    <w:rsid w:val="00984AB1"/>
    <w:rsid w:val="00985910"/>
    <w:rsid w:val="00985D21"/>
    <w:rsid w:val="00985EDE"/>
    <w:rsid w:val="0098633F"/>
    <w:rsid w:val="0098663C"/>
    <w:rsid w:val="00987144"/>
    <w:rsid w:val="0098760A"/>
    <w:rsid w:val="0099107B"/>
    <w:rsid w:val="00991EDB"/>
    <w:rsid w:val="0099236C"/>
    <w:rsid w:val="00992DD3"/>
    <w:rsid w:val="0099359B"/>
    <w:rsid w:val="00993877"/>
    <w:rsid w:val="00993C22"/>
    <w:rsid w:val="00993D0B"/>
    <w:rsid w:val="009945AA"/>
    <w:rsid w:val="009947B4"/>
    <w:rsid w:val="009948E1"/>
    <w:rsid w:val="00994B62"/>
    <w:rsid w:val="009955B8"/>
    <w:rsid w:val="009959AA"/>
    <w:rsid w:val="00995DE7"/>
    <w:rsid w:val="00995E74"/>
    <w:rsid w:val="00995F1B"/>
    <w:rsid w:val="00996355"/>
    <w:rsid w:val="00996AC9"/>
    <w:rsid w:val="00997415"/>
    <w:rsid w:val="009975E3"/>
    <w:rsid w:val="00997711"/>
    <w:rsid w:val="00997DE8"/>
    <w:rsid w:val="00997E77"/>
    <w:rsid w:val="009A0C61"/>
    <w:rsid w:val="009A0C99"/>
    <w:rsid w:val="009A1304"/>
    <w:rsid w:val="009A1D09"/>
    <w:rsid w:val="009A1E11"/>
    <w:rsid w:val="009A1F15"/>
    <w:rsid w:val="009A22B8"/>
    <w:rsid w:val="009A291F"/>
    <w:rsid w:val="009A3529"/>
    <w:rsid w:val="009A447B"/>
    <w:rsid w:val="009A4E6C"/>
    <w:rsid w:val="009A6856"/>
    <w:rsid w:val="009A6B37"/>
    <w:rsid w:val="009A7278"/>
    <w:rsid w:val="009A7B24"/>
    <w:rsid w:val="009B0983"/>
    <w:rsid w:val="009B25E8"/>
    <w:rsid w:val="009B32E2"/>
    <w:rsid w:val="009B37C2"/>
    <w:rsid w:val="009B4591"/>
    <w:rsid w:val="009B5377"/>
    <w:rsid w:val="009B5AFC"/>
    <w:rsid w:val="009B5BF4"/>
    <w:rsid w:val="009B5E78"/>
    <w:rsid w:val="009B5F15"/>
    <w:rsid w:val="009B6BDE"/>
    <w:rsid w:val="009C0A4A"/>
    <w:rsid w:val="009C30D0"/>
    <w:rsid w:val="009C4A1B"/>
    <w:rsid w:val="009C4D4E"/>
    <w:rsid w:val="009C5752"/>
    <w:rsid w:val="009C58FB"/>
    <w:rsid w:val="009C68F1"/>
    <w:rsid w:val="009C6ECF"/>
    <w:rsid w:val="009C78A6"/>
    <w:rsid w:val="009D13FA"/>
    <w:rsid w:val="009D20F1"/>
    <w:rsid w:val="009D22E1"/>
    <w:rsid w:val="009D2616"/>
    <w:rsid w:val="009D4078"/>
    <w:rsid w:val="009D4C1B"/>
    <w:rsid w:val="009D51B3"/>
    <w:rsid w:val="009D5502"/>
    <w:rsid w:val="009D61FD"/>
    <w:rsid w:val="009D6238"/>
    <w:rsid w:val="009D6362"/>
    <w:rsid w:val="009D69D5"/>
    <w:rsid w:val="009D7EA3"/>
    <w:rsid w:val="009E107E"/>
    <w:rsid w:val="009E146D"/>
    <w:rsid w:val="009E1AF4"/>
    <w:rsid w:val="009E204F"/>
    <w:rsid w:val="009E433A"/>
    <w:rsid w:val="009E46A7"/>
    <w:rsid w:val="009E50F0"/>
    <w:rsid w:val="009E628A"/>
    <w:rsid w:val="009E6328"/>
    <w:rsid w:val="009E6C2A"/>
    <w:rsid w:val="009E6F2B"/>
    <w:rsid w:val="009F1476"/>
    <w:rsid w:val="009F1C16"/>
    <w:rsid w:val="009F22E3"/>
    <w:rsid w:val="009F2579"/>
    <w:rsid w:val="009F29D2"/>
    <w:rsid w:val="009F3C4B"/>
    <w:rsid w:val="009F589F"/>
    <w:rsid w:val="009F5BED"/>
    <w:rsid w:val="009F64D2"/>
    <w:rsid w:val="009F6F32"/>
    <w:rsid w:val="009F7C4F"/>
    <w:rsid w:val="00A00448"/>
    <w:rsid w:val="00A01900"/>
    <w:rsid w:val="00A01C92"/>
    <w:rsid w:val="00A027B2"/>
    <w:rsid w:val="00A04784"/>
    <w:rsid w:val="00A05D1F"/>
    <w:rsid w:val="00A06D62"/>
    <w:rsid w:val="00A072FF"/>
    <w:rsid w:val="00A0775E"/>
    <w:rsid w:val="00A07929"/>
    <w:rsid w:val="00A10A0F"/>
    <w:rsid w:val="00A10C91"/>
    <w:rsid w:val="00A11D7D"/>
    <w:rsid w:val="00A12392"/>
    <w:rsid w:val="00A12E7E"/>
    <w:rsid w:val="00A13355"/>
    <w:rsid w:val="00A1380A"/>
    <w:rsid w:val="00A14625"/>
    <w:rsid w:val="00A15153"/>
    <w:rsid w:val="00A16CB7"/>
    <w:rsid w:val="00A1704C"/>
    <w:rsid w:val="00A17704"/>
    <w:rsid w:val="00A1792B"/>
    <w:rsid w:val="00A17A0D"/>
    <w:rsid w:val="00A20887"/>
    <w:rsid w:val="00A20F8D"/>
    <w:rsid w:val="00A218ED"/>
    <w:rsid w:val="00A220C2"/>
    <w:rsid w:val="00A22C21"/>
    <w:rsid w:val="00A2300F"/>
    <w:rsid w:val="00A238D9"/>
    <w:rsid w:val="00A24228"/>
    <w:rsid w:val="00A24AFD"/>
    <w:rsid w:val="00A24FD8"/>
    <w:rsid w:val="00A25047"/>
    <w:rsid w:val="00A254C8"/>
    <w:rsid w:val="00A25F95"/>
    <w:rsid w:val="00A26114"/>
    <w:rsid w:val="00A2613C"/>
    <w:rsid w:val="00A2665F"/>
    <w:rsid w:val="00A27E1E"/>
    <w:rsid w:val="00A27F93"/>
    <w:rsid w:val="00A30BEF"/>
    <w:rsid w:val="00A30E29"/>
    <w:rsid w:val="00A310A5"/>
    <w:rsid w:val="00A31C19"/>
    <w:rsid w:val="00A321F5"/>
    <w:rsid w:val="00A32E07"/>
    <w:rsid w:val="00A32F7D"/>
    <w:rsid w:val="00A332EB"/>
    <w:rsid w:val="00A338E9"/>
    <w:rsid w:val="00A35100"/>
    <w:rsid w:val="00A35872"/>
    <w:rsid w:val="00A35959"/>
    <w:rsid w:val="00A360DC"/>
    <w:rsid w:val="00A3743A"/>
    <w:rsid w:val="00A376DE"/>
    <w:rsid w:val="00A37D4F"/>
    <w:rsid w:val="00A37E62"/>
    <w:rsid w:val="00A40C35"/>
    <w:rsid w:val="00A4110F"/>
    <w:rsid w:val="00A413E3"/>
    <w:rsid w:val="00A42572"/>
    <w:rsid w:val="00A43D78"/>
    <w:rsid w:val="00A4454E"/>
    <w:rsid w:val="00A44CF4"/>
    <w:rsid w:val="00A44E0C"/>
    <w:rsid w:val="00A4508C"/>
    <w:rsid w:val="00A45198"/>
    <w:rsid w:val="00A4596A"/>
    <w:rsid w:val="00A46326"/>
    <w:rsid w:val="00A46E31"/>
    <w:rsid w:val="00A47B18"/>
    <w:rsid w:val="00A503A8"/>
    <w:rsid w:val="00A506D1"/>
    <w:rsid w:val="00A51D42"/>
    <w:rsid w:val="00A52813"/>
    <w:rsid w:val="00A52B52"/>
    <w:rsid w:val="00A53A46"/>
    <w:rsid w:val="00A53BD8"/>
    <w:rsid w:val="00A53C1B"/>
    <w:rsid w:val="00A5494E"/>
    <w:rsid w:val="00A54B8C"/>
    <w:rsid w:val="00A550AE"/>
    <w:rsid w:val="00A55210"/>
    <w:rsid w:val="00A5589C"/>
    <w:rsid w:val="00A56284"/>
    <w:rsid w:val="00A578A8"/>
    <w:rsid w:val="00A5795F"/>
    <w:rsid w:val="00A608C2"/>
    <w:rsid w:val="00A62180"/>
    <w:rsid w:val="00A62516"/>
    <w:rsid w:val="00A634B1"/>
    <w:rsid w:val="00A639D9"/>
    <w:rsid w:val="00A63F68"/>
    <w:rsid w:val="00A649D7"/>
    <w:rsid w:val="00A649E2"/>
    <w:rsid w:val="00A64C5A"/>
    <w:rsid w:val="00A64C88"/>
    <w:rsid w:val="00A652D2"/>
    <w:rsid w:val="00A657B5"/>
    <w:rsid w:val="00A663CC"/>
    <w:rsid w:val="00A6653E"/>
    <w:rsid w:val="00A67666"/>
    <w:rsid w:val="00A67E6C"/>
    <w:rsid w:val="00A67EA6"/>
    <w:rsid w:val="00A7064C"/>
    <w:rsid w:val="00A712F8"/>
    <w:rsid w:val="00A714B5"/>
    <w:rsid w:val="00A72C40"/>
    <w:rsid w:val="00A75475"/>
    <w:rsid w:val="00A75562"/>
    <w:rsid w:val="00A75AF7"/>
    <w:rsid w:val="00A760AA"/>
    <w:rsid w:val="00A7757B"/>
    <w:rsid w:val="00A779A0"/>
    <w:rsid w:val="00A802BE"/>
    <w:rsid w:val="00A8064D"/>
    <w:rsid w:val="00A80C0A"/>
    <w:rsid w:val="00A817F4"/>
    <w:rsid w:val="00A8183C"/>
    <w:rsid w:val="00A81AEE"/>
    <w:rsid w:val="00A81BC7"/>
    <w:rsid w:val="00A832A6"/>
    <w:rsid w:val="00A832F6"/>
    <w:rsid w:val="00A834F4"/>
    <w:rsid w:val="00A837D5"/>
    <w:rsid w:val="00A8385D"/>
    <w:rsid w:val="00A83CCA"/>
    <w:rsid w:val="00A84054"/>
    <w:rsid w:val="00A841B8"/>
    <w:rsid w:val="00A84AA4"/>
    <w:rsid w:val="00A84B32"/>
    <w:rsid w:val="00A85157"/>
    <w:rsid w:val="00A85166"/>
    <w:rsid w:val="00A8537F"/>
    <w:rsid w:val="00A858BC"/>
    <w:rsid w:val="00A8694E"/>
    <w:rsid w:val="00A871B7"/>
    <w:rsid w:val="00A87264"/>
    <w:rsid w:val="00A8765A"/>
    <w:rsid w:val="00A903C8"/>
    <w:rsid w:val="00A90D73"/>
    <w:rsid w:val="00A910D7"/>
    <w:rsid w:val="00A917C9"/>
    <w:rsid w:val="00A91E72"/>
    <w:rsid w:val="00A92D4D"/>
    <w:rsid w:val="00A9400B"/>
    <w:rsid w:val="00A94DB5"/>
    <w:rsid w:val="00A95124"/>
    <w:rsid w:val="00A952A3"/>
    <w:rsid w:val="00A95BD2"/>
    <w:rsid w:val="00A95C6E"/>
    <w:rsid w:val="00A96216"/>
    <w:rsid w:val="00A973AB"/>
    <w:rsid w:val="00A97746"/>
    <w:rsid w:val="00A97FE1"/>
    <w:rsid w:val="00A97FEE"/>
    <w:rsid w:val="00AA024B"/>
    <w:rsid w:val="00AA0FD2"/>
    <w:rsid w:val="00AA2699"/>
    <w:rsid w:val="00AA2ECF"/>
    <w:rsid w:val="00AA3C57"/>
    <w:rsid w:val="00AA4599"/>
    <w:rsid w:val="00AA4ACE"/>
    <w:rsid w:val="00AA4D74"/>
    <w:rsid w:val="00AA526B"/>
    <w:rsid w:val="00AA6706"/>
    <w:rsid w:val="00AA7391"/>
    <w:rsid w:val="00AA7DB7"/>
    <w:rsid w:val="00AB0EB7"/>
    <w:rsid w:val="00AB0FE7"/>
    <w:rsid w:val="00AB136D"/>
    <w:rsid w:val="00AB1711"/>
    <w:rsid w:val="00AB1E03"/>
    <w:rsid w:val="00AB1E4B"/>
    <w:rsid w:val="00AB2152"/>
    <w:rsid w:val="00AB28B4"/>
    <w:rsid w:val="00AB4DB3"/>
    <w:rsid w:val="00AB5150"/>
    <w:rsid w:val="00AB5E2F"/>
    <w:rsid w:val="00AB690C"/>
    <w:rsid w:val="00AB6F66"/>
    <w:rsid w:val="00AB7514"/>
    <w:rsid w:val="00AB7FC7"/>
    <w:rsid w:val="00AC0A7B"/>
    <w:rsid w:val="00AC0B5C"/>
    <w:rsid w:val="00AC0EBE"/>
    <w:rsid w:val="00AC115A"/>
    <w:rsid w:val="00AC1DCC"/>
    <w:rsid w:val="00AC450C"/>
    <w:rsid w:val="00AC5050"/>
    <w:rsid w:val="00AC55FD"/>
    <w:rsid w:val="00AC5AD3"/>
    <w:rsid w:val="00AC7197"/>
    <w:rsid w:val="00AC79AC"/>
    <w:rsid w:val="00AC7E5B"/>
    <w:rsid w:val="00AD00A8"/>
    <w:rsid w:val="00AD0A34"/>
    <w:rsid w:val="00AD0A92"/>
    <w:rsid w:val="00AD1018"/>
    <w:rsid w:val="00AD1A85"/>
    <w:rsid w:val="00AD1C01"/>
    <w:rsid w:val="00AD1D55"/>
    <w:rsid w:val="00AD2473"/>
    <w:rsid w:val="00AD2C25"/>
    <w:rsid w:val="00AD2D28"/>
    <w:rsid w:val="00AD3766"/>
    <w:rsid w:val="00AD396F"/>
    <w:rsid w:val="00AD3E50"/>
    <w:rsid w:val="00AD43C4"/>
    <w:rsid w:val="00AD4BD3"/>
    <w:rsid w:val="00AD4D7B"/>
    <w:rsid w:val="00AD56FE"/>
    <w:rsid w:val="00AD6025"/>
    <w:rsid w:val="00AD61B5"/>
    <w:rsid w:val="00AD6FDA"/>
    <w:rsid w:val="00AD7105"/>
    <w:rsid w:val="00AD716F"/>
    <w:rsid w:val="00AD7A8E"/>
    <w:rsid w:val="00AE0790"/>
    <w:rsid w:val="00AE1427"/>
    <w:rsid w:val="00AE17E0"/>
    <w:rsid w:val="00AE19AC"/>
    <w:rsid w:val="00AE1E2E"/>
    <w:rsid w:val="00AE20E9"/>
    <w:rsid w:val="00AE272D"/>
    <w:rsid w:val="00AE347F"/>
    <w:rsid w:val="00AE37D5"/>
    <w:rsid w:val="00AE3DB2"/>
    <w:rsid w:val="00AE4445"/>
    <w:rsid w:val="00AE5B68"/>
    <w:rsid w:val="00AE61A8"/>
    <w:rsid w:val="00AE6434"/>
    <w:rsid w:val="00AE677A"/>
    <w:rsid w:val="00AE6DD2"/>
    <w:rsid w:val="00AE78D5"/>
    <w:rsid w:val="00AE7C58"/>
    <w:rsid w:val="00AE7FEF"/>
    <w:rsid w:val="00AF0917"/>
    <w:rsid w:val="00AF13D9"/>
    <w:rsid w:val="00AF27A4"/>
    <w:rsid w:val="00AF3263"/>
    <w:rsid w:val="00AF335B"/>
    <w:rsid w:val="00AF4016"/>
    <w:rsid w:val="00AF40FE"/>
    <w:rsid w:val="00AF45AF"/>
    <w:rsid w:val="00AF46AA"/>
    <w:rsid w:val="00AF4C40"/>
    <w:rsid w:val="00AF4CB2"/>
    <w:rsid w:val="00AF5454"/>
    <w:rsid w:val="00AF58F0"/>
    <w:rsid w:val="00AF5E99"/>
    <w:rsid w:val="00AF6AE1"/>
    <w:rsid w:val="00AF6CA4"/>
    <w:rsid w:val="00AF7642"/>
    <w:rsid w:val="00AF7704"/>
    <w:rsid w:val="00AF7D87"/>
    <w:rsid w:val="00B01205"/>
    <w:rsid w:val="00B0173C"/>
    <w:rsid w:val="00B017EE"/>
    <w:rsid w:val="00B0408E"/>
    <w:rsid w:val="00B043D7"/>
    <w:rsid w:val="00B04683"/>
    <w:rsid w:val="00B0531F"/>
    <w:rsid w:val="00B0541A"/>
    <w:rsid w:val="00B0577D"/>
    <w:rsid w:val="00B06BD3"/>
    <w:rsid w:val="00B07450"/>
    <w:rsid w:val="00B10B5F"/>
    <w:rsid w:val="00B10E8B"/>
    <w:rsid w:val="00B10E9C"/>
    <w:rsid w:val="00B1134B"/>
    <w:rsid w:val="00B11775"/>
    <w:rsid w:val="00B118DA"/>
    <w:rsid w:val="00B11905"/>
    <w:rsid w:val="00B129E5"/>
    <w:rsid w:val="00B13972"/>
    <w:rsid w:val="00B13ECF"/>
    <w:rsid w:val="00B14FF9"/>
    <w:rsid w:val="00B15821"/>
    <w:rsid w:val="00B16057"/>
    <w:rsid w:val="00B1616B"/>
    <w:rsid w:val="00B1644F"/>
    <w:rsid w:val="00B16600"/>
    <w:rsid w:val="00B16CF2"/>
    <w:rsid w:val="00B16F23"/>
    <w:rsid w:val="00B17037"/>
    <w:rsid w:val="00B171AC"/>
    <w:rsid w:val="00B205C6"/>
    <w:rsid w:val="00B20ABA"/>
    <w:rsid w:val="00B212BE"/>
    <w:rsid w:val="00B21466"/>
    <w:rsid w:val="00B215E1"/>
    <w:rsid w:val="00B21A08"/>
    <w:rsid w:val="00B222E8"/>
    <w:rsid w:val="00B229A7"/>
    <w:rsid w:val="00B229CC"/>
    <w:rsid w:val="00B22B4F"/>
    <w:rsid w:val="00B22F47"/>
    <w:rsid w:val="00B23D19"/>
    <w:rsid w:val="00B24019"/>
    <w:rsid w:val="00B24349"/>
    <w:rsid w:val="00B2582D"/>
    <w:rsid w:val="00B25A0D"/>
    <w:rsid w:val="00B25CFB"/>
    <w:rsid w:val="00B261C8"/>
    <w:rsid w:val="00B26492"/>
    <w:rsid w:val="00B26AE0"/>
    <w:rsid w:val="00B26BC0"/>
    <w:rsid w:val="00B311AC"/>
    <w:rsid w:val="00B313BE"/>
    <w:rsid w:val="00B315C3"/>
    <w:rsid w:val="00B32743"/>
    <w:rsid w:val="00B343AC"/>
    <w:rsid w:val="00B34D0B"/>
    <w:rsid w:val="00B34E38"/>
    <w:rsid w:val="00B35594"/>
    <w:rsid w:val="00B35605"/>
    <w:rsid w:val="00B36A5F"/>
    <w:rsid w:val="00B36A97"/>
    <w:rsid w:val="00B36D8C"/>
    <w:rsid w:val="00B370FB"/>
    <w:rsid w:val="00B37388"/>
    <w:rsid w:val="00B37D41"/>
    <w:rsid w:val="00B402EA"/>
    <w:rsid w:val="00B41717"/>
    <w:rsid w:val="00B4172F"/>
    <w:rsid w:val="00B422F5"/>
    <w:rsid w:val="00B42E90"/>
    <w:rsid w:val="00B42EA5"/>
    <w:rsid w:val="00B432F4"/>
    <w:rsid w:val="00B43D21"/>
    <w:rsid w:val="00B44128"/>
    <w:rsid w:val="00B4441C"/>
    <w:rsid w:val="00B447F3"/>
    <w:rsid w:val="00B44C09"/>
    <w:rsid w:val="00B45171"/>
    <w:rsid w:val="00B451A1"/>
    <w:rsid w:val="00B45A5A"/>
    <w:rsid w:val="00B462F0"/>
    <w:rsid w:val="00B46CFC"/>
    <w:rsid w:val="00B47D6E"/>
    <w:rsid w:val="00B50571"/>
    <w:rsid w:val="00B517EA"/>
    <w:rsid w:val="00B51FFC"/>
    <w:rsid w:val="00B52516"/>
    <w:rsid w:val="00B52A20"/>
    <w:rsid w:val="00B52CB4"/>
    <w:rsid w:val="00B536C3"/>
    <w:rsid w:val="00B5405F"/>
    <w:rsid w:val="00B547D6"/>
    <w:rsid w:val="00B54A4E"/>
    <w:rsid w:val="00B55EC2"/>
    <w:rsid w:val="00B56426"/>
    <w:rsid w:val="00B56C97"/>
    <w:rsid w:val="00B576B8"/>
    <w:rsid w:val="00B57817"/>
    <w:rsid w:val="00B57C34"/>
    <w:rsid w:val="00B601D7"/>
    <w:rsid w:val="00B60541"/>
    <w:rsid w:val="00B60A8C"/>
    <w:rsid w:val="00B613C0"/>
    <w:rsid w:val="00B61C88"/>
    <w:rsid w:val="00B620D9"/>
    <w:rsid w:val="00B6245C"/>
    <w:rsid w:val="00B6354E"/>
    <w:rsid w:val="00B6384F"/>
    <w:rsid w:val="00B63BCC"/>
    <w:rsid w:val="00B64619"/>
    <w:rsid w:val="00B64D47"/>
    <w:rsid w:val="00B67098"/>
    <w:rsid w:val="00B67C03"/>
    <w:rsid w:val="00B7148E"/>
    <w:rsid w:val="00B71C76"/>
    <w:rsid w:val="00B71E9B"/>
    <w:rsid w:val="00B72881"/>
    <w:rsid w:val="00B73687"/>
    <w:rsid w:val="00B737AD"/>
    <w:rsid w:val="00B7442D"/>
    <w:rsid w:val="00B75354"/>
    <w:rsid w:val="00B7647C"/>
    <w:rsid w:val="00B76C24"/>
    <w:rsid w:val="00B76FA7"/>
    <w:rsid w:val="00B77B76"/>
    <w:rsid w:val="00B77F93"/>
    <w:rsid w:val="00B801E4"/>
    <w:rsid w:val="00B80451"/>
    <w:rsid w:val="00B81289"/>
    <w:rsid w:val="00B813E9"/>
    <w:rsid w:val="00B86853"/>
    <w:rsid w:val="00B86BE6"/>
    <w:rsid w:val="00B87717"/>
    <w:rsid w:val="00B90104"/>
    <w:rsid w:val="00B9044A"/>
    <w:rsid w:val="00B91360"/>
    <w:rsid w:val="00B913E7"/>
    <w:rsid w:val="00B926A1"/>
    <w:rsid w:val="00B928A9"/>
    <w:rsid w:val="00B93D41"/>
    <w:rsid w:val="00B942E8"/>
    <w:rsid w:val="00B944ED"/>
    <w:rsid w:val="00B94BE5"/>
    <w:rsid w:val="00B94D49"/>
    <w:rsid w:val="00B9588B"/>
    <w:rsid w:val="00B965BF"/>
    <w:rsid w:val="00B9798D"/>
    <w:rsid w:val="00BA122A"/>
    <w:rsid w:val="00BA2260"/>
    <w:rsid w:val="00BA2319"/>
    <w:rsid w:val="00BA4212"/>
    <w:rsid w:val="00BA42E8"/>
    <w:rsid w:val="00BA517B"/>
    <w:rsid w:val="00BA5687"/>
    <w:rsid w:val="00BA667B"/>
    <w:rsid w:val="00BA6956"/>
    <w:rsid w:val="00BA6BCF"/>
    <w:rsid w:val="00BA74ED"/>
    <w:rsid w:val="00BA756C"/>
    <w:rsid w:val="00BA7B51"/>
    <w:rsid w:val="00BA7C91"/>
    <w:rsid w:val="00BA7E2C"/>
    <w:rsid w:val="00BB0065"/>
    <w:rsid w:val="00BB0BE7"/>
    <w:rsid w:val="00BB104C"/>
    <w:rsid w:val="00BB18AE"/>
    <w:rsid w:val="00BB198C"/>
    <w:rsid w:val="00BB1B19"/>
    <w:rsid w:val="00BB22AB"/>
    <w:rsid w:val="00BB31F7"/>
    <w:rsid w:val="00BB3E21"/>
    <w:rsid w:val="00BB53EC"/>
    <w:rsid w:val="00BB55A5"/>
    <w:rsid w:val="00BB5BAD"/>
    <w:rsid w:val="00BB619E"/>
    <w:rsid w:val="00BB64EC"/>
    <w:rsid w:val="00BB7D5A"/>
    <w:rsid w:val="00BC2494"/>
    <w:rsid w:val="00BC4155"/>
    <w:rsid w:val="00BC449E"/>
    <w:rsid w:val="00BC60F3"/>
    <w:rsid w:val="00BC6ADA"/>
    <w:rsid w:val="00BC6EEB"/>
    <w:rsid w:val="00BC79D5"/>
    <w:rsid w:val="00BC7ED0"/>
    <w:rsid w:val="00BD1B52"/>
    <w:rsid w:val="00BD301C"/>
    <w:rsid w:val="00BD376E"/>
    <w:rsid w:val="00BD38F4"/>
    <w:rsid w:val="00BD4977"/>
    <w:rsid w:val="00BD49F5"/>
    <w:rsid w:val="00BD4F4E"/>
    <w:rsid w:val="00BD6220"/>
    <w:rsid w:val="00BD6B56"/>
    <w:rsid w:val="00BD6E6F"/>
    <w:rsid w:val="00BD6FC5"/>
    <w:rsid w:val="00BD709B"/>
    <w:rsid w:val="00BE0A75"/>
    <w:rsid w:val="00BE3062"/>
    <w:rsid w:val="00BE33A0"/>
    <w:rsid w:val="00BE35AB"/>
    <w:rsid w:val="00BE3BF5"/>
    <w:rsid w:val="00BE4DD3"/>
    <w:rsid w:val="00BE5326"/>
    <w:rsid w:val="00BE5F94"/>
    <w:rsid w:val="00BE62CA"/>
    <w:rsid w:val="00BE67C9"/>
    <w:rsid w:val="00BE6F48"/>
    <w:rsid w:val="00BEE444"/>
    <w:rsid w:val="00BF102B"/>
    <w:rsid w:val="00BF11E7"/>
    <w:rsid w:val="00BF13E6"/>
    <w:rsid w:val="00BF13FD"/>
    <w:rsid w:val="00BF184F"/>
    <w:rsid w:val="00BF2C9F"/>
    <w:rsid w:val="00BF3473"/>
    <w:rsid w:val="00BF381D"/>
    <w:rsid w:val="00BF3B49"/>
    <w:rsid w:val="00BF3B79"/>
    <w:rsid w:val="00BF45F8"/>
    <w:rsid w:val="00BF4E1B"/>
    <w:rsid w:val="00BF5EB2"/>
    <w:rsid w:val="00BF637C"/>
    <w:rsid w:val="00BF6850"/>
    <w:rsid w:val="00C0089B"/>
    <w:rsid w:val="00C00BC9"/>
    <w:rsid w:val="00C0152F"/>
    <w:rsid w:val="00C03709"/>
    <w:rsid w:val="00C03944"/>
    <w:rsid w:val="00C040D5"/>
    <w:rsid w:val="00C04419"/>
    <w:rsid w:val="00C063EB"/>
    <w:rsid w:val="00C063F4"/>
    <w:rsid w:val="00C06740"/>
    <w:rsid w:val="00C06A28"/>
    <w:rsid w:val="00C06DD4"/>
    <w:rsid w:val="00C07AD6"/>
    <w:rsid w:val="00C10B4D"/>
    <w:rsid w:val="00C10D48"/>
    <w:rsid w:val="00C11710"/>
    <w:rsid w:val="00C11FD6"/>
    <w:rsid w:val="00C12049"/>
    <w:rsid w:val="00C129A6"/>
    <w:rsid w:val="00C1378C"/>
    <w:rsid w:val="00C13CE6"/>
    <w:rsid w:val="00C14B5D"/>
    <w:rsid w:val="00C14D49"/>
    <w:rsid w:val="00C14F87"/>
    <w:rsid w:val="00C15283"/>
    <w:rsid w:val="00C15CA2"/>
    <w:rsid w:val="00C15F61"/>
    <w:rsid w:val="00C16288"/>
    <w:rsid w:val="00C16A0D"/>
    <w:rsid w:val="00C20452"/>
    <w:rsid w:val="00C20631"/>
    <w:rsid w:val="00C21F86"/>
    <w:rsid w:val="00C23705"/>
    <w:rsid w:val="00C23C49"/>
    <w:rsid w:val="00C24823"/>
    <w:rsid w:val="00C249D9"/>
    <w:rsid w:val="00C2500A"/>
    <w:rsid w:val="00C254E5"/>
    <w:rsid w:val="00C25859"/>
    <w:rsid w:val="00C258C2"/>
    <w:rsid w:val="00C25AFC"/>
    <w:rsid w:val="00C25B2B"/>
    <w:rsid w:val="00C25F57"/>
    <w:rsid w:val="00C27221"/>
    <w:rsid w:val="00C3197A"/>
    <w:rsid w:val="00C320F5"/>
    <w:rsid w:val="00C32A17"/>
    <w:rsid w:val="00C32C7D"/>
    <w:rsid w:val="00C33988"/>
    <w:rsid w:val="00C34FC1"/>
    <w:rsid w:val="00C355D2"/>
    <w:rsid w:val="00C35E7D"/>
    <w:rsid w:val="00C35F2F"/>
    <w:rsid w:val="00C35FF5"/>
    <w:rsid w:val="00C37AAF"/>
    <w:rsid w:val="00C40248"/>
    <w:rsid w:val="00C4024B"/>
    <w:rsid w:val="00C4084D"/>
    <w:rsid w:val="00C40A80"/>
    <w:rsid w:val="00C430B0"/>
    <w:rsid w:val="00C4344A"/>
    <w:rsid w:val="00C44A44"/>
    <w:rsid w:val="00C44F97"/>
    <w:rsid w:val="00C453A8"/>
    <w:rsid w:val="00C45540"/>
    <w:rsid w:val="00C459AB"/>
    <w:rsid w:val="00C45AB5"/>
    <w:rsid w:val="00C4685A"/>
    <w:rsid w:val="00C511A0"/>
    <w:rsid w:val="00C515CE"/>
    <w:rsid w:val="00C51919"/>
    <w:rsid w:val="00C527B5"/>
    <w:rsid w:val="00C52C92"/>
    <w:rsid w:val="00C536BF"/>
    <w:rsid w:val="00C536C9"/>
    <w:rsid w:val="00C537AB"/>
    <w:rsid w:val="00C53CEC"/>
    <w:rsid w:val="00C546B8"/>
    <w:rsid w:val="00C548F8"/>
    <w:rsid w:val="00C553F7"/>
    <w:rsid w:val="00C569FB"/>
    <w:rsid w:val="00C56AEB"/>
    <w:rsid w:val="00C604F9"/>
    <w:rsid w:val="00C61029"/>
    <w:rsid w:val="00C6118C"/>
    <w:rsid w:val="00C61475"/>
    <w:rsid w:val="00C61F08"/>
    <w:rsid w:val="00C6289E"/>
    <w:rsid w:val="00C62A11"/>
    <w:rsid w:val="00C63916"/>
    <w:rsid w:val="00C642DB"/>
    <w:rsid w:val="00C64A91"/>
    <w:rsid w:val="00C658E7"/>
    <w:rsid w:val="00C66526"/>
    <w:rsid w:val="00C667BF"/>
    <w:rsid w:val="00C668D2"/>
    <w:rsid w:val="00C66D0C"/>
    <w:rsid w:val="00C6711B"/>
    <w:rsid w:val="00C70C6F"/>
    <w:rsid w:val="00C72DAA"/>
    <w:rsid w:val="00C73DCA"/>
    <w:rsid w:val="00C740A7"/>
    <w:rsid w:val="00C7413A"/>
    <w:rsid w:val="00C74908"/>
    <w:rsid w:val="00C7574E"/>
    <w:rsid w:val="00C765A9"/>
    <w:rsid w:val="00C7764F"/>
    <w:rsid w:val="00C776B7"/>
    <w:rsid w:val="00C776D4"/>
    <w:rsid w:val="00C806C8"/>
    <w:rsid w:val="00C81A14"/>
    <w:rsid w:val="00C82FD2"/>
    <w:rsid w:val="00C842CB"/>
    <w:rsid w:val="00C84996"/>
    <w:rsid w:val="00C85ADD"/>
    <w:rsid w:val="00C86178"/>
    <w:rsid w:val="00C86578"/>
    <w:rsid w:val="00C86D64"/>
    <w:rsid w:val="00C8735C"/>
    <w:rsid w:val="00C876CC"/>
    <w:rsid w:val="00C87A25"/>
    <w:rsid w:val="00C87BC5"/>
    <w:rsid w:val="00C90655"/>
    <w:rsid w:val="00C907E9"/>
    <w:rsid w:val="00C91E5F"/>
    <w:rsid w:val="00C92631"/>
    <w:rsid w:val="00C92B17"/>
    <w:rsid w:val="00C92DDC"/>
    <w:rsid w:val="00C93E91"/>
    <w:rsid w:val="00C94288"/>
    <w:rsid w:val="00C94A70"/>
    <w:rsid w:val="00C95979"/>
    <w:rsid w:val="00C974A3"/>
    <w:rsid w:val="00CA007B"/>
    <w:rsid w:val="00CA015A"/>
    <w:rsid w:val="00CA05D2"/>
    <w:rsid w:val="00CA090F"/>
    <w:rsid w:val="00CA1222"/>
    <w:rsid w:val="00CA18B4"/>
    <w:rsid w:val="00CA29DD"/>
    <w:rsid w:val="00CA30A1"/>
    <w:rsid w:val="00CA36A9"/>
    <w:rsid w:val="00CA57BC"/>
    <w:rsid w:val="00CA5965"/>
    <w:rsid w:val="00CA7596"/>
    <w:rsid w:val="00CA77EA"/>
    <w:rsid w:val="00CA7EEC"/>
    <w:rsid w:val="00CB1030"/>
    <w:rsid w:val="00CB110F"/>
    <w:rsid w:val="00CB12FE"/>
    <w:rsid w:val="00CB15CC"/>
    <w:rsid w:val="00CB2CE0"/>
    <w:rsid w:val="00CB37AA"/>
    <w:rsid w:val="00CB3AAC"/>
    <w:rsid w:val="00CB425D"/>
    <w:rsid w:val="00CB4AFE"/>
    <w:rsid w:val="00CB5C3F"/>
    <w:rsid w:val="00CB635D"/>
    <w:rsid w:val="00CB64D5"/>
    <w:rsid w:val="00CB69E4"/>
    <w:rsid w:val="00CB7261"/>
    <w:rsid w:val="00CB772F"/>
    <w:rsid w:val="00CC1D1B"/>
    <w:rsid w:val="00CC212A"/>
    <w:rsid w:val="00CC290B"/>
    <w:rsid w:val="00CC4023"/>
    <w:rsid w:val="00CC42D8"/>
    <w:rsid w:val="00CC4470"/>
    <w:rsid w:val="00CC4944"/>
    <w:rsid w:val="00CC496D"/>
    <w:rsid w:val="00CC5358"/>
    <w:rsid w:val="00CC5436"/>
    <w:rsid w:val="00CC5A62"/>
    <w:rsid w:val="00CC626A"/>
    <w:rsid w:val="00CC6AB0"/>
    <w:rsid w:val="00CC74E6"/>
    <w:rsid w:val="00CC7CA0"/>
    <w:rsid w:val="00CD1256"/>
    <w:rsid w:val="00CD2125"/>
    <w:rsid w:val="00CD2FB4"/>
    <w:rsid w:val="00CD3094"/>
    <w:rsid w:val="00CD37C2"/>
    <w:rsid w:val="00CD3B54"/>
    <w:rsid w:val="00CD3DD3"/>
    <w:rsid w:val="00CD3EBB"/>
    <w:rsid w:val="00CD3EC9"/>
    <w:rsid w:val="00CD5818"/>
    <w:rsid w:val="00CD5A24"/>
    <w:rsid w:val="00CD6495"/>
    <w:rsid w:val="00CD724A"/>
    <w:rsid w:val="00CD749C"/>
    <w:rsid w:val="00CD7E96"/>
    <w:rsid w:val="00CE04FF"/>
    <w:rsid w:val="00CE09F7"/>
    <w:rsid w:val="00CE1224"/>
    <w:rsid w:val="00CE29B6"/>
    <w:rsid w:val="00CE4AE5"/>
    <w:rsid w:val="00CE543E"/>
    <w:rsid w:val="00CE77CD"/>
    <w:rsid w:val="00CE7987"/>
    <w:rsid w:val="00CF035F"/>
    <w:rsid w:val="00CF2097"/>
    <w:rsid w:val="00CF2CB0"/>
    <w:rsid w:val="00CF2DA4"/>
    <w:rsid w:val="00CF402A"/>
    <w:rsid w:val="00CF4333"/>
    <w:rsid w:val="00CF4C27"/>
    <w:rsid w:val="00CF5CCC"/>
    <w:rsid w:val="00CF66FF"/>
    <w:rsid w:val="00D000E3"/>
    <w:rsid w:val="00D00108"/>
    <w:rsid w:val="00D002A2"/>
    <w:rsid w:val="00D008A4"/>
    <w:rsid w:val="00D0093C"/>
    <w:rsid w:val="00D00A60"/>
    <w:rsid w:val="00D00A61"/>
    <w:rsid w:val="00D00BE1"/>
    <w:rsid w:val="00D01232"/>
    <w:rsid w:val="00D01951"/>
    <w:rsid w:val="00D01AF9"/>
    <w:rsid w:val="00D0265D"/>
    <w:rsid w:val="00D02C53"/>
    <w:rsid w:val="00D02CC4"/>
    <w:rsid w:val="00D03177"/>
    <w:rsid w:val="00D031AF"/>
    <w:rsid w:val="00D034DA"/>
    <w:rsid w:val="00D045EA"/>
    <w:rsid w:val="00D0538C"/>
    <w:rsid w:val="00D06FF8"/>
    <w:rsid w:val="00D0747B"/>
    <w:rsid w:val="00D07A4B"/>
    <w:rsid w:val="00D07B2D"/>
    <w:rsid w:val="00D07C71"/>
    <w:rsid w:val="00D10E38"/>
    <w:rsid w:val="00D11B93"/>
    <w:rsid w:val="00D122C4"/>
    <w:rsid w:val="00D124D8"/>
    <w:rsid w:val="00D126F5"/>
    <w:rsid w:val="00D12A9C"/>
    <w:rsid w:val="00D14213"/>
    <w:rsid w:val="00D145A5"/>
    <w:rsid w:val="00D14780"/>
    <w:rsid w:val="00D152E7"/>
    <w:rsid w:val="00D16F6E"/>
    <w:rsid w:val="00D174A6"/>
    <w:rsid w:val="00D17EBF"/>
    <w:rsid w:val="00D20967"/>
    <w:rsid w:val="00D2116A"/>
    <w:rsid w:val="00D211A2"/>
    <w:rsid w:val="00D21607"/>
    <w:rsid w:val="00D21DA9"/>
    <w:rsid w:val="00D21F82"/>
    <w:rsid w:val="00D2297A"/>
    <w:rsid w:val="00D22A2D"/>
    <w:rsid w:val="00D22A6D"/>
    <w:rsid w:val="00D22CB9"/>
    <w:rsid w:val="00D22E50"/>
    <w:rsid w:val="00D23473"/>
    <w:rsid w:val="00D24009"/>
    <w:rsid w:val="00D24C87"/>
    <w:rsid w:val="00D24E51"/>
    <w:rsid w:val="00D24FFF"/>
    <w:rsid w:val="00D2581D"/>
    <w:rsid w:val="00D2658D"/>
    <w:rsid w:val="00D26924"/>
    <w:rsid w:val="00D26F13"/>
    <w:rsid w:val="00D27205"/>
    <w:rsid w:val="00D27350"/>
    <w:rsid w:val="00D27C42"/>
    <w:rsid w:val="00D3001F"/>
    <w:rsid w:val="00D30800"/>
    <w:rsid w:val="00D30951"/>
    <w:rsid w:val="00D32521"/>
    <w:rsid w:val="00D32931"/>
    <w:rsid w:val="00D33591"/>
    <w:rsid w:val="00D3515D"/>
    <w:rsid w:val="00D35305"/>
    <w:rsid w:val="00D356B5"/>
    <w:rsid w:val="00D35F27"/>
    <w:rsid w:val="00D36373"/>
    <w:rsid w:val="00D3689B"/>
    <w:rsid w:val="00D3710A"/>
    <w:rsid w:val="00D3748F"/>
    <w:rsid w:val="00D377E6"/>
    <w:rsid w:val="00D40C34"/>
    <w:rsid w:val="00D41A9B"/>
    <w:rsid w:val="00D42BB7"/>
    <w:rsid w:val="00D42F49"/>
    <w:rsid w:val="00D43934"/>
    <w:rsid w:val="00D444B0"/>
    <w:rsid w:val="00D44BE4"/>
    <w:rsid w:val="00D44EBC"/>
    <w:rsid w:val="00D451AE"/>
    <w:rsid w:val="00D453DD"/>
    <w:rsid w:val="00D45AD4"/>
    <w:rsid w:val="00D45BF5"/>
    <w:rsid w:val="00D46627"/>
    <w:rsid w:val="00D46CE8"/>
    <w:rsid w:val="00D46F61"/>
    <w:rsid w:val="00D478A0"/>
    <w:rsid w:val="00D47CCB"/>
    <w:rsid w:val="00D50210"/>
    <w:rsid w:val="00D51350"/>
    <w:rsid w:val="00D514BB"/>
    <w:rsid w:val="00D52D7B"/>
    <w:rsid w:val="00D53BA3"/>
    <w:rsid w:val="00D546F0"/>
    <w:rsid w:val="00D55B51"/>
    <w:rsid w:val="00D55F56"/>
    <w:rsid w:val="00D5699B"/>
    <w:rsid w:val="00D56E3B"/>
    <w:rsid w:val="00D5712C"/>
    <w:rsid w:val="00D5719D"/>
    <w:rsid w:val="00D576F2"/>
    <w:rsid w:val="00D578A3"/>
    <w:rsid w:val="00D601E9"/>
    <w:rsid w:val="00D60F3C"/>
    <w:rsid w:val="00D62E3C"/>
    <w:rsid w:val="00D63330"/>
    <w:rsid w:val="00D64714"/>
    <w:rsid w:val="00D65567"/>
    <w:rsid w:val="00D65664"/>
    <w:rsid w:val="00D65D05"/>
    <w:rsid w:val="00D6671B"/>
    <w:rsid w:val="00D66BB6"/>
    <w:rsid w:val="00D66C78"/>
    <w:rsid w:val="00D66D89"/>
    <w:rsid w:val="00D66E74"/>
    <w:rsid w:val="00D671A0"/>
    <w:rsid w:val="00D67252"/>
    <w:rsid w:val="00D674A2"/>
    <w:rsid w:val="00D67708"/>
    <w:rsid w:val="00D67844"/>
    <w:rsid w:val="00D704DA"/>
    <w:rsid w:val="00D71940"/>
    <w:rsid w:val="00D71C0F"/>
    <w:rsid w:val="00D74C42"/>
    <w:rsid w:val="00D74D4C"/>
    <w:rsid w:val="00D7556F"/>
    <w:rsid w:val="00D75882"/>
    <w:rsid w:val="00D7591F"/>
    <w:rsid w:val="00D75B1F"/>
    <w:rsid w:val="00D75F5A"/>
    <w:rsid w:val="00D76DC2"/>
    <w:rsid w:val="00D77C5C"/>
    <w:rsid w:val="00D80402"/>
    <w:rsid w:val="00D81437"/>
    <w:rsid w:val="00D8384A"/>
    <w:rsid w:val="00D83A02"/>
    <w:rsid w:val="00D83BA9"/>
    <w:rsid w:val="00D8408D"/>
    <w:rsid w:val="00D842F6"/>
    <w:rsid w:val="00D84701"/>
    <w:rsid w:val="00D86478"/>
    <w:rsid w:val="00D86E48"/>
    <w:rsid w:val="00D8726B"/>
    <w:rsid w:val="00D874E9"/>
    <w:rsid w:val="00D87851"/>
    <w:rsid w:val="00D87F61"/>
    <w:rsid w:val="00D90EEC"/>
    <w:rsid w:val="00D917CD"/>
    <w:rsid w:val="00D9195D"/>
    <w:rsid w:val="00D9238A"/>
    <w:rsid w:val="00D925EE"/>
    <w:rsid w:val="00D92A79"/>
    <w:rsid w:val="00D92D76"/>
    <w:rsid w:val="00D92FF9"/>
    <w:rsid w:val="00D93D42"/>
    <w:rsid w:val="00D94547"/>
    <w:rsid w:val="00D94A2D"/>
    <w:rsid w:val="00D94B6C"/>
    <w:rsid w:val="00D94B94"/>
    <w:rsid w:val="00D95286"/>
    <w:rsid w:val="00D979A6"/>
    <w:rsid w:val="00D97A58"/>
    <w:rsid w:val="00D97FBD"/>
    <w:rsid w:val="00DA0484"/>
    <w:rsid w:val="00DA06B8"/>
    <w:rsid w:val="00DA07EF"/>
    <w:rsid w:val="00DA0E47"/>
    <w:rsid w:val="00DA0F68"/>
    <w:rsid w:val="00DA1F94"/>
    <w:rsid w:val="00DA236F"/>
    <w:rsid w:val="00DA2482"/>
    <w:rsid w:val="00DA35B0"/>
    <w:rsid w:val="00DA3A1F"/>
    <w:rsid w:val="00DA3E02"/>
    <w:rsid w:val="00DA42FC"/>
    <w:rsid w:val="00DA469D"/>
    <w:rsid w:val="00DA5473"/>
    <w:rsid w:val="00DA65EF"/>
    <w:rsid w:val="00DA6A1B"/>
    <w:rsid w:val="00DA6D0A"/>
    <w:rsid w:val="00DA6FC3"/>
    <w:rsid w:val="00DA7D8E"/>
    <w:rsid w:val="00DB0654"/>
    <w:rsid w:val="00DB06D0"/>
    <w:rsid w:val="00DB071F"/>
    <w:rsid w:val="00DB14EC"/>
    <w:rsid w:val="00DB1D11"/>
    <w:rsid w:val="00DB20A4"/>
    <w:rsid w:val="00DB2408"/>
    <w:rsid w:val="00DB2523"/>
    <w:rsid w:val="00DB25BF"/>
    <w:rsid w:val="00DB3C22"/>
    <w:rsid w:val="00DB3D06"/>
    <w:rsid w:val="00DB4803"/>
    <w:rsid w:val="00DB4C33"/>
    <w:rsid w:val="00DB5271"/>
    <w:rsid w:val="00DB5309"/>
    <w:rsid w:val="00DB626C"/>
    <w:rsid w:val="00DB6430"/>
    <w:rsid w:val="00DB6CB2"/>
    <w:rsid w:val="00DB7E5D"/>
    <w:rsid w:val="00DC0E6F"/>
    <w:rsid w:val="00DC0F61"/>
    <w:rsid w:val="00DC1DA7"/>
    <w:rsid w:val="00DC2340"/>
    <w:rsid w:val="00DC3109"/>
    <w:rsid w:val="00DC4C9F"/>
    <w:rsid w:val="00DC6071"/>
    <w:rsid w:val="00DC7E8A"/>
    <w:rsid w:val="00DD03C4"/>
    <w:rsid w:val="00DD047E"/>
    <w:rsid w:val="00DD08C6"/>
    <w:rsid w:val="00DD0EA7"/>
    <w:rsid w:val="00DD1B33"/>
    <w:rsid w:val="00DD20A1"/>
    <w:rsid w:val="00DD21D8"/>
    <w:rsid w:val="00DD22BA"/>
    <w:rsid w:val="00DD28BC"/>
    <w:rsid w:val="00DD2EAC"/>
    <w:rsid w:val="00DD3296"/>
    <w:rsid w:val="00DD3B1D"/>
    <w:rsid w:val="00DD4DD0"/>
    <w:rsid w:val="00DD4EC1"/>
    <w:rsid w:val="00DD5273"/>
    <w:rsid w:val="00DD594A"/>
    <w:rsid w:val="00DD595A"/>
    <w:rsid w:val="00DD5E6F"/>
    <w:rsid w:val="00DD5E8B"/>
    <w:rsid w:val="00DD6EAF"/>
    <w:rsid w:val="00DD7CAE"/>
    <w:rsid w:val="00DD7E89"/>
    <w:rsid w:val="00DE04DC"/>
    <w:rsid w:val="00DE180F"/>
    <w:rsid w:val="00DE29E6"/>
    <w:rsid w:val="00DE2C2C"/>
    <w:rsid w:val="00DE2FE1"/>
    <w:rsid w:val="00DE335E"/>
    <w:rsid w:val="00DE33E0"/>
    <w:rsid w:val="00DE4204"/>
    <w:rsid w:val="00DE4490"/>
    <w:rsid w:val="00DE47A3"/>
    <w:rsid w:val="00DE532B"/>
    <w:rsid w:val="00DE53A4"/>
    <w:rsid w:val="00DE549C"/>
    <w:rsid w:val="00DE590F"/>
    <w:rsid w:val="00DE59F9"/>
    <w:rsid w:val="00DE5B64"/>
    <w:rsid w:val="00DE5EAC"/>
    <w:rsid w:val="00DE5F30"/>
    <w:rsid w:val="00DE6276"/>
    <w:rsid w:val="00DE66E4"/>
    <w:rsid w:val="00DE7B4C"/>
    <w:rsid w:val="00DF06D8"/>
    <w:rsid w:val="00DF09D3"/>
    <w:rsid w:val="00DF1869"/>
    <w:rsid w:val="00DF1D36"/>
    <w:rsid w:val="00DF31A8"/>
    <w:rsid w:val="00DF3973"/>
    <w:rsid w:val="00DF5365"/>
    <w:rsid w:val="00DF5A2C"/>
    <w:rsid w:val="00DF5C37"/>
    <w:rsid w:val="00DF5D6E"/>
    <w:rsid w:val="00DF67B7"/>
    <w:rsid w:val="00DF70D4"/>
    <w:rsid w:val="00E0051E"/>
    <w:rsid w:val="00E0055C"/>
    <w:rsid w:val="00E00E50"/>
    <w:rsid w:val="00E02327"/>
    <w:rsid w:val="00E0263F"/>
    <w:rsid w:val="00E033A7"/>
    <w:rsid w:val="00E0390D"/>
    <w:rsid w:val="00E03BE9"/>
    <w:rsid w:val="00E04007"/>
    <w:rsid w:val="00E04133"/>
    <w:rsid w:val="00E046BC"/>
    <w:rsid w:val="00E04913"/>
    <w:rsid w:val="00E06852"/>
    <w:rsid w:val="00E06E46"/>
    <w:rsid w:val="00E06E91"/>
    <w:rsid w:val="00E10435"/>
    <w:rsid w:val="00E10498"/>
    <w:rsid w:val="00E108E3"/>
    <w:rsid w:val="00E121E5"/>
    <w:rsid w:val="00E12AF8"/>
    <w:rsid w:val="00E15AD4"/>
    <w:rsid w:val="00E172D9"/>
    <w:rsid w:val="00E17911"/>
    <w:rsid w:val="00E209A6"/>
    <w:rsid w:val="00E21944"/>
    <w:rsid w:val="00E2281F"/>
    <w:rsid w:val="00E22943"/>
    <w:rsid w:val="00E22E87"/>
    <w:rsid w:val="00E23358"/>
    <w:rsid w:val="00E2464E"/>
    <w:rsid w:val="00E24941"/>
    <w:rsid w:val="00E24CBB"/>
    <w:rsid w:val="00E24E1E"/>
    <w:rsid w:val="00E250AB"/>
    <w:rsid w:val="00E250D5"/>
    <w:rsid w:val="00E25F2A"/>
    <w:rsid w:val="00E26948"/>
    <w:rsid w:val="00E2717A"/>
    <w:rsid w:val="00E31E9D"/>
    <w:rsid w:val="00E3248B"/>
    <w:rsid w:val="00E3256B"/>
    <w:rsid w:val="00E327B7"/>
    <w:rsid w:val="00E33298"/>
    <w:rsid w:val="00E345CD"/>
    <w:rsid w:val="00E34843"/>
    <w:rsid w:val="00E34BB4"/>
    <w:rsid w:val="00E35C79"/>
    <w:rsid w:val="00E36129"/>
    <w:rsid w:val="00E363A8"/>
    <w:rsid w:val="00E404BC"/>
    <w:rsid w:val="00E40928"/>
    <w:rsid w:val="00E417F5"/>
    <w:rsid w:val="00E4294D"/>
    <w:rsid w:val="00E42E06"/>
    <w:rsid w:val="00E4345D"/>
    <w:rsid w:val="00E43952"/>
    <w:rsid w:val="00E43A2A"/>
    <w:rsid w:val="00E43ED2"/>
    <w:rsid w:val="00E44AED"/>
    <w:rsid w:val="00E464AB"/>
    <w:rsid w:val="00E46AFC"/>
    <w:rsid w:val="00E470E7"/>
    <w:rsid w:val="00E476FF"/>
    <w:rsid w:val="00E47E84"/>
    <w:rsid w:val="00E51348"/>
    <w:rsid w:val="00E516FC"/>
    <w:rsid w:val="00E52460"/>
    <w:rsid w:val="00E524B8"/>
    <w:rsid w:val="00E54588"/>
    <w:rsid w:val="00E54C9F"/>
    <w:rsid w:val="00E55147"/>
    <w:rsid w:val="00E60694"/>
    <w:rsid w:val="00E61131"/>
    <w:rsid w:val="00E616F3"/>
    <w:rsid w:val="00E61BFA"/>
    <w:rsid w:val="00E626B5"/>
    <w:rsid w:val="00E62B3B"/>
    <w:rsid w:val="00E632FF"/>
    <w:rsid w:val="00E634AE"/>
    <w:rsid w:val="00E636D8"/>
    <w:rsid w:val="00E64B30"/>
    <w:rsid w:val="00E65315"/>
    <w:rsid w:val="00E65CFC"/>
    <w:rsid w:val="00E65E85"/>
    <w:rsid w:val="00E66DAA"/>
    <w:rsid w:val="00E67935"/>
    <w:rsid w:val="00E67A22"/>
    <w:rsid w:val="00E67B83"/>
    <w:rsid w:val="00E7088F"/>
    <w:rsid w:val="00E713F5"/>
    <w:rsid w:val="00E71B49"/>
    <w:rsid w:val="00E71FF1"/>
    <w:rsid w:val="00E72C74"/>
    <w:rsid w:val="00E731FD"/>
    <w:rsid w:val="00E739BC"/>
    <w:rsid w:val="00E73F36"/>
    <w:rsid w:val="00E73FF4"/>
    <w:rsid w:val="00E745CE"/>
    <w:rsid w:val="00E74871"/>
    <w:rsid w:val="00E74EE0"/>
    <w:rsid w:val="00E75A7F"/>
    <w:rsid w:val="00E75AE5"/>
    <w:rsid w:val="00E75D43"/>
    <w:rsid w:val="00E764BE"/>
    <w:rsid w:val="00E76569"/>
    <w:rsid w:val="00E7685C"/>
    <w:rsid w:val="00E76F47"/>
    <w:rsid w:val="00E7776C"/>
    <w:rsid w:val="00E800ED"/>
    <w:rsid w:val="00E808EC"/>
    <w:rsid w:val="00E811E7"/>
    <w:rsid w:val="00E81539"/>
    <w:rsid w:val="00E8237B"/>
    <w:rsid w:val="00E82462"/>
    <w:rsid w:val="00E8276B"/>
    <w:rsid w:val="00E83146"/>
    <w:rsid w:val="00E83764"/>
    <w:rsid w:val="00E840CC"/>
    <w:rsid w:val="00E843DA"/>
    <w:rsid w:val="00E8453D"/>
    <w:rsid w:val="00E846D6"/>
    <w:rsid w:val="00E8494D"/>
    <w:rsid w:val="00E85132"/>
    <w:rsid w:val="00E85195"/>
    <w:rsid w:val="00E85522"/>
    <w:rsid w:val="00E8762E"/>
    <w:rsid w:val="00E87D05"/>
    <w:rsid w:val="00E87D74"/>
    <w:rsid w:val="00E916D0"/>
    <w:rsid w:val="00E92878"/>
    <w:rsid w:val="00E936D6"/>
    <w:rsid w:val="00E9403B"/>
    <w:rsid w:val="00E94384"/>
    <w:rsid w:val="00E949C9"/>
    <w:rsid w:val="00E950EC"/>
    <w:rsid w:val="00E96F24"/>
    <w:rsid w:val="00E97433"/>
    <w:rsid w:val="00E97774"/>
    <w:rsid w:val="00EA0190"/>
    <w:rsid w:val="00EA1300"/>
    <w:rsid w:val="00EA1474"/>
    <w:rsid w:val="00EA1B08"/>
    <w:rsid w:val="00EA231C"/>
    <w:rsid w:val="00EA26D1"/>
    <w:rsid w:val="00EA3847"/>
    <w:rsid w:val="00EA395D"/>
    <w:rsid w:val="00EA4D04"/>
    <w:rsid w:val="00EA54C7"/>
    <w:rsid w:val="00EA598D"/>
    <w:rsid w:val="00EA67AA"/>
    <w:rsid w:val="00EA79EC"/>
    <w:rsid w:val="00EB00B0"/>
    <w:rsid w:val="00EB24EC"/>
    <w:rsid w:val="00EB297E"/>
    <w:rsid w:val="00EB2ACF"/>
    <w:rsid w:val="00EB2B81"/>
    <w:rsid w:val="00EB2BB4"/>
    <w:rsid w:val="00EB2C00"/>
    <w:rsid w:val="00EB2C2F"/>
    <w:rsid w:val="00EB2C33"/>
    <w:rsid w:val="00EB3A58"/>
    <w:rsid w:val="00EB3E43"/>
    <w:rsid w:val="00EB3E75"/>
    <w:rsid w:val="00EB3FA6"/>
    <w:rsid w:val="00EB3FFE"/>
    <w:rsid w:val="00EB48C6"/>
    <w:rsid w:val="00EB4B44"/>
    <w:rsid w:val="00EB4C62"/>
    <w:rsid w:val="00EB5435"/>
    <w:rsid w:val="00EB5470"/>
    <w:rsid w:val="00EB55C6"/>
    <w:rsid w:val="00EB5C80"/>
    <w:rsid w:val="00EB5F75"/>
    <w:rsid w:val="00EB6F15"/>
    <w:rsid w:val="00EB707C"/>
    <w:rsid w:val="00EB74D5"/>
    <w:rsid w:val="00EB7BEB"/>
    <w:rsid w:val="00EC042C"/>
    <w:rsid w:val="00EC0913"/>
    <w:rsid w:val="00EC0C77"/>
    <w:rsid w:val="00EC0CC9"/>
    <w:rsid w:val="00EC1149"/>
    <w:rsid w:val="00EC120D"/>
    <w:rsid w:val="00EC2923"/>
    <w:rsid w:val="00EC32E4"/>
    <w:rsid w:val="00EC3B92"/>
    <w:rsid w:val="00EC414F"/>
    <w:rsid w:val="00EC42E3"/>
    <w:rsid w:val="00EC4D37"/>
    <w:rsid w:val="00EC4E3C"/>
    <w:rsid w:val="00EC594A"/>
    <w:rsid w:val="00EC5ABD"/>
    <w:rsid w:val="00EC6C56"/>
    <w:rsid w:val="00EC70F8"/>
    <w:rsid w:val="00EC7B82"/>
    <w:rsid w:val="00ED0399"/>
    <w:rsid w:val="00ED06F6"/>
    <w:rsid w:val="00ED07D8"/>
    <w:rsid w:val="00ED093B"/>
    <w:rsid w:val="00ED0A92"/>
    <w:rsid w:val="00ED1594"/>
    <w:rsid w:val="00ED1693"/>
    <w:rsid w:val="00ED1A6D"/>
    <w:rsid w:val="00ED2BEF"/>
    <w:rsid w:val="00ED2C98"/>
    <w:rsid w:val="00ED422D"/>
    <w:rsid w:val="00ED4505"/>
    <w:rsid w:val="00ED4E7E"/>
    <w:rsid w:val="00ED5882"/>
    <w:rsid w:val="00ED6607"/>
    <w:rsid w:val="00ED6F25"/>
    <w:rsid w:val="00ED713A"/>
    <w:rsid w:val="00ED7800"/>
    <w:rsid w:val="00ED7F2A"/>
    <w:rsid w:val="00EE01B7"/>
    <w:rsid w:val="00EE01C0"/>
    <w:rsid w:val="00EE037A"/>
    <w:rsid w:val="00EE117B"/>
    <w:rsid w:val="00EE18A5"/>
    <w:rsid w:val="00EE1DC7"/>
    <w:rsid w:val="00EE2E72"/>
    <w:rsid w:val="00EE3355"/>
    <w:rsid w:val="00EE65C9"/>
    <w:rsid w:val="00EE6A13"/>
    <w:rsid w:val="00EE7068"/>
    <w:rsid w:val="00EE72AF"/>
    <w:rsid w:val="00EE74D0"/>
    <w:rsid w:val="00EF0002"/>
    <w:rsid w:val="00EF0E38"/>
    <w:rsid w:val="00EF0EAA"/>
    <w:rsid w:val="00EF1D3E"/>
    <w:rsid w:val="00EF24A6"/>
    <w:rsid w:val="00EF4254"/>
    <w:rsid w:val="00EF4941"/>
    <w:rsid w:val="00EF52A7"/>
    <w:rsid w:val="00EF5706"/>
    <w:rsid w:val="00EF5E00"/>
    <w:rsid w:val="00EF61E0"/>
    <w:rsid w:val="00EF6B6A"/>
    <w:rsid w:val="00EF7559"/>
    <w:rsid w:val="00EF7628"/>
    <w:rsid w:val="00EF77A8"/>
    <w:rsid w:val="00EF7F5E"/>
    <w:rsid w:val="00F002BA"/>
    <w:rsid w:val="00F006B8"/>
    <w:rsid w:val="00F00765"/>
    <w:rsid w:val="00F00987"/>
    <w:rsid w:val="00F00D32"/>
    <w:rsid w:val="00F00DB6"/>
    <w:rsid w:val="00F015E1"/>
    <w:rsid w:val="00F01630"/>
    <w:rsid w:val="00F017E9"/>
    <w:rsid w:val="00F01DFB"/>
    <w:rsid w:val="00F022E0"/>
    <w:rsid w:val="00F024BB"/>
    <w:rsid w:val="00F029F9"/>
    <w:rsid w:val="00F038E8"/>
    <w:rsid w:val="00F044B1"/>
    <w:rsid w:val="00F0462C"/>
    <w:rsid w:val="00F04ADF"/>
    <w:rsid w:val="00F04B8E"/>
    <w:rsid w:val="00F05598"/>
    <w:rsid w:val="00F05F44"/>
    <w:rsid w:val="00F0671C"/>
    <w:rsid w:val="00F0687C"/>
    <w:rsid w:val="00F06B37"/>
    <w:rsid w:val="00F07418"/>
    <w:rsid w:val="00F124D7"/>
    <w:rsid w:val="00F12676"/>
    <w:rsid w:val="00F132CE"/>
    <w:rsid w:val="00F13D1D"/>
    <w:rsid w:val="00F141CF"/>
    <w:rsid w:val="00F145D4"/>
    <w:rsid w:val="00F14E05"/>
    <w:rsid w:val="00F14F16"/>
    <w:rsid w:val="00F15F05"/>
    <w:rsid w:val="00F15F33"/>
    <w:rsid w:val="00F164BC"/>
    <w:rsid w:val="00F1681E"/>
    <w:rsid w:val="00F16C19"/>
    <w:rsid w:val="00F178A7"/>
    <w:rsid w:val="00F17D5B"/>
    <w:rsid w:val="00F212E0"/>
    <w:rsid w:val="00F21917"/>
    <w:rsid w:val="00F21CB9"/>
    <w:rsid w:val="00F21ED9"/>
    <w:rsid w:val="00F21F18"/>
    <w:rsid w:val="00F22A1F"/>
    <w:rsid w:val="00F22E21"/>
    <w:rsid w:val="00F24666"/>
    <w:rsid w:val="00F248A9"/>
    <w:rsid w:val="00F2514B"/>
    <w:rsid w:val="00F253C6"/>
    <w:rsid w:val="00F25907"/>
    <w:rsid w:val="00F25CBD"/>
    <w:rsid w:val="00F25D35"/>
    <w:rsid w:val="00F26298"/>
    <w:rsid w:val="00F265E7"/>
    <w:rsid w:val="00F26FB4"/>
    <w:rsid w:val="00F2742D"/>
    <w:rsid w:val="00F27810"/>
    <w:rsid w:val="00F300E1"/>
    <w:rsid w:val="00F302FD"/>
    <w:rsid w:val="00F30621"/>
    <w:rsid w:val="00F30759"/>
    <w:rsid w:val="00F30F3A"/>
    <w:rsid w:val="00F3145F"/>
    <w:rsid w:val="00F317AA"/>
    <w:rsid w:val="00F319BD"/>
    <w:rsid w:val="00F323A9"/>
    <w:rsid w:val="00F3271B"/>
    <w:rsid w:val="00F33BFE"/>
    <w:rsid w:val="00F33F7A"/>
    <w:rsid w:val="00F34937"/>
    <w:rsid w:val="00F35EE0"/>
    <w:rsid w:val="00F364AA"/>
    <w:rsid w:val="00F36541"/>
    <w:rsid w:val="00F3682C"/>
    <w:rsid w:val="00F37522"/>
    <w:rsid w:val="00F401AD"/>
    <w:rsid w:val="00F412B8"/>
    <w:rsid w:val="00F4149A"/>
    <w:rsid w:val="00F4167C"/>
    <w:rsid w:val="00F420D2"/>
    <w:rsid w:val="00F437B4"/>
    <w:rsid w:val="00F438BB"/>
    <w:rsid w:val="00F43FCB"/>
    <w:rsid w:val="00F45203"/>
    <w:rsid w:val="00F45B7D"/>
    <w:rsid w:val="00F45E12"/>
    <w:rsid w:val="00F4744F"/>
    <w:rsid w:val="00F47B32"/>
    <w:rsid w:val="00F47CC8"/>
    <w:rsid w:val="00F5082A"/>
    <w:rsid w:val="00F50DF8"/>
    <w:rsid w:val="00F5209E"/>
    <w:rsid w:val="00F520C5"/>
    <w:rsid w:val="00F52342"/>
    <w:rsid w:val="00F52674"/>
    <w:rsid w:val="00F52B0A"/>
    <w:rsid w:val="00F532C4"/>
    <w:rsid w:val="00F53790"/>
    <w:rsid w:val="00F54963"/>
    <w:rsid w:val="00F551F1"/>
    <w:rsid w:val="00F55A7F"/>
    <w:rsid w:val="00F55E38"/>
    <w:rsid w:val="00F569EB"/>
    <w:rsid w:val="00F56CB9"/>
    <w:rsid w:val="00F5753B"/>
    <w:rsid w:val="00F60416"/>
    <w:rsid w:val="00F60533"/>
    <w:rsid w:val="00F605A1"/>
    <w:rsid w:val="00F60D51"/>
    <w:rsid w:val="00F61429"/>
    <w:rsid w:val="00F63020"/>
    <w:rsid w:val="00F637D0"/>
    <w:rsid w:val="00F63DE1"/>
    <w:rsid w:val="00F641D8"/>
    <w:rsid w:val="00F64891"/>
    <w:rsid w:val="00F64B8D"/>
    <w:rsid w:val="00F656EF"/>
    <w:rsid w:val="00F65755"/>
    <w:rsid w:val="00F65A77"/>
    <w:rsid w:val="00F6655D"/>
    <w:rsid w:val="00F66852"/>
    <w:rsid w:val="00F66E26"/>
    <w:rsid w:val="00F66E61"/>
    <w:rsid w:val="00F675BB"/>
    <w:rsid w:val="00F678CB"/>
    <w:rsid w:val="00F67C50"/>
    <w:rsid w:val="00F67F98"/>
    <w:rsid w:val="00F705EE"/>
    <w:rsid w:val="00F70987"/>
    <w:rsid w:val="00F709FE"/>
    <w:rsid w:val="00F70F39"/>
    <w:rsid w:val="00F70FBA"/>
    <w:rsid w:val="00F713E1"/>
    <w:rsid w:val="00F72D63"/>
    <w:rsid w:val="00F732CE"/>
    <w:rsid w:val="00F73592"/>
    <w:rsid w:val="00F73B9D"/>
    <w:rsid w:val="00F743BE"/>
    <w:rsid w:val="00F74DD7"/>
    <w:rsid w:val="00F75CDA"/>
    <w:rsid w:val="00F76096"/>
    <w:rsid w:val="00F765C8"/>
    <w:rsid w:val="00F77577"/>
    <w:rsid w:val="00F77CFE"/>
    <w:rsid w:val="00F77E5C"/>
    <w:rsid w:val="00F807F5"/>
    <w:rsid w:val="00F80934"/>
    <w:rsid w:val="00F81528"/>
    <w:rsid w:val="00F826DE"/>
    <w:rsid w:val="00F833DA"/>
    <w:rsid w:val="00F83406"/>
    <w:rsid w:val="00F83C80"/>
    <w:rsid w:val="00F84276"/>
    <w:rsid w:val="00F849E6"/>
    <w:rsid w:val="00F84B4A"/>
    <w:rsid w:val="00F85354"/>
    <w:rsid w:val="00F85422"/>
    <w:rsid w:val="00F8678C"/>
    <w:rsid w:val="00F87F07"/>
    <w:rsid w:val="00F90612"/>
    <w:rsid w:val="00F915DE"/>
    <w:rsid w:val="00F9170C"/>
    <w:rsid w:val="00F92225"/>
    <w:rsid w:val="00F92248"/>
    <w:rsid w:val="00F929EA"/>
    <w:rsid w:val="00F92C18"/>
    <w:rsid w:val="00F93003"/>
    <w:rsid w:val="00F930CD"/>
    <w:rsid w:val="00F934A5"/>
    <w:rsid w:val="00F93F37"/>
    <w:rsid w:val="00F94047"/>
    <w:rsid w:val="00F9620B"/>
    <w:rsid w:val="00F96722"/>
    <w:rsid w:val="00F96A83"/>
    <w:rsid w:val="00F96B9E"/>
    <w:rsid w:val="00F97FD1"/>
    <w:rsid w:val="00FA0CD3"/>
    <w:rsid w:val="00FA103F"/>
    <w:rsid w:val="00FA1985"/>
    <w:rsid w:val="00FA331C"/>
    <w:rsid w:val="00FA363C"/>
    <w:rsid w:val="00FA36C8"/>
    <w:rsid w:val="00FA3891"/>
    <w:rsid w:val="00FA3CF4"/>
    <w:rsid w:val="00FA4444"/>
    <w:rsid w:val="00FA540B"/>
    <w:rsid w:val="00FA561B"/>
    <w:rsid w:val="00FA594F"/>
    <w:rsid w:val="00FA59CE"/>
    <w:rsid w:val="00FA5BB6"/>
    <w:rsid w:val="00FA5C67"/>
    <w:rsid w:val="00FA5CB8"/>
    <w:rsid w:val="00FA7581"/>
    <w:rsid w:val="00FA777B"/>
    <w:rsid w:val="00FB0638"/>
    <w:rsid w:val="00FB084B"/>
    <w:rsid w:val="00FB087A"/>
    <w:rsid w:val="00FB1573"/>
    <w:rsid w:val="00FB1CF3"/>
    <w:rsid w:val="00FB3B3E"/>
    <w:rsid w:val="00FB3D51"/>
    <w:rsid w:val="00FB3FAF"/>
    <w:rsid w:val="00FB457F"/>
    <w:rsid w:val="00FB4BA9"/>
    <w:rsid w:val="00FB4C06"/>
    <w:rsid w:val="00FB4F59"/>
    <w:rsid w:val="00FB50BD"/>
    <w:rsid w:val="00FB582D"/>
    <w:rsid w:val="00FB5955"/>
    <w:rsid w:val="00FB5FA3"/>
    <w:rsid w:val="00FB62D1"/>
    <w:rsid w:val="00FB6F57"/>
    <w:rsid w:val="00FB752C"/>
    <w:rsid w:val="00FB781B"/>
    <w:rsid w:val="00FC019C"/>
    <w:rsid w:val="00FC0475"/>
    <w:rsid w:val="00FC0907"/>
    <w:rsid w:val="00FC0C90"/>
    <w:rsid w:val="00FC2380"/>
    <w:rsid w:val="00FC2C2E"/>
    <w:rsid w:val="00FC2EE3"/>
    <w:rsid w:val="00FC30B3"/>
    <w:rsid w:val="00FC39FC"/>
    <w:rsid w:val="00FC3C20"/>
    <w:rsid w:val="00FC459F"/>
    <w:rsid w:val="00FC4602"/>
    <w:rsid w:val="00FC4AE7"/>
    <w:rsid w:val="00FC4D83"/>
    <w:rsid w:val="00FC56CB"/>
    <w:rsid w:val="00FC65FD"/>
    <w:rsid w:val="00FC6EC9"/>
    <w:rsid w:val="00FC6F01"/>
    <w:rsid w:val="00FC71F6"/>
    <w:rsid w:val="00FC7630"/>
    <w:rsid w:val="00FC7DBF"/>
    <w:rsid w:val="00FD0DC4"/>
    <w:rsid w:val="00FD12F6"/>
    <w:rsid w:val="00FD13BC"/>
    <w:rsid w:val="00FD1E7B"/>
    <w:rsid w:val="00FD287F"/>
    <w:rsid w:val="00FD29D3"/>
    <w:rsid w:val="00FD41F1"/>
    <w:rsid w:val="00FD481F"/>
    <w:rsid w:val="00FD5107"/>
    <w:rsid w:val="00FD51B7"/>
    <w:rsid w:val="00FD5A30"/>
    <w:rsid w:val="00FD6234"/>
    <w:rsid w:val="00FD6B8E"/>
    <w:rsid w:val="00FE022A"/>
    <w:rsid w:val="00FE0777"/>
    <w:rsid w:val="00FE27C5"/>
    <w:rsid w:val="00FE28FE"/>
    <w:rsid w:val="00FE2F6B"/>
    <w:rsid w:val="00FE3066"/>
    <w:rsid w:val="00FE3BD6"/>
    <w:rsid w:val="00FE3DC1"/>
    <w:rsid w:val="00FE47D6"/>
    <w:rsid w:val="00FE4AB1"/>
    <w:rsid w:val="00FE5852"/>
    <w:rsid w:val="00FE63EF"/>
    <w:rsid w:val="00FE6E75"/>
    <w:rsid w:val="00FE7488"/>
    <w:rsid w:val="00FE75CF"/>
    <w:rsid w:val="00FF0AD2"/>
    <w:rsid w:val="00FF0CB0"/>
    <w:rsid w:val="00FF7171"/>
    <w:rsid w:val="00FF7270"/>
    <w:rsid w:val="00FF7F9F"/>
    <w:rsid w:val="01165DEC"/>
    <w:rsid w:val="0132E13C"/>
    <w:rsid w:val="0134DD4C"/>
    <w:rsid w:val="0172E42B"/>
    <w:rsid w:val="01FAA0E7"/>
    <w:rsid w:val="020985C6"/>
    <w:rsid w:val="0237A919"/>
    <w:rsid w:val="02B1E739"/>
    <w:rsid w:val="037B8F7F"/>
    <w:rsid w:val="04DC5F7A"/>
    <w:rsid w:val="06A2866F"/>
    <w:rsid w:val="06CEF33D"/>
    <w:rsid w:val="07160C2A"/>
    <w:rsid w:val="075B429A"/>
    <w:rsid w:val="0853E702"/>
    <w:rsid w:val="08952DE7"/>
    <w:rsid w:val="09BB128D"/>
    <w:rsid w:val="0A8FB66F"/>
    <w:rsid w:val="0CB62952"/>
    <w:rsid w:val="0D6D3294"/>
    <w:rsid w:val="0E6208EE"/>
    <w:rsid w:val="10762DCE"/>
    <w:rsid w:val="1199E892"/>
    <w:rsid w:val="13064368"/>
    <w:rsid w:val="132FDF74"/>
    <w:rsid w:val="1334E93E"/>
    <w:rsid w:val="142EDBE5"/>
    <w:rsid w:val="144A75D6"/>
    <w:rsid w:val="1506C19B"/>
    <w:rsid w:val="1659C768"/>
    <w:rsid w:val="180F2189"/>
    <w:rsid w:val="1848B6AF"/>
    <w:rsid w:val="1878E58F"/>
    <w:rsid w:val="199314AA"/>
    <w:rsid w:val="19FC8015"/>
    <w:rsid w:val="1A1BD66E"/>
    <w:rsid w:val="1A2B2431"/>
    <w:rsid w:val="1ACF2D25"/>
    <w:rsid w:val="1B3330C7"/>
    <w:rsid w:val="1BC77D5D"/>
    <w:rsid w:val="1DE3E4F3"/>
    <w:rsid w:val="1E7A8881"/>
    <w:rsid w:val="1EF3C17A"/>
    <w:rsid w:val="1F619F32"/>
    <w:rsid w:val="1FA936DA"/>
    <w:rsid w:val="1FD7FE3B"/>
    <w:rsid w:val="21A71910"/>
    <w:rsid w:val="21AD3337"/>
    <w:rsid w:val="223859DA"/>
    <w:rsid w:val="22BEBCBB"/>
    <w:rsid w:val="233CFAB5"/>
    <w:rsid w:val="23A5A584"/>
    <w:rsid w:val="24D63011"/>
    <w:rsid w:val="24F8825B"/>
    <w:rsid w:val="25BA8F9D"/>
    <w:rsid w:val="25ED3713"/>
    <w:rsid w:val="263E41F8"/>
    <w:rsid w:val="26BE69AF"/>
    <w:rsid w:val="27DE37F8"/>
    <w:rsid w:val="280DD427"/>
    <w:rsid w:val="2810302F"/>
    <w:rsid w:val="2885B897"/>
    <w:rsid w:val="28BDCF1B"/>
    <w:rsid w:val="29319C6F"/>
    <w:rsid w:val="2A3D4381"/>
    <w:rsid w:val="2C33C2C1"/>
    <w:rsid w:val="2C3FEF20"/>
    <w:rsid w:val="2CC8F987"/>
    <w:rsid w:val="2CD163D3"/>
    <w:rsid w:val="2CFBC1A5"/>
    <w:rsid w:val="2E413B32"/>
    <w:rsid w:val="2EF90CF3"/>
    <w:rsid w:val="2F0D0DE8"/>
    <w:rsid w:val="2F38D6D4"/>
    <w:rsid w:val="2F921170"/>
    <w:rsid w:val="2FB368BF"/>
    <w:rsid w:val="30124077"/>
    <w:rsid w:val="31FB57F8"/>
    <w:rsid w:val="3221DC8D"/>
    <w:rsid w:val="32D20346"/>
    <w:rsid w:val="332FE238"/>
    <w:rsid w:val="33BF8237"/>
    <w:rsid w:val="34464BEE"/>
    <w:rsid w:val="3486C6DF"/>
    <w:rsid w:val="34C053F4"/>
    <w:rsid w:val="36988130"/>
    <w:rsid w:val="36A29968"/>
    <w:rsid w:val="36FC98F1"/>
    <w:rsid w:val="37382284"/>
    <w:rsid w:val="37551247"/>
    <w:rsid w:val="376CDA75"/>
    <w:rsid w:val="383E69C9"/>
    <w:rsid w:val="3A1D917F"/>
    <w:rsid w:val="3A6FC4D7"/>
    <w:rsid w:val="3A9B9101"/>
    <w:rsid w:val="3B638639"/>
    <w:rsid w:val="3C370FE3"/>
    <w:rsid w:val="3D5D9414"/>
    <w:rsid w:val="3D75EFE8"/>
    <w:rsid w:val="3DE487FC"/>
    <w:rsid w:val="3E3FDE3E"/>
    <w:rsid w:val="3E405F1A"/>
    <w:rsid w:val="3E922F3A"/>
    <w:rsid w:val="3F72FC7F"/>
    <w:rsid w:val="40505EC7"/>
    <w:rsid w:val="40E2CC30"/>
    <w:rsid w:val="421EA031"/>
    <w:rsid w:val="4236148B"/>
    <w:rsid w:val="42A792A0"/>
    <w:rsid w:val="445825C4"/>
    <w:rsid w:val="44F14022"/>
    <w:rsid w:val="45462DB7"/>
    <w:rsid w:val="467271DA"/>
    <w:rsid w:val="468ACB37"/>
    <w:rsid w:val="46D60A18"/>
    <w:rsid w:val="46DF4E47"/>
    <w:rsid w:val="46F21154"/>
    <w:rsid w:val="46F98AA9"/>
    <w:rsid w:val="477B5521"/>
    <w:rsid w:val="478417B7"/>
    <w:rsid w:val="48E0590C"/>
    <w:rsid w:val="48ED1319"/>
    <w:rsid w:val="4903CF98"/>
    <w:rsid w:val="492ED74C"/>
    <w:rsid w:val="49560892"/>
    <w:rsid w:val="4ACD7675"/>
    <w:rsid w:val="4B56E702"/>
    <w:rsid w:val="4C05E003"/>
    <w:rsid w:val="4D76748A"/>
    <w:rsid w:val="4D86179D"/>
    <w:rsid w:val="4DC1E444"/>
    <w:rsid w:val="4E197A6F"/>
    <w:rsid w:val="4EA62435"/>
    <w:rsid w:val="5176E82F"/>
    <w:rsid w:val="519B8310"/>
    <w:rsid w:val="529260FF"/>
    <w:rsid w:val="5348F737"/>
    <w:rsid w:val="558A0CC7"/>
    <w:rsid w:val="55CA01C1"/>
    <w:rsid w:val="5615FEEC"/>
    <w:rsid w:val="561890EE"/>
    <w:rsid w:val="5646FF53"/>
    <w:rsid w:val="5784EF95"/>
    <w:rsid w:val="57BA77B4"/>
    <w:rsid w:val="589EEDE0"/>
    <w:rsid w:val="59FC00AF"/>
    <w:rsid w:val="5AA4EBA2"/>
    <w:rsid w:val="5AB53A7B"/>
    <w:rsid w:val="5B05F3E0"/>
    <w:rsid w:val="5BB2935F"/>
    <w:rsid w:val="5CB78A6A"/>
    <w:rsid w:val="5CCF6934"/>
    <w:rsid w:val="5E1D9C37"/>
    <w:rsid w:val="5F1B3489"/>
    <w:rsid w:val="5F8E1E33"/>
    <w:rsid w:val="6117FD89"/>
    <w:rsid w:val="613999BB"/>
    <w:rsid w:val="61BD8F61"/>
    <w:rsid w:val="6248277A"/>
    <w:rsid w:val="62C0818A"/>
    <w:rsid w:val="644899AF"/>
    <w:rsid w:val="6584B1A4"/>
    <w:rsid w:val="66BCCF29"/>
    <w:rsid w:val="672C294C"/>
    <w:rsid w:val="6752A319"/>
    <w:rsid w:val="67C407EA"/>
    <w:rsid w:val="685F5F8E"/>
    <w:rsid w:val="68A0432F"/>
    <w:rsid w:val="691FB3D3"/>
    <w:rsid w:val="691FE9C3"/>
    <w:rsid w:val="6A9716B1"/>
    <w:rsid w:val="6ACB936F"/>
    <w:rsid w:val="6C3D7F90"/>
    <w:rsid w:val="6CAB6353"/>
    <w:rsid w:val="6CB136FD"/>
    <w:rsid w:val="6E702288"/>
    <w:rsid w:val="6F76AACD"/>
    <w:rsid w:val="6F7F49F7"/>
    <w:rsid w:val="7142C279"/>
    <w:rsid w:val="71A7C34A"/>
    <w:rsid w:val="722E97E6"/>
    <w:rsid w:val="734393AB"/>
    <w:rsid w:val="737AE94C"/>
    <w:rsid w:val="739C8561"/>
    <w:rsid w:val="7415D0CF"/>
    <w:rsid w:val="75ED168B"/>
    <w:rsid w:val="760ED6BA"/>
    <w:rsid w:val="76115F58"/>
    <w:rsid w:val="776EF760"/>
    <w:rsid w:val="77A91F21"/>
    <w:rsid w:val="780B8FC6"/>
    <w:rsid w:val="78121829"/>
    <w:rsid w:val="7927178A"/>
    <w:rsid w:val="798F1B19"/>
    <w:rsid w:val="7A9DFF24"/>
    <w:rsid w:val="7AA69822"/>
    <w:rsid w:val="7AE9A4BF"/>
    <w:rsid w:val="7BCF7ACD"/>
    <w:rsid w:val="7C04080A"/>
    <w:rsid w:val="7CC6C007"/>
    <w:rsid w:val="7D75B12E"/>
    <w:rsid w:val="7EAF0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0972E2A4-ECCF-4933-AA74-356556D3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paragraph" w:styleId="Heading7">
    <w:name w:val="heading 7"/>
    <w:basedOn w:val="Normal"/>
    <w:next w:val="Normal"/>
    <w:link w:val="Heading7Char"/>
    <w:uiPriority w:val="9"/>
    <w:semiHidden/>
    <w:unhideWhenUsed/>
    <w:qFormat/>
    <w:rsid w:val="00272ED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unhideWhenUsed/>
    <w:rsid w:val="00C249D9"/>
    <w:rPr>
      <w:sz w:val="20"/>
    </w:rPr>
  </w:style>
  <w:style w:type="character" w:customStyle="1" w:styleId="FootnoteTextChar">
    <w:name w:val="Footnote Text Char"/>
    <w:basedOn w:val="DefaultParagraphFont"/>
    <w:link w:val="FootnoteText"/>
    <w:uiPriority w:val="99"/>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semiHidden/>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character" w:customStyle="1" w:styleId="Heading7Char">
    <w:name w:val="Heading 7 Char"/>
    <w:basedOn w:val="DefaultParagraphFont"/>
    <w:link w:val="Heading7"/>
    <w:uiPriority w:val="9"/>
    <w:semiHidden/>
    <w:rsid w:val="00272ED6"/>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100586"/>
    <w:rPr>
      <w:rFonts w:ascii="Times New Roman" w:hAnsi="Times New Roman" w:cs="Times New Roman"/>
      <w:szCs w:val="24"/>
    </w:rPr>
  </w:style>
  <w:style w:type="table" w:customStyle="1" w:styleId="TableGrid1">
    <w:name w:val="Table Grid1"/>
    <w:basedOn w:val="TableNormal"/>
    <w:next w:val="TableGrid"/>
    <w:uiPriority w:val="39"/>
    <w:rsid w:val="00175B36"/>
    <w:pPr>
      <w:widowControl/>
      <w:autoSpaceDE/>
      <w:autoSpaceDN/>
    </w:pPr>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89663509">
      <w:bodyDiv w:val="1"/>
      <w:marLeft w:val="0"/>
      <w:marRight w:val="0"/>
      <w:marTop w:val="0"/>
      <w:marBottom w:val="0"/>
      <w:divBdr>
        <w:top w:val="none" w:sz="0" w:space="0" w:color="auto"/>
        <w:left w:val="none" w:sz="0" w:space="0" w:color="auto"/>
        <w:bottom w:val="none" w:sz="0" w:space="0" w:color="auto"/>
        <w:right w:val="none" w:sz="0" w:space="0" w:color="auto"/>
      </w:divBdr>
    </w:div>
    <w:div w:id="143007788">
      <w:bodyDiv w:val="1"/>
      <w:marLeft w:val="0"/>
      <w:marRight w:val="0"/>
      <w:marTop w:val="0"/>
      <w:marBottom w:val="0"/>
      <w:divBdr>
        <w:top w:val="none" w:sz="0" w:space="0" w:color="auto"/>
        <w:left w:val="none" w:sz="0" w:space="0" w:color="auto"/>
        <w:bottom w:val="none" w:sz="0" w:space="0" w:color="auto"/>
        <w:right w:val="none" w:sz="0" w:space="0" w:color="auto"/>
      </w:divBdr>
      <w:divsChild>
        <w:div w:id="338316611">
          <w:marLeft w:val="0"/>
          <w:marRight w:val="0"/>
          <w:marTop w:val="0"/>
          <w:marBottom w:val="0"/>
          <w:divBdr>
            <w:top w:val="none" w:sz="0" w:space="0" w:color="auto"/>
            <w:left w:val="none" w:sz="0" w:space="0" w:color="auto"/>
            <w:bottom w:val="none" w:sz="0" w:space="0" w:color="auto"/>
            <w:right w:val="none" w:sz="0" w:space="0" w:color="auto"/>
          </w:divBdr>
        </w:div>
        <w:div w:id="426537885">
          <w:marLeft w:val="0"/>
          <w:marRight w:val="0"/>
          <w:marTop w:val="0"/>
          <w:marBottom w:val="0"/>
          <w:divBdr>
            <w:top w:val="none" w:sz="0" w:space="0" w:color="auto"/>
            <w:left w:val="none" w:sz="0" w:space="0" w:color="auto"/>
            <w:bottom w:val="none" w:sz="0" w:space="0" w:color="auto"/>
            <w:right w:val="none" w:sz="0" w:space="0" w:color="auto"/>
          </w:divBdr>
        </w:div>
        <w:div w:id="528683968">
          <w:marLeft w:val="0"/>
          <w:marRight w:val="0"/>
          <w:marTop w:val="0"/>
          <w:marBottom w:val="0"/>
          <w:divBdr>
            <w:top w:val="none" w:sz="0" w:space="0" w:color="auto"/>
            <w:left w:val="none" w:sz="0" w:space="0" w:color="auto"/>
            <w:bottom w:val="none" w:sz="0" w:space="0" w:color="auto"/>
            <w:right w:val="none" w:sz="0" w:space="0" w:color="auto"/>
          </w:divBdr>
        </w:div>
        <w:div w:id="705762525">
          <w:marLeft w:val="0"/>
          <w:marRight w:val="0"/>
          <w:marTop w:val="0"/>
          <w:marBottom w:val="0"/>
          <w:divBdr>
            <w:top w:val="none" w:sz="0" w:space="0" w:color="auto"/>
            <w:left w:val="none" w:sz="0" w:space="0" w:color="auto"/>
            <w:bottom w:val="none" w:sz="0" w:space="0" w:color="auto"/>
            <w:right w:val="none" w:sz="0" w:space="0" w:color="auto"/>
          </w:divBdr>
        </w:div>
        <w:div w:id="729617436">
          <w:marLeft w:val="0"/>
          <w:marRight w:val="0"/>
          <w:marTop w:val="0"/>
          <w:marBottom w:val="0"/>
          <w:divBdr>
            <w:top w:val="none" w:sz="0" w:space="0" w:color="auto"/>
            <w:left w:val="none" w:sz="0" w:space="0" w:color="auto"/>
            <w:bottom w:val="none" w:sz="0" w:space="0" w:color="auto"/>
            <w:right w:val="none" w:sz="0" w:space="0" w:color="auto"/>
          </w:divBdr>
        </w:div>
        <w:div w:id="748112023">
          <w:marLeft w:val="0"/>
          <w:marRight w:val="0"/>
          <w:marTop w:val="0"/>
          <w:marBottom w:val="0"/>
          <w:divBdr>
            <w:top w:val="none" w:sz="0" w:space="0" w:color="auto"/>
            <w:left w:val="none" w:sz="0" w:space="0" w:color="auto"/>
            <w:bottom w:val="none" w:sz="0" w:space="0" w:color="auto"/>
            <w:right w:val="none" w:sz="0" w:space="0" w:color="auto"/>
          </w:divBdr>
        </w:div>
        <w:div w:id="1160464996">
          <w:marLeft w:val="0"/>
          <w:marRight w:val="0"/>
          <w:marTop w:val="0"/>
          <w:marBottom w:val="0"/>
          <w:divBdr>
            <w:top w:val="none" w:sz="0" w:space="0" w:color="auto"/>
            <w:left w:val="none" w:sz="0" w:space="0" w:color="auto"/>
            <w:bottom w:val="none" w:sz="0" w:space="0" w:color="auto"/>
            <w:right w:val="none" w:sz="0" w:space="0" w:color="auto"/>
          </w:divBdr>
        </w:div>
        <w:div w:id="1289167219">
          <w:marLeft w:val="0"/>
          <w:marRight w:val="0"/>
          <w:marTop w:val="0"/>
          <w:marBottom w:val="0"/>
          <w:divBdr>
            <w:top w:val="none" w:sz="0" w:space="0" w:color="auto"/>
            <w:left w:val="none" w:sz="0" w:space="0" w:color="auto"/>
            <w:bottom w:val="none" w:sz="0" w:space="0" w:color="auto"/>
            <w:right w:val="none" w:sz="0" w:space="0" w:color="auto"/>
          </w:divBdr>
        </w:div>
        <w:div w:id="1383212562">
          <w:marLeft w:val="0"/>
          <w:marRight w:val="0"/>
          <w:marTop w:val="0"/>
          <w:marBottom w:val="0"/>
          <w:divBdr>
            <w:top w:val="none" w:sz="0" w:space="0" w:color="auto"/>
            <w:left w:val="none" w:sz="0" w:space="0" w:color="auto"/>
            <w:bottom w:val="none" w:sz="0" w:space="0" w:color="auto"/>
            <w:right w:val="none" w:sz="0" w:space="0" w:color="auto"/>
          </w:divBdr>
        </w:div>
        <w:div w:id="1582134312">
          <w:marLeft w:val="0"/>
          <w:marRight w:val="0"/>
          <w:marTop w:val="0"/>
          <w:marBottom w:val="0"/>
          <w:divBdr>
            <w:top w:val="none" w:sz="0" w:space="0" w:color="auto"/>
            <w:left w:val="none" w:sz="0" w:space="0" w:color="auto"/>
            <w:bottom w:val="none" w:sz="0" w:space="0" w:color="auto"/>
            <w:right w:val="none" w:sz="0" w:space="0" w:color="auto"/>
          </w:divBdr>
        </w:div>
        <w:div w:id="1692872306">
          <w:marLeft w:val="0"/>
          <w:marRight w:val="0"/>
          <w:marTop w:val="0"/>
          <w:marBottom w:val="0"/>
          <w:divBdr>
            <w:top w:val="none" w:sz="0" w:space="0" w:color="auto"/>
            <w:left w:val="none" w:sz="0" w:space="0" w:color="auto"/>
            <w:bottom w:val="none" w:sz="0" w:space="0" w:color="auto"/>
            <w:right w:val="none" w:sz="0" w:space="0" w:color="auto"/>
          </w:divBdr>
        </w:div>
        <w:div w:id="1744254797">
          <w:marLeft w:val="0"/>
          <w:marRight w:val="0"/>
          <w:marTop w:val="0"/>
          <w:marBottom w:val="0"/>
          <w:divBdr>
            <w:top w:val="none" w:sz="0" w:space="0" w:color="auto"/>
            <w:left w:val="none" w:sz="0" w:space="0" w:color="auto"/>
            <w:bottom w:val="none" w:sz="0" w:space="0" w:color="auto"/>
            <w:right w:val="none" w:sz="0" w:space="0" w:color="auto"/>
          </w:divBdr>
        </w:div>
        <w:div w:id="1902279868">
          <w:marLeft w:val="0"/>
          <w:marRight w:val="0"/>
          <w:marTop w:val="0"/>
          <w:marBottom w:val="0"/>
          <w:divBdr>
            <w:top w:val="none" w:sz="0" w:space="0" w:color="auto"/>
            <w:left w:val="none" w:sz="0" w:space="0" w:color="auto"/>
            <w:bottom w:val="none" w:sz="0" w:space="0" w:color="auto"/>
            <w:right w:val="none" w:sz="0" w:space="0" w:color="auto"/>
          </w:divBdr>
        </w:div>
        <w:div w:id="1935823747">
          <w:marLeft w:val="0"/>
          <w:marRight w:val="0"/>
          <w:marTop w:val="0"/>
          <w:marBottom w:val="0"/>
          <w:divBdr>
            <w:top w:val="none" w:sz="0" w:space="0" w:color="auto"/>
            <w:left w:val="none" w:sz="0" w:space="0" w:color="auto"/>
            <w:bottom w:val="none" w:sz="0" w:space="0" w:color="auto"/>
            <w:right w:val="none" w:sz="0" w:space="0" w:color="auto"/>
          </w:divBdr>
        </w:div>
        <w:div w:id="1940522078">
          <w:marLeft w:val="0"/>
          <w:marRight w:val="0"/>
          <w:marTop w:val="0"/>
          <w:marBottom w:val="0"/>
          <w:divBdr>
            <w:top w:val="none" w:sz="0" w:space="0" w:color="auto"/>
            <w:left w:val="none" w:sz="0" w:space="0" w:color="auto"/>
            <w:bottom w:val="none" w:sz="0" w:space="0" w:color="auto"/>
            <w:right w:val="none" w:sz="0" w:space="0" w:color="auto"/>
          </w:divBdr>
        </w:div>
      </w:divsChild>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70376454">
      <w:bodyDiv w:val="1"/>
      <w:marLeft w:val="0"/>
      <w:marRight w:val="0"/>
      <w:marTop w:val="0"/>
      <w:marBottom w:val="0"/>
      <w:divBdr>
        <w:top w:val="none" w:sz="0" w:space="0" w:color="auto"/>
        <w:left w:val="none" w:sz="0" w:space="0" w:color="auto"/>
        <w:bottom w:val="none" w:sz="0" w:space="0" w:color="auto"/>
        <w:right w:val="none" w:sz="0" w:space="0" w:color="auto"/>
      </w:divBdr>
      <w:divsChild>
        <w:div w:id="2010786651">
          <w:marLeft w:val="0"/>
          <w:marRight w:val="0"/>
          <w:marTop w:val="0"/>
          <w:marBottom w:val="0"/>
          <w:divBdr>
            <w:top w:val="none" w:sz="0" w:space="0" w:color="auto"/>
            <w:left w:val="none" w:sz="0" w:space="0" w:color="auto"/>
            <w:bottom w:val="none" w:sz="0" w:space="0" w:color="auto"/>
            <w:right w:val="none" w:sz="0" w:space="0" w:color="auto"/>
          </w:divBdr>
        </w:div>
        <w:div w:id="1252352196">
          <w:marLeft w:val="720"/>
          <w:marRight w:val="0"/>
          <w:marTop w:val="0"/>
          <w:marBottom w:val="0"/>
          <w:divBdr>
            <w:top w:val="none" w:sz="0" w:space="0" w:color="auto"/>
            <w:left w:val="none" w:sz="0" w:space="0" w:color="auto"/>
            <w:bottom w:val="none" w:sz="0" w:space="0" w:color="auto"/>
            <w:right w:val="none" w:sz="0" w:space="0" w:color="auto"/>
          </w:divBdr>
        </w:div>
        <w:div w:id="1844471555">
          <w:marLeft w:val="720"/>
          <w:marRight w:val="0"/>
          <w:marTop w:val="0"/>
          <w:marBottom w:val="0"/>
          <w:divBdr>
            <w:top w:val="none" w:sz="0" w:space="0" w:color="auto"/>
            <w:left w:val="none" w:sz="0" w:space="0" w:color="auto"/>
            <w:bottom w:val="none" w:sz="0" w:space="0" w:color="auto"/>
            <w:right w:val="none" w:sz="0" w:space="0" w:color="auto"/>
          </w:divBdr>
        </w:div>
        <w:div w:id="131556292">
          <w:marLeft w:val="720"/>
          <w:marRight w:val="0"/>
          <w:marTop w:val="0"/>
          <w:marBottom w:val="0"/>
          <w:divBdr>
            <w:top w:val="none" w:sz="0" w:space="0" w:color="auto"/>
            <w:left w:val="none" w:sz="0" w:space="0" w:color="auto"/>
            <w:bottom w:val="none" w:sz="0" w:space="0" w:color="auto"/>
            <w:right w:val="none" w:sz="0" w:space="0" w:color="auto"/>
          </w:divBdr>
        </w:div>
        <w:div w:id="1861506053">
          <w:marLeft w:val="720"/>
          <w:marRight w:val="0"/>
          <w:marTop w:val="0"/>
          <w:marBottom w:val="0"/>
          <w:divBdr>
            <w:top w:val="none" w:sz="0" w:space="0" w:color="auto"/>
            <w:left w:val="none" w:sz="0" w:space="0" w:color="auto"/>
            <w:bottom w:val="none" w:sz="0" w:space="0" w:color="auto"/>
            <w:right w:val="none" w:sz="0" w:space="0" w:color="auto"/>
          </w:divBdr>
        </w:div>
        <w:div w:id="1726564732">
          <w:marLeft w:val="720"/>
          <w:marRight w:val="0"/>
          <w:marTop w:val="0"/>
          <w:marBottom w:val="0"/>
          <w:divBdr>
            <w:top w:val="none" w:sz="0" w:space="0" w:color="auto"/>
            <w:left w:val="none" w:sz="0" w:space="0" w:color="auto"/>
            <w:bottom w:val="none" w:sz="0" w:space="0" w:color="auto"/>
            <w:right w:val="none" w:sz="0" w:space="0" w:color="auto"/>
          </w:divBdr>
        </w:div>
        <w:div w:id="1127965256">
          <w:marLeft w:val="720"/>
          <w:marRight w:val="0"/>
          <w:marTop w:val="0"/>
          <w:marBottom w:val="0"/>
          <w:divBdr>
            <w:top w:val="none" w:sz="0" w:space="0" w:color="auto"/>
            <w:left w:val="none" w:sz="0" w:space="0" w:color="auto"/>
            <w:bottom w:val="none" w:sz="0" w:space="0" w:color="auto"/>
            <w:right w:val="none" w:sz="0" w:space="0" w:color="auto"/>
          </w:divBdr>
        </w:div>
      </w:divsChild>
    </w:div>
    <w:div w:id="596014167">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864558334">
      <w:bodyDiv w:val="1"/>
      <w:marLeft w:val="0"/>
      <w:marRight w:val="0"/>
      <w:marTop w:val="0"/>
      <w:marBottom w:val="0"/>
      <w:divBdr>
        <w:top w:val="none" w:sz="0" w:space="0" w:color="auto"/>
        <w:left w:val="none" w:sz="0" w:space="0" w:color="auto"/>
        <w:bottom w:val="none" w:sz="0" w:space="0" w:color="auto"/>
        <w:right w:val="none" w:sz="0" w:space="0" w:color="auto"/>
      </w:divBdr>
    </w:div>
    <w:div w:id="909536948">
      <w:bodyDiv w:val="1"/>
      <w:marLeft w:val="0"/>
      <w:marRight w:val="0"/>
      <w:marTop w:val="0"/>
      <w:marBottom w:val="0"/>
      <w:divBdr>
        <w:top w:val="none" w:sz="0" w:space="0" w:color="auto"/>
        <w:left w:val="none" w:sz="0" w:space="0" w:color="auto"/>
        <w:bottom w:val="none" w:sz="0" w:space="0" w:color="auto"/>
        <w:right w:val="none" w:sz="0" w:space="0" w:color="auto"/>
      </w:divBdr>
    </w:div>
    <w:div w:id="1134451177">
      <w:bodyDiv w:val="1"/>
      <w:marLeft w:val="0"/>
      <w:marRight w:val="0"/>
      <w:marTop w:val="0"/>
      <w:marBottom w:val="0"/>
      <w:divBdr>
        <w:top w:val="none" w:sz="0" w:space="0" w:color="auto"/>
        <w:left w:val="none" w:sz="0" w:space="0" w:color="auto"/>
        <w:bottom w:val="none" w:sz="0" w:space="0" w:color="auto"/>
        <w:right w:val="none" w:sz="0" w:space="0" w:color="auto"/>
      </w:divBdr>
    </w:div>
    <w:div w:id="1294293599">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973515618">
      <w:bodyDiv w:val="1"/>
      <w:marLeft w:val="0"/>
      <w:marRight w:val="0"/>
      <w:marTop w:val="0"/>
      <w:marBottom w:val="0"/>
      <w:divBdr>
        <w:top w:val="none" w:sz="0" w:space="0" w:color="auto"/>
        <w:left w:val="none" w:sz="0" w:space="0" w:color="auto"/>
        <w:bottom w:val="none" w:sz="0" w:space="0" w:color="auto"/>
        <w:right w:val="none" w:sz="0" w:space="0" w:color="auto"/>
      </w:divBdr>
      <w:divsChild>
        <w:div w:id="298149624">
          <w:marLeft w:val="0"/>
          <w:marRight w:val="0"/>
          <w:marTop w:val="0"/>
          <w:marBottom w:val="0"/>
          <w:divBdr>
            <w:top w:val="none" w:sz="0" w:space="0" w:color="auto"/>
            <w:left w:val="none" w:sz="0" w:space="0" w:color="auto"/>
            <w:bottom w:val="none" w:sz="0" w:space="0" w:color="auto"/>
            <w:right w:val="none" w:sz="0" w:space="0" w:color="auto"/>
          </w:divBdr>
        </w:div>
        <w:div w:id="743836055">
          <w:marLeft w:val="0"/>
          <w:marRight w:val="0"/>
          <w:marTop w:val="0"/>
          <w:marBottom w:val="0"/>
          <w:divBdr>
            <w:top w:val="none" w:sz="0" w:space="0" w:color="auto"/>
            <w:left w:val="none" w:sz="0" w:space="0" w:color="auto"/>
            <w:bottom w:val="none" w:sz="0" w:space="0" w:color="auto"/>
            <w:right w:val="none" w:sz="0" w:space="0" w:color="auto"/>
          </w:divBdr>
        </w:div>
        <w:div w:id="766777042">
          <w:marLeft w:val="0"/>
          <w:marRight w:val="0"/>
          <w:marTop w:val="0"/>
          <w:marBottom w:val="0"/>
          <w:divBdr>
            <w:top w:val="none" w:sz="0" w:space="0" w:color="auto"/>
            <w:left w:val="none" w:sz="0" w:space="0" w:color="auto"/>
            <w:bottom w:val="none" w:sz="0" w:space="0" w:color="auto"/>
            <w:right w:val="none" w:sz="0" w:space="0" w:color="auto"/>
          </w:divBdr>
        </w:div>
        <w:div w:id="809058787">
          <w:marLeft w:val="0"/>
          <w:marRight w:val="0"/>
          <w:marTop w:val="0"/>
          <w:marBottom w:val="0"/>
          <w:divBdr>
            <w:top w:val="none" w:sz="0" w:space="0" w:color="auto"/>
            <w:left w:val="none" w:sz="0" w:space="0" w:color="auto"/>
            <w:bottom w:val="none" w:sz="0" w:space="0" w:color="auto"/>
            <w:right w:val="none" w:sz="0" w:space="0" w:color="auto"/>
          </w:divBdr>
        </w:div>
        <w:div w:id="843202089">
          <w:marLeft w:val="0"/>
          <w:marRight w:val="0"/>
          <w:marTop w:val="0"/>
          <w:marBottom w:val="0"/>
          <w:divBdr>
            <w:top w:val="none" w:sz="0" w:space="0" w:color="auto"/>
            <w:left w:val="none" w:sz="0" w:space="0" w:color="auto"/>
            <w:bottom w:val="none" w:sz="0" w:space="0" w:color="auto"/>
            <w:right w:val="none" w:sz="0" w:space="0" w:color="auto"/>
          </w:divBdr>
        </w:div>
        <w:div w:id="966740844">
          <w:marLeft w:val="0"/>
          <w:marRight w:val="0"/>
          <w:marTop w:val="0"/>
          <w:marBottom w:val="0"/>
          <w:divBdr>
            <w:top w:val="none" w:sz="0" w:space="0" w:color="auto"/>
            <w:left w:val="none" w:sz="0" w:space="0" w:color="auto"/>
            <w:bottom w:val="none" w:sz="0" w:space="0" w:color="auto"/>
            <w:right w:val="none" w:sz="0" w:space="0" w:color="auto"/>
          </w:divBdr>
        </w:div>
        <w:div w:id="1026522792">
          <w:marLeft w:val="0"/>
          <w:marRight w:val="0"/>
          <w:marTop w:val="0"/>
          <w:marBottom w:val="0"/>
          <w:divBdr>
            <w:top w:val="none" w:sz="0" w:space="0" w:color="auto"/>
            <w:left w:val="none" w:sz="0" w:space="0" w:color="auto"/>
            <w:bottom w:val="none" w:sz="0" w:space="0" w:color="auto"/>
            <w:right w:val="none" w:sz="0" w:space="0" w:color="auto"/>
          </w:divBdr>
        </w:div>
        <w:div w:id="1417903529">
          <w:marLeft w:val="0"/>
          <w:marRight w:val="0"/>
          <w:marTop w:val="0"/>
          <w:marBottom w:val="0"/>
          <w:divBdr>
            <w:top w:val="none" w:sz="0" w:space="0" w:color="auto"/>
            <w:left w:val="none" w:sz="0" w:space="0" w:color="auto"/>
            <w:bottom w:val="none" w:sz="0" w:space="0" w:color="auto"/>
            <w:right w:val="none" w:sz="0" w:space="0" w:color="auto"/>
          </w:divBdr>
        </w:div>
        <w:div w:id="1490097152">
          <w:marLeft w:val="0"/>
          <w:marRight w:val="0"/>
          <w:marTop w:val="0"/>
          <w:marBottom w:val="0"/>
          <w:divBdr>
            <w:top w:val="none" w:sz="0" w:space="0" w:color="auto"/>
            <w:left w:val="none" w:sz="0" w:space="0" w:color="auto"/>
            <w:bottom w:val="none" w:sz="0" w:space="0" w:color="auto"/>
            <w:right w:val="none" w:sz="0" w:space="0" w:color="auto"/>
          </w:divBdr>
        </w:div>
        <w:div w:id="1641376127">
          <w:marLeft w:val="0"/>
          <w:marRight w:val="0"/>
          <w:marTop w:val="0"/>
          <w:marBottom w:val="0"/>
          <w:divBdr>
            <w:top w:val="none" w:sz="0" w:space="0" w:color="auto"/>
            <w:left w:val="none" w:sz="0" w:space="0" w:color="auto"/>
            <w:bottom w:val="none" w:sz="0" w:space="0" w:color="auto"/>
            <w:right w:val="none" w:sz="0" w:space="0" w:color="auto"/>
          </w:divBdr>
        </w:div>
        <w:div w:id="1685327389">
          <w:marLeft w:val="0"/>
          <w:marRight w:val="0"/>
          <w:marTop w:val="0"/>
          <w:marBottom w:val="0"/>
          <w:divBdr>
            <w:top w:val="none" w:sz="0" w:space="0" w:color="auto"/>
            <w:left w:val="none" w:sz="0" w:space="0" w:color="auto"/>
            <w:bottom w:val="none" w:sz="0" w:space="0" w:color="auto"/>
            <w:right w:val="none" w:sz="0" w:space="0" w:color="auto"/>
          </w:divBdr>
        </w:div>
        <w:div w:id="1790539764">
          <w:marLeft w:val="0"/>
          <w:marRight w:val="0"/>
          <w:marTop w:val="0"/>
          <w:marBottom w:val="0"/>
          <w:divBdr>
            <w:top w:val="none" w:sz="0" w:space="0" w:color="auto"/>
            <w:left w:val="none" w:sz="0" w:space="0" w:color="auto"/>
            <w:bottom w:val="none" w:sz="0" w:space="0" w:color="auto"/>
            <w:right w:val="none" w:sz="0" w:space="0" w:color="auto"/>
          </w:divBdr>
        </w:div>
        <w:div w:id="1881935048">
          <w:marLeft w:val="0"/>
          <w:marRight w:val="0"/>
          <w:marTop w:val="0"/>
          <w:marBottom w:val="0"/>
          <w:divBdr>
            <w:top w:val="none" w:sz="0" w:space="0" w:color="auto"/>
            <w:left w:val="none" w:sz="0" w:space="0" w:color="auto"/>
            <w:bottom w:val="none" w:sz="0" w:space="0" w:color="auto"/>
            <w:right w:val="none" w:sz="0" w:space="0" w:color="auto"/>
          </w:divBdr>
        </w:div>
        <w:div w:id="1922838082">
          <w:marLeft w:val="0"/>
          <w:marRight w:val="0"/>
          <w:marTop w:val="0"/>
          <w:marBottom w:val="0"/>
          <w:divBdr>
            <w:top w:val="none" w:sz="0" w:space="0" w:color="auto"/>
            <w:left w:val="none" w:sz="0" w:space="0" w:color="auto"/>
            <w:bottom w:val="none" w:sz="0" w:space="0" w:color="auto"/>
            <w:right w:val="none" w:sz="0" w:space="0" w:color="auto"/>
          </w:divBdr>
        </w:div>
        <w:div w:id="1971131889">
          <w:marLeft w:val="0"/>
          <w:marRight w:val="0"/>
          <w:marTop w:val="0"/>
          <w:marBottom w:val="0"/>
          <w:divBdr>
            <w:top w:val="none" w:sz="0" w:space="0" w:color="auto"/>
            <w:left w:val="none" w:sz="0" w:space="0" w:color="auto"/>
            <w:bottom w:val="none" w:sz="0" w:space="0" w:color="auto"/>
            <w:right w:val="none" w:sz="0" w:space="0" w:color="auto"/>
          </w:divBdr>
        </w:div>
      </w:divsChild>
    </w:div>
    <w:div w:id="207087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NCHI@Mass.gov" TargetMode="External"/><Relationship Id="rId4" Type="http://schemas.openxmlformats.org/officeDocument/2006/relationships/settings" Target="settings.xml"/><Relationship Id="rId9" Type="http://schemas.openxmlformats.org/officeDocument/2006/relationships/hyperlink" Target="mailto:dongrants@hria.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quickfacts/fact/table/charltontownworcestercountymassachusetts,US/PST045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7829</Words>
  <Characters>44156</Characters>
  <Application>Microsoft Office Word</Application>
  <DocSecurity>0</DocSecurity>
  <Lines>919</Lines>
  <Paragraphs>390</Paragraphs>
  <ScaleCrop>false</ScaleCrop>
  <Company/>
  <LinksUpToDate>false</LinksUpToDate>
  <CharactersWithSpaces>51595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18</cp:revision>
  <cp:lastPrinted>2024-08-05T13:26:00Z</cp:lastPrinted>
  <dcterms:created xsi:type="dcterms:W3CDTF">2024-08-05T13:23:00Z</dcterms:created>
  <dcterms:modified xsi:type="dcterms:W3CDTF">2024-08-05T14:08:00Z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