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9F9661" w14:textId="77777777" w:rsidR="001626F0" w:rsidRDefault="001626F0" w:rsidP="00C62459">
      <w:pPr>
        <w:spacing w:after="0" w:line="240" w:lineRule="auto"/>
        <w:rPr>
          <w:b/>
          <w:bCs/>
          <w:sz w:val="24"/>
          <w:szCs w:val="24"/>
        </w:rPr>
      </w:pPr>
    </w:p>
    <w:p w14:paraId="0E27B753" w14:textId="77777777" w:rsidR="001626F0" w:rsidRDefault="001626F0" w:rsidP="00C62459">
      <w:pPr>
        <w:spacing w:after="0" w:line="240" w:lineRule="auto"/>
        <w:rPr>
          <w:b/>
          <w:bCs/>
          <w:sz w:val="24"/>
          <w:szCs w:val="24"/>
        </w:rPr>
      </w:pPr>
    </w:p>
    <w:p w14:paraId="28D9001B" w14:textId="77777777" w:rsidR="001626F0" w:rsidRDefault="001626F0" w:rsidP="00C62459">
      <w:pPr>
        <w:spacing w:after="0" w:line="240" w:lineRule="auto"/>
        <w:rPr>
          <w:b/>
          <w:bCs/>
          <w:sz w:val="24"/>
          <w:szCs w:val="24"/>
        </w:rPr>
      </w:pPr>
    </w:p>
    <w:p w14:paraId="39B36276" w14:textId="77777777" w:rsidR="001626F0" w:rsidRDefault="001626F0" w:rsidP="00C62459">
      <w:pPr>
        <w:spacing w:after="0" w:line="240" w:lineRule="auto"/>
        <w:rPr>
          <w:b/>
          <w:bCs/>
          <w:sz w:val="24"/>
          <w:szCs w:val="24"/>
        </w:rPr>
      </w:pPr>
    </w:p>
    <w:p w14:paraId="5617A8A7" w14:textId="77777777" w:rsidR="001626F0" w:rsidRDefault="001626F0" w:rsidP="00C62459">
      <w:pPr>
        <w:spacing w:after="0" w:line="240" w:lineRule="auto"/>
        <w:rPr>
          <w:b/>
          <w:bCs/>
          <w:sz w:val="24"/>
          <w:szCs w:val="24"/>
        </w:rPr>
      </w:pPr>
    </w:p>
    <w:p w14:paraId="00448350" w14:textId="77777777" w:rsidR="001626F0" w:rsidRDefault="001626F0" w:rsidP="00C62459">
      <w:pPr>
        <w:spacing w:after="0" w:line="240" w:lineRule="auto"/>
        <w:rPr>
          <w:b/>
          <w:bCs/>
          <w:sz w:val="24"/>
          <w:szCs w:val="24"/>
        </w:rPr>
      </w:pPr>
    </w:p>
    <w:p w14:paraId="26E8F1B8" w14:textId="77777777" w:rsidR="001626F0" w:rsidRDefault="001626F0" w:rsidP="00C62459">
      <w:pPr>
        <w:spacing w:after="0" w:line="240" w:lineRule="auto"/>
        <w:rPr>
          <w:b/>
          <w:bCs/>
          <w:sz w:val="24"/>
          <w:szCs w:val="24"/>
        </w:rPr>
      </w:pPr>
    </w:p>
    <w:p w14:paraId="4BF31FCD" w14:textId="77777777" w:rsidR="001626F0" w:rsidRDefault="001626F0" w:rsidP="00C62459">
      <w:pPr>
        <w:spacing w:after="0" w:line="240" w:lineRule="auto"/>
        <w:rPr>
          <w:b/>
          <w:bCs/>
          <w:sz w:val="24"/>
          <w:szCs w:val="24"/>
        </w:rPr>
      </w:pPr>
    </w:p>
    <w:p w14:paraId="3384628B" w14:textId="77777777" w:rsidR="001626F0" w:rsidRDefault="001626F0" w:rsidP="00C62459">
      <w:pPr>
        <w:spacing w:after="0" w:line="240" w:lineRule="auto"/>
        <w:rPr>
          <w:b/>
          <w:bCs/>
          <w:sz w:val="24"/>
          <w:szCs w:val="24"/>
        </w:rPr>
      </w:pPr>
    </w:p>
    <w:p w14:paraId="43A2DAD8" w14:textId="77777777" w:rsidR="001626F0" w:rsidRDefault="001626F0" w:rsidP="00C62459">
      <w:pPr>
        <w:spacing w:after="0" w:line="240" w:lineRule="auto"/>
        <w:rPr>
          <w:b/>
          <w:bCs/>
          <w:sz w:val="24"/>
          <w:szCs w:val="24"/>
        </w:rPr>
      </w:pPr>
    </w:p>
    <w:p w14:paraId="2E379844" w14:textId="77777777" w:rsidR="001626F0" w:rsidRDefault="001626F0" w:rsidP="00C62459">
      <w:pPr>
        <w:spacing w:after="0" w:line="240" w:lineRule="auto"/>
        <w:rPr>
          <w:b/>
          <w:bCs/>
          <w:sz w:val="24"/>
          <w:szCs w:val="24"/>
        </w:rPr>
      </w:pPr>
    </w:p>
    <w:tbl>
      <w:tblPr>
        <w:tblStyle w:val="TableGrid"/>
        <w:tblpPr w:leftFromText="180" w:rightFromText="180" w:vertAnchor="page" w:horzAnchor="margin" w:tblpXSpec="center" w:tblpY="1531"/>
        <w:tblW w:w="9445" w:type="dxa"/>
        <w:jc w:val="center"/>
        <w:tblLook w:val="04A0" w:firstRow="1" w:lastRow="0" w:firstColumn="1" w:lastColumn="0" w:noHBand="0" w:noVBand="1"/>
        <w:tblCaption w:val="STAFF REPORT TO THE PUBLIC HEALTH COUNCIL FOR A DETERMINATION OF NEED"/>
        <w:tblDescription w:val="STAFF REPORT TO THE PUBLIC HEALTH COUNCIL&#10;FOR A DETERMINATION OF NEED&#10;Applicant Name  Shields PET-CT at &#10;Heywood Healthcare, LLC&#10;Applicant Address  700 Congress Street, Suite 204&#10;Quincy, MA 02169 &#10;Filing Date July 29, 2021&#10;Type of DoN Application Substantial Change in Service – &#10;DoN-Required Equipment&#10;Total Value $2,570,562.00 &#10;Project Number 21021213-HS&#10;Ten Taxpayer Group (TTG) None&#10;Community Health Initiative (CHI)  $128,528.10&#10;Staff Recommendation Approval &#10;Delegated Review Commissioner Approval&#10;Project Summary and Regulatory Review&#10;Shields PET-CT at Heywood Healthcare, LLC (Applicant) submitted a DoN Application for a Substantial Change in Service to establish a licensed clinic to provide magnetic &#10;resonance imaging (MRI) services at Heywood Hospital six days a week and mobile positron emission tomography-computed tomography (PET-CT) imaging services at Athol Hospital one day a week. The Applicant is a newly formed joint venture between Shields Health Care Group, Inc. and Heywood Healthcare, Inc. that replaces an existing contract with an imaging vendor for the same service. The existing contract with the imaging vendor is ending and the Applicant seeks to fulfill the need for MRI and PET-CT services. The capital expenditure for the Proposed Project is $2,570,562.00; the Community Health Initiatives (CHI) contribution is $128,528.10.&#10;&#10;This DoN application falls within the definition of Substantial Change in Service, which are reviewed under the DoN regulation 105 CMR 100.000. The Department must determine that need exists for a Proposed Project, on the basis of material in the record, where the Applicant makes a clear and convincing demonstration that the Proposed Project meets each Determination of Need Factor set forth within 105 CMR 100.210. This staff report addresses each of the six factors set forth in the regulation.&#10;"/>
      </w:tblPr>
      <w:tblGrid>
        <w:gridCol w:w="3685"/>
        <w:gridCol w:w="5760"/>
      </w:tblGrid>
      <w:tr w:rsidR="001626F0" w:rsidRPr="007B1C0B" w14:paraId="1A8FE388" w14:textId="77777777" w:rsidTr="003A5696">
        <w:trPr>
          <w:trHeight w:val="440"/>
          <w:tblHeader/>
          <w:jc w:val="center"/>
        </w:trPr>
        <w:tc>
          <w:tcPr>
            <w:tcW w:w="9445" w:type="dxa"/>
            <w:gridSpan w:val="2"/>
            <w:shd w:val="clear" w:color="auto" w:fill="E5FFFF"/>
            <w:vAlign w:val="center"/>
          </w:tcPr>
          <w:p w14:paraId="25D94099" w14:textId="77777777" w:rsidR="001626F0" w:rsidRPr="00515206" w:rsidRDefault="001626F0" w:rsidP="008A4468">
            <w:pPr>
              <w:pStyle w:val="Header"/>
              <w:ind w:right="540"/>
              <w:contextualSpacing/>
              <w:jc w:val="center"/>
              <w:rPr>
                <w:rFonts w:cstheme="minorHAnsi"/>
                <w:b/>
                <w:sz w:val="24"/>
                <w:szCs w:val="24"/>
              </w:rPr>
            </w:pPr>
            <w:r w:rsidRPr="00515206">
              <w:rPr>
                <w:rFonts w:cstheme="minorHAnsi"/>
                <w:b/>
                <w:sz w:val="24"/>
                <w:szCs w:val="24"/>
              </w:rPr>
              <w:t xml:space="preserve">STAFF </w:t>
            </w:r>
            <w:r>
              <w:rPr>
                <w:rFonts w:cstheme="minorHAnsi"/>
                <w:b/>
                <w:sz w:val="24"/>
                <w:szCs w:val="24"/>
              </w:rPr>
              <w:t xml:space="preserve">MEMORANDUM </w:t>
            </w:r>
            <w:r w:rsidRPr="00515206">
              <w:rPr>
                <w:rFonts w:cstheme="minorHAnsi"/>
                <w:b/>
                <w:sz w:val="24"/>
                <w:szCs w:val="24"/>
              </w:rPr>
              <w:t xml:space="preserve">TO THE </w:t>
            </w:r>
            <w:r>
              <w:rPr>
                <w:rFonts w:cstheme="minorHAnsi"/>
                <w:b/>
                <w:sz w:val="24"/>
                <w:szCs w:val="24"/>
              </w:rPr>
              <w:t>COMMISSIONER FOR DETERMINATION OF NEED</w:t>
            </w:r>
          </w:p>
        </w:tc>
      </w:tr>
      <w:tr w:rsidR="001626F0" w:rsidRPr="007B1C0B" w14:paraId="6303AF95" w14:textId="77777777" w:rsidTr="00ED3D13">
        <w:trPr>
          <w:trHeight w:val="413"/>
          <w:jc w:val="center"/>
        </w:trPr>
        <w:tc>
          <w:tcPr>
            <w:tcW w:w="3685" w:type="dxa"/>
            <w:shd w:val="clear" w:color="auto" w:fill="auto"/>
            <w:vAlign w:val="center"/>
          </w:tcPr>
          <w:p w14:paraId="1D18A9DB" w14:textId="77777777" w:rsidR="001626F0" w:rsidRPr="00515206" w:rsidRDefault="001626F0" w:rsidP="008A4468">
            <w:pPr>
              <w:ind w:right="540"/>
              <w:contextualSpacing/>
              <w:rPr>
                <w:rFonts w:cstheme="minorHAnsi"/>
                <w:sz w:val="24"/>
                <w:szCs w:val="24"/>
              </w:rPr>
            </w:pPr>
            <w:r w:rsidRPr="00515206">
              <w:rPr>
                <w:rFonts w:cstheme="minorHAnsi"/>
                <w:sz w:val="24"/>
                <w:szCs w:val="24"/>
              </w:rPr>
              <w:t xml:space="preserve">Applicant Name </w:t>
            </w:r>
          </w:p>
        </w:tc>
        <w:tc>
          <w:tcPr>
            <w:tcW w:w="5760" w:type="dxa"/>
            <w:shd w:val="clear" w:color="auto" w:fill="auto"/>
            <w:vAlign w:val="center"/>
          </w:tcPr>
          <w:p w14:paraId="5638FB0B" w14:textId="1BCD2FB2" w:rsidR="001626F0" w:rsidRPr="00515206" w:rsidRDefault="001626F0" w:rsidP="008A4468">
            <w:pPr>
              <w:ind w:right="540"/>
              <w:contextualSpacing/>
              <w:rPr>
                <w:rFonts w:cstheme="minorHAnsi"/>
                <w:sz w:val="24"/>
                <w:szCs w:val="24"/>
              </w:rPr>
            </w:pPr>
            <w:r w:rsidRPr="001626F0">
              <w:rPr>
                <w:rFonts w:ascii="Calibri" w:eastAsia="Calibri" w:hAnsi="Calibri" w:cs="Calibri"/>
                <w:sz w:val="24"/>
                <w:szCs w:val="24"/>
              </w:rPr>
              <w:t>Mass General Brigham Incorporated</w:t>
            </w:r>
          </w:p>
        </w:tc>
      </w:tr>
      <w:tr w:rsidR="001626F0" w:rsidRPr="007B1C0B" w14:paraId="6933F7CE" w14:textId="77777777" w:rsidTr="008A4468">
        <w:trPr>
          <w:trHeight w:val="357"/>
          <w:jc w:val="center"/>
        </w:trPr>
        <w:tc>
          <w:tcPr>
            <w:tcW w:w="3685" w:type="dxa"/>
            <w:shd w:val="clear" w:color="auto" w:fill="auto"/>
            <w:vAlign w:val="center"/>
          </w:tcPr>
          <w:p w14:paraId="1F73D820" w14:textId="77777777" w:rsidR="001626F0" w:rsidRPr="00515206" w:rsidRDefault="001626F0" w:rsidP="008A4468">
            <w:pPr>
              <w:ind w:right="540"/>
              <w:contextualSpacing/>
              <w:rPr>
                <w:rFonts w:cstheme="minorHAnsi"/>
                <w:sz w:val="24"/>
                <w:szCs w:val="24"/>
              </w:rPr>
            </w:pPr>
            <w:r w:rsidRPr="00515206">
              <w:rPr>
                <w:rFonts w:cstheme="minorHAnsi"/>
                <w:sz w:val="24"/>
                <w:szCs w:val="24"/>
              </w:rPr>
              <w:t xml:space="preserve">Applicant Address </w:t>
            </w:r>
          </w:p>
        </w:tc>
        <w:tc>
          <w:tcPr>
            <w:tcW w:w="5760" w:type="dxa"/>
            <w:shd w:val="clear" w:color="auto" w:fill="auto"/>
          </w:tcPr>
          <w:p w14:paraId="29AB82F4" w14:textId="77777777" w:rsidR="001626F0" w:rsidRPr="001626F0" w:rsidRDefault="001626F0" w:rsidP="008A4468">
            <w:pPr>
              <w:ind w:right="547"/>
              <w:rPr>
                <w:rFonts w:ascii="Calibri" w:eastAsia="Calibri" w:hAnsi="Calibri" w:cs="Calibri"/>
                <w:sz w:val="24"/>
                <w:szCs w:val="24"/>
              </w:rPr>
            </w:pPr>
            <w:r w:rsidRPr="001626F0">
              <w:rPr>
                <w:rFonts w:ascii="Calibri" w:eastAsia="Calibri" w:hAnsi="Calibri" w:cs="Calibri"/>
                <w:sz w:val="24"/>
                <w:szCs w:val="24"/>
              </w:rPr>
              <w:t>800 Boylston Street, Suite 1150</w:t>
            </w:r>
          </w:p>
          <w:p w14:paraId="3A36F3CE" w14:textId="33CB8277" w:rsidR="001626F0" w:rsidRPr="00515206" w:rsidRDefault="001626F0" w:rsidP="008A4468">
            <w:pPr>
              <w:ind w:right="540"/>
              <w:contextualSpacing/>
              <w:rPr>
                <w:rFonts w:cstheme="minorHAnsi"/>
                <w:sz w:val="24"/>
                <w:szCs w:val="24"/>
                <w:lang w:val="fr-FR"/>
              </w:rPr>
            </w:pPr>
            <w:r w:rsidRPr="001626F0">
              <w:rPr>
                <w:rFonts w:ascii="Calibri" w:eastAsia="Calibri" w:hAnsi="Calibri" w:cs="Calibri"/>
                <w:sz w:val="24"/>
                <w:szCs w:val="24"/>
              </w:rPr>
              <w:t>Boston, MA 02199</w:t>
            </w:r>
          </w:p>
        </w:tc>
      </w:tr>
      <w:tr w:rsidR="001626F0" w:rsidRPr="007B1C0B" w14:paraId="013A7CB1" w14:textId="77777777" w:rsidTr="008A4468">
        <w:trPr>
          <w:trHeight w:val="377"/>
          <w:jc w:val="center"/>
        </w:trPr>
        <w:tc>
          <w:tcPr>
            <w:tcW w:w="3685" w:type="dxa"/>
            <w:shd w:val="clear" w:color="auto" w:fill="auto"/>
            <w:vAlign w:val="center"/>
          </w:tcPr>
          <w:p w14:paraId="09B68F1A" w14:textId="77777777" w:rsidR="001626F0" w:rsidRPr="00515206" w:rsidRDefault="001626F0" w:rsidP="008A4468">
            <w:pPr>
              <w:ind w:right="540"/>
              <w:contextualSpacing/>
              <w:rPr>
                <w:rFonts w:cstheme="minorHAnsi"/>
                <w:sz w:val="24"/>
                <w:szCs w:val="24"/>
              </w:rPr>
            </w:pPr>
            <w:r w:rsidRPr="00515206">
              <w:rPr>
                <w:rFonts w:cstheme="minorHAnsi"/>
                <w:sz w:val="24"/>
                <w:szCs w:val="24"/>
              </w:rPr>
              <w:t>Filing Date</w:t>
            </w:r>
          </w:p>
        </w:tc>
        <w:tc>
          <w:tcPr>
            <w:tcW w:w="5760" w:type="dxa"/>
            <w:shd w:val="clear" w:color="auto" w:fill="auto"/>
            <w:vAlign w:val="center"/>
          </w:tcPr>
          <w:p w14:paraId="3B9C9630" w14:textId="7D7DCF34" w:rsidR="001626F0" w:rsidRPr="00515206" w:rsidRDefault="008A4468" w:rsidP="008A4468">
            <w:pPr>
              <w:ind w:right="540"/>
              <w:contextualSpacing/>
              <w:rPr>
                <w:rFonts w:cstheme="minorHAnsi"/>
                <w:sz w:val="24"/>
                <w:szCs w:val="24"/>
              </w:rPr>
            </w:pPr>
            <w:r>
              <w:rPr>
                <w:rFonts w:cstheme="minorHAnsi"/>
                <w:sz w:val="24"/>
                <w:szCs w:val="24"/>
              </w:rPr>
              <w:t>July 14, 2023</w:t>
            </w:r>
          </w:p>
        </w:tc>
      </w:tr>
      <w:tr w:rsidR="001626F0" w:rsidRPr="007B1C0B" w14:paraId="6701CB62" w14:textId="77777777" w:rsidTr="008A4468">
        <w:trPr>
          <w:trHeight w:val="350"/>
          <w:jc w:val="center"/>
        </w:trPr>
        <w:tc>
          <w:tcPr>
            <w:tcW w:w="3685" w:type="dxa"/>
            <w:shd w:val="clear" w:color="auto" w:fill="auto"/>
            <w:vAlign w:val="center"/>
          </w:tcPr>
          <w:p w14:paraId="3BCE5031" w14:textId="77777777" w:rsidR="001626F0" w:rsidRPr="00515206" w:rsidRDefault="001626F0" w:rsidP="008A4468">
            <w:pPr>
              <w:ind w:right="540"/>
              <w:contextualSpacing/>
              <w:rPr>
                <w:rFonts w:cstheme="minorHAnsi"/>
                <w:sz w:val="24"/>
                <w:szCs w:val="24"/>
              </w:rPr>
            </w:pPr>
            <w:r w:rsidRPr="00515206">
              <w:rPr>
                <w:rFonts w:cstheme="minorHAnsi"/>
                <w:sz w:val="24"/>
                <w:szCs w:val="24"/>
              </w:rPr>
              <w:t>Type of DoN Application</w:t>
            </w:r>
          </w:p>
        </w:tc>
        <w:tc>
          <w:tcPr>
            <w:tcW w:w="5760" w:type="dxa"/>
            <w:shd w:val="clear" w:color="auto" w:fill="auto"/>
            <w:vAlign w:val="center"/>
          </w:tcPr>
          <w:p w14:paraId="74E742FD" w14:textId="77777777" w:rsidR="001626F0" w:rsidRPr="00515206" w:rsidRDefault="001626F0" w:rsidP="008A4468">
            <w:pPr>
              <w:ind w:right="-110"/>
              <w:contextualSpacing/>
              <w:rPr>
                <w:rFonts w:cstheme="minorHAnsi"/>
                <w:sz w:val="24"/>
                <w:szCs w:val="24"/>
              </w:rPr>
            </w:pPr>
            <w:r>
              <w:rPr>
                <w:rFonts w:cstheme="minorHAnsi"/>
                <w:sz w:val="24"/>
                <w:szCs w:val="24"/>
              </w:rPr>
              <w:t>Substantial Change in Service – DoN-Required Equipment</w:t>
            </w:r>
          </w:p>
        </w:tc>
      </w:tr>
      <w:tr w:rsidR="001626F0" w:rsidRPr="007B1C0B" w14:paraId="613B5F25" w14:textId="77777777" w:rsidTr="008A4468">
        <w:trPr>
          <w:trHeight w:val="350"/>
          <w:jc w:val="center"/>
        </w:trPr>
        <w:tc>
          <w:tcPr>
            <w:tcW w:w="3685" w:type="dxa"/>
            <w:shd w:val="clear" w:color="auto" w:fill="auto"/>
            <w:vAlign w:val="center"/>
          </w:tcPr>
          <w:p w14:paraId="4AE468F6" w14:textId="77777777" w:rsidR="001626F0" w:rsidRPr="00515206" w:rsidRDefault="001626F0" w:rsidP="008A4468">
            <w:pPr>
              <w:ind w:right="540"/>
              <w:contextualSpacing/>
              <w:rPr>
                <w:rFonts w:cstheme="minorHAnsi"/>
                <w:sz w:val="24"/>
                <w:szCs w:val="24"/>
              </w:rPr>
            </w:pPr>
            <w:r w:rsidRPr="00515206">
              <w:rPr>
                <w:rFonts w:cstheme="minorHAnsi"/>
                <w:sz w:val="24"/>
                <w:szCs w:val="24"/>
              </w:rPr>
              <w:t>Total Value</w:t>
            </w:r>
          </w:p>
        </w:tc>
        <w:tc>
          <w:tcPr>
            <w:tcW w:w="5760" w:type="dxa"/>
            <w:shd w:val="clear" w:color="auto" w:fill="auto"/>
            <w:vAlign w:val="center"/>
          </w:tcPr>
          <w:p w14:paraId="379B7099" w14:textId="5150D5F5" w:rsidR="001626F0" w:rsidRPr="005C43DE" w:rsidRDefault="00C375A0" w:rsidP="008A4468">
            <w:pPr>
              <w:ind w:right="540"/>
              <w:contextualSpacing/>
              <w:rPr>
                <w:rFonts w:cstheme="minorHAnsi"/>
                <w:sz w:val="24"/>
                <w:szCs w:val="24"/>
              </w:rPr>
            </w:pPr>
            <w:r>
              <w:rPr>
                <w:rFonts w:cstheme="minorHAnsi"/>
                <w:sz w:val="24"/>
                <w:szCs w:val="24"/>
              </w:rPr>
              <w:t>$2,516,623.00</w:t>
            </w:r>
          </w:p>
        </w:tc>
      </w:tr>
      <w:tr w:rsidR="001626F0" w:rsidRPr="007B1C0B" w14:paraId="03116F04" w14:textId="77777777" w:rsidTr="008A4468">
        <w:trPr>
          <w:trHeight w:val="350"/>
          <w:jc w:val="center"/>
        </w:trPr>
        <w:tc>
          <w:tcPr>
            <w:tcW w:w="3685" w:type="dxa"/>
            <w:shd w:val="clear" w:color="auto" w:fill="auto"/>
            <w:vAlign w:val="center"/>
          </w:tcPr>
          <w:p w14:paraId="3DBDE5CF" w14:textId="77777777" w:rsidR="001626F0" w:rsidRPr="00515206" w:rsidRDefault="001626F0" w:rsidP="008A4468">
            <w:pPr>
              <w:ind w:right="540"/>
              <w:contextualSpacing/>
              <w:rPr>
                <w:rFonts w:cstheme="minorHAnsi"/>
                <w:sz w:val="24"/>
                <w:szCs w:val="24"/>
              </w:rPr>
            </w:pPr>
            <w:r w:rsidRPr="00515206">
              <w:rPr>
                <w:rFonts w:cstheme="minorHAnsi"/>
                <w:sz w:val="24"/>
                <w:szCs w:val="24"/>
              </w:rPr>
              <w:t>Project Number</w:t>
            </w:r>
          </w:p>
        </w:tc>
        <w:tc>
          <w:tcPr>
            <w:tcW w:w="5760" w:type="dxa"/>
            <w:shd w:val="clear" w:color="auto" w:fill="auto"/>
            <w:vAlign w:val="center"/>
          </w:tcPr>
          <w:p w14:paraId="39260819" w14:textId="2B579EB5" w:rsidR="001626F0" w:rsidRPr="00515206" w:rsidRDefault="00C375A0" w:rsidP="008A4468">
            <w:pPr>
              <w:ind w:right="540"/>
              <w:contextualSpacing/>
              <w:rPr>
                <w:rFonts w:cstheme="minorHAnsi"/>
                <w:sz w:val="24"/>
                <w:szCs w:val="24"/>
              </w:rPr>
            </w:pPr>
            <w:r w:rsidRPr="00C375A0">
              <w:rPr>
                <w:rFonts w:cstheme="minorHAnsi"/>
                <w:sz w:val="24"/>
                <w:szCs w:val="24"/>
              </w:rPr>
              <w:t>MGB-23012310-RE</w:t>
            </w:r>
          </w:p>
        </w:tc>
      </w:tr>
      <w:tr w:rsidR="001626F0" w:rsidRPr="007B1C0B" w14:paraId="508256C0" w14:textId="77777777" w:rsidTr="008A4468">
        <w:trPr>
          <w:trHeight w:val="350"/>
          <w:jc w:val="center"/>
        </w:trPr>
        <w:tc>
          <w:tcPr>
            <w:tcW w:w="3685" w:type="dxa"/>
            <w:shd w:val="clear" w:color="auto" w:fill="auto"/>
            <w:vAlign w:val="center"/>
          </w:tcPr>
          <w:p w14:paraId="4EDCAE51" w14:textId="77777777" w:rsidR="001626F0" w:rsidRPr="00515206" w:rsidRDefault="001626F0" w:rsidP="008A4468">
            <w:pPr>
              <w:ind w:right="-110"/>
              <w:contextualSpacing/>
              <w:rPr>
                <w:rFonts w:cstheme="minorHAnsi"/>
                <w:sz w:val="24"/>
                <w:szCs w:val="24"/>
              </w:rPr>
            </w:pPr>
            <w:r w:rsidRPr="00515206">
              <w:rPr>
                <w:rFonts w:cstheme="minorHAnsi"/>
                <w:sz w:val="24"/>
                <w:szCs w:val="24"/>
              </w:rPr>
              <w:t>Ten Taxpayer Group</w:t>
            </w:r>
          </w:p>
        </w:tc>
        <w:tc>
          <w:tcPr>
            <w:tcW w:w="5760" w:type="dxa"/>
            <w:shd w:val="clear" w:color="auto" w:fill="auto"/>
            <w:vAlign w:val="center"/>
          </w:tcPr>
          <w:p w14:paraId="0318264F" w14:textId="77777777" w:rsidR="001626F0" w:rsidRPr="00515206" w:rsidRDefault="001626F0" w:rsidP="008A4468">
            <w:pPr>
              <w:ind w:right="540"/>
              <w:contextualSpacing/>
              <w:rPr>
                <w:rFonts w:cstheme="minorHAnsi"/>
                <w:sz w:val="24"/>
                <w:szCs w:val="24"/>
              </w:rPr>
            </w:pPr>
            <w:r>
              <w:rPr>
                <w:rFonts w:cstheme="minorHAnsi"/>
                <w:sz w:val="24"/>
                <w:szCs w:val="24"/>
              </w:rPr>
              <w:t>None</w:t>
            </w:r>
          </w:p>
        </w:tc>
      </w:tr>
      <w:tr w:rsidR="001626F0" w:rsidRPr="007B1C0B" w14:paraId="4B7BA0EC" w14:textId="77777777" w:rsidTr="008A4468">
        <w:trPr>
          <w:trHeight w:val="350"/>
          <w:jc w:val="center"/>
        </w:trPr>
        <w:tc>
          <w:tcPr>
            <w:tcW w:w="3685" w:type="dxa"/>
            <w:shd w:val="clear" w:color="auto" w:fill="auto"/>
            <w:vAlign w:val="center"/>
          </w:tcPr>
          <w:p w14:paraId="3346EA7B" w14:textId="77777777" w:rsidR="001626F0" w:rsidRPr="00515206" w:rsidRDefault="001626F0" w:rsidP="008A4468">
            <w:pPr>
              <w:ind w:right="540"/>
              <w:contextualSpacing/>
              <w:rPr>
                <w:rFonts w:cstheme="minorHAnsi"/>
                <w:sz w:val="24"/>
                <w:szCs w:val="24"/>
              </w:rPr>
            </w:pPr>
            <w:r w:rsidRPr="00515206">
              <w:rPr>
                <w:rFonts w:cstheme="minorHAnsi"/>
                <w:sz w:val="24"/>
                <w:szCs w:val="24"/>
              </w:rPr>
              <w:t xml:space="preserve">Community Health Initiative </w:t>
            </w:r>
          </w:p>
        </w:tc>
        <w:tc>
          <w:tcPr>
            <w:tcW w:w="5760" w:type="dxa"/>
            <w:shd w:val="clear" w:color="auto" w:fill="auto"/>
            <w:vAlign w:val="center"/>
          </w:tcPr>
          <w:p w14:paraId="429E3C49" w14:textId="7BBB1C84" w:rsidR="001626F0" w:rsidRPr="00515206" w:rsidRDefault="008B1871" w:rsidP="008A4468">
            <w:pPr>
              <w:ind w:right="540"/>
              <w:contextualSpacing/>
              <w:rPr>
                <w:rFonts w:cstheme="minorHAnsi"/>
                <w:sz w:val="24"/>
                <w:szCs w:val="24"/>
              </w:rPr>
            </w:pPr>
            <w:r>
              <w:rPr>
                <w:rFonts w:cstheme="minorHAnsi"/>
                <w:sz w:val="24"/>
                <w:szCs w:val="24"/>
              </w:rPr>
              <w:t>$125,831.25</w:t>
            </w:r>
          </w:p>
        </w:tc>
      </w:tr>
      <w:tr w:rsidR="001626F0" w:rsidRPr="007B1C0B" w14:paraId="6BEB37FC" w14:textId="77777777" w:rsidTr="008A4468">
        <w:trPr>
          <w:trHeight w:val="350"/>
          <w:jc w:val="center"/>
        </w:trPr>
        <w:tc>
          <w:tcPr>
            <w:tcW w:w="3685" w:type="dxa"/>
            <w:shd w:val="clear" w:color="auto" w:fill="auto"/>
            <w:vAlign w:val="center"/>
          </w:tcPr>
          <w:p w14:paraId="60D966DB" w14:textId="77777777" w:rsidR="001626F0" w:rsidRPr="00515206" w:rsidRDefault="001626F0" w:rsidP="008A4468">
            <w:pPr>
              <w:ind w:right="540"/>
              <w:contextualSpacing/>
              <w:rPr>
                <w:rFonts w:cstheme="minorHAnsi"/>
                <w:sz w:val="24"/>
                <w:szCs w:val="24"/>
              </w:rPr>
            </w:pPr>
            <w:r w:rsidRPr="00515206">
              <w:rPr>
                <w:rFonts w:cstheme="minorHAnsi"/>
                <w:sz w:val="24"/>
                <w:szCs w:val="24"/>
              </w:rPr>
              <w:t>Staff Recommendation</w:t>
            </w:r>
          </w:p>
        </w:tc>
        <w:tc>
          <w:tcPr>
            <w:tcW w:w="5760" w:type="dxa"/>
            <w:shd w:val="clear" w:color="auto" w:fill="auto"/>
            <w:vAlign w:val="center"/>
          </w:tcPr>
          <w:p w14:paraId="0F4BD9B2" w14:textId="77777777" w:rsidR="001626F0" w:rsidRPr="00515206" w:rsidRDefault="001626F0" w:rsidP="008A4468">
            <w:pPr>
              <w:ind w:right="540"/>
              <w:contextualSpacing/>
              <w:rPr>
                <w:rFonts w:cstheme="minorHAnsi"/>
                <w:sz w:val="24"/>
                <w:szCs w:val="24"/>
              </w:rPr>
            </w:pPr>
            <w:r>
              <w:rPr>
                <w:rFonts w:cstheme="minorHAnsi"/>
                <w:sz w:val="24"/>
                <w:szCs w:val="24"/>
              </w:rPr>
              <w:t xml:space="preserve">Approval </w:t>
            </w:r>
          </w:p>
        </w:tc>
      </w:tr>
      <w:tr w:rsidR="001626F0" w:rsidRPr="007B1C0B" w14:paraId="2D494D03" w14:textId="77777777" w:rsidTr="008A4468">
        <w:trPr>
          <w:trHeight w:val="350"/>
          <w:jc w:val="center"/>
        </w:trPr>
        <w:tc>
          <w:tcPr>
            <w:tcW w:w="3685" w:type="dxa"/>
            <w:shd w:val="clear" w:color="auto" w:fill="auto"/>
            <w:vAlign w:val="center"/>
          </w:tcPr>
          <w:p w14:paraId="39CFB2D6" w14:textId="77777777" w:rsidR="001626F0" w:rsidRPr="00515206" w:rsidRDefault="001626F0" w:rsidP="008A4468">
            <w:pPr>
              <w:ind w:right="540"/>
              <w:contextualSpacing/>
              <w:rPr>
                <w:rFonts w:cstheme="minorHAnsi"/>
                <w:sz w:val="24"/>
                <w:szCs w:val="24"/>
              </w:rPr>
            </w:pPr>
            <w:r>
              <w:rPr>
                <w:rFonts w:cstheme="minorHAnsi"/>
                <w:sz w:val="24"/>
                <w:szCs w:val="24"/>
              </w:rPr>
              <w:t>Type of Review</w:t>
            </w:r>
          </w:p>
        </w:tc>
        <w:tc>
          <w:tcPr>
            <w:tcW w:w="5760" w:type="dxa"/>
            <w:shd w:val="clear" w:color="auto" w:fill="auto"/>
            <w:vAlign w:val="center"/>
          </w:tcPr>
          <w:p w14:paraId="700C91FB" w14:textId="77777777" w:rsidR="001626F0" w:rsidRPr="00515206" w:rsidRDefault="001626F0" w:rsidP="008A4468">
            <w:pPr>
              <w:ind w:right="540"/>
              <w:contextualSpacing/>
              <w:rPr>
                <w:rFonts w:cstheme="minorHAnsi"/>
                <w:sz w:val="24"/>
                <w:szCs w:val="24"/>
              </w:rPr>
            </w:pPr>
            <w:r>
              <w:rPr>
                <w:rFonts w:cstheme="minorHAnsi"/>
                <w:sz w:val="24"/>
                <w:szCs w:val="24"/>
              </w:rPr>
              <w:t>Delegated</w:t>
            </w:r>
          </w:p>
        </w:tc>
      </w:tr>
      <w:tr w:rsidR="001626F0" w:rsidRPr="007B1C0B" w14:paraId="09748D86" w14:textId="77777777" w:rsidTr="008A4468">
        <w:trPr>
          <w:trHeight w:val="2436"/>
          <w:jc w:val="center"/>
        </w:trPr>
        <w:tc>
          <w:tcPr>
            <w:tcW w:w="9445" w:type="dxa"/>
            <w:gridSpan w:val="2"/>
            <w:shd w:val="clear" w:color="auto" w:fill="auto"/>
            <w:vAlign w:val="center"/>
          </w:tcPr>
          <w:p w14:paraId="701C2542" w14:textId="77777777" w:rsidR="001626F0" w:rsidRDefault="001626F0" w:rsidP="008A4468">
            <w:pPr>
              <w:pStyle w:val="NoSpacing"/>
              <w:ind w:right="540"/>
              <w:contextualSpacing/>
              <w:jc w:val="center"/>
              <w:rPr>
                <w:rFonts w:cstheme="minorHAnsi"/>
                <w:sz w:val="24"/>
                <w:szCs w:val="24"/>
                <w:u w:val="single"/>
              </w:rPr>
            </w:pPr>
          </w:p>
          <w:p w14:paraId="02CE4586" w14:textId="77777777" w:rsidR="001626F0" w:rsidRDefault="001626F0" w:rsidP="008A4468">
            <w:pPr>
              <w:pStyle w:val="NoSpacing"/>
              <w:ind w:right="540"/>
              <w:contextualSpacing/>
              <w:jc w:val="center"/>
              <w:rPr>
                <w:rFonts w:cstheme="minorHAnsi"/>
                <w:sz w:val="24"/>
                <w:szCs w:val="24"/>
                <w:u w:val="single"/>
              </w:rPr>
            </w:pPr>
            <w:r w:rsidRPr="00515206">
              <w:rPr>
                <w:rFonts w:cstheme="minorHAnsi"/>
                <w:sz w:val="24"/>
                <w:szCs w:val="24"/>
                <w:u w:val="single"/>
              </w:rPr>
              <w:t>Project Summary and Regulatory Review</w:t>
            </w:r>
          </w:p>
          <w:p w14:paraId="3E4DD290" w14:textId="77777777" w:rsidR="001626F0" w:rsidRPr="00515206" w:rsidRDefault="001626F0" w:rsidP="008A4468">
            <w:pPr>
              <w:pStyle w:val="NoSpacing"/>
              <w:ind w:right="540"/>
              <w:contextualSpacing/>
              <w:jc w:val="center"/>
              <w:rPr>
                <w:rFonts w:cstheme="minorHAnsi"/>
                <w:sz w:val="24"/>
                <w:szCs w:val="24"/>
              </w:rPr>
            </w:pPr>
          </w:p>
          <w:p w14:paraId="4A93B096" w14:textId="6D0D3709" w:rsidR="001626F0" w:rsidRDefault="001626F0" w:rsidP="008A4468">
            <w:pPr>
              <w:pStyle w:val="NoSpacing"/>
              <w:contextualSpacing/>
              <w:rPr>
                <w:rFonts w:cstheme="minorHAnsi"/>
                <w:sz w:val="24"/>
                <w:szCs w:val="24"/>
              </w:rPr>
            </w:pPr>
            <w:r w:rsidRPr="001626F0">
              <w:rPr>
                <w:rFonts w:cstheme="minorHAnsi"/>
                <w:sz w:val="24"/>
                <w:szCs w:val="24"/>
              </w:rPr>
              <w:t>Mass General Brigham Incorporated (</w:t>
            </w:r>
            <w:r w:rsidR="00D64420">
              <w:rPr>
                <w:rFonts w:cstheme="minorHAnsi"/>
                <w:sz w:val="24"/>
                <w:szCs w:val="24"/>
              </w:rPr>
              <w:t>“</w:t>
            </w:r>
            <w:r w:rsidRPr="001626F0">
              <w:rPr>
                <w:rFonts w:cstheme="minorHAnsi"/>
                <w:sz w:val="24"/>
                <w:szCs w:val="24"/>
              </w:rPr>
              <w:t>MGB</w:t>
            </w:r>
            <w:r w:rsidR="00D64420">
              <w:rPr>
                <w:rFonts w:cstheme="minorHAnsi"/>
                <w:sz w:val="24"/>
                <w:szCs w:val="24"/>
              </w:rPr>
              <w:t>”</w:t>
            </w:r>
            <w:r w:rsidRPr="001626F0">
              <w:rPr>
                <w:rFonts w:cstheme="minorHAnsi"/>
                <w:sz w:val="24"/>
                <w:szCs w:val="24"/>
              </w:rPr>
              <w:t xml:space="preserve"> or </w:t>
            </w:r>
            <w:r w:rsidR="00D64420">
              <w:rPr>
                <w:rFonts w:cstheme="minorHAnsi"/>
                <w:sz w:val="24"/>
                <w:szCs w:val="24"/>
              </w:rPr>
              <w:t>“</w:t>
            </w:r>
            <w:r w:rsidRPr="001626F0">
              <w:rPr>
                <w:rFonts w:cstheme="minorHAnsi"/>
                <w:sz w:val="24"/>
                <w:szCs w:val="24"/>
              </w:rPr>
              <w:t>Applicant</w:t>
            </w:r>
            <w:r w:rsidR="00D64420">
              <w:rPr>
                <w:rFonts w:cstheme="minorHAnsi"/>
                <w:sz w:val="24"/>
                <w:szCs w:val="24"/>
              </w:rPr>
              <w:t>”</w:t>
            </w:r>
            <w:r w:rsidRPr="001626F0">
              <w:rPr>
                <w:rFonts w:cstheme="minorHAnsi"/>
                <w:sz w:val="24"/>
                <w:szCs w:val="24"/>
              </w:rPr>
              <w:t xml:space="preserve">) submitted an application for the </w:t>
            </w:r>
            <w:r>
              <w:rPr>
                <w:rFonts w:cstheme="minorHAnsi"/>
                <w:sz w:val="24"/>
                <w:szCs w:val="24"/>
              </w:rPr>
              <w:t xml:space="preserve">addition of one </w:t>
            </w:r>
            <w:r w:rsidR="001B248B">
              <w:rPr>
                <w:rFonts w:cstheme="minorHAnsi"/>
                <w:sz w:val="24"/>
                <w:szCs w:val="24"/>
              </w:rPr>
              <w:t xml:space="preserve">fixed </w:t>
            </w:r>
            <w:r>
              <w:rPr>
                <w:rFonts w:cstheme="minorHAnsi"/>
                <w:sz w:val="24"/>
                <w:szCs w:val="24"/>
              </w:rPr>
              <w:t>Computed Tomography Unit (</w:t>
            </w:r>
            <w:r w:rsidR="00D64420">
              <w:rPr>
                <w:rFonts w:cstheme="minorHAnsi"/>
                <w:sz w:val="24"/>
                <w:szCs w:val="24"/>
              </w:rPr>
              <w:t>“</w:t>
            </w:r>
            <w:r>
              <w:rPr>
                <w:rFonts w:cstheme="minorHAnsi"/>
                <w:sz w:val="24"/>
                <w:szCs w:val="24"/>
              </w:rPr>
              <w:t xml:space="preserve">CT) and associated renovations </w:t>
            </w:r>
            <w:r w:rsidR="00C375A0">
              <w:rPr>
                <w:rFonts w:cstheme="minorHAnsi"/>
                <w:sz w:val="24"/>
                <w:szCs w:val="24"/>
              </w:rPr>
              <w:t>in the Emergency Department</w:t>
            </w:r>
            <w:r w:rsidR="001B248B">
              <w:rPr>
                <w:rFonts w:cstheme="minorHAnsi"/>
                <w:sz w:val="24"/>
                <w:szCs w:val="24"/>
              </w:rPr>
              <w:t xml:space="preserve"> of </w:t>
            </w:r>
            <w:r w:rsidR="001B248B" w:rsidRPr="001B248B">
              <w:rPr>
                <w:rFonts w:cstheme="minorHAnsi"/>
                <w:sz w:val="24"/>
                <w:szCs w:val="24"/>
              </w:rPr>
              <w:t>Cooley Dickinson Hospital (</w:t>
            </w:r>
            <w:r w:rsidR="00D64420">
              <w:rPr>
                <w:rFonts w:cstheme="minorHAnsi"/>
                <w:sz w:val="24"/>
                <w:szCs w:val="24"/>
              </w:rPr>
              <w:t>“</w:t>
            </w:r>
            <w:r w:rsidR="001B248B">
              <w:rPr>
                <w:rFonts w:cstheme="minorHAnsi"/>
                <w:sz w:val="24"/>
                <w:szCs w:val="24"/>
              </w:rPr>
              <w:t>Hospital</w:t>
            </w:r>
            <w:r w:rsidR="00D64420">
              <w:rPr>
                <w:rFonts w:cstheme="minorHAnsi"/>
                <w:sz w:val="24"/>
                <w:szCs w:val="24"/>
              </w:rPr>
              <w:t>”</w:t>
            </w:r>
            <w:r w:rsidR="001B248B" w:rsidRPr="001B248B">
              <w:rPr>
                <w:rFonts w:cstheme="minorHAnsi"/>
                <w:sz w:val="24"/>
                <w:szCs w:val="24"/>
              </w:rPr>
              <w:t xml:space="preserve"> or </w:t>
            </w:r>
            <w:r w:rsidR="00D64420">
              <w:rPr>
                <w:rFonts w:cstheme="minorHAnsi"/>
                <w:sz w:val="24"/>
                <w:szCs w:val="24"/>
              </w:rPr>
              <w:t>“</w:t>
            </w:r>
            <w:r w:rsidR="001B248B" w:rsidRPr="001B248B">
              <w:rPr>
                <w:rFonts w:cstheme="minorHAnsi"/>
                <w:sz w:val="24"/>
                <w:szCs w:val="24"/>
              </w:rPr>
              <w:t>CDH</w:t>
            </w:r>
            <w:r w:rsidR="00D64420">
              <w:rPr>
                <w:rFonts w:cstheme="minorHAnsi"/>
                <w:sz w:val="24"/>
                <w:szCs w:val="24"/>
              </w:rPr>
              <w:t>”</w:t>
            </w:r>
            <w:r w:rsidR="001B248B" w:rsidRPr="001B248B">
              <w:rPr>
                <w:rFonts w:cstheme="minorHAnsi"/>
                <w:sz w:val="24"/>
                <w:szCs w:val="24"/>
              </w:rPr>
              <w:t>)</w:t>
            </w:r>
            <w:r w:rsidR="001B248B" w:rsidRPr="001B248B">
              <w:rPr>
                <w:sz w:val="24"/>
                <w:szCs w:val="24"/>
              </w:rPr>
              <w:t xml:space="preserve"> </w:t>
            </w:r>
            <w:r w:rsidR="001B248B" w:rsidRPr="001B248B">
              <w:rPr>
                <w:rFonts w:cstheme="minorHAnsi"/>
                <w:sz w:val="24"/>
                <w:szCs w:val="24"/>
              </w:rPr>
              <w:t xml:space="preserve">located at 30 Locust Street, Northampton, Massachusetts </w:t>
            </w:r>
            <w:r w:rsidR="00F25A5D" w:rsidRPr="001B248B">
              <w:rPr>
                <w:rFonts w:cstheme="minorHAnsi"/>
                <w:sz w:val="24"/>
                <w:szCs w:val="24"/>
              </w:rPr>
              <w:t>01060</w:t>
            </w:r>
            <w:r w:rsidR="00F25A5D">
              <w:rPr>
                <w:rFonts w:cstheme="minorHAnsi"/>
                <w:sz w:val="24"/>
                <w:szCs w:val="24"/>
              </w:rPr>
              <w:t>.</w:t>
            </w:r>
            <w:r w:rsidRPr="001626F0">
              <w:rPr>
                <w:rFonts w:cstheme="minorHAnsi"/>
                <w:sz w:val="24"/>
                <w:szCs w:val="24"/>
              </w:rPr>
              <w:t xml:space="preserve"> </w:t>
            </w:r>
            <w:r>
              <w:rPr>
                <w:rFonts w:cstheme="minorHAnsi"/>
                <w:sz w:val="24"/>
                <w:szCs w:val="24"/>
              </w:rPr>
              <w:t>T</w:t>
            </w:r>
            <w:r w:rsidRPr="00FC6BE0">
              <w:rPr>
                <w:rFonts w:cstheme="minorHAnsi"/>
                <w:sz w:val="24"/>
                <w:szCs w:val="24"/>
              </w:rPr>
              <w:t xml:space="preserve">he capital expenditure for the Proposed Project is </w:t>
            </w:r>
            <w:r w:rsidR="008B1871" w:rsidRPr="008B1871">
              <w:rPr>
                <w:rFonts w:cstheme="minorHAnsi"/>
                <w:sz w:val="24"/>
                <w:szCs w:val="24"/>
              </w:rPr>
              <w:t>$2,516,623.00</w:t>
            </w:r>
            <w:r w:rsidRPr="00FC6BE0">
              <w:rPr>
                <w:rFonts w:cstheme="minorHAnsi"/>
                <w:sz w:val="24"/>
                <w:szCs w:val="24"/>
              </w:rPr>
              <w:t>; the Community Health Initiatives (</w:t>
            </w:r>
            <w:r w:rsidR="00D64420">
              <w:rPr>
                <w:rFonts w:cstheme="minorHAnsi"/>
                <w:sz w:val="24"/>
                <w:szCs w:val="24"/>
              </w:rPr>
              <w:t>“</w:t>
            </w:r>
            <w:r w:rsidRPr="00FC6BE0">
              <w:rPr>
                <w:rFonts w:cstheme="minorHAnsi"/>
                <w:sz w:val="24"/>
                <w:szCs w:val="24"/>
              </w:rPr>
              <w:t>CHI</w:t>
            </w:r>
            <w:r w:rsidR="00D64420">
              <w:rPr>
                <w:rFonts w:cstheme="minorHAnsi"/>
                <w:sz w:val="24"/>
                <w:szCs w:val="24"/>
              </w:rPr>
              <w:t>”</w:t>
            </w:r>
            <w:r w:rsidRPr="00FC6BE0">
              <w:rPr>
                <w:rFonts w:cstheme="minorHAnsi"/>
                <w:sz w:val="24"/>
                <w:szCs w:val="24"/>
              </w:rPr>
              <w:t xml:space="preserve">) contribution is </w:t>
            </w:r>
            <w:r w:rsidR="008B1871" w:rsidRPr="008B1871">
              <w:rPr>
                <w:rFonts w:cstheme="minorHAnsi"/>
                <w:sz w:val="24"/>
                <w:szCs w:val="24"/>
              </w:rPr>
              <w:t>$125,831.25</w:t>
            </w:r>
            <w:r w:rsidR="008B1871">
              <w:rPr>
                <w:rFonts w:cstheme="minorHAnsi"/>
                <w:sz w:val="24"/>
                <w:szCs w:val="24"/>
              </w:rPr>
              <w:t>.</w:t>
            </w:r>
          </w:p>
          <w:p w14:paraId="1EEA45E8" w14:textId="77777777" w:rsidR="001626F0" w:rsidRDefault="001626F0" w:rsidP="008A4468">
            <w:pPr>
              <w:pStyle w:val="NoSpacing"/>
              <w:contextualSpacing/>
              <w:rPr>
                <w:rFonts w:cstheme="minorHAnsi"/>
                <w:sz w:val="24"/>
                <w:szCs w:val="24"/>
              </w:rPr>
            </w:pPr>
          </w:p>
          <w:p w14:paraId="1C889FD6" w14:textId="1D08425B" w:rsidR="001626F0" w:rsidRDefault="001626F0" w:rsidP="008A4468">
            <w:pPr>
              <w:pStyle w:val="NoSpacing"/>
              <w:contextualSpacing/>
              <w:rPr>
                <w:rFonts w:cstheme="minorHAnsi"/>
                <w:sz w:val="24"/>
                <w:szCs w:val="24"/>
              </w:rPr>
            </w:pPr>
            <w:r w:rsidRPr="00D63B4A">
              <w:rPr>
                <w:rFonts w:cstheme="minorHAnsi"/>
                <w:sz w:val="24"/>
                <w:szCs w:val="24"/>
              </w:rPr>
              <w:t xml:space="preserve">This DoN application falls within the definition of </w:t>
            </w:r>
            <w:r>
              <w:rPr>
                <w:rFonts w:cstheme="minorHAnsi"/>
                <w:sz w:val="24"/>
                <w:szCs w:val="24"/>
              </w:rPr>
              <w:t>Substantial Change in Service</w:t>
            </w:r>
            <w:r w:rsidRPr="00D63B4A">
              <w:rPr>
                <w:rFonts w:cstheme="minorHAnsi"/>
                <w:sz w:val="24"/>
                <w:szCs w:val="24"/>
              </w:rPr>
              <w:t>, which are reviewed under the DoN regulation 105 CMR 100.000. The Department must determine that need exists for a Proposed Project, on the basis of material in the record, where the Applicant makes a clear and convincing demonstration that the Proposed Project meets each Determination of Need Factor set forth within 105 CMR 100.210. This staff report addresses each of the six factors set forth in the regulation</w:t>
            </w:r>
            <w:r>
              <w:rPr>
                <w:rFonts w:cstheme="minorHAnsi"/>
                <w:sz w:val="24"/>
                <w:szCs w:val="24"/>
              </w:rPr>
              <w:t>.</w:t>
            </w:r>
            <w:r w:rsidR="00A20DF6">
              <w:rPr>
                <w:rFonts w:cstheme="minorHAnsi"/>
                <w:sz w:val="24"/>
                <w:szCs w:val="24"/>
              </w:rPr>
              <w:t xml:space="preserve"> </w:t>
            </w:r>
          </w:p>
          <w:p w14:paraId="4068A451" w14:textId="77777777" w:rsidR="001626F0" w:rsidRPr="00515206" w:rsidRDefault="001626F0" w:rsidP="008A4468">
            <w:pPr>
              <w:pStyle w:val="NoSpacing"/>
              <w:contextualSpacing/>
              <w:rPr>
                <w:rFonts w:cstheme="minorHAnsi"/>
                <w:sz w:val="24"/>
                <w:szCs w:val="24"/>
              </w:rPr>
            </w:pPr>
          </w:p>
        </w:tc>
      </w:tr>
    </w:tbl>
    <w:p w14:paraId="7D2F9134" w14:textId="59B274CC" w:rsidR="001626F0" w:rsidRPr="00C62459" w:rsidRDefault="001626F0" w:rsidP="00C62459">
      <w:pPr>
        <w:spacing w:after="0" w:line="240" w:lineRule="auto"/>
        <w:rPr>
          <w:b/>
          <w:bCs/>
          <w:sz w:val="24"/>
          <w:szCs w:val="24"/>
        </w:rPr>
        <w:sectPr w:rsidR="001626F0" w:rsidRPr="00C62459">
          <w:footerReference w:type="default" r:id="rId8"/>
          <w:pgSz w:w="12240" w:h="15840"/>
          <w:pgMar w:top="1440" w:right="1440" w:bottom="1440" w:left="1440" w:header="720" w:footer="720" w:gutter="0"/>
          <w:cols w:space="720"/>
          <w:docGrid w:linePitch="360"/>
        </w:sectPr>
      </w:pPr>
    </w:p>
    <w:sdt>
      <w:sdtPr>
        <w:rPr>
          <w:rFonts w:eastAsiaTheme="minorHAnsi" w:cstheme="minorBidi"/>
          <w:b w:val="0"/>
          <w:color w:val="auto"/>
          <w:sz w:val="22"/>
          <w:szCs w:val="22"/>
        </w:rPr>
        <w:id w:val="1753002011"/>
        <w:docPartObj>
          <w:docPartGallery w:val="Table of Contents"/>
          <w:docPartUnique/>
        </w:docPartObj>
      </w:sdtPr>
      <w:sdtEndPr>
        <w:rPr>
          <w:bCs/>
          <w:noProof/>
          <w:sz w:val="24"/>
          <w:szCs w:val="24"/>
        </w:rPr>
      </w:sdtEndPr>
      <w:sdtContent>
        <w:p w14:paraId="022950C1" w14:textId="45A3B408" w:rsidR="0098316A" w:rsidRDefault="0098316A">
          <w:pPr>
            <w:pStyle w:val="TOCHeading"/>
          </w:pPr>
          <w:r>
            <w:t>Contents</w:t>
          </w:r>
        </w:p>
        <w:p w14:paraId="70C21484" w14:textId="058797D1" w:rsidR="0057409D" w:rsidRDefault="0098316A">
          <w:pPr>
            <w:pStyle w:val="TOC1"/>
            <w:tabs>
              <w:tab w:val="right" w:leader="dot" w:pos="9710"/>
            </w:tabs>
            <w:rPr>
              <w:rFonts w:eastAsiaTheme="minorEastAsia"/>
              <w:noProof/>
            </w:rPr>
          </w:pPr>
          <w:r w:rsidRPr="00AD2639">
            <w:rPr>
              <w:sz w:val="24"/>
              <w:szCs w:val="24"/>
            </w:rPr>
            <w:fldChar w:fldCharType="begin"/>
          </w:r>
          <w:r w:rsidRPr="00AD2639">
            <w:rPr>
              <w:sz w:val="24"/>
              <w:szCs w:val="24"/>
            </w:rPr>
            <w:instrText xml:space="preserve"> TOC \o "1-3" \h \z \u </w:instrText>
          </w:r>
          <w:r w:rsidRPr="00AD2639">
            <w:rPr>
              <w:sz w:val="24"/>
              <w:szCs w:val="24"/>
            </w:rPr>
            <w:fldChar w:fldCharType="separate"/>
          </w:r>
          <w:hyperlink w:anchor="_Toc144121527" w:history="1">
            <w:r w:rsidR="0057409D" w:rsidRPr="006A1925">
              <w:rPr>
                <w:rStyle w:val="Hyperlink"/>
                <w:noProof/>
              </w:rPr>
              <w:t>Overview</w:t>
            </w:r>
            <w:r w:rsidR="0057409D">
              <w:rPr>
                <w:noProof/>
                <w:webHidden/>
              </w:rPr>
              <w:tab/>
            </w:r>
            <w:r w:rsidR="0057409D">
              <w:rPr>
                <w:noProof/>
                <w:webHidden/>
              </w:rPr>
              <w:fldChar w:fldCharType="begin"/>
            </w:r>
            <w:r w:rsidR="0057409D">
              <w:rPr>
                <w:noProof/>
                <w:webHidden/>
              </w:rPr>
              <w:instrText xml:space="preserve"> PAGEREF _Toc144121527 \h </w:instrText>
            </w:r>
            <w:r w:rsidR="0057409D">
              <w:rPr>
                <w:noProof/>
                <w:webHidden/>
              </w:rPr>
            </w:r>
            <w:r w:rsidR="0057409D">
              <w:rPr>
                <w:noProof/>
                <w:webHidden/>
              </w:rPr>
              <w:fldChar w:fldCharType="separate"/>
            </w:r>
            <w:r w:rsidR="00D85A32">
              <w:rPr>
                <w:noProof/>
                <w:webHidden/>
              </w:rPr>
              <w:t>3</w:t>
            </w:r>
            <w:r w:rsidR="0057409D">
              <w:rPr>
                <w:noProof/>
                <w:webHidden/>
              </w:rPr>
              <w:fldChar w:fldCharType="end"/>
            </w:r>
          </w:hyperlink>
        </w:p>
        <w:p w14:paraId="6099FF6A" w14:textId="176FF3DC" w:rsidR="0057409D" w:rsidRDefault="005F3DA0">
          <w:pPr>
            <w:pStyle w:val="TOC1"/>
            <w:tabs>
              <w:tab w:val="right" w:leader="dot" w:pos="9710"/>
            </w:tabs>
            <w:rPr>
              <w:rFonts w:eastAsiaTheme="minorEastAsia"/>
              <w:noProof/>
            </w:rPr>
          </w:pPr>
          <w:hyperlink w:anchor="_Toc144121528" w:history="1">
            <w:r w:rsidR="0057409D" w:rsidRPr="006A1925">
              <w:rPr>
                <w:rStyle w:val="Hyperlink"/>
                <w:noProof/>
              </w:rPr>
              <w:t>Patient Panel</w:t>
            </w:r>
            <w:r w:rsidR="0057409D">
              <w:rPr>
                <w:noProof/>
                <w:webHidden/>
              </w:rPr>
              <w:tab/>
            </w:r>
            <w:r w:rsidR="0057409D">
              <w:rPr>
                <w:noProof/>
                <w:webHidden/>
              </w:rPr>
              <w:fldChar w:fldCharType="begin"/>
            </w:r>
            <w:r w:rsidR="0057409D">
              <w:rPr>
                <w:noProof/>
                <w:webHidden/>
              </w:rPr>
              <w:instrText xml:space="preserve"> PAGEREF _Toc144121528 \h </w:instrText>
            </w:r>
            <w:r w:rsidR="0057409D">
              <w:rPr>
                <w:noProof/>
                <w:webHidden/>
              </w:rPr>
            </w:r>
            <w:r w:rsidR="0057409D">
              <w:rPr>
                <w:noProof/>
                <w:webHidden/>
              </w:rPr>
              <w:fldChar w:fldCharType="separate"/>
            </w:r>
            <w:r w:rsidR="00D85A32">
              <w:rPr>
                <w:noProof/>
                <w:webHidden/>
              </w:rPr>
              <w:t>4</w:t>
            </w:r>
            <w:r w:rsidR="0057409D">
              <w:rPr>
                <w:noProof/>
                <w:webHidden/>
              </w:rPr>
              <w:fldChar w:fldCharType="end"/>
            </w:r>
          </w:hyperlink>
        </w:p>
        <w:p w14:paraId="0EE88244" w14:textId="1B623BBE" w:rsidR="0057409D" w:rsidRDefault="005F3DA0">
          <w:pPr>
            <w:pStyle w:val="TOC1"/>
            <w:tabs>
              <w:tab w:val="right" w:leader="dot" w:pos="9710"/>
            </w:tabs>
            <w:rPr>
              <w:rFonts w:eastAsiaTheme="minorEastAsia"/>
              <w:noProof/>
            </w:rPr>
          </w:pPr>
          <w:hyperlink w:anchor="_Toc144121529" w:history="1">
            <w:r w:rsidR="0057409D" w:rsidRPr="006A1925">
              <w:rPr>
                <w:rStyle w:val="Hyperlink"/>
                <w:noProof/>
              </w:rPr>
              <w:t>Factor 1: a) Patient Panel Need</w:t>
            </w:r>
            <w:r w:rsidR="0057409D">
              <w:rPr>
                <w:noProof/>
                <w:webHidden/>
              </w:rPr>
              <w:tab/>
            </w:r>
            <w:r w:rsidR="0057409D">
              <w:rPr>
                <w:noProof/>
                <w:webHidden/>
              </w:rPr>
              <w:fldChar w:fldCharType="begin"/>
            </w:r>
            <w:r w:rsidR="0057409D">
              <w:rPr>
                <w:noProof/>
                <w:webHidden/>
              </w:rPr>
              <w:instrText xml:space="preserve"> PAGEREF _Toc144121529 \h </w:instrText>
            </w:r>
            <w:r w:rsidR="0057409D">
              <w:rPr>
                <w:noProof/>
                <w:webHidden/>
              </w:rPr>
            </w:r>
            <w:r w:rsidR="0057409D">
              <w:rPr>
                <w:noProof/>
                <w:webHidden/>
              </w:rPr>
              <w:fldChar w:fldCharType="separate"/>
            </w:r>
            <w:r w:rsidR="00D85A32">
              <w:rPr>
                <w:noProof/>
                <w:webHidden/>
              </w:rPr>
              <w:t>6</w:t>
            </w:r>
            <w:r w:rsidR="0057409D">
              <w:rPr>
                <w:noProof/>
                <w:webHidden/>
              </w:rPr>
              <w:fldChar w:fldCharType="end"/>
            </w:r>
          </w:hyperlink>
        </w:p>
        <w:p w14:paraId="08DA2EBE" w14:textId="1FE7B3B3" w:rsidR="0057409D" w:rsidRDefault="005F3DA0">
          <w:pPr>
            <w:pStyle w:val="TOC1"/>
            <w:tabs>
              <w:tab w:val="right" w:leader="dot" w:pos="9710"/>
            </w:tabs>
            <w:rPr>
              <w:rFonts w:eastAsiaTheme="minorEastAsia"/>
              <w:noProof/>
            </w:rPr>
          </w:pPr>
          <w:hyperlink w:anchor="_Toc144121530" w:history="1">
            <w:r w:rsidR="0057409D" w:rsidRPr="006A1925">
              <w:rPr>
                <w:rStyle w:val="Hyperlink"/>
                <w:noProof/>
              </w:rPr>
              <w:t>Factor 1: b) Public Health Value through Improved Health Outcomes and Quality Of Life; Assurances Of Health Equity</w:t>
            </w:r>
            <w:r w:rsidR="0057409D">
              <w:rPr>
                <w:noProof/>
                <w:webHidden/>
              </w:rPr>
              <w:tab/>
            </w:r>
            <w:r w:rsidR="0057409D">
              <w:rPr>
                <w:noProof/>
                <w:webHidden/>
              </w:rPr>
              <w:fldChar w:fldCharType="begin"/>
            </w:r>
            <w:r w:rsidR="0057409D">
              <w:rPr>
                <w:noProof/>
                <w:webHidden/>
              </w:rPr>
              <w:instrText xml:space="preserve"> PAGEREF _Toc144121530 \h </w:instrText>
            </w:r>
            <w:r w:rsidR="0057409D">
              <w:rPr>
                <w:noProof/>
                <w:webHidden/>
              </w:rPr>
            </w:r>
            <w:r w:rsidR="0057409D">
              <w:rPr>
                <w:noProof/>
                <w:webHidden/>
              </w:rPr>
              <w:fldChar w:fldCharType="separate"/>
            </w:r>
            <w:r w:rsidR="00D85A32">
              <w:rPr>
                <w:noProof/>
                <w:webHidden/>
              </w:rPr>
              <w:t>11</w:t>
            </w:r>
            <w:r w:rsidR="0057409D">
              <w:rPr>
                <w:noProof/>
                <w:webHidden/>
              </w:rPr>
              <w:fldChar w:fldCharType="end"/>
            </w:r>
          </w:hyperlink>
        </w:p>
        <w:p w14:paraId="353FDFCE" w14:textId="03BF4E02" w:rsidR="0057409D" w:rsidRDefault="005F3DA0">
          <w:pPr>
            <w:pStyle w:val="TOC1"/>
            <w:tabs>
              <w:tab w:val="right" w:leader="dot" w:pos="9710"/>
            </w:tabs>
            <w:rPr>
              <w:rFonts w:eastAsiaTheme="minorEastAsia"/>
              <w:noProof/>
            </w:rPr>
          </w:pPr>
          <w:hyperlink w:anchor="_Toc144121531" w:history="1">
            <w:r w:rsidR="0057409D" w:rsidRPr="006A1925">
              <w:rPr>
                <w:rStyle w:val="Hyperlink"/>
                <w:noProof/>
              </w:rPr>
              <w:t>Factor 1: c) Efficiency, Continuity of Care, Coordination of Care</w:t>
            </w:r>
            <w:r w:rsidR="0057409D">
              <w:rPr>
                <w:noProof/>
                <w:webHidden/>
              </w:rPr>
              <w:tab/>
            </w:r>
            <w:r w:rsidR="0057409D">
              <w:rPr>
                <w:noProof/>
                <w:webHidden/>
              </w:rPr>
              <w:fldChar w:fldCharType="begin"/>
            </w:r>
            <w:r w:rsidR="0057409D">
              <w:rPr>
                <w:noProof/>
                <w:webHidden/>
              </w:rPr>
              <w:instrText xml:space="preserve"> PAGEREF _Toc144121531 \h </w:instrText>
            </w:r>
            <w:r w:rsidR="0057409D">
              <w:rPr>
                <w:noProof/>
                <w:webHidden/>
              </w:rPr>
            </w:r>
            <w:r w:rsidR="0057409D">
              <w:rPr>
                <w:noProof/>
                <w:webHidden/>
              </w:rPr>
              <w:fldChar w:fldCharType="separate"/>
            </w:r>
            <w:r w:rsidR="00D85A32">
              <w:rPr>
                <w:noProof/>
                <w:webHidden/>
              </w:rPr>
              <w:t>14</w:t>
            </w:r>
            <w:r w:rsidR="0057409D">
              <w:rPr>
                <w:noProof/>
                <w:webHidden/>
              </w:rPr>
              <w:fldChar w:fldCharType="end"/>
            </w:r>
          </w:hyperlink>
        </w:p>
        <w:p w14:paraId="6E799ED3" w14:textId="3BB4C4C8" w:rsidR="0057409D" w:rsidRDefault="005F3DA0">
          <w:pPr>
            <w:pStyle w:val="TOC1"/>
            <w:tabs>
              <w:tab w:val="right" w:leader="dot" w:pos="9710"/>
            </w:tabs>
            <w:rPr>
              <w:rFonts w:eastAsiaTheme="minorEastAsia"/>
              <w:noProof/>
            </w:rPr>
          </w:pPr>
          <w:hyperlink w:anchor="_Toc144121532" w:history="1">
            <w:r w:rsidR="0057409D" w:rsidRPr="006A1925">
              <w:rPr>
                <w:rStyle w:val="Hyperlink"/>
                <w:noProof/>
              </w:rPr>
              <w:t>Factor 1: d) Consultation</w:t>
            </w:r>
            <w:r w:rsidR="0057409D">
              <w:rPr>
                <w:noProof/>
                <w:webHidden/>
              </w:rPr>
              <w:tab/>
            </w:r>
            <w:r w:rsidR="0057409D">
              <w:rPr>
                <w:noProof/>
                <w:webHidden/>
              </w:rPr>
              <w:fldChar w:fldCharType="begin"/>
            </w:r>
            <w:r w:rsidR="0057409D">
              <w:rPr>
                <w:noProof/>
                <w:webHidden/>
              </w:rPr>
              <w:instrText xml:space="preserve"> PAGEREF _Toc144121532 \h </w:instrText>
            </w:r>
            <w:r w:rsidR="0057409D">
              <w:rPr>
                <w:noProof/>
                <w:webHidden/>
              </w:rPr>
            </w:r>
            <w:r w:rsidR="0057409D">
              <w:rPr>
                <w:noProof/>
                <w:webHidden/>
              </w:rPr>
              <w:fldChar w:fldCharType="separate"/>
            </w:r>
            <w:r w:rsidR="00D85A32">
              <w:rPr>
                <w:noProof/>
                <w:webHidden/>
              </w:rPr>
              <w:t>15</w:t>
            </w:r>
            <w:r w:rsidR="0057409D">
              <w:rPr>
                <w:noProof/>
                <w:webHidden/>
              </w:rPr>
              <w:fldChar w:fldCharType="end"/>
            </w:r>
          </w:hyperlink>
        </w:p>
        <w:p w14:paraId="4ACEFF4F" w14:textId="6376CA98" w:rsidR="0057409D" w:rsidRDefault="005F3DA0">
          <w:pPr>
            <w:pStyle w:val="TOC1"/>
            <w:tabs>
              <w:tab w:val="right" w:leader="dot" w:pos="9710"/>
            </w:tabs>
            <w:rPr>
              <w:rFonts w:eastAsiaTheme="minorEastAsia"/>
              <w:noProof/>
            </w:rPr>
          </w:pPr>
          <w:hyperlink w:anchor="_Toc144121533" w:history="1">
            <w:r w:rsidR="0057409D" w:rsidRPr="006A1925">
              <w:rPr>
                <w:rStyle w:val="Hyperlink"/>
                <w:noProof/>
              </w:rPr>
              <w:t>Factor 1: e) Evidence of Sound Community Engagement within the Patient Panel</w:t>
            </w:r>
            <w:r w:rsidR="0057409D">
              <w:rPr>
                <w:noProof/>
                <w:webHidden/>
              </w:rPr>
              <w:tab/>
            </w:r>
            <w:r w:rsidR="0057409D">
              <w:rPr>
                <w:noProof/>
                <w:webHidden/>
              </w:rPr>
              <w:fldChar w:fldCharType="begin"/>
            </w:r>
            <w:r w:rsidR="0057409D">
              <w:rPr>
                <w:noProof/>
                <w:webHidden/>
              </w:rPr>
              <w:instrText xml:space="preserve"> PAGEREF _Toc144121533 \h </w:instrText>
            </w:r>
            <w:r w:rsidR="0057409D">
              <w:rPr>
                <w:noProof/>
                <w:webHidden/>
              </w:rPr>
            </w:r>
            <w:r w:rsidR="0057409D">
              <w:rPr>
                <w:noProof/>
                <w:webHidden/>
              </w:rPr>
              <w:fldChar w:fldCharType="separate"/>
            </w:r>
            <w:r w:rsidR="00D85A32">
              <w:rPr>
                <w:noProof/>
                <w:webHidden/>
              </w:rPr>
              <w:t>15</w:t>
            </w:r>
            <w:r w:rsidR="0057409D">
              <w:rPr>
                <w:noProof/>
                <w:webHidden/>
              </w:rPr>
              <w:fldChar w:fldCharType="end"/>
            </w:r>
          </w:hyperlink>
        </w:p>
        <w:p w14:paraId="022560E1" w14:textId="47634D89" w:rsidR="0057409D" w:rsidRDefault="005F3DA0">
          <w:pPr>
            <w:pStyle w:val="TOC1"/>
            <w:tabs>
              <w:tab w:val="right" w:leader="dot" w:pos="9710"/>
            </w:tabs>
            <w:rPr>
              <w:rFonts w:eastAsiaTheme="minorEastAsia"/>
              <w:noProof/>
            </w:rPr>
          </w:pPr>
          <w:hyperlink w:anchor="_Toc144121534" w:history="1">
            <w:r w:rsidR="0057409D" w:rsidRPr="006A1925">
              <w:rPr>
                <w:rStyle w:val="Hyperlink"/>
                <w:noProof/>
              </w:rPr>
              <w:t>Factor 1: f) Competition on Price, Total Medical Expenses (TME), Costs and Other Measures Of Health Care Spending</w:t>
            </w:r>
            <w:r w:rsidR="0057409D">
              <w:rPr>
                <w:noProof/>
                <w:webHidden/>
              </w:rPr>
              <w:tab/>
            </w:r>
            <w:r w:rsidR="0057409D">
              <w:rPr>
                <w:noProof/>
                <w:webHidden/>
              </w:rPr>
              <w:fldChar w:fldCharType="begin"/>
            </w:r>
            <w:r w:rsidR="0057409D">
              <w:rPr>
                <w:noProof/>
                <w:webHidden/>
              </w:rPr>
              <w:instrText xml:space="preserve"> PAGEREF _Toc144121534 \h </w:instrText>
            </w:r>
            <w:r w:rsidR="0057409D">
              <w:rPr>
                <w:noProof/>
                <w:webHidden/>
              </w:rPr>
            </w:r>
            <w:r w:rsidR="0057409D">
              <w:rPr>
                <w:noProof/>
                <w:webHidden/>
              </w:rPr>
              <w:fldChar w:fldCharType="separate"/>
            </w:r>
            <w:r w:rsidR="00D85A32">
              <w:rPr>
                <w:noProof/>
                <w:webHidden/>
              </w:rPr>
              <w:t>16</w:t>
            </w:r>
            <w:r w:rsidR="0057409D">
              <w:rPr>
                <w:noProof/>
                <w:webHidden/>
              </w:rPr>
              <w:fldChar w:fldCharType="end"/>
            </w:r>
          </w:hyperlink>
        </w:p>
        <w:p w14:paraId="6F024FC8" w14:textId="3C5AEEBF" w:rsidR="0057409D" w:rsidRDefault="005F3DA0">
          <w:pPr>
            <w:pStyle w:val="TOC1"/>
            <w:tabs>
              <w:tab w:val="right" w:leader="dot" w:pos="9710"/>
            </w:tabs>
            <w:rPr>
              <w:rFonts w:eastAsiaTheme="minorEastAsia"/>
              <w:noProof/>
            </w:rPr>
          </w:pPr>
          <w:hyperlink w:anchor="_Toc144121535" w:history="1">
            <w:r w:rsidR="0057409D" w:rsidRPr="006A1925">
              <w:rPr>
                <w:rStyle w:val="Hyperlink"/>
                <w:noProof/>
              </w:rPr>
              <w:t>Factor 2: Cost Containment, Improved Public Health Outcomes and Delivery System Transformation</w:t>
            </w:r>
            <w:r w:rsidR="0057409D">
              <w:rPr>
                <w:noProof/>
                <w:webHidden/>
              </w:rPr>
              <w:tab/>
            </w:r>
            <w:r w:rsidR="0057409D">
              <w:rPr>
                <w:noProof/>
                <w:webHidden/>
              </w:rPr>
              <w:fldChar w:fldCharType="begin"/>
            </w:r>
            <w:r w:rsidR="0057409D">
              <w:rPr>
                <w:noProof/>
                <w:webHidden/>
              </w:rPr>
              <w:instrText xml:space="preserve"> PAGEREF _Toc144121535 \h </w:instrText>
            </w:r>
            <w:r w:rsidR="0057409D">
              <w:rPr>
                <w:noProof/>
                <w:webHidden/>
              </w:rPr>
            </w:r>
            <w:r w:rsidR="0057409D">
              <w:rPr>
                <w:noProof/>
                <w:webHidden/>
              </w:rPr>
              <w:fldChar w:fldCharType="separate"/>
            </w:r>
            <w:r w:rsidR="00D85A32">
              <w:rPr>
                <w:noProof/>
                <w:webHidden/>
              </w:rPr>
              <w:t>17</w:t>
            </w:r>
            <w:r w:rsidR="0057409D">
              <w:rPr>
                <w:noProof/>
                <w:webHidden/>
              </w:rPr>
              <w:fldChar w:fldCharType="end"/>
            </w:r>
          </w:hyperlink>
        </w:p>
        <w:p w14:paraId="46BBA6C4" w14:textId="387F3283" w:rsidR="0057409D" w:rsidRDefault="005F3DA0">
          <w:pPr>
            <w:pStyle w:val="TOC1"/>
            <w:tabs>
              <w:tab w:val="right" w:leader="dot" w:pos="9710"/>
            </w:tabs>
            <w:rPr>
              <w:rFonts w:eastAsiaTheme="minorEastAsia"/>
              <w:noProof/>
            </w:rPr>
          </w:pPr>
          <w:hyperlink w:anchor="_Toc144121536" w:history="1">
            <w:r w:rsidR="0057409D" w:rsidRPr="006A1925">
              <w:rPr>
                <w:rStyle w:val="Hyperlink"/>
                <w:noProof/>
              </w:rPr>
              <w:t>Factor 3: Relevant Licensure/Oversight Compliance</w:t>
            </w:r>
            <w:r w:rsidR="0057409D">
              <w:rPr>
                <w:noProof/>
                <w:webHidden/>
              </w:rPr>
              <w:tab/>
            </w:r>
            <w:r w:rsidR="0057409D">
              <w:rPr>
                <w:noProof/>
                <w:webHidden/>
              </w:rPr>
              <w:fldChar w:fldCharType="begin"/>
            </w:r>
            <w:r w:rsidR="0057409D">
              <w:rPr>
                <w:noProof/>
                <w:webHidden/>
              </w:rPr>
              <w:instrText xml:space="preserve"> PAGEREF _Toc144121536 \h </w:instrText>
            </w:r>
            <w:r w:rsidR="0057409D">
              <w:rPr>
                <w:noProof/>
                <w:webHidden/>
              </w:rPr>
            </w:r>
            <w:r w:rsidR="0057409D">
              <w:rPr>
                <w:noProof/>
                <w:webHidden/>
              </w:rPr>
              <w:fldChar w:fldCharType="separate"/>
            </w:r>
            <w:r w:rsidR="00D85A32">
              <w:rPr>
                <w:noProof/>
                <w:webHidden/>
              </w:rPr>
              <w:t>18</w:t>
            </w:r>
            <w:r w:rsidR="0057409D">
              <w:rPr>
                <w:noProof/>
                <w:webHidden/>
              </w:rPr>
              <w:fldChar w:fldCharType="end"/>
            </w:r>
          </w:hyperlink>
        </w:p>
        <w:p w14:paraId="27F98865" w14:textId="55F20CCD" w:rsidR="0057409D" w:rsidRDefault="005F3DA0">
          <w:pPr>
            <w:pStyle w:val="TOC1"/>
            <w:tabs>
              <w:tab w:val="right" w:leader="dot" w:pos="9710"/>
            </w:tabs>
            <w:rPr>
              <w:rFonts w:eastAsiaTheme="minorEastAsia"/>
              <w:noProof/>
            </w:rPr>
          </w:pPr>
          <w:hyperlink w:anchor="_Toc144121537" w:history="1">
            <w:r w:rsidR="0057409D" w:rsidRPr="006A1925">
              <w:rPr>
                <w:rStyle w:val="Hyperlink"/>
                <w:noProof/>
              </w:rPr>
              <w:t>Factor 4: Financial Feasibility</w:t>
            </w:r>
            <w:r w:rsidR="0057409D">
              <w:rPr>
                <w:noProof/>
                <w:webHidden/>
              </w:rPr>
              <w:tab/>
            </w:r>
            <w:r w:rsidR="0057409D">
              <w:rPr>
                <w:noProof/>
                <w:webHidden/>
              </w:rPr>
              <w:fldChar w:fldCharType="begin"/>
            </w:r>
            <w:r w:rsidR="0057409D">
              <w:rPr>
                <w:noProof/>
                <w:webHidden/>
              </w:rPr>
              <w:instrText xml:space="preserve"> PAGEREF _Toc144121537 \h </w:instrText>
            </w:r>
            <w:r w:rsidR="0057409D">
              <w:rPr>
                <w:noProof/>
                <w:webHidden/>
              </w:rPr>
            </w:r>
            <w:r w:rsidR="0057409D">
              <w:rPr>
                <w:noProof/>
                <w:webHidden/>
              </w:rPr>
              <w:fldChar w:fldCharType="separate"/>
            </w:r>
            <w:r w:rsidR="00D85A32">
              <w:rPr>
                <w:noProof/>
                <w:webHidden/>
              </w:rPr>
              <w:t>18</w:t>
            </w:r>
            <w:r w:rsidR="0057409D">
              <w:rPr>
                <w:noProof/>
                <w:webHidden/>
              </w:rPr>
              <w:fldChar w:fldCharType="end"/>
            </w:r>
          </w:hyperlink>
        </w:p>
        <w:p w14:paraId="2AF24057" w14:textId="1571A55E" w:rsidR="0057409D" w:rsidRDefault="005F3DA0">
          <w:pPr>
            <w:pStyle w:val="TOC1"/>
            <w:tabs>
              <w:tab w:val="right" w:leader="dot" w:pos="9710"/>
            </w:tabs>
            <w:rPr>
              <w:rFonts w:eastAsiaTheme="minorEastAsia"/>
              <w:noProof/>
            </w:rPr>
          </w:pPr>
          <w:hyperlink w:anchor="_Toc144121538" w:history="1">
            <w:r w:rsidR="0057409D" w:rsidRPr="006A1925">
              <w:rPr>
                <w:rStyle w:val="Hyperlink"/>
                <w:noProof/>
              </w:rPr>
              <w:t>Factor 5: Assessment of the Proposed Project’s Relative Merit</w:t>
            </w:r>
            <w:r w:rsidR="0057409D">
              <w:rPr>
                <w:noProof/>
                <w:webHidden/>
              </w:rPr>
              <w:tab/>
            </w:r>
            <w:r w:rsidR="0057409D">
              <w:rPr>
                <w:noProof/>
                <w:webHidden/>
              </w:rPr>
              <w:fldChar w:fldCharType="begin"/>
            </w:r>
            <w:r w:rsidR="0057409D">
              <w:rPr>
                <w:noProof/>
                <w:webHidden/>
              </w:rPr>
              <w:instrText xml:space="preserve"> PAGEREF _Toc144121538 \h </w:instrText>
            </w:r>
            <w:r w:rsidR="0057409D">
              <w:rPr>
                <w:noProof/>
                <w:webHidden/>
              </w:rPr>
            </w:r>
            <w:r w:rsidR="0057409D">
              <w:rPr>
                <w:noProof/>
                <w:webHidden/>
              </w:rPr>
              <w:fldChar w:fldCharType="separate"/>
            </w:r>
            <w:r w:rsidR="00D85A32">
              <w:rPr>
                <w:noProof/>
                <w:webHidden/>
              </w:rPr>
              <w:t>20</w:t>
            </w:r>
            <w:r w:rsidR="0057409D">
              <w:rPr>
                <w:noProof/>
                <w:webHidden/>
              </w:rPr>
              <w:fldChar w:fldCharType="end"/>
            </w:r>
          </w:hyperlink>
        </w:p>
        <w:p w14:paraId="2A9B258B" w14:textId="46B892AD" w:rsidR="0057409D" w:rsidRDefault="005F3DA0">
          <w:pPr>
            <w:pStyle w:val="TOC1"/>
            <w:tabs>
              <w:tab w:val="right" w:leader="dot" w:pos="9710"/>
            </w:tabs>
            <w:rPr>
              <w:rFonts w:eastAsiaTheme="minorEastAsia"/>
              <w:noProof/>
            </w:rPr>
          </w:pPr>
          <w:hyperlink w:anchor="_Toc144121539" w:history="1">
            <w:r w:rsidR="0057409D" w:rsidRPr="006A1925">
              <w:rPr>
                <w:rStyle w:val="Hyperlink"/>
                <w:noProof/>
              </w:rPr>
              <w:t>Factor 6: Fulfillment of DPH Community-based Health Initiatives Guideline</w:t>
            </w:r>
            <w:r w:rsidR="0057409D">
              <w:rPr>
                <w:noProof/>
                <w:webHidden/>
              </w:rPr>
              <w:tab/>
            </w:r>
            <w:r w:rsidR="0057409D">
              <w:rPr>
                <w:noProof/>
                <w:webHidden/>
              </w:rPr>
              <w:fldChar w:fldCharType="begin"/>
            </w:r>
            <w:r w:rsidR="0057409D">
              <w:rPr>
                <w:noProof/>
                <w:webHidden/>
              </w:rPr>
              <w:instrText xml:space="preserve"> PAGEREF _Toc144121539 \h </w:instrText>
            </w:r>
            <w:r w:rsidR="0057409D">
              <w:rPr>
                <w:noProof/>
                <w:webHidden/>
              </w:rPr>
            </w:r>
            <w:r w:rsidR="0057409D">
              <w:rPr>
                <w:noProof/>
                <w:webHidden/>
              </w:rPr>
              <w:fldChar w:fldCharType="separate"/>
            </w:r>
            <w:r w:rsidR="00D85A32">
              <w:rPr>
                <w:noProof/>
                <w:webHidden/>
              </w:rPr>
              <w:t>21</w:t>
            </w:r>
            <w:r w:rsidR="0057409D">
              <w:rPr>
                <w:noProof/>
                <w:webHidden/>
              </w:rPr>
              <w:fldChar w:fldCharType="end"/>
            </w:r>
          </w:hyperlink>
        </w:p>
        <w:p w14:paraId="1CFC1A78" w14:textId="70E5D229" w:rsidR="0057409D" w:rsidRDefault="005F3DA0">
          <w:pPr>
            <w:pStyle w:val="TOC1"/>
            <w:tabs>
              <w:tab w:val="right" w:leader="dot" w:pos="9710"/>
            </w:tabs>
            <w:rPr>
              <w:rFonts w:eastAsiaTheme="minorEastAsia"/>
              <w:noProof/>
            </w:rPr>
          </w:pPr>
          <w:hyperlink w:anchor="_Toc144121540" w:history="1">
            <w:r w:rsidR="0057409D" w:rsidRPr="006A1925">
              <w:rPr>
                <w:rStyle w:val="Hyperlink"/>
                <w:noProof/>
              </w:rPr>
              <w:t>Overall Findings and Recommendations</w:t>
            </w:r>
            <w:r w:rsidR="0057409D">
              <w:rPr>
                <w:noProof/>
                <w:webHidden/>
              </w:rPr>
              <w:tab/>
            </w:r>
            <w:r w:rsidR="0057409D">
              <w:rPr>
                <w:noProof/>
                <w:webHidden/>
              </w:rPr>
              <w:fldChar w:fldCharType="begin"/>
            </w:r>
            <w:r w:rsidR="0057409D">
              <w:rPr>
                <w:noProof/>
                <w:webHidden/>
              </w:rPr>
              <w:instrText xml:space="preserve"> PAGEREF _Toc144121540 \h </w:instrText>
            </w:r>
            <w:r w:rsidR="0057409D">
              <w:rPr>
                <w:noProof/>
                <w:webHidden/>
              </w:rPr>
            </w:r>
            <w:r w:rsidR="0057409D">
              <w:rPr>
                <w:noProof/>
                <w:webHidden/>
              </w:rPr>
              <w:fldChar w:fldCharType="separate"/>
            </w:r>
            <w:r w:rsidR="00D85A32">
              <w:rPr>
                <w:noProof/>
                <w:webHidden/>
              </w:rPr>
              <w:t>23</w:t>
            </w:r>
            <w:r w:rsidR="0057409D">
              <w:rPr>
                <w:noProof/>
                <w:webHidden/>
              </w:rPr>
              <w:fldChar w:fldCharType="end"/>
            </w:r>
          </w:hyperlink>
        </w:p>
        <w:p w14:paraId="0E902053" w14:textId="457DB529" w:rsidR="0057409D" w:rsidRDefault="005F3DA0">
          <w:pPr>
            <w:pStyle w:val="TOC1"/>
            <w:tabs>
              <w:tab w:val="right" w:leader="dot" w:pos="9710"/>
            </w:tabs>
            <w:rPr>
              <w:rFonts w:eastAsiaTheme="minorEastAsia"/>
              <w:noProof/>
            </w:rPr>
          </w:pPr>
          <w:hyperlink w:anchor="_Toc144121541" w:history="1">
            <w:r w:rsidR="0057409D" w:rsidRPr="006A1925">
              <w:rPr>
                <w:rStyle w:val="Hyperlink"/>
                <w:noProof/>
              </w:rPr>
              <w:t>Conditions to the DoN</w:t>
            </w:r>
            <w:r w:rsidR="0057409D">
              <w:rPr>
                <w:noProof/>
                <w:webHidden/>
              </w:rPr>
              <w:tab/>
            </w:r>
            <w:r w:rsidR="0057409D">
              <w:rPr>
                <w:noProof/>
                <w:webHidden/>
              </w:rPr>
              <w:fldChar w:fldCharType="begin"/>
            </w:r>
            <w:r w:rsidR="0057409D">
              <w:rPr>
                <w:noProof/>
                <w:webHidden/>
              </w:rPr>
              <w:instrText xml:space="preserve"> PAGEREF _Toc144121541 \h </w:instrText>
            </w:r>
            <w:r w:rsidR="0057409D">
              <w:rPr>
                <w:noProof/>
                <w:webHidden/>
              </w:rPr>
            </w:r>
            <w:r w:rsidR="0057409D">
              <w:rPr>
                <w:noProof/>
                <w:webHidden/>
              </w:rPr>
              <w:fldChar w:fldCharType="separate"/>
            </w:r>
            <w:r w:rsidR="00D85A32">
              <w:rPr>
                <w:noProof/>
                <w:webHidden/>
              </w:rPr>
              <w:t>23</w:t>
            </w:r>
            <w:r w:rsidR="0057409D">
              <w:rPr>
                <w:noProof/>
                <w:webHidden/>
              </w:rPr>
              <w:fldChar w:fldCharType="end"/>
            </w:r>
          </w:hyperlink>
        </w:p>
        <w:p w14:paraId="4A34C281" w14:textId="29965DCF" w:rsidR="0057409D" w:rsidRDefault="005F3DA0">
          <w:pPr>
            <w:pStyle w:val="TOC1"/>
            <w:tabs>
              <w:tab w:val="right" w:leader="dot" w:pos="9710"/>
            </w:tabs>
            <w:rPr>
              <w:rFonts w:eastAsiaTheme="minorEastAsia"/>
              <w:noProof/>
            </w:rPr>
          </w:pPr>
          <w:hyperlink w:anchor="_Toc144121542" w:history="1">
            <w:r w:rsidR="0057409D" w:rsidRPr="006A1925">
              <w:rPr>
                <w:rStyle w:val="Hyperlink"/>
                <w:noProof/>
              </w:rPr>
              <w:t>Appendix I</w:t>
            </w:r>
            <w:r w:rsidR="0057409D">
              <w:rPr>
                <w:noProof/>
                <w:webHidden/>
              </w:rPr>
              <w:tab/>
            </w:r>
            <w:r w:rsidR="0057409D">
              <w:rPr>
                <w:noProof/>
                <w:webHidden/>
              </w:rPr>
              <w:fldChar w:fldCharType="begin"/>
            </w:r>
            <w:r w:rsidR="0057409D">
              <w:rPr>
                <w:noProof/>
                <w:webHidden/>
              </w:rPr>
              <w:instrText xml:space="preserve"> PAGEREF _Toc144121542 \h </w:instrText>
            </w:r>
            <w:r w:rsidR="0057409D">
              <w:rPr>
                <w:noProof/>
                <w:webHidden/>
              </w:rPr>
            </w:r>
            <w:r w:rsidR="0057409D">
              <w:rPr>
                <w:noProof/>
                <w:webHidden/>
              </w:rPr>
              <w:fldChar w:fldCharType="separate"/>
            </w:r>
            <w:r w:rsidR="00D85A32">
              <w:rPr>
                <w:noProof/>
                <w:webHidden/>
              </w:rPr>
              <w:t>24</w:t>
            </w:r>
            <w:r w:rsidR="0057409D">
              <w:rPr>
                <w:noProof/>
                <w:webHidden/>
              </w:rPr>
              <w:fldChar w:fldCharType="end"/>
            </w:r>
          </w:hyperlink>
        </w:p>
        <w:p w14:paraId="6516AB19" w14:textId="097D1410" w:rsidR="0057409D" w:rsidRDefault="005F3DA0">
          <w:pPr>
            <w:pStyle w:val="TOC1"/>
            <w:tabs>
              <w:tab w:val="right" w:leader="dot" w:pos="9710"/>
            </w:tabs>
            <w:rPr>
              <w:rFonts w:eastAsiaTheme="minorEastAsia"/>
              <w:noProof/>
            </w:rPr>
          </w:pPr>
          <w:hyperlink w:anchor="_Toc144121543" w:history="1">
            <w:r w:rsidR="0057409D" w:rsidRPr="006A1925">
              <w:rPr>
                <w:rStyle w:val="Hyperlink"/>
                <w:noProof/>
              </w:rPr>
              <w:t>Appendix II</w:t>
            </w:r>
            <w:r w:rsidR="0057409D">
              <w:rPr>
                <w:noProof/>
                <w:webHidden/>
              </w:rPr>
              <w:tab/>
            </w:r>
            <w:r w:rsidR="0057409D">
              <w:rPr>
                <w:noProof/>
                <w:webHidden/>
              </w:rPr>
              <w:fldChar w:fldCharType="begin"/>
            </w:r>
            <w:r w:rsidR="0057409D">
              <w:rPr>
                <w:noProof/>
                <w:webHidden/>
              </w:rPr>
              <w:instrText xml:space="preserve"> PAGEREF _Toc144121543 \h </w:instrText>
            </w:r>
            <w:r w:rsidR="0057409D">
              <w:rPr>
                <w:noProof/>
                <w:webHidden/>
              </w:rPr>
            </w:r>
            <w:r w:rsidR="0057409D">
              <w:rPr>
                <w:noProof/>
                <w:webHidden/>
              </w:rPr>
              <w:fldChar w:fldCharType="separate"/>
            </w:r>
            <w:r w:rsidR="00D85A32">
              <w:rPr>
                <w:noProof/>
                <w:webHidden/>
              </w:rPr>
              <w:t>25</w:t>
            </w:r>
            <w:r w:rsidR="0057409D">
              <w:rPr>
                <w:noProof/>
                <w:webHidden/>
              </w:rPr>
              <w:fldChar w:fldCharType="end"/>
            </w:r>
          </w:hyperlink>
        </w:p>
        <w:p w14:paraId="060B9E96" w14:textId="31AECEED" w:rsidR="0098316A" w:rsidRPr="00AD2639" w:rsidRDefault="0098316A">
          <w:pPr>
            <w:rPr>
              <w:sz w:val="24"/>
              <w:szCs w:val="24"/>
            </w:rPr>
          </w:pPr>
          <w:r w:rsidRPr="00AD2639">
            <w:rPr>
              <w:b/>
              <w:bCs/>
              <w:noProof/>
              <w:sz w:val="24"/>
              <w:szCs w:val="24"/>
            </w:rPr>
            <w:fldChar w:fldCharType="end"/>
          </w:r>
        </w:p>
      </w:sdtContent>
    </w:sdt>
    <w:p w14:paraId="12C7C6A3" w14:textId="77777777" w:rsidR="00897353" w:rsidRPr="0093651C" w:rsidRDefault="00897353" w:rsidP="0093651C">
      <w:pPr>
        <w:pStyle w:val="Heading1"/>
      </w:pPr>
    </w:p>
    <w:p w14:paraId="6FEB13CA" w14:textId="77777777" w:rsidR="00897353" w:rsidRDefault="00897353">
      <w:pPr>
        <w:rPr>
          <w:b/>
          <w:bCs/>
        </w:rPr>
      </w:pPr>
    </w:p>
    <w:p w14:paraId="780EAF0C" w14:textId="20A6C8EE" w:rsidR="00897353" w:rsidRPr="00897353" w:rsidRDefault="00897353" w:rsidP="00897353">
      <w:pPr>
        <w:spacing w:after="0" w:line="240" w:lineRule="auto"/>
        <w:contextualSpacing/>
        <w:jc w:val="center"/>
        <w:rPr>
          <w:rFonts w:ascii="Garamond" w:eastAsia="Calibri" w:hAnsi="Garamond" w:cs="Times New Roman"/>
        </w:rPr>
      </w:pPr>
    </w:p>
    <w:p w14:paraId="78017998" w14:textId="77777777" w:rsidR="00897353" w:rsidRPr="00897353" w:rsidRDefault="00897353" w:rsidP="00897353">
      <w:pPr>
        <w:spacing w:after="0" w:line="240" w:lineRule="auto"/>
        <w:contextualSpacing/>
        <w:rPr>
          <w:rFonts w:ascii="Garamond" w:eastAsia="Calibri" w:hAnsi="Garamond" w:cs="Times New Roman"/>
        </w:rPr>
        <w:sectPr w:rsidR="00897353" w:rsidRPr="00897353" w:rsidSect="0098316A">
          <w:endnotePr>
            <w:numFmt w:val="lowerLetter"/>
          </w:endnotePr>
          <w:pgSz w:w="12240" w:h="15840"/>
          <w:pgMar w:top="1440" w:right="1440" w:bottom="1440" w:left="1080" w:header="720" w:footer="720" w:gutter="0"/>
          <w:cols w:space="720"/>
          <w:docGrid w:linePitch="360"/>
        </w:sectPr>
      </w:pPr>
    </w:p>
    <w:p w14:paraId="64C090E6" w14:textId="737B928D" w:rsidR="0024289A" w:rsidRDefault="0024289A" w:rsidP="0024289A">
      <w:pPr>
        <w:pStyle w:val="Heading1"/>
      </w:pPr>
      <w:bookmarkStart w:id="0" w:name="_Toc144121527"/>
      <w:r w:rsidRPr="00897353">
        <w:lastRenderedPageBreak/>
        <w:t>Overview</w:t>
      </w:r>
      <w:bookmarkEnd w:id="0"/>
    </w:p>
    <w:p w14:paraId="3579B34D" w14:textId="77777777" w:rsidR="00A5372B" w:rsidRDefault="00A5372B" w:rsidP="00C375A0">
      <w:pPr>
        <w:spacing w:after="0" w:line="240" w:lineRule="auto"/>
        <w:rPr>
          <w:b/>
          <w:bCs/>
          <w:sz w:val="24"/>
          <w:szCs w:val="24"/>
        </w:rPr>
      </w:pPr>
      <w:bookmarkStart w:id="1" w:name="_Toc99721122"/>
    </w:p>
    <w:p w14:paraId="5D3D1B01" w14:textId="47DE47EA" w:rsidR="00C375A0" w:rsidRPr="00C375A0" w:rsidRDefault="00C375A0" w:rsidP="00C375A0">
      <w:pPr>
        <w:spacing w:after="0" w:line="240" w:lineRule="auto"/>
        <w:rPr>
          <w:b/>
          <w:bCs/>
          <w:sz w:val="24"/>
          <w:szCs w:val="24"/>
        </w:rPr>
      </w:pPr>
      <w:r w:rsidRPr="00C375A0">
        <w:rPr>
          <w:b/>
          <w:bCs/>
          <w:sz w:val="24"/>
          <w:szCs w:val="24"/>
        </w:rPr>
        <w:t xml:space="preserve">Background </w:t>
      </w:r>
      <w:bookmarkEnd w:id="1"/>
    </w:p>
    <w:p w14:paraId="0C41E10A" w14:textId="77777777" w:rsidR="00C375A0" w:rsidRPr="00C375A0" w:rsidRDefault="00C375A0" w:rsidP="00C375A0">
      <w:pPr>
        <w:spacing w:after="0" w:line="240" w:lineRule="auto"/>
        <w:rPr>
          <w:sz w:val="24"/>
          <w:szCs w:val="24"/>
        </w:rPr>
      </w:pPr>
    </w:p>
    <w:p w14:paraId="2CBC12AE" w14:textId="27E72075" w:rsidR="00C375A0" w:rsidRDefault="00C375A0" w:rsidP="00C375A0">
      <w:pPr>
        <w:spacing w:after="0" w:line="240" w:lineRule="auto"/>
        <w:rPr>
          <w:sz w:val="24"/>
          <w:szCs w:val="24"/>
        </w:rPr>
      </w:pPr>
      <w:r w:rsidRPr="00C375A0">
        <w:rPr>
          <w:sz w:val="24"/>
          <w:szCs w:val="24"/>
        </w:rPr>
        <w:t>The Applicant, MGB, is a Massachusetts not-for-profit corporation, located at 800 Boylston Street, Suite 1150, Boston, Massachusetts</w:t>
      </w:r>
      <w:r w:rsidR="001B248B">
        <w:rPr>
          <w:sz w:val="24"/>
          <w:szCs w:val="24"/>
        </w:rPr>
        <w:t xml:space="preserve">, </w:t>
      </w:r>
      <w:r w:rsidRPr="00C375A0">
        <w:rPr>
          <w:sz w:val="24"/>
          <w:szCs w:val="24"/>
        </w:rPr>
        <w:t>02199. T</w:t>
      </w:r>
      <w:r w:rsidR="00E76908">
        <w:rPr>
          <w:sz w:val="24"/>
          <w:szCs w:val="24"/>
        </w:rPr>
        <w:t xml:space="preserve">able 1 </w:t>
      </w:r>
      <w:r w:rsidR="00A5372B">
        <w:rPr>
          <w:sz w:val="24"/>
          <w:szCs w:val="24"/>
        </w:rPr>
        <w:t xml:space="preserve">shows </w:t>
      </w:r>
      <w:r w:rsidRPr="00C375A0">
        <w:rPr>
          <w:sz w:val="24"/>
          <w:szCs w:val="24"/>
        </w:rPr>
        <w:t xml:space="preserve">acute and non-acute care facilities in Massachusetts </w:t>
      </w:r>
      <w:r w:rsidR="00E76908">
        <w:rPr>
          <w:sz w:val="24"/>
          <w:szCs w:val="24"/>
        </w:rPr>
        <w:t>that comprise the MGB system.</w:t>
      </w:r>
      <w:r w:rsidR="00A5372B">
        <w:rPr>
          <w:rStyle w:val="FootnoteReference"/>
          <w:sz w:val="24"/>
          <w:szCs w:val="24"/>
        </w:rPr>
        <w:footnoteReference w:id="1"/>
      </w:r>
      <w:r w:rsidR="00A5372B">
        <w:rPr>
          <w:sz w:val="24"/>
          <w:szCs w:val="24"/>
        </w:rPr>
        <w:t xml:space="preserve"> </w:t>
      </w:r>
    </w:p>
    <w:p w14:paraId="6432A850" w14:textId="066FDE9B" w:rsidR="00E76908" w:rsidRDefault="00E76908" w:rsidP="00C375A0">
      <w:pPr>
        <w:spacing w:after="0" w:line="240" w:lineRule="auto"/>
        <w:rPr>
          <w:sz w:val="24"/>
          <w:szCs w:val="24"/>
        </w:rPr>
      </w:pPr>
    </w:p>
    <w:p w14:paraId="0CBB961C" w14:textId="203A2048" w:rsidR="00E76908" w:rsidRPr="00E76908" w:rsidRDefault="00E76908" w:rsidP="00E76908">
      <w:pPr>
        <w:spacing w:after="0" w:line="240" w:lineRule="auto"/>
        <w:jc w:val="center"/>
        <w:rPr>
          <w:b/>
          <w:bCs/>
          <w:sz w:val="24"/>
          <w:szCs w:val="24"/>
        </w:rPr>
      </w:pPr>
      <w:r w:rsidRPr="00E76908">
        <w:rPr>
          <w:b/>
          <w:bCs/>
          <w:sz w:val="24"/>
          <w:szCs w:val="24"/>
        </w:rPr>
        <w:t>Table 1: The Hospitals that Comprise the Mass General Brigham, Inc. System</w:t>
      </w:r>
    </w:p>
    <w:p w14:paraId="1F9A2ECB" w14:textId="77777777" w:rsidR="00C375A0" w:rsidRPr="00C375A0" w:rsidRDefault="00C375A0" w:rsidP="00C375A0">
      <w:pPr>
        <w:spacing w:after="0" w:line="240" w:lineRule="auto"/>
        <w:rPr>
          <w:sz w:val="24"/>
          <w:szCs w:val="24"/>
        </w:rPr>
      </w:pPr>
    </w:p>
    <w:tbl>
      <w:tblPr>
        <w:tblW w:w="0" w:type="auto"/>
        <w:tblInd w:w="1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430"/>
        <w:gridCol w:w="3951"/>
      </w:tblGrid>
      <w:tr w:rsidR="00C375A0" w:rsidRPr="00C375A0" w14:paraId="62DD2BE0" w14:textId="77777777" w:rsidTr="00D964DD">
        <w:trPr>
          <w:cantSplit/>
          <w:trHeight w:val="300"/>
        </w:trPr>
        <w:tc>
          <w:tcPr>
            <w:tcW w:w="0" w:type="auto"/>
            <w:shd w:val="clear" w:color="auto" w:fill="E5FFFF"/>
            <w:noWrap/>
            <w:hideMark/>
          </w:tcPr>
          <w:p w14:paraId="462577E0" w14:textId="77777777" w:rsidR="00C375A0" w:rsidRPr="00C375A0" w:rsidRDefault="00C375A0" w:rsidP="00C375A0">
            <w:pPr>
              <w:spacing w:after="0" w:line="240" w:lineRule="auto"/>
              <w:rPr>
                <w:b/>
                <w:sz w:val="24"/>
                <w:szCs w:val="24"/>
              </w:rPr>
            </w:pPr>
            <w:r w:rsidRPr="00C375A0">
              <w:rPr>
                <w:b/>
                <w:sz w:val="24"/>
                <w:szCs w:val="24"/>
              </w:rPr>
              <w:t>Acute Hospital</w:t>
            </w:r>
          </w:p>
        </w:tc>
        <w:tc>
          <w:tcPr>
            <w:tcW w:w="0" w:type="auto"/>
            <w:shd w:val="clear" w:color="auto" w:fill="E5FFFF"/>
            <w:noWrap/>
            <w:hideMark/>
          </w:tcPr>
          <w:p w14:paraId="26749DF9" w14:textId="77777777" w:rsidR="00C375A0" w:rsidRPr="00C375A0" w:rsidRDefault="00C375A0" w:rsidP="00C375A0">
            <w:pPr>
              <w:spacing w:after="0" w:line="240" w:lineRule="auto"/>
              <w:rPr>
                <w:b/>
                <w:sz w:val="24"/>
                <w:szCs w:val="24"/>
              </w:rPr>
            </w:pPr>
            <w:r w:rsidRPr="00C375A0">
              <w:rPr>
                <w:b/>
                <w:sz w:val="24"/>
                <w:szCs w:val="24"/>
              </w:rPr>
              <w:t>Type (Per CHIA Category</w:t>
            </w:r>
            <w:r w:rsidRPr="00C375A0">
              <w:rPr>
                <w:b/>
                <w:sz w:val="24"/>
                <w:szCs w:val="24"/>
                <w:vertAlign w:val="superscript"/>
              </w:rPr>
              <w:endnoteReference w:id="1"/>
            </w:r>
            <w:r w:rsidRPr="00C375A0">
              <w:rPr>
                <w:b/>
                <w:sz w:val="24"/>
                <w:szCs w:val="24"/>
              </w:rPr>
              <w:t>)</w:t>
            </w:r>
          </w:p>
        </w:tc>
      </w:tr>
      <w:tr w:rsidR="00C375A0" w:rsidRPr="00C375A0" w14:paraId="25B39803" w14:textId="77777777" w:rsidTr="00D964DD">
        <w:trPr>
          <w:cantSplit/>
          <w:trHeight w:val="300"/>
        </w:trPr>
        <w:tc>
          <w:tcPr>
            <w:tcW w:w="0" w:type="auto"/>
            <w:noWrap/>
            <w:hideMark/>
          </w:tcPr>
          <w:p w14:paraId="59E92915" w14:textId="77777777" w:rsidR="00C375A0" w:rsidRPr="00C375A0" w:rsidRDefault="00C375A0" w:rsidP="00C375A0">
            <w:pPr>
              <w:spacing w:after="0" w:line="240" w:lineRule="auto"/>
              <w:rPr>
                <w:sz w:val="24"/>
                <w:szCs w:val="24"/>
              </w:rPr>
            </w:pPr>
            <w:r w:rsidRPr="00C375A0">
              <w:rPr>
                <w:sz w:val="24"/>
                <w:szCs w:val="24"/>
              </w:rPr>
              <w:t>1. Brigham and Women’s Hospital</w:t>
            </w:r>
          </w:p>
        </w:tc>
        <w:tc>
          <w:tcPr>
            <w:tcW w:w="0" w:type="auto"/>
            <w:noWrap/>
            <w:hideMark/>
          </w:tcPr>
          <w:p w14:paraId="60D9FC5E" w14:textId="088C6DCD" w:rsidR="00C375A0" w:rsidRPr="00C375A0" w:rsidRDefault="00C375A0" w:rsidP="00C375A0">
            <w:pPr>
              <w:spacing w:after="0" w:line="240" w:lineRule="auto"/>
              <w:rPr>
                <w:sz w:val="24"/>
                <w:szCs w:val="24"/>
              </w:rPr>
            </w:pPr>
            <w:r w:rsidRPr="00C375A0">
              <w:rPr>
                <w:sz w:val="24"/>
                <w:szCs w:val="24"/>
              </w:rPr>
              <w:t xml:space="preserve">Academic Medical Center </w:t>
            </w:r>
            <w:r w:rsidR="00953865">
              <w:rPr>
                <w:sz w:val="24"/>
                <w:szCs w:val="24"/>
              </w:rPr>
              <w:t>(AMC)</w:t>
            </w:r>
          </w:p>
        </w:tc>
      </w:tr>
      <w:tr w:rsidR="00C375A0" w:rsidRPr="00C375A0" w14:paraId="2A907B74" w14:textId="77777777" w:rsidTr="00D964DD">
        <w:trPr>
          <w:cantSplit/>
          <w:trHeight w:val="300"/>
        </w:trPr>
        <w:tc>
          <w:tcPr>
            <w:tcW w:w="0" w:type="auto"/>
            <w:noWrap/>
            <w:hideMark/>
          </w:tcPr>
          <w:p w14:paraId="75DB7A36" w14:textId="77777777" w:rsidR="00C375A0" w:rsidRPr="00C375A0" w:rsidRDefault="00C375A0" w:rsidP="00C375A0">
            <w:pPr>
              <w:spacing w:after="0" w:line="240" w:lineRule="auto"/>
              <w:rPr>
                <w:sz w:val="24"/>
                <w:szCs w:val="24"/>
              </w:rPr>
            </w:pPr>
            <w:r w:rsidRPr="00C375A0">
              <w:rPr>
                <w:sz w:val="24"/>
                <w:szCs w:val="24"/>
              </w:rPr>
              <w:t xml:space="preserve">2. Massachusetts General Hospital </w:t>
            </w:r>
          </w:p>
        </w:tc>
        <w:tc>
          <w:tcPr>
            <w:tcW w:w="0" w:type="auto"/>
            <w:noWrap/>
            <w:hideMark/>
          </w:tcPr>
          <w:p w14:paraId="7FEC629F" w14:textId="77777777" w:rsidR="00C375A0" w:rsidRPr="00C375A0" w:rsidRDefault="00C375A0" w:rsidP="00C375A0">
            <w:pPr>
              <w:spacing w:after="0" w:line="240" w:lineRule="auto"/>
              <w:rPr>
                <w:sz w:val="24"/>
                <w:szCs w:val="24"/>
              </w:rPr>
            </w:pPr>
            <w:r w:rsidRPr="00C375A0">
              <w:rPr>
                <w:sz w:val="24"/>
                <w:szCs w:val="24"/>
              </w:rPr>
              <w:t xml:space="preserve">Academic Medical Center </w:t>
            </w:r>
          </w:p>
        </w:tc>
      </w:tr>
      <w:tr w:rsidR="00C375A0" w:rsidRPr="00C375A0" w14:paraId="776C27CF" w14:textId="77777777" w:rsidTr="00D964DD">
        <w:trPr>
          <w:cantSplit/>
          <w:trHeight w:val="300"/>
        </w:trPr>
        <w:tc>
          <w:tcPr>
            <w:tcW w:w="0" w:type="auto"/>
            <w:noWrap/>
            <w:hideMark/>
          </w:tcPr>
          <w:p w14:paraId="03DCD734" w14:textId="77777777" w:rsidR="00C375A0" w:rsidRPr="00C375A0" w:rsidRDefault="00C375A0" w:rsidP="00C375A0">
            <w:pPr>
              <w:spacing w:after="0" w:line="240" w:lineRule="auto"/>
              <w:rPr>
                <w:sz w:val="24"/>
                <w:szCs w:val="24"/>
              </w:rPr>
            </w:pPr>
            <w:r w:rsidRPr="00C375A0">
              <w:rPr>
                <w:sz w:val="24"/>
                <w:szCs w:val="24"/>
              </w:rPr>
              <w:t>3. Massachusetts Eye and Ear Infirmary</w:t>
            </w:r>
          </w:p>
        </w:tc>
        <w:tc>
          <w:tcPr>
            <w:tcW w:w="0" w:type="auto"/>
            <w:noWrap/>
            <w:hideMark/>
          </w:tcPr>
          <w:p w14:paraId="4A3892FF" w14:textId="77777777" w:rsidR="00C375A0" w:rsidRPr="00C375A0" w:rsidRDefault="00C375A0" w:rsidP="00C375A0">
            <w:pPr>
              <w:spacing w:after="0" w:line="240" w:lineRule="auto"/>
              <w:rPr>
                <w:sz w:val="24"/>
                <w:szCs w:val="24"/>
              </w:rPr>
            </w:pPr>
            <w:r w:rsidRPr="00C375A0">
              <w:rPr>
                <w:sz w:val="24"/>
                <w:szCs w:val="24"/>
              </w:rPr>
              <w:t>Specialty Hospital</w:t>
            </w:r>
          </w:p>
        </w:tc>
      </w:tr>
      <w:tr w:rsidR="00C375A0" w:rsidRPr="00C375A0" w14:paraId="7596D413" w14:textId="77777777" w:rsidTr="00D964DD">
        <w:trPr>
          <w:cantSplit/>
          <w:trHeight w:val="300"/>
        </w:trPr>
        <w:tc>
          <w:tcPr>
            <w:tcW w:w="0" w:type="auto"/>
            <w:noWrap/>
            <w:hideMark/>
          </w:tcPr>
          <w:p w14:paraId="0B4034FA" w14:textId="77777777" w:rsidR="00C375A0" w:rsidRPr="00C375A0" w:rsidRDefault="00C375A0" w:rsidP="00C375A0">
            <w:pPr>
              <w:spacing w:after="0" w:line="240" w:lineRule="auto"/>
              <w:rPr>
                <w:sz w:val="24"/>
                <w:szCs w:val="24"/>
              </w:rPr>
            </w:pPr>
            <w:r w:rsidRPr="00C375A0">
              <w:rPr>
                <w:sz w:val="24"/>
                <w:szCs w:val="24"/>
              </w:rPr>
              <w:t>4. Brigham and Women’s Faulkner Hospital</w:t>
            </w:r>
          </w:p>
        </w:tc>
        <w:tc>
          <w:tcPr>
            <w:tcW w:w="0" w:type="auto"/>
            <w:noWrap/>
            <w:hideMark/>
          </w:tcPr>
          <w:p w14:paraId="393D0934" w14:textId="77777777" w:rsidR="00C375A0" w:rsidRPr="00C375A0" w:rsidRDefault="00C375A0" w:rsidP="00C375A0">
            <w:pPr>
              <w:spacing w:after="0" w:line="240" w:lineRule="auto"/>
              <w:rPr>
                <w:sz w:val="24"/>
                <w:szCs w:val="24"/>
              </w:rPr>
            </w:pPr>
            <w:r w:rsidRPr="00C375A0">
              <w:rPr>
                <w:sz w:val="24"/>
                <w:szCs w:val="24"/>
              </w:rPr>
              <w:t>Community Hospital</w:t>
            </w:r>
          </w:p>
        </w:tc>
      </w:tr>
      <w:tr w:rsidR="00C375A0" w:rsidRPr="00C375A0" w14:paraId="38B73986" w14:textId="77777777" w:rsidTr="00D964DD">
        <w:trPr>
          <w:cantSplit/>
          <w:trHeight w:val="300"/>
        </w:trPr>
        <w:tc>
          <w:tcPr>
            <w:tcW w:w="0" w:type="auto"/>
            <w:noWrap/>
            <w:hideMark/>
          </w:tcPr>
          <w:p w14:paraId="3652C1FB" w14:textId="77777777" w:rsidR="00C375A0" w:rsidRPr="00C375A0" w:rsidRDefault="00C375A0" w:rsidP="00C375A0">
            <w:pPr>
              <w:spacing w:after="0" w:line="240" w:lineRule="auto"/>
              <w:rPr>
                <w:sz w:val="24"/>
                <w:szCs w:val="24"/>
              </w:rPr>
            </w:pPr>
            <w:r w:rsidRPr="00C375A0">
              <w:rPr>
                <w:sz w:val="24"/>
                <w:szCs w:val="24"/>
              </w:rPr>
              <w:t>5. Newton-Wellesley Hospital</w:t>
            </w:r>
          </w:p>
        </w:tc>
        <w:tc>
          <w:tcPr>
            <w:tcW w:w="0" w:type="auto"/>
            <w:noWrap/>
            <w:hideMark/>
          </w:tcPr>
          <w:p w14:paraId="1FE89560" w14:textId="77777777" w:rsidR="00C375A0" w:rsidRPr="00C375A0" w:rsidRDefault="00C375A0" w:rsidP="00C375A0">
            <w:pPr>
              <w:spacing w:after="0" w:line="240" w:lineRule="auto"/>
              <w:rPr>
                <w:sz w:val="24"/>
                <w:szCs w:val="24"/>
              </w:rPr>
            </w:pPr>
            <w:r w:rsidRPr="00C375A0">
              <w:rPr>
                <w:sz w:val="24"/>
                <w:szCs w:val="24"/>
              </w:rPr>
              <w:t>Community Hospital</w:t>
            </w:r>
          </w:p>
        </w:tc>
      </w:tr>
      <w:tr w:rsidR="00C375A0" w:rsidRPr="00C375A0" w14:paraId="4BD2B63D" w14:textId="77777777" w:rsidTr="00D964DD">
        <w:trPr>
          <w:cantSplit/>
          <w:trHeight w:val="300"/>
        </w:trPr>
        <w:tc>
          <w:tcPr>
            <w:tcW w:w="0" w:type="auto"/>
            <w:noWrap/>
            <w:hideMark/>
          </w:tcPr>
          <w:p w14:paraId="6826A59D" w14:textId="77777777" w:rsidR="00C375A0" w:rsidRPr="00C375A0" w:rsidRDefault="00C375A0" w:rsidP="00C375A0">
            <w:pPr>
              <w:spacing w:after="0" w:line="240" w:lineRule="auto"/>
              <w:rPr>
                <w:sz w:val="24"/>
                <w:szCs w:val="24"/>
              </w:rPr>
            </w:pPr>
            <w:r w:rsidRPr="00C375A0">
              <w:rPr>
                <w:sz w:val="24"/>
                <w:szCs w:val="24"/>
              </w:rPr>
              <w:t>6. Cooley Dickinson Hospital</w:t>
            </w:r>
          </w:p>
        </w:tc>
        <w:tc>
          <w:tcPr>
            <w:tcW w:w="0" w:type="auto"/>
            <w:noWrap/>
            <w:hideMark/>
          </w:tcPr>
          <w:p w14:paraId="2DAC735E" w14:textId="03DEA9C9" w:rsidR="00C375A0" w:rsidRPr="00C375A0" w:rsidRDefault="00C375A0" w:rsidP="00C375A0">
            <w:pPr>
              <w:spacing w:after="0" w:line="240" w:lineRule="auto"/>
              <w:rPr>
                <w:sz w:val="24"/>
                <w:szCs w:val="24"/>
              </w:rPr>
            </w:pPr>
            <w:r w:rsidRPr="00C375A0">
              <w:rPr>
                <w:sz w:val="24"/>
                <w:szCs w:val="24"/>
              </w:rPr>
              <w:t>Community H</w:t>
            </w:r>
            <w:r w:rsidR="003F126B">
              <w:rPr>
                <w:sz w:val="24"/>
                <w:szCs w:val="24"/>
              </w:rPr>
              <w:t>igh Public Payer Hospital</w:t>
            </w:r>
          </w:p>
        </w:tc>
      </w:tr>
      <w:tr w:rsidR="00C375A0" w:rsidRPr="00C375A0" w14:paraId="7DCC5496" w14:textId="77777777" w:rsidTr="00D964DD">
        <w:trPr>
          <w:cantSplit/>
          <w:trHeight w:val="300"/>
        </w:trPr>
        <w:tc>
          <w:tcPr>
            <w:tcW w:w="0" w:type="auto"/>
            <w:noWrap/>
            <w:hideMark/>
          </w:tcPr>
          <w:p w14:paraId="6DA61ADF" w14:textId="77777777" w:rsidR="00C375A0" w:rsidRPr="00C375A0" w:rsidRDefault="00C375A0" w:rsidP="00C375A0">
            <w:pPr>
              <w:spacing w:after="0" w:line="240" w:lineRule="auto"/>
              <w:rPr>
                <w:sz w:val="24"/>
                <w:szCs w:val="24"/>
              </w:rPr>
            </w:pPr>
            <w:r w:rsidRPr="00C375A0">
              <w:rPr>
                <w:sz w:val="24"/>
                <w:szCs w:val="24"/>
              </w:rPr>
              <w:t>7. Martha’s Vineyard Hospital</w:t>
            </w:r>
          </w:p>
        </w:tc>
        <w:tc>
          <w:tcPr>
            <w:tcW w:w="0" w:type="auto"/>
            <w:noWrap/>
            <w:hideMark/>
          </w:tcPr>
          <w:p w14:paraId="1861DF9D" w14:textId="77777777" w:rsidR="00C375A0" w:rsidRPr="00C375A0" w:rsidRDefault="00C375A0" w:rsidP="00C375A0">
            <w:pPr>
              <w:spacing w:after="0" w:line="240" w:lineRule="auto"/>
              <w:rPr>
                <w:sz w:val="24"/>
                <w:szCs w:val="24"/>
              </w:rPr>
            </w:pPr>
            <w:r w:rsidRPr="00C375A0">
              <w:rPr>
                <w:sz w:val="24"/>
                <w:szCs w:val="24"/>
              </w:rPr>
              <w:t>Community Hospital</w:t>
            </w:r>
          </w:p>
        </w:tc>
      </w:tr>
      <w:tr w:rsidR="00C375A0" w:rsidRPr="00C375A0" w14:paraId="2A08055B" w14:textId="77777777" w:rsidTr="00D964DD">
        <w:trPr>
          <w:cantSplit/>
          <w:trHeight w:val="300"/>
        </w:trPr>
        <w:tc>
          <w:tcPr>
            <w:tcW w:w="0" w:type="auto"/>
            <w:noWrap/>
            <w:hideMark/>
          </w:tcPr>
          <w:p w14:paraId="22D5F46E" w14:textId="77777777" w:rsidR="00C375A0" w:rsidRPr="00C375A0" w:rsidRDefault="00C375A0" w:rsidP="00C375A0">
            <w:pPr>
              <w:spacing w:after="0" w:line="240" w:lineRule="auto"/>
              <w:rPr>
                <w:sz w:val="24"/>
                <w:szCs w:val="24"/>
              </w:rPr>
            </w:pPr>
            <w:r w:rsidRPr="00C375A0">
              <w:rPr>
                <w:sz w:val="24"/>
                <w:szCs w:val="24"/>
              </w:rPr>
              <w:t>8. Nantucket Cottage Hospital</w:t>
            </w:r>
          </w:p>
        </w:tc>
        <w:tc>
          <w:tcPr>
            <w:tcW w:w="0" w:type="auto"/>
            <w:noWrap/>
            <w:hideMark/>
          </w:tcPr>
          <w:p w14:paraId="050EF635" w14:textId="77777777" w:rsidR="00C375A0" w:rsidRPr="00C375A0" w:rsidRDefault="00C375A0" w:rsidP="00C375A0">
            <w:pPr>
              <w:spacing w:after="0" w:line="240" w:lineRule="auto"/>
              <w:rPr>
                <w:sz w:val="24"/>
                <w:szCs w:val="24"/>
              </w:rPr>
            </w:pPr>
            <w:r w:rsidRPr="00C375A0">
              <w:rPr>
                <w:sz w:val="24"/>
                <w:szCs w:val="24"/>
              </w:rPr>
              <w:t>Community Hospital</w:t>
            </w:r>
          </w:p>
        </w:tc>
      </w:tr>
      <w:tr w:rsidR="00C375A0" w:rsidRPr="00C375A0" w14:paraId="62075859" w14:textId="77777777" w:rsidTr="00D964DD">
        <w:trPr>
          <w:cantSplit/>
          <w:trHeight w:val="300"/>
        </w:trPr>
        <w:tc>
          <w:tcPr>
            <w:tcW w:w="0" w:type="auto"/>
            <w:noWrap/>
            <w:hideMark/>
          </w:tcPr>
          <w:p w14:paraId="10C22D15" w14:textId="77777777" w:rsidR="00C375A0" w:rsidRPr="00C375A0" w:rsidRDefault="00C375A0" w:rsidP="00C375A0">
            <w:pPr>
              <w:spacing w:after="0" w:line="240" w:lineRule="auto"/>
              <w:rPr>
                <w:sz w:val="24"/>
                <w:szCs w:val="24"/>
              </w:rPr>
            </w:pPr>
            <w:r w:rsidRPr="00C375A0">
              <w:rPr>
                <w:sz w:val="24"/>
                <w:szCs w:val="24"/>
              </w:rPr>
              <w:t>9. North Shore Medical Center</w:t>
            </w:r>
          </w:p>
        </w:tc>
        <w:tc>
          <w:tcPr>
            <w:tcW w:w="0" w:type="auto"/>
            <w:noWrap/>
            <w:hideMark/>
          </w:tcPr>
          <w:p w14:paraId="04483AE0" w14:textId="77777777" w:rsidR="00C375A0" w:rsidRPr="00C375A0" w:rsidRDefault="00C375A0" w:rsidP="00C375A0">
            <w:pPr>
              <w:spacing w:after="0" w:line="240" w:lineRule="auto"/>
              <w:rPr>
                <w:sz w:val="24"/>
                <w:szCs w:val="24"/>
              </w:rPr>
            </w:pPr>
            <w:r w:rsidRPr="00C375A0">
              <w:rPr>
                <w:sz w:val="24"/>
                <w:szCs w:val="24"/>
              </w:rPr>
              <w:t>Community High Public Payer Hospital</w:t>
            </w:r>
          </w:p>
        </w:tc>
      </w:tr>
      <w:tr w:rsidR="00C375A0" w:rsidRPr="00C375A0" w14:paraId="0BD081EB" w14:textId="77777777" w:rsidTr="00D964DD">
        <w:trPr>
          <w:cantSplit/>
          <w:trHeight w:val="300"/>
        </w:trPr>
        <w:tc>
          <w:tcPr>
            <w:tcW w:w="0" w:type="auto"/>
            <w:shd w:val="clear" w:color="auto" w:fill="E5FFFF"/>
            <w:noWrap/>
            <w:hideMark/>
          </w:tcPr>
          <w:p w14:paraId="4ED53848" w14:textId="77777777" w:rsidR="00C375A0" w:rsidRPr="00C375A0" w:rsidRDefault="00C375A0" w:rsidP="00C375A0">
            <w:pPr>
              <w:spacing w:after="0" w:line="240" w:lineRule="auto"/>
              <w:rPr>
                <w:b/>
                <w:sz w:val="24"/>
                <w:szCs w:val="24"/>
              </w:rPr>
            </w:pPr>
            <w:r w:rsidRPr="00C375A0">
              <w:rPr>
                <w:b/>
                <w:sz w:val="24"/>
                <w:szCs w:val="24"/>
              </w:rPr>
              <w:t xml:space="preserve">Non-Acute Hospital </w:t>
            </w:r>
          </w:p>
        </w:tc>
        <w:tc>
          <w:tcPr>
            <w:tcW w:w="0" w:type="auto"/>
            <w:shd w:val="clear" w:color="auto" w:fill="E5FFFF"/>
            <w:noWrap/>
            <w:hideMark/>
          </w:tcPr>
          <w:p w14:paraId="64DCF5D9" w14:textId="77777777" w:rsidR="00C375A0" w:rsidRPr="00C375A0" w:rsidRDefault="00C375A0" w:rsidP="00C375A0">
            <w:pPr>
              <w:spacing w:after="0" w:line="240" w:lineRule="auto"/>
              <w:rPr>
                <w:b/>
                <w:sz w:val="24"/>
                <w:szCs w:val="24"/>
              </w:rPr>
            </w:pPr>
            <w:r w:rsidRPr="00C375A0">
              <w:rPr>
                <w:b/>
                <w:sz w:val="24"/>
                <w:szCs w:val="24"/>
              </w:rPr>
              <w:t> </w:t>
            </w:r>
          </w:p>
        </w:tc>
      </w:tr>
      <w:tr w:rsidR="00C375A0" w:rsidRPr="00C375A0" w14:paraId="29FCA6A0" w14:textId="77777777" w:rsidTr="00D964DD">
        <w:trPr>
          <w:cantSplit/>
          <w:trHeight w:val="300"/>
        </w:trPr>
        <w:tc>
          <w:tcPr>
            <w:tcW w:w="0" w:type="auto"/>
            <w:noWrap/>
            <w:hideMark/>
          </w:tcPr>
          <w:p w14:paraId="5914C00E" w14:textId="77777777" w:rsidR="00C375A0" w:rsidRPr="00C375A0" w:rsidRDefault="00C375A0" w:rsidP="00C375A0">
            <w:pPr>
              <w:spacing w:after="0" w:line="240" w:lineRule="auto"/>
              <w:rPr>
                <w:sz w:val="24"/>
                <w:szCs w:val="24"/>
              </w:rPr>
            </w:pPr>
            <w:r w:rsidRPr="00C375A0">
              <w:rPr>
                <w:sz w:val="24"/>
                <w:szCs w:val="24"/>
              </w:rPr>
              <w:t>1. McLean Hospital</w:t>
            </w:r>
          </w:p>
        </w:tc>
        <w:tc>
          <w:tcPr>
            <w:tcW w:w="0" w:type="auto"/>
            <w:noWrap/>
            <w:hideMark/>
          </w:tcPr>
          <w:p w14:paraId="0C18AEF5" w14:textId="77777777" w:rsidR="00C375A0" w:rsidRPr="00C375A0" w:rsidRDefault="00C375A0" w:rsidP="00C375A0">
            <w:pPr>
              <w:spacing w:after="0" w:line="240" w:lineRule="auto"/>
              <w:rPr>
                <w:sz w:val="24"/>
                <w:szCs w:val="24"/>
              </w:rPr>
            </w:pPr>
            <w:r w:rsidRPr="00C375A0">
              <w:rPr>
                <w:sz w:val="24"/>
                <w:szCs w:val="24"/>
              </w:rPr>
              <w:t>Psychiatric Hospital</w:t>
            </w:r>
          </w:p>
        </w:tc>
      </w:tr>
      <w:tr w:rsidR="00C375A0" w:rsidRPr="00C375A0" w14:paraId="1D4F26A2" w14:textId="77777777" w:rsidTr="00D964DD">
        <w:trPr>
          <w:cantSplit/>
          <w:trHeight w:val="300"/>
        </w:trPr>
        <w:tc>
          <w:tcPr>
            <w:tcW w:w="0" w:type="auto"/>
            <w:noWrap/>
            <w:hideMark/>
          </w:tcPr>
          <w:p w14:paraId="5C9115C0" w14:textId="77777777" w:rsidR="00C375A0" w:rsidRPr="00C375A0" w:rsidRDefault="00C375A0" w:rsidP="00C375A0">
            <w:pPr>
              <w:spacing w:after="0" w:line="240" w:lineRule="auto"/>
              <w:rPr>
                <w:sz w:val="24"/>
                <w:szCs w:val="24"/>
              </w:rPr>
            </w:pPr>
            <w:r w:rsidRPr="00C375A0">
              <w:rPr>
                <w:sz w:val="24"/>
                <w:szCs w:val="24"/>
              </w:rPr>
              <w:t xml:space="preserve">2. Spaulding Rehabilitation Hospital </w:t>
            </w:r>
          </w:p>
        </w:tc>
        <w:tc>
          <w:tcPr>
            <w:tcW w:w="0" w:type="auto"/>
            <w:noWrap/>
            <w:hideMark/>
          </w:tcPr>
          <w:p w14:paraId="44FC477C" w14:textId="77777777" w:rsidR="00C375A0" w:rsidRPr="00C375A0" w:rsidRDefault="00C375A0" w:rsidP="00C375A0">
            <w:pPr>
              <w:spacing w:after="0" w:line="240" w:lineRule="auto"/>
              <w:rPr>
                <w:sz w:val="24"/>
                <w:szCs w:val="24"/>
              </w:rPr>
            </w:pPr>
            <w:r w:rsidRPr="00C375A0">
              <w:rPr>
                <w:sz w:val="24"/>
                <w:szCs w:val="24"/>
              </w:rPr>
              <w:t>Rehabilitation Hospital</w:t>
            </w:r>
          </w:p>
        </w:tc>
      </w:tr>
    </w:tbl>
    <w:p w14:paraId="0089CC61" w14:textId="77777777" w:rsidR="00C375A0" w:rsidRPr="00C375A0" w:rsidRDefault="00C375A0" w:rsidP="00C375A0">
      <w:pPr>
        <w:spacing w:after="0" w:line="240" w:lineRule="auto"/>
        <w:rPr>
          <w:sz w:val="24"/>
          <w:szCs w:val="24"/>
        </w:rPr>
      </w:pPr>
    </w:p>
    <w:p w14:paraId="41724934" w14:textId="65B900F9" w:rsidR="00C375A0" w:rsidRPr="00C375A0" w:rsidRDefault="001B248B" w:rsidP="00C375A0">
      <w:pPr>
        <w:spacing w:after="0" w:line="240" w:lineRule="auto"/>
        <w:rPr>
          <w:sz w:val="24"/>
          <w:szCs w:val="24"/>
        </w:rPr>
      </w:pPr>
      <w:r>
        <w:rPr>
          <w:sz w:val="24"/>
          <w:szCs w:val="24"/>
        </w:rPr>
        <w:t>The Applicant</w:t>
      </w:r>
      <w:r w:rsidR="00C375A0" w:rsidRPr="00C375A0">
        <w:rPr>
          <w:sz w:val="24"/>
          <w:szCs w:val="24"/>
        </w:rPr>
        <w:t xml:space="preserve"> also operates a home health agency, Mass General Brigham Home Care</w:t>
      </w:r>
      <w:r w:rsidR="00A5372B">
        <w:rPr>
          <w:sz w:val="24"/>
          <w:szCs w:val="24"/>
        </w:rPr>
        <w:t>,</w:t>
      </w:r>
    </w:p>
    <w:p w14:paraId="0402283B" w14:textId="09A65CEB" w:rsidR="00C375A0" w:rsidRDefault="00A5372B" w:rsidP="00A5372B">
      <w:pPr>
        <w:spacing w:after="0" w:line="240" w:lineRule="auto"/>
        <w:rPr>
          <w:sz w:val="24"/>
          <w:szCs w:val="24"/>
        </w:rPr>
      </w:pPr>
      <w:r>
        <w:rPr>
          <w:sz w:val="24"/>
          <w:szCs w:val="24"/>
        </w:rPr>
        <w:t>and i</w:t>
      </w:r>
      <w:r w:rsidR="00C375A0" w:rsidRPr="00C375A0">
        <w:rPr>
          <w:sz w:val="24"/>
          <w:szCs w:val="24"/>
        </w:rPr>
        <w:t>ts physician network comprises approximately 7,500 employed and affiliated primary care and specialty care physicians</w:t>
      </w:r>
      <w:r>
        <w:rPr>
          <w:sz w:val="24"/>
          <w:szCs w:val="24"/>
        </w:rPr>
        <w:t>.</w:t>
      </w:r>
    </w:p>
    <w:p w14:paraId="14017739" w14:textId="77777777" w:rsidR="00A5372B" w:rsidRPr="00C375A0" w:rsidRDefault="00A5372B" w:rsidP="00A5372B">
      <w:pPr>
        <w:spacing w:after="0" w:line="240" w:lineRule="auto"/>
        <w:rPr>
          <w:sz w:val="24"/>
          <w:szCs w:val="24"/>
        </w:rPr>
      </w:pPr>
    </w:p>
    <w:p w14:paraId="2E6732B0" w14:textId="072E6BC1" w:rsidR="00B4582F" w:rsidRDefault="00D24E40" w:rsidP="00B4582F">
      <w:pPr>
        <w:spacing w:after="0" w:line="240" w:lineRule="auto"/>
        <w:rPr>
          <w:sz w:val="24"/>
          <w:szCs w:val="24"/>
        </w:rPr>
      </w:pPr>
      <w:r>
        <w:rPr>
          <w:sz w:val="24"/>
          <w:szCs w:val="24"/>
        </w:rPr>
        <w:t xml:space="preserve">It also operates a </w:t>
      </w:r>
      <w:r w:rsidRPr="00D24E40">
        <w:rPr>
          <w:sz w:val="24"/>
          <w:szCs w:val="24"/>
        </w:rPr>
        <w:t xml:space="preserve">non-profit managed care organization that provide health insurance and administrative services products to commercial populations, the MassHealth Program (Medicaid), and </w:t>
      </w:r>
      <w:proofErr w:type="spellStart"/>
      <w:r w:rsidRPr="00D24E40">
        <w:rPr>
          <w:sz w:val="24"/>
          <w:szCs w:val="24"/>
        </w:rPr>
        <w:t>ConnectorCare</w:t>
      </w:r>
      <w:proofErr w:type="spellEnd"/>
      <w:r>
        <w:rPr>
          <w:sz w:val="24"/>
          <w:szCs w:val="24"/>
        </w:rPr>
        <w:t xml:space="preserve">. </w:t>
      </w:r>
      <w:r w:rsidRPr="00D24E40" w:rsidDel="004B1635">
        <w:rPr>
          <w:sz w:val="24"/>
          <w:szCs w:val="24"/>
        </w:rPr>
        <w:t xml:space="preserve"> </w:t>
      </w:r>
      <w:r w:rsidR="00C375A0" w:rsidRPr="00C375A0" w:rsidDel="004B1635">
        <w:rPr>
          <w:sz w:val="24"/>
          <w:szCs w:val="24"/>
        </w:rPr>
        <w:t>Mass General Brigham Inc. is a Health Policy Commission-certified ACO, inclusive of Mass General Brigham Accountable Care Organization, LLC.</w:t>
      </w:r>
      <w:r w:rsidR="00C375A0" w:rsidRPr="00C375A0">
        <w:rPr>
          <w:sz w:val="24"/>
          <w:szCs w:val="24"/>
          <w:vertAlign w:val="superscript"/>
        </w:rPr>
        <w:endnoteReference w:id="2"/>
      </w:r>
      <w:r w:rsidR="00C375A0" w:rsidRPr="00C375A0">
        <w:rPr>
          <w:sz w:val="24"/>
          <w:szCs w:val="24"/>
          <w:vertAlign w:val="superscript"/>
        </w:rPr>
        <w:t>,</w:t>
      </w:r>
      <w:r w:rsidR="004B165B">
        <w:rPr>
          <w:sz w:val="24"/>
          <w:szCs w:val="24"/>
          <w:vertAlign w:val="superscript"/>
        </w:rPr>
        <w:t xml:space="preserve"> </w:t>
      </w:r>
      <w:r w:rsidR="00C375A0" w:rsidRPr="00C375A0">
        <w:rPr>
          <w:sz w:val="24"/>
          <w:szCs w:val="24"/>
          <w:vertAlign w:val="superscript"/>
        </w:rPr>
        <w:endnoteReference w:id="3"/>
      </w:r>
      <w:r w:rsidR="00C375A0" w:rsidRPr="00C375A0">
        <w:rPr>
          <w:sz w:val="24"/>
          <w:szCs w:val="24"/>
        </w:rPr>
        <w:t xml:space="preserve"> </w:t>
      </w:r>
    </w:p>
    <w:p w14:paraId="37915DD0" w14:textId="77777777" w:rsidR="00B4582F" w:rsidRDefault="00B4582F" w:rsidP="00B4582F">
      <w:pPr>
        <w:spacing w:after="0" w:line="240" w:lineRule="auto"/>
        <w:rPr>
          <w:sz w:val="24"/>
          <w:szCs w:val="24"/>
        </w:rPr>
      </w:pPr>
    </w:p>
    <w:p w14:paraId="6D1C7E17" w14:textId="0DCB2C9B" w:rsidR="00B4582F" w:rsidRPr="00B4582F" w:rsidRDefault="00B4582F" w:rsidP="00C375A0">
      <w:pPr>
        <w:spacing w:after="0" w:line="240" w:lineRule="auto"/>
        <w:rPr>
          <w:b/>
          <w:bCs/>
          <w:sz w:val="24"/>
          <w:szCs w:val="24"/>
        </w:rPr>
      </w:pPr>
      <w:r w:rsidRPr="00B4582F">
        <w:rPr>
          <w:b/>
          <w:bCs/>
          <w:sz w:val="24"/>
          <w:szCs w:val="24"/>
        </w:rPr>
        <w:t>Cooley Dickinson Hospital</w:t>
      </w:r>
    </w:p>
    <w:p w14:paraId="467AE4FD" w14:textId="7348DCFC" w:rsidR="00B4582F" w:rsidRDefault="00B4582F" w:rsidP="00C375A0">
      <w:pPr>
        <w:spacing w:after="0" w:line="240" w:lineRule="auto"/>
        <w:rPr>
          <w:sz w:val="24"/>
          <w:szCs w:val="24"/>
        </w:rPr>
      </w:pPr>
      <w:r w:rsidRPr="00B4582F">
        <w:rPr>
          <w:sz w:val="24"/>
          <w:szCs w:val="24"/>
        </w:rPr>
        <w:t>CDH</w:t>
      </w:r>
      <w:r w:rsidRPr="00B4582F">
        <w:rPr>
          <w:sz w:val="24"/>
          <w:szCs w:val="24"/>
          <w:vertAlign w:val="superscript"/>
        </w:rPr>
        <w:footnoteReference w:id="2"/>
      </w:r>
      <w:r w:rsidR="00B94F86">
        <w:rPr>
          <w:sz w:val="24"/>
          <w:szCs w:val="24"/>
        </w:rPr>
        <w:t xml:space="preserve"> is </w:t>
      </w:r>
      <w:r w:rsidR="002159E5">
        <w:rPr>
          <w:sz w:val="24"/>
          <w:szCs w:val="24"/>
        </w:rPr>
        <w:t>a Community High Public Paying Hospital that</w:t>
      </w:r>
      <w:r w:rsidRPr="00B4582F">
        <w:rPr>
          <w:sz w:val="24"/>
          <w:szCs w:val="24"/>
        </w:rPr>
        <w:t xml:space="preserve"> has 140 licensed beds </w:t>
      </w:r>
      <w:r>
        <w:rPr>
          <w:sz w:val="24"/>
          <w:szCs w:val="24"/>
        </w:rPr>
        <w:t xml:space="preserve">and provides </w:t>
      </w:r>
      <w:r w:rsidRPr="00B4582F">
        <w:rPr>
          <w:sz w:val="24"/>
          <w:szCs w:val="24"/>
        </w:rPr>
        <w:t>the following</w:t>
      </w:r>
      <w:r w:rsidR="002159E5">
        <w:rPr>
          <w:sz w:val="24"/>
          <w:szCs w:val="24"/>
        </w:rPr>
        <w:t xml:space="preserve"> services/specialties</w:t>
      </w:r>
      <w:r w:rsidRPr="00B4582F">
        <w:rPr>
          <w:sz w:val="24"/>
          <w:szCs w:val="24"/>
        </w:rPr>
        <w:t>: medical/surgical, intensive care, pediatric</w:t>
      </w:r>
      <w:r>
        <w:rPr>
          <w:sz w:val="24"/>
          <w:szCs w:val="24"/>
        </w:rPr>
        <w:t>s</w:t>
      </w:r>
      <w:r w:rsidRPr="00B4582F">
        <w:rPr>
          <w:sz w:val="24"/>
          <w:szCs w:val="24"/>
        </w:rPr>
        <w:t xml:space="preserve">, obstetrics, and </w:t>
      </w:r>
      <w:r w:rsidRPr="00B4582F">
        <w:rPr>
          <w:sz w:val="24"/>
          <w:szCs w:val="24"/>
        </w:rPr>
        <w:lastRenderedPageBreak/>
        <w:t>psychiatric</w:t>
      </w:r>
      <w:r>
        <w:rPr>
          <w:sz w:val="24"/>
          <w:szCs w:val="24"/>
        </w:rPr>
        <w:t xml:space="preserve"> services</w:t>
      </w:r>
      <w:r w:rsidRPr="00B4582F">
        <w:rPr>
          <w:sz w:val="24"/>
          <w:szCs w:val="24"/>
        </w:rPr>
        <w:t>. In addition to its main hospital campus in Northampton, CDH offers services to patients at hospital satellite locations throughout the Pioneer Valley in Western Massachusetts</w:t>
      </w:r>
      <w:r>
        <w:rPr>
          <w:sz w:val="24"/>
          <w:szCs w:val="24"/>
        </w:rPr>
        <w:t>.</w:t>
      </w:r>
    </w:p>
    <w:p w14:paraId="74A2FEEE" w14:textId="77777777" w:rsidR="0024289A" w:rsidRPr="00AA738A" w:rsidRDefault="0024289A" w:rsidP="0024289A">
      <w:pPr>
        <w:spacing w:after="0" w:line="240" w:lineRule="auto"/>
        <w:rPr>
          <w:sz w:val="24"/>
          <w:szCs w:val="24"/>
        </w:rPr>
      </w:pPr>
    </w:p>
    <w:p w14:paraId="2C1AE26E" w14:textId="4B0FDB98" w:rsidR="0024289A" w:rsidRDefault="0024289A" w:rsidP="0024289A">
      <w:pPr>
        <w:spacing w:after="0" w:line="240" w:lineRule="auto"/>
        <w:rPr>
          <w:b/>
          <w:bCs/>
          <w:sz w:val="24"/>
          <w:szCs w:val="24"/>
        </w:rPr>
      </w:pPr>
      <w:r>
        <w:rPr>
          <w:b/>
          <w:bCs/>
          <w:sz w:val="24"/>
          <w:szCs w:val="24"/>
        </w:rPr>
        <w:t>P</w:t>
      </w:r>
      <w:r w:rsidRPr="006B66D0">
        <w:rPr>
          <w:b/>
          <w:bCs/>
          <w:sz w:val="24"/>
          <w:szCs w:val="24"/>
        </w:rPr>
        <w:t>roposed Project</w:t>
      </w:r>
    </w:p>
    <w:p w14:paraId="3A682F02" w14:textId="77777777" w:rsidR="00FE0737" w:rsidRDefault="00FE0737" w:rsidP="0024289A">
      <w:pPr>
        <w:spacing w:after="0" w:line="240" w:lineRule="auto"/>
        <w:rPr>
          <w:b/>
          <w:bCs/>
          <w:sz w:val="24"/>
          <w:szCs w:val="24"/>
        </w:rPr>
      </w:pPr>
    </w:p>
    <w:p w14:paraId="4355F455" w14:textId="72A01923" w:rsidR="00FE0737" w:rsidRPr="00B4582F" w:rsidRDefault="001B248B" w:rsidP="0024289A">
      <w:pPr>
        <w:spacing w:after="0" w:line="240" w:lineRule="auto"/>
        <w:rPr>
          <w:strike/>
          <w:sz w:val="24"/>
          <w:szCs w:val="24"/>
        </w:rPr>
      </w:pPr>
      <w:r>
        <w:rPr>
          <w:sz w:val="24"/>
          <w:szCs w:val="24"/>
        </w:rPr>
        <w:t xml:space="preserve">The Applicant </w:t>
      </w:r>
      <w:r w:rsidR="000D1161">
        <w:rPr>
          <w:sz w:val="24"/>
          <w:szCs w:val="24"/>
        </w:rPr>
        <w:t xml:space="preserve">is requesting </w:t>
      </w:r>
      <w:r w:rsidRPr="001B248B">
        <w:rPr>
          <w:sz w:val="24"/>
          <w:szCs w:val="24"/>
        </w:rPr>
        <w:t xml:space="preserve">to </w:t>
      </w:r>
      <w:r>
        <w:rPr>
          <w:sz w:val="24"/>
          <w:szCs w:val="24"/>
        </w:rPr>
        <w:t>add one</w:t>
      </w:r>
      <w:r w:rsidRPr="001B248B">
        <w:rPr>
          <w:sz w:val="24"/>
          <w:szCs w:val="24"/>
        </w:rPr>
        <w:t xml:space="preserve"> </w:t>
      </w:r>
      <w:r w:rsidR="004B165B">
        <w:rPr>
          <w:sz w:val="24"/>
          <w:szCs w:val="24"/>
        </w:rPr>
        <w:t xml:space="preserve">dedicated </w:t>
      </w:r>
      <w:r w:rsidR="00B4582F">
        <w:rPr>
          <w:sz w:val="24"/>
          <w:szCs w:val="24"/>
        </w:rPr>
        <w:t xml:space="preserve">CT </w:t>
      </w:r>
      <w:r w:rsidRPr="001B248B">
        <w:rPr>
          <w:sz w:val="24"/>
          <w:szCs w:val="24"/>
        </w:rPr>
        <w:t>unit</w:t>
      </w:r>
      <w:r w:rsidR="00456D25">
        <w:rPr>
          <w:sz w:val="24"/>
          <w:szCs w:val="24"/>
        </w:rPr>
        <w:t xml:space="preserve"> to be located</w:t>
      </w:r>
      <w:r w:rsidRPr="001B248B">
        <w:rPr>
          <w:sz w:val="24"/>
          <w:szCs w:val="24"/>
        </w:rPr>
        <w:t xml:space="preserve"> </w:t>
      </w:r>
      <w:r w:rsidR="004B165B">
        <w:rPr>
          <w:sz w:val="24"/>
          <w:szCs w:val="24"/>
        </w:rPr>
        <w:t xml:space="preserve">in the Emergency Department </w:t>
      </w:r>
      <w:r w:rsidR="004B165B" w:rsidRPr="004B165B">
        <w:rPr>
          <w:sz w:val="24"/>
          <w:szCs w:val="24"/>
        </w:rPr>
        <w:t>(“ED”)</w:t>
      </w:r>
      <w:r w:rsidR="004B165B">
        <w:rPr>
          <w:sz w:val="24"/>
          <w:szCs w:val="24"/>
        </w:rPr>
        <w:t xml:space="preserve"> </w:t>
      </w:r>
      <w:r w:rsidRPr="001B248B">
        <w:rPr>
          <w:sz w:val="24"/>
          <w:szCs w:val="24"/>
        </w:rPr>
        <w:t>at CDH</w:t>
      </w:r>
      <w:r w:rsidR="004B165B">
        <w:rPr>
          <w:sz w:val="24"/>
          <w:szCs w:val="24"/>
        </w:rPr>
        <w:t>.</w:t>
      </w:r>
      <w:r w:rsidR="00B4582F">
        <w:rPr>
          <w:sz w:val="24"/>
          <w:szCs w:val="24"/>
        </w:rPr>
        <w:t xml:space="preserve"> </w:t>
      </w:r>
      <w:r w:rsidR="004B165B">
        <w:rPr>
          <w:sz w:val="24"/>
          <w:szCs w:val="24"/>
        </w:rPr>
        <w:t>I</w:t>
      </w:r>
      <w:r w:rsidR="00B4582F">
        <w:rPr>
          <w:sz w:val="24"/>
          <w:szCs w:val="24"/>
        </w:rPr>
        <w:t xml:space="preserve">t </w:t>
      </w:r>
      <w:r w:rsidRPr="001B248B">
        <w:rPr>
          <w:sz w:val="24"/>
          <w:szCs w:val="24"/>
        </w:rPr>
        <w:t>currently has two CT units</w:t>
      </w:r>
      <w:r>
        <w:rPr>
          <w:sz w:val="24"/>
          <w:szCs w:val="24"/>
        </w:rPr>
        <w:t xml:space="preserve"> </w:t>
      </w:r>
      <w:r w:rsidR="004B165B">
        <w:rPr>
          <w:sz w:val="24"/>
          <w:szCs w:val="24"/>
        </w:rPr>
        <w:t xml:space="preserve">located </w:t>
      </w:r>
      <w:r>
        <w:rPr>
          <w:sz w:val="24"/>
          <w:szCs w:val="24"/>
        </w:rPr>
        <w:t>in its Radiology Department</w:t>
      </w:r>
      <w:r w:rsidR="00BD2DBF">
        <w:rPr>
          <w:sz w:val="24"/>
          <w:szCs w:val="24"/>
        </w:rPr>
        <w:t xml:space="preserve"> (Radiology) which are shared with the ED</w:t>
      </w:r>
      <w:r w:rsidR="004D7C4A">
        <w:rPr>
          <w:sz w:val="24"/>
          <w:szCs w:val="24"/>
        </w:rPr>
        <w:t>, inpatient units, and scheduled out-patients.</w:t>
      </w:r>
      <w:r w:rsidRPr="001B248B">
        <w:rPr>
          <w:sz w:val="24"/>
          <w:szCs w:val="24"/>
        </w:rPr>
        <w:t xml:space="preserve"> With the addition of the proposed unit, CDH will have CT imaging capacity to meet the needs of its Patient Panel</w:t>
      </w:r>
      <w:r w:rsidR="004B165B">
        <w:rPr>
          <w:sz w:val="24"/>
          <w:szCs w:val="24"/>
        </w:rPr>
        <w:t xml:space="preserve"> and</w:t>
      </w:r>
      <w:r w:rsidR="00FE0737" w:rsidRPr="00FE0737">
        <w:rPr>
          <w:sz w:val="24"/>
          <w:szCs w:val="24"/>
        </w:rPr>
        <w:t xml:space="preserve"> expand access to </w:t>
      </w:r>
      <w:r w:rsidR="008B1871">
        <w:rPr>
          <w:sz w:val="24"/>
          <w:szCs w:val="24"/>
        </w:rPr>
        <w:t xml:space="preserve">CT </w:t>
      </w:r>
      <w:r w:rsidR="00FE0737" w:rsidRPr="00FE0737">
        <w:rPr>
          <w:sz w:val="24"/>
          <w:szCs w:val="24"/>
        </w:rPr>
        <w:t xml:space="preserve">imaging for </w:t>
      </w:r>
      <w:r w:rsidR="00456D25">
        <w:rPr>
          <w:sz w:val="24"/>
          <w:szCs w:val="24"/>
        </w:rPr>
        <w:t>p</w:t>
      </w:r>
      <w:r w:rsidR="00FE0737" w:rsidRPr="00FE0737">
        <w:rPr>
          <w:sz w:val="24"/>
          <w:szCs w:val="24"/>
        </w:rPr>
        <w:t xml:space="preserve">atients in </w:t>
      </w:r>
      <w:bookmarkStart w:id="2" w:name="_Hlk122012850"/>
      <w:r w:rsidR="008B1871">
        <w:rPr>
          <w:sz w:val="24"/>
          <w:szCs w:val="24"/>
        </w:rPr>
        <w:t>service area</w:t>
      </w:r>
      <w:bookmarkEnd w:id="2"/>
      <w:r w:rsidR="00456D25">
        <w:rPr>
          <w:sz w:val="24"/>
          <w:szCs w:val="24"/>
        </w:rPr>
        <w:t>.</w:t>
      </w:r>
    </w:p>
    <w:p w14:paraId="72606428" w14:textId="1F5F9586" w:rsidR="00513147" w:rsidRPr="002B05B4" w:rsidRDefault="00D57998" w:rsidP="002B05B4">
      <w:pPr>
        <w:pStyle w:val="Heading1"/>
      </w:pPr>
      <w:bookmarkStart w:id="3" w:name="_Toc144121528"/>
      <w:r w:rsidRPr="002B05B4">
        <w:t>Patient Panel</w:t>
      </w:r>
      <w:r w:rsidR="0017637D" w:rsidRPr="002B05B4">
        <w:rPr>
          <w:rStyle w:val="FootnoteReference"/>
        </w:rPr>
        <w:footnoteReference w:id="3"/>
      </w:r>
      <w:bookmarkEnd w:id="3"/>
      <w:r w:rsidRPr="002B05B4">
        <w:rPr>
          <w:vertAlign w:val="superscript"/>
        </w:rPr>
        <w:t xml:space="preserve"> </w:t>
      </w:r>
    </w:p>
    <w:p w14:paraId="2A6E4153" w14:textId="3BB82544" w:rsidR="00E76908" w:rsidRDefault="00290E5C" w:rsidP="00290E5C">
      <w:pPr>
        <w:spacing w:after="0" w:line="240" w:lineRule="auto"/>
        <w:rPr>
          <w:sz w:val="24"/>
          <w:szCs w:val="24"/>
        </w:rPr>
      </w:pPr>
      <w:r w:rsidRPr="00290E5C">
        <w:rPr>
          <w:sz w:val="24"/>
          <w:szCs w:val="24"/>
        </w:rPr>
        <w:t xml:space="preserve">Table </w:t>
      </w:r>
      <w:r w:rsidR="00E76908">
        <w:rPr>
          <w:sz w:val="24"/>
          <w:szCs w:val="24"/>
        </w:rPr>
        <w:t xml:space="preserve">2 </w:t>
      </w:r>
      <w:r>
        <w:rPr>
          <w:sz w:val="24"/>
          <w:szCs w:val="24"/>
        </w:rPr>
        <w:t xml:space="preserve">below </w:t>
      </w:r>
      <w:r w:rsidRPr="00290E5C">
        <w:rPr>
          <w:sz w:val="24"/>
          <w:szCs w:val="24"/>
        </w:rPr>
        <w:t xml:space="preserve">shows the </w:t>
      </w:r>
      <w:r w:rsidR="009F0522" w:rsidRPr="00290E5C">
        <w:rPr>
          <w:sz w:val="24"/>
          <w:szCs w:val="24"/>
        </w:rPr>
        <w:t xml:space="preserve">Patient Panel </w:t>
      </w:r>
      <w:r w:rsidR="00E76908" w:rsidRPr="00E76908">
        <w:rPr>
          <w:sz w:val="24"/>
          <w:szCs w:val="24"/>
        </w:rPr>
        <w:t>for Fiscal Years</w:t>
      </w:r>
      <w:r w:rsidR="00E76908" w:rsidRPr="00E76908">
        <w:rPr>
          <w:sz w:val="24"/>
          <w:szCs w:val="24"/>
          <w:vertAlign w:val="superscript"/>
        </w:rPr>
        <w:footnoteReference w:id="4"/>
      </w:r>
      <w:r w:rsidR="00E76908" w:rsidRPr="00E76908">
        <w:rPr>
          <w:sz w:val="24"/>
          <w:szCs w:val="24"/>
        </w:rPr>
        <w:t xml:space="preserve"> (“FY”) 2020 through FY22. </w:t>
      </w:r>
      <w:r w:rsidR="007C0E02">
        <w:rPr>
          <w:sz w:val="24"/>
          <w:szCs w:val="24"/>
        </w:rPr>
        <w:t>During that timeframe, t</w:t>
      </w:r>
      <w:r w:rsidR="00E76908" w:rsidRPr="00E76908">
        <w:rPr>
          <w:sz w:val="24"/>
          <w:szCs w:val="24"/>
        </w:rPr>
        <w:t>he number of patients utilizing MGB’s services increased 14.3%</w:t>
      </w:r>
      <w:r w:rsidR="007C0E02">
        <w:rPr>
          <w:sz w:val="24"/>
          <w:szCs w:val="24"/>
        </w:rPr>
        <w:t>,</w:t>
      </w:r>
      <w:r w:rsidR="00E76908" w:rsidRPr="00E76908">
        <w:rPr>
          <w:sz w:val="24"/>
          <w:szCs w:val="24"/>
        </w:rPr>
        <w:t xml:space="preserve"> </w:t>
      </w:r>
      <w:r w:rsidR="007C0E02">
        <w:rPr>
          <w:sz w:val="24"/>
          <w:szCs w:val="24"/>
        </w:rPr>
        <w:t>and those using CDH’s services increased 14.6%.</w:t>
      </w:r>
    </w:p>
    <w:p w14:paraId="0674B51F" w14:textId="77777777" w:rsidR="00E76908" w:rsidRDefault="00E76908" w:rsidP="00290E5C">
      <w:pPr>
        <w:spacing w:after="0" w:line="240" w:lineRule="auto"/>
        <w:rPr>
          <w:sz w:val="24"/>
          <w:szCs w:val="24"/>
        </w:rPr>
      </w:pPr>
    </w:p>
    <w:p w14:paraId="2DA7F862" w14:textId="5997226A" w:rsidR="00E76908" w:rsidRDefault="00E76908" w:rsidP="00E76908">
      <w:pPr>
        <w:spacing w:after="0" w:line="240" w:lineRule="auto"/>
        <w:jc w:val="center"/>
        <w:rPr>
          <w:sz w:val="24"/>
          <w:szCs w:val="24"/>
        </w:rPr>
      </w:pPr>
      <w:r>
        <w:rPr>
          <w:b/>
          <w:bCs/>
          <w:sz w:val="24"/>
          <w:szCs w:val="24"/>
        </w:rPr>
        <w:t xml:space="preserve">Table 2: </w:t>
      </w:r>
      <w:r w:rsidRPr="00E76908">
        <w:rPr>
          <w:b/>
          <w:bCs/>
          <w:sz w:val="24"/>
          <w:szCs w:val="24"/>
        </w:rPr>
        <w:t xml:space="preserve">MGB </w:t>
      </w:r>
      <w:r>
        <w:rPr>
          <w:b/>
          <w:bCs/>
          <w:sz w:val="24"/>
          <w:szCs w:val="24"/>
        </w:rPr>
        <w:t xml:space="preserve">&amp; CDH </w:t>
      </w:r>
      <w:r w:rsidRPr="00E76908">
        <w:rPr>
          <w:b/>
          <w:bCs/>
          <w:sz w:val="24"/>
          <w:szCs w:val="24"/>
        </w:rPr>
        <w:t>Patient Panel</w:t>
      </w:r>
    </w:p>
    <w:p w14:paraId="40CB2560" w14:textId="7D94582B" w:rsidR="0063502C" w:rsidRDefault="0063502C" w:rsidP="00290E5C">
      <w:pPr>
        <w:spacing w:after="0" w:line="240" w:lineRule="auto"/>
        <w:rPr>
          <w:sz w:val="24"/>
          <w:szCs w:val="24"/>
        </w:rPr>
      </w:pPr>
    </w:p>
    <w:tbl>
      <w:tblPr>
        <w:tblW w:w="6925" w:type="dxa"/>
        <w:jc w:val="center"/>
        <w:tblBorders>
          <w:top w:val="single" w:sz="6" w:space="0" w:color="000000"/>
          <w:left w:val="single" w:sz="6" w:space="0" w:color="000000"/>
          <w:bottom w:val="single" w:sz="8"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3004"/>
        <w:gridCol w:w="1307"/>
        <w:gridCol w:w="1307"/>
        <w:gridCol w:w="1307"/>
      </w:tblGrid>
      <w:tr w:rsidR="006C2ABB" w:rsidRPr="0063502C" w14:paraId="63488AAD" w14:textId="77777777" w:rsidTr="00D964DD">
        <w:trPr>
          <w:cantSplit/>
          <w:trHeight w:val="462"/>
          <w:tblHeader/>
          <w:jc w:val="center"/>
        </w:trPr>
        <w:tc>
          <w:tcPr>
            <w:tcW w:w="3004" w:type="dxa"/>
            <w:shd w:val="clear" w:color="auto" w:fill="E5FFFF"/>
            <w:vAlign w:val="center"/>
          </w:tcPr>
          <w:p w14:paraId="29E7DEAF" w14:textId="0D1A3334" w:rsidR="006C2ABB" w:rsidRPr="0063502C" w:rsidRDefault="006C2ABB" w:rsidP="0063502C">
            <w:pPr>
              <w:spacing w:after="0" w:line="240" w:lineRule="auto"/>
              <w:jc w:val="center"/>
              <w:rPr>
                <w:b/>
                <w:sz w:val="24"/>
                <w:szCs w:val="24"/>
              </w:rPr>
            </w:pPr>
            <w:r>
              <w:rPr>
                <w:b/>
                <w:sz w:val="24"/>
                <w:szCs w:val="24"/>
              </w:rPr>
              <w:t xml:space="preserve">System/Hospital </w:t>
            </w:r>
          </w:p>
        </w:tc>
        <w:tc>
          <w:tcPr>
            <w:tcW w:w="1307" w:type="dxa"/>
            <w:shd w:val="clear" w:color="auto" w:fill="E5FFFF"/>
            <w:vAlign w:val="center"/>
          </w:tcPr>
          <w:p w14:paraId="184BAE3C" w14:textId="3E0E790C" w:rsidR="006C2ABB" w:rsidRPr="0063502C" w:rsidRDefault="006C2ABB" w:rsidP="0063502C">
            <w:pPr>
              <w:spacing w:after="0" w:line="240" w:lineRule="auto"/>
              <w:jc w:val="center"/>
              <w:rPr>
                <w:b/>
                <w:sz w:val="24"/>
                <w:szCs w:val="24"/>
              </w:rPr>
            </w:pPr>
            <w:r w:rsidRPr="0063502C">
              <w:rPr>
                <w:b/>
                <w:sz w:val="24"/>
                <w:szCs w:val="24"/>
              </w:rPr>
              <w:t>FY</w:t>
            </w:r>
            <w:r>
              <w:rPr>
                <w:b/>
                <w:sz w:val="24"/>
                <w:szCs w:val="24"/>
              </w:rPr>
              <w:t>20</w:t>
            </w:r>
          </w:p>
        </w:tc>
        <w:tc>
          <w:tcPr>
            <w:tcW w:w="1307" w:type="dxa"/>
            <w:shd w:val="clear" w:color="auto" w:fill="E5FFFF"/>
            <w:vAlign w:val="center"/>
          </w:tcPr>
          <w:p w14:paraId="2A67DF68" w14:textId="499A9DC5" w:rsidR="006C2ABB" w:rsidRPr="0063502C" w:rsidRDefault="006C2ABB" w:rsidP="0063502C">
            <w:pPr>
              <w:spacing w:after="0" w:line="240" w:lineRule="auto"/>
              <w:jc w:val="center"/>
              <w:rPr>
                <w:b/>
                <w:sz w:val="24"/>
                <w:szCs w:val="24"/>
              </w:rPr>
            </w:pPr>
            <w:r w:rsidRPr="0063502C">
              <w:rPr>
                <w:b/>
                <w:sz w:val="24"/>
                <w:szCs w:val="24"/>
              </w:rPr>
              <w:t>FY</w:t>
            </w:r>
            <w:r>
              <w:rPr>
                <w:b/>
                <w:sz w:val="24"/>
                <w:szCs w:val="24"/>
              </w:rPr>
              <w:t>2</w:t>
            </w:r>
            <w:r w:rsidRPr="0063502C">
              <w:rPr>
                <w:b/>
                <w:sz w:val="24"/>
                <w:szCs w:val="24"/>
              </w:rPr>
              <w:t>1</w:t>
            </w:r>
          </w:p>
        </w:tc>
        <w:tc>
          <w:tcPr>
            <w:tcW w:w="1307" w:type="dxa"/>
            <w:shd w:val="clear" w:color="auto" w:fill="E5FFFF"/>
            <w:vAlign w:val="center"/>
          </w:tcPr>
          <w:p w14:paraId="6DF267AE" w14:textId="59339512" w:rsidR="006C2ABB" w:rsidRPr="0063502C" w:rsidRDefault="006C2ABB" w:rsidP="0063502C">
            <w:pPr>
              <w:spacing w:after="0" w:line="240" w:lineRule="auto"/>
              <w:jc w:val="center"/>
              <w:rPr>
                <w:b/>
                <w:sz w:val="24"/>
                <w:szCs w:val="24"/>
              </w:rPr>
            </w:pPr>
            <w:r w:rsidRPr="0063502C">
              <w:rPr>
                <w:b/>
                <w:sz w:val="24"/>
                <w:szCs w:val="24"/>
              </w:rPr>
              <w:t>FY2</w:t>
            </w:r>
            <w:r>
              <w:rPr>
                <w:b/>
                <w:sz w:val="24"/>
                <w:szCs w:val="24"/>
              </w:rPr>
              <w:t>2</w:t>
            </w:r>
          </w:p>
        </w:tc>
      </w:tr>
      <w:tr w:rsidR="006C2ABB" w:rsidRPr="0063502C" w14:paraId="16087092" w14:textId="77777777" w:rsidTr="00D964DD">
        <w:trPr>
          <w:cantSplit/>
          <w:trHeight w:val="345"/>
          <w:jc w:val="center"/>
        </w:trPr>
        <w:tc>
          <w:tcPr>
            <w:tcW w:w="3004" w:type="dxa"/>
            <w:vAlign w:val="center"/>
          </w:tcPr>
          <w:p w14:paraId="77DE252F" w14:textId="42A6BC51" w:rsidR="006C2ABB" w:rsidRPr="0063502C" w:rsidRDefault="006C2ABB" w:rsidP="00105562">
            <w:pPr>
              <w:spacing w:after="0" w:line="240" w:lineRule="auto"/>
              <w:jc w:val="center"/>
              <w:rPr>
                <w:sz w:val="24"/>
                <w:szCs w:val="24"/>
              </w:rPr>
            </w:pPr>
            <w:r>
              <w:rPr>
                <w:sz w:val="24"/>
                <w:szCs w:val="24"/>
              </w:rPr>
              <w:t xml:space="preserve">MGB </w:t>
            </w:r>
          </w:p>
        </w:tc>
        <w:tc>
          <w:tcPr>
            <w:tcW w:w="1307" w:type="dxa"/>
            <w:vAlign w:val="center"/>
          </w:tcPr>
          <w:p w14:paraId="70FCF319" w14:textId="40A3B99B" w:rsidR="006C2ABB" w:rsidRPr="0063502C" w:rsidRDefault="006C2ABB" w:rsidP="0063502C">
            <w:pPr>
              <w:spacing w:after="0" w:line="240" w:lineRule="auto"/>
              <w:jc w:val="right"/>
              <w:rPr>
                <w:sz w:val="24"/>
                <w:szCs w:val="24"/>
              </w:rPr>
            </w:pPr>
            <w:r w:rsidRPr="0063502C">
              <w:rPr>
                <w:sz w:val="24"/>
                <w:szCs w:val="24"/>
              </w:rPr>
              <w:t>1,</w:t>
            </w:r>
            <w:r>
              <w:rPr>
                <w:sz w:val="24"/>
                <w:szCs w:val="24"/>
              </w:rPr>
              <w:t>567,944</w:t>
            </w:r>
          </w:p>
        </w:tc>
        <w:tc>
          <w:tcPr>
            <w:tcW w:w="1307" w:type="dxa"/>
            <w:vAlign w:val="center"/>
          </w:tcPr>
          <w:p w14:paraId="330707A2" w14:textId="050B3C62" w:rsidR="006C2ABB" w:rsidRPr="0063502C" w:rsidRDefault="006C2ABB" w:rsidP="0063502C">
            <w:pPr>
              <w:spacing w:after="0" w:line="240" w:lineRule="auto"/>
              <w:jc w:val="right"/>
              <w:rPr>
                <w:sz w:val="24"/>
                <w:szCs w:val="24"/>
              </w:rPr>
            </w:pPr>
            <w:r w:rsidRPr="0063502C">
              <w:rPr>
                <w:sz w:val="24"/>
                <w:szCs w:val="24"/>
              </w:rPr>
              <w:t>1,</w:t>
            </w:r>
            <w:r>
              <w:rPr>
                <w:sz w:val="24"/>
                <w:szCs w:val="24"/>
              </w:rPr>
              <w:t>725,378</w:t>
            </w:r>
          </w:p>
        </w:tc>
        <w:tc>
          <w:tcPr>
            <w:tcW w:w="1307" w:type="dxa"/>
            <w:vAlign w:val="center"/>
          </w:tcPr>
          <w:p w14:paraId="2FBCADF1" w14:textId="4B157F80" w:rsidR="006C2ABB" w:rsidRPr="0063502C" w:rsidRDefault="006C2ABB" w:rsidP="0063502C">
            <w:pPr>
              <w:spacing w:after="0" w:line="240" w:lineRule="auto"/>
              <w:jc w:val="right"/>
              <w:rPr>
                <w:sz w:val="24"/>
                <w:szCs w:val="24"/>
              </w:rPr>
            </w:pPr>
            <w:r w:rsidRPr="0063502C">
              <w:rPr>
                <w:sz w:val="24"/>
                <w:szCs w:val="24"/>
              </w:rPr>
              <w:t>1,</w:t>
            </w:r>
            <w:r>
              <w:rPr>
                <w:sz w:val="24"/>
                <w:szCs w:val="24"/>
              </w:rPr>
              <w:t>792,288</w:t>
            </w:r>
          </w:p>
        </w:tc>
      </w:tr>
      <w:tr w:rsidR="006C2ABB" w:rsidRPr="0063502C" w14:paraId="522C0DEB" w14:textId="77777777" w:rsidTr="00D964DD">
        <w:trPr>
          <w:cantSplit/>
          <w:trHeight w:val="345"/>
          <w:jc w:val="center"/>
        </w:trPr>
        <w:tc>
          <w:tcPr>
            <w:tcW w:w="3004" w:type="dxa"/>
            <w:vAlign w:val="center"/>
          </w:tcPr>
          <w:p w14:paraId="7BEB5765" w14:textId="412B1C5F" w:rsidR="006C2ABB" w:rsidRDefault="006C2ABB" w:rsidP="00105562">
            <w:pPr>
              <w:spacing w:after="0" w:line="240" w:lineRule="auto"/>
              <w:jc w:val="center"/>
              <w:rPr>
                <w:sz w:val="24"/>
                <w:szCs w:val="24"/>
              </w:rPr>
            </w:pPr>
            <w:r>
              <w:rPr>
                <w:sz w:val="24"/>
                <w:szCs w:val="24"/>
              </w:rPr>
              <w:t xml:space="preserve">CDH </w:t>
            </w:r>
          </w:p>
        </w:tc>
        <w:tc>
          <w:tcPr>
            <w:tcW w:w="1307" w:type="dxa"/>
            <w:vAlign w:val="center"/>
          </w:tcPr>
          <w:p w14:paraId="0E84AA6A" w14:textId="71EB31BC" w:rsidR="006C2ABB" w:rsidRPr="0063502C" w:rsidRDefault="006C2ABB" w:rsidP="0063502C">
            <w:pPr>
              <w:spacing w:after="0" w:line="240" w:lineRule="auto"/>
              <w:jc w:val="right"/>
              <w:rPr>
                <w:sz w:val="24"/>
                <w:szCs w:val="24"/>
              </w:rPr>
            </w:pPr>
            <w:r w:rsidRPr="00105562">
              <w:rPr>
                <w:sz w:val="24"/>
                <w:szCs w:val="24"/>
              </w:rPr>
              <w:t>94,912</w:t>
            </w:r>
          </w:p>
        </w:tc>
        <w:tc>
          <w:tcPr>
            <w:tcW w:w="1307" w:type="dxa"/>
            <w:vAlign w:val="center"/>
          </w:tcPr>
          <w:p w14:paraId="128A6D91" w14:textId="77389F5B" w:rsidR="006C2ABB" w:rsidRPr="0063502C" w:rsidRDefault="006C2ABB" w:rsidP="0063502C">
            <w:pPr>
              <w:spacing w:after="0" w:line="240" w:lineRule="auto"/>
              <w:jc w:val="right"/>
              <w:rPr>
                <w:sz w:val="24"/>
                <w:szCs w:val="24"/>
              </w:rPr>
            </w:pPr>
            <w:r w:rsidRPr="00105562">
              <w:rPr>
                <w:sz w:val="24"/>
                <w:szCs w:val="24"/>
              </w:rPr>
              <w:t>106,054</w:t>
            </w:r>
          </w:p>
        </w:tc>
        <w:tc>
          <w:tcPr>
            <w:tcW w:w="1307" w:type="dxa"/>
            <w:vAlign w:val="center"/>
          </w:tcPr>
          <w:p w14:paraId="639A0AF9" w14:textId="7F9B5D66" w:rsidR="006C2ABB" w:rsidRPr="0063502C" w:rsidRDefault="006C2ABB" w:rsidP="0063502C">
            <w:pPr>
              <w:spacing w:after="0" w:line="240" w:lineRule="auto"/>
              <w:jc w:val="right"/>
              <w:rPr>
                <w:sz w:val="24"/>
                <w:szCs w:val="24"/>
              </w:rPr>
            </w:pPr>
            <w:r w:rsidRPr="00105562">
              <w:rPr>
                <w:sz w:val="24"/>
                <w:szCs w:val="24"/>
              </w:rPr>
              <w:t>108,778</w:t>
            </w:r>
          </w:p>
        </w:tc>
      </w:tr>
    </w:tbl>
    <w:p w14:paraId="44609371" w14:textId="3D95081C" w:rsidR="006C2ABB" w:rsidRDefault="006C2ABB" w:rsidP="003E5301">
      <w:pPr>
        <w:spacing w:after="0" w:line="240" w:lineRule="auto"/>
        <w:jc w:val="center"/>
        <w:rPr>
          <w:b/>
          <w:bCs/>
          <w:sz w:val="24"/>
          <w:szCs w:val="24"/>
        </w:rPr>
      </w:pPr>
    </w:p>
    <w:p w14:paraId="14B90F99" w14:textId="5C05901D" w:rsidR="007C0E02" w:rsidRPr="007C0E02" w:rsidRDefault="007C0E02" w:rsidP="007C0E02">
      <w:pPr>
        <w:spacing w:after="0" w:line="240" w:lineRule="auto"/>
        <w:rPr>
          <w:sz w:val="24"/>
          <w:szCs w:val="24"/>
        </w:rPr>
      </w:pPr>
      <w:r>
        <w:rPr>
          <w:sz w:val="24"/>
          <w:szCs w:val="24"/>
        </w:rPr>
        <w:t xml:space="preserve">Table 3 shows the demographic characteristics of both MGB and CDH. </w:t>
      </w:r>
      <w:r w:rsidRPr="007C0E02">
        <w:rPr>
          <w:sz w:val="24"/>
          <w:szCs w:val="24"/>
        </w:rPr>
        <w:t>Staff notes the following:</w:t>
      </w:r>
    </w:p>
    <w:p w14:paraId="1A98193B" w14:textId="77777777" w:rsidR="007C0E02" w:rsidRPr="007C0E02" w:rsidRDefault="007C0E02" w:rsidP="007C0E02">
      <w:pPr>
        <w:spacing w:after="0" w:line="240" w:lineRule="auto"/>
        <w:rPr>
          <w:sz w:val="24"/>
          <w:szCs w:val="24"/>
        </w:rPr>
      </w:pPr>
    </w:p>
    <w:p w14:paraId="580CAC32" w14:textId="79B8B925" w:rsidR="007C0E02" w:rsidRPr="007C0E02" w:rsidRDefault="007C0E02" w:rsidP="007C0E02">
      <w:pPr>
        <w:numPr>
          <w:ilvl w:val="0"/>
          <w:numId w:val="1"/>
        </w:numPr>
        <w:spacing w:after="0" w:line="240" w:lineRule="auto"/>
        <w:rPr>
          <w:sz w:val="24"/>
          <w:szCs w:val="24"/>
        </w:rPr>
      </w:pPr>
      <w:r w:rsidRPr="007C0E02">
        <w:rPr>
          <w:b/>
          <w:bCs/>
          <w:sz w:val="24"/>
          <w:szCs w:val="24"/>
        </w:rPr>
        <w:t>Age-</w:t>
      </w:r>
      <w:r w:rsidRPr="007C0E02">
        <w:rPr>
          <w:sz w:val="24"/>
          <w:szCs w:val="24"/>
        </w:rPr>
        <w:t>The age 65 and over population comprises nearly one third of both MGB</w:t>
      </w:r>
      <w:r w:rsidR="00184B85">
        <w:rPr>
          <w:sz w:val="24"/>
          <w:szCs w:val="24"/>
        </w:rPr>
        <w:t>’</w:t>
      </w:r>
      <w:r w:rsidRPr="007C0E02">
        <w:rPr>
          <w:sz w:val="24"/>
          <w:szCs w:val="24"/>
        </w:rPr>
        <w:t xml:space="preserve">s and CDH’s patients, with only slight fluctuations over the </w:t>
      </w:r>
      <w:r w:rsidR="001A0A20" w:rsidRPr="007C0E02">
        <w:rPr>
          <w:sz w:val="24"/>
          <w:szCs w:val="24"/>
        </w:rPr>
        <w:t>three-year</w:t>
      </w:r>
      <w:r w:rsidRPr="007C0E02">
        <w:rPr>
          <w:sz w:val="24"/>
          <w:szCs w:val="24"/>
        </w:rPr>
        <w:t xml:space="preserve"> reporting period.</w:t>
      </w:r>
    </w:p>
    <w:p w14:paraId="7936EA1B" w14:textId="1291AD79" w:rsidR="007C0E02" w:rsidRPr="007C0E02" w:rsidRDefault="007C0E02" w:rsidP="007C0E02">
      <w:pPr>
        <w:numPr>
          <w:ilvl w:val="0"/>
          <w:numId w:val="1"/>
        </w:numPr>
        <w:spacing w:after="0" w:line="240" w:lineRule="auto"/>
        <w:rPr>
          <w:sz w:val="24"/>
          <w:szCs w:val="24"/>
        </w:rPr>
      </w:pPr>
      <w:r w:rsidRPr="007C0E02">
        <w:rPr>
          <w:b/>
          <w:bCs/>
          <w:sz w:val="24"/>
          <w:szCs w:val="24"/>
        </w:rPr>
        <w:t>Race/Ethnicity-</w:t>
      </w:r>
      <w:r w:rsidRPr="007C0E02">
        <w:rPr>
          <w:sz w:val="24"/>
          <w:szCs w:val="24"/>
        </w:rPr>
        <w:t xml:space="preserve"> The MGB Panel reflects little change. While the Caucasian cohort is the only category that showed a slight decline from FY 20-23, decreasing from 75.5% to 73.8% there was no notable change in any other racial cohort. For CDH there were no notable changes in any racial cohorts</w:t>
      </w:r>
      <w:r w:rsidR="001A0A20">
        <w:rPr>
          <w:sz w:val="24"/>
          <w:szCs w:val="24"/>
        </w:rPr>
        <w:t>.</w:t>
      </w:r>
      <w:r w:rsidRPr="007C0E02">
        <w:rPr>
          <w:sz w:val="24"/>
          <w:szCs w:val="24"/>
        </w:rPr>
        <w:t xml:space="preserve"> The Applicant notes that since patients were grouped into these categories based on how they self-identified, there is a portion of the patient population (~15.4% at MGB and ~17.7% at CDH) that either chose not to report their race or identified as a race that did not align with the </w:t>
      </w:r>
      <w:r w:rsidR="00876E83">
        <w:rPr>
          <w:sz w:val="24"/>
          <w:szCs w:val="24"/>
        </w:rPr>
        <w:t xml:space="preserve">standard </w:t>
      </w:r>
      <w:r w:rsidRPr="007C0E02">
        <w:rPr>
          <w:sz w:val="24"/>
          <w:szCs w:val="24"/>
        </w:rPr>
        <w:t>categories.</w:t>
      </w:r>
    </w:p>
    <w:p w14:paraId="4ABFF5E2" w14:textId="03765C58" w:rsidR="007C0E02" w:rsidRPr="007C0E02" w:rsidRDefault="007C0E02" w:rsidP="007C0E02">
      <w:pPr>
        <w:numPr>
          <w:ilvl w:val="0"/>
          <w:numId w:val="1"/>
        </w:numPr>
        <w:spacing w:after="0" w:line="240" w:lineRule="auto"/>
        <w:rPr>
          <w:sz w:val="24"/>
          <w:szCs w:val="24"/>
        </w:rPr>
      </w:pPr>
      <w:r w:rsidRPr="007C0E02">
        <w:rPr>
          <w:b/>
          <w:bCs/>
          <w:sz w:val="24"/>
          <w:szCs w:val="24"/>
        </w:rPr>
        <w:t>Patient Origin-</w:t>
      </w:r>
      <w:r w:rsidRPr="007C0E02">
        <w:rPr>
          <w:sz w:val="24"/>
          <w:szCs w:val="24"/>
        </w:rPr>
        <w:t xml:space="preserve"> the Applicant reports that the region contributing the largest number of patients to its Patient Panel </w:t>
      </w:r>
      <w:r w:rsidR="001A0A20">
        <w:rPr>
          <w:sz w:val="24"/>
          <w:szCs w:val="24"/>
        </w:rPr>
        <w:t xml:space="preserve">is </w:t>
      </w:r>
      <w:r w:rsidRPr="007C0E02">
        <w:rPr>
          <w:sz w:val="24"/>
          <w:szCs w:val="24"/>
        </w:rPr>
        <w:t>greater Boston (HSA 4) 42.1%</w:t>
      </w:r>
      <w:r w:rsidR="001A0A20">
        <w:rPr>
          <w:sz w:val="24"/>
          <w:szCs w:val="24"/>
        </w:rPr>
        <w:t>,</w:t>
      </w:r>
      <w:r w:rsidRPr="007C0E02">
        <w:rPr>
          <w:sz w:val="24"/>
          <w:szCs w:val="24"/>
        </w:rPr>
        <w:t xml:space="preserve"> and the next largest number of patients originate from out of state, 16.5%. CDH’s patients come primarily </w:t>
      </w:r>
      <w:r w:rsidRPr="007C0E02">
        <w:rPr>
          <w:sz w:val="24"/>
          <w:szCs w:val="24"/>
        </w:rPr>
        <w:lastRenderedPageBreak/>
        <w:t>from Western MA (HS</w:t>
      </w:r>
      <w:r w:rsidR="00D64420">
        <w:rPr>
          <w:sz w:val="24"/>
          <w:szCs w:val="24"/>
        </w:rPr>
        <w:t>A</w:t>
      </w:r>
      <w:r w:rsidRPr="007C0E02">
        <w:rPr>
          <w:sz w:val="24"/>
          <w:szCs w:val="24"/>
        </w:rPr>
        <w:t xml:space="preserve"> 1) 91.8% where it is located, with the second largest cohort coming from out of state, 4.1%.</w:t>
      </w:r>
    </w:p>
    <w:p w14:paraId="08420411" w14:textId="77777777" w:rsidR="006C2ABB" w:rsidRDefault="006C2ABB" w:rsidP="003E5301">
      <w:pPr>
        <w:spacing w:after="0" w:line="240" w:lineRule="auto"/>
        <w:jc w:val="center"/>
        <w:rPr>
          <w:b/>
          <w:bCs/>
          <w:sz w:val="24"/>
          <w:szCs w:val="24"/>
        </w:rPr>
      </w:pPr>
    </w:p>
    <w:p w14:paraId="7F831D92" w14:textId="67892427" w:rsidR="003E5301" w:rsidRDefault="003E5301" w:rsidP="003E5301">
      <w:pPr>
        <w:spacing w:after="0" w:line="240" w:lineRule="auto"/>
        <w:jc w:val="center"/>
        <w:rPr>
          <w:b/>
          <w:bCs/>
          <w:sz w:val="24"/>
          <w:szCs w:val="24"/>
        </w:rPr>
      </w:pPr>
      <w:r w:rsidRPr="003E5301">
        <w:rPr>
          <w:b/>
          <w:bCs/>
          <w:sz w:val="24"/>
          <w:szCs w:val="24"/>
        </w:rPr>
        <w:t xml:space="preserve">Table </w:t>
      </w:r>
      <w:r w:rsidR="00097BE0">
        <w:rPr>
          <w:b/>
          <w:bCs/>
          <w:sz w:val="24"/>
          <w:szCs w:val="24"/>
        </w:rPr>
        <w:t>3</w:t>
      </w:r>
      <w:r w:rsidRPr="003E5301">
        <w:rPr>
          <w:b/>
          <w:bCs/>
          <w:sz w:val="24"/>
          <w:szCs w:val="24"/>
        </w:rPr>
        <w:t>: Demographic Profiles</w:t>
      </w:r>
      <w:r w:rsidR="00604D21">
        <w:rPr>
          <w:b/>
          <w:bCs/>
          <w:sz w:val="24"/>
          <w:szCs w:val="24"/>
        </w:rPr>
        <w:t xml:space="preserve"> of MGB and CDH</w:t>
      </w:r>
    </w:p>
    <w:p w14:paraId="2818C501" w14:textId="77777777" w:rsidR="00604D21" w:rsidRPr="00193129" w:rsidRDefault="00604D21" w:rsidP="003E5301">
      <w:pPr>
        <w:spacing w:after="0" w:line="240" w:lineRule="auto"/>
        <w:jc w:val="center"/>
        <w:rPr>
          <w:sz w:val="24"/>
          <w:szCs w:val="24"/>
        </w:rPr>
      </w:pPr>
    </w:p>
    <w:tbl>
      <w:tblPr>
        <w:tblStyle w:val="TableGrid"/>
        <w:tblW w:w="7534" w:type="dxa"/>
        <w:jc w:val="center"/>
        <w:tblLook w:val="04A0" w:firstRow="1" w:lastRow="0" w:firstColumn="1" w:lastColumn="0" w:noHBand="0" w:noVBand="1"/>
      </w:tblPr>
      <w:tblGrid>
        <w:gridCol w:w="2962"/>
        <w:gridCol w:w="1143"/>
        <w:gridCol w:w="1143"/>
        <w:gridCol w:w="1143"/>
        <w:gridCol w:w="1143"/>
      </w:tblGrid>
      <w:tr w:rsidR="006C2ABB" w:rsidRPr="00097BE0" w14:paraId="60D5B43F" w14:textId="77777777" w:rsidTr="00D964DD">
        <w:trPr>
          <w:cantSplit/>
          <w:tblHeader/>
          <w:jc w:val="center"/>
        </w:trPr>
        <w:tc>
          <w:tcPr>
            <w:tcW w:w="2962" w:type="dxa"/>
            <w:shd w:val="clear" w:color="auto" w:fill="E5FFFF"/>
            <w:vAlign w:val="center"/>
          </w:tcPr>
          <w:p w14:paraId="33E4A480" w14:textId="77777777" w:rsidR="006C2ABB" w:rsidRPr="00097BE0" w:rsidRDefault="006C2ABB" w:rsidP="00701842">
            <w:pPr>
              <w:rPr>
                <w:rFonts w:cstheme="minorHAnsi"/>
                <w:b/>
                <w:bCs/>
                <w:sz w:val="24"/>
                <w:szCs w:val="24"/>
              </w:rPr>
            </w:pPr>
            <w:r w:rsidRPr="00097BE0">
              <w:rPr>
                <w:rFonts w:cstheme="minorHAnsi"/>
                <w:b/>
                <w:bCs/>
                <w:sz w:val="24"/>
                <w:szCs w:val="24"/>
              </w:rPr>
              <w:t>Patient Demographics</w:t>
            </w:r>
          </w:p>
        </w:tc>
        <w:tc>
          <w:tcPr>
            <w:tcW w:w="1143" w:type="dxa"/>
            <w:shd w:val="clear" w:color="auto" w:fill="E5FFFF"/>
          </w:tcPr>
          <w:p w14:paraId="052F03B0" w14:textId="053896B3" w:rsidR="006C2ABB" w:rsidRPr="00604D21" w:rsidRDefault="00D964DD" w:rsidP="00701842">
            <w:pPr>
              <w:jc w:val="center"/>
              <w:rPr>
                <w:rFonts w:cstheme="minorHAnsi"/>
                <w:b/>
                <w:bCs/>
                <w:sz w:val="24"/>
                <w:szCs w:val="24"/>
              </w:rPr>
            </w:pPr>
            <w:r w:rsidRPr="00604D21">
              <w:rPr>
                <w:rFonts w:cstheme="minorHAnsi"/>
                <w:b/>
                <w:bCs/>
                <w:sz w:val="24"/>
                <w:szCs w:val="24"/>
              </w:rPr>
              <w:t>MGB</w:t>
            </w:r>
            <w:r w:rsidRPr="00097BE0">
              <w:rPr>
                <w:rFonts w:cstheme="minorHAnsi"/>
                <w:b/>
                <w:bCs/>
                <w:sz w:val="24"/>
                <w:szCs w:val="24"/>
              </w:rPr>
              <w:t xml:space="preserve"> </w:t>
            </w:r>
            <w:r w:rsidR="006C2ABB" w:rsidRPr="00097BE0">
              <w:rPr>
                <w:rFonts w:cstheme="minorHAnsi"/>
                <w:b/>
                <w:bCs/>
                <w:sz w:val="24"/>
                <w:szCs w:val="24"/>
              </w:rPr>
              <w:t>FY22 Count</w:t>
            </w:r>
          </w:p>
        </w:tc>
        <w:tc>
          <w:tcPr>
            <w:tcW w:w="1143" w:type="dxa"/>
            <w:shd w:val="clear" w:color="auto" w:fill="E5FFFF"/>
          </w:tcPr>
          <w:p w14:paraId="77AD1CEC" w14:textId="3CF967D6" w:rsidR="006C2ABB" w:rsidRPr="00604D21" w:rsidRDefault="00D964DD" w:rsidP="00701842">
            <w:pPr>
              <w:jc w:val="center"/>
              <w:rPr>
                <w:rFonts w:cstheme="minorHAnsi"/>
                <w:b/>
                <w:bCs/>
                <w:sz w:val="24"/>
                <w:szCs w:val="24"/>
              </w:rPr>
            </w:pPr>
            <w:r w:rsidRPr="00604D21">
              <w:rPr>
                <w:rFonts w:cstheme="minorHAnsi"/>
                <w:b/>
                <w:bCs/>
                <w:sz w:val="24"/>
                <w:szCs w:val="24"/>
              </w:rPr>
              <w:t>MGB</w:t>
            </w:r>
            <w:r w:rsidRPr="00097BE0">
              <w:rPr>
                <w:rFonts w:cstheme="minorHAnsi"/>
                <w:b/>
                <w:bCs/>
                <w:sz w:val="24"/>
                <w:szCs w:val="24"/>
              </w:rPr>
              <w:t xml:space="preserve"> </w:t>
            </w:r>
            <w:r w:rsidR="006C2ABB" w:rsidRPr="00097BE0">
              <w:rPr>
                <w:rFonts w:cstheme="minorHAnsi"/>
                <w:b/>
                <w:bCs/>
                <w:sz w:val="24"/>
                <w:szCs w:val="24"/>
              </w:rPr>
              <w:t>FY22 %</w:t>
            </w:r>
          </w:p>
        </w:tc>
        <w:tc>
          <w:tcPr>
            <w:tcW w:w="1143" w:type="dxa"/>
            <w:shd w:val="clear" w:color="auto" w:fill="E5FFFF"/>
          </w:tcPr>
          <w:p w14:paraId="07497BDB" w14:textId="65115024" w:rsidR="006C2ABB" w:rsidRPr="00604D21" w:rsidRDefault="00D964DD" w:rsidP="00701842">
            <w:pPr>
              <w:jc w:val="center"/>
              <w:rPr>
                <w:rFonts w:cstheme="minorHAnsi"/>
                <w:b/>
                <w:bCs/>
                <w:sz w:val="24"/>
                <w:szCs w:val="24"/>
              </w:rPr>
            </w:pPr>
            <w:r w:rsidRPr="00604D21">
              <w:rPr>
                <w:rFonts w:cstheme="minorHAnsi"/>
                <w:b/>
                <w:bCs/>
                <w:sz w:val="24"/>
                <w:szCs w:val="24"/>
              </w:rPr>
              <w:t>CDH</w:t>
            </w:r>
            <w:r w:rsidRPr="00604D21">
              <w:rPr>
                <w:rFonts w:cstheme="minorHAnsi"/>
                <w:b/>
                <w:bCs/>
                <w:sz w:val="24"/>
                <w:szCs w:val="24"/>
              </w:rPr>
              <w:t xml:space="preserve"> </w:t>
            </w:r>
            <w:r w:rsidR="006C2ABB" w:rsidRPr="00604D21">
              <w:rPr>
                <w:rFonts w:cstheme="minorHAnsi"/>
                <w:b/>
                <w:bCs/>
                <w:sz w:val="24"/>
                <w:szCs w:val="24"/>
              </w:rPr>
              <w:t>FY22 Count</w:t>
            </w:r>
          </w:p>
        </w:tc>
        <w:tc>
          <w:tcPr>
            <w:tcW w:w="1143" w:type="dxa"/>
            <w:shd w:val="clear" w:color="auto" w:fill="E5FFFF"/>
          </w:tcPr>
          <w:p w14:paraId="29213430" w14:textId="347E68B6" w:rsidR="006C2ABB" w:rsidRPr="00604D21" w:rsidRDefault="00D964DD" w:rsidP="00701842">
            <w:pPr>
              <w:jc w:val="center"/>
              <w:rPr>
                <w:rFonts w:cstheme="minorHAnsi"/>
                <w:b/>
                <w:bCs/>
                <w:sz w:val="24"/>
                <w:szCs w:val="24"/>
              </w:rPr>
            </w:pPr>
            <w:r w:rsidRPr="00604D21">
              <w:rPr>
                <w:rFonts w:cstheme="minorHAnsi"/>
                <w:b/>
                <w:bCs/>
                <w:sz w:val="24"/>
                <w:szCs w:val="24"/>
              </w:rPr>
              <w:t xml:space="preserve">CDH </w:t>
            </w:r>
            <w:r w:rsidR="006C2ABB" w:rsidRPr="00604D21">
              <w:rPr>
                <w:rFonts w:cstheme="minorHAnsi"/>
                <w:b/>
                <w:bCs/>
                <w:sz w:val="24"/>
                <w:szCs w:val="24"/>
              </w:rPr>
              <w:t>FY22 %</w:t>
            </w:r>
          </w:p>
        </w:tc>
      </w:tr>
      <w:tr w:rsidR="006C2ABB" w:rsidRPr="00097BE0" w14:paraId="308919F8" w14:textId="77777777" w:rsidTr="00D964DD">
        <w:trPr>
          <w:cantSplit/>
          <w:jc w:val="center"/>
        </w:trPr>
        <w:tc>
          <w:tcPr>
            <w:tcW w:w="2962" w:type="dxa"/>
            <w:shd w:val="clear" w:color="auto" w:fill="auto"/>
          </w:tcPr>
          <w:p w14:paraId="0170B2C7" w14:textId="77777777" w:rsidR="006C2ABB" w:rsidRPr="00097BE0" w:rsidRDefault="006C2ABB" w:rsidP="00701842">
            <w:r w:rsidRPr="00097BE0">
              <w:t>MGB Total</w:t>
            </w:r>
          </w:p>
        </w:tc>
        <w:tc>
          <w:tcPr>
            <w:tcW w:w="1143" w:type="dxa"/>
            <w:shd w:val="clear" w:color="auto" w:fill="auto"/>
          </w:tcPr>
          <w:p w14:paraId="52AEA7EE" w14:textId="52F3FE4D" w:rsidR="006C2ABB" w:rsidRPr="00097BE0" w:rsidRDefault="006C2ABB" w:rsidP="00701842">
            <w:pPr>
              <w:jc w:val="right"/>
            </w:pPr>
            <w:r w:rsidRPr="00097BE0">
              <w:t>1,792,288</w:t>
            </w:r>
          </w:p>
        </w:tc>
        <w:tc>
          <w:tcPr>
            <w:tcW w:w="1143" w:type="dxa"/>
            <w:shd w:val="clear" w:color="auto" w:fill="auto"/>
          </w:tcPr>
          <w:p w14:paraId="116D3AEB" w14:textId="756FA1A4" w:rsidR="006C2ABB" w:rsidRPr="00097BE0" w:rsidRDefault="006C2ABB" w:rsidP="00701842">
            <w:pPr>
              <w:jc w:val="right"/>
            </w:pPr>
            <w:r w:rsidRPr="00097BE0">
              <w:t>N/A</w:t>
            </w:r>
          </w:p>
        </w:tc>
        <w:tc>
          <w:tcPr>
            <w:tcW w:w="1143" w:type="dxa"/>
            <w:shd w:val="clear" w:color="auto" w:fill="auto"/>
          </w:tcPr>
          <w:p w14:paraId="0094E0BA" w14:textId="45FE4A60" w:rsidR="006C2ABB" w:rsidRPr="004C6AFC" w:rsidRDefault="006C2ABB" w:rsidP="00701842">
            <w:pPr>
              <w:jc w:val="right"/>
              <w:rPr>
                <w:rFonts w:cstheme="minorHAnsi"/>
              </w:rPr>
            </w:pPr>
            <w:r w:rsidRPr="00876E83">
              <w:rPr>
                <w:rFonts w:ascii="Arial" w:hAnsi="Arial" w:cs="Arial"/>
                <w:sz w:val="20"/>
              </w:rPr>
              <w:t>108,778</w:t>
            </w:r>
          </w:p>
        </w:tc>
        <w:tc>
          <w:tcPr>
            <w:tcW w:w="1143" w:type="dxa"/>
            <w:shd w:val="clear" w:color="auto" w:fill="auto"/>
          </w:tcPr>
          <w:p w14:paraId="6A7DE841" w14:textId="47782A2E" w:rsidR="006C2ABB" w:rsidRPr="004C6AFC" w:rsidRDefault="006C2ABB" w:rsidP="00701842">
            <w:pPr>
              <w:jc w:val="right"/>
              <w:rPr>
                <w:rFonts w:cstheme="minorHAnsi"/>
              </w:rPr>
            </w:pPr>
            <w:r w:rsidRPr="00876E83">
              <w:rPr>
                <w:rFonts w:cstheme="minorHAnsi"/>
                <w:sz w:val="20"/>
              </w:rPr>
              <w:t>N/A</w:t>
            </w:r>
          </w:p>
        </w:tc>
      </w:tr>
      <w:tr w:rsidR="006C2ABB" w:rsidRPr="00097BE0" w14:paraId="1E74ED16" w14:textId="77777777" w:rsidTr="00D964DD">
        <w:trPr>
          <w:cantSplit/>
          <w:jc w:val="center"/>
        </w:trPr>
        <w:tc>
          <w:tcPr>
            <w:tcW w:w="2962" w:type="dxa"/>
            <w:shd w:val="clear" w:color="auto" w:fill="auto"/>
            <w:vAlign w:val="bottom"/>
          </w:tcPr>
          <w:p w14:paraId="16B60D2C" w14:textId="77777777" w:rsidR="006C2ABB" w:rsidRPr="00097BE0" w:rsidRDefault="006C2ABB" w:rsidP="00701842">
            <w:r w:rsidRPr="00097BE0">
              <w:t>Gender - Female</w:t>
            </w:r>
          </w:p>
        </w:tc>
        <w:tc>
          <w:tcPr>
            <w:tcW w:w="1143" w:type="dxa"/>
            <w:shd w:val="clear" w:color="auto" w:fill="auto"/>
            <w:vAlign w:val="bottom"/>
          </w:tcPr>
          <w:p w14:paraId="308FA663" w14:textId="0E9B5C2D" w:rsidR="006C2ABB" w:rsidRPr="00097BE0" w:rsidRDefault="006C2ABB" w:rsidP="00701842">
            <w:pPr>
              <w:jc w:val="right"/>
            </w:pPr>
            <w:r w:rsidRPr="00097BE0">
              <w:t>1,030,477</w:t>
            </w:r>
          </w:p>
        </w:tc>
        <w:tc>
          <w:tcPr>
            <w:tcW w:w="1143" w:type="dxa"/>
            <w:shd w:val="clear" w:color="auto" w:fill="auto"/>
            <w:vAlign w:val="bottom"/>
          </w:tcPr>
          <w:p w14:paraId="11EEDF89" w14:textId="49145B2E" w:rsidR="006C2ABB" w:rsidRPr="00097BE0" w:rsidRDefault="006C2ABB" w:rsidP="00701842">
            <w:pPr>
              <w:jc w:val="right"/>
            </w:pPr>
            <w:r w:rsidRPr="00097BE0">
              <w:t>57.5%</w:t>
            </w:r>
          </w:p>
        </w:tc>
        <w:tc>
          <w:tcPr>
            <w:tcW w:w="1143" w:type="dxa"/>
            <w:shd w:val="clear" w:color="auto" w:fill="auto"/>
            <w:vAlign w:val="bottom"/>
          </w:tcPr>
          <w:p w14:paraId="7980B880" w14:textId="792BF3B3" w:rsidR="006C2ABB" w:rsidRPr="004C6AFC" w:rsidRDefault="006C2ABB" w:rsidP="00701842">
            <w:pPr>
              <w:jc w:val="right"/>
              <w:rPr>
                <w:rFonts w:cstheme="minorHAnsi"/>
              </w:rPr>
            </w:pPr>
            <w:r w:rsidRPr="00876E83">
              <w:rPr>
                <w:rFonts w:eastAsia="Times New Roman" w:cstheme="minorHAnsi"/>
                <w:color w:val="000000"/>
                <w:sz w:val="20"/>
                <w:szCs w:val="20"/>
              </w:rPr>
              <w:t>62,880</w:t>
            </w:r>
          </w:p>
        </w:tc>
        <w:tc>
          <w:tcPr>
            <w:tcW w:w="1143" w:type="dxa"/>
            <w:shd w:val="clear" w:color="auto" w:fill="auto"/>
            <w:vAlign w:val="bottom"/>
          </w:tcPr>
          <w:p w14:paraId="5A3309FF" w14:textId="07700ED5" w:rsidR="006C2ABB" w:rsidRPr="004C6AFC" w:rsidRDefault="006C2ABB" w:rsidP="00701842">
            <w:pPr>
              <w:jc w:val="right"/>
              <w:rPr>
                <w:rFonts w:cstheme="minorHAnsi"/>
              </w:rPr>
            </w:pPr>
            <w:r w:rsidRPr="00876E83">
              <w:rPr>
                <w:rFonts w:eastAsia="Times New Roman" w:cstheme="minorHAnsi"/>
                <w:color w:val="000000"/>
                <w:sz w:val="20"/>
                <w:szCs w:val="20"/>
              </w:rPr>
              <w:t>57.8%</w:t>
            </w:r>
          </w:p>
        </w:tc>
      </w:tr>
      <w:tr w:rsidR="006C2ABB" w:rsidRPr="00097BE0" w14:paraId="73F091B7" w14:textId="77777777" w:rsidTr="00D964DD">
        <w:trPr>
          <w:cantSplit/>
          <w:jc w:val="center"/>
        </w:trPr>
        <w:tc>
          <w:tcPr>
            <w:tcW w:w="2962" w:type="dxa"/>
            <w:shd w:val="clear" w:color="auto" w:fill="auto"/>
            <w:vAlign w:val="bottom"/>
          </w:tcPr>
          <w:p w14:paraId="06B82C7A" w14:textId="77777777" w:rsidR="006C2ABB" w:rsidRPr="00097BE0" w:rsidRDefault="006C2ABB" w:rsidP="00701842">
            <w:r w:rsidRPr="00097BE0">
              <w:t>Gender - Male</w:t>
            </w:r>
          </w:p>
        </w:tc>
        <w:tc>
          <w:tcPr>
            <w:tcW w:w="1143" w:type="dxa"/>
            <w:shd w:val="clear" w:color="auto" w:fill="auto"/>
            <w:vAlign w:val="bottom"/>
          </w:tcPr>
          <w:p w14:paraId="376DCDCA" w14:textId="26311390" w:rsidR="006C2ABB" w:rsidRPr="00097BE0" w:rsidRDefault="006C2ABB" w:rsidP="00701842">
            <w:pPr>
              <w:jc w:val="right"/>
            </w:pPr>
            <w:r w:rsidRPr="00097BE0">
              <w:t>761,516</w:t>
            </w:r>
          </w:p>
        </w:tc>
        <w:tc>
          <w:tcPr>
            <w:tcW w:w="1143" w:type="dxa"/>
            <w:shd w:val="clear" w:color="auto" w:fill="auto"/>
            <w:vAlign w:val="bottom"/>
          </w:tcPr>
          <w:p w14:paraId="0A7C8EB6" w14:textId="2B9B582F" w:rsidR="006C2ABB" w:rsidRPr="00097BE0" w:rsidRDefault="006C2ABB" w:rsidP="00701842">
            <w:pPr>
              <w:jc w:val="right"/>
            </w:pPr>
            <w:r w:rsidRPr="00097BE0">
              <w:t>42.5%</w:t>
            </w:r>
          </w:p>
        </w:tc>
        <w:tc>
          <w:tcPr>
            <w:tcW w:w="1143" w:type="dxa"/>
            <w:shd w:val="clear" w:color="auto" w:fill="auto"/>
            <w:vAlign w:val="bottom"/>
          </w:tcPr>
          <w:p w14:paraId="4C40C743" w14:textId="43C846C4" w:rsidR="006C2ABB" w:rsidRPr="004C6AFC" w:rsidRDefault="006C2ABB" w:rsidP="00701842">
            <w:pPr>
              <w:jc w:val="right"/>
              <w:rPr>
                <w:rFonts w:cstheme="minorHAnsi"/>
              </w:rPr>
            </w:pPr>
            <w:r w:rsidRPr="00876E83">
              <w:rPr>
                <w:rFonts w:eastAsia="Times New Roman" w:cstheme="minorHAnsi"/>
                <w:color w:val="000000"/>
                <w:sz w:val="20"/>
                <w:szCs w:val="20"/>
              </w:rPr>
              <w:t>45,795</w:t>
            </w:r>
          </w:p>
        </w:tc>
        <w:tc>
          <w:tcPr>
            <w:tcW w:w="1143" w:type="dxa"/>
            <w:shd w:val="clear" w:color="auto" w:fill="auto"/>
            <w:vAlign w:val="bottom"/>
          </w:tcPr>
          <w:p w14:paraId="6C293013" w14:textId="1E41BA8F" w:rsidR="006C2ABB" w:rsidRPr="004C6AFC" w:rsidRDefault="006C2ABB" w:rsidP="00701842">
            <w:pPr>
              <w:jc w:val="right"/>
              <w:rPr>
                <w:rFonts w:cstheme="minorHAnsi"/>
              </w:rPr>
            </w:pPr>
            <w:r w:rsidRPr="00876E83">
              <w:rPr>
                <w:rFonts w:eastAsia="Times New Roman" w:cstheme="minorHAnsi"/>
                <w:color w:val="000000"/>
                <w:sz w:val="20"/>
                <w:szCs w:val="20"/>
              </w:rPr>
              <w:t>42.1%</w:t>
            </w:r>
          </w:p>
        </w:tc>
      </w:tr>
      <w:tr w:rsidR="006C2ABB" w:rsidRPr="00097BE0" w14:paraId="64C709E5" w14:textId="77777777" w:rsidTr="00D964DD">
        <w:trPr>
          <w:cantSplit/>
          <w:jc w:val="center"/>
        </w:trPr>
        <w:tc>
          <w:tcPr>
            <w:tcW w:w="2962" w:type="dxa"/>
            <w:shd w:val="clear" w:color="auto" w:fill="auto"/>
            <w:vAlign w:val="bottom"/>
          </w:tcPr>
          <w:p w14:paraId="6F1313E9" w14:textId="77777777" w:rsidR="006C2ABB" w:rsidRPr="00097BE0" w:rsidRDefault="006C2ABB" w:rsidP="00701842">
            <w:r w:rsidRPr="00097BE0">
              <w:t>Gender -Other/Unknown</w:t>
            </w:r>
          </w:p>
        </w:tc>
        <w:tc>
          <w:tcPr>
            <w:tcW w:w="1143" w:type="dxa"/>
            <w:shd w:val="clear" w:color="auto" w:fill="auto"/>
            <w:vAlign w:val="bottom"/>
          </w:tcPr>
          <w:p w14:paraId="08A29E84" w14:textId="754FA3AB" w:rsidR="006C2ABB" w:rsidRPr="00097BE0" w:rsidRDefault="006C2ABB" w:rsidP="00701842">
            <w:pPr>
              <w:jc w:val="right"/>
            </w:pPr>
            <w:r w:rsidRPr="00097BE0">
              <w:t>295</w:t>
            </w:r>
          </w:p>
        </w:tc>
        <w:tc>
          <w:tcPr>
            <w:tcW w:w="1143" w:type="dxa"/>
            <w:shd w:val="clear" w:color="auto" w:fill="auto"/>
            <w:vAlign w:val="bottom"/>
          </w:tcPr>
          <w:p w14:paraId="61A7F2F6" w14:textId="758EA417" w:rsidR="006C2ABB" w:rsidRPr="00097BE0" w:rsidRDefault="006C2ABB" w:rsidP="00701842">
            <w:pPr>
              <w:jc w:val="right"/>
            </w:pPr>
            <w:r w:rsidRPr="00097BE0">
              <w:t>0.0%</w:t>
            </w:r>
          </w:p>
        </w:tc>
        <w:tc>
          <w:tcPr>
            <w:tcW w:w="1143" w:type="dxa"/>
            <w:shd w:val="clear" w:color="auto" w:fill="auto"/>
            <w:vAlign w:val="bottom"/>
          </w:tcPr>
          <w:p w14:paraId="6E9E84D4" w14:textId="0B46C87E" w:rsidR="006C2ABB" w:rsidRPr="004C6AFC" w:rsidRDefault="006C2ABB" w:rsidP="00701842">
            <w:pPr>
              <w:jc w:val="right"/>
              <w:rPr>
                <w:rFonts w:cstheme="minorHAnsi"/>
              </w:rPr>
            </w:pPr>
            <w:r w:rsidRPr="00876E83">
              <w:rPr>
                <w:rFonts w:eastAsia="Times New Roman" w:cstheme="minorHAnsi"/>
                <w:color w:val="000000"/>
                <w:sz w:val="20"/>
                <w:szCs w:val="20"/>
              </w:rPr>
              <w:t>103</w:t>
            </w:r>
          </w:p>
        </w:tc>
        <w:tc>
          <w:tcPr>
            <w:tcW w:w="1143" w:type="dxa"/>
            <w:shd w:val="clear" w:color="auto" w:fill="auto"/>
            <w:vAlign w:val="bottom"/>
          </w:tcPr>
          <w:p w14:paraId="525A99AD" w14:textId="17FC8FC0" w:rsidR="006C2ABB" w:rsidRPr="004C6AFC" w:rsidRDefault="006C2ABB" w:rsidP="00701842">
            <w:pPr>
              <w:jc w:val="right"/>
              <w:rPr>
                <w:rFonts w:cstheme="minorHAnsi"/>
              </w:rPr>
            </w:pPr>
            <w:r w:rsidRPr="00876E83">
              <w:rPr>
                <w:rFonts w:eastAsia="Times New Roman" w:cstheme="minorHAnsi"/>
                <w:color w:val="000000"/>
                <w:sz w:val="20"/>
                <w:szCs w:val="20"/>
              </w:rPr>
              <w:t>0.1%</w:t>
            </w:r>
          </w:p>
        </w:tc>
      </w:tr>
      <w:tr w:rsidR="006C2ABB" w:rsidRPr="00097BE0" w14:paraId="4ACD1CA2" w14:textId="77777777" w:rsidTr="00D964DD">
        <w:trPr>
          <w:cantSplit/>
          <w:jc w:val="center"/>
        </w:trPr>
        <w:tc>
          <w:tcPr>
            <w:tcW w:w="2962" w:type="dxa"/>
            <w:shd w:val="clear" w:color="auto" w:fill="auto"/>
            <w:vAlign w:val="bottom"/>
          </w:tcPr>
          <w:p w14:paraId="42D38F0D" w14:textId="77777777" w:rsidR="006C2ABB" w:rsidRPr="00097BE0" w:rsidRDefault="006C2ABB" w:rsidP="00701842">
            <w:r w:rsidRPr="00097BE0">
              <w:t>Age - 0-17</w:t>
            </w:r>
          </w:p>
        </w:tc>
        <w:tc>
          <w:tcPr>
            <w:tcW w:w="1143" w:type="dxa"/>
            <w:shd w:val="clear" w:color="auto" w:fill="auto"/>
            <w:vAlign w:val="bottom"/>
          </w:tcPr>
          <w:p w14:paraId="17818CA9" w14:textId="35863682" w:rsidR="006C2ABB" w:rsidRPr="00097BE0" w:rsidRDefault="006C2ABB" w:rsidP="00701842">
            <w:pPr>
              <w:jc w:val="right"/>
            </w:pPr>
            <w:r w:rsidRPr="00097BE0">
              <w:t>192,945</w:t>
            </w:r>
          </w:p>
        </w:tc>
        <w:tc>
          <w:tcPr>
            <w:tcW w:w="1143" w:type="dxa"/>
            <w:shd w:val="clear" w:color="auto" w:fill="auto"/>
            <w:vAlign w:val="bottom"/>
          </w:tcPr>
          <w:p w14:paraId="5FFDE232" w14:textId="556303F7" w:rsidR="006C2ABB" w:rsidRPr="00097BE0" w:rsidRDefault="006C2ABB" w:rsidP="00701842">
            <w:pPr>
              <w:jc w:val="right"/>
            </w:pPr>
            <w:r w:rsidRPr="00097BE0">
              <w:t>10.8%</w:t>
            </w:r>
          </w:p>
        </w:tc>
        <w:tc>
          <w:tcPr>
            <w:tcW w:w="1143" w:type="dxa"/>
            <w:shd w:val="clear" w:color="auto" w:fill="auto"/>
            <w:vAlign w:val="bottom"/>
          </w:tcPr>
          <w:p w14:paraId="6C3F860A" w14:textId="78E5DD8F" w:rsidR="006C2ABB" w:rsidRPr="004C6AFC" w:rsidRDefault="006C2ABB" w:rsidP="00701842">
            <w:pPr>
              <w:jc w:val="right"/>
              <w:rPr>
                <w:rFonts w:cstheme="minorHAnsi"/>
              </w:rPr>
            </w:pPr>
            <w:r w:rsidRPr="00876E83">
              <w:rPr>
                <w:rFonts w:eastAsia="Times New Roman" w:cstheme="minorHAnsi"/>
                <w:color w:val="000000"/>
                <w:sz w:val="20"/>
                <w:szCs w:val="20"/>
              </w:rPr>
              <w:t>11,125</w:t>
            </w:r>
          </w:p>
        </w:tc>
        <w:tc>
          <w:tcPr>
            <w:tcW w:w="1143" w:type="dxa"/>
            <w:shd w:val="clear" w:color="auto" w:fill="auto"/>
            <w:vAlign w:val="bottom"/>
          </w:tcPr>
          <w:p w14:paraId="5C061AA7" w14:textId="20A4D496" w:rsidR="006C2ABB" w:rsidRPr="004C6AFC" w:rsidRDefault="006C2ABB" w:rsidP="00701842">
            <w:pPr>
              <w:jc w:val="right"/>
              <w:rPr>
                <w:rFonts w:cstheme="minorHAnsi"/>
              </w:rPr>
            </w:pPr>
            <w:r w:rsidRPr="00876E83">
              <w:rPr>
                <w:rFonts w:eastAsia="Times New Roman" w:cstheme="minorHAnsi"/>
                <w:color w:val="000000"/>
                <w:sz w:val="20"/>
                <w:szCs w:val="20"/>
              </w:rPr>
              <w:t>10.2%</w:t>
            </w:r>
          </w:p>
        </w:tc>
      </w:tr>
      <w:tr w:rsidR="006C2ABB" w:rsidRPr="00097BE0" w14:paraId="1409AD20" w14:textId="77777777" w:rsidTr="00D964DD">
        <w:trPr>
          <w:cantSplit/>
          <w:jc w:val="center"/>
        </w:trPr>
        <w:tc>
          <w:tcPr>
            <w:tcW w:w="2962" w:type="dxa"/>
            <w:shd w:val="clear" w:color="auto" w:fill="auto"/>
            <w:vAlign w:val="bottom"/>
          </w:tcPr>
          <w:p w14:paraId="39D0487F" w14:textId="77777777" w:rsidR="006C2ABB" w:rsidRPr="00097BE0" w:rsidRDefault="006C2ABB" w:rsidP="00701842">
            <w:r w:rsidRPr="00097BE0">
              <w:t>Age - 18-64</w:t>
            </w:r>
          </w:p>
        </w:tc>
        <w:tc>
          <w:tcPr>
            <w:tcW w:w="1143" w:type="dxa"/>
            <w:shd w:val="clear" w:color="auto" w:fill="auto"/>
            <w:vAlign w:val="bottom"/>
          </w:tcPr>
          <w:p w14:paraId="6704103E" w14:textId="2571A9F7" w:rsidR="006C2ABB" w:rsidRPr="00097BE0" w:rsidRDefault="006C2ABB" w:rsidP="00701842">
            <w:pPr>
              <w:jc w:val="right"/>
            </w:pPr>
            <w:r w:rsidRPr="00097BE0">
              <w:t>1,087,412</w:t>
            </w:r>
          </w:p>
        </w:tc>
        <w:tc>
          <w:tcPr>
            <w:tcW w:w="1143" w:type="dxa"/>
            <w:shd w:val="clear" w:color="auto" w:fill="auto"/>
            <w:vAlign w:val="bottom"/>
          </w:tcPr>
          <w:p w14:paraId="21F00C91" w14:textId="46FEF44F" w:rsidR="006C2ABB" w:rsidRPr="00097BE0" w:rsidRDefault="006C2ABB" w:rsidP="00701842">
            <w:pPr>
              <w:jc w:val="right"/>
            </w:pPr>
            <w:r w:rsidRPr="00097BE0">
              <w:t>60.7%</w:t>
            </w:r>
          </w:p>
        </w:tc>
        <w:tc>
          <w:tcPr>
            <w:tcW w:w="1143" w:type="dxa"/>
            <w:shd w:val="clear" w:color="auto" w:fill="auto"/>
            <w:vAlign w:val="bottom"/>
          </w:tcPr>
          <w:p w14:paraId="40C883C2" w14:textId="14923BAE" w:rsidR="006C2ABB" w:rsidRPr="004C6AFC" w:rsidRDefault="006C2ABB" w:rsidP="00701842">
            <w:pPr>
              <w:jc w:val="right"/>
              <w:rPr>
                <w:rFonts w:cstheme="minorHAnsi"/>
              </w:rPr>
            </w:pPr>
            <w:r w:rsidRPr="00876E83">
              <w:rPr>
                <w:rFonts w:eastAsia="Times New Roman" w:cstheme="minorHAnsi"/>
                <w:color w:val="000000"/>
                <w:sz w:val="20"/>
                <w:szCs w:val="20"/>
              </w:rPr>
              <w:t>65,977</w:t>
            </w:r>
          </w:p>
        </w:tc>
        <w:tc>
          <w:tcPr>
            <w:tcW w:w="1143" w:type="dxa"/>
            <w:shd w:val="clear" w:color="auto" w:fill="auto"/>
            <w:vAlign w:val="bottom"/>
          </w:tcPr>
          <w:p w14:paraId="677386E9" w14:textId="2D67CAD6" w:rsidR="006C2ABB" w:rsidRPr="004C6AFC" w:rsidRDefault="006C2ABB" w:rsidP="00701842">
            <w:pPr>
              <w:jc w:val="right"/>
              <w:rPr>
                <w:rFonts w:cstheme="minorHAnsi"/>
              </w:rPr>
            </w:pPr>
            <w:r w:rsidRPr="00876E83">
              <w:rPr>
                <w:rFonts w:eastAsia="Times New Roman" w:cstheme="minorHAnsi"/>
                <w:color w:val="000000"/>
                <w:sz w:val="20"/>
                <w:szCs w:val="20"/>
              </w:rPr>
              <w:t>60.7%</w:t>
            </w:r>
          </w:p>
        </w:tc>
      </w:tr>
      <w:tr w:rsidR="006C2ABB" w:rsidRPr="00097BE0" w14:paraId="5607C1D1" w14:textId="77777777" w:rsidTr="00D964DD">
        <w:trPr>
          <w:cantSplit/>
          <w:jc w:val="center"/>
        </w:trPr>
        <w:tc>
          <w:tcPr>
            <w:tcW w:w="2962" w:type="dxa"/>
            <w:shd w:val="clear" w:color="auto" w:fill="auto"/>
            <w:vAlign w:val="bottom"/>
          </w:tcPr>
          <w:p w14:paraId="52436344" w14:textId="77777777" w:rsidR="006C2ABB" w:rsidRPr="00097BE0" w:rsidRDefault="006C2ABB" w:rsidP="00701842">
            <w:r w:rsidRPr="00097BE0">
              <w:t>Age - 65+</w:t>
            </w:r>
          </w:p>
        </w:tc>
        <w:tc>
          <w:tcPr>
            <w:tcW w:w="1143" w:type="dxa"/>
            <w:shd w:val="clear" w:color="auto" w:fill="auto"/>
            <w:vAlign w:val="bottom"/>
          </w:tcPr>
          <w:p w14:paraId="67DEAD93" w14:textId="4908389C" w:rsidR="006C2ABB" w:rsidRPr="00097BE0" w:rsidRDefault="006C2ABB" w:rsidP="00701842">
            <w:pPr>
              <w:jc w:val="right"/>
            </w:pPr>
            <w:r w:rsidRPr="00097BE0">
              <w:t>511,899</w:t>
            </w:r>
          </w:p>
        </w:tc>
        <w:tc>
          <w:tcPr>
            <w:tcW w:w="1143" w:type="dxa"/>
            <w:shd w:val="clear" w:color="auto" w:fill="auto"/>
            <w:vAlign w:val="bottom"/>
          </w:tcPr>
          <w:p w14:paraId="64B5DAE8" w14:textId="23EC6864" w:rsidR="006C2ABB" w:rsidRPr="00097BE0" w:rsidRDefault="006C2ABB" w:rsidP="00701842">
            <w:pPr>
              <w:jc w:val="right"/>
            </w:pPr>
            <w:r w:rsidRPr="00097BE0">
              <w:t>28.6%</w:t>
            </w:r>
          </w:p>
        </w:tc>
        <w:tc>
          <w:tcPr>
            <w:tcW w:w="1143" w:type="dxa"/>
            <w:shd w:val="clear" w:color="auto" w:fill="auto"/>
            <w:vAlign w:val="bottom"/>
          </w:tcPr>
          <w:p w14:paraId="131C4F3A" w14:textId="5B708D90" w:rsidR="006C2ABB" w:rsidRPr="004C6AFC" w:rsidRDefault="006C2ABB" w:rsidP="00701842">
            <w:pPr>
              <w:jc w:val="right"/>
              <w:rPr>
                <w:rFonts w:cstheme="minorHAnsi"/>
              </w:rPr>
            </w:pPr>
            <w:r w:rsidRPr="00876E83">
              <w:rPr>
                <w:rFonts w:eastAsia="Times New Roman" w:cstheme="minorHAnsi"/>
                <w:color w:val="000000"/>
                <w:sz w:val="20"/>
                <w:szCs w:val="20"/>
              </w:rPr>
              <w:t>31,676</w:t>
            </w:r>
          </w:p>
        </w:tc>
        <w:tc>
          <w:tcPr>
            <w:tcW w:w="1143" w:type="dxa"/>
            <w:shd w:val="clear" w:color="auto" w:fill="auto"/>
            <w:vAlign w:val="bottom"/>
          </w:tcPr>
          <w:p w14:paraId="40181DEA" w14:textId="204CB1F1" w:rsidR="006C2ABB" w:rsidRPr="004C6AFC" w:rsidRDefault="006C2ABB" w:rsidP="00701842">
            <w:pPr>
              <w:jc w:val="right"/>
              <w:rPr>
                <w:rFonts w:cstheme="minorHAnsi"/>
              </w:rPr>
            </w:pPr>
            <w:r w:rsidRPr="00876E83">
              <w:rPr>
                <w:rFonts w:eastAsia="Times New Roman" w:cstheme="minorHAnsi"/>
                <w:color w:val="000000"/>
                <w:sz w:val="20"/>
                <w:szCs w:val="20"/>
              </w:rPr>
              <w:t>29.1%</w:t>
            </w:r>
          </w:p>
        </w:tc>
      </w:tr>
      <w:tr w:rsidR="006C2ABB" w:rsidRPr="00097BE0" w14:paraId="3FAC9864" w14:textId="77777777" w:rsidTr="00D964DD">
        <w:trPr>
          <w:cantSplit/>
          <w:jc w:val="center"/>
        </w:trPr>
        <w:tc>
          <w:tcPr>
            <w:tcW w:w="2962" w:type="dxa"/>
            <w:shd w:val="clear" w:color="auto" w:fill="auto"/>
            <w:vAlign w:val="bottom"/>
          </w:tcPr>
          <w:p w14:paraId="02A36278" w14:textId="77777777" w:rsidR="006C2ABB" w:rsidRPr="00097BE0" w:rsidRDefault="006C2ABB" w:rsidP="00701842">
            <w:r w:rsidRPr="00097BE0">
              <w:t>Age - Unknown</w:t>
            </w:r>
          </w:p>
        </w:tc>
        <w:tc>
          <w:tcPr>
            <w:tcW w:w="1143" w:type="dxa"/>
            <w:shd w:val="clear" w:color="auto" w:fill="auto"/>
            <w:vAlign w:val="bottom"/>
          </w:tcPr>
          <w:p w14:paraId="0D31E5E3" w14:textId="07F3C5CD" w:rsidR="006C2ABB" w:rsidRPr="00097BE0" w:rsidRDefault="006C2ABB" w:rsidP="00701842">
            <w:pPr>
              <w:jc w:val="right"/>
            </w:pPr>
            <w:r w:rsidRPr="00097BE0">
              <w:t>32</w:t>
            </w:r>
          </w:p>
        </w:tc>
        <w:tc>
          <w:tcPr>
            <w:tcW w:w="1143" w:type="dxa"/>
            <w:shd w:val="clear" w:color="auto" w:fill="auto"/>
            <w:vAlign w:val="bottom"/>
          </w:tcPr>
          <w:p w14:paraId="4E4CE737" w14:textId="66D61D48" w:rsidR="006C2ABB" w:rsidRPr="00097BE0" w:rsidRDefault="006C2ABB" w:rsidP="00701842">
            <w:pPr>
              <w:jc w:val="right"/>
            </w:pPr>
            <w:r w:rsidRPr="00097BE0">
              <w:t>0.0%</w:t>
            </w:r>
          </w:p>
        </w:tc>
        <w:tc>
          <w:tcPr>
            <w:tcW w:w="1143" w:type="dxa"/>
            <w:shd w:val="clear" w:color="auto" w:fill="auto"/>
            <w:vAlign w:val="bottom"/>
          </w:tcPr>
          <w:p w14:paraId="5CF68E80" w14:textId="6EC14C85" w:rsidR="006C2ABB" w:rsidRPr="00C22CAA" w:rsidRDefault="001A0A20" w:rsidP="00701842">
            <w:pPr>
              <w:jc w:val="right"/>
              <w:rPr>
                <w:rFonts w:cstheme="minorHAnsi"/>
              </w:rPr>
            </w:pPr>
            <w:r w:rsidRPr="004C6AFC">
              <w:rPr>
                <w:rFonts w:cstheme="minorHAnsi"/>
              </w:rPr>
              <w:t>-</w:t>
            </w:r>
          </w:p>
        </w:tc>
        <w:tc>
          <w:tcPr>
            <w:tcW w:w="1143" w:type="dxa"/>
            <w:shd w:val="clear" w:color="auto" w:fill="auto"/>
            <w:vAlign w:val="bottom"/>
          </w:tcPr>
          <w:p w14:paraId="79C5B2B7" w14:textId="08A17F22" w:rsidR="006C2ABB" w:rsidRPr="00F44501" w:rsidRDefault="001A0A20" w:rsidP="00701842">
            <w:pPr>
              <w:jc w:val="right"/>
              <w:rPr>
                <w:rFonts w:cstheme="minorHAnsi"/>
              </w:rPr>
            </w:pPr>
            <w:r w:rsidRPr="00C22CAA">
              <w:rPr>
                <w:rFonts w:cstheme="minorHAnsi"/>
              </w:rPr>
              <w:t>-</w:t>
            </w:r>
          </w:p>
        </w:tc>
      </w:tr>
      <w:tr w:rsidR="006C2ABB" w:rsidRPr="00097BE0" w14:paraId="0A38B94A" w14:textId="77777777" w:rsidTr="00D964DD">
        <w:trPr>
          <w:cantSplit/>
          <w:trHeight w:val="386"/>
          <w:jc w:val="center"/>
        </w:trPr>
        <w:tc>
          <w:tcPr>
            <w:tcW w:w="2962" w:type="dxa"/>
            <w:shd w:val="clear" w:color="auto" w:fill="auto"/>
            <w:vAlign w:val="bottom"/>
          </w:tcPr>
          <w:p w14:paraId="5B5F08C5" w14:textId="77777777" w:rsidR="006C2ABB" w:rsidRPr="00097BE0" w:rsidRDefault="006C2ABB" w:rsidP="00701842">
            <w:pPr>
              <w:rPr>
                <w:b/>
                <w:bCs/>
              </w:rPr>
            </w:pPr>
            <w:r w:rsidRPr="00097BE0">
              <w:t>Race - American Indian or Alaska Native</w:t>
            </w:r>
          </w:p>
        </w:tc>
        <w:tc>
          <w:tcPr>
            <w:tcW w:w="1143" w:type="dxa"/>
            <w:shd w:val="clear" w:color="auto" w:fill="auto"/>
            <w:vAlign w:val="bottom"/>
          </w:tcPr>
          <w:p w14:paraId="30ACDB9D" w14:textId="2DF7FFF2" w:rsidR="006C2ABB" w:rsidRPr="00097BE0" w:rsidRDefault="006C2ABB" w:rsidP="00701842">
            <w:pPr>
              <w:jc w:val="right"/>
            </w:pPr>
            <w:r w:rsidRPr="00097BE0">
              <w:t>3,503</w:t>
            </w:r>
          </w:p>
        </w:tc>
        <w:tc>
          <w:tcPr>
            <w:tcW w:w="1143" w:type="dxa"/>
            <w:shd w:val="clear" w:color="auto" w:fill="auto"/>
            <w:vAlign w:val="bottom"/>
          </w:tcPr>
          <w:p w14:paraId="7271DBCA" w14:textId="6A7DF8ED" w:rsidR="006C2ABB" w:rsidRPr="00097BE0" w:rsidRDefault="006C2ABB" w:rsidP="00701842">
            <w:pPr>
              <w:jc w:val="right"/>
            </w:pPr>
            <w:r w:rsidRPr="00097BE0">
              <w:t>0.2%</w:t>
            </w:r>
          </w:p>
        </w:tc>
        <w:tc>
          <w:tcPr>
            <w:tcW w:w="1143" w:type="dxa"/>
            <w:shd w:val="clear" w:color="auto" w:fill="auto"/>
            <w:vAlign w:val="bottom"/>
          </w:tcPr>
          <w:p w14:paraId="589D9C97" w14:textId="1E22C2C7" w:rsidR="006C2ABB" w:rsidRPr="004C6AFC" w:rsidRDefault="006C2ABB" w:rsidP="00701842">
            <w:pPr>
              <w:jc w:val="right"/>
              <w:rPr>
                <w:rFonts w:cstheme="minorHAnsi"/>
              </w:rPr>
            </w:pPr>
            <w:r w:rsidRPr="00876E83">
              <w:rPr>
                <w:rFonts w:eastAsia="Times New Roman" w:cstheme="minorHAnsi"/>
                <w:color w:val="000000"/>
                <w:sz w:val="20"/>
                <w:szCs w:val="20"/>
              </w:rPr>
              <w:t>244</w:t>
            </w:r>
          </w:p>
        </w:tc>
        <w:tc>
          <w:tcPr>
            <w:tcW w:w="1143" w:type="dxa"/>
            <w:shd w:val="clear" w:color="auto" w:fill="auto"/>
            <w:vAlign w:val="bottom"/>
          </w:tcPr>
          <w:p w14:paraId="318D4232" w14:textId="3758E2B5" w:rsidR="006C2ABB" w:rsidRPr="004C6AFC" w:rsidRDefault="006C2ABB" w:rsidP="00701842">
            <w:pPr>
              <w:jc w:val="right"/>
              <w:rPr>
                <w:rFonts w:cstheme="minorHAnsi"/>
              </w:rPr>
            </w:pPr>
            <w:r w:rsidRPr="00876E83">
              <w:rPr>
                <w:rFonts w:eastAsia="Times New Roman" w:cstheme="minorHAnsi"/>
                <w:color w:val="000000"/>
                <w:sz w:val="20"/>
                <w:szCs w:val="20"/>
              </w:rPr>
              <w:t>0.2%</w:t>
            </w:r>
          </w:p>
        </w:tc>
      </w:tr>
      <w:tr w:rsidR="006C2ABB" w:rsidRPr="00097BE0" w14:paraId="7AE67E6A" w14:textId="77777777" w:rsidTr="00D964DD">
        <w:trPr>
          <w:cantSplit/>
          <w:jc w:val="center"/>
        </w:trPr>
        <w:tc>
          <w:tcPr>
            <w:tcW w:w="2962" w:type="dxa"/>
            <w:shd w:val="clear" w:color="auto" w:fill="auto"/>
            <w:vAlign w:val="bottom"/>
          </w:tcPr>
          <w:p w14:paraId="3D2907AD" w14:textId="77777777" w:rsidR="006C2ABB" w:rsidRPr="00097BE0" w:rsidRDefault="006C2ABB" w:rsidP="00701842">
            <w:r w:rsidRPr="00097BE0">
              <w:t>Race - Asian</w:t>
            </w:r>
          </w:p>
        </w:tc>
        <w:tc>
          <w:tcPr>
            <w:tcW w:w="1143" w:type="dxa"/>
            <w:shd w:val="clear" w:color="auto" w:fill="auto"/>
            <w:vAlign w:val="bottom"/>
          </w:tcPr>
          <w:p w14:paraId="35CB6934" w14:textId="36971A4B" w:rsidR="006C2ABB" w:rsidRPr="00097BE0" w:rsidRDefault="006C2ABB" w:rsidP="00701842">
            <w:pPr>
              <w:jc w:val="right"/>
            </w:pPr>
            <w:r w:rsidRPr="00097BE0">
              <w:t>88,137</w:t>
            </w:r>
          </w:p>
        </w:tc>
        <w:tc>
          <w:tcPr>
            <w:tcW w:w="1143" w:type="dxa"/>
            <w:shd w:val="clear" w:color="auto" w:fill="auto"/>
            <w:vAlign w:val="bottom"/>
          </w:tcPr>
          <w:p w14:paraId="578FB460" w14:textId="51A3E66C" w:rsidR="006C2ABB" w:rsidRPr="00097BE0" w:rsidRDefault="006C2ABB" w:rsidP="00701842">
            <w:pPr>
              <w:jc w:val="right"/>
            </w:pPr>
            <w:r w:rsidRPr="00097BE0">
              <w:t>4.9%</w:t>
            </w:r>
          </w:p>
        </w:tc>
        <w:tc>
          <w:tcPr>
            <w:tcW w:w="1143" w:type="dxa"/>
            <w:shd w:val="clear" w:color="auto" w:fill="auto"/>
            <w:vAlign w:val="bottom"/>
          </w:tcPr>
          <w:p w14:paraId="62F92681" w14:textId="5DD88C75" w:rsidR="006C2ABB" w:rsidRPr="004C6AFC" w:rsidRDefault="006C2ABB" w:rsidP="00701842">
            <w:pPr>
              <w:jc w:val="right"/>
              <w:rPr>
                <w:rFonts w:cstheme="minorHAnsi"/>
              </w:rPr>
            </w:pPr>
            <w:r w:rsidRPr="00876E83">
              <w:rPr>
                <w:rFonts w:eastAsia="Times New Roman" w:cstheme="minorHAnsi"/>
                <w:color w:val="000000"/>
                <w:sz w:val="20"/>
                <w:szCs w:val="20"/>
              </w:rPr>
              <w:t>2,848</w:t>
            </w:r>
          </w:p>
        </w:tc>
        <w:tc>
          <w:tcPr>
            <w:tcW w:w="1143" w:type="dxa"/>
            <w:shd w:val="clear" w:color="auto" w:fill="auto"/>
            <w:vAlign w:val="bottom"/>
          </w:tcPr>
          <w:p w14:paraId="0B47077F" w14:textId="189607A7" w:rsidR="006C2ABB" w:rsidRPr="004C6AFC" w:rsidRDefault="006C2ABB" w:rsidP="00701842">
            <w:pPr>
              <w:jc w:val="right"/>
              <w:rPr>
                <w:rFonts w:cstheme="minorHAnsi"/>
              </w:rPr>
            </w:pPr>
            <w:r w:rsidRPr="00876E83">
              <w:rPr>
                <w:rFonts w:eastAsia="Times New Roman" w:cstheme="minorHAnsi"/>
                <w:color w:val="000000"/>
                <w:sz w:val="20"/>
                <w:szCs w:val="20"/>
              </w:rPr>
              <w:t>2.6%</w:t>
            </w:r>
          </w:p>
        </w:tc>
      </w:tr>
      <w:tr w:rsidR="006C2ABB" w:rsidRPr="00097BE0" w14:paraId="06AC04A1" w14:textId="77777777" w:rsidTr="00D964DD">
        <w:trPr>
          <w:cantSplit/>
          <w:jc w:val="center"/>
        </w:trPr>
        <w:tc>
          <w:tcPr>
            <w:tcW w:w="2962" w:type="dxa"/>
            <w:shd w:val="clear" w:color="auto" w:fill="auto"/>
            <w:vAlign w:val="bottom"/>
          </w:tcPr>
          <w:p w14:paraId="778CA0D7" w14:textId="77777777" w:rsidR="006C2ABB" w:rsidRPr="00097BE0" w:rsidRDefault="006C2ABB" w:rsidP="00701842">
            <w:r w:rsidRPr="00097BE0">
              <w:t>Race - Black or African American</w:t>
            </w:r>
          </w:p>
        </w:tc>
        <w:tc>
          <w:tcPr>
            <w:tcW w:w="1143" w:type="dxa"/>
            <w:shd w:val="clear" w:color="auto" w:fill="auto"/>
            <w:vAlign w:val="bottom"/>
          </w:tcPr>
          <w:p w14:paraId="22CA1CDC" w14:textId="57913CD8" w:rsidR="006C2ABB" w:rsidRPr="00097BE0" w:rsidRDefault="006C2ABB" w:rsidP="00701842">
            <w:pPr>
              <w:jc w:val="right"/>
            </w:pPr>
            <w:r w:rsidRPr="00097BE0">
              <w:t>99,490</w:t>
            </w:r>
          </w:p>
        </w:tc>
        <w:tc>
          <w:tcPr>
            <w:tcW w:w="1143" w:type="dxa"/>
            <w:shd w:val="clear" w:color="auto" w:fill="auto"/>
            <w:vAlign w:val="bottom"/>
          </w:tcPr>
          <w:p w14:paraId="3EC1FA77" w14:textId="7B9FE0D8" w:rsidR="006C2ABB" w:rsidRPr="00097BE0" w:rsidRDefault="006C2ABB" w:rsidP="00701842">
            <w:pPr>
              <w:jc w:val="right"/>
            </w:pPr>
            <w:r w:rsidRPr="00097BE0">
              <w:t>5.6%</w:t>
            </w:r>
          </w:p>
        </w:tc>
        <w:tc>
          <w:tcPr>
            <w:tcW w:w="1143" w:type="dxa"/>
            <w:shd w:val="clear" w:color="auto" w:fill="auto"/>
            <w:vAlign w:val="bottom"/>
          </w:tcPr>
          <w:p w14:paraId="2F096A75" w14:textId="79D80A39" w:rsidR="006C2ABB" w:rsidRPr="004C6AFC" w:rsidRDefault="006C2ABB" w:rsidP="00701842">
            <w:pPr>
              <w:jc w:val="right"/>
              <w:rPr>
                <w:rFonts w:cstheme="minorHAnsi"/>
              </w:rPr>
            </w:pPr>
            <w:r w:rsidRPr="00876E83">
              <w:rPr>
                <w:rFonts w:eastAsia="Times New Roman" w:cstheme="minorHAnsi"/>
                <w:color w:val="000000"/>
                <w:sz w:val="20"/>
                <w:szCs w:val="20"/>
              </w:rPr>
              <w:t>2,801</w:t>
            </w:r>
          </w:p>
        </w:tc>
        <w:tc>
          <w:tcPr>
            <w:tcW w:w="1143" w:type="dxa"/>
            <w:shd w:val="clear" w:color="auto" w:fill="auto"/>
            <w:vAlign w:val="bottom"/>
          </w:tcPr>
          <w:p w14:paraId="1745E851" w14:textId="5DD79167" w:rsidR="006C2ABB" w:rsidRPr="004C6AFC" w:rsidRDefault="006C2ABB" w:rsidP="00701842">
            <w:pPr>
              <w:jc w:val="right"/>
              <w:rPr>
                <w:rFonts w:cstheme="minorHAnsi"/>
              </w:rPr>
            </w:pPr>
            <w:r w:rsidRPr="00876E83">
              <w:rPr>
                <w:rFonts w:eastAsia="Times New Roman" w:cstheme="minorHAnsi"/>
                <w:color w:val="000000"/>
                <w:sz w:val="20"/>
                <w:szCs w:val="20"/>
              </w:rPr>
              <w:t>2.6%</w:t>
            </w:r>
          </w:p>
        </w:tc>
      </w:tr>
      <w:tr w:rsidR="006C2ABB" w:rsidRPr="00097BE0" w14:paraId="61AC016F" w14:textId="77777777" w:rsidTr="00D964DD">
        <w:trPr>
          <w:cantSplit/>
          <w:jc w:val="center"/>
        </w:trPr>
        <w:tc>
          <w:tcPr>
            <w:tcW w:w="2962" w:type="dxa"/>
            <w:shd w:val="clear" w:color="auto" w:fill="auto"/>
            <w:vAlign w:val="bottom"/>
          </w:tcPr>
          <w:p w14:paraId="103A4844" w14:textId="77777777" w:rsidR="006C2ABB" w:rsidRPr="00097BE0" w:rsidRDefault="006C2ABB" w:rsidP="00701842">
            <w:r w:rsidRPr="00097BE0">
              <w:t>Race - Hispanic/Latino</w:t>
            </w:r>
          </w:p>
        </w:tc>
        <w:tc>
          <w:tcPr>
            <w:tcW w:w="1143" w:type="dxa"/>
            <w:shd w:val="clear" w:color="auto" w:fill="auto"/>
            <w:vAlign w:val="bottom"/>
          </w:tcPr>
          <w:p w14:paraId="03E08ECB" w14:textId="700D3227" w:rsidR="006C2ABB" w:rsidRPr="00097BE0" w:rsidRDefault="006C2ABB" w:rsidP="00701842">
            <w:pPr>
              <w:jc w:val="right"/>
            </w:pPr>
            <w:r w:rsidRPr="00097BE0">
              <w:t>192</w:t>
            </w:r>
          </w:p>
        </w:tc>
        <w:tc>
          <w:tcPr>
            <w:tcW w:w="1143" w:type="dxa"/>
            <w:shd w:val="clear" w:color="auto" w:fill="auto"/>
            <w:vAlign w:val="bottom"/>
          </w:tcPr>
          <w:p w14:paraId="58D2BF7C" w14:textId="6C8000A1" w:rsidR="006C2ABB" w:rsidRPr="00097BE0" w:rsidRDefault="006C2ABB" w:rsidP="00701842">
            <w:pPr>
              <w:jc w:val="right"/>
            </w:pPr>
            <w:r w:rsidRPr="00097BE0">
              <w:t>0.0%</w:t>
            </w:r>
          </w:p>
        </w:tc>
        <w:tc>
          <w:tcPr>
            <w:tcW w:w="1143" w:type="dxa"/>
            <w:shd w:val="clear" w:color="auto" w:fill="auto"/>
            <w:vAlign w:val="bottom"/>
          </w:tcPr>
          <w:p w14:paraId="1F85BA2D" w14:textId="2973EF3B" w:rsidR="006C2ABB" w:rsidRPr="00C22CAA" w:rsidRDefault="00F2020A" w:rsidP="00701842">
            <w:pPr>
              <w:jc w:val="right"/>
              <w:rPr>
                <w:rFonts w:cstheme="minorHAnsi"/>
              </w:rPr>
            </w:pPr>
            <w:r w:rsidRPr="004C6AFC">
              <w:rPr>
                <w:rFonts w:cstheme="minorHAnsi"/>
              </w:rPr>
              <w:t>0</w:t>
            </w:r>
          </w:p>
        </w:tc>
        <w:tc>
          <w:tcPr>
            <w:tcW w:w="1143" w:type="dxa"/>
            <w:shd w:val="clear" w:color="auto" w:fill="auto"/>
            <w:vAlign w:val="bottom"/>
          </w:tcPr>
          <w:p w14:paraId="68440C37" w14:textId="2B500A57" w:rsidR="006C2ABB" w:rsidRPr="004C6AFC" w:rsidRDefault="006C2ABB" w:rsidP="00701842">
            <w:pPr>
              <w:jc w:val="right"/>
              <w:rPr>
                <w:rFonts w:cstheme="minorHAnsi"/>
              </w:rPr>
            </w:pPr>
            <w:r w:rsidRPr="00876E83">
              <w:rPr>
                <w:rFonts w:eastAsia="Times New Roman" w:cstheme="minorHAnsi"/>
                <w:color w:val="000000"/>
                <w:sz w:val="20"/>
                <w:szCs w:val="20"/>
              </w:rPr>
              <w:t>0.0%</w:t>
            </w:r>
          </w:p>
        </w:tc>
      </w:tr>
      <w:tr w:rsidR="006C2ABB" w:rsidRPr="00097BE0" w14:paraId="700CFBB9" w14:textId="77777777" w:rsidTr="00D964DD">
        <w:trPr>
          <w:cantSplit/>
          <w:jc w:val="center"/>
        </w:trPr>
        <w:tc>
          <w:tcPr>
            <w:tcW w:w="2962" w:type="dxa"/>
            <w:shd w:val="clear" w:color="auto" w:fill="auto"/>
            <w:vAlign w:val="bottom"/>
          </w:tcPr>
          <w:p w14:paraId="1EBFE5D4" w14:textId="77777777" w:rsidR="006C2ABB" w:rsidRPr="00097BE0" w:rsidRDefault="006C2ABB" w:rsidP="00701842">
            <w:r w:rsidRPr="00097BE0">
              <w:t>Race - Native Hawaiian or Other Pacific Islander</w:t>
            </w:r>
          </w:p>
        </w:tc>
        <w:tc>
          <w:tcPr>
            <w:tcW w:w="1143" w:type="dxa"/>
            <w:shd w:val="clear" w:color="auto" w:fill="auto"/>
            <w:vAlign w:val="bottom"/>
          </w:tcPr>
          <w:p w14:paraId="794596A5" w14:textId="406FA91C" w:rsidR="006C2ABB" w:rsidRPr="00097BE0" w:rsidRDefault="006C2ABB" w:rsidP="00701842">
            <w:pPr>
              <w:jc w:val="right"/>
            </w:pPr>
            <w:r w:rsidRPr="00097BE0">
              <w:t>1,344</w:t>
            </w:r>
          </w:p>
        </w:tc>
        <w:tc>
          <w:tcPr>
            <w:tcW w:w="1143" w:type="dxa"/>
            <w:shd w:val="clear" w:color="auto" w:fill="auto"/>
            <w:vAlign w:val="bottom"/>
          </w:tcPr>
          <w:p w14:paraId="7DB1397D" w14:textId="296B68EA" w:rsidR="006C2ABB" w:rsidRPr="00097BE0" w:rsidRDefault="006C2ABB" w:rsidP="00701842">
            <w:pPr>
              <w:jc w:val="right"/>
            </w:pPr>
            <w:r w:rsidRPr="00097BE0">
              <w:t>0.1%</w:t>
            </w:r>
          </w:p>
        </w:tc>
        <w:tc>
          <w:tcPr>
            <w:tcW w:w="1143" w:type="dxa"/>
            <w:shd w:val="clear" w:color="auto" w:fill="auto"/>
            <w:vAlign w:val="bottom"/>
          </w:tcPr>
          <w:p w14:paraId="2249A84C" w14:textId="76985658" w:rsidR="006C2ABB" w:rsidRPr="00C22CAA" w:rsidRDefault="006A229F" w:rsidP="00701842">
            <w:pPr>
              <w:jc w:val="right"/>
              <w:rPr>
                <w:rFonts w:cstheme="minorHAnsi"/>
              </w:rPr>
            </w:pPr>
            <w:r w:rsidRPr="004C6AFC">
              <w:rPr>
                <w:rFonts w:cstheme="minorHAnsi"/>
              </w:rPr>
              <w:t>51</w:t>
            </w:r>
          </w:p>
        </w:tc>
        <w:tc>
          <w:tcPr>
            <w:tcW w:w="1143" w:type="dxa"/>
            <w:shd w:val="clear" w:color="auto" w:fill="auto"/>
            <w:vAlign w:val="bottom"/>
          </w:tcPr>
          <w:p w14:paraId="7ECA3D6D" w14:textId="7ABB390F" w:rsidR="006C2ABB" w:rsidRPr="00F44501" w:rsidRDefault="006A229F" w:rsidP="00701842">
            <w:pPr>
              <w:jc w:val="right"/>
              <w:rPr>
                <w:rFonts w:cstheme="minorHAnsi"/>
              </w:rPr>
            </w:pPr>
            <w:r w:rsidRPr="00C22CAA">
              <w:rPr>
                <w:rFonts w:cstheme="minorHAnsi"/>
              </w:rPr>
              <w:t>0.0%</w:t>
            </w:r>
          </w:p>
        </w:tc>
      </w:tr>
      <w:tr w:rsidR="00F2020A" w:rsidRPr="00097BE0" w14:paraId="22447431" w14:textId="77777777" w:rsidTr="00D964DD">
        <w:trPr>
          <w:cantSplit/>
          <w:jc w:val="center"/>
        </w:trPr>
        <w:tc>
          <w:tcPr>
            <w:tcW w:w="2962" w:type="dxa"/>
            <w:shd w:val="clear" w:color="auto" w:fill="auto"/>
            <w:vAlign w:val="bottom"/>
          </w:tcPr>
          <w:p w14:paraId="3D21E590" w14:textId="77777777" w:rsidR="00F2020A" w:rsidRPr="00097BE0" w:rsidRDefault="00F2020A" w:rsidP="00F2020A">
            <w:r w:rsidRPr="00097BE0">
              <w:t>Race - Other/Unknown</w:t>
            </w:r>
          </w:p>
        </w:tc>
        <w:tc>
          <w:tcPr>
            <w:tcW w:w="1143" w:type="dxa"/>
            <w:shd w:val="clear" w:color="auto" w:fill="auto"/>
            <w:vAlign w:val="bottom"/>
          </w:tcPr>
          <w:p w14:paraId="39FE44E7" w14:textId="135555D9" w:rsidR="00F2020A" w:rsidRPr="00097BE0" w:rsidRDefault="00F2020A" w:rsidP="00F2020A">
            <w:pPr>
              <w:jc w:val="right"/>
            </w:pPr>
            <w:r w:rsidRPr="00097BE0">
              <w:t>276,741</w:t>
            </w:r>
          </w:p>
        </w:tc>
        <w:tc>
          <w:tcPr>
            <w:tcW w:w="1143" w:type="dxa"/>
            <w:shd w:val="clear" w:color="auto" w:fill="auto"/>
            <w:vAlign w:val="bottom"/>
          </w:tcPr>
          <w:p w14:paraId="6AA629BB" w14:textId="01C71C80" w:rsidR="00F2020A" w:rsidRPr="00097BE0" w:rsidRDefault="00F2020A" w:rsidP="00F2020A">
            <w:pPr>
              <w:jc w:val="right"/>
            </w:pPr>
            <w:r w:rsidRPr="00097BE0">
              <w:t>15.4%</w:t>
            </w:r>
          </w:p>
        </w:tc>
        <w:tc>
          <w:tcPr>
            <w:tcW w:w="1143" w:type="dxa"/>
            <w:shd w:val="clear" w:color="auto" w:fill="auto"/>
            <w:vAlign w:val="bottom"/>
          </w:tcPr>
          <w:p w14:paraId="3049B8F1" w14:textId="6AF84639" w:rsidR="00F2020A" w:rsidRPr="004C6AFC" w:rsidRDefault="00F2020A" w:rsidP="00F2020A">
            <w:pPr>
              <w:jc w:val="right"/>
              <w:rPr>
                <w:rFonts w:cstheme="minorHAnsi"/>
              </w:rPr>
            </w:pPr>
            <w:r w:rsidRPr="00876E83">
              <w:rPr>
                <w:rFonts w:eastAsia="Times New Roman" w:cstheme="minorHAnsi"/>
                <w:color w:val="000000"/>
                <w:sz w:val="20"/>
                <w:szCs w:val="20"/>
              </w:rPr>
              <w:t xml:space="preserve">19,226 </w:t>
            </w:r>
          </w:p>
        </w:tc>
        <w:tc>
          <w:tcPr>
            <w:tcW w:w="1143" w:type="dxa"/>
            <w:shd w:val="clear" w:color="auto" w:fill="auto"/>
            <w:vAlign w:val="bottom"/>
          </w:tcPr>
          <w:p w14:paraId="1748C906" w14:textId="2760D14A" w:rsidR="00F2020A" w:rsidRPr="004C6AFC" w:rsidRDefault="00F2020A" w:rsidP="00F2020A">
            <w:pPr>
              <w:jc w:val="right"/>
              <w:rPr>
                <w:rFonts w:cstheme="minorHAnsi"/>
              </w:rPr>
            </w:pPr>
            <w:r w:rsidRPr="00876E83">
              <w:rPr>
                <w:rFonts w:eastAsia="Times New Roman" w:cstheme="minorHAnsi"/>
                <w:color w:val="000000"/>
                <w:sz w:val="20"/>
                <w:szCs w:val="20"/>
              </w:rPr>
              <w:t>17.7%</w:t>
            </w:r>
          </w:p>
        </w:tc>
      </w:tr>
      <w:tr w:rsidR="00F2020A" w:rsidRPr="00097BE0" w14:paraId="030A7078" w14:textId="77777777" w:rsidTr="00D964DD">
        <w:trPr>
          <w:cantSplit/>
          <w:jc w:val="center"/>
        </w:trPr>
        <w:tc>
          <w:tcPr>
            <w:tcW w:w="2962" w:type="dxa"/>
            <w:shd w:val="clear" w:color="auto" w:fill="auto"/>
            <w:vAlign w:val="bottom"/>
          </w:tcPr>
          <w:p w14:paraId="372A3EA3" w14:textId="77777777" w:rsidR="00F2020A" w:rsidRPr="00097BE0" w:rsidRDefault="00F2020A" w:rsidP="00F2020A">
            <w:r w:rsidRPr="00097BE0">
              <w:t>Race - White</w:t>
            </w:r>
          </w:p>
        </w:tc>
        <w:tc>
          <w:tcPr>
            <w:tcW w:w="1143" w:type="dxa"/>
            <w:shd w:val="clear" w:color="auto" w:fill="auto"/>
            <w:vAlign w:val="bottom"/>
          </w:tcPr>
          <w:p w14:paraId="0EEBF726" w14:textId="495A6016" w:rsidR="00F2020A" w:rsidRPr="00097BE0" w:rsidRDefault="00F2020A" w:rsidP="00F2020A">
            <w:pPr>
              <w:jc w:val="right"/>
            </w:pPr>
            <w:r w:rsidRPr="00097BE0">
              <w:t>1,322,881</w:t>
            </w:r>
          </w:p>
        </w:tc>
        <w:tc>
          <w:tcPr>
            <w:tcW w:w="1143" w:type="dxa"/>
            <w:shd w:val="clear" w:color="auto" w:fill="auto"/>
            <w:vAlign w:val="bottom"/>
          </w:tcPr>
          <w:p w14:paraId="0D7530EB" w14:textId="7836F820" w:rsidR="00F2020A" w:rsidRPr="00097BE0" w:rsidRDefault="00F2020A" w:rsidP="00F2020A">
            <w:pPr>
              <w:jc w:val="right"/>
            </w:pPr>
            <w:r w:rsidRPr="00097BE0">
              <w:t>73.8%</w:t>
            </w:r>
          </w:p>
        </w:tc>
        <w:tc>
          <w:tcPr>
            <w:tcW w:w="1143" w:type="dxa"/>
            <w:shd w:val="clear" w:color="auto" w:fill="auto"/>
            <w:vAlign w:val="bottom"/>
          </w:tcPr>
          <w:p w14:paraId="71570DAE" w14:textId="180EC428" w:rsidR="00F2020A" w:rsidRPr="004C6AFC" w:rsidRDefault="00F2020A" w:rsidP="00F2020A">
            <w:pPr>
              <w:jc w:val="right"/>
              <w:rPr>
                <w:rFonts w:cstheme="minorHAnsi"/>
              </w:rPr>
            </w:pPr>
            <w:r w:rsidRPr="00876E83">
              <w:rPr>
                <w:rFonts w:eastAsia="Times New Roman" w:cstheme="minorHAnsi"/>
                <w:color w:val="000000"/>
                <w:sz w:val="20"/>
                <w:szCs w:val="20"/>
              </w:rPr>
              <w:t>83,608</w:t>
            </w:r>
          </w:p>
        </w:tc>
        <w:tc>
          <w:tcPr>
            <w:tcW w:w="1143" w:type="dxa"/>
            <w:shd w:val="clear" w:color="auto" w:fill="auto"/>
            <w:vAlign w:val="bottom"/>
          </w:tcPr>
          <w:p w14:paraId="33B4C752" w14:textId="3F80F606" w:rsidR="00F2020A" w:rsidRPr="004C6AFC" w:rsidRDefault="00F2020A" w:rsidP="00F2020A">
            <w:pPr>
              <w:jc w:val="right"/>
              <w:rPr>
                <w:rFonts w:cstheme="minorHAnsi"/>
              </w:rPr>
            </w:pPr>
            <w:r w:rsidRPr="00876E83">
              <w:rPr>
                <w:rFonts w:eastAsia="Times New Roman" w:cstheme="minorHAnsi"/>
                <w:color w:val="000000"/>
                <w:sz w:val="20"/>
                <w:szCs w:val="20"/>
              </w:rPr>
              <w:t>76.9%</w:t>
            </w:r>
          </w:p>
        </w:tc>
      </w:tr>
      <w:tr w:rsidR="00F2020A" w:rsidRPr="00097BE0" w14:paraId="04FAD375" w14:textId="77777777" w:rsidTr="00D964DD">
        <w:trPr>
          <w:cantSplit/>
          <w:jc w:val="center"/>
        </w:trPr>
        <w:tc>
          <w:tcPr>
            <w:tcW w:w="2962" w:type="dxa"/>
            <w:shd w:val="clear" w:color="auto" w:fill="auto"/>
            <w:vAlign w:val="bottom"/>
          </w:tcPr>
          <w:p w14:paraId="42896CA2" w14:textId="77777777" w:rsidR="00F2020A" w:rsidRPr="00097BE0" w:rsidRDefault="00F2020A" w:rsidP="00F2020A">
            <w:pPr>
              <w:rPr>
                <w:b/>
                <w:bCs/>
              </w:rPr>
            </w:pPr>
            <w:r w:rsidRPr="00097BE0">
              <w:t>Patient Origin - HSA_1</w:t>
            </w:r>
          </w:p>
        </w:tc>
        <w:tc>
          <w:tcPr>
            <w:tcW w:w="1143" w:type="dxa"/>
            <w:shd w:val="clear" w:color="auto" w:fill="auto"/>
            <w:vAlign w:val="bottom"/>
          </w:tcPr>
          <w:p w14:paraId="7E67E121" w14:textId="2B250F33" w:rsidR="00F2020A" w:rsidRPr="00097BE0" w:rsidRDefault="00F2020A" w:rsidP="00F2020A">
            <w:pPr>
              <w:jc w:val="right"/>
            </w:pPr>
            <w:r w:rsidRPr="00097BE0">
              <w:t>111,279</w:t>
            </w:r>
          </w:p>
        </w:tc>
        <w:tc>
          <w:tcPr>
            <w:tcW w:w="1143" w:type="dxa"/>
            <w:shd w:val="clear" w:color="auto" w:fill="auto"/>
            <w:vAlign w:val="bottom"/>
          </w:tcPr>
          <w:p w14:paraId="7234AA05" w14:textId="117F7660" w:rsidR="00F2020A" w:rsidRPr="00097BE0" w:rsidRDefault="00F2020A" w:rsidP="00F2020A">
            <w:pPr>
              <w:jc w:val="right"/>
            </w:pPr>
            <w:r w:rsidRPr="00097BE0">
              <w:t>6.2%</w:t>
            </w:r>
          </w:p>
        </w:tc>
        <w:tc>
          <w:tcPr>
            <w:tcW w:w="1143" w:type="dxa"/>
            <w:shd w:val="clear" w:color="auto" w:fill="auto"/>
            <w:vAlign w:val="bottom"/>
          </w:tcPr>
          <w:p w14:paraId="34180D68" w14:textId="47C4DDE3" w:rsidR="00F2020A" w:rsidRPr="004C6AFC" w:rsidRDefault="00F2020A" w:rsidP="00F2020A">
            <w:pPr>
              <w:jc w:val="right"/>
              <w:rPr>
                <w:rFonts w:cstheme="minorHAnsi"/>
              </w:rPr>
            </w:pPr>
            <w:r w:rsidRPr="00876E83">
              <w:rPr>
                <w:rFonts w:eastAsia="Times New Roman" w:cstheme="minorHAnsi"/>
                <w:color w:val="000000"/>
                <w:sz w:val="20"/>
                <w:szCs w:val="20"/>
              </w:rPr>
              <w:t>99,866</w:t>
            </w:r>
          </w:p>
        </w:tc>
        <w:tc>
          <w:tcPr>
            <w:tcW w:w="1143" w:type="dxa"/>
            <w:shd w:val="clear" w:color="auto" w:fill="auto"/>
            <w:vAlign w:val="bottom"/>
          </w:tcPr>
          <w:p w14:paraId="19C725C7" w14:textId="5DA20984" w:rsidR="00F2020A" w:rsidRPr="004C6AFC" w:rsidRDefault="00F2020A" w:rsidP="00F2020A">
            <w:pPr>
              <w:jc w:val="right"/>
              <w:rPr>
                <w:rFonts w:cstheme="minorHAnsi"/>
              </w:rPr>
            </w:pPr>
            <w:r w:rsidRPr="00876E83">
              <w:rPr>
                <w:rFonts w:eastAsia="Times New Roman" w:cstheme="minorHAnsi"/>
                <w:color w:val="000000"/>
                <w:sz w:val="20"/>
                <w:szCs w:val="20"/>
              </w:rPr>
              <w:t>91.8%</w:t>
            </w:r>
          </w:p>
        </w:tc>
      </w:tr>
      <w:tr w:rsidR="00F2020A" w:rsidRPr="00097BE0" w14:paraId="23C86FB7" w14:textId="77777777" w:rsidTr="00D964DD">
        <w:trPr>
          <w:cantSplit/>
          <w:jc w:val="center"/>
        </w:trPr>
        <w:tc>
          <w:tcPr>
            <w:tcW w:w="2962" w:type="dxa"/>
            <w:shd w:val="clear" w:color="auto" w:fill="auto"/>
            <w:vAlign w:val="bottom"/>
          </w:tcPr>
          <w:p w14:paraId="258EF0EB" w14:textId="77777777" w:rsidR="00F2020A" w:rsidRPr="00097BE0" w:rsidRDefault="00F2020A" w:rsidP="00F2020A">
            <w:r w:rsidRPr="00097BE0">
              <w:t>Patient Origin - HSA_2</w:t>
            </w:r>
          </w:p>
        </w:tc>
        <w:tc>
          <w:tcPr>
            <w:tcW w:w="1143" w:type="dxa"/>
            <w:shd w:val="clear" w:color="auto" w:fill="auto"/>
            <w:vAlign w:val="bottom"/>
          </w:tcPr>
          <w:p w14:paraId="58237CB5" w14:textId="66811671" w:rsidR="00F2020A" w:rsidRPr="00097BE0" w:rsidRDefault="00F2020A" w:rsidP="00F2020A">
            <w:pPr>
              <w:jc w:val="right"/>
            </w:pPr>
            <w:r w:rsidRPr="00097BE0">
              <w:t>72,924</w:t>
            </w:r>
          </w:p>
        </w:tc>
        <w:tc>
          <w:tcPr>
            <w:tcW w:w="1143" w:type="dxa"/>
            <w:shd w:val="clear" w:color="auto" w:fill="auto"/>
            <w:vAlign w:val="bottom"/>
          </w:tcPr>
          <w:p w14:paraId="64740537" w14:textId="59D738D5" w:rsidR="00F2020A" w:rsidRPr="00097BE0" w:rsidRDefault="00F2020A" w:rsidP="00F2020A">
            <w:pPr>
              <w:jc w:val="right"/>
            </w:pPr>
            <w:r w:rsidRPr="00097BE0">
              <w:t>4.1%</w:t>
            </w:r>
          </w:p>
        </w:tc>
        <w:tc>
          <w:tcPr>
            <w:tcW w:w="1143" w:type="dxa"/>
            <w:shd w:val="clear" w:color="auto" w:fill="auto"/>
            <w:vAlign w:val="bottom"/>
          </w:tcPr>
          <w:p w14:paraId="275E1CDF" w14:textId="0146EA1C" w:rsidR="00F2020A" w:rsidRPr="004C6AFC" w:rsidRDefault="00F2020A" w:rsidP="00F2020A">
            <w:pPr>
              <w:jc w:val="right"/>
              <w:rPr>
                <w:rFonts w:cstheme="minorHAnsi"/>
              </w:rPr>
            </w:pPr>
            <w:r w:rsidRPr="00876E83">
              <w:rPr>
                <w:rFonts w:eastAsia="Times New Roman" w:cstheme="minorHAnsi"/>
                <w:color w:val="000000"/>
                <w:sz w:val="20"/>
                <w:szCs w:val="20"/>
              </w:rPr>
              <w:t>1,184</w:t>
            </w:r>
          </w:p>
        </w:tc>
        <w:tc>
          <w:tcPr>
            <w:tcW w:w="1143" w:type="dxa"/>
            <w:shd w:val="clear" w:color="auto" w:fill="auto"/>
            <w:vAlign w:val="bottom"/>
          </w:tcPr>
          <w:p w14:paraId="60865700" w14:textId="2AF79DD7" w:rsidR="00F2020A" w:rsidRPr="004C6AFC" w:rsidRDefault="00F2020A" w:rsidP="00F2020A">
            <w:pPr>
              <w:jc w:val="right"/>
              <w:rPr>
                <w:rFonts w:cstheme="minorHAnsi"/>
              </w:rPr>
            </w:pPr>
            <w:r w:rsidRPr="00876E83">
              <w:rPr>
                <w:rFonts w:eastAsia="Times New Roman" w:cstheme="minorHAnsi"/>
                <w:color w:val="000000"/>
                <w:sz w:val="20"/>
                <w:szCs w:val="20"/>
              </w:rPr>
              <w:t>1.1%</w:t>
            </w:r>
          </w:p>
        </w:tc>
      </w:tr>
      <w:tr w:rsidR="00F2020A" w:rsidRPr="00097BE0" w14:paraId="1788933B" w14:textId="77777777" w:rsidTr="00D964DD">
        <w:trPr>
          <w:cantSplit/>
          <w:jc w:val="center"/>
        </w:trPr>
        <w:tc>
          <w:tcPr>
            <w:tcW w:w="2962" w:type="dxa"/>
            <w:shd w:val="clear" w:color="auto" w:fill="auto"/>
            <w:vAlign w:val="bottom"/>
          </w:tcPr>
          <w:p w14:paraId="5B728FE1" w14:textId="77777777" w:rsidR="00F2020A" w:rsidRPr="00097BE0" w:rsidRDefault="00F2020A" w:rsidP="00F2020A">
            <w:r w:rsidRPr="00097BE0">
              <w:t>Patient Origin - HSA_3</w:t>
            </w:r>
          </w:p>
        </w:tc>
        <w:tc>
          <w:tcPr>
            <w:tcW w:w="1143" w:type="dxa"/>
            <w:shd w:val="clear" w:color="auto" w:fill="auto"/>
            <w:vAlign w:val="bottom"/>
          </w:tcPr>
          <w:p w14:paraId="5A1617C3" w14:textId="188FEDB8" w:rsidR="00F2020A" w:rsidRPr="00097BE0" w:rsidRDefault="00F2020A" w:rsidP="00F2020A">
            <w:pPr>
              <w:jc w:val="right"/>
            </w:pPr>
            <w:r w:rsidRPr="00097BE0">
              <w:t>105,250</w:t>
            </w:r>
          </w:p>
        </w:tc>
        <w:tc>
          <w:tcPr>
            <w:tcW w:w="1143" w:type="dxa"/>
            <w:shd w:val="clear" w:color="auto" w:fill="auto"/>
            <w:vAlign w:val="bottom"/>
          </w:tcPr>
          <w:p w14:paraId="1C9A868F" w14:textId="57FAA738" w:rsidR="00F2020A" w:rsidRPr="00097BE0" w:rsidRDefault="00F2020A" w:rsidP="00F2020A">
            <w:pPr>
              <w:jc w:val="right"/>
            </w:pPr>
            <w:r w:rsidRPr="00097BE0">
              <w:t>5.9%</w:t>
            </w:r>
          </w:p>
        </w:tc>
        <w:tc>
          <w:tcPr>
            <w:tcW w:w="1143" w:type="dxa"/>
            <w:shd w:val="clear" w:color="auto" w:fill="auto"/>
            <w:vAlign w:val="bottom"/>
          </w:tcPr>
          <w:p w14:paraId="387565C3" w14:textId="649F7280" w:rsidR="00F2020A" w:rsidRPr="004C6AFC" w:rsidRDefault="00F2020A" w:rsidP="00F2020A">
            <w:pPr>
              <w:jc w:val="right"/>
              <w:rPr>
                <w:rFonts w:cstheme="minorHAnsi"/>
              </w:rPr>
            </w:pPr>
            <w:r w:rsidRPr="00876E83">
              <w:rPr>
                <w:rFonts w:eastAsia="Times New Roman" w:cstheme="minorHAnsi"/>
                <w:color w:val="000000"/>
                <w:sz w:val="20"/>
                <w:szCs w:val="20"/>
              </w:rPr>
              <w:t>373</w:t>
            </w:r>
          </w:p>
        </w:tc>
        <w:tc>
          <w:tcPr>
            <w:tcW w:w="1143" w:type="dxa"/>
            <w:shd w:val="clear" w:color="auto" w:fill="auto"/>
            <w:vAlign w:val="bottom"/>
          </w:tcPr>
          <w:p w14:paraId="0ACDA9E8" w14:textId="57BD3ADB" w:rsidR="00F2020A" w:rsidRPr="004C6AFC" w:rsidRDefault="00F2020A" w:rsidP="00F2020A">
            <w:pPr>
              <w:jc w:val="right"/>
              <w:rPr>
                <w:rFonts w:cstheme="minorHAnsi"/>
              </w:rPr>
            </w:pPr>
            <w:r w:rsidRPr="00876E83">
              <w:rPr>
                <w:rFonts w:eastAsia="Times New Roman" w:cstheme="minorHAnsi"/>
                <w:color w:val="000000"/>
                <w:sz w:val="20"/>
                <w:szCs w:val="20"/>
              </w:rPr>
              <w:t>0.3%</w:t>
            </w:r>
          </w:p>
        </w:tc>
      </w:tr>
      <w:tr w:rsidR="00F2020A" w:rsidRPr="00097BE0" w14:paraId="2015CB6E" w14:textId="77777777" w:rsidTr="00D964DD">
        <w:trPr>
          <w:cantSplit/>
          <w:jc w:val="center"/>
        </w:trPr>
        <w:tc>
          <w:tcPr>
            <w:tcW w:w="2962" w:type="dxa"/>
            <w:shd w:val="clear" w:color="auto" w:fill="auto"/>
            <w:vAlign w:val="bottom"/>
          </w:tcPr>
          <w:p w14:paraId="6D84F534" w14:textId="77777777" w:rsidR="00F2020A" w:rsidRPr="00097BE0" w:rsidRDefault="00F2020A" w:rsidP="00F2020A">
            <w:r w:rsidRPr="00097BE0">
              <w:t>Patient Origin - HSA_4</w:t>
            </w:r>
          </w:p>
        </w:tc>
        <w:tc>
          <w:tcPr>
            <w:tcW w:w="1143" w:type="dxa"/>
            <w:shd w:val="clear" w:color="auto" w:fill="auto"/>
            <w:vAlign w:val="bottom"/>
          </w:tcPr>
          <w:p w14:paraId="0C317432" w14:textId="53F888DB" w:rsidR="00F2020A" w:rsidRPr="00097BE0" w:rsidRDefault="00F2020A" w:rsidP="00F2020A">
            <w:pPr>
              <w:jc w:val="right"/>
            </w:pPr>
            <w:r w:rsidRPr="00097BE0">
              <w:t>754,979</w:t>
            </w:r>
          </w:p>
        </w:tc>
        <w:tc>
          <w:tcPr>
            <w:tcW w:w="1143" w:type="dxa"/>
            <w:shd w:val="clear" w:color="auto" w:fill="auto"/>
            <w:vAlign w:val="bottom"/>
          </w:tcPr>
          <w:p w14:paraId="60435364" w14:textId="545F3301" w:rsidR="00F2020A" w:rsidRPr="00097BE0" w:rsidRDefault="00F2020A" w:rsidP="00F2020A">
            <w:pPr>
              <w:jc w:val="right"/>
            </w:pPr>
            <w:r w:rsidRPr="00097BE0">
              <w:t>42.1%</w:t>
            </w:r>
          </w:p>
        </w:tc>
        <w:tc>
          <w:tcPr>
            <w:tcW w:w="1143" w:type="dxa"/>
            <w:shd w:val="clear" w:color="auto" w:fill="auto"/>
            <w:vAlign w:val="bottom"/>
          </w:tcPr>
          <w:p w14:paraId="710E5C1A" w14:textId="00A70E62" w:rsidR="00F2020A" w:rsidRPr="004C6AFC" w:rsidRDefault="00F2020A" w:rsidP="00F2020A">
            <w:pPr>
              <w:jc w:val="right"/>
              <w:rPr>
                <w:rFonts w:cstheme="minorHAnsi"/>
              </w:rPr>
            </w:pPr>
            <w:r w:rsidRPr="00876E83">
              <w:rPr>
                <w:rFonts w:eastAsia="Times New Roman" w:cstheme="minorHAnsi"/>
                <w:color w:val="000000"/>
                <w:sz w:val="20"/>
                <w:szCs w:val="20"/>
              </w:rPr>
              <w:t>1,770</w:t>
            </w:r>
          </w:p>
        </w:tc>
        <w:tc>
          <w:tcPr>
            <w:tcW w:w="1143" w:type="dxa"/>
            <w:shd w:val="clear" w:color="auto" w:fill="auto"/>
            <w:vAlign w:val="bottom"/>
          </w:tcPr>
          <w:p w14:paraId="4EF0383F" w14:textId="1F7403FD" w:rsidR="00F2020A" w:rsidRPr="004C6AFC" w:rsidRDefault="00F2020A" w:rsidP="00F2020A">
            <w:pPr>
              <w:jc w:val="right"/>
              <w:rPr>
                <w:rFonts w:cstheme="minorHAnsi"/>
              </w:rPr>
            </w:pPr>
            <w:r w:rsidRPr="00876E83">
              <w:rPr>
                <w:rFonts w:eastAsia="Times New Roman" w:cstheme="minorHAnsi"/>
                <w:color w:val="000000"/>
                <w:sz w:val="20"/>
                <w:szCs w:val="20"/>
              </w:rPr>
              <w:t>1.6%</w:t>
            </w:r>
          </w:p>
        </w:tc>
      </w:tr>
      <w:tr w:rsidR="00F2020A" w:rsidRPr="00097BE0" w14:paraId="1A22F034" w14:textId="77777777" w:rsidTr="00D964DD">
        <w:trPr>
          <w:cantSplit/>
          <w:jc w:val="center"/>
        </w:trPr>
        <w:tc>
          <w:tcPr>
            <w:tcW w:w="2962" w:type="dxa"/>
            <w:shd w:val="clear" w:color="auto" w:fill="auto"/>
            <w:vAlign w:val="bottom"/>
          </w:tcPr>
          <w:p w14:paraId="7F2A0DFA" w14:textId="77777777" w:rsidR="00F2020A" w:rsidRPr="00097BE0" w:rsidRDefault="00F2020A" w:rsidP="00F2020A">
            <w:r w:rsidRPr="00097BE0">
              <w:t>Patient Origin - HSA_5</w:t>
            </w:r>
          </w:p>
        </w:tc>
        <w:tc>
          <w:tcPr>
            <w:tcW w:w="1143" w:type="dxa"/>
            <w:shd w:val="clear" w:color="auto" w:fill="auto"/>
            <w:vAlign w:val="bottom"/>
          </w:tcPr>
          <w:p w14:paraId="4E0875EB" w14:textId="23DF6A65" w:rsidR="00F2020A" w:rsidRPr="00097BE0" w:rsidRDefault="00F2020A" w:rsidP="00F2020A">
            <w:pPr>
              <w:jc w:val="right"/>
            </w:pPr>
            <w:r w:rsidRPr="00097BE0">
              <w:t>214,108</w:t>
            </w:r>
          </w:p>
        </w:tc>
        <w:tc>
          <w:tcPr>
            <w:tcW w:w="1143" w:type="dxa"/>
            <w:shd w:val="clear" w:color="auto" w:fill="auto"/>
            <w:vAlign w:val="bottom"/>
          </w:tcPr>
          <w:p w14:paraId="35A0A1B9" w14:textId="6FB838A2" w:rsidR="00F2020A" w:rsidRPr="00097BE0" w:rsidRDefault="00F2020A" w:rsidP="00F2020A">
            <w:pPr>
              <w:jc w:val="right"/>
            </w:pPr>
            <w:r w:rsidRPr="00097BE0">
              <w:t>11.9%</w:t>
            </w:r>
          </w:p>
        </w:tc>
        <w:tc>
          <w:tcPr>
            <w:tcW w:w="1143" w:type="dxa"/>
            <w:shd w:val="clear" w:color="auto" w:fill="auto"/>
            <w:vAlign w:val="bottom"/>
          </w:tcPr>
          <w:p w14:paraId="5E67FD46" w14:textId="4D015F49" w:rsidR="00F2020A" w:rsidRPr="004C6AFC" w:rsidRDefault="00F2020A" w:rsidP="00F2020A">
            <w:pPr>
              <w:jc w:val="right"/>
              <w:rPr>
                <w:rFonts w:cstheme="minorHAnsi"/>
              </w:rPr>
            </w:pPr>
            <w:r w:rsidRPr="00876E83">
              <w:rPr>
                <w:rFonts w:eastAsia="Times New Roman" w:cstheme="minorHAnsi"/>
                <w:color w:val="000000"/>
                <w:sz w:val="20"/>
                <w:szCs w:val="20"/>
              </w:rPr>
              <w:t>693</w:t>
            </w:r>
          </w:p>
        </w:tc>
        <w:tc>
          <w:tcPr>
            <w:tcW w:w="1143" w:type="dxa"/>
            <w:shd w:val="clear" w:color="auto" w:fill="auto"/>
            <w:vAlign w:val="bottom"/>
          </w:tcPr>
          <w:p w14:paraId="566C4F41" w14:textId="1644FE31" w:rsidR="00F2020A" w:rsidRPr="004C6AFC" w:rsidRDefault="00F2020A" w:rsidP="00F2020A">
            <w:pPr>
              <w:jc w:val="right"/>
              <w:rPr>
                <w:rFonts w:cstheme="minorHAnsi"/>
              </w:rPr>
            </w:pPr>
            <w:r w:rsidRPr="00876E83">
              <w:rPr>
                <w:rFonts w:eastAsia="Times New Roman" w:cstheme="minorHAnsi"/>
                <w:color w:val="000000"/>
                <w:sz w:val="20"/>
                <w:szCs w:val="20"/>
              </w:rPr>
              <w:t>0.6%</w:t>
            </w:r>
          </w:p>
        </w:tc>
      </w:tr>
      <w:tr w:rsidR="00F2020A" w:rsidRPr="00097BE0" w14:paraId="6DF55012" w14:textId="77777777" w:rsidTr="00D964DD">
        <w:trPr>
          <w:cantSplit/>
          <w:jc w:val="center"/>
        </w:trPr>
        <w:tc>
          <w:tcPr>
            <w:tcW w:w="2962" w:type="dxa"/>
            <w:shd w:val="clear" w:color="auto" w:fill="auto"/>
            <w:vAlign w:val="bottom"/>
          </w:tcPr>
          <w:p w14:paraId="4965C1C6" w14:textId="77777777" w:rsidR="00F2020A" w:rsidRPr="00097BE0" w:rsidRDefault="00F2020A" w:rsidP="00F2020A">
            <w:r w:rsidRPr="00097BE0">
              <w:t>Patient Origin - HSA_6</w:t>
            </w:r>
          </w:p>
        </w:tc>
        <w:tc>
          <w:tcPr>
            <w:tcW w:w="1143" w:type="dxa"/>
            <w:shd w:val="clear" w:color="auto" w:fill="auto"/>
            <w:vAlign w:val="bottom"/>
          </w:tcPr>
          <w:p w14:paraId="4C12D6A4" w14:textId="48B15A82" w:rsidR="00F2020A" w:rsidRPr="00097BE0" w:rsidRDefault="00F2020A" w:rsidP="00F2020A">
            <w:pPr>
              <w:jc w:val="right"/>
            </w:pPr>
            <w:r w:rsidRPr="00097BE0">
              <w:t>233,937</w:t>
            </w:r>
          </w:p>
        </w:tc>
        <w:tc>
          <w:tcPr>
            <w:tcW w:w="1143" w:type="dxa"/>
            <w:shd w:val="clear" w:color="auto" w:fill="auto"/>
            <w:vAlign w:val="bottom"/>
          </w:tcPr>
          <w:p w14:paraId="09C120A2" w14:textId="7C5724EC" w:rsidR="00F2020A" w:rsidRPr="00097BE0" w:rsidRDefault="00F2020A" w:rsidP="00F2020A">
            <w:pPr>
              <w:jc w:val="right"/>
            </w:pPr>
            <w:r w:rsidRPr="00097BE0">
              <w:t>13.1%</w:t>
            </w:r>
          </w:p>
        </w:tc>
        <w:tc>
          <w:tcPr>
            <w:tcW w:w="1143" w:type="dxa"/>
            <w:shd w:val="clear" w:color="auto" w:fill="auto"/>
            <w:vAlign w:val="bottom"/>
          </w:tcPr>
          <w:p w14:paraId="0FC3AE2F" w14:textId="56EA0D6F" w:rsidR="00F2020A" w:rsidRPr="004C6AFC" w:rsidRDefault="00F2020A" w:rsidP="00F2020A">
            <w:pPr>
              <w:jc w:val="right"/>
              <w:rPr>
                <w:rFonts w:cstheme="minorHAnsi"/>
              </w:rPr>
            </w:pPr>
            <w:r w:rsidRPr="00876E83">
              <w:rPr>
                <w:rFonts w:eastAsia="Times New Roman" w:cstheme="minorHAnsi"/>
                <w:color w:val="000000"/>
                <w:sz w:val="20"/>
                <w:szCs w:val="20"/>
              </w:rPr>
              <w:t>398</w:t>
            </w:r>
          </w:p>
        </w:tc>
        <w:tc>
          <w:tcPr>
            <w:tcW w:w="1143" w:type="dxa"/>
            <w:shd w:val="clear" w:color="auto" w:fill="auto"/>
            <w:vAlign w:val="bottom"/>
          </w:tcPr>
          <w:p w14:paraId="60FE0D80" w14:textId="57A4AE9F" w:rsidR="00F2020A" w:rsidRPr="004C6AFC" w:rsidRDefault="00F2020A" w:rsidP="00F2020A">
            <w:pPr>
              <w:jc w:val="right"/>
              <w:rPr>
                <w:rFonts w:cstheme="minorHAnsi"/>
              </w:rPr>
            </w:pPr>
            <w:r w:rsidRPr="00876E83">
              <w:rPr>
                <w:rFonts w:eastAsia="Times New Roman" w:cstheme="minorHAnsi"/>
                <w:color w:val="000000"/>
                <w:sz w:val="20"/>
                <w:szCs w:val="20"/>
              </w:rPr>
              <w:t>0.4%</w:t>
            </w:r>
          </w:p>
        </w:tc>
      </w:tr>
      <w:tr w:rsidR="00F2020A" w:rsidRPr="00097BE0" w14:paraId="51654E81" w14:textId="77777777" w:rsidTr="00D964DD">
        <w:trPr>
          <w:cantSplit/>
          <w:jc w:val="center"/>
        </w:trPr>
        <w:tc>
          <w:tcPr>
            <w:tcW w:w="2962" w:type="dxa"/>
            <w:shd w:val="clear" w:color="auto" w:fill="auto"/>
            <w:vAlign w:val="bottom"/>
          </w:tcPr>
          <w:p w14:paraId="770DA511" w14:textId="55FFE299" w:rsidR="00F2020A" w:rsidRPr="00097BE0" w:rsidRDefault="00F2020A" w:rsidP="00F2020A">
            <w:r w:rsidRPr="00097BE0">
              <w:t xml:space="preserve">Patient Origin - In MA </w:t>
            </w:r>
            <w:r>
              <w:t>(</w:t>
            </w:r>
            <w:r w:rsidRPr="00097BE0">
              <w:t>not HSA 1-6</w:t>
            </w:r>
          </w:p>
        </w:tc>
        <w:tc>
          <w:tcPr>
            <w:tcW w:w="1143" w:type="dxa"/>
            <w:shd w:val="clear" w:color="auto" w:fill="auto"/>
            <w:vAlign w:val="bottom"/>
          </w:tcPr>
          <w:p w14:paraId="0FC712A2" w14:textId="6C123DDA" w:rsidR="00F2020A" w:rsidRPr="00097BE0" w:rsidRDefault="00F2020A" w:rsidP="00F2020A">
            <w:pPr>
              <w:jc w:val="right"/>
            </w:pPr>
            <w:r w:rsidRPr="00097BE0">
              <w:t>38</w:t>
            </w:r>
          </w:p>
        </w:tc>
        <w:tc>
          <w:tcPr>
            <w:tcW w:w="1143" w:type="dxa"/>
            <w:shd w:val="clear" w:color="auto" w:fill="auto"/>
            <w:vAlign w:val="bottom"/>
          </w:tcPr>
          <w:p w14:paraId="63228F7D" w14:textId="7B2B3A62" w:rsidR="00F2020A" w:rsidRPr="00097BE0" w:rsidRDefault="00F2020A" w:rsidP="00F2020A">
            <w:pPr>
              <w:jc w:val="right"/>
            </w:pPr>
            <w:r w:rsidRPr="00097BE0">
              <w:t>0.0%</w:t>
            </w:r>
          </w:p>
        </w:tc>
        <w:tc>
          <w:tcPr>
            <w:tcW w:w="1143" w:type="dxa"/>
            <w:shd w:val="clear" w:color="auto" w:fill="auto"/>
            <w:vAlign w:val="bottom"/>
          </w:tcPr>
          <w:p w14:paraId="2290662C" w14:textId="76949974" w:rsidR="00F2020A" w:rsidRPr="004C6AFC" w:rsidRDefault="00F2020A" w:rsidP="00F2020A">
            <w:pPr>
              <w:jc w:val="right"/>
              <w:rPr>
                <w:rFonts w:cstheme="minorHAnsi"/>
              </w:rPr>
            </w:pPr>
            <w:r w:rsidRPr="00876E83">
              <w:rPr>
                <w:rFonts w:eastAsia="Times New Roman" w:cstheme="minorHAnsi"/>
                <w:color w:val="000000"/>
                <w:sz w:val="20"/>
                <w:szCs w:val="20"/>
              </w:rPr>
              <w:t>64</w:t>
            </w:r>
          </w:p>
        </w:tc>
        <w:tc>
          <w:tcPr>
            <w:tcW w:w="1143" w:type="dxa"/>
            <w:shd w:val="clear" w:color="auto" w:fill="auto"/>
            <w:vAlign w:val="bottom"/>
          </w:tcPr>
          <w:p w14:paraId="18AC7DE1" w14:textId="3DCFF026" w:rsidR="00F2020A" w:rsidRPr="004C6AFC" w:rsidRDefault="00F2020A" w:rsidP="00F2020A">
            <w:pPr>
              <w:jc w:val="right"/>
              <w:rPr>
                <w:rFonts w:cstheme="minorHAnsi"/>
              </w:rPr>
            </w:pPr>
            <w:r w:rsidRPr="00876E83">
              <w:rPr>
                <w:rFonts w:eastAsia="Times New Roman" w:cstheme="minorHAnsi"/>
                <w:color w:val="000000"/>
                <w:sz w:val="20"/>
                <w:szCs w:val="20"/>
              </w:rPr>
              <w:t>0.1%</w:t>
            </w:r>
          </w:p>
        </w:tc>
      </w:tr>
      <w:tr w:rsidR="00F2020A" w:rsidRPr="00097BE0" w14:paraId="1B4A19B6" w14:textId="77777777" w:rsidTr="00D964DD">
        <w:trPr>
          <w:cantSplit/>
          <w:jc w:val="center"/>
        </w:trPr>
        <w:tc>
          <w:tcPr>
            <w:tcW w:w="2962" w:type="dxa"/>
            <w:shd w:val="clear" w:color="auto" w:fill="auto"/>
            <w:vAlign w:val="bottom"/>
          </w:tcPr>
          <w:p w14:paraId="36818334" w14:textId="77777777" w:rsidR="00F2020A" w:rsidRPr="00097BE0" w:rsidRDefault="00F2020A" w:rsidP="00F2020A">
            <w:r w:rsidRPr="00097BE0">
              <w:t>Patient Origin - Outside of MA</w:t>
            </w:r>
          </w:p>
        </w:tc>
        <w:tc>
          <w:tcPr>
            <w:tcW w:w="1143" w:type="dxa"/>
            <w:shd w:val="clear" w:color="auto" w:fill="auto"/>
            <w:vAlign w:val="bottom"/>
          </w:tcPr>
          <w:p w14:paraId="35481889" w14:textId="159E4852" w:rsidR="00F2020A" w:rsidRPr="00097BE0" w:rsidRDefault="00F2020A" w:rsidP="00F2020A">
            <w:pPr>
              <w:jc w:val="right"/>
            </w:pPr>
            <w:r w:rsidRPr="00097BE0">
              <w:t>295,425</w:t>
            </w:r>
          </w:p>
        </w:tc>
        <w:tc>
          <w:tcPr>
            <w:tcW w:w="1143" w:type="dxa"/>
            <w:shd w:val="clear" w:color="auto" w:fill="auto"/>
            <w:vAlign w:val="bottom"/>
          </w:tcPr>
          <w:p w14:paraId="29E21F74" w14:textId="7383FE56" w:rsidR="00F2020A" w:rsidRPr="00097BE0" w:rsidRDefault="00F2020A" w:rsidP="00F2020A">
            <w:pPr>
              <w:jc w:val="right"/>
            </w:pPr>
            <w:r w:rsidRPr="00097BE0">
              <w:t>16.5%</w:t>
            </w:r>
          </w:p>
        </w:tc>
        <w:tc>
          <w:tcPr>
            <w:tcW w:w="1143" w:type="dxa"/>
            <w:shd w:val="clear" w:color="auto" w:fill="auto"/>
            <w:vAlign w:val="bottom"/>
          </w:tcPr>
          <w:p w14:paraId="59E9EF62" w14:textId="56C367F0" w:rsidR="00F2020A" w:rsidRPr="004C6AFC" w:rsidRDefault="00F2020A" w:rsidP="00F2020A">
            <w:pPr>
              <w:jc w:val="right"/>
              <w:rPr>
                <w:rFonts w:cstheme="minorHAnsi"/>
              </w:rPr>
            </w:pPr>
            <w:r w:rsidRPr="00876E83">
              <w:rPr>
                <w:rFonts w:eastAsia="Times New Roman" w:cstheme="minorHAnsi"/>
                <w:color w:val="000000"/>
                <w:sz w:val="20"/>
                <w:szCs w:val="20"/>
              </w:rPr>
              <w:t>4,430</w:t>
            </w:r>
          </w:p>
        </w:tc>
        <w:tc>
          <w:tcPr>
            <w:tcW w:w="1143" w:type="dxa"/>
            <w:shd w:val="clear" w:color="auto" w:fill="auto"/>
            <w:vAlign w:val="bottom"/>
          </w:tcPr>
          <w:p w14:paraId="7E916D72" w14:textId="21773DAD" w:rsidR="00F2020A" w:rsidRPr="004C6AFC" w:rsidRDefault="00F2020A" w:rsidP="00F2020A">
            <w:pPr>
              <w:jc w:val="right"/>
              <w:rPr>
                <w:rFonts w:cstheme="minorHAnsi"/>
              </w:rPr>
            </w:pPr>
            <w:r w:rsidRPr="00876E83">
              <w:rPr>
                <w:rFonts w:eastAsia="Times New Roman" w:cstheme="minorHAnsi"/>
                <w:color w:val="000000"/>
                <w:sz w:val="20"/>
                <w:szCs w:val="20"/>
              </w:rPr>
              <w:t>4.1%</w:t>
            </w:r>
          </w:p>
        </w:tc>
      </w:tr>
      <w:tr w:rsidR="00F2020A" w:rsidRPr="00097BE0" w14:paraId="3CCB5431" w14:textId="77777777" w:rsidTr="00D964DD">
        <w:trPr>
          <w:cantSplit/>
          <w:jc w:val="center"/>
        </w:trPr>
        <w:tc>
          <w:tcPr>
            <w:tcW w:w="2962" w:type="dxa"/>
            <w:shd w:val="clear" w:color="auto" w:fill="auto"/>
            <w:vAlign w:val="bottom"/>
          </w:tcPr>
          <w:p w14:paraId="04C925AD" w14:textId="77777777" w:rsidR="00F2020A" w:rsidRPr="00097BE0" w:rsidRDefault="00F2020A" w:rsidP="00F2020A">
            <w:r w:rsidRPr="00097BE0">
              <w:t>Patient Origin - Unknown</w:t>
            </w:r>
          </w:p>
        </w:tc>
        <w:tc>
          <w:tcPr>
            <w:tcW w:w="1143" w:type="dxa"/>
            <w:shd w:val="clear" w:color="auto" w:fill="auto"/>
            <w:vAlign w:val="bottom"/>
          </w:tcPr>
          <w:p w14:paraId="661B17D4" w14:textId="36440693" w:rsidR="00F2020A" w:rsidRPr="00097BE0" w:rsidRDefault="00F2020A" w:rsidP="00F2020A">
            <w:pPr>
              <w:jc w:val="right"/>
            </w:pPr>
            <w:r w:rsidRPr="00097BE0">
              <w:t>4,348</w:t>
            </w:r>
          </w:p>
        </w:tc>
        <w:tc>
          <w:tcPr>
            <w:tcW w:w="1143" w:type="dxa"/>
            <w:shd w:val="clear" w:color="auto" w:fill="auto"/>
            <w:vAlign w:val="bottom"/>
          </w:tcPr>
          <w:p w14:paraId="386E0B77" w14:textId="73935E65" w:rsidR="00F2020A" w:rsidRPr="00097BE0" w:rsidRDefault="00F2020A" w:rsidP="00F2020A">
            <w:pPr>
              <w:jc w:val="right"/>
            </w:pPr>
            <w:r w:rsidRPr="00097BE0">
              <w:t>0.2%</w:t>
            </w:r>
          </w:p>
        </w:tc>
        <w:tc>
          <w:tcPr>
            <w:tcW w:w="1143" w:type="dxa"/>
            <w:shd w:val="clear" w:color="auto" w:fill="auto"/>
            <w:vAlign w:val="bottom"/>
          </w:tcPr>
          <w:p w14:paraId="7CF473D9" w14:textId="538CABAB" w:rsidR="00F2020A" w:rsidRPr="004C6AFC" w:rsidRDefault="00F2020A" w:rsidP="00F2020A">
            <w:pPr>
              <w:jc w:val="right"/>
              <w:rPr>
                <w:rFonts w:cstheme="minorHAnsi"/>
              </w:rPr>
            </w:pPr>
            <w:r w:rsidRPr="004C6AFC">
              <w:rPr>
                <w:rStyle w:val="FootnoteReference"/>
                <w:rFonts w:cstheme="minorHAnsi"/>
              </w:rPr>
              <w:footnoteReference w:id="5"/>
            </w:r>
          </w:p>
        </w:tc>
        <w:tc>
          <w:tcPr>
            <w:tcW w:w="1143" w:type="dxa"/>
            <w:shd w:val="clear" w:color="auto" w:fill="auto"/>
            <w:vAlign w:val="bottom"/>
          </w:tcPr>
          <w:p w14:paraId="490D4FB5" w14:textId="3696F5B9" w:rsidR="00F2020A" w:rsidRPr="00F44501" w:rsidRDefault="00F2020A" w:rsidP="00F2020A">
            <w:pPr>
              <w:jc w:val="right"/>
              <w:rPr>
                <w:rFonts w:cstheme="minorHAnsi"/>
              </w:rPr>
            </w:pPr>
            <w:r w:rsidRPr="00C22CAA">
              <w:rPr>
                <w:rFonts w:cstheme="minorHAnsi"/>
              </w:rPr>
              <w:t>-</w:t>
            </w:r>
          </w:p>
        </w:tc>
      </w:tr>
    </w:tbl>
    <w:p w14:paraId="2194A8F4" w14:textId="1BE10C4C" w:rsidR="00373F67" w:rsidRDefault="00373F67" w:rsidP="0059582B">
      <w:pPr>
        <w:spacing w:after="0"/>
      </w:pPr>
    </w:p>
    <w:p w14:paraId="6210FEC2" w14:textId="095DF660" w:rsidR="005D41E3" w:rsidRPr="005D41E3" w:rsidRDefault="00327F4A" w:rsidP="00327F4A">
      <w:pPr>
        <w:pStyle w:val="ListParagraph"/>
        <w:numPr>
          <w:ilvl w:val="0"/>
          <w:numId w:val="1"/>
        </w:numPr>
        <w:spacing w:line="240" w:lineRule="auto"/>
        <w:rPr>
          <w:sz w:val="24"/>
          <w:szCs w:val="24"/>
        </w:rPr>
      </w:pPr>
      <w:r w:rsidRPr="003527C8">
        <w:rPr>
          <w:b/>
          <w:bCs/>
          <w:sz w:val="24"/>
          <w:szCs w:val="24"/>
        </w:rPr>
        <w:t>Payer Mix</w:t>
      </w:r>
      <w:r w:rsidR="005D41E3">
        <w:rPr>
          <w:b/>
          <w:bCs/>
          <w:sz w:val="24"/>
          <w:szCs w:val="24"/>
        </w:rPr>
        <w:t xml:space="preserve">- </w:t>
      </w:r>
      <w:r w:rsidR="005D41E3" w:rsidRPr="007C0E02">
        <w:rPr>
          <w:sz w:val="24"/>
          <w:szCs w:val="24"/>
        </w:rPr>
        <w:t xml:space="preserve">The Applicant averaged </w:t>
      </w:r>
      <w:r w:rsidR="00EF7FF4">
        <w:rPr>
          <w:sz w:val="24"/>
          <w:szCs w:val="24"/>
        </w:rPr>
        <w:t>its</w:t>
      </w:r>
      <w:r w:rsidR="005D41E3" w:rsidRPr="007C0E02">
        <w:rPr>
          <w:sz w:val="24"/>
          <w:szCs w:val="24"/>
        </w:rPr>
        <w:t xml:space="preserve"> payer mix over the </w:t>
      </w:r>
      <w:r w:rsidR="000C305F" w:rsidRPr="007C0E02">
        <w:rPr>
          <w:sz w:val="24"/>
          <w:szCs w:val="24"/>
        </w:rPr>
        <w:t>three-year</w:t>
      </w:r>
      <w:r w:rsidR="005D41E3" w:rsidRPr="007C0E02">
        <w:rPr>
          <w:sz w:val="24"/>
          <w:szCs w:val="24"/>
        </w:rPr>
        <w:t xml:space="preserve"> timeframe and noted the following:</w:t>
      </w:r>
    </w:p>
    <w:p w14:paraId="49FF3937" w14:textId="74C1802B" w:rsidR="003527C8" w:rsidRPr="003527C8" w:rsidRDefault="00327F4A" w:rsidP="005D41E3">
      <w:pPr>
        <w:pStyle w:val="ListParagraph"/>
        <w:numPr>
          <w:ilvl w:val="1"/>
          <w:numId w:val="1"/>
        </w:numPr>
        <w:spacing w:line="240" w:lineRule="auto"/>
        <w:rPr>
          <w:sz w:val="24"/>
          <w:szCs w:val="24"/>
        </w:rPr>
      </w:pPr>
      <w:r w:rsidRPr="003527C8">
        <w:rPr>
          <w:sz w:val="24"/>
          <w:szCs w:val="24"/>
        </w:rPr>
        <w:t>Between FY20 and FY22, on average 37.61% of all MGB patients</w:t>
      </w:r>
      <w:r w:rsidR="00EF7FF4">
        <w:rPr>
          <w:sz w:val="24"/>
          <w:szCs w:val="24"/>
        </w:rPr>
        <w:t>,</w:t>
      </w:r>
      <w:r w:rsidRPr="003527C8">
        <w:rPr>
          <w:sz w:val="24"/>
          <w:szCs w:val="24"/>
        </w:rPr>
        <w:t xml:space="preserve"> </w:t>
      </w:r>
      <w:r w:rsidR="003527C8" w:rsidRPr="003527C8">
        <w:rPr>
          <w:sz w:val="24"/>
          <w:szCs w:val="24"/>
        </w:rPr>
        <w:t xml:space="preserve">and 15.6% of CDH patients </w:t>
      </w:r>
      <w:r w:rsidRPr="003527C8">
        <w:rPr>
          <w:sz w:val="24"/>
          <w:szCs w:val="24"/>
        </w:rPr>
        <w:t xml:space="preserve">were covered by Commercial PPO/Indemnity Plans; </w:t>
      </w:r>
    </w:p>
    <w:p w14:paraId="20F7A31E" w14:textId="3E5EE5F7" w:rsidR="003527C8" w:rsidRPr="003527C8" w:rsidRDefault="003527C8" w:rsidP="005D41E3">
      <w:pPr>
        <w:pStyle w:val="ListParagraph"/>
        <w:numPr>
          <w:ilvl w:val="1"/>
          <w:numId w:val="1"/>
        </w:numPr>
        <w:spacing w:line="240" w:lineRule="auto"/>
        <w:rPr>
          <w:sz w:val="24"/>
          <w:szCs w:val="24"/>
        </w:rPr>
      </w:pPr>
      <w:r w:rsidRPr="003527C8">
        <w:rPr>
          <w:sz w:val="24"/>
          <w:szCs w:val="24"/>
        </w:rPr>
        <w:t>On average 19.64% of MGB</w:t>
      </w:r>
      <w:r w:rsidR="00EF7FF4">
        <w:rPr>
          <w:sz w:val="24"/>
          <w:szCs w:val="24"/>
        </w:rPr>
        <w:t>,</w:t>
      </w:r>
      <w:r w:rsidRPr="003527C8">
        <w:rPr>
          <w:sz w:val="24"/>
          <w:szCs w:val="24"/>
        </w:rPr>
        <w:t xml:space="preserve"> and 17</w:t>
      </w:r>
      <w:r w:rsidR="005D41E3">
        <w:rPr>
          <w:sz w:val="24"/>
          <w:szCs w:val="24"/>
        </w:rPr>
        <w:t>.</w:t>
      </w:r>
      <w:r w:rsidRPr="003527C8">
        <w:rPr>
          <w:sz w:val="24"/>
          <w:szCs w:val="24"/>
        </w:rPr>
        <w:t xml:space="preserve">7% of CDH patients </w:t>
      </w:r>
      <w:r w:rsidR="005D41E3">
        <w:rPr>
          <w:sz w:val="24"/>
          <w:szCs w:val="24"/>
        </w:rPr>
        <w:t>were</w:t>
      </w:r>
      <w:r w:rsidRPr="003527C8">
        <w:rPr>
          <w:sz w:val="24"/>
          <w:szCs w:val="24"/>
        </w:rPr>
        <w:t xml:space="preserve"> covered by Commercial HMO/POS</w:t>
      </w:r>
      <w:r w:rsidR="005D41E3">
        <w:rPr>
          <w:sz w:val="24"/>
          <w:szCs w:val="24"/>
        </w:rPr>
        <w:t>;</w:t>
      </w:r>
    </w:p>
    <w:p w14:paraId="55E7C8C6" w14:textId="59A919CF" w:rsidR="003527C8" w:rsidRPr="003527C8" w:rsidRDefault="005D41E3" w:rsidP="005D41E3">
      <w:pPr>
        <w:pStyle w:val="ListParagraph"/>
        <w:numPr>
          <w:ilvl w:val="1"/>
          <w:numId w:val="1"/>
        </w:numPr>
        <w:spacing w:line="240" w:lineRule="auto"/>
        <w:rPr>
          <w:sz w:val="24"/>
          <w:szCs w:val="24"/>
        </w:rPr>
      </w:pPr>
      <w:r>
        <w:rPr>
          <w:sz w:val="24"/>
          <w:szCs w:val="24"/>
        </w:rPr>
        <w:lastRenderedPageBreak/>
        <w:t>O</w:t>
      </w:r>
      <w:r w:rsidR="00327F4A" w:rsidRPr="003527C8">
        <w:rPr>
          <w:sz w:val="24"/>
          <w:szCs w:val="24"/>
        </w:rPr>
        <w:t>n average, approximately 22.</w:t>
      </w:r>
      <w:r w:rsidR="007C0E02">
        <w:rPr>
          <w:sz w:val="24"/>
          <w:szCs w:val="24"/>
        </w:rPr>
        <w:t>1</w:t>
      </w:r>
      <w:r w:rsidR="00327F4A" w:rsidRPr="003527C8">
        <w:rPr>
          <w:sz w:val="24"/>
          <w:szCs w:val="24"/>
        </w:rPr>
        <w:t xml:space="preserve">% of </w:t>
      </w:r>
      <w:r w:rsidR="003527C8" w:rsidRPr="003527C8">
        <w:rPr>
          <w:sz w:val="24"/>
          <w:szCs w:val="24"/>
        </w:rPr>
        <w:t>MGB</w:t>
      </w:r>
      <w:r w:rsidR="00EF7FF4">
        <w:rPr>
          <w:sz w:val="24"/>
          <w:szCs w:val="24"/>
        </w:rPr>
        <w:t>,</w:t>
      </w:r>
      <w:r w:rsidR="003527C8" w:rsidRPr="003527C8">
        <w:rPr>
          <w:sz w:val="24"/>
          <w:szCs w:val="24"/>
        </w:rPr>
        <w:t xml:space="preserve"> and 37.2% of CDH </w:t>
      </w:r>
      <w:r w:rsidR="00327F4A" w:rsidRPr="003527C8">
        <w:rPr>
          <w:sz w:val="24"/>
          <w:szCs w:val="24"/>
        </w:rPr>
        <w:t xml:space="preserve">patients </w:t>
      </w:r>
      <w:r w:rsidR="003527C8" w:rsidRPr="003527C8">
        <w:rPr>
          <w:sz w:val="24"/>
          <w:szCs w:val="24"/>
        </w:rPr>
        <w:t xml:space="preserve">were </w:t>
      </w:r>
      <w:r w:rsidR="00327F4A" w:rsidRPr="003527C8">
        <w:rPr>
          <w:sz w:val="24"/>
          <w:szCs w:val="24"/>
        </w:rPr>
        <w:t>covered by Medicare,</w:t>
      </w:r>
      <w:r w:rsidR="003527C8" w:rsidRPr="003527C8">
        <w:rPr>
          <w:sz w:val="24"/>
          <w:szCs w:val="24"/>
        </w:rPr>
        <w:t xml:space="preserve"> while 6.6% and 11</w:t>
      </w:r>
      <w:r>
        <w:rPr>
          <w:sz w:val="24"/>
          <w:szCs w:val="24"/>
        </w:rPr>
        <w:t>.</w:t>
      </w:r>
      <w:r w:rsidR="003527C8" w:rsidRPr="003527C8">
        <w:rPr>
          <w:sz w:val="24"/>
          <w:szCs w:val="24"/>
        </w:rPr>
        <w:t xml:space="preserve">9% of </w:t>
      </w:r>
      <w:r>
        <w:rPr>
          <w:sz w:val="24"/>
          <w:szCs w:val="24"/>
        </w:rPr>
        <w:t xml:space="preserve">CDH </w:t>
      </w:r>
      <w:r w:rsidR="003527C8" w:rsidRPr="003527C8">
        <w:rPr>
          <w:sz w:val="24"/>
          <w:szCs w:val="24"/>
        </w:rPr>
        <w:t>patients</w:t>
      </w:r>
      <w:r w:rsidR="0010103D">
        <w:rPr>
          <w:sz w:val="24"/>
          <w:szCs w:val="24"/>
        </w:rPr>
        <w:t>,</w:t>
      </w:r>
      <w:r w:rsidR="003527C8" w:rsidRPr="003527C8">
        <w:rPr>
          <w:sz w:val="24"/>
          <w:szCs w:val="24"/>
        </w:rPr>
        <w:t xml:space="preserve"> </w:t>
      </w:r>
      <w:r w:rsidR="0010103D">
        <w:rPr>
          <w:sz w:val="24"/>
          <w:szCs w:val="24"/>
        </w:rPr>
        <w:t xml:space="preserve">respectively, </w:t>
      </w:r>
      <w:r w:rsidR="003527C8" w:rsidRPr="003527C8">
        <w:rPr>
          <w:sz w:val="24"/>
          <w:szCs w:val="24"/>
        </w:rPr>
        <w:t>were covered by Commercial Medicare.</w:t>
      </w:r>
    </w:p>
    <w:p w14:paraId="340205C2" w14:textId="0C5E60E3" w:rsidR="005D41E3" w:rsidRPr="005D41E3" w:rsidRDefault="00327F4A" w:rsidP="005D41E3">
      <w:pPr>
        <w:pStyle w:val="ListParagraph"/>
        <w:numPr>
          <w:ilvl w:val="1"/>
          <w:numId w:val="1"/>
        </w:numPr>
        <w:spacing w:line="240" w:lineRule="auto"/>
        <w:rPr>
          <w:sz w:val="24"/>
          <w:szCs w:val="24"/>
        </w:rPr>
      </w:pPr>
      <w:r w:rsidRPr="005D41E3">
        <w:rPr>
          <w:sz w:val="24"/>
          <w:szCs w:val="24"/>
        </w:rPr>
        <w:t xml:space="preserve">5.93% of </w:t>
      </w:r>
      <w:r w:rsidR="005D41E3" w:rsidRPr="005D41E3">
        <w:rPr>
          <w:sz w:val="24"/>
          <w:szCs w:val="24"/>
        </w:rPr>
        <w:t xml:space="preserve">MGB and 9.9% of CDH </w:t>
      </w:r>
      <w:r w:rsidRPr="005D41E3">
        <w:rPr>
          <w:sz w:val="24"/>
          <w:szCs w:val="24"/>
        </w:rPr>
        <w:t>patients</w:t>
      </w:r>
      <w:r w:rsidR="005D41E3" w:rsidRPr="005D41E3">
        <w:rPr>
          <w:sz w:val="24"/>
          <w:szCs w:val="24"/>
        </w:rPr>
        <w:t xml:space="preserve"> </w:t>
      </w:r>
      <w:r w:rsidR="0010103D" w:rsidRPr="005D41E3">
        <w:rPr>
          <w:sz w:val="24"/>
          <w:szCs w:val="24"/>
        </w:rPr>
        <w:t>were covered</w:t>
      </w:r>
      <w:r w:rsidRPr="005D41E3">
        <w:rPr>
          <w:sz w:val="24"/>
          <w:szCs w:val="24"/>
        </w:rPr>
        <w:t xml:space="preserve"> by MassHealth, </w:t>
      </w:r>
      <w:r w:rsidR="005D41E3" w:rsidRPr="005D41E3">
        <w:rPr>
          <w:sz w:val="24"/>
          <w:szCs w:val="24"/>
        </w:rPr>
        <w:t xml:space="preserve">while </w:t>
      </w:r>
      <w:r w:rsidRPr="005D41E3">
        <w:rPr>
          <w:sz w:val="24"/>
          <w:szCs w:val="24"/>
        </w:rPr>
        <w:t xml:space="preserve">2.22% </w:t>
      </w:r>
      <w:r w:rsidR="005D41E3" w:rsidRPr="005D41E3">
        <w:rPr>
          <w:sz w:val="24"/>
          <w:szCs w:val="24"/>
        </w:rPr>
        <w:t xml:space="preserve">and 2.7% </w:t>
      </w:r>
      <w:r w:rsidRPr="005D41E3">
        <w:rPr>
          <w:sz w:val="24"/>
          <w:szCs w:val="24"/>
        </w:rPr>
        <w:t>of patients</w:t>
      </w:r>
      <w:r w:rsidR="0010103D">
        <w:rPr>
          <w:sz w:val="24"/>
          <w:szCs w:val="24"/>
        </w:rPr>
        <w:t>, respectively, were</w:t>
      </w:r>
      <w:r w:rsidRPr="005D41E3">
        <w:rPr>
          <w:sz w:val="24"/>
          <w:szCs w:val="24"/>
        </w:rPr>
        <w:t xml:space="preserve"> covered by Managed Medicaid. </w:t>
      </w:r>
    </w:p>
    <w:p w14:paraId="59C9BC72" w14:textId="77777777" w:rsidR="005D41E3" w:rsidRPr="005D41E3" w:rsidRDefault="005D41E3" w:rsidP="005D41E3">
      <w:pPr>
        <w:pStyle w:val="ListParagraph"/>
        <w:numPr>
          <w:ilvl w:val="1"/>
          <w:numId w:val="1"/>
        </w:numPr>
        <w:rPr>
          <w:sz w:val="24"/>
          <w:szCs w:val="24"/>
        </w:rPr>
      </w:pPr>
      <w:r w:rsidRPr="005D41E3">
        <w:rPr>
          <w:sz w:val="24"/>
          <w:szCs w:val="24"/>
        </w:rPr>
        <w:t xml:space="preserve">For both MGB and CDH, just over 5.5% were covered by </w:t>
      </w:r>
      <w:r w:rsidRPr="007C0E02">
        <w:rPr>
          <w:i/>
          <w:iCs/>
          <w:sz w:val="24"/>
          <w:szCs w:val="24"/>
        </w:rPr>
        <w:t>Other</w:t>
      </w:r>
      <w:r w:rsidRPr="005D41E3">
        <w:rPr>
          <w:sz w:val="24"/>
          <w:szCs w:val="24"/>
        </w:rPr>
        <w:t>.</w:t>
      </w:r>
    </w:p>
    <w:p w14:paraId="45A93CA0" w14:textId="198EF78D" w:rsidR="000C305F" w:rsidRDefault="0010103D" w:rsidP="005D41E3">
      <w:pPr>
        <w:pStyle w:val="ListParagraph"/>
        <w:numPr>
          <w:ilvl w:val="1"/>
          <w:numId w:val="1"/>
        </w:numPr>
        <w:spacing w:line="240" w:lineRule="auto"/>
        <w:rPr>
          <w:sz w:val="24"/>
          <w:szCs w:val="24"/>
        </w:rPr>
      </w:pPr>
      <w:r>
        <w:rPr>
          <w:sz w:val="24"/>
          <w:szCs w:val="24"/>
        </w:rPr>
        <w:t xml:space="preserve">Both MGB’s and CDH’s patients experienced </w:t>
      </w:r>
      <w:r w:rsidR="00EF7FF4">
        <w:rPr>
          <w:sz w:val="24"/>
          <w:szCs w:val="24"/>
        </w:rPr>
        <w:t>insignificant</w:t>
      </w:r>
      <w:r>
        <w:rPr>
          <w:sz w:val="24"/>
          <w:szCs w:val="24"/>
        </w:rPr>
        <w:t xml:space="preserve"> shifts in coverage </w:t>
      </w:r>
      <w:r w:rsidR="00327F4A" w:rsidRPr="005D41E3">
        <w:rPr>
          <w:sz w:val="24"/>
          <w:szCs w:val="24"/>
        </w:rPr>
        <w:t xml:space="preserve">between FY20 and FY22. </w:t>
      </w:r>
    </w:p>
    <w:p w14:paraId="7CEF41A0" w14:textId="5897767B" w:rsidR="005D41E3" w:rsidRDefault="00327F4A" w:rsidP="000C305F">
      <w:pPr>
        <w:pStyle w:val="ListParagraph"/>
        <w:spacing w:line="240" w:lineRule="auto"/>
        <w:ind w:left="1440"/>
        <w:rPr>
          <w:sz w:val="24"/>
          <w:szCs w:val="24"/>
        </w:rPr>
      </w:pPr>
      <w:r w:rsidRPr="005D41E3">
        <w:rPr>
          <w:sz w:val="24"/>
          <w:szCs w:val="24"/>
        </w:rPr>
        <w:t xml:space="preserve"> </w:t>
      </w:r>
    </w:p>
    <w:p w14:paraId="1CD167FF" w14:textId="4476410F" w:rsidR="0010103D" w:rsidRPr="000C305F" w:rsidRDefault="000C305F" w:rsidP="000C305F">
      <w:pPr>
        <w:spacing w:line="240" w:lineRule="auto"/>
        <w:ind w:left="360"/>
        <w:rPr>
          <w:sz w:val="24"/>
          <w:szCs w:val="24"/>
        </w:rPr>
      </w:pPr>
      <w:r w:rsidRPr="000C305F">
        <w:rPr>
          <w:sz w:val="24"/>
          <w:szCs w:val="24"/>
        </w:rPr>
        <w:t>Table 4 shows the Payer mix for FY22</w:t>
      </w:r>
      <w:r>
        <w:rPr>
          <w:sz w:val="24"/>
          <w:szCs w:val="24"/>
        </w:rPr>
        <w:t xml:space="preserve"> for both MGB and CDH</w:t>
      </w:r>
      <w:r w:rsidRPr="000C305F">
        <w:rPr>
          <w:sz w:val="24"/>
          <w:szCs w:val="24"/>
        </w:rPr>
        <w:t xml:space="preserve">. </w:t>
      </w:r>
      <w:r w:rsidR="0010103D" w:rsidRPr="000C305F">
        <w:rPr>
          <w:sz w:val="24"/>
          <w:szCs w:val="24"/>
        </w:rPr>
        <w:t>Staff notes that CDH has a greater share of all Medicare 40.2% (as compared MGB’s 29%</w:t>
      </w:r>
      <w:r w:rsidR="00545DDB">
        <w:rPr>
          <w:sz w:val="24"/>
          <w:szCs w:val="24"/>
        </w:rPr>
        <w:t xml:space="preserve">- </w:t>
      </w:r>
      <w:r w:rsidR="0010103D" w:rsidRPr="000C305F">
        <w:rPr>
          <w:sz w:val="24"/>
          <w:szCs w:val="24"/>
        </w:rPr>
        <w:t xml:space="preserve">FY2022) and also a greater share of all Medicaid 12.3% </w:t>
      </w:r>
      <w:r w:rsidR="00401553" w:rsidRPr="000C305F">
        <w:rPr>
          <w:sz w:val="24"/>
          <w:szCs w:val="24"/>
        </w:rPr>
        <w:t xml:space="preserve">(compared to MGB’s </w:t>
      </w:r>
      <w:r w:rsidR="0010103D" w:rsidRPr="000C305F">
        <w:rPr>
          <w:sz w:val="24"/>
          <w:szCs w:val="24"/>
        </w:rPr>
        <w:t>8.3%</w:t>
      </w:r>
      <w:r w:rsidR="00545DDB">
        <w:rPr>
          <w:sz w:val="24"/>
          <w:szCs w:val="24"/>
        </w:rPr>
        <w:t>-</w:t>
      </w:r>
      <w:r w:rsidR="00401553" w:rsidRPr="000C305F">
        <w:rPr>
          <w:sz w:val="24"/>
          <w:szCs w:val="24"/>
        </w:rPr>
        <w:t xml:space="preserve"> FY22</w:t>
      </w:r>
      <w:r w:rsidR="00545DDB">
        <w:rPr>
          <w:sz w:val="24"/>
          <w:szCs w:val="24"/>
        </w:rPr>
        <w:t>)</w:t>
      </w:r>
      <w:r w:rsidR="00401553" w:rsidRPr="000C305F">
        <w:rPr>
          <w:sz w:val="24"/>
          <w:szCs w:val="24"/>
        </w:rPr>
        <w:t xml:space="preserve">, with a similar difference </w:t>
      </w:r>
      <w:r w:rsidR="00DF2709">
        <w:rPr>
          <w:sz w:val="24"/>
          <w:szCs w:val="24"/>
        </w:rPr>
        <w:t xml:space="preserve">(by MGB vs. CDH) </w:t>
      </w:r>
      <w:r w:rsidR="00401553" w:rsidRPr="000C305F">
        <w:rPr>
          <w:sz w:val="24"/>
          <w:szCs w:val="24"/>
        </w:rPr>
        <w:t xml:space="preserve">for FY20 and 21. </w:t>
      </w:r>
    </w:p>
    <w:p w14:paraId="214A2277" w14:textId="3D0E7050" w:rsidR="00D40C69" w:rsidRPr="00F27223" w:rsidRDefault="008C1ACC" w:rsidP="008C1ACC">
      <w:pPr>
        <w:jc w:val="center"/>
        <w:rPr>
          <w:b/>
          <w:bCs/>
          <w:sz w:val="24"/>
          <w:szCs w:val="24"/>
        </w:rPr>
      </w:pPr>
      <w:r w:rsidRPr="00401553">
        <w:rPr>
          <w:b/>
          <w:bCs/>
          <w:sz w:val="24"/>
          <w:szCs w:val="24"/>
        </w:rPr>
        <w:t>Table</w:t>
      </w:r>
      <w:r w:rsidR="0010103D" w:rsidRPr="00401553">
        <w:rPr>
          <w:b/>
          <w:bCs/>
          <w:sz w:val="24"/>
          <w:szCs w:val="24"/>
        </w:rPr>
        <w:t xml:space="preserve"> </w:t>
      </w:r>
      <w:r w:rsidR="00401553" w:rsidRPr="00401553">
        <w:rPr>
          <w:b/>
          <w:bCs/>
          <w:sz w:val="24"/>
          <w:szCs w:val="24"/>
        </w:rPr>
        <w:t>4</w:t>
      </w:r>
      <w:r w:rsidRPr="00F27223">
        <w:rPr>
          <w:b/>
          <w:bCs/>
          <w:sz w:val="24"/>
          <w:szCs w:val="24"/>
        </w:rPr>
        <w:t xml:space="preserve">: </w:t>
      </w:r>
      <w:r w:rsidR="0010103D">
        <w:rPr>
          <w:b/>
          <w:bCs/>
          <w:sz w:val="24"/>
          <w:szCs w:val="24"/>
        </w:rPr>
        <w:t xml:space="preserve">FY 2022 </w:t>
      </w:r>
      <w:r w:rsidR="00D40C69" w:rsidRPr="00F27223">
        <w:rPr>
          <w:b/>
          <w:bCs/>
          <w:sz w:val="24"/>
          <w:szCs w:val="24"/>
        </w:rPr>
        <w:t xml:space="preserve">Payer Mix </w:t>
      </w:r>
      <w:r w:rsidR="00DF2709">
        <w:rPr>
          <w:b/>
          <w:bCs/>
          <w:sz w:val="24"/>
          <w:szCs w:val="24"/>
        </w:rPr>
        <w:t>for</w:t>
      </w:r>
      <w:r w:rsidR="0010103D">
        <w:rPr>
          <w:b/>
          <w:bCs/>
          <w:sz w:val="24"/>
          <w:szCs w:val="24"/>
        </w:rPr>
        <w:t xml:space="preserve"> FY MGB and CDH</w:t>
      </w:r>
    </w:p>
    <w:tbl>
      <w:tblPr>
        <w:tblW w:w="4802" w:type="dxa"/>
        <w:jc w:val="center"/>
        <w:tblLook w:val="04A0" w:firstRow="1" w:lastRow="0" w:firstColumn="1" w:lastColumn="0" w:noHBand="0" w:noVBand="1"/>
      </w:tblPr>
      <w:tblGrid>
        <w:gridCol w:w="2900"/>
        <w:gridCol w:w="942"/>
        <w:gridCol w:w="960"/>
      </w:tblGrid>
      <w:tr w:rsidR="00701842" w:rsidRPr="00F73339" w14:paraId="2F96D5C7" w14:textId="77777777" w:rsidTr="00033993">
        <w:trPr>
          <w:cantSplit/>
          <w:trHeight w:val="300"/>
          <w:tblHeader/>
          <w:jc w:val="center"/>
        </w:trPr>
        <w:tc>
          <w:tcPr>
            <w:tcW w:w="2900" w:type="dxa"/>
            <w:tcBorders>
              <w:top w:val="single" w:sz="4" w:space="0" w:color="auto"/>
              <w:left w:val="single" w:sz="4" w:space="0" w:color="auto"/>
              <w:bottom w:val="single" w:sz="4" w:space="0" w:color="auto"/>
              <w:right w:val="single" w:sz="4" w:space="0" w:color="auto"/>
            </w:tcBorders>
            <w:shd w:val="clear" w:color="auto" w:fill="E5FFFF"/>
            <w:vAlign w:val="center"/>
          </w:tcPr>
          <w:p w14:paraId="1AFA6963" w14:textId="49F05870" w:rsidR="00701842" w:rsidRPr="00701842" w:rsidRDefault="00701842" w:rsidP="00701842">
            <w:pPr>
              <w:spacing w:after="0" w:line="240" w:lineRule="auto"/>
              <w:rPr>
                <w:rFonts w:eastAsia="Times New Roman" w:cstheme="minorHAnsi"/>
                <w:b/>
                <w:bCs/>
                <w:color w:val="000000"/>
                <w:sz w:val="24"/>
                <w:szCs w:val="24"/>
              </w:rPr>
            </w:pPr>
            <w:r w:rsidRPr="00701842">
              <w:rPr>
                <w:rFonts w:eastAsia="Times New Roman" w:cstheme="minorHAnsi"/>
                <w:b/>
                <w:bCs/>
                <w:color w:val="000000"/>
                <w:sz w:val="24"/>
                <w:szCs w:val="24"/>
              </w:rPr>
              <w:t>Payer Group</w:t>
            </w:r>
          </w:p>
        </w:tc>
        <w:tc>
          <w:tcPr>
            <w:tcW w:w="942" w:type="dxa"/>
            <w:tcBorders>
              <w:top w:val="single" w:sz="4" w:space="0" w:color="auto"/>
              <w:left w:val="nil"/>
              <w:bottom w:val="single" w:sz="4" w:space="0" w:color="auto"/>
              <w:right w:val="single" w:sz="4" w:space="0" w:color="auto"/>
            </w:tcBorders>
            <w:shd w:val="clear" w:color="auto" w:fill="E5FFFF"/>
            <w:vAlign w:val="center"/>
          </w:tcPr>
          <w:p w14:paraId="13A9BF74" w14:textId="2208C362" w:rsidR="00701842" w:rsidRPr="00701842" w:rsidRDefault="00701842" w:rsidP="00701842">
            <w:pPr>
              <w:spacing w:after="0" w:line="240" w:lineRule="auto"/>
              <w:jc w:val="center"/>
              <w:rPr>
                <w:rFonts w:eastAsia="Times New Roman" w:cstheme="minorHAnsi"/>
                <w:b/>
                <w:bCs/>
                <w:color w:val="000000"/>
                <w:sz w:val="24"/>
                <w:szCs w:val="24"/>
              </w:rPr>
            </w:pPr>
            <w:r w:rsidRPr="00701842">
              <w:rPr>
                <w:rFonts w:eastAsia="Times New Roman" w:cstheme="minorHAnsi"/>
                <w:b/>
                <w:bCs/>
                <w:color w:val="000000"/>
                <w:sz w:val="24"/>
                <w:szCs w:val="24"/>
              </w:rPr>
              <w:t>MGB</w:t>
            </w:r>
          </w:p>
        </w:tc>
        <w:tc>
          <w:tcPr>
            <w:tcW w:w="960" w:type="dxa"/>
            <w:tcBorders>
              <w:top w:val="single" w:sz="4" w:space="0" w:color="auto"/>
              <w:left w:val="nil"/>
              <w:bottom w:val="single" w:sz="4" w:space="0" w:color="auto"/>
              <w:right w:val="single" w:sz="4" w:space="0" w:color="auto"/>
            </w:tcBorders>
            <w:shd w:val="clear" w:color="auto" w:fill="E5FFFF"/>
            <w:noWrap/>
            <w:vAlign w:val="center"/>
          </w:tcPr>
          <w:p w14:paraId="7222795D" w14:textId="53DFFF7D" w:rsidR="00701842" w:rsidRPr="00701842" w:rsidRDefault="00701842" w:rsidP="00701842">
            <w:pPr>
              <w:spacing w:after="0" w:line="240" w:lineRule="auto"/>
              <w:jc w:val="center"/>
              <w:rPr>
                <w:rFonts w:eastAsia="Times New Roman" w:cstheme="minorHAnsi"/>
                <w:b/>
                <w:bCs/>
                <w:color w:val="000000"/>
                <w:sz w:val="24"/>
                <w:szCs w:val="24"/>
              </w:rPr>
            </w:pPr>
            <w:r w:rsidRPr="00701842">
              <w:rPr>
                <w:rFonts w:eastAsia="Times New Roman" w:cstheme="minorHAnsi"/>
                <w:b/>
                <w:bCs/>
                <w:color w:val="000000"/>
                <w:sz w:val="24"/>
                <w:szCs w:val="24"/>
              </w:rPr>
              <w:t>CDH</w:t>
            </w:r>
          </w:p>
        </w:tc>
      </w:tr>
      <w:tr w:rsidR="00701842" w:rsidRPr="00F73339" w14:paraId="7D936339" w14:textId="77777777" w:rsidTr="00033993">
        <w:trPr>
          <w:cantSplit/>
          <w:trHeight w:val="300"/>
          <w:tblHeader/>
          <w:jc w:val="center"/>
        </w:trPr>
        <w:tc>
          <w:tcPr>
            <w:tcW w:w="2900" w:type="dxa"/>
            <w:tcBorders>
              <w:top w:val="single" w:sz="4" w:space="0" w:color="auto"/>
              <w:left w:val="single" w:sz="4" w:space="0" w:color="auto"/>
              <w:bottom w:val="single" w:sz="4" w:space="0" w:color="auto"/>
              <w:right w:val="single" w:sz="4" w:space="0" w:color="auto"/>
            </w:tcBorders>
            <w:shd w:val="clear" w:color="auto" w:fill="E5FFFF"/>
            <w:vAlign w:val="center"/>
          </w:tcPr>
          <w:p w14:paraId="156DD019" w14:textId="5D60A801" w:rsidR="00701842" w:rsidRPr="00701842" w:rsidRDefault="00701842" w:rsidP="00701842">
            <w:pPr>
              <w:spacing w:after="0" w:line="240" w:lineRule="auto"/>
              <w:rPr>
                <w:rFonts w:eastAsia="Times New Roman" w:cstheme="minorHAnsi"/>
                <w:color w:val="000000"/>
                <w:sz w:val="24"/>
                <w:szCs w:val="24"/>
              </w:rPr>
            </w:pPr>
          </w:p>
        </w:tc>
        <w:tc>
          <w:tcPr>
            <w:tcW w:w="942" w:type="dxa"/>
            <w:tcBorders>
              <w:top w:val="single" w:sz="4" w:space="0" w:color="auto"/>
              <w:left w:val="nil"/>
              <w:bottom w:val="single" w:sz="4" w:space="0" w:color="auto"/>
              <w:right w:val="single" w:sz="4" w:space="0" w:color="auto"/>
            </w:tcBorders>
            <w:shd w:val="clear" w:color="auto" w:fill="E5FFFF"/>
            <w:vAlign w:val="center"/>
            <w:hideMark/>
          </w:tcPr>
          <w:p w14:paraId="30D51D3C" w14:textId="77777777" w:rsidR="00701842" w:rsidRPr="00701842" w:rsidRDefault="00701842" w:rsidP="00701842">
            <w:pPr>
              <w:spacing w:after="0" w:line="240" w:lineRule="auto"/>
              <w:jc w:val="center"/>
              <w:rPr>
                <w:rFonts w:eastAsia="Times New Roman" w:cstheme="minorHAnsi"/>
                <w:color w:val="000000"/>
                <w:sz w:val="24"/>
                <w:szCs w:val="24"/>
              </w:rPr>
            </w:pPr>
            <w:r w:rsidRPr="00701842">
              <w:rPr>
                <w:rFonts w:eastAsia="Times New Roman" w:cstheme="minorHAnsi"/>
                <w:color w:val="000000"/>
                <w:sz w:val="24"/>
                <w:szCs w:val="24"/>
              </w:rPr>
              <w:t>FY22</w:t>
            </w:r>
          </w:p>
        </w:tc>
        <w:tc>
          <w:tcPr>
            <w:tcW w:w="960" w:type="dxa"/>
            <w:tcBorders>
              <w:top w:val="single" w:sz="4" w:space="0" w:color="auto"/>
              <w:left w:val="nil"/>
              <w:bottom w:val="single" w:sz="4" w:space="0" w:color="auto"/>
              <w:right w:val="single" w:sz="4" w:space="0" w:color="auto"/>
            </w:tcBorders>
            <w:shd w:val="clear" w:color="auto" w:fill="E5FFFF"/>
            <w:noWrap/>
            <w:vAlign w:val="center"/>
            <w:hideMark/>
          </w:tcPr>
          <w:p w14:paraId="7ACF4B94" w14:textId="77777777" w:rsidR="00701842" w:rsidRPr="00701842" w:rsidRDefault="00701842" w:rsidP="00701842">
            <w:pPr>
              <w:spacing w:after="0" w:line="240" w:lineRule="auto"/>
              <w:jc w:val="center"/>
              <w:rPr>
                <w:rFonts w:eastAsia="Times New Roman" w:cstheme="minorHAnsi"/>
                <w:color w:val="000000"/>
                <w:sz w:val="24"/>
                <w:szCs w:val="24"/>
              </w:rPr>
            </w:pPr>
            <w:r w:rsidRPr="00701842">
              <w:rPr>
                <w:rFonts w:eastAsia="Times New Roman" w:cstheme="minorHAnsi"/>
                <w:color w:val="000000"/>
                <w:sz w:val="24"/>
                <w:szCs w:val="24"/>
              </w:rPr>
              <w:t>FY22</w:t>
            </w:r>
          </w:p>
        </w:tc>
      </w:tr>
      <w:tr w:rsidR="00701842" w:rsidRPr="00F73339" w14:paraId="656D694A" w14:textId="77777777" w:rsidTr="00033993">
        <w:trPr>
          <w:cantSplit/>
          <w:trHeight w:val="539"/>
          <w:jc w:val="center"/>
        </w:trPr>
        <w:tc>
          <w:tcPr>
            <w:tcW w:w="2900" w:type="dxa"/>
            <w:tcBorders>
              <w:top w:val="nil"/>
              <w:left w:val="single" w:sz="4" w:space="0" w:color="auto"/>
              <w:bottom w:val="single" w:sz="4" w:space="0" w:color="auto"/>
              <w:right w:val="single" w:sz="4" w:space="0" w:color="auto"/>
            </w:tcBorders>
            <w:shd w:val="clear" w:color="auto" w:fill="auto"/>
            <w:noWrap/>
            <w:vAlign w:val="bottom"/>
            <w:hideMark/>
          </w:tcPr>
          <w:p w14:paraId="1A5288A8" w14:textId="1EAB6F0E" w:rsidR="00701842" w:rsidRPr="00701842" w:rsidRDefault="00701842" w:rsidP="00701842">
            <w:pPr>
              <w:spacing w:after="0" w:line="240" w:lineRule="auto"/>
              <w:rPr>
                <w:rFonts w:eastAsia="Times New Roman" w:cstheme="minorHAnsi"/>
                <w:color w:val="000000"/>
                <w:sz w:val="24"/>
                <w:szCs w:val="24"/>
              </w:rPr>
            </w:pPr>
            <w:r w:rsidRPr="00701842">
              <w:rPr>
                <w:rFonts w:eastAsia="Times New Roman" w:cstheme="minorHAnsi"/>
                <w:color w:val="000000"/>
                <w:sz w:val="24"/>
                <w:szCs w:val="24"/>
              </w:rPr>
              <w:t>Commercial (PPO/Indemnity)</w:t>
            </w:r>
            <w:r w:rsidRPr="00701842">
              <w:rPr>
                <w:rStyle w:val="FootnoteReference"/>
                <w:rFonts w:eastAsia="Times New Roman" w:cstheme="minorHAnsi"/>
                <w:color w:val="000000"/>
                <w:sz w:val="24"/>
                <w:szCs w:val="24"/>
              </w:rPr>
              <w:footnoteReference w:id="6"/>
            </w:r>
          </w:p>
        </w:tc>
        <w:tc>
          <w:tcPr>
            <w:tcW w:w="942" w:type="dxa"/>
            <w:tcBorders>
              <w:top w:val="nil"/>
              <w:left w:val="nil"/>
              <w:bottom w:val="single" w:sz="4" w:space="0" w:color="auto"/>
              <w:right w:val="single" w:sz="4" w:space="0" w:color="auto"/>
            </w:tcBorders>
            <w:shd w:val="clear" w:color="auto" w:fill="auto"/>
            <w:vAlign w:val="center"/>
            <w:hideMark/>
          </w:tcPr>
          <w:p w14:paraId="6B514DC0" w14:textId="23375173" w:rsidR="00701842" w:rsidRPr="00701842" w:rsidRDefault="00701842" w:rsidP="00701842">
            <w:pPr>
              <w:spacing w:after="0" w:line="240" w:lineRule="auto"/>
              <w:jc w:val="right"/>
              <w:rPr>
                <w:rFonts w:eastAsia="Times New Roman" w:cstheme="minorHAnsi"/>
                <w:color w:val="000000"/>
                <w:sz w:val="24"/>
                <w:szCs w:val="24"/>
              </w:rPr>
            </w:pPr>
            <w:r w:rsidRPr="00701842">
              <w:rPr>
                <w:rFonts w:eastAsia="Times New Roman" w:cstheme="minorHAnsi"/>
                <w:color w:val="000000"/>
                <w:sz w:val="24"/>
                <w:szCs w:val="24"/>
              </w:rPr>
              <w:t>37.5%</w:t>
            </w:r>
          </w:p>
        </w:tc>
        <w:tc>
          <w:tcPr>
            <w:tcW w:w="960" w:type="dxa"/>
            <w:tcBorders>
              <w:top w:val="nil"/>
              <w:left w:val="nil"/>
              <w:bottom w:val="single" w:sz="4" w:space="0" w:color="auto"/>
              <w:right w:val="single" w:sz="4" w:space="0" w:color="auto"/>
            </w:tcBorders>
            <w:shd w:val="clear" w:color="auto" w:fill="auto"/>
            <w:noWrap/>
            <w:vAlign w:val="center"/>
            <w:hideMark/>
          </w:tcPr>
          <w:p w14:paraId="2920ABD9" w14:textId="36F1B7ED" w:rsidR="00701842" w:rsidRPr="00701842" w:rsidRDefault="00701842" w:rsidP="00701842">
            <w:pPr>
              <w:spacing w:after="0" w:line="240" w:lineRule="auto"/>
              <w:jc w:val="right"/>
              <w:rPr>
                <w:rFonts w:eastAsia="Times New Roman" w:cstheme="minorHAnsi"/>
                <w:color w:val="000000"/>
                <w:sz w:val="24"/>
                <w:szCs w:val="24"/>
              </w:rPr>
            </w:pPr>
            <w:r w:rsidRPr="00701842">
              <w:rPr>
                <w:rFonts w:eastAsia="Times New Roman" w:cstheme="minorHAnsi"/>
                <w:color w:val="000000"/>
                <w:sz w:val="24"/>
                <w:szCs w:val="24"/>
              </w:rPr>
              <w:t>16.0%</w:t>
            </w:r>
          </w:p>
        </w:tc>
      </w:tr>
      <w:tr w:rsidR="00701842" w:rsidRPr="00F73339" w14:paraId="1CE347C1" w14:textId="77777777" w:rsidTr="00033993">
        <w:trPr>
          <w:cantSplit/>
          <w:trHeight w:val="296"/>
          <w:jc w:val="center"/>
        </w:trPr>
        <w:tc>
          <w:tcPr>
            <w:tcW w:w="2900" w:type="dxa"/>
            <w:tcBorders>
              <w:top w:val="nil"/>
              <w:left w:val="single" w:sz="4" w:space="0" w:color="auto"/>
              <w:bottom w:val="single" w:sz="4" w:space="0" w:color="auto"/>
              <w:right w:val="single" w:sz="4" w:space="0" w:color="auto"/>
            </w:tcBorders>
            <w:shd w:val="clear" w:color="auto" w:fill="auto"/>
            <w:noWrap/>
            <w:vAlign w:val="center"/>
            <w:hideMark/>
          </w:tcPr>
          <w:p w14:paraId="316D2456" w14:textId="421EDDDC" w:rsidR="00701842" w:rsidRPr="00701842" w:rsidRDefault="00701842" w:rsidP="00701842">
            <w:pPr>
              <w:spacing w:after="0" w:line="240" w:lineRule="auto"/>
              <w:rPr>
                <w:rFonts w:eastAsia="Times New Roman" w:cstheme="minorHAnsi"/>
                <w:color w:val="000000"/>
                <w:sz w:val="24"/>
                <w:szCs w:val="24"/>
              </w:rPr>
            </w:pPr>
            <w:r w:rsidRPr="00701842">
              <w:rPr>
                <w:rFonts w:eastAsia="Times New Roman" w:cstheme="minorHAnsi"/>
                <w:color w:val="000000"/>
                <w:sz w:val="24"/>
                <w:szCs w:val="24"/>
              </w:rPr>
              <w:t>Commercial (HMO/POS)</w:t>
            </w:r>
            <w:r w:rsidRPr="00701842">
              <w:rPr>
                <w:rStyle w:val="FootnoteReference"/>
                <w:rFonts w:eastAsia="Times New Roman" w:cstheme="minorHAnsi"/>
                <w:color w:val="000000"/>
                <w:sz w:val="24"/>
                <w:szCs w:val="24"/>
              </w:rPr>
              <w:footnoteReference w:id="7"/>
            </w:r>
          </w:p>
        </w:tc>
        <w:tc>
          <w:tcPr>
            <w:tcW w:w="942" w:type="dxa"/>
            <w:tcBorders>
              <w:top w:val="nil"/>
              <w:left w:val="nil"/>
              <w:bottom w:val="single" w:sz="4" w:space="0" w:color="auto"/>
              <w:right w:val="single" w:sz="4" w:space="0" w:color="auto"/>
            </w:tcBorders>
            <w:shd w:val="clear" w:color="auto" w:fill="auto"/>
            <w:vAlign w:val="center"/>
            <w:hideMark/>
          </w:tcPr>
          <w:p w14:paraId="4317B2A9" w14:textId="0CF65BC7" w:rsidR="00701842" w:rsidRPr="00701842" w:rsidRDefault="00701842" w:rsidP="00701842">
            <w:pPr>
              <w:spacing w:after="0" w:line="240" w:lineRule="auto"/>
              <w:jc w:val="right"/>
              <w:rPr>
                <w:rFonts w:eastAsia="Times New Roman" w:cstheme="minorHAnsi"/>
                <w:color w:val="000000"/>
                <w:sz w:val="24"/>
                <w:szCs w:val="24"/>
              </w:rPr>
            </w:pPr>
            <w:r w:rsidRPr="00701842">
              <w:rPr>
                <w:rFonts w:eastAsia="Times New Roman" w:cstheme="minorHAnsi"/>
                <w:color w:val="000000"/>
                <w:sz w:val="24"/>
                <w:szCs w:val="24"/>
              </w:rPr>
              <w:t>19.2%</w:t>
            </w:r>
          </w:p>
        </w:tc>
        <w:tc>
          <w:tcPr>
            <w:tcW w:w="960" w:type="dxa"/>
            <w:tcBorders>
              <w:top w:val="nil"/>
              <w:left w:val="nil"/>
              <w:bottom w:val="single" w:sz="4" w:space="0" w:color="auto"/>
              <w:right w:val="single" w:sz="4" w:space="0" w:color="auto"/>
            </w:tcBorders>
            <w:shd w:val="clear" w:color="auto" w:fill="auto"/>
            <w:noWrap/>
            <w:vAlign w:val="center"/>
            <w:hideMark/>
          </w:tcPr>
          <w:p w14:paraId="7F2DD8CE" w14:textId="7229BF9C" w:rsidR="00701842" w:rsidRPr="00701842" w:rsidRDefault="00701842" w:rsidP="00701842">
            <w:pPr>
              <w:spacing w:after="0" w:line="240" w:lineRule="auto"/>
              <w:jc w:val="right"/>
              <w:rPr>
                <w:rFonts w:eastAsia="Times New Roman" w:cstheme="minorHAnsi"/>
                <w:color w:val="000000"/>
                <w:sz w:val="24"/>
                <w:szCs w:val="24"/>
              </w:rPr>
            </w:pPr>
            <w:r w:rsidRPr="00701842">
              <w:rPr>
                <w:rFonts w:eastAsia="Times New Roman" w:cstheme="minorHAnsi"/>
                <w:color w:val="000000"/>
                <w:sz w:val="24"/>
                <w:szCs w:val="24"/>
              </w:rPr>
              <w:t>16.0%</w:t>
            </w:r>
          </w:p>
        </w:tc>
      </w:tr>
      <w:tr w:rsidR="00701842" w:rsidRPr="00F73339" w14:paraId="3F5414CA" w14:textId="77777777" w:rsidTr="00033993">
        <w:trPr>
          <w:cantSplit/>
          <w:trHeight w:val="300"/>
          <w:jc w:val="center"/>
        </w:trPr>
        <w:tc>
          <w:tcPr>
            <w:tcW w:w="2900" w:type="dxa"/>
            <w:tcBorders>
              <w:top w:val="nil"/>
              <w:left w:val="single" w:sz="4" w:space="0" w:color="auto"/>
              <w:bottom w:val="single" w:sz="4" w:space="0" w:color="auto"/>
              <w:right w:val="single" w:sz="4" w:space="0" w:color="auto"/>
            </w:tcBorders>
            <w:shd w:val="clear" w:color="auto" w:fill="auto"/>
            <w:noWrap/>
            <w:vAlign w:val="bottom"/>
            <w:hideMark/>
          </w:tcPr>
          <w:p w14:paraId="564486C3" w14:textId="3E6C4214" w:rsidR="00701842" w:rsidRPr="00701842" w:rsidRDefault="00701842" w:rsidP="00701842">
            <w:pPr>
              <w:spacing w:after="0" w:line="240" w:lineRule="auto"/>
              <w:rPr>
                <w:rFonts w:eastAsia="Times New Roman" w:cstheme="minorHAnsi"/>
                <w:color w:val="000000"/>
                <w:sz w:val="24"/>
                <w:szCs w:val="24"/>
              </w:rPr>
            </w:pPr>
            <w:r w:rsidRPr="00701842">
              <w:rPr>
                <w:rFonts w:eastAsia="Times New Roman" w:cstheme="minorHAnsi"/>
                <w:color w:val="000000"/>
                <w:sz w:val="24"/>
                <w:szCs w:val="24"/>
              </w:rPr>
              <w:t>Medicare</w:t>
            </w:r>
            <w:r w:rsidRPr="00701842">
              <w:rPr>
                <w:rStyle w:val="FootnoteReference"/>
                <w:rFonts w:eastAsia="Times New Roman" w:cstheme="minorHAnsi"/>
                <w:color w:val="000000"/>
                <w:sz w:val="24"/>
                <w:szCs w:val="24"/>
              </w:rPr>
              <w:footnoteReference w:id="8"/>
            </w:r>
          </w:p>
        </w:tc>
        <w:tc>
          <w:tcPr>
            <w:tcW w:w="942" w:type="dxa"/>
            <w:tcBorders>
              <w:top w:val="nil"/>
              <w:left w:val="nil"/>
              <w:bottom w:val="single" w:sz="4" w:space="0" w:color="auto"/>
              <w:right w:val="single" w:sz="4" w:space="0" w:color="auto"/>
            </w:tcBorders>
            <w:shd w:val="clear" w:color="auto" w:fill="auto"/>
            <w:vAlign w:val="center"/>
            <w:hideMark/>
          </w:tcPr>
          <w:p w14:paraId="1DF2C3E7" w14:textId="0812D5D0" w:rsidR="00701842" w:rsidRPr="00701842" w:rsidRDefault="00701842" w:rsidP="00701842">
            <w:pPr>
              <w:spacing w:after="0" w:line="240" w:lineRule="auto"/>
              <w:jc w:val="right"/>
              <w:rPr>
                <w:rFonts w:eastAsia="Times New Roman" w:cstheme="minorHAnsi"/>
                <w:color w:val="000000"/>
                <w:sz w:val="24"/>
                <w:szCs w:val="24"/>
              </w:rPr>
            </w:pPr>
            <w:r w:rsidRPr="00701842">
              <w:rPr>
                <w:rFonts w:eastAsia="Times New Roman" w:cstheme="minorHAnsi"/>
                <w:color w:val="000000"/>
                <w:sz w:val="24"/>
                <w:szCs w:val="24"/>
              </w:rPr>
              <w:t>21.6%</w:t>
            </w:r>
          </w:p>
        </w:tc>
        <w:tc>
          <w:tcPr>
            <w:tcW w:w="960" w:type="dxa"/>
            <w:tcBorders>
              <w:top w:val="nil"/>
              <w:left w:val="nil"/>
              <w:bottom w:val="single" w:sz="4" w:space="0" w:color="auto"/>
              <w:right w:val="single" w:sz="4" w:space="0" w:color="auto"/>
            </w:tcBorders>
            <w:shd w:val="clear" w:color="auto" w:fill="auto"/>
            <w:noWrap/>
            <w:vAlign w:val="center"/>
            <w:hideMark/>
          </w:tcPr>
          <w:p w14:paraId="05523F53" w14:textId="46A8AC92" w:rsidR="00701842" w:rsidRPr="00701842" w:rsidRDefault="00701842" w:rsidP="00701842">
            <w:pPr>
              <w:spacing w:after="0" w:line="240" w:lineRule="auto"/>
              <w:jc w:val="right"/>
              <w:rPr>
                <w:rFonts w:eastAsia="Times New Roman" w:cstheme="minorHAnsi"/>
                <w:color w:val="000000"/>
                <w:sz w:val="24"/>
                <w:szCs w:val="24"/>
              </w:rPr>
            </w:pPr>
            <w:r w:rsidRPr="00701842">
              <w:rPr>
                <w:rFonts w:eastAsia="Times New Roman" w:cstheme="minorHAnsi"/>
                <w:color w:val="000000"/>
                <w:sz w:val="24"/>
                <w:szCs w:val="24"/>
              </w:rPr>
              <w:t>36.7%</w:t>
            </w:r>
          </w:p>
        </w:tc>
      </w:tr>
      <w:tr w:rsidR="00701842" w:rsidRPr="00F73339" w14:paraId="43F77FE1" w14:textId="77777777" w:rsidTr="00033993">
        <w:trPr>
          <w:cantSplit/>
          <w:trHeight w:val="314"/>
          <w:jc w:val="center"/>
        </w:trPr>
        <w:tc>
          <w:tcPr>
            <w:tcW w:w="2900" w:type="dxa"/>
            <w:tcBorders>
              <w:top w:val="nil"/>
              <w:left w:val="single" w:sz="4" w:space="0" w:color="auto"/>
              <w:bottom w:val="single" w:sz="4" w:space="0" w:color="auto"/>
              <w:right w:val="single" w:sz="4" w:space="0" w:color="auto"/>
            </w:tcBorders>
            <w:shd w:val="clear" w:color="auto" w:fill="auto"/>
            <w:vAlign w:val="center"/>
            <w:hideMark/>
          </w:tcPr>
          <w:p w14:paraId="17AE67B8" w14:textId="77777777" w:rsidR="00701842" w:rsidRPr="00701842" w:rsidRDefault="00701842" w:rsidP="00701842">
            <w:pPr>
              <w:spacing w:after="0" w:line="240" w:lineRule="auto"/>
              <w:rPr>
                <w:rFonts w:eastAsia="Times New Roman" w:cstheme="minorHAnsi"/>
                <w:color w:val="000000"/>
                <w:sz w:val="24"/>
                <w:szCs w:val="24"/>
              </w:rPr>
            </w:pPr>
            <w:r w:rsidRPr="00701842">
              <w:rPr>
                <w:rFonts w:eastAsia="Times New Roman" w:cstheme="minorHAnsi"/>
                <w:color w:val="000000"/>
                <w:sz w:val="24"/>
                <w:szCs w:val="24"/>
              </w:rPr>
              <w:t>Commercial Medicare</w:t>
            </w:r>
          </w:p>
        </w:tc>
        <w:tc>
          <w:tcPr>
            <w:tcW w:w="942" w:type="dxa"/>
            <w:tcBorders>
              <w:top w:val="nil"/>
              <w:left w:val="nil"/>
              <w:bottom w:val="single" w:sz="4" w:space="0" w:color="auto"/>
              <w:right w:val="single" w:sz="4" w:space="0" w:color="auto"/>
            </w:tcBorders>
            <w:shd w:val="clear" w:color="auto" w:fill="auto"/>
            <w:vAlign w:val="center"/>
            <w:hideMark/>
          </w:tcPr>
          <w:p w14:paraId="18CDCB9F" w14:textId="55A1359F" w:rsidR="00701842" w:rsidRPr="00701842" w:rsidRDefault="00701842" w:rsidP="00701842">
            <w:pPr>
              <w:spacing w:after="0" w:line="240" w:lineRule="auto"/>
              <w:jc w:val="right"/>
              <w:rPr>
                <w:rFonts w:eastAsia="Times New Roman" w:cstheme="minorHAnsi"/>
                <w:color w:val="000000"/>
                <w:sz w:val="24"/>
                <w:szCs w:val="24"/>
              </w:rPr>
            </w:pPr>
            <w:r w:rsidRPr="00701842">
              <w:rPr>
                <w:rFonts w:eastAsia="Times New Roman" w:cstheme="minorHAnsi"/>
                <w:color w:val="000000"/>
                <w:sz w:val="24"/>
                <w:szCs w:val="24"/>
              </w:rPr>
              <w:t>7.5%</w:t>
            </w:r>
          </w:p>
        </w:tc>
        <w:tc>
          <w:tcPr>
            <w:tcW w:w="960" w:type="dxa"/>
            <w:tcBorders>
              <w:top w:val="nil"/>
              <w:left w:val="nil"/>
              <w:bottom w:val="single" w:sz="4" w:space="0" w:color="auto"/>
              <w:right w:val="single" w:sz="4" w:space="0" w:color="auto"/>
            </w:tcBorders>
            <w:shd w:val="clear" w:color="auto" w:fill="auto"/>
            <w:noWrap/>
            <w:vAlign w:val="center"/>
            <w:hideMark/>
          </w:tcPr>
          <w:p w14:paraId="2A095B12" w14:textId="4FF14244" w:rsidR="00701842" w:rsidRPr="00701842" w:rsidRDefault="00701842" w:rsidP="00701842">
            <w:pPr>
              <w:spacing w:after="0" w:line="240" w:lineRule="auto"/>
              <w:jc w:val="right"/>
              <w:rPr>
                <w:rFonts w:eastAsia="Times New Roman" w:cstheme="minorHAnsi"/>
                <w:color w:val="000000"/>
                <w:sz w:val="24"/>
                <w:szCs w:val="24"/>
              </w:rPr>
            </w:pPr>
            <w:r w:rsidRPr="00701842">
              <w:rPr>
                <w:rFonts w:eastAsia="Times New Roman" w:cstheme="minorHAnsi"/>
                <w:color w:val="000000"/>
                <w:sz w:val="24"/>
                <w:szCs w:val="24"/>
              </w:rPr>
              <w:t>13.5%</w:t>
            </w:r>
          </w:p>
        </w:tc>
      </w:tr>
      <w:tr w:rsidR="00701842" w:rsidRPr="00F73339" w14:paraId="71096F77" w14:textId="77777777" w:rsidTr="00033993">
        <w:trPr>
          <w:cantSplit/>
          <w:trHeight w:val="300"/>
          <w:jc w:val="center"/>
        </w:trPr>
        <w:tc>
          <w:tcPr>
            <w:tcW w:w="2900" w:type="dxa"/>
            <w:tcBorders>
              <w:top w:val="nil"/>
              <w:left w:val="single" w:sz="4" w:space="0" w:color="auto"/>
              <w:bottom w:val="single" w:sz="4" w:space="0" w:color="auto"/>
              <w:right w:val="single" w:sz="4" w:space="0" w:color="auto"/>
            </w:tcBorders>
            <w:shd w:val="clear" w:color="auto" w:fill="auto"/>
            <w:vAlign w:val="center"/>
            <w:hideMark/>
          </w:tcPr>
          <w:p w14:paraId="08F1B960" w14:textId="77777777" w:rsidR="00701842" w:rsidRPr="00701842" w:rsidRDefault="00701842" w:rsidP="00701842">
            <w:pPr>
              <w:spacing w:after="0" w:line="240" w:lineRule="auto"/>
              <w:rPr>
                <w:rFonts w:eastAsia="Times New Roman" w:cstheme="minorHAnsi"/>
                <w:color w:val="000000"/>
                <w:sz w:val="24"/>
                <w:szCs w:val="24"/>
              </w:rPr>
            </w:pPr>
            <w:r w:rsidRPr="00701842">
              <w:rPr>
                <w:rFonts w:eastAsia="Times New Roman" w:cstheme="minorHAnsi"/>
                <w:color w:val="000000"/>
                <w:sz w:val="24"/>
                <w:szCs w:val="24"/>
              </w:rPr>
              <w:t>MassHealth</w:t>
            </w:r>
          </w:p>
        </w:tc>
        <w:tc>
          <w:tcPr>
            <w:tcW w:w="942" w:type="dxa"/>
            <w:tcBorders>
              <w:top w:val="nil"/>
              <w:left w:val="nil"/>
              <w:bottom w:val="single" w:sz="4" w:space="0" w:color="auto"/>
              <w:right w:val="single" w:sz="4" w:space="0" w:color="auto"/>
            </w:tcBorders>
            <w:shd w:val="clear" w:color="auto" w:fill="auto"/>
            <w:vAlign w:val="center"/>
            <w:hideMark/>
          </w:tcPr>
          <w:p w14:paraId="3C615B29" w14:textId="24930348" w:rsidR="00701842" w:rsidRPr="00701842" w:rsidRDefault="00701842" w:rsidP="00701842">
            <w:pPr>
              <w:spacing w:after="0" w:line="240" w:lineRule="auto"/>
              <w:jc w:val="right"/>
              <w:rPr>
                <w:rFonts w:eastAsia="Times New Roman" w:cstheme="minorHAnsi"/>
                <w:color w:val="000000"/>
                <w:sz w:val="24"/>
                <w:szCs w:val="24"/>
              </w:rPr>
            </w:pPr>
            <w:r w:rsidRPr="00701842">
              <w:rPr>
                <w:rFonts w:eastAsia="Times New Roman" w:cstheme="minorHAnsi"/>
                <w:color w:val="000000"/>
                <w:sz w:val="24"/>
                <w:szCs w:val="24"/>
              </w:rPr>
              <w:t>6.0%</w:t>
            </w:r>
          </w:p>
        </w:tc>
        <w:tc>
          <w:tcPr>
            <w:tcW w:w="960" w:type="dxa"/>
            <w:tcBorders>
              <w:top w:val="nil"/>
              <w:left w:val="nil"/>
              <w:bottom w:val="single" w:sz="4" w:space="0" w:color="auto"/>
              <w:right w:val="single" w:sz="4" w:space="0" w:color="auto"/>
            </w:tcBorders>
            <w:shd w:val="clear" w:color="auto" w:fill="auto"/>
            <w:noWrap/>
            <w:vAlign w:val="center"/>
            <w:hideMark/>
          </w:tcPr>
          <w:p w14:paraId="7DF31213" w14:textId="758813C0" w:rsidR="00701842" w:rsidRPr="00701842" w:rsidRDefault="00701842" w:rsidP="00701842">
            <w:pPr>
              <w:spacing w:after="0" w:line="240" w:lineRule="auto"/>
              <w:jc w:val="right"/>
              <w:rPr>
                <w:rFonts w:eastAsia="Times New Roman" w:cstheme="minorHAnsi"/>
                <w:color w:val="000000"/>
                <w:sz w:val="24"/>
                <w:szCs w:val="24"/>
              </w:rPr>
            </w:pPr>
            <w:r w:rsidRPr="00701842">
              <w:rPr>
                <w:rFonts w:eastAsia="Times New Roman" w:cstheme="minorHAnsi"/>
                <w:color w:val="000000"/>
                <w:sz w:val="24"/>
                <w:szCs w:val="24"/>
              </w:rPr>
              <w:t>9.4%</w:t>
            </w:r>
          </w:p>
        </w:tc>
      </w:tr>
      <w:tr w:rsidR="00701842" w:rsidRPr="00F73339" w14:paraId="5CAF4E84" w14:textId="77777777" w:rsidTr="00033993">
        <w:trPr>
          <w:cantSplit/>
          <w:trHeight w:val="314"/>
          <w:jc w:val="center"/>
        </w:trPr>
        <w:tc>
          <w:tcPr>
            <w:tcW w:w="2900" w:type="dxa"/>
            <w:tcBorders>
              <w:top w:val="nil"/>
              <w:left w:val="single" w:sz="4" w:space="0" w:color="auto"/>
              <w:bottom w:val="single" w:sz="4" w:space="0" w:color="auto"/>
              <w:right w:val="single" w:sz="4" w:space="0" w:color="auto"/>
            </w:tcBorders>
            <w:shd w:val="clear" w:color="auto" w:fill="auto"/>
            <w:vAlign w:val="center"/>
            <w:hideMark/>
          </w:tcPr>
          <w:p w14:paraId="12061F25" w14:textId="77777777" w:rsidR="00701842" w:rsidRPr="00701842" w:rsidRDefault="00701842" w:rsidP="00701842">
            <w:pPr>
              <w:spacing w:after="0" w:line="240" w:lineRule="auto"/>
              <w:rPr>
                <w:rFonts w:eastAsia="Times New Roman" w:cstheme="minorHAnsi"/>
                <w:color w:val="000000"/>
                <w:sz w:val="24"/>
                <w:szCs w:val="24"/>
              </w:rPr>
            </w:pPr>
            <w:r w:rsidRPr="00701842">
              <w:rPr>
                <w:rFonts w:eastAsia="Times New Roman" w:cstheme="minorHAnsi"/>
                <w:color w:val="000000"/>
                <w:sz w:val="24"/>
                <w:szCs w:val="24"/>
              </w:rPr>
              <w:t>Managed Medicaid</w:t>
            </w:r>
          </w:p>
        </w:tc>
        <w:tc>
          <w:tcPr>
            <w:tcW w:w="942" w:type="dxa"/>
            <w:tcBorders>
              <w:top w:val="nil"/>
              <w:left w:val="nil"/>
              <w:bottom w:val="single" w:sz="4" w:space="0" w:color="auto"/>
              <w:right w:val="single" w:sz="4" w:space="0" w:color="auto"/>
            </w:tcBorders>
            <w:shd w:val="clear" w:color="auto" w:fill="auto"/>
            <w:vAlign w:val="center"/>
            <w:hideMark/>
          </w:tcPr>
          <w:p w14:paraId="0FE58C1C" w14:textId="45796359" w:rsidR="00701842" w:rsidRPr="00701842" w:rsidRDefault="00701842" w:rsidP="00701842">
            <w:pPr>
              <w:spacing w:after="0" w:line="240" w:lineRule="auto"/>
              <w:jc w:val="right"/>
              <w:rPr>
                <w:rFonts w:eastAsia="Times New Roman" w:cstheme="minorHAnsi"/>
                <w:color w:val="000000"/>
                <w:sz w:val="24"/>
                <w:szCs w:val="24"/>
              </w:rPr>
            </w:pPr>
            <w:r w:rsidRPr="00701842">
              <w:rPr>
                <w:rFonts w:eastAsia="Times New Roman" w:cstheme="minorHAnsi"/>
                <w:color w:val="000000"/>
                <w:sz w:val="24"/>
                <w:szCs w:val="24"/>
              </w:rPr>
              <w:t>2.3%</w:t>
            </w:r>
          </w:p>
        </w:tc>
        <w:tc>
          <w:tcPr>
            <w:tcW w:w="960" w:type="dxa"/>
            <w:tcBorders>
              <w:top w:val="nil"/>
              <w:left w:val="nil"/>
              <w:bottom w:val="single" w:sz="4" w:space="0" w:color="auto"/>
              <w:right w:val="single" w:sz="4" w:space="0" w:color="auto"/>
            </w:tcBorders>
            <w:shd w:val="clear" w:color="auto" w:fill="auto"/>
            <w:noWrap/>
            <w:vAlign w:val="center"/>
            <w:hideMark/>
          </w:tcPr>
          <w:p w14:paraId="743CD474" w14:textId="5CE52E7A" w:rsidR="00701842" w:rsidRPr="00701842" w:rsidRDefault="00701842" w:rsidP="00701842">
            <w:pPr>
              <w:spacing w:after="0" w:line="240" w:lineRule="auto"/>
              <w:jc w:val="right"/>
              <w:rPr>
                <w:rFonts w:eastAsia="Times New Roman" w:cstheme="minorHAnsi"/>
                <w:color w:val="000000"/>
                <w:sz w:val="24"/>
                <w:szCs w:val="24"/>
              </w:rPr>
            </w:pPr>
            <w:r w:rsidRPr="00701842">
              <w:rPr>
                <w:rFonts w:eastAsia="Times New Roman" w:cstheme="minorHAnsi"/>
                <w:color w:val="000000"/>
                <w:sz w:val="24"/>
                <w:szCs w:val="24"/>
              </w:rPr>
              <w:t>2.9%</w:t>
            </w:r>
          </w:p>
        </w:tc>
      </w:tr>
      <w:tr w:rsidR="00701842" w:rsidRPr="00F73339" w14:paraId="5C350D67" w14:textId="77777777" w:rsidTr="00033993">
        <w:trPr>
          <w:cantSplit/>
          <w:trHeight w:val="170"/>
          <w:jc w:val="center"/>
        </w:trPr>
        <w:tc>
          <w:tcPr>
            <w:tcW w:w="2900" w:type="dxa"/>
            <w:tcBorders>
              <w:top w:val="nil"/>
              <w:left w:val="single" w:sz="4" w:space="0" w:color="auto"/>
              <w:bottom w:val="single" w:sz="4" w:space="0" w:color="auto"/>
              <w:right w:val="single" w:sz="4" w:space="0" w:color="auto"/>
            </w:tcBorders>
            <w:shd w:val="clear" w:color="auto" w:fill="auto"/>
            <w:noWrap/>
            <w:vAlign w:val="bottom"/>
            <w:hideMark/>
          </w:tcPr>
          <w:p w14:paraId="4C63F8D7" w14:textId="2BB88B41" w:rsidR="00701842" w:rsidRPr="00701842" w:rsidRDefault="00701842" w:rsidP="00701842">
            <w:pPr>
              <w:spacing w:after="0" w:line="240" w:lineRule="auto"/>
              <w:rPr>
                <w:rFonts w:eastAsia="Times New Roman" w:cstheme="minorHAnsi"/>
                <w:color w:val="000000"/>
                <w:sz w:val="24"/>
                <w:szCs w:val="24"/>
              </w:rPr>
            </w:pPr>
            <w:r w:rsidRPr="00701842">
              <w:rPr>
                <w:rFonts w:eastAsia="Times New Roman" w:cstheme="minorHAnsi"/>
                <w:color w:val="000000"/>
                <w:sz w:val="24"/>
                <w:szCs w:val="24"/>
              </w:rPr>
              <w:t>Other</w:t>
            </w:r>
            <w:r w:rsidRPr="00701842">
              <w:rPr>
                <w:rStyle w:val="FootnoteReference"/>
                <w:rFonts w:eastAsia="Times New Roman" w:cstheme="minorHAnsi"/>
                <w:color w:val="000000"/>
                <w:sz w:val="24"/>
                <w:szCs w:val="24"/>
              </w:rPr>
              <w:footnoteReference w:id="9"/>
            </w:r>
          </w:p>
        </w:tc>
        <w:tc>
          <w:tcPr>
            <w:tcW w:w="942" w:type="dxa"/>
            <w:tcBorders>
              <w:top w:val="nil"/>
              <w:left w:val="nil"/>
              <w:bottom w:val="single" w:sz="4" w:space="0" w:color="auto"/>
              <w:right w:val="single" w:sz="4" w:space="0" w:color="auto"/>
            </w:tcBorders>
            <w:shd w:val="clear" w:color="auto" w:fill="auto"/>
            <w:vAlign w:val="center"/>
            <w:hideMark/>
          </w:tcPr>
          <w:p w14:paraId="324E369C" w14:textId="57E5916C" w:rsidR="00701842" w:rsidRPr="00701842" w:rsidRDefault="00701842" w:rsidP="00701842">
            <w:pPr>
              <w:spacing w:after="0" w:line="240" w:lineRule="auto"/>
              <w:jc w:val="right"/>
              <w:rPr>
                <w:rFonts w:eastAsia="Times New Roman" w:cstheme="minorHAnsi"/>
                <w:color w:val="000000"/>
                <w:sz w:val="24"/>
                <w:szCs w:val="24"/>
              </w:rPr>
            </w:pPr>
            <w:r w:rsidRPr="00701842">
              <w:rPr>
                <w:rFonts w:eastAsia="Times New Roman" w:cstheme="minorHAnsi"/>
                <w:color w:val="000000"/>
                <w:sz w:val="24"/>
                <w:szCs w:val="24"/>
              </w:rPr>
              <w:t>6.0%</w:t>
            </w:r>
          </w:p>
        </w:tc>
        <w:tc>
          <w:tcPr>
            <w:tcW w:w="960" w:type="dxa"/>
            <w:tcBorders>
              <w:top w:val="nil"/>
              <w:left w:val="nil"/>
              <w:bottom w:val="single" w:sz="4" w:space="0" w:color="auto"/>
              <w:right w:val="single" w:sz="4" w:space="0" w:color="auto"/>
            </w:tcBorders>
            <w:shd w:val="clear" w:color="auto" w:fill="auto"/>
            <w:noWrap/>
            <w:vAlign w:val="center"/>
            <w:hideMark/>
          </w:tcPr>
          <w:p w14:paraId="7D91C4BA" w14:textId="5F34D815" w:rsidR="00701842" w:rsidRPr="00701842" w:rsidRDefault="00701842" w:rsidP="00701842">
            <w:pPr>
              <w:spacing w:after="0" w:line="240" w:lineRule="auto"/>
              <w:jc w:val="right"/>
              <w:rPr>
                <w:rFonts w:eastAsia="Times New Roman" w:cstheme="minorHAnsi"/>
                <w:color w:val="000000"/>
                <w:sz w:val="24"/>
                <w:szCs w:val="24"/>
              </w:rPr>
            </w:pPr>
            <w:r w:rsidRPr="00701842">
              <w:rPr>
                <w:rFonts w:eastAsia="Times New Roman" w:cstheme="minorHAnsi"/>
                <w:color w:val="000000"/>
                <w:sz w:val="24"/>
                <w:szCs w:val="24"/>
              </w:rPr>
              <w:t>5.5%</w:t>
            </w:r>
          </w:p>
        </w:tc>
      </w:tr>
      <w:tr w:rsidR="00701842" w:rsidRPr="00F73339" w14:paraId="0194FB35" w14:textId="77777777" w:rsidTr="00033993">
        <w:trPr>
          <w:cantSplit/>
          <w:trHeight w:val="300"/>
          <w:jc w:val="center"/>
        </w:trPr>
        <w:tc>
          <w:tcPr>
            <w:tcW w:w="2900" w:type="dxa"/>
            <w:tcBorders>
              <w:top w:val="nil"/>
              <w:left w:val="single" w:sz="4" w:space="0" w:color="auto"/>
              <w:bottom w:val="single" w:sz="4" w:space="0" w:color="auto"/>
              <w:right w:val="single" w:sz="4" w:space="0" w:color="auto"/>
            </w:tcBorders>
            <w:shd w:val="clear" w:color="auto" w:fill="auto"/>
            <w:vAlign w:val="center"/>
            <w:hideMark/>
          </w:tcPr>
          <w:p w14:paraId="7A500FBE" w14:textId="77777777" w:rsidR="00701842" w:rsidRPr="00701842" w:rsidRDefault="00701842" w:rsidP="00701842">
            <w:pPr>
              <w:spacing w:after="0" w:line="240" w:lineRule="auto"/>
              <w:rPr>
                <w:rFonts w:eastAsia="Times New Roman" w:cstheme="minorHAnsi"/>
                <w:b/>
                <w:bCs/>
                <w:color w:val="000000"/>
                <w:sz w:val="24"/>
                <w:szCs w:val="24"/>
              </w:rPr>
            </w:pPr>
            <w:r w:rsidRPr="00701842">
              <w:rPr>
                <w:rFonts w:eastAsia="Times New Roman" w:cstheme="minorHAnsi"/>
                <w:b/>
                <w:bCs/>
                <w:color w:val="000000"/>
                <w:sz w:val="24"/>
                <w:szCs w:val="24"/>
              </w:rPr>
              <w:t>Total</w:t>
            </w:r>
          </w:p>
        </w:tc>
        <w:tc>
          <w:tcPr>
            <w:tcW w:w="942" w:type="dxa"/>
            <w:tcBorders>
              <w:top w:val="nil"/>
              <w:left w:val="nil"/>
              <w:bottom w:val="single" w:sz="4" w:space="0" w:color="auto"/>
              <w:right w:val="single" w:sz="4" w:space="0" w:color="auto"/>
            </w:tcBorders>
            <w:shd w:val="clear" w:color="auto" w:fill="auto"/>
            <w:vAlign w:val="center"/>
            <w:hideMark/>
          </w:tcPr>
          <w:p w14:paraId="6C78D85E" w14:textId="47DBD775" w:rsidR="00701842" w:rsidRPr="00701842" w:rsidRDefault="00701842" w:rsidP="00701842">
            <w:pPr>
              <w:spacing w:after="0" w:line="240" w:lineRule="auto"/>
              <w:jc w:val="right"/>
              <w:rPr>
                <w:rFonts w:eastAsia="Times New Roman" w:cstheme="minorHAnsi"/>
                <w:b/>
                <w:bCs/>
                <w:color w:val="000000"/>
                <w:sz w:val="24"/>
                <w:szCs w:val="24"/>
              </w:rPr>
            </w:pPr>
            <w:r w:rsidRPr="00701842">
              <w:rPr>
                <w:rFonts w:eastAsia="Times New Roman" w:cstheme="minorHAnsi"/>
                <w:b/>
                <w:bCs/>
                <w:color w:val="000000"/>
                <w:sz w:val="24"/>
                <w:szCs w:val="24"/>
              </w:rPr>
              <w:t>100.0%</w:t>
            </w:r>
          </w:p>
        </w:tc>
        <w:tc>
          <w:tcPr>
            <w:tcW w:w="960" w:type="dxa"/>
            <w:tcBorders>
              <w:top w:val="nil"/>
              <w:left w:val="nil"/>
              <w:bottom w:val="single" w:sz="4" w:space="0" w:color="auto"/>
              <w:right w:val="single" w:sz="4" w:space="0" w:color="auto"/>
            </w:tcBorders>
            <w:shd w:val="clear" w:color="auto" w:fill="auto"/>
            <w:noWrap/>
            <w:vAlign w:val="center"/>
            <w:hideMark/>
          </w:tcPr>
          <w:p w14:paraId="73118129" w14:textId="09528EB3" w:rsidR="00701842" w:rsidRPr="00701842" w:rsidRDefault="00701842" w:rsidP="00701842">
            <w:pPr>
              <w:spacing w:after="0" w:line="240" w:lineRule="auto"/>
              <w:jc w:val="right"/>
              <w:rPr>
                <w:rFonts w:eastAsia="Times New Roman" w:cstheme="minorHAnsi"/>
                <w:color w:val="000000"/>
                <w:sz w:val="24"/>
                <w:szCs w:val="24"/>
              </w:rPr>
            </w:pPr>
            <w:r w:rsidRPr="00701842">
              <w:rPr>
                <w:rFonts w:eastAsia="Times New Roman" w:cstheme="minorHAnsi"/>
                <w:color w:val="000000"/>
                <w:sz w:val="24"/>
                <w:szCs w:val="24"/>
              </w:rPr>
              <w:t>100.0%</w:t>
            </w:r>
          </w:p>
        </w:tc>
      </w:tr>
    </w:tbl>
    <w:p w14:paraId="2B68DC14" w14:textId="5B1A7359" w:rsidR="00B30C38" w:rsidRDefault="00B30C38" w:rsidP="00F73339">
      <w:pPr>
        <w:spacing w:after="0"/>
        <w:jc w:val="center"/>
      </w:pPr>
    </w:p>
    <w:p w14:paraId="7CB25DC3" w14:textId="74ECC9AA" w:rsidR="003E1CDA" w:rsidRPr="0093651C" w:rsidRDefault="003E1CDA" w:rsidP="002B05B4">
      <w:pPr>
        <w:pStyle w:val="Heading1"/>
      </w:pPr>
      <w:bookmarkStart w:id="4" w:name="_Toc144121529"/>
      <w:r w:rsidRPr="0093651C">
        <w:t>Factor 1: a) Patient Panel Need</w:t>
      </w:r>
      <w:bookmarkEnd w:id="4"/>
      <w:r w:rsidR="009E7CA4">
        <w:t xml:space="preserve"> </w:t>
      </w:r>
    </w:p>
    <w:p w14:paraId="7BFA4A99" w14:textId="2B67A47B" w:rsidR="00684D63" w:rsidRDefault="00684D63" w:rsidP="00D276EB">
      <w:pPr>
        <w:rPr>
          <w:sz w:val="24"/>
          <w:szCs w:val="24"/>
        </w:rPr>
      </w:pPr>
      <w:r w:rsidRPr="003E1CDA">
        <w:rPr>
          <w:sz w:val="24"/>
          <w:szCs w:val="24"/>
        </w:rPr>
        <w:t xml:space="preserve">The Applicant attributes Patient Panel need for </w:t>
      </w:r>
      <w:r>
        <w:rPr>
          <w:sz w:val="24"/>
          <w:szCs w:val="24"/>
        </w:rPr>
        <w:t xml:space="preserve">the Proposed Project </w:t>
      </w:r>
      <w:r w:rsidRPr="003E1CDA">
        <w:rPr>
          <w:sz w:val="24"/>
          <w:szCs w:val="24"/>
        </w:rPr>
        <w:t>to the following:</w:t>
      </w:r>
    </w:p>
    <w:p w14:paraId="4D9C2408" w14:textId="77777777" w:rsidR="00D276EB" w:rsidRPr="00D276EB" w:rsidRDefault="00D276EB" w:rsidP="00D276EB">
      <w:pPr>
        <w:numPr>
          <w:ilvl w:val="0"/>
          <w:numId w:val="2"/>
        </w:numPr>
        <w:spacing w:after="0" w:line="240" w:lineRule="auto"/>
        <w:rPr>
          <w:sz w:val="24"/>
          <w:szCs w:val="24"/>
        </w:rPr>
      </w:pPr>
      <w:r w:rsidRPr="00D276EB">
        <w:rPr>
          <w:sz w:val="24"/>
          <w:szCs w:val="24"/>
        </w:rPr>
        <w:t xml:space="preserve">Historical Growth in CT Scan Volume </w:t>
      </w:r>
    </w:p>
    <w:p w14:paraId="7A1F2829" w14:textId="77777777" w:rsidR="00D276EB" w:rsidRPr="00D276EB" w:rsidRDefault="00D276EB" w:rsidP="00D276EB">
      <w:pPr>
        <w:numPr>
          <w:ilvl w:val="0"/>
          <w:numId w:val="2"/>
        </w:numPr>
        <w:spacing w:after="0" w:line="240" w:lineRule="auto"/>
        <w:rPr>
          <w:sz w:val="24"/>
          <w:szCs w:val="24"/>
        </w:rPr>
      </w:pPr>
      <w:r w:rsidRPr="00D276EB">
        <w:rPr>
          <w:sz w:val="24"/>
          <w:szCs w:val="24"/>
        </w:rPr>
        <w:t>Need for Timely Access to CT for ED patients</w:t>
      </w:r>
    </w:p>
    <w:p w14:paraId="1854A442" w14:textId="77777777" w:rsidR="00D276EB" w:rsidRPr="00D276EB" w:rsidRDefault="00D276EB" w:rsidP="00D276EB">
      <w:pPr>
        <w:numPr>
          <w:ilvl w:val="0"/>
          <w:numId w:val="2"/>
        </w:numPr>
        <w:spacing w:after="0" w:line="240" w:lineRule="auto"/>
        <w:rPr>
          <w:sz w:val="24"/>
          <w:szCs w:val="24"/>
        </w:rPr>
      </w:pPr>
      <w:r w:rsidRPr="00D276EB">
        <w:rPr>
          <w:sz w:val="24"/>
          <w:szCs w:val="24"/>
        </w:rPr>
        <w:t>Need for Timely Access to CT for other in- and out-patients</w:t>
      </w:r>
    </w:p>
    <w:p w14:paraId="022E3918" w14:textId="77777777" w:rsidR="00D276EB" w:rsidRPr="00D276EB" w:rsidRDefault="00D276EB" w:rsidP="00D276EB">
      <w:pPr>
        <w:numPr>
          <w:ilvl w:val="0"/>
          <w:numId w:val="2"/>
        </w:numPr>
        <w:spacing w:after="0" w:line="240" w:lineRule="auto"/>
        <w:rPr>
          <w:sz w:val="24"/>
          <w:szCs w:val="24"/>
        </w:rPr>
      </w:pPr>
      <w:r w:rsidRPr="00D276EB">
        <w:rPr>
          <w:sz w:val="24"/>
          <w:szCs w:val="24"/>
        </w:rPr>
        <w:t xml:space="preserve">Need to account for Population Growth including among the Aging Population </w:t>
      </w:r>
    </w:p>
    <w:p w14:paraId="4250FB46" w14:textId="77777777" w:rsidR="00D276EB" w:rsidRPr="00D276EB" w:rsidRDefault="00D276EB" w:rsidP="00D276EB">
      <w:pPr>
        <w:spacing w:after="0" w:line="240" w:lineRule="auto"/>
        <w:rPr>
          <w:bCs/>
          <w:sz w:val="24"/>
          <w:szCs w:val="24"/>
        </w:rPr>
      </w:pPr>
    </w:p>
    <w:p w14:paraId="37C4970E" w14:textId="77777777" w:rsidR="00D276EB" w:rsidRPr="00D276EB" w:rsidRDefault="00D276EB" w:rsidP="00D276EB">
      <w:pPr>
        <w:numPr>
          <w:ilvl w:val="0"/>
          <w:numId w:val="13"/>
        </w:numPr>
        <w:spacing w:after="0" w:line="240" w:lineRule="auto"/>
        <w:rPr>
          <w:b/>
          <w:bCs/>
          <w:sz w:val="24"/>
          <w:szCs w:val="24"/>
        </w:rPr>
      </w:pPr>
      <w:r w:rsidRPr="00D276EB">
        <w:rPr>
          <w:b/>
          <w:bCs/>
          <w:sz w:val="24"/>
          <w:szCs w:val="24"/>
        </w:rPr>
        <w:lastRenderedPageBreak/>
        <w:t xml:space="preserve">Historical Growth in CT Scan Volume </w:t>
      </w:r>
    </w:p>
    <w:p w14:paraId="0BE3D0C7" w14:textId="77777777" w:rsidR="00D276EB" w:rsidRPr="00D276EB" w:rsidRDefault="00D276EB" w:rsidP="00D276EB">
      <w:pPr>
        <w:spacing w:after="0" w:line="240" w:lineRule="auto"/>
        <w:rPr>
          <w:bCs/>
          <w:sz w:val="24"/>
          <w:szCs w:val="24"/>
        </w:rPr>
      </w:pPr>
    </w:p>
    <w:p w14:paraId="3DCD09DB" w14:textId="7B341A6C" w:rsidR="00D276EB" w:rsidRDefault="004D7C4A" w:rsidP="00D276EB">
      <w:pPr>
        <w:spacing w:after="0" w:line="240" w:lineRule="auto"/>
        <w:rPr>
          <w:bCs/>
          <w:sz w:val="24"/>
          <w:szCs w:val="24"/>
        </w:rPr>
      </w:pPr>
      <w:r>
        <w:rPr>
          <w:bCs/>
          <w:sz w:val="24"/>
          <w:szCs w:val="24"/>
        </w:rPr>
        <w:t xml:space="preserve">Staff requested utilization data for 2019 to better understand the pre-COVID-19 pandemic volumes and determine whether the Applicant had regained scan volume. </w:t>
      </w:r>
      <w:r w:rsidR="00D276EB" w:rsidRPr="00D276EB">
        <w:rPr>
          <w:bCs/>
          <w:sz w:val="24"/>
          <w:szCs w:val="24"/>
        </w:rPr>
        <w:t xml:space="preserve">Following a decline in FY 2020 </w:t>
      </w:r>
      <w:r>
        <w:rPr>
          <w:bCs/>
          <w:sz w:val="24"/>
          <w:szCs w:val="24"/>
        </w:rPr>
        <w:t>(</w:t>
      </w:r>
      <w:r w:rsidR="00D276EB" w:rsidRPr="00D276EB">
        <w:rPr>
          <w:bCs/>
          <w:sz w:val="24"/>
          <w:szCs w:val="24"/>
        </w:rPr>
        <w:t>due to COVID</w:t>
      </w:r>
      <w:r>
        <w:rPr>
          <w:bCs/>
          <w:sz w:val="24"/>
          <w:szCs w:val="24"/>
        </w:rPr>
        <w:t>-</w:t>
      </w:r>
      <w:r w:rsidR="00D276EB" w:rsidRPr="00D276EB">
        <w:rPr>
          <w:bCs/>
          <w:sz w:val="24"/>
          <w:szCs w:val="24"/>
        </w:rPr>
        <w:t>19</w:t>
      </w:r>
      <w:r>
        <w:rPr>
          <w:bCs/>
          <w:sz w:val="24"/>
          <w:szCs w:val="24"/>
        </w:rPr>
        <w:t>)</w:t>
      </w:r>
      <w:r w:rsidR="00D276EB" w:rsidRPr="00D276EB">
        <w:rPr>
          <w:bCs/>
          <w:sz w:val="24"/>
          <w:szCs w:val="24"/>
        </w:rPr>
        <w:t>, CT volume at CDH increased each year</w:t>
      </w:r>
      <w:r>
        <w:rPr>
          <w:bCs/>
          <w:sz w:val="24"/>
          <w:szCs w:val="24"/>
        </w:rPr>
        <w:t xml:space="preserve"> and surpassed 2019 volumes in 2021.</w:t>
      </w:r>
      <w:r w:rsidR="00D276EB" w:rsidRPr="00D276EB">
        <w:rPr>
          <w:bCs/>
          <w:sz w:val="24"/>
          <w:szCs w:val="24"/>
        </w:rPr>
        <w:t xml:space="preserve"> </w:t>
      </w:r>
      <w:r>
        <w:rPr>
          <w:bCs/>
          <w:sz w:val="24"/>
          <w:szCs w:val="24"/>
        </w:rPr>
        <w:t>F</w:t>
      </w:r>
      <w:r w:rsidR="00D276EB" w:rsidRPr="00D276EB">
        <w:rPr>
          <w:bCs/>
          <w:sz w:val="24"/>
          <w:szCs w:val="24"/>
        </w:rPr>
        <w:t>rom FY20 to 21 there was a ~23% increase in total scans</w:t>
      </w:r>
      <w:r>
        <w:rPr>
          <w:bCs/>
          <w:sz w:val="24"/>
          <w:szCs w:val="24"/>
        </w:rPr>
        <w:t>;</w:t>
      </w:r>
      <w:r w:rsidR="00D276EB" w:rsidRPr="00D276EB">
        <w:rPr>
          <w:bCs/>
          <w:sz w:val="24"/>
          <w:szCs w:val="24"/>
        </w:rPr>
        <w:t xml:space="preserve"> and from FY21 to 22 there was a ~16% increase in </w:t>
      </w:r>
      <w:r>
        <w:rPr>
          <w:bCs/>
          <w:sz w:val="24"/>
          <w:szCs w:val="24"/>
        </w:rPr>
        <w:t xml:space="preserve">total </w:t>
      </w:r>
      <w:r w:rsidR="00D276EB" w:rsidRPr="00D276EB">
        <w:rPr>
          <w:bCs/>
          <w:sz w:val="24"/>
          <w:szCs w:val="24"/>
        </w:rPr>
        <w:t>scan</w:t>
      </w:r>
      <w:r>
        <w:rPr>
          <w:bCs/>
          <w:sz w:val="24"/>
          <w:szCs w:val="24"/>
        </w:rPr>
        <w:t>s.</w:t>
      </w:r>
      <w:r w:rsidR="00D276EB" w:rsidRPr="00D276EB">
        <w:rPr>
          <w:bCs/>
          <w:sz w:val="24"/>
          <w:szCs w:val="24"/>
        </w:rPr>
        <w:t xml:space="preserve"> </w:t>
      </w:r>
      <w:r>
        <w:rPr>
          <w:bCs/>
          <w:sz w:val="24"/>
          <w:szCs w:val="24"/>
        </w:rPr>
        <w:t xml:space="preserve">Staff </w:t>
      </w:r>
      <w:r w:rsidR="00D276EB" w:rsidRPr="00D276EB">
        <w:rPr>
          <w:bCs/>
          <w:sz w:val="24"/>
          <w:szCs w:val="24"/>
        </w:rPr>
        <w:t xml:space="preserve">annualized data for FY22 to 23 </w:t>
      </w:r>
      <w:r>
        <w:rPr>
          <w:bCs/>
          <w:sz w:val="24"/>
          <w:szCs w:val="24"/>
        </w:rPr>
        <w:t xml:space="preserve">which </w:t>
      </w:r>
      <w:r w:rsidR="00D276EB" w:rsidRPr="00D276EB">
        <w:rPr>
          <w:bCs/>
          <w:sz w:val="24"/>
          <w:szCs w:val="24"/>
        </w:rPr>
        <w:t xml:space="preserve">suggests that growth </w:t>
      </w:r>
      <w:r w:rsidR="00DE4E1C">
        <w:rPr>
          <w:bCs/>
          <w:sz w:val="24"/>
          <w:szCs w:val="24"/>
        </w:rPr>
        <w:t xml:space="preserve">would </w:t>
      </w:r>
      <w:r w:rsidR="00D276EB" w:rsidRPr="00D276EB">
        <w:rPr>
          <w:bCs/>
          <w:sz w:val="24"/>
          <w:szCs w:val="24"/>
        </w:rPr>
        <w:t>be ~ 28%. (</w:t>
      </w:r>
      <w:r w:rsidR="00D276EB" w:rsidRPr="00401553">
        <w:rPr>
          <w:bCs/>
          <w:sz w:val="24"/>
          <w:szCs w:val="24"/>
        </w:rPr>
        <w:t xml:space="preserve">See Table </w:t>
      </w:r>
      <w:r w:rsidR="00401553" w:rsidRPr="00401553">
        <w:rPr>
          <w:bCs/>
          <w:sz w:val="24"/>
          <w:szCs w:val="24"/>
        </w:rPr>
        <w:t>5</w:t>
      </w:r>
      <w:r w:rsidR="00401553">
        <w:rPr>
          <w:bCs/>
          <w:sz w:val="24"/>
          <w:szCs w:val="24"/>
        </w:rPr>
        <w:t>)</w:t>
      </w:r>
      <w:r w:rsidR="00AA6754">
        <w:rPr>
          <w:bCs/>
          <w:sz w:val="24"/>
          <w:szCs w:val="24"/>
        </w:rPr>
        <w:t xml:space="preserve">. This is greater than the </w:t>
      </w:r>
      <w:r w:rsidR="00465C7F">
        <w:rPr>
          <w:bCs/>
          <w:sz w:val="24"/>
          <w:szCs w:val="24"/>
        </w:rPr>
        <w:t>Applicant’s more</w:t>
      </w:r>
      <w:r w:rsidR="00AA6754">
        <w:rPr>
          <w:bCs/>
          <w:sz w:val="24"/>
          <w:szCs w:val="24"/>
        </w:rPr>
        <w:t xml:space="preserve"> conservative projections for 2023 of 23,994 scans; a 14% growth rate</w:t>
      </w:r>
      <w:r>
        <w:rPr>
          <w:bCs/>
          <w:sz w:val="24"/>
          <w:szCs w:val="24"/>
        </w:rPr>
        <w:t xml:space="preserve">. (Discussed later, </w:t>
      </w:r>
      <w:r w:rsidR="00AA6754">
        <w:rPr>
          <w:bCs/>
          <w:sz w:val="24"/>
          <w:szCs w:val="24"/>
        </w:rPr>
        <w:t xml:space="preserve">See Table 6.)  </w:t>
      </w:r>
    </w:p>
    <w:p w14:paraId="59DAD185" w14:textId="3AA4BC33" w:rsidR="00D276EB" w:rsidRDefault="00D276EB" w:rsidP="00D276EB">
      <w:pPr>
        <w:spacing w:after="0" w:line="240" w:lineRule="auto"/>
        <w:rPr>
          <w:bCs/>
          <w:sz w:val="24"/>
          <w:szCs w:val="24"/>
        </w:rPr>
      </w:pPr>
    </w:p>
    <w:p w14:paraId="5CD4C50C" w14:textId="77777777" w:rsidR="00D276EB" w:rsidRPr="00D276EB" w:rsidRDefault="00D276EB" w:rsidP="00D276EB">
      <w:pPr>
        <w:spacing w:after="0" w:line="240" w:lineRule="auto"/>
        <w:rPr>
          <w:bCs/>
          <w:sz w:val="24"/>
          <w:szCs w:val="24"/>
        </w:rPr>
      </w:pPr>
    </w:p>
    <w:p w14:paraId="7DFFECCC" w14:textId="489B4A2F" w:rsidR="00D276EB" w:rsidRPr="00D276EB" w:rsidRDefault="00D276EB" w:rsidP="00D276EB">
      <w:pPr>
        <w:spacing w:after="0" w:line="240" w:lineRule="auto"/>
        <w:rPr>
          <w:b/>
          <w:sz w:val="24"/>
          <w:szCs w:val="24"/>
        </w:rPr>
      </w:pPr>
      <w:bookmarkStart w:id="5" w:name="_Hlk140502484"/>
      <w:r w:rsidRPr="00401553">
        <w:rPr>
          <w:b/>
          <w:sz w:val="24"/>
          <w:szCs w:val="24"/>
        </w:rPr>
        <w:t xml:space="preserve">Table </w:t>
      </w:r>
      <w:r w:rsidR="00401553" w:rsidRPr="00401553">
        <w:rPr>
          <w:b/>
          <w:sz w:val="24"/>
          <w:szCs w:val="24"/>
        </w:rPr>
        <w:t>5</w:t>
      </w:r>
      <w:r w:rsidR="00401553">
        <w:rPr>
          <w:b/>
          <w:sz w:val="24"/>
          <w:szCs w:val="24"/>
        </w:rPr>
        <w:t>:</w:t>
      </w:r>
      <w:r w:rsidRPr="00D276EB">
        <w:rPr>
          <w:b/>
          <w:sz w:val="24"/>
          <w:szCs w:val="24"/>
        </w:rPr>
        <w:t xml:space="preserve"> Historical CT Volume: FY 2019- FY 2023 Year to Date and Annualized</w:t>
      </w:r>
    </w:p>
    <w:tbl>
      <w:tblPr>
        <w:tblW w:w="10800" w:type="dxa"/>
        <w:jc w:val="center"/>
        <w:tblLook w:val="04A0" w:firstRow="1" w:lastRow="0" w:firstColumn="1" w:lastColumn="0" w:noHBand="0" w:noVBand="1"/>
      </w:tblPr>
      <w:tblGrid>
        <w:gridCol w:w="1620"/>
        <w:gridCol w:w="885"/>
        <w:gridCol w:w="1151"/>
        <w:gridCol w:w="885"/>
        <w:gridCol w:w="1123"/>
        <w:gridCol w:w="885"/>
        <w:gridCol w:w="1151"/>
        <w:gridCol w:w="885"/>
        <w:gridCol w:w="885"/>
        <w:gridCol w:w="1330"/>
      </w:tblGrid>
      <w:tr w:rsidR="00D276EB" w:rsidRPr="00D276EB" w14:paraId="5E621DD0" w14:textId="77777777" w:rsidTr="00BC6E52">
        <w:trPr>
          <w:cantSplit/>
          <w:trHeight w:val="870"/>
          <w:tblHeader/>
          <w:jc w:val="center"/>
        </w:trPr>
        <w:tc>
          <w:tcPr>
            <w:tcW w:w="1620" w:type="dxa"/>
            <w:tcBorders>
              <w:top w:val="single" w:sz="4" w:space="0" w:color="auto"/>
              <w:left w:val="single" w:sz="4" w:space="0" w:color="auto"/>
              <w:bottom w:val="single" w:sz="4" w:space="0" w:color="auto"/>
              <w:right w:val="single" w:sz="4" w:space="0" w:color="auto"/>
            </w:tcBorders>
            <w:shd w:val="clear" w:color="auto" w:fill="E5FFFF"/>
            <w:vAlign w:val="center"/>
            <w:hideMark/>
          </w:tcPr>
          <w:p w14:paraId="5E2C50EF" w14:textId="77777777" w:rsidR="00D276EB" w:rsidRPr="00D276EB" w:rsidRDefault="00D276EB" w:rsidP="00D276EB">
            <w:pPr>
              <w:spacing w:after="0" w:line="240" w:lineRule="auto"/>
              <w:rPr>
                <w:b/>
                <w:bCs/>
                <w:sz w:val="24"/>
                <w:szCs w:val="24"/>
              </w:rPr>
            </w:pPr>
            <w:r w:rsidRPr="00D276EB">
              <w:rPr>
                <w:b/>
                <w:bCs/>
                <w:sz w:val="24"/>
                <w:szCs w:val="24"/>
              </w:rPr>
              <w:t>CT Scan Volume</w:t>
            </w:r>
          </w:p>
        </w:tc>
        <w:tc>
          <w:tcPr>
            <w:tcW w:w="885" w:type="dxa"/>
            <w:tcBorders>
              <w:top w:val="single" w:sz="4" w:space="0" w:color="auto"/>
              <w:left w:val="nil"/>
              <w:bottom w:val="single" w:sz="4" w:space="0" w:color="auto"/>
              <w:right w:val="single" w:sz="4" w:space="0" w:color="auto"/>
            </w:tcBorders>
            <w:shd w:val="clear" w:color="auto" w:fill="E5FFFF"/>
            <w:vAlign w:val="center"/>
            <w:hideMark/>
          </w:tcPr>
          <w:p w14:paraId="6529C05B" w14:textId="77777777" w:rsidR="00D276EB" w:rsidRPr="00D276EB" w:rsidRDefault="00D276EB" w:rsidP="000C305F">
            <w:pPr>
              <w:spacing w:after="0" w:line="240" w:lineRule="auto"/>
              <w:jc w:val="center"/>
              <w:rPr>
                <w:b/>
                <w:bCs/>
                <w:sz w:val="24"/>
                <w:szCs w:val="24"/>
              </w:rPr>
            </w:pPr>
            <w:r w:rsidRPr="00D276EB">
              <w:rPr>
                <w:b/>
                <w:bCs/>
                <w:sz w:val="24"/>
                <w:szCs w:val="24"/>
              </w:rPr>
              <w:t>FY19</w:t>
            </w:r>
          </w:p>
        </w:tc>
        <w:tc>
          <w:tcPr>
            <w:tcW w:w="1151" w:type="dxa"/>
            <w:tcBorders>
              <w:top w:val="single" w:sz="4" w:space="0" w:color="auto"/>
              <w:left w:val="nil"/>
              <w:bottom w:val="single" w:sz="4" w:space="0" w:color="auto"/>
              <w:right w:val="single" w:sz="4" w:space="0" w:color="auto"/>
            </w:tcBorders>
            <w:shd w:val="clear" w:color="auto" w:fill="E5FFFF"/>
            <w:vAlign w:val="center"/>
            <w:hideMark/>
          </w:tcPr>
          <w:p w14:paraId="0DC5539B" w14:textId="77777777" w:rsidR="00D276EB" w:rsidRPr="00D276EB" w:rsidRDefault="00D276EB" w:rsidP="000C305F">
            <w:pPr>
              <w:spacing w:after="0" w:line="240" w:lineRule="auto"/>
              <w:jc w:val="center"/>
              <w:rPr>
                <w:b/>
                <w:bCs/>
                <w:sz w:val="24"/>
                <w:szCs w:val="24"/>
              </w:rPr>
            </w:pPr>
            <w:r w:rsidRPr="00D276EB">
              <w:rPr>
                <w:b/>
                <w:bCs/>
                <w:sz w:val="24"/>
                <w:szCs w:val="24"/>
              </w:rPr>
              <w:t>FY 19-20          % Change</w:t>
            </w:r>
          </w:p>
        </w:tc>
        <w:tc>
          <w:tcPr>
            <w:tcW w:w="885" w:type="dxa"/>
            <w:tcBorders>
              <w:top w:val="single" w:sz="4" w:space="0" w:color="auto"/>
              <w:left w:val="nil"/>
              <w:bottom w:val="single" w:sz="4" w:space="0" w:color="auto"/>
              <w:right w:val="single" w:sz="4" w:space="0" w:color="auto"/>
            </w:tcBorders>
            <w:shd w:val="clear" w:color="auto" w:fill="E5FFFF"/>
            <w:vAlign w:val="center"/>
            <w:hideMark/>
          </w:tcPr>
          <w:p w14:paraId="66250E0A" w14:textId="77777777" w:rsidR="00D276EB" w:rsidRPr="00D276EB" w:rsidRDefault="00D276EB" w:rsidP="000C305F">
            <w:pPr>
              <w:spacing w:after="0" w:line="240" w:lineRule="auto"/>
              <w:jc w:val="center"/>
              <w:rPr>
                <w:b/>
                <w:bCs/>
                <w:sz w:val="24"/>
                <w:szCs w:val="24"/>
              </w:rPr>
            </w:pPr>
            <w:r w:rsidRPr="00D276EB">
              <w:rPr>
                <w:b/>
                <w:bCs/>
                <w:sz w:val="24"/>
                <w:szCs w:val="24"/>
              </w:rPr>
              <w:t>FY20</w:t>
            </w:r>
          </w:p>
        </w:tc>
        <w:tc>
          <w:tcPr>
            <w:tcW w:w="1123" w:type="dxa"/>
            <w:tcBorders>
              <w:top w:val="single" w:sz="4" w:space="0" w:color="auto"/>
              <w:left w:val="nil"/>
              <w:bottom w:val="single" w:sz="4" w:space="0" w:color="auto"/>
              <w:right w:val="single" w:sz="4" w:space="0" w:color="auto"/>
            </w:tcBorders>
            <w:shd w:val="clear" w:color="auto" w:fill="E5FFFF"/>
            <w:vAlign w:val="center"/>
            <w:hideMark/>
          </w:tcPr>
          <w:p w14:paraId="36988055" w14:textId="77777777" w:rsidR="00D276EB" w:rsidRPr="00D276EB" w:rsidRDefault="00D276EB" w:rsidP="000C305F">
            <w:pPr>
              <w:spacing w:after="0" w:line="240" w:lineRule="auto"/>
              <w:jc w:val="center"/>
              <w:rPr>
                <w:b/>
                <w:bCs/>
                <w:sz w:val="24"/>
                <w:szCs w:val="24"/>
              </w:rPr>
            </w:pPr>
            <w:r w:rsidRPr="00D276EB">
              <w:rPr>
                <w:b/>
                <w:bCs/>
                <w:sz w:val="24"/>
                <w:szCs w:val="24"/>
              </w:rPr>
              <w:t>FY 20-21          % Change</w:t>
            </w:r>
          </w:p>
        </w:tc>
        <w:tc>
          <w:tcPr>
            <w:tcW w:w="885" w:type="dxa"/>
            <w:tcBorders>
              <w:top w:val="single" w:sz="4" w:space="0" w:color="auto"/>
              <w:left w:val="nil"/>
              <w:bottom w:val="single" w:sz="4" w:space="0" w:color="auto"/>
              <w:right w:val="single" w:sz="4" w:space="0" w:color="auto"/>
            </w:tcBorders>
            <w:shd w:val="clear" w:color="auto" w:fill="E5FFFF"/>
            <w:vAlign w:val="center"/>
            <w:hideMark/>
          </w:tcPr>
          <w:p w14:paraId="13800989" w14:textId="77777777" w:rsidR="00D276EB" w:rsidRPr="00D276EB" w:rsidRDefault="00D276EB" w:rsidP="000C305F">
            <w:pPr>
              <w:spacing w:after="0" w:line="240" w:lineRule="auto"/>
              <w:jc w:val="center"/>
              <w:rPr>
                <w:b/>
                <w:bCs/>
                <w:sz w:val="24"/>
                <w:szCs w:val="24"/>
              </w:rPr>
            </w:pPr>
            <w:r w:rsidRPr="00D276EB">
              <w:rPr>
                <w:b/>
                <w:bCs/>
                <w:sz w:val="24"/>
                <w:szCs w:val="24"/>
              </w:rPr>
              <w:t>FY21</w:t>
            </w:r>
          </w:p>
        </w:tc>
        <w:tc>
          <w:tcPr>
            <w:tcW w:w="1151" w:type="dxa"/>
            <w:tcBorders>
              <w:top w:val="single" w:sz="4" w:space="0" w:color="auto"/>
              <w:left w:val="nil"/>
              <w:bottom w:val="single" w:sz="4" w:space="0" w:color="auto"/>
              <w:right w:val="single" w:sz="4" w:space="0" w:color="auto"/>
            </w:tcBorders>
            <w:shd w:val="clear" w:color="auto" w:fill="E5FFFF"/>
            <w:vAlign w:val="center"/>
            <w:hideMark/>
          </w:tcPr>
          <w:p w14:paraId="31FA7947" w14:textId="77777777" w:rsidR="00D276EB" w:rsidRPr="00D276EB" w:rsidRDefault="00D276EB" w:rsidP="000C305F">
            <w:pPr>
              <w:spacing w:after="0" w:line="240" w:lineRule="auto"/>
              <w:jc w:val="center"/>
              <w:rPr>
                <w:b/>
                <w:bCs/>
                <w:sz w:val="24"/>
                <w:szCs w:val="24"/>
              </w:rPr>
            </w:pPr>
            <w:r w:rsidRPr="00D276EB">
              <w:rPr>
                <w:b/>
                <w:bCs/>
                <w:sz w:val="24"/>
                <w:szCs w:val="24"/>
              </w:rPr>
              <w:t>FY 21-22          % Change</w:t>
            </w:r>
          </w:p>
        </w:tc>
        <w:tc>
          <w:tcPr>
            <w:tcW w:w="885" w:type="dxa"/>
            <w:tcBorders>
              <w:top w:val="single" w:sz="4" w:space="0" w:color="auto"/>
              <w:left w:val="nil"/>
              <w:bottom w:val="single" w:sz="4" w:space="0" w:color="auto"/>
              <w:right w:val="single" w:sz="4" w:space="0" w:color="auto"/>
            </w:tcBorders>
            <w:shd w:val="clear" w:color="auto" w:fill="E5FFFF"/>
            <w:vAlign w:val="center"/>
            <w:hideMark/>
          </w:tcPr>
          <w:p w14:paraId="710B6E95" w14:textId="77777777" w:rsidR="00D276EB" w:rsidRPr="00D276EB" w:rsidRDefault="00D276EB" w:rsidP="000C305F">
            <w:pPr>
              <w:spacing w:after="0" w:line="240" w:lineRule="auto"/>
              <w:jc w:val="center"/>
              <w:rPr>
                <w:b/>
                <w:bCs/>
                <w:sz w:val="24"/>
                <w:szCs w:val="24"/>
              </w:rPr>
            </w:pPr>
            <w:r w:rsidRPr="00D276EB">
              <w:rPr>
                <w:b/>
                <w:bCs/>
                <w:sz w:val="24"/>
                <w:szCs w:val="24"/>
              </w:rPr>
              <w:t>FY22</w:t>
            </w:r>
          </w:p>
        </w:tc>
        <w:tc>
          <w:tcPr>
            <w:tcW w:w="885" w:type="dxa"/>
            <w:tcBorders>
              <w:top w:val="single" w:sz="4" w:space="0" w:color="auto"/>
              <w:left w:val="nil"/>
              <w:bottom w:val="single" w:sz="4" w:space="0" w:color="auto"/>
              <w:right w:val="single" w:sz="4" w:space="0" w:color="auto"/>
            </w:tcBorders>
            <w:shd w:val="clear" w:color="auto" w:fill="E5FFFF"/>
            <w:vAlign w:val="center"/>
            <w:hideMark/>
          </w:tcPr>
          <w:p w14:paraId="5E9E4981" w14:textId="77777777" w:rsidR="00D276EB" w:rsidRPr="00D276EB" w:rsidRDefault="00D276EB" w:rsidP="000C305F">
            <w:pPr>
              <w:spacing w:after="0" w:line="240" w:lineRule="auto"/>
              <w:jc w:val="center"/>
              <w:rPr>
                <w:b/>
                <w:bCs/>
                <w:sz w:val="24"/>
                <w:szCs w:val="24"/>
              </w:rPr>
            </w:pPr>
            <w:r w:rsidRPr="00D276EB">
              <w:rPr>
                <w:b/>
                <w:bCs/>
                <w:sz w:val="24"/>
                <w:szCs w:val="24"/>
              </w:rPr>
              <w:t>YTD         10.22-6.23</w:t>
            </w:r>
          </w:p>
        </w:tc>
        <w:tc>
          <w:tcPr>
            <w:tcW w:w="1330" w:type="dxa"/>
            <w:tcBorders>
              <w:top w:val="single" w:sz="4" w:space="0" w:color="auto"/>
              <w:left w:val="nil"/>
              <w:bottom w:val="single" w:sz="4" w:space="0" w:color="auto"/>
              <w:right w:val="single" w:sz="4" w:space="0" w:color="auto"/>
            </w:tcBorders>
            <w:shd w:val="clear" w:color="auto" w:fill="E5FFFF"/>
            <w:vAlign w:val="center"/>
            <w:hideMark/>
          </w:tcPr>
          <w:p w14:paraId="7976D1F8" w14:textId="77777777" w:rsidR="00D276EB" w:rsidRPr="00D276EB" w:rsidRDefault="00D276EB" w:rsidP="000C305F">
            <w:pPr>
              <w:spacing w:after="0" w:line="240" w:lineRule="auto"/>
              <w:jc w:val="center"/>
              <w:rPr>
                <w:b/>
                <w:bCs/>
                <w:sz w:val="24"/>
                <w:szCs w:val="24"/>
              </w:rPr>
            </w:pPr>
            <w:r w:rsidRPr="00D276EB">
              <w:rPr>
                <w:b/>
                <w:bCs/>
                <w:sz w:val="24"/>
                <w:szCs w:val="24"/>
              </w:rPr>
              <w:t>FY 2023 Annualized</w:t>
            </w:r>
          </w:p>
        </w:tc>
      </w:tr>
      <w:tr w:rsidR="00D276EB" w:rsidRPr="00D276EB" w14:paraId="5332F58B" w14:textId="77777777" w:rsidTr="00BC6E52">
        <w:trPr>
          <w:cantSplit/>
          <w:trHeight w:val="431"/>
          <w:jc w:val="center"/>
        </w:trPr>
        <w:tc>
          <w:tcPr>
            <w:tcW w:w="1620" w:type="dxa"/>
            <w:tcBorders>
              <w:top w:val="nil"/>
              <w:left w:val="single" w:sz="4" w:space="0" w:color="auto"/>
              <w:bottom w:val="single" w:sz="4" w:space="0" w:color="auto"/>
              <w:right w:val="single" w:sz="4" w:space="0" w:color="auto"/>
            </w:tcBorders>
            <w:shd w:val="clear" w:color="auto" w:fill="auto"/>
            <w:vAlign w:val="center"/>
            <w:hideMark/>
          </w:tcPr>
          <w:p w14:paraId="751EA52D" w14:textId="77777777" w:rsidR="00D276EB" w:rsidRPr="00D276EB" w:rsidRDefault="00D276EB" w:rsidP="00D276EB">
            <w:pPr>
              <w:spacing w:after="0" w:line="240" w:lineRule="auto"/>
              <w:rPr>
                <w:b/>
                <w:bCs/>
                <w:sz w:val="24"/>
                <w:szCs w:val="24"/>
              </w:rPr>
            </w:pPr>
            <w:r w:rsidRPr="00D276EB">
              <w:rPr>
                <w:b/>
                <w:bCs/>
                <w:sz w:val="24"/>
                <w:szCs w:val="24"/>
              </w:rPr>
              <w:t>ED Scans</w:t>
            </w:r>
          </w:p>
        </w:tc>
        <w:tc>
          <w:tcPr>
            <w:tcW w:w="885" w:type="dxa"/>
            <w:tcBorders>
              <w:top w:val="nil"/>
              <w:left w:val="nil"/>
              <w:bottom w:val="single" w:sz="4" w:space="0" w:color="auto"/>
              <w:right w:val="single" w:sz="4" w:space="0" w:color="auto"/>
            </w:tcBorders>
            <w:shd w:val="clear" w:color="auto" w:fill="auto"/>
            <w:noWrap/>
            <w:vAlign w:val="center"/>
            <w:hideMark/>
          </w:tcPr>
          <w:p w14:paraId="33B3AFC7" w14:textId="77777777" w:rsidR="00D276EB" w:rsidRPr="00D276EB" w:rsidRDefault="00D276EB" w:rsidP="000C305F">
            <w:pPr>
              <w:spacing w:after="0" w:line="240" w:lineRule="auto"/>
              <w:jc w:val="right"/>
              <w:rPr>
                <w:sz w:val="24"/>
                <w:szCs w:val="24"/>
              </w:rPr>
            </w:pPr>
            <w:r w:rsidRPr="00D276EB">
              <w:rPr>
                <w:sz w:val="24"/>
                <w:szCs w:val="24"/>
              </w:rPr>
              <w:t xml:space="preserve"> 5,161 </w:t>
            </w:r>
          </w:p>
        </w:tc>
        <w:tc>
          <w:tcPr>
            <w:tcW w:w="1151" w:type="dxa"/>
            <w:tcBorders>
              <w:top w:val="nil"/>
              <w:left w:val="nil"/>
              <w:bottom w:val="single" w:sz="4" w:space="0" w:color="auto"/>
              <w:right w:val="single" w:sz="4" w:space="0" w:color="auto"/>
            </w:tcBorders>
            <w:shd w:val="clear" w:color="auto" w:fill="auto"/>
            <w:noWrap/>
            <w:vAlign w:val="center"/>
            <w:hideMark/>
          </w:tcPr>
          <w:p w14:paraId="0F6B25A9" w14:textId="77777777" w:rsidR="00D276EB" w:rsidRPr="00D276EB" w:rsidRDefault="00D276EB" w:rsidP="000C305F">
            <w:pPr>
              <w:spacing w:after="0" w:line="240" w:lineRule="auto"/>
              <w:jc w:val="right"/>
              <w:rPr>
                <w:sz w:val="24"/>
                <w:szCs w:val="24"/>
              </w:rPr>
            </w:pPr>
            <w:r w:rsidRPr="00D276EB">
              <w:rPr>
                <w:sz w:val="24"/>
                <w:szCs w:val="24"/>
              </w:rPr>
              <w:t>-3.0%</w:t>
            </w:r>
          </w:p>
        </w:tc>
        <w:tc>
          <w:tcPr>
            <w:tcW w:w="885" w:type="dxa"/>
            <w:tcBorders>
              <w:top w:val="nil"/>
              <w:left w:val="nil"/>
              <w:bottom w:val="single" w:sz="4" w:space="0" w:color="auto"/>
              <w:right w:val="single" w:sz="4" w:space="0" w:color="auto"/>
            </w:tcBorders>
            <w:shd w:val="clear" w:color="auto" w:fill="auto"/>
            <w:vAlign w:val="center"/>
            <w:hideMark/>
          </w:tcPr>
          <w:p w14:paraId="1C9078FF" w14:textId="77777777" w:rsidR="00D276EB" w:rsidRPr="00D276EB" w:rsidRDefault="00D276EB" w:rsidP="000C305F">
            <w:pPr>
              <w:spacing w:after="0" w:line="240" w:lineRule="auto"/>
              <w:jc w:val="right"/>
              <w:rPr>
                <w:sz w:val="24"/>
                <w:szCs w:val="24"/>
              </w:rPr>
            </w:pPr>
            <w:r w:rsidRPr="00D276EB">
              <w:rPr>
                <w:sz w:val="24"/>
                <w:szCs w:val="24"/>
              </w:rPr>
              <w:t>5,005</w:t>
            </w:r>
          </w:p>
        </w:tc>
        <w:tc>
          <w:tcPr>
            <w:tcW w:w="1123" w:type="dxa"/>
            <w:tcBorders>
              <w:top w:val="nil"/>
              <w:left w:val="nil"/>
              <w:bottom w:val="single" w:sz="4" w:space="0" w:color="auto"/>
              <w:right w:val="single" w:sz="4" w:space="0" w:color="auto"/>
            </w:tcBorders>
            <w:shd w:val="clear" w:color="auto" w:fill="auto"/>
            <w:noWrap/>
            <w:vAlign w:val="center"/>
            <w:hideMark/>
          </w:tcPr>
          <w:p w14:paraId="6D7E95BE" w14:textId="77777777" w:rsidR="00D276EB" w:rsidRPr="00D276EB" w:rsidRDefault="00D276EB" w:rsidP="000C305F">
            <w:pPr>
              <w:spacing w:after="0" w:line="240" w:lineRule="auto"/>
              <w:jc w:val="right"/>
              <w:rPr>
                <w:sz w:val="24"/>
                <w:szCs w:val="24"/>
              </w:rPr>
            </w:pPr>
            <w:r w:rsidRPr="00D276EB">
              <w:rPr>
                <w:sz w:val="24"/>
                <w:szCs w:val="24"/>
              </w:rPr>
              <w:t>25.5%</w:t>
            </w:r>
          </w:p>
        </w:tc>
        <w:tc>
          <w:tcPr>
            <w:tcW w:w="885" w:type="dxa"/>
            <w:tcBorders>
              <w:top w:val="nil"/>
              <w:left w:val="nil"/>
              <w:bottom w:val="single" w:sz="4" w:space="0" w:color="auto"/>
              <w:right w:val="single" w:sz="4" w:space="0" w:color="auto"/>
            </w:tcBorders>
            <w:shd w:val="clear" w:color="auto" w:fill="auto"/>
            <w:vAlign w:val="center"/>
            <w:hideMark/>
          </w:tcPr>
          <w:p w14:paraId="2C438253" w14:textId="77777777" w:rsidR="00D276EB" w:rsidRPr="00D276EB" w:rsidRDefault="00D276EB" w:rsidP="000C305F">
            <w:pPr>
              <w:spacing w:after="0" w:line="240" w:lineRule="auto"/>
              <w:jc w:val="right"/>
              <w:rPr>
                <w:sz w:val="24"/>
                <w:szCs w:val="24"/>
              </w:rPr>
            </w:pPr>
            <w:r w:rsidRPr="00D276EB">
              <w:rPr>
                <w:sz w:val="24"/>
                <w:szCs w:val="24"/>
              </w:rPr>
              <w:t>6,279</w:t>
            </w:r>
          </w:p>
        </w:tc>
        <w:tc>
          <w:tcPr>
            <w:tcW w:w="1151" w:type="dxa"/>
            <w:tcBorders>
              <w:top w:val="nil"/>
              <w:left w:val="nil"/>
              <w:bottom w:val="single" w:sz="4" w:space="0" w:color="auto"/>
              <w:right w:val="single" w:sz="4" w:space="0" w:color="auto"/>
            </w:tcBorders>
            <w:shd w:val="clear" w:color="auto" w:fill="auto"/>
            <w:noWrap/>
            <w:vAlign w:val="center"/>
            <w:hideMark/>
          </w:tcPr>
          <w:p w14:paraId="34EB7E00" w14:textId="77777777" w:rsidR="00D276EB" w:rsidRPr="00D276EB" w:rsidRDefault="00D276EB" w:rsidP="000C305F">
            <w:pPr>
              <w:spacing w:after="0" w:line="240" w:lineRule="auto"/>
              <w:jc w:val="right"/>
              <w:rPr>
                <w:sz w:val="24"/>
                <w:szCs w:val="24"/>
              </w:rPr>
            </w:pPr>
            <w:r w:rsidRPr="00D276EB">
              <w:rPr>
                <w:sz w:val="24"/>
                <w:szCs w:val="24"/>
              </w:rPr>
              <w:t>30.4%</w:t>
            </w:r>
          </w:p>
        </w:tc>
        <w:tc>
          <w:tcPr>
            <w:tcW w:w="885" w:type="dxa"/>
            <w:tcBorders>
              <w:top w:val="nil"/>
              <w:left w:val="nil"/>
              <w:bottom w:val="single" w:sz="4" w:space="0" w:color="auto"/>
              <w:right w:val="single" w:sz="4" w:space="0" w:color="auto"/>
            </w:tcBorders>
            <w:shd w:val="clear" w:color="auto" w:fill="auto"/>
            <w:vAlign w:val="center"/>
            <w:hideMark/>
          </w:tcPr>
          <w:p w14:paraId="494D834B" w14:textId="77777777" w:rsidR="00D276EB" w:rsidRPr="00D276EB" w:rsidRDefault="00D276EB" w:rsidP="000C305F">
            <w:pPr>
              <w:spacing w:after="0" w:line="240" w:lineRule="auto"/>
              <w:jc w:val="right"/>
              <w:rPr>
                <w:sz w:val="24"/>
                <w:szCs w:val="24"/>
              </w:rPr>
            </w:pPr>
            <w:r w:rsidRPr="00D276EB">
              <w:rPr>
                <w:sz w:val="24"/>
                <w:szCs w:val="24"/>
              </w:rPr>
              <w:t>8,187</w:t>
            </w:r>
          </w:p>
        </w:tc>
        <w:tc>
          <w:tcPr>
            <w:tcW w:w="885" w:type="dxa"/>
            <w:tcBorders>
              <w:top w:val="nil"/>
              <w:left w:val="nil"/>
              <w:bottom w:val="single" w:sz="4" w:space="0" w:color="auto"/>
              <w:right w:val="single" w:sz="4" w:space="0" w:color="auto"/>
            </w:tcBorders>
            <w:shd w:val="clear" w:color="auto" w:fill="auto"/>
            <w:noWrap/>
            <w:vAlign w:val="center"/>
            <w:hideMark/>
          </w:tcPr>
          <w:p w14:paraId="3DB29E0D" w14:textId="77777777" w:rsidR="00D276EB" w:rsidRPr="00D276EB" w:rsidRDefault="00D276EB" w:rsidP="000C305F">
            <w:pPr>
              <w:spacing w:after="0" w:line="240" w:lineRule="auto"/>
              <w:jc w:val="right"/>
              <w:rPr>
                <w:sz w:val="24"/>
                <w:szCs w:val="24"/>
              </w:rPr>
            </w:pPr>
            <w:r w:rsidRPr="00D276EB">
              <w:rPr>
                <w:sz w:val="24"/>
                <w:szCs w:val="24"/>
              </w:rPr>
              <w:t>7,309</w:t>
            </w:r>
          </w:p>
        </w:tc>
        <w:tc>
          <w:tcPr>
            <w:tcW w:w="1330" w:type="dxa"/>
            <w:tcBorders>
              <w:top w:val="nil"/>
              <w:left w:val="nil"/>
              <w:bottom w:val="single" w:sz="4" w:space="0" w:color="auto"/>
              <w:right w:val="single" w:sz="4" w:space="0" w:color="auto"/>
            </w:tcBorders>
            <w:shd w:val="clear" w:color="auto" w:fill="auto"/>
            <w:noWrap/>
            <w:vAlign w:val="center"/>
            <w:hideMark/>
          </w:tcPr>
          <w:p w14:paraId="08662F58" w14:textId="77777777" w:rsidR="00D276EB" w:rsidRPr="00D276EB" w:rsidRDefault="00D276EB" w:rsidP="000C305F">
            <w:pPr>
              <w:spacing w:after="0" w:line="240" w:lineRule="auto"/>
              <w:jc w:val="right"/>
              <w:rPr>
                <w:sz w:val="24"/>
                <w:szCs w:val="24"/>
              </w:rPr>
            </w:pPr>
            <w:r w:rsidRPr="00D276EB">
              <w:rPr>
                <w:sz w:val="24"/>
                <w:szCs w:val="24"/>
              </w:rPr>
              <w:t>10,964</w:t>
            </w:r>
          </w:p>
        </w:tc>
      </w:tr>
      <w:tr w:rsidR="00D276EB" w:rsidRPr="00D276EB" w14:paraId="1C697DD6" w14:textId="77777777" w:rsidTr="00BC6E52">
        <w:trPr>
          <w:cantSplit/>
          <w:trHeight w:val="404"/>
          <w:jc w:val="center"/>
        </w:trPr>
        <w:tc>
          <w:tcPr>
            <w:tcW w:w="1620" w:type="dxa"/>
            <w:tcBorders>
              <w:top w:val="nil"/>
              <w:left w:val="single" w:sz="4" w:space="0" w:color="auto"/>
              <w:bottom w:val="single" w:sz="4" w:space="0" w:color="auto"/>
              <w:right w:val="single" w:sz="4" w:space="0" w:color="auto"/>
            </w:tcBorders>
            <w:shd w:val="clear" w:color="auto" w:fill="auto"/>
            <w:vAlign w:val="center"/>
            <w:hideMark/>
          </w:tcPr>
          <w:p w14:paraId="6502C6A3" w14:textId="77777777" w:rsidR="00D276EB" w:rsidRPr="00D276EB" w:rsidRDefault="00D276EB" w:rsidP="00D276EB">
            <w:pPr>
              <w:spacing w:after="0" w:line="240" w:lineRule="auto"/>
              <w:rPr>
                <w:b/>
                <w:bCs/>
                <w:sz w:val="24"/>
                <w:szCs w:val="24"/>
              </w:rPr>
            </w:pPr>
            <w:r w:rsidRPr="00D276EB">
              <w:rPr>
                <w:b/>
                <w:bCs/>
                <w:sz w:val="24"/>
                <w:szCs w:val="24"/>
              </w:rPr>
              <w:t>Scans Excluding ED</w:t>
            </w:r>
          </w:p>
        </w:tc>
        <w:tc>
          <w:tcPr>
            <w:tcW w:w="885" w:type="dxa"/>
            <w:tcBorders>
              <w:top w:val="nil"/>
              <w:left w:val="nil"/>
              <w:bottom w:val="single" w:sz="4" w:space="0" w:color="auto"/>
              <w:right w:val="single" w:sz="4" w:space="0" w:color="auto"/>
            </w:tcBorders>
            <w:shd w:val="clear" w:color="auto" w:fill="auto"/>
            <w:noWrap/>
            <w:vAlign w:val="center"/>
            <w:hideMark/>
          </w:tcPr>
          <w:p w14:paraId="368B3FB2" w14:textId="77777777" w:rsidR="00D276EB" w:rsidRPr="00D276EB" w:rsidRDefault="00D276EB" w:rsidP="000C305F">
            <w:pPr>
              <w:spacing w:after="0" w:line="240" w:lineRule="auto"/>
              <w:jc w:val="right"/>
              <w:rPr>
                <w:sz w:val="24"/>
                <w:szCs w:val="24"/>
              </w:rPr>
            </w:pPr>
            <w:r w:rsidRPr="00D276EB">
              <w:rPr>
                <w:sz w:val="24"/>
                <w:szCs w:val="24"/>
              </w:rPr>
              <w:t xml:space="preserve">10,352 </w:t>
            </w:r>
          </w:p>
        </w:tc>
        <w:tc>
          <w:tcPr>
            <w:tcW w:w="1151" w:type="dxa"/>
            <w:tcBorders>
              <w:top w:val="nil"/>
              <w:left w:val="nil"/>
              <w:bottom w:val="single" w:sz="4" w:space="0" w:color="auto"/>
              <w:right w:val="single" w:sz="4" w:space="0" w:color="auto"/>
            </w:tcBorders>
            <w:shd w:val="clear" w:color="auto" w:fill="auto"/>
            <w:noWrap/>
            <w:vAlign w:val="center"/>
            <w:hideMark/>
          </w:tcPr>
          <w:p w14:paraId="17175965" w14:textId="77777777" w:rsidR="00D276EB" w:rsidRPr="00D276EB" w:rsidRDefault="00D276EB" w:rsidP="000C305F">
            <w:pPr>
              <w:spacing w:after="0" w:line="240" w:lineRule="auto"/>
              <w:jc w:val="right"/>
              <w:rPr>
                <w:sz w:val="24"/>
                <w:szCs w:val="24"/>
              </w:rPr>
            </w:pPr>
            <w:r w:rsidRPr="00D276EB">
              <w:rPr>
                <w:sz w:val="24"/>
                <w:szCs w:val="24"/>
              </w:rPr>
              <w:t>-7.4%</w:t>
            </w:r>
          </w:p>
        </w:tc>
        <w:tc>
          <w:tcPr>
            <w:tcW w:w="885" w:type="dxa"/>
            <w:tcBorders>
              <w:top w:val="nil"/>
              <w:left w:val="nil"/>
              <w:bottom w:val="single" w:sz="4" w:space="0" w:color="auto"/>
              <w:right w:val="single" w:sz="4" w:space="0" w:color="auto"/>
            </w:tcBorders>
            <w:shd w:val="clear" w:color="auto" w:fill="auto"/>
            <w:vAlign w:val="center"/>
            <w:hideMark/>
          </w:tcPr>
          <w:p w14:paraId="75CD4756" w14:textId="77777777" w:rsidR="00D276EB" w:rsidRPr="00D276EB" w:rsidRDefault="00D276EB" w:rsidP="000C305F">
            <w:pPr>
              <w:spacing w:after="0" w:line="240" w:lineRule="auto"/>
              <w:jc w:val="right"/>
              <w:rPr>
                <w:sz w:val="24"/>
                <w:szCs w:val="24"/>
              </w:rPr>
            </w:pPr>
            <w:r w:rsidRPr="00D276EB">
              <w:rPr>
                <w:sz w:val="24"/>
                <w:szCs w:val="24"/>
              </w:rPr>
              <w:t>9,584</w:t>
            </w:r>
          </w:p>
        </w:tc>
        <w:tc>
          <w:tcPr>
            <w:tcW w:w="1123" w:type="dxa"/>
            <w:tcBorders>
              <w:top w:val="nil"/>
              <w:left w:val="nil"/>
              <w:bottom w:val="single" w:sz="4" w:space="0" w:color="auto"/>
              <w:right w:val="single" w:sz="4" w:space="0" w:color="auto"/>
            </w:tcBorders>
            <w:shd w:val="clear" w:color="auto" w:fill="auto"/>
            <w:noWrap/>
            <w:vAlign w:val="center"/>
            <w:hideMark/>
          </w:tcPr>
          <w:p w14:paraId="5F36B1AA" w14:textId="77777777" w:rsidR="00D276EB" w:rsidRPr="00D276EB" w:rsidRDefault="00D276EB" w:rsidP="000C305F">
            <w:pPr>
              <w:spacing w:after="0" w:line="240" w:lineRule="auto"/>
              <w:jc w:val="right"/>
              <w:rPr>
                <w:sz w:val="24"/>
                <w:szCs w:val="24"/>
              </w:rPr>
            </w:pPr>
            <w:r w:rsidRPr="00D276EB">
              <w:rPr>
                <w:sz w:val="24"/>
                <w:szCs w:val="24"/>
              </w:rPr>
              <w:t>22.2%</w:t>
            </w:r>
          </w:p>
        </w:tc>
        <w:tc>
          <w:tcPr>
            <w:tcW w:w="885" w:type="dxa"/>
            <w:tcBorders>
              <w:top w:val="nil"/>
              <w:left w:val="nil"/>
              <w:bottom w:val="single" w:sz="4" w:space="0" w:color="auto"/>
              <w:right w:val="single" w:sz="4" w:space="0" w:color="auto"/>
            </w:tcBorders>
            <w:shd w:val="clear" w:color="auto" w:fill="auto"/>
            <w:vAlign w:val="center"/>
            <w:hideMark/>
          </w:tcPr>
          <w:p w14:paraId="504AB7AD" w14:textId="77777777" w:rsidR="00D276EB" w:rsidRPr="00D276EB" w:rsidRDefault="00D276EB" w:rsidP="000C305F">
            <w:pPr>
              <w:spacing w:after="0" w:line="240" w:lineRule="auto"/>
              <w:jc w:val="right"/>
              <w:rPr>
                <w:sz w:val="24"/>
                <w:szCs w:val="24"/>
              </w:rPr>
            </w:pPr>
            <w:r w:rsidRPr="00D276EB">
              <w:rPr>
                <w:sz w:val="24"/>
                <w:szCs w:val="24"/>
              </w:rPr>
              <w:t>11,712</w:t>
            </w:r>
          </w:p>
        </w:tc>
        <w:tc>
          <w:tcPr>
            <w:tcW w:w="1151" w:type="dxa"/>
            <w:tcBorders>
              <w:top w:val="nil"/>
              <w:left w:val="nil"/>
              <w:bottom w:val="single" w:sz="4" w:space="0" w:color="auto"/>
              <w:right w:val="single" w:sz="4" w:space="0" w:color="auto"/>
            </w:tcBorders>
            <w:shd w:val="clear" w:color="auto" w:fill="auto"/>
            <w:noWrap/>
            <w:vAlign w:val="center"/>
            <w:hideMark/>
          </w:tcPr>
          <w:p w14:paraId="5D75376C" w14:textId="77777777" w:rsidR="00D276EB" w:rsidRPr="00D276EB" w:rsidRDefault="00D276EB" w:rsidP="000C305F">
            <w:pPr>
              <w:spacing w:after="0" w:line="240" w:lineRule="auto"/>
              <w:jc w:val="right"/>
              <w:rPr>
                <w:sz w:val="24"/>
                <w:szCs w:val="24"/>
              </w:rPr>
            </w:pPr>
            <w:r w:rsidRPr="00D276EB">
              <w:rPr>
                <w:sz w:val="24"/>
                <w:szCs w:val="24"/>
              </w:rPr>
              <w:t>8.6%</w:t>
            </w:r>
          </w:p>
        </w:tc>
        <w:tc>
          <w:tcPr>
            <w:tcW w:w="885" w:type="dxa"/>
            <w:tcBorders>
              <w:top w:val="nil"/>
              <w:left w:val="nil"/>
              <w:bottom w:val="single" w:sz="4" w:space="0" w:color="auto"/>
              <w:right w:val="single" w:sz="4" w:space="0" w:color="auto"/>
            </w:tcBorders>
            <w:shd w:val="clear" w:color="auto" w:fill="auto"/>
            <w:vAlign w:val="center"/>
            <w:hideMark/>
          </w:tcPr>
          <w:p w14:paraId="74DC0053" w14:textId="77777777" w:rsidR="00D276EB" w:rsidRPr="00D276EB" w:rsidRDefault="00D276EB" w:rsidP="000C305F">
            <w:pPr>
              <w:spacing w:after="0" w:line="240" w:lineRule="auto"/>
              <w:jc w:val="right"/>
              <w:rPr>
                <w:sz w:val="24"/>
                <w:szCs w:val="24"/>
              </w:rPr>
            </w:pPr>
            <w:r w:rsidRPr="00D276EB">
              <w:rPr>
                <w:sz w:val="24"/>
                <w:szCs w:val="24"/>
              </w:rPr>
              <w:t>12,725</w:t>
            </w:r>
          </w:p>
        </w:tc>
        <w:tc>
          <w:tcPr>
            <w:tcW w:w="885" w:type="dxa"/>
            <w:tcBorders>
              <w:top w:val="nil"/>
              <w:left w:val="nil"/>
              <w:bottom w:val="single" w:sz="4" w:space="0" w:color="auto"/>
              <w:right w:val="single" w:sz="4" w:space="0" w:color="auto"/>
            </w:tcBorders>
            <w:shd w:val="clear" w:color="auto" w:fill="auto"/>
            <w:vAlign w:val="center"/>
            <w:hideMark/>
          </w:tcPr>
          <w:p w14:paraId="3705650B" w14:textId="77777777" w:rsidR="00D276EB" w:rsidRPr="00D276EB" w:rsidRDefault="00D276EB" w:rsidP="000C305F">
            <w:pPr>
              <w:spacing w:after="0" w:line="240" w:lineRule="auto"/>
              <w:jc w:val="right"/>
              <w:rPr>
                <w:sz w:val="24"/>
                <w:szCs w:val="24"/>
              </w:rPr>
            </w:pPr>
            <w:r w:rsidRPr="00D276EB">
              <w:rPr>
                <w:sz w:val="24"/>
                <w:szCs w:val="24"/>
              </w:rPr>
              <w:t>10,624</w:t>
            </w:r>
          </w:p>
        </w:tc>
        <w:tc>
          <w:tcPr>
            <w:tcW w:w="1330" w:type="dxa"/>
            <w:tcBorders>
              <w:top w:val="nil"/>
              <w:left w:val="nil"/>
              <w:bottom w:val="single" w:sz="4" w:space="0" w:color="auto"/>
              <w:right w:val="single" w:sz="4" w:space="0" w:color="auto"/>
            </w:tcBorders>
            <w:shd w:val="clear" w:color="auto" w:fill="auto"/>
            <w:noWrap/>
            <w:vAlign w:val="center"/>
            <w:hideMark/>
          </w:tcPr>
          <w:p w14:paraId="65021842" w14:textId="77777777" w:rsidR="00D276EB" w:rsidRPr="00D276EB" w:rsidRDefault="00D276EB" w:rsidP="000C305F">
            <w:pPr>
              <w:spacing w:after="0" w:line="240" w:lineRule="auto"/>
              <w:jc w:val="right"/>
              <w:rPr>
                <w:sz w:val="24"/>
                <w:szCs w:val="24"/>
              </w:rPr>
            </w:pPr>
            <w:r w:rsidRPr="00D276EB">
              <w:rPr>
                <w:sz w:val="24"/>
                <w:szCs w:val="24"/>
              </w:rPr>
              <w:t>15,936</w:t>
            </w:r>
          </w:p>
        </w:tc>
      </w:tr>
      <w:tr w:rsidR="00D276EB" w:rsidRPr="00D276EB" w14:paraId="3594DE4A" w14:textId="77777777" w:rsidTr="00BC6E52">
        <w:trPr>
          <w:cantSplit/>
          <w:trHeight w:val="377"/>
          <w:jc w:val="center"/>
        </w:trPr>
        <w:tc>
          <w:tcPr>
            <w:tcW w:w="1620" w:type="dxa"/>
            <w:tcBorders>
              <w:top w:val="nil"/>
              <w:left w:val="single" w:sz="4" w:space="0" w:color="auto"/>
              <w:bottom w:val="single" w:sz="4" w:space="0" w:color="auto"/>
              <w:right w:val="single" w:sz="4" w:space="0" w:color="auto"/>
            </w:tcBorders>
            <w:shd w:val="clear" w:color="000000" w:fill="CCECFF"/>
            <w:vAlign w:val="center"/>
            <w:hideMark/>
          </w:tcPr>
          <w:p w14:paraId="160D36C3" w14:textId="77777777" w:rsidR="00D276EB" w:rsidRPr="00D276EB" w:rsidRDefault="00D276EB" w:rsidP="00D276EB">
            <w:pPr>
              <w:spacing w:after="0" w:line="240" w:lineRule="auto"/>
              <w:rPr>
                <w:b/>
                <w:bCs/>
                <w:sz w:val="24"/>
                <w:szCs w:val="24"/>
              </w:rPr>
            </w:pPr>
            <w:r w:rsidRPr="00D276EB">
              <w:rPr>
                <w:b/>
                <w:bCs/>
                <w:sz w:val="24"/>
                <w:szCs w:val="24"/>
              </w:rPr>
              <w:t>Total</w:t>
            </w:r>
          </w:p>
        </w:tc>
        <w:tc>
          <w:tcPr>
            <w:tcW w:w="885" w:type="dxa"/>
            <w:tcBorders>
              <w:top w:val="nil"/>
              <w:left w:val="nil"/>
              <w:bottom w:val="single" w:sz="4" w:space="0" w:color="auto"/>
              <w:right w:val="single" w:sz="4" w:space="0" w:color="auto"/>
            </w:tcBorders>
            <w:shd w:val="clear" w:color="000000" w:fill="CCECFF"/>
            <w:noWrap/>
            <w:vAlign w:val="center"/>
            <w:hideMark/>
          </w:tcPr>
          <w:p w14:paraId="13FA9D47" w14:textId="77777777" w:rsidR="00D276EB" w:rsidRPr="00D276EB" w:rsidRDefault="00D276EB" w:rsidP="000C305F">
            <w:pPr>
              <w:spacing w:after="0" w:line="240" w:lineRule="auto"/>
              <w:jc w:val="right"/>
              <w:rPr>
                <w:sz w:val="24"/>
                <w:szCs w:val="24"/>
              </w:rPr>
            </w:pPr>
            <w:r w:rsidRPr="00D276EB">
              <w:rPr>
                <w:sz w:val="24"/>
                <w:szCs w:val="24"/>
              </w:rPr>
              <w:t xml:space="preserve">15,513 </w:t>
            </w:r>
          </w:p>
        </w:tc>
        <w:tc>
          <w:tcPr>
            <w:tcW w:w="1151" w:type="dxa"/>
            <w:tcBorders>
              <w:top w:val="nil"/>
              <w:left w:val="nil"/>
              <w:bottom w:val="single" w:sz="4" w:space="0" w:color="auto"/>
              <w:right w:val="single" w:sz="4" w:space="0" w:color="auto"/>
            </w:tcBorders>
            <w:shd w:val="clear" w:color="000000" w:fill="CCECFF"/>
            <w:noWrap/>
            <w:vAlign w:val="center"/>
            <w:hideMark/>
          </w:tcPr>
          <w:p w14:paraId="10705662" w14:textId="77777777" w:rsidR="00D276EB" w:rsidRPr="00D276EB" w:rsidRDefault="00D276EB" w:rsidP="000C305F">
            <w:pPr>
              <w:spacing w:after="0" w:line="240" w:lineRule="auto"/>
              <w:jc w:val="right"/>
              <w:rPr>
                <w:sz w:val="24"/>
                <w:szCs w:val="24"/>
              </w:rPr>
            </w:pPr>
            <w:r w:rsidRPr="00D276EB">
              <w:rPr>
                <w:sz w:val="24"/>
                <w:szCs w:val="24"/>
              </w:rPr>
              <w:t>-6.0%</w:t>
            </w:r>
          </w:p>
        </w:tc>
        <w:tc>
          <w:tcPr>
            <w:tcW w:w="885" w:type="dxa"/>
            <w:tcBorders>
              <w:top w:val="nil"/>
              <w:left w:val="nil"/>
              <w:bottom w:val="single" w:sz="4" w:space="0" w:color="auto"/>
              <w:right w:val="single" w:sz="4" w:space="0" w:color="auto"/>
            </w:tcBorders>
            <w:shd w:val="clear" w:color="000000" w:fill="CCECFF"/>
            <w:vAlign w:val="center"/>
            <w:hideMark/>
          </w:tcPr>
          <w:p w14:paraId="40AE99CF" w14:textId="77777777" w:rsidR="00D276EB" w:rsidRPr="00D276EB" w:rsidRDefault="00D276EB" w:rsidP="000C305F">
            <w:pPr>
              <w:spacing w:after="0" w:line="240" w:lineRule="auto"/>
              <w:jc w:val="right"/>
              <w:rPr>
                <w:sz w:val="24"/>
                <w:szCs w:val="24"/>
              </w:rPr>
            </w:pPr>
            <w:r w:rsidRPr="00D276EB">
              <w:rPr>
                <w:sz w:val="24"/>
                <w:szCs w:val="24"/>
              </w:rPr>
              <w:t>14,589</w:t>
            </w:r>
          </w:p>
        </w:tc>
        <w:tc>
          <w:tcPr>
            <w:tcW w:w="1123" w:type="dxa"/>
            <w:tcBorders>
              <w:top w:val="nil"/>
              <w:left w:val="nil"/>
              <w:bottom w:val="single" w:sz="4" w:space="0" w:color="auto"/>
              <w:right w:val="single" w:sz="4" w:space="0" w:color="auto"/>
            </w:tcBorders>
            <w:shd w:val="clear" w:color="000000" w:fill="CCECFF"/>
            <w:noWrap/>
            <w:vAlign w:val="center"/>
            <w:hideMark/>
          </w:tcPr>
          <w:p w14:paraId="054F7A7C" w14:textId="77777777" w:rsidR="00D276EB" w:rsidRPr="00D276EB" w:rsidRDefault="00D276EB" w:rsidP="000C305F">
            <w:pPr>
              <w:spacing w:after="0" w:line="240" w:lineRule="auto"/>
              <w:jc w:val="right"/>
              <w:rPr>
                <w:sz w:val="24"/>
                <w:szCs w:val="24"/>
              </w:rPr>
            </w:pPr>
            <w:r w:rsidRPr="00D276EB">
              <w:rPr>
                <w:sz w:val="24"/>
                <w:szCs w:val="24"/>
              </w:rPr>
              <w:t>23.3%</w:t>
            </w:r>
          </w:p>
        </w:tc>
        <w:tc>
          <w:tcPr>
            <w:tcW w:w="885" w:type="dxa"/>
            <w:tcBorders>
              <w:top w:val="nil"/>
              <w:left w:val="nil"/>
              <w:bottom w:val="single" w:sz="4" w:space="0" w:color="auto"/>
              <w:right w:val="single" w:sz="4" w:space="0" w:color="auto"/>
            </w:tcBorders>
            <w:shd w:val="clear" w:color="000000" w:fill="CCECFF"/>
            <w:vAlign w:val="center"/>
            <w:hideMark/>
          </w:tcPr>
          <w:p w14:paraId="551AAA2F" w14:textId="77777777" w:rsidR="00D276EB" w:rsidRPr="00D276EB" w:rsidRDefault="00D276EB" w:rsidP="000C305F">
            <w:pPr>
              <w:spacing w:after="0" w:line="240" w:lineRule="auto"/>
              <w:jc w:val="right"/>
              <w:rPr>
                <w:sz w:val="24"/>
                <w:szCs w:val="24"/>
              </w:rPr>
            </w:pPr>
            <w:r w:rsidRPr="00D276EB">
              <w:rPr>
                <w:sz w:val="24"/>
                <w:szCs w:val="24"/>
              </w:rPr>
              <w:t>17,991</w:t>
            </w:r>
          </w:p>
        </w:tc>
        <w:tc>
          <w:tcPr>
            <w:tcW w:w="1151" w:type="dxa"/>
            <w:tcBorders>
              <w:top w:val="nil"/>
              <w:left w:val="nil"/>
              <w:bottom w:val="single" w:sz="4" w:space="0" w:color="auto"/>
              <w:right w:val="single" w:sz="4" w:space="0" w:color="auto"/>
            </w:tcBorders>
            <w:shd w:val="clear" w:color="000000" w:fill="CCECFF"/>
            <w:noWrap/>
            <w:vAlign w:val="center"/>
            <w:hideMark/>
          </w:tcPr>
          <w:p w14:paraId="7AFF9D52" w14:textId="77777777" w:rsidR="00D276EB" w:rsidRPr="00D276EB" w:rsidRDefault="00D276EB" w:rsidP="000C305F">
            <w:pPr>
              <w:spacing w:after="0" w:line="240" w:lineRule="auto"/>
              <w:jc w:val="right"/>
              <w:rPr>
                <w:sz w:val="24"/>
                <w:szCs w:val="24"/>
              </w:rPr>
            </w:pPr>
            <w:r w:rsidRPr="00D276EB">
              <w:rPr>
                <w:sz w:val="24"/>
                <w:szCs w:val="24"/>
              </w:rPr>
              <w:t>16.2%</w:t>
            </w:r>
          </w:p>
        </w:tc>
        <w:tc>
          <w:tcPr>
            <w:tcW w:w="885" w:type="dxa"/>
            <w:tcBorders>
              <w:top w:val="nil"/>
              <w:left w:val="nil"/>
              <w:bottom w:val="single" w:sz="4" w:space="0" w:color="auto"/>
              <w:right w:val="single" w:sz="4" w:space="0" w:color="auto"/>
            </w:tcBorders>
            <w:shd w:val="clear" w:color="000000" w:fill="CCECFF"/>
            <w:vAlign w:val="center"/>
            <w:hideMark/>
          </w:tcPr>
          <w:p w14:paraId="3B43413C" w14:textId="77777777" w:rsidR="00D276EB" w:rsidRPr="00D276EB" w:rsidRDefault="00D276EB" w:rsidP="000C305F">
            <w:pPr>
              <w:spacing w:after="0" w:line="240" w:lineRule="auto"/>
              <w:jc w:val="right"/>
              <w:rPr>
                <w:sz w:val="24"/>
                <w:szCs w:val="24"/>
              </w:rPr>
            </w:pPr>
            <w:r w:rsidRPr="00D276EB">
              <w:rPr>
                <w:sz w:val="24"/>
                <w:szCs w:val="24"/>
              </w:rPr>
              <w:t>20,912</w:t>
            </w:r>
          </w:p>
        </w:tc>
        <w:tc>
          <w:tcPr>
            <w:tcW w:w="885" w:type="dxa"/>
            <w:tcBorders>
              <w:top w:val="nil"/>
              <w:left w:val="nil"/>
              <w:bottom w:val="single" w:sz="4" w:space="0" w:color="auto"/>
              <w:right w:val="single" w:sz="4" w:space="0" w:color="auto"/>
            </w:tcBorders>
            <w:shd w:val="clear" w:color="000000" w:fill="CCECFF"/>
            <w:noWrap/>
            <w:vAlign w:val="center"/>
            <w:hideMark/>
          </w:tcPr>
          <w:p w14:paraId="1E2A6ABF" w14:textId="77777777" w:rsidR="00D276EB" w:rsidRPr="00D276EB" w:rsidRDefault="00D276EB" w:rsidP="000C305F">
            <w:pPr>
              <w:spacing w:after="0" w:line="240" w:lineRule="auto"/>
              <w:jc w:val="right"/>
              <w:rPr>
                <w:sz w:val="24"/>
                <w:szCs w:val="24"/>
              </w:rPr>
            </w:pPr>
            <w:r w:rsidRPr="00D276EB">
              <w:rPr>
                <w:sz w:val="24"/>
                <w:szCs w:val="24"/>
              </w:rPr>
              <w:t>17,933</w:t>
            </w:r>
          </w:p>
        </w:tc>
        <w:tc>
          <w:tcPr>
            <w:tcW w:w="1330" w:type="dxa"/>
            <w:tcBorders>
              <w:top w:val="nil"/>
              <w:left w:val="nil"/>
              <w:bottom w:val="single" w:sz="4" w:space="0" w:color="auto"/>
              <w:right w:val="single" w:sz="4" w:space="0" w:color="auto"/>
            </w:tcBorders>
            <w:shd w:val="clear" w:color="000000" w:fill="CCECFF"/>
            <w:noWrap/>
            <w:vAlign w:val="center"/>
            <w:hideMark/>
          </w:tcPr>
          <w:p w14:paraId="5C4DF3F5" w14:textId="77777777" w:rsidR="00D276EB" w:rsidRPr="00D276EB" w:rsidRDefault="00D276EB" w:rsidP="000C305F">
            <w:pPr>
              <w:spacing w:after="0" w:line="240" w:lineRule="auto"/>
              <w:jc w:val="right"/>
              <w:rPr>
                <w:sz w:val="24"/>
                <w:szCs w:val="24"/>
              </w:rPr>
            </w:pPr>
            <w:r w:rsidRPr="00D276EB">
              <w:rPr>
                <w:sz w:val="24"/>
                <w:szCs w:val="24"/>
              </w:rPr>
              <w:t>26,900</w:t>
            </w:r>
          </w:p>
        </w:tc>
      </w:tr>
      <w:tr w:rsidR="00D276EB" w:rsidRPr="00D276EB" w14:paraId="5E1BE980" w14:textId="77777777" w:rsidTr="00BC6E52">
        <w:trPr>
          <w:cantSplit/>
          <w:trHeight w:val="413"/>
          <w:jc w:val="center"/>
        </w:trPr>
        <w:tc>
          <w:tcPr>
            <w:tcW w:w="1620" w:type="dxa"/>
            <w:tcBorders>
              <w:top w:val="nil"/>
              <w:left w:val="single" w:sz="4" w:space="0" w:color="auto"/>
              <w:bottom w:val="single" w:sz="4" w:space="0" w:color="auto"/>
              <w:right w:val="single" w:sz="4" w:space="0" w:color="auto"/>
            </w:tcBorders>
            <w:shd w:val="clear" w:color="auto" w:fill="auto"/>
            <w:noWrap/>
            <w:vAlign w:val="center"/>
            <w:hideMark/>
          </w:tcPr>
          <w:p w14:paraId="429976B2" w14:textId="77777777" w:rsidR="00D276EB" w:rsidRPr="00D276EB" w:rsidRDefault="00D276EB" w:rsidP="00D276EB">
            <w:pPr>
              <w:spacing w:after="0" w:line="240" w:lineRule="auto"/>
              <w:rPr>
                <w:b/>
                <w:bCs/>
                <w:sz w:val="24"/>
                <w:szCs w:val="24"/>
              </w:rPr>
            </w:pPr>
            <w:r w:rsidRPr="00D276EB">
              <w:rPr>
                <w:b/>
                <w:bCs/>
                <w:sz w:val="24"/>
                <w:szCs w:val="24"/>
              </w:rPr>
              <w:t>ED Stroke CT (all)</w:t>
            </w:r>
          </w:p>
        </w:tc>
        <w:tc>
          <w:tcPr>
            <w:tcW w:w="885" w:type="dxa"/>
            <w:tcBorders>
              <w:top w:val="nil"/>
              <w:left w:val="nil"/>
              <w:bottom w:val="single" w:sz="4" w:space="0" w:color="auto"/>
              <w:right w:val="single" w:sz="4" w:space="0" w:color="auto"/>
            </w:tcBorders>
            <w:shd w:val="clear" w:color="auto" w:fill="auto"/>
            <w:noWrap/>
            <w:vAlign w:val="center"/>
            <w:hideMark/>
          </w:tcPr>
          <w:p w14:paraId="146B5DD6" w14:textId="77777777" w:rsidR="00D276EB" w:rsidRPr="00D276EB" w:rsidRDefault="00D276EB" w:rsidP="000C305F">
            <w:pPr>
              <w:spacing w:after="0" w:line="240" w:lineRule="auto"/>
              <w:jc w:val="right"/>
              <w:rPr>
                <w:sz w:val="24"/>
                <w:szCs w:val="24"/>
              </w:rPr>
            </w:pPr>
            <w:r w:rsidRPr="00D276EB">
              <w:rPr>
                <w:sz w:val="24"/>
                <w:szCs w:val="24"/>
              </w:rPr>
              <w:t>NA</w:t>
            </w:r>
          </w:p>
        </w:tc>
        <w:tc>
          <w:tcPr>
            <w:tcW w:w="1151" w:type="dxa"/>
            <w:tcBorders>
              <w:top w:val="nil"/>
              <w:left w:val="nil"/>
              <w:bottom w:val="single" w:sz="4" w:space="0" w:color="auto"/>
              <w:right w:val="single" w:sz="4" w:space="0" w:color="auto"/>
            </w:tcBorders>
            <w:shd w:val="clear" w:color="auto" w:fill="auto"/>
            <w:noWrap/>
            <w:vAlign w:val="center"/>
            <w:hideMark/>
          </w:tcPr>
          <w:p w14:paraId="75FBA60B" w14:textId="77777777" w:rsidR="00D276EB" w:rsidRPr="00D276EB" w:rsidRDefault="00D276EB" w:rsidP="000C305F">
            <w:pPr>
              <w:spacing w:after="0" w:line="240" w:lineRule="auto"/>
              <w:jc w:val="right"/>
              <w:rPr>
                <w:sz w:val="24"/>
                <w:szCs w:val="24"/>
              </w:rPr>
            </w:pPr>
            <w:r w:rsidRPr="00D276EB">
              <w:rPr>
                <w:sz w:val="24"/>
                <w:szCs w:val="24"/>
              </w:rPr>
              <w:t>NA</w:t>
            </w:r>
          </w:p>
        </w:tc>
        <w:tc>
          <w:tcPr>
            <w:tcW w:w="885" w:type="dxa"/>
            <w:tcBorders>
              <w:top w:val="nil"/>
              <w:left w:val="nil"/>
              <w:bottom w:val="single" w:sz="4" w:space="0" w:color="auto"/>
              <w:right w:val="single" w:sz="4" w:space="0" w:color="auto"/>
            </w:tcBorders>
            <w:shd w:val="clear" w:color="auto" w:fill="auto"/>
            <w:noWrap/>
            <w:vAlign w:val="center"/>
            <w:hideMark/>
          </w:tcPr>
          <w:p w14:paraId="521DE2E4" w14:textId="77777777" w:rsidR="00D276EB" w:rsidRPr="00D276EB" w:rsidRDefault="00D276EB" w:rsidP="000C305F">
            <w:pPr>
              <w:spacing w:after="0" w:line="240" w:lineRule="auto"/>
              <w:jc w:val="right"/>
              <w:rPr>
                <w:sz w:val="24"/>
                <w:szCs w:val="24"/>
              </w:rPr>
            </w:pPr>
            <w:r w:rsidRPr="00D276EB">
              <w:rPr>
                <w:sz w:val="24"/>
                <w:szCs w:val="24"/>
              </w:rPr>
              <w:t>213</w:t>
            </w:r>
          </w:p>
        </w:tc>
        <w:tc>
          <w:tcPr>
            <w:tcW w:w="1123" w:type="dxa"/>
            <w:tcBorders>
              <w:top w:val="nil"/>
              <w:left w:val="nil"/>
              <w:bottom w:val="single" w:sz="4" w:space="0" w:color="auto"/>
              <w:right w:val="single" w:sz="4" w:space="0" w:color="auto"/>
            </w:tcBorders>
            <w:shd w:val="clear" w:color="auto" w:fill="auto"/>
            <w:noWrap/>
            <w:vAlign w:val="center"/>
            <w:hideMark/>
          </w:tcPr>
          <w:p w14:paraId="5F961812" w14:textId="77777777" w:rsidR="00D276EB" w:rsidRPr="00D276EB" w:rsidRDefault="00D276EB" w:rsidP="000C305F">
            <w:pPr>
              <w:spacing w:after="0" w:line="240" w:lineRule="auto"/>
              <w:jc w:val="right"/>
              <w:rPr>
                <w:sz w:val="24"/>
                <w:szCs w:val="24"/>
              </w:rPr>
            </w:pPr>
            <w:r w:rsidRPr="00D276EB">
              <w:rPr>
                <w:sz w:val="24"/>
                <w:szCs w:val="24"/>
              </w:rPr>
              <w:t>34.7%</w:t>
            </w:r>
          </w:p>
        </w:tc>
        <w:tc>
          <w:tcPr>
            <w:tcW w:w="885" w:type="dxa"/>
            <w:tcBorders>
              <w:top w:val="nil"/>
              <w:left w:val="nil"/>
              <w:bottom w:val="single" w:sz="4" w:space="0" w:color="auto"/>
              <w:right w:val="single" w:sz="4" w:space="0" w:color="auto"/>
            </w:tcBorders>
            <w:shd w:val="clear" w:color="auto" w:fill="auto"/>
            <w:noWrap/>
            <w:vAlign w:val="center"/>
            <w:hideMark/>
          </w:tcPr>
          <w:p w14:paraId="1C26632D" w14:textId="77777777" w:rsidR="00D276EB" w:rsidRPr="00D276EB" w:rsidRDefault="00D276EB" w:rsidP="000C305F">
            <w:pPr>
              <w:spacing w:after="0" w:line="240" w:lineRule="auto"/>
              <w:jc w:val="right"/>
              <w:rPr>
                <w:sz w:val="24"/>
                <w:szCs w:val="24"/>
              </w:rPr>
            </w:pPr>
            <w:r w:rsidRPr="00D276EB">
              <w:rPr>
                <w:sz w:val="24"/>
                <w:szCs w:val="24"/>
              </w:rPr>
              <w:t>287</w:t>
            </w:r>
          </w:p>
        </w:tc>
        <w:tc>
          <w:tcPr>
            <w:tcW w:w="1151" w:type="dxa"/>
            <w:tcBorders>
              <w:top w:val="nil"/>
              <w:left w:val="nil"/>
              <w:bottom w:val="single" w:sz="4" w:space="0" w:color="auto"/>
              <w:right w:val="single" w:sz="4" w:space="0" w:color="auto"/>
            </w:tcBorders>
            <w:shd w:val="clear" w:color="auto" w:fill="auto"/>
            <w:noWrap/>
            <w:vAlign w:val="center"/>
            <w:hideMark/>
          </w:tcPr>
          <w:p w14:paraId="07B779C3" w14:textId="77777777" w:rsidR="00D276EB" w:rsidRPr="00D276EB" w:rsidRDefault="00D276EB" w:rsidP="000C305F">
            <w:pPr>
              <w:spacing w:after="0" w:line="240" w:lineRule="auto"/>
              <w:jc w:val="right"/>
              <w:rPr>
                <w:sz w:val="24"/>
                <w:szCs w:val="24"/>
              </w:rPr>
            </w:pPr>
            <w:r w:rsidRPr="00D276EB">
              <w:rPr>
                <w:sz w:val="24"/>
                <w:szCs w:val="24"/>
              </w:rPr>
              <w:t>-0.7%</w:t>
            </w:r>
          </w:p>
        </w:tc>
        <w:tc>
          <w:tcPr>
            <w:tcW w:w="885" w:type="dxa"/>
            <w:tcBorders>
              <w:top w:val="nil"/>
              <w:left w:val="nil"/>
              <w:bottom w:val="single" w:sz="4" w:space="0" w:color="auto"/>
              <w:right w:val="single" w:sz="4" w:space="0" w:color="auto"/>
            </w:tcBorders>
            <w:shd w:val="clear" w:color="auto" w:fill="auto"/>
            <w:noWrap/>
            <w:vAlign w:val="center"/>
            <w:hideMark/>
          </w:tcPr>
          <w:p w14:paraId="24C6DB19" w14:textId="77777777" w:rsidR="00D276EB" w:rsidRPr="00D276EB" w:rsidRDefault="00D276EB" w:rsidP="000C305F">
            <w:pPr>
              <w:spacing w:after="0" w:line="240" w:lineRule="auto"/>
              <w:jc w:val="right"/>
              <w:rPr>
                <w:sz w:val="24"/>
                <w:szCs w:val="24"/>
              </w:rPr>
            </w:pPr>
            <w:r w:rsidRPr="00D276EB">
              <w:rPr>
                <w:sz w:val="24"/>
                <w:szCs w:val="24"/>
              </w:rPr>
              <w:t>285</w:t>
            </w:r>
          </w:p>
        </w:tc>
        <w:tc>
          <w:tcPr>
            <w:tcW w:w="885" w:type="dxa"/>
            <w:tcBorders>
              <w:top w:val="nil"/>
              <w:left w:val="nil"/>
              <w:bottom w:val="single" w:sz="4" w:space="0" w:color="auto"/>
              <w:right w:val="single" w:sz="4" w:space="0" w:color="auto"/>
            </w:tcBorders>
            <w:shd w:val="clear" w:color="auto" w:fill="auto"/>
            <w:noWrap/>
            <w:vAlign w:val="center"/>
            <w:hideMark/>
          </w:tcPr>
          <w:p w14:paraId="7BD01CD4" w14:textId="77777777" w:rsidR="00D276EB" w:rsidRPr="00D276EB" w:rsidRDefault="00D276EB" w:rsidP="000C305F">
            <w:pPr>
              <w:spacing w:after="0" w:line="240" w:lineRule="auto"/>
              <w:jc w:val="right"/>
              <w:rPr>
                <w:sz w:val="24"/>
                <w:szCs w:val="24"/>
              </w:rPr>
            </w:pPr>
            <w:r w:rsidRPr="00D276EB">
              <w:rPr>
                <w:sz w:val="24"/>
                <w:szCs w:val="24"/>
              </w:rPr>
              <w:t>109</w:t>
            </w:r>
          </w:p>
        </w:tc>
        <w:tc>
          <w:tcPr>
            <w:tcW w:w="1330" w:type="dxa"/>
            <w:tcBorders>
              <w:top w:val="nil"/>
              <w:left w:val="nil"/>
              <w:bottom w:val="single" w:sz="4" w:space="0" w:color="auto"/>
              <w:right w:val="single" w:sz="4" w:space="0" w:color="auto"/>
            </w:tcBorders>
            <w:shd w:val="clear" w:color="auto" w:fill="auto"/>
            <w:noWrap/>
            <w:vAlign w:val="center"/>
            <w:hideMark/>
          </w:tcPr>
          <w:p w14:paraId="79EEED8B" w14:textId="77777777" w:rsidR="00D276EB" w:rsidRPr="00D276EB" w:rsidRDefault="00D276EB" w:rsidP="000C305F">
            <w:pPr>
              <w:spacing w:after="0" w:line="240" w:lineRule="auto"/>
              <w:jc w:val="right"/>
              <w:rPr>
                <w:sz w:val="24"/>
                <w:szCs w:val="24"/>
              </w:rPr>
            </w:pPr>
            <w:r w:rsidRPr="00D276EB">
              <w:rPr>
                <w:sz w:val="24"/>
                <w:szCs w:val="24"/>
              </w:rPr>
              <w:t>164</w:t>
            </w:r>
          </w:p>
        </w:tc>
      </w:tr>
      <w:tr w:rsidR="00D276EB" w:rsidRPr="00D276EB" w14:paraId="5FDADE55" w14:textId="77777777" w:rsidTr="00BC6E52">
        <w:trPr>
          <w:cantSplit/>
          <w:trHeight w:val="290"/>
          <w:jc w:val="center"/>
        </w:trPr>
        <w:tc>
          <w:tcPr>
            <w:tcW w:w="1620" w:type="dxa"/>
            <w:tcBorders>
              <w:top w:val="nil"/>
              <w:left w:val="single" w:sz="4" w:space="0" w:color="auto"/>
              <w:bottom w:val="single" w:sz="4" w:space="0" w:color="auto"/>
              <w:right w:val="single" w:sz="4" w:space="0" w:color="auto"/>
            </w:tcBorders>
            <w:shd w:val="clear" w:color="auto" w:fill="auto"/>
            <w:noWrap/>
            <w:vAlign w:val="center"/>
            <w:hideMark/>
          </w:tcPr>
          <w:p w14:paraId="6FD9C504" w14:textId="77777777" w:rsidR="00D276EB" w:rsidRPr="00D276EB" w:rsidRDefault="00D276EB" w:rsidP="00D276EB">
            <w:pPr>
              <w:spacing w:after="0" w:line="240" w:lineRule="auto"/>
              <w:rPr>
                <w:b/>
                <w:bCs/>
                <w:sz w:val="24"/>
                <w:szCs w:val="24"/>
              </w:rPr>
            </w:pPr>
            <w:r w:rsidRPr="00D276EB">
              <w:rPr>
                <w:b/>
                <w:bCs/>
                <w:sz w:val="24"/>
                <w:szCs w:val="24"/>
              </w:rPr>
              <w:t>ED Ischemic Stroke (only)</w:t>
            </w:r>
          </w:p>
        </w:tc>
        <w:tc>
          <w:tcPr>
            <w:tcW w:w="885" w:type="dxa"/>
            <w:tcBorders>
              <w:top w:val="nil"/>
              <w:left w:val="nil"/>
              <w:bottom w:val="single" w:sz="4" w:space="0" w:color="auto"/>
              <w:right w:val="single" w:sz="4" w:space="0" w:color="auto"/>
            </w:tcBorders>
            <w:shd w:val="clear" w:color="auto" w:fill="auto"/>
            <w:noWrap/>
            <w:vAlign w:val="center"/>
            <w:hideMark/>
          </w:tcPr>
          <w:p w14:paraId="10680B6A" w14:textId="77777777" w:rsidR="00D276EB" w:rsidRPr="00D276EB" w:rsidRDefault="00D276EB" w:rsidP="000C305F">
            <w:pPr>
              <w:spacing w:after="0" w:line="240" w:lineRule="auto"/>
              <w:jc w:val="right"/>
              <w:rPr>
                <w:sz w:val="24"/>
                <w:szCs w:val="24"/>
              </w:rPr>
            </w:pPr>
            <w:r w:rsidRPr="00D276EB">
              <w:rPr>
                <w:sz w:val="24"/>
                <w:szCs w:val="24"/>
              </w:rPr>
              <w:t>NA</w:t>
            </w:r>
          </w:p>
        </w:tc>
        <w:tc>
          <w:tcPr>
            <w:tcW w:w="1151" w:type="dxa"/>
            <w:tcBorders>
              <w:top w:val="nil"/>
              <w:left w:val="nil"/>
              <w:bottom w:val="single" w:sz="4" w:space="0" w:color="auto"/>
              <w:right w:val="single" w:sz="4" w:space="0" w:color="auto"/>
            </w:tcBorders>
            <w:shd w:val="clear" w:color="auto" w:fill="auto"/>
            <w:noWrap/>
            <w:vAlign w:val="center"/>
            <w:hideMark/>
          </w:tcPr>
          <w:p w14:paraId="028A96C9" w14:textId="77777777" w:rsidR="00D276EB" w:rsidRPr="00D276EB" w:rsidRDefault="00D276EB" w:rsidP="000C305F">
            <w:pPr>
              <w:spacing w:after="0" w:line="240" w:lineRule="auto"/>
              <w:jc w:val="right"/>
              <w:rPr>
                <w:sz w:val="24"/>
                <w:szCs w:val="24"/>
              </w:rPr>
            </w:pPr>
            <w:r w:rsidRPr="00D276EB">
              <w:rPr>
                <w:sz w:val="24"/>
                <w:szCs w:val="24"/>
              </w:rPr>
              <w:t>NA</w:t>
            </w:r>
          </w:p>
        </w:tc>
        <w:tc>
          <w:tcPr>
            <w:tcW w:w="885" w:type="dxa"/>
            <w:tcBorders>
              <w:top w:val="nil"/>
              <w:left w:val="nil"/>
              <w:bottom w:val="single" w:sz="4" w:space="0" w:color="auto"/>
              <w:right w:val="single" w:sz="4" w:space="0" w:color="auto"/>
            </w:tcBorders>
            <w:shd w:val="clear" w:color="auto" w:fill="auto"/>
            <w:noWrap/>
            <w:vAlign w:val="center"/>
            <w:hideMark/>
          </w:tcPr>
          <w:p w14:paraId="19C7561E" w14:textId="77777777" w:rsidR="00D276EB" w:rsidRPr="00D276EB" w:rsidRDefault="00D276EB" w:rsidP="000C305F">
            <w:pPr>
              <w:spacing w:after="0" w:line="240" w:lineRule="auto"/>
              <w:jc w:val="right"/>
              <w:rPr>
                <w:sz w:val="24"/>
                <w:szCs w:val="24"/>
              </w:rPr>
            </w:pPr>
            <w:r w:rsidRPr="00D276EB">
              <w:rPr>
                <w:sz w:val="24"/>
                <w:szCs w:val="24"/>
              </w:rPr>
              <w:t>136</w:t>
            </w:r>
          </w:p>
        </w:tc>
        <w:tc>
          <w:tcPr>
            <w:tcW w:w="1123" w:type="dxa"/>
            <w:tcBorders>
              <w:top w:val="nil"/>
              <w:left w:val="nil"/>
              <w:bottom w:val="single" w:sz="4" w:space="0" w:color="auto"/>
              <w:right w:val="single" w:sz="4" w:space="0" w:color="auto"/>
            </w:tcBorders>
            <w:shd w:val="clear" w:color="auto" w:fill="auto"/>
            <w:noWrap/>
            <w:vAlign w:val="center"/>
            <w:hideMark/>
          </w:tcPr>
          <w:p w14:paraId="0F3F801D" w14:textId="77777777" w:rsidR="00D276EB" w:rsidRPr="00D276EB" w:rsidRDefault="00D276EB" w:rsidP="000C305F">
            <w:pPr>
              <w:spacing w:after="0" w:line="240" w:lineRule="auto"/>
              <w:jc w:val="right"/>
              <w:rPr>
                <w:sz w:val="24"/>
                <w:szCs w:val="24"/>
              </w:rPr>
            </w:pPr>
            <w:r w:rsidRPr="00D276EB">
              <w:rPr>
                <w:sz w:val="24"/>
                <w:szCs w:val="24"/>
              </w:rPr>
              <w:t>14.7%</w:t>
            </w:r>
          </w:p>
        </w:tc>
        <w:tc>
          <w:tcPr>
            <w:tcW w:w="885" w:type="dxa"/>
            <w:tcBorders>
              <w:top w:val="nil"/>
              <w:left w:val="nil"/>
              <w:bottom w:val="single" w:sz="4" w:space="0" w:color="auto"/>
              <w:right w:val="single" w:sz="4" w:space="0" w:color="auto"/>
            </w:tcBorders>
            <w:shd w:val="clear" w:color="auto" w:fill="auto"/>
            <w:noWrap/>
            <w:vAlign w:val="center"/>
            <w:hideMark/>
          </w:tcPr>
          <w:p w14:paraId="1222A065" w14:textId="77777777" w:rsidR="00D276EB" w:rsidRPr="00D276EB" w:rsidRDefault="00D276EB" w:rsidP="000C305F">
            <w:pPr>
              <w:spacing w:after="0" w:line="240" w:lineRule="auto"/>
              <w:jc w:val="right"/>
              <w:rPr>
                <w:sz w:val="24"/>
                <w:szCs w:val="24"/>
              </w:rPr>
            </w:pPr>
            <w:r w:rsidRPr="00D276EB">
              <w:rPr>
                <w:sz w:val="24"/>
                <w:szCs w:val="24"/>
              </w:rPr>
              <w:t>156</w:t>
            </w:r>
          </w:p>
        </w:tc>
        <w:tc>
          <w:tcPr>
            <w:tcW w:w="1151" w:type="dxa"/>
            <w:tcBorders>
              <w:top w:val="nil"/>
              <w:left w:val="nil"/>
              <w:bottom w:val="single" w:sz="4" w:space="0" w:color="auto"/>
              <w:right w:val="single" w:sz="4" w:space="0" w:color="auto"/>
            </w:tcBorders>
            <w:shd w:val="clear" w:color="auto" w:fill="auto"/>
            <w:noWrap/>
            <w:vAlign w:val="center"/>
            <w:hideMark/>
          </w:tcPr>
          <w:p w14:paraId="556FFD96" w14:textId="77777777" w:rsidR="00D276EB" w:rsidRPr="00D276EB" w:rsidRDefault="00D276EB" w:rsidP="000C305F">
            <w:pPr>
              <w:spacing w:after="0" w:line="240" w:lineRule="auto"/>
              <w:jc w:val="right"/>
              <w:rPr>
                <w:sz w:val="24"/>
                <w:szCs w:val="24"/>
              </w:rPr>
            </w:pPr>
            <w:r w:rsidRPr="00D276EB">
              <w:rPr>
                <w:sz w:val="24"/>
                <w:szCs w:val="24"/>
              </w:rPr>
              <w:t>12.8%</w:t>
            </w:r>
          </w:p>
        </w:tc>
        <w:tc>
          <w:tcPr>
            <w:tcW w:w="885" w:type="dxa"/>
            <w:tcBorders>
              <w:top w:val="nil"/>
              <w:left w:val="nil"/>
              <w:bottom w:val="single" w:sz="4" w:space="0" w:color="auto"/>
              <w:right w:val="single" w:sz="4" w:space="0" w:color="auto"/>
            </w:tcBorders>
            <w:shd w:val="clear" w:color="auto" w:fill="auto"/>
            <w:noWrap/>
            <w:vAlign w:val="center"/>
            <w:hideMark/>
          </w:tcPr>
          <w:p w14:paraId="4460347D" w14:textId="77777777" w:rsidR="00D276EB" w:rsidRPr="00D276EB" w:rsidRDefault="00D276EB" w:rsidP="000C305F">
            <w:pPr>
              <w:spacing w:after="0" w:line="240" w:lineRule="auto"/>
              <w:jc w:val="right"/>
              <w:rPr>
                <w:sz w:val="24"/>
                <w:szCs w:val="24"/>
              </w:rPr>
            </w:pPr>
            <w:r w:rsidRPr="00D276EB">
              <w:rPr>
                <w:sz w:val="24"/>
                <w:szCs w:val="24"/>
              </w:rPr>
              <w:t>176</w:t>
            </w:r>
          </w:p>
        </w:tc>
        <w:tc>
          <w:tcPr>
            <w:tcW w:w="885" w:type="dxa"/>
            <w:tcBorders>
              <w:top w:val="nil"/>
              <w:left w:val="nil"/>
              <w:bottom w:val="single" w:sz="4" w:space="0" w:color="auto"/>
              <w:right w:val="single" w:sz="4" w:space="0" w:color="auto"/>
            </w:tcBorders>
            <w:shd w:val="clear" w:color="auto" w:fill="auto"/>
            <w:noWrap/>
            <w:vAlign w:val="center"/>
            <w:hideMark/>
          </w:tcPr>
          <w:p w14:paraId="39CA86D0" w14:textId="77777777" w:rsidR="00D276EB" w:rsidRPr="00D276EB" w:rsidRDefault="00D276EB" w:rsidP="000C305F">
            <w:pPr>
              <w:spacing w:after="0" w:line="240" w:lineRule="auto"/>
              <w:jc w:val="right"/>
              <w:rPr>
                <w:sz w:val="24"/>
                <w:szCs w:val="24"/>
              </w:rPr>
            </w:pPr>
            <w:r w:rsidRPr="00D276EB">
              <w:rPr>
                <w:sz w:val="24"/>
                <w:szCs w:val="24"/>
              </w:rPr>
              <w:t>66</w:t>
            </w:r>
          </w:p>
        </w:tc>
        <w:tc>
          <w:tcPr>
            <w:tcW w:w="1330" w:type="dxa"/>
            <w:tcBorders>
              <w:top w:val="nil"/>
              <w:left w:val="nil"/>
              <w:bottom w:val="single" w:sz="4" w:space="0" w:color="auto"/>
              <w:right w:val="single" w:sz="4" w:space="0" w:color="auto"/>
            </w:tcBorders>
            <w:shd w:val="clear" w:color="auto" w:fill="auto"/>
            <w:noWrap/>
            <w:vAlign w:val="center"/>
            <w:hideMark/>
          </w:tcPr>
          <w:p w14:paraId="29A2A684" w14:textId="77777777" w:rsidR="00D276EB" w:rsidRPr="00D276EB" w:rsidRDefault="00D276EB" w:rsidP="000C305F">
            <w:pPr>
              <w:spacing w:after="0" w:line="240" w:lineRule="auto"/>
              <w:jc w:val="right"/>
              <w:rPr>
                <w:sz w:val="24"/>
                <w:szCs w:val="24"/>
              </w:rPr>
            </w:pPr>
            <w:r w:rsidRPr="00D276EB">
              <w:rPr>
                <w:sz w:val="24"/>
                <w:szCs w:val="24"/>
              </w:rPr>
              <w:t>99</w:t>
            </w:r>
          </w:p>
        </w:tc>
      </w:tr>
    </w:tbl>
    <w:p w14:paraId="6A904E8C" w14:textId="77777777" w:rsidR="00D276EB" w:rsidRPr="00D276EB" w:rsidRDefault="00D276EB" w:rsidP="00D276EB">
      <w:pPr>
        <w:spacing w:after="0" w:line="240" w:lineRule="auto"/>
        <w:rPr>
          <w:b/>
          <w:sz w:val="24"/>
          <w:szCs w:val="24"/>
        </w:rPr>
      </w:pPr>
    </w:p>
    <w:bookmarkEnd w:id="5"/>
    <w:p w14:paraId="3D2251BD" w14:textId="5F1D41DA" w:rsidR="00D276EB" w:rsidRDefault="00D276EB" w:rsidP="00D276EB">
      <w:pPr>
        <w:spacing w:after="0" w:line="240" w:lineRule="auto"/>
        <w:rPr>
          <w:bCs/>
          <w:sz w:val="24"/>
          <w:szCs w:val="24"/>
        </w:rPr>
      </w:pPr>
      <w:r w:rsidRPr="00D276EB">
        <w:rPr>
          <w:sz w:val="24"/>
          <w:szCs w:val="24"/>
        </w:rPr>
        <w:t xml:space="preserve">Staff </w:t>
      </w:r>
      <w:r w:rsidR="004324E1">
        <w:rPr>
          <w:sz w:val="24"/>
          <w:szCs w:val="24"/>
        </w:rPr>
        <w:t xml:space="preserve">asked </w:t>
      </w:r>
      <w:r w:rsidRPr="00D276EB">
        <w:rPr>
          <w:sz w:val="24"/>
          <w:szCs w:val="24"/>
        </w:rPr>
        <w:t xml:space="preserve">the Applicant </w:t>
      </w:r>
      <w:r w:rsidR="004324E1">
        <w:rPr>
          <w:sz w:val="24"/>
          <w:szCs w:val="24"/>
        </w:rPr>
        <w:t xml:space="preserve">to what it </w:t>
      </w:r>
      <w:r w:rsidRPr="00D276EB">
        <w:rPr>
          <w:sz w:val="24"/>
          <w:szCs w:val="24"/>
        </w:rPr>
        <w:t xml:space="preserve">attributes the large overall growth (58.6% FY19-22) in scan volume. </w:t>
      </w:r>
      <w:r w:rsidRPr="00D276EB">
        <w:rPr>
          <w:bCs/>
          <w:sz w:val="24"/>
          <w:szCs w:val="24"/>
        </w:rPr>
        <w:t>The Applicant responded that growth</w:t>
      </w:r>
      <w:r w:rsidR="00465C7F">
        <w:rPr>
          <w:bCs/>
          <w:sz w:val="24"/>
          <w:szCs w:val="24"/>
        </w:rPr>
        <w:t xml:space="preserve"> is</w:t>
      </w:r>
      <w:r w:rsidRPr="00D276EB">
        <w:rPr>
          <w:bCs/>
          <w:sz w:val="24"/>
          <w:szCs w:val="24"/>
        </w:rPr>
        <w:t xml:space="preserve"> largely attributable to </w:t>
      </w:r>
      <w:r w:rsidR="004324E1">
        <w:rPr>
          <w:bCs/>
          <w:sz w:val="24"/>
          <w:szCs w:val="24"/>
        </w:rPr>
        <w:t xml:space="preserve">significant </w:t>
      </w:r>
      <w:r w:rsidRPr="00D276EB">
        <w:rPr>
          <w:bCs/>
          <w:sz w:val="24"/>
          <w:szCs w:val="24"/>
        </w:rPr>
        <w:t>ED visits growth (24%) from FY20-22</w:t>
      </w:r>
      <w:r w:rsidR="004324E1">
        <w:rPr>
          <w:bCs/>
          <w:sz w:val="24"/>
          <w:szCs w:val="24"/>
        </w:rPr>
        <w:t xml:space="preserve">. </w:t>
      </w:r>
      <w:r w:rsidR="009D7FC4">
        <w:rPr>
          <w:bCs/>
          <w:sz w:val="24"/>
          <w:szCs w:val="24"/>
        </w:rPr>
        <w:t>T</w:t>
      </w:r>
      <w:r w:rsidR="004324E1">
        <w:rPr>
          <w:bCs/>
          <w:sz w:val="24"/>
          <w:szCs w:val="24"/>
        </w:rPr>
        <w:t xml:space="preserve">his </w:t>
      </w:r>
      <w:r w:rsidRPr="00D276EB">
        <w:rPr>
          <w:bCs/>
          <w:sz w:val="24"/>
          <w:szCs w:val="24"/>
        </w:rPr>
        <w:t>led to</w:t>
      </w:r>
      <w:r w:rsidR="004324E1">
        <w:rPr>
          <w:bCs/>
          <w:sz w:val="24"/>
          <w:szCs w:val="24"/>
        </w:rPr>
        <w:t xml:space="preserve"> growth of </w:t>
      </w:r>
      <w:r w:rsidR="004324E1" w:rsidRPr="00D276EB">
        <w:rPr>
          <w:bCs/>
          <w:sz w:val="24"/>
          <w:szCs w:val="24"/>
        </w:rPr>
        <w:t>~</w:t>
      </w:r>
      <w:r w:rsidRPr="00D276EB">
        <w:rPr>
          <w:bCs/>
          <w:sz w:val="24"/>
          <w:szCs w:val="24"/>
        </w:rPr>
        <w:t xml:space="preserve">26%, and ~30% in ED CT scan volume from FY20-21 and FY21-22 respectively. </w:t>
      </w:r>
      <w:r w:rsidR="00B843BA">
        <w:rPr>
          <w:bCs/>
          <w:sz w:val="24"/>
          <w:szCs w:val="24"/>
        </w:rPr>
        <w:t xml:space="preserve">It attributes </w:t>
      </w:r>
      <w:r w:rsidRPr="00D276EB">
        <w:rPr>
          <w:bCs/>
          <w:sz w:val="24"/>
          <w:szCs w:val="24"/>
        </w:rPr>
        <w:t>CT growth to 1) Stroke protocol requirements, 2) an increase in spine CTs</w:t>
      </w:r>
      <w:r w:rsidR="001F56D0">
        <w:rPr>
          <w:bCs/>
          <w:sz w:val="24"/>
          <w:szCs w:val="24"/>
        </w:rPr>
        <w:t xml:space="preserve"> driven by an increase in orthopedic visits, </w:t>
      </w:r>
      <w:r w:rsidRPr="00D276EB">
        <w:rPr>
          <w:bCs/>
          <w:sz w:val="24"/>
          <w:szCs w:val="24"/>
        </w:rPr>
        <w:t xml:space="preserve">and 3) growth abdominal CT scans due to primary care/urgent care access issues. </w:t>
      </w:r>
    </w:p>
    <w:p w14:paraId="0C01309E" w14:textId="77777777" w:rsidR="00D276EB" w:rsidRPr="00D276EB" w:rsidRDefault="00D276EB" w:rsidP="00D276EB">
      <w:pPr>
        <w:spacing w:after="0" w:line="240" w:lineRule="auto"/>
        <w:rPr>
          <w:bCs/>
          <w:sz w:val="24"/>
          <w:szCs w:val="24"/>
        </w:rPr>
      </w:pPr>
    </w:p>
    <w:p w14:paraId="68A68351" w14:textId="4F49A585" w:rsidR="00D276EB" w:rsidRDefault="00D276EB" w:rsidP="00D276EB">
      <w:pPr>
        <w:spacing w:after="0" w:line="240" w:lineRule="auto"/>
        <w:rPr>
          <w:bCs/>
          <w:sz w:val="24"/>
          <w:szCs w:val="24"/>
        </w:rPr>
      </w:pPr>
      <w:r w:rsidRPr="00D276EB">
        <w:rPr>
          <w:bCs/>
          <w:sz w:val="24"/>
          <w:szCs w:val="24"/>
        </w:rPr>
        <w:t>Staff notes that annualized data for FY23 suggests that growth may be ~ 34%</w:t>
      </w:r>
      <w:r w:rsidR="00774117">
        <w:rPr>
          <w:bCs/>
          <w:sz w:val="24"/>
          <w:szCs w:val="24"/>
        </w:rPr>
        <w:t xml:space="preserve">: and that while </w:t>
      </w:r>
      <w:r w:rsidRPr="00D276EB">
        <w:rPr>
          <w:bCs/>
          <w:sz w:val="24"/>
          <w:szCs w:val="24"/>
        </w:rPr>
        <w:t xml:space="preserve">ED scans comprise an average of 37.5% of total scans, ED scans comprise </w:t>
      </w:r>
      <w:r w:rsidR="004324E1">
        <w:rPr>
          <w:bCs/>
          <w:sz w:val="24"/>
          <w:szCs w:val="24"/>
        </w:rPr>
        <w:t xml:space="preserve">an increasing proportion of </w:t>
      </w:r>
      <w:r w:rsidR="0051793F">
        <w:rPr>
          <w:bCs/>
          <w:sz w:val="24"/>
          <w:szCs w:val="24"/>
        </w:rPr>
        <w:t xml:space="preserve">the total, and have grown </w:t>
      </w:r>
      <w:r w:rsidRPr="00D276EB">
        <w:rPr>
          <w:bCs/>
          <w:sz w:val="24"/>
          <w:szCs w:val="24"/>
        </w:rPr>
        <w:t>from 33.3%</w:t>
      </w:r>
      <w:r w:rsidR="0051793F">
        <w:rPr>
          <w:bCs/>
          <w:sz w:val="24"/>
          <w:szCs w:val="24"/>
        </w:rPr>
        <w:t xml:space="preserve"> in FY 19</w:t>
      </w:r>
      <w:r w:rsidRPr="00D276EB">
        <w:rPr>
          <w:bCs/>
          <w:sz w:val="24"/>
          <w:szCs w:val="24"/>
        </w:rPr>
        <w:t xml:space="preserve"> to 40.8%</w:t>
      </w:r>
      <w:r w:rsidR="009D7FC4">
        <w:rPr>
          <w:bCs/>
          <w:sz w:val="24"/>
          <w:szCs w:val="24"/>
        </w:rPr>
        <w:t xml:space="preserve"> of the total</w:t>
      </w:r>
      <w:r w:rsidRPr="00D276EB">
        <w:rPr>
          <w:bCs/>
          <w:sz w:val="24"/>
          <w:szCs w:val="24"/>
        </w:rPr>
        <w:t xml:space="preserve"> </w:t>
      </w:r>
      <w:r w:rsidR="0051793F">
        <w:rPr>
          <w:bCs/>
          <w:sz w:val="24"/>
          <w:szCs w:val="24"/>
        </w:rPr>
        <w:t xml:space="preserve">in </w:t>
      </w:r>
      <w:r w:rsidRPr="00D276EB">
        <w:rPr>
          <w:bCs/>
          <w:sz w:val="24"/>
          <w:szCs w:val="24"/>
        </w:rPr>
        <w:t>FY23.</w:t>
      </w:r>
    </w:p>
    <w:p w14:paraId="7BBBEAC4" w14:textId="77777777" w:rsidR="00D276EB" w:rsidRPr="00D276EB" w:rsidRDefault="00D276EB" w:rsidP="00D276EB">
      <w:pPr>
        <w:spacing w:after="0" w:line="240" w:lineRule="auto"/>
        <w:rPr>
          <w:bCs/>
          <w:sz w:val="24"/>
          <w:szCs w:val="24"/>
        </w:rPr>
      </w:pPr>
    </w:p>
    <w:p w14:paraId="5708BB74" w14:textId="2EC4C20F" w:rsidR="00D276EB" w:rsidRDefault="00D276EB" w:rsidP="00D276EB">
      <w:pPr>
        <w:numPr>
          <w:ilvl w:val="0"/>
          <w:numId w:val="13"/>
        </w:numPr>
        <w:spacing w:after="0" w:line="240" w:lineRule="auto"/>
        <w:rPr>
          <w:b/>
          <w:bCs/>
          <w:sz w:val="24"/>
          <w:szCs w:val="24"/>
        </w:rPr>
      </w:pPr>
      <w:r w:rsidRPr="00D276EB">
        <w:rPr>
          <w:b/>
          <w:bCs/>
          <w:sz w:val="24"/>
          <w:szCs w:val="24"/>
        </w:rPr>
        <w:t>Need Timely Access to CT for ED Patients</w:t>
      </w:r>
    </w:p>
    <w:p w14:paraId="4D559623" w14:textId="77777777" w:rsidR="009D7FC4" w:rsidRPr="00D276EB" w:rsidRDefault="009D7FC4" w:rsidP="009D7FC4">
      <w:pPr>
        <w:spacing w:after="0" w:line="240" w:lineRule="auto"/>
        <w:ind w:left="360"/>
        <w:rPr>
          <w:b/>
          <w:bCs/>
          <w:sz w:val="24"/>
          <w:szCs w:val="24"/>
        </w:rPr>
      </w:pPr>
    </w:p>
    <w:p w14:paraId="050C22BE" w14:textId="6C710768" w:rsidR="00D276EB" w:rsidRDefault="00D276EB" w:rsidP="00D276EB">
      <w:pPr>
        <w:spacing w:after="0" w:line="240" w:lineRule="auto"/>
        <w:rPr>
          <w:sz w:val="24"/>
          <w:szCs w:val="24"/>
        </w:rPr>
      </w:pPr>
      <w:r w:rsidRPr="00D276EB">
        <w:rPr>
          <w:sz w:val="24"/>
          <w:szCs w:val="24"/>
        </w:rPr>
        <w:t>CT is widely used to diagnose stroke. As a Primary Stroke Services Hospital</w:t>
      </w:r>
      <w:r w:rsidRPr="00D276EB">
        <w:rPr>
          <w:sz w:val="24"/>
          <w:szCs w:val="24"/>
          <w:vertAlign w:val="superscript"/>
        </w:rPr>
        <w:footnoteReference w:id="10"/>
      </w:r>
      <w:r w:rsidRPr="00D276EB">
        <w:rPr>
          <w:sz w:val="24"/>
          <w:szCs w:val="24"/>
        </w:rPr>
        <w:t>, the Emergency Medical Services system sends patients experiencing symptoms of a stroke to the CDH ED</w:t>
      </w:r>
      <w:r w:rsidR="0051793F">
        <w:rPr>
          <w:sz w:val="24"/>
          <w:szCs w:val="24"/>
        </w:rPr>
        <w:t xml:space="preserve">, </w:t>
      </w:r>
      <w:r w:rsidR="0051793F">
        <w:rPr>
          <w:sz w:val="24"/>
          <w:szCs w:val="24"/>
        </w:rPr>
        <w:lastRenderedPageBreak/>
        <w:t>where w</w:t>
      </w:r>
      <w:r w:rsidRPr="00D276EB">
        <w:rPr>
          <w:sz w:val="24"/>
          <w:szCs w:val="24"/>
        </w:rPr>
        <w:t xml:space="preserve">hen clinically indicated, patients must be stabilized and transported to </w:t>
      </w:r>
      <w:r w:rsidR="00BD2DBF">
        <w:rPr>
          <w:sz w:val="24"/>
          <w:szCs w:val="24"/>
        </w:rPr>
        <w:t>the radiology department (R</w:t>
      </w:r>
      <w:r w:rsidRPr="00D276EB">
        <w:rPr>
          <w:sz w:val="24"/>
          <w:szCs w:val="24"/>
        </w:rPr>
        <w:t>adiology</w:t>
      </w:r>
      <w:r w:rsidR="00BD2DBF">
        <w:rPr>
          <w:sz w:val="24"/>
          <w:szCs w:val="24"/>
        </w:rPr>
        <w:t>)</w:t>
      </w:r>
      <w:r w:rsidRPr="00D276EB">
        <w:rPr>
          <w:sz w:val="24"/>
          <w:szCs w:val="24"/>
        </w:rPr>
        <w:t xml:space="preserve"> for their CT. Clinical guidelines for stroke recommend that stroke patients receive CT imaging within 25 minutes of arrival at the ED. CDH is able to achieve the recommended 25-minute door to CT scan time 81.2% of the time (the Massachusetts average is 70.7%). Data provided by the Applicant indicate that consistently over 96% of all </w:t>
      </w:r>
      <w:r w:rsidR="00361DBF">
        <w:rPr>
          <w:sz w:val="24"/>
          <w:szCs w:val="24"/>
        </w:rPr>
        <w:t>s</w:t>
      </w:r>
      <w:r w:rsidRPr="00D276EB">
        <w:rPr>
          <w:sz w:val="24"/>
          <w:szCs w:val="24"/>
        </w:rPr>
        <w:t>troke</w:t>
      </w:r>
      <w:r w:rsidR="00DE4E1C">
        <w:rPr>
          <w:sz w:val="24"/>
          <w:szCs w:val="24"/>
        </w:rPr>
        <w:t>s</w:t>
      </w:r>
      <w:r w:rsidRPr="00D276EB">
        <w:rPr>
          <w:sz w:val="24"/>
          <w:szCs w:val="24"/>
        </w:rPr>
        <w:t xml:space="preserve"> including Ischemic Stroke patients receive CT scans. The volume of Ischemic Stroke scans at CDH has risen over the past two fiscal years (~15% and ~13%). Timely access to CT imaging is imperative to make a diagnosis and administer tissue plasminogen activator (“tPA”) to eligible patients. When administered quickly after stroke onset (within three hours, as approved by the FDA), tPA helps to restore blood flow to brain regions affected by a stroke, thereby limiting the risk of damage and functional impairment.</w:t>
      </w:r>
      <w:r w:rsidRPr="00D276EB">
        <w:rPr>
          <w:sz w:val="24"/>
          <w:szCs w:val="24"/>
          <w:vertAlign w:val="superscript"/>
        </w:rPr>
        <w:footnoteReference w:id="11"/>
      </w:r>
    </w:p>
    <w:p w14:paraId="456260E1" w14:textId="77777777" w:rsidR="00BD2DBF" w:rsidRPr="00D276EB" w:rsidRDefault="00BD2DBF" w:rsidP="00D276EB">
      <w:pPr>
        <w:spacing w:after="0" w:line="240" w:lineRule="auto"/>
        <w:rPr>
          <w:sz w:val="24"/>
          <w:szCs w:val="24"/>
        </w:rPr>
      </w:pPr>
    </w:p>
    <w:p w14:paraId="29F224B6" w14:textId="569C15E5" w:rsidR="00521F3C" w:rsidRPr="00521F3C" w:rsidRDefault="00BD2DBF" w:rsidP="00521F3C">
      <w:pPr>
        <w:spacing w:after="0" w:line="240" w:lineRule="auto"/>
        <w:rPr>
          <w:sz w:val="24"/>
          <w:szCs w:val="24"/>
        </w:rPr>
      </w:pPr>
      <w:r>
        <w:rPr>
          <w:sz w:val="24"/>
          <w:szCs w:val="24"/>
        </w:rPr>
        <w:t>O</w:t>
      </w:r>
      <w:r w:rsidR="00D276EB" w:rsidRPr="00D276EB">
        <w:rPr>
          <w:sz w:val="24"/>
          <w:szCs w:val="24"/>
        </w:rPr>
        <w:t xml:space="preserve">ther </w:t>
      </w:r>
      <w:r>
        <w:rPr>
          <w:sz w:val="24"/>
          <w:szCs w:val="24"/>
        </w:rPr>
        <w:t xml:space="preserve">ED </w:t>
      </w:r>
      <w:r w:rsidR="00D276EB" w:rsidRPr="00D276EB">
        <w:rPr>
          <w:sz w:val="24"/>
          <w:szCs w:val="24"/>
        </w:rPr>
        <w:t xml:space="preserve">patients requiring an emergent CT scan are </w:t>
      </w:r>
      <w:r>
        <w:rPr>
          <w:sz w:val="24"/>
          <w:szCs w:val="24"/>
        </w:rPr>
        <w:t xml:space="preserve">also </w:t>
      </w:r>
      <w:r w:rsidR="00D276EB" w:rsidRPr="00D276EB">
        <w:rPr>
          <w:sz w:val="24"/>
          <w:szCs w:val="24"/>
        </w:rPr>
        <w:t>prioritized over less urgent</w:t>
      </w:r>
      <w:r>
        <w:rPr>
          <w:sz w:val="24"/>
          <w:szCs w:val="24"/>
        </w:rPr>
        <w:t xml:space="preserve"> cases</w:t>
      </w:r>
      <w:r w:rsidR="00D276EB" w:rsidRPr="00D276EB">
        <w:rPr>
          <w:sz w:val="24"/>
          <w:szCs w:val="24"/>
        </w:rPr>
        <w:t>. Staff inquired about the average wait times for all ED patients requiring CTs. The Applicant provided data that the wait-times have declined from a high of 69 minutes in FY 2020 to 46 minutes in in 2023.</w:t>
      </w:r>
      <w:r w:rsidR="00521F3C">
        <w:rPr>
          <w:sz w:val="24"/>
          <w:szCs w:val="24"/>
        </w:rPr>
        <w:t xml:space="preserve"> </w:t>
      </w:r>
      <w:r w:rsidR="00521F3C" w:rsidRPr="00521F3C">
        <w:rPr>
          <w:sz w:val="24"/>
          <w:szCs w:val="24"/>
        </w:rPr>
        <w:t xml:space="preserve">The Applicant </w:t>
      </w:r>
      <w:r w:rsidR="00521F3C">
        <w:rPr>
          <w:sz w:val="24"/>
          <w:szCs w:val="24"/>
        </w:rPr>
        <w:t xml:space="preserve">also </w:t>
      </w:r>
      <w:r w:rsidR="00521F3C" w:rsidRPr="00521F3C">
        <w:rPr>
          <w:sz w:val="24"/>
          <w:szCs w:val="24"/>
        </w:rPr>
        <w:t>noted that in calendar year 2022, 22 patients were transferred out of CDH’s ED to other facilities for</w:t>
      </w:r>
      <w:r w:rsidR="00521F3C">
        <w:rPr>
          <w:sz w:val="24"/>
          <w:szCs w:val="24"/>
        </w:rPr>
        <w:t xml:space="preserve"> CT</w:t>
      </w:r>
      <w:r w:rsidR="00521F3C" w:rsidRPr="00521F3C">
        <w:rPr>
          <w:sz w:val="24"/>
          <w:szCs w:val="24"/>
        </w:rPr>
        <w:t xml:space="preserve"> interventional radiology care</w:t>
      </w:r>
      <w:r w:rsidR="00521F3C">
        <w:rPr>
          <w:sz w:val="24"/>
          <w:szCs w:val="24"/>
        </w:rPr>
        <w:t xml:space="preserve"> (described below)</w:t>
      </w:r>
      <w:r w:rsidR="00464520">
        <w:rPr>
          <w:sz w:val="24"/>
          <w:szCs w:val="24"/>
        </w:rPr>
        <w:t>.</w:t>
      </w:r>
    </w:p>
    <w:p w14:paraId="3C8E5D07" w14:textId="77777777" w:rsidR="00D276EB" w:rsidRPr="00D276EB" w:rsidRDefault="00D276EB" w:rsidP="00D276EB">
      <w:pPr>
        <w:spacing w:after="0" w:line="240" w:lineRule="auto"/>
        <w:rPr>
          <w:sz w:val="24"/>
          <w:szCs w:val="24"/>
        </w:rPr>
      </w:pPr>
    </w:p>
    <w:p w14:paraId="7A77BC60" w14:textId="223DDD82" w:rsidR="009D7FC4" w:rsidRDefault="00D276EB" w:rsidP="009D7FC4">
      <w:pPr>
        <w:numPr>
          <w:ilvl w:val="0"/>
          <w:numId w:val="13"/>
        </w:numPr>
        <w:spacing w:after="0" w:line="240" w:lineRule="auto"/>
        <w:rPr>
          <w:b/>
          <w:bCs/>
          <w:sz w:val="24"/>
          <w:szCs w:val="24"/>
        </w:rPr>
      </w:pPr>
      <w:r w:rsidRPr="00D276EB">
        <w:rPr>
          <w:b/>
          <w:bCs/>
          <w:sz w:val="24"/>
          <w:szCs w:val="24"/>
        </w:rPr>
        <w:t>Need Timely Access to CT for other patients</w:t>
      </w:r>
    </w:p>
    <w:p w14:paraId="3A678EEE" w14:textId="77777777" w:rsidR="009D7FC4" w:rsidRPr="009D7FC4" w:rsidRDefault="009D7FC4" w:rsidP="009D7FC4">
      <w:pPr>
        <w:spacing w:after="0" w:line="240" w:lineRule="auto"/>
        <w:ind w:left="360"/>
        <w:rPr>
          <w:b/>
          <w:bCs/>
          <w:sz w:val="24"/>
          <w:szCs w:val="24"/>
        </w:rPr>
      </w:pPr>
    </w:p>
    <w:p w14:paraId="3714B433" w14:textId="6C1D9A38" w:rsidR="00D276EB" w:rsidRDefault="00D276EB" w:rsidP="00D276EB">
      <w:pPr>
        <w:spacing w:after="0" w:line="240" w:lineRule="auto"/>
        <w:rPr>
          <w:bCs/>
          <w:sz w:val="24"/>
          <w:szCs w:val="24"/>
        </w:rPr>
      </w:pPr>
      <w:r w:rsidRPr="00D276EB">
        <w:rPr>
          <w:bCs/>
          <w:sz w:val="24"/>
          <w:szCs w:val="24"/>
        </w:rPr>
        <w:t xml:space="preserve">The Applicant reports that the average wait time for a </w:t>
      </w:r>
      <w:r w:rsidR="00BD2DBF">
        <w:rPr>
          <w:bCs/>
          <w:sz w:val="24"/>
          <w:szCs w:val="24"/>
        </w:rPr>
        <w:t xml:space="preserve">scheduled </w:t>
      </w:r>
      <w:r w:rsidRPr="00D276EB">
        <w:rPr>
          <w:bCs/>
          <w:sz w:val="24"/>
          <w:szCs w:val="24"/>
        </w:rPr>
        <w:t xml:space="preserve">CT </w:t>
      </w:r>
      <w:r w:rsidRPr="00D276EB">
        <w:rPr>
          <w:bCs/>
          <w:i/>
          <w:iCs/>
          <w:sz w:val="24"/>
          <w:szCs w:val="24"/>
        </w:rPr>
        <w:t>from time ordered to CT scan</w:t>
      </w:r>
      <w:r w:rsidRPr="00D276EB">
        <w:rPr>
          <w:bCs/>
          <w:sz w:val="24"/>
          <w:szCs w:val="24"/>
        </w:rPr>
        <w:t xml:space="preserve"> is 14 days for outpatient imaging.</w:t>
      </w:r>
      <w:r w:rsidRPr="00D276EB">
        <w:rPr>
          <w:bCs/>
          <w:sz w:val="24"/>
          <w:szCs w:val="24"/>
          <w:vertAlign w:val="superscript"/>
        </w:rPr>
        <w:footnoteReference w:id="12"/>
      </w:r>
      <w:r w:rsidRPr="00D276EB">
        <w:rPr>
          <w:bCs/>
          <w:sz w:val="24"/>
          <w:szCs w:val="24"/>
        </w:rPr>
        <w:t xml:space="preserve"> The Applicant also reports that with two CT units, scheduled outpatient CT scans are often </w:t>
      </w:r>
      <w:r w:rsidR="000C305F" w:rsidRPr="00D276EB">
        <w:rPr>
          <w:bCs/>
          <w:sz w:val="24"/>
          <w:szCs w:val="24"/>
        </w:rPr>
        <w:t>delayed since</w:t>
      </w:r>
      <w:r w:rsidRPr="00D276EB">
        <w:rPr>
          <w:bCs/>
          <w:sz w:val="24"/>
          <w:szCs w:val="24"/>
        </w:rPr>
        <w:t xml:space="preserve"> ED patients are prioritized, and that as ED CT volume increases, the impact</w:t>
      </w:r>
      <w:r w:rsidR="009B4104">
        <w:rPr>
          <w:bCs/>
          <w:sz w:val="24"/>
          <w:szCs w:val="24"/>
        </w:rPr>
        <w:t xml:space="preserve"> of delays for </w:t>
      </w:r>
      <w:r w:rsidRPr="00D276EB">
        <w:rPr>
          <w:bCs/>
          <w:sz w:val="24"/>
          <w:szCs w:val="24"/>
        </w:rPr>
        <w:t xml:space="preserve">scheduled CT patients will increase. Following </w:t>
      </w:r>
      <w:r w:rsidR="008614B7">
        <w:rPr>
          <w:bCs/>
          <w:sz w:val="24"/>
          <w:szCs w:val="24"/>
        </w:rPr>
        <w:t>s</w:t>
      </w:r>
      <w:r w:rsidRPr="00D276EB">
        <w:rPr>
          <w:bCs/>
          <w:sz w:val="24"/>
          <w:szCs w:val="24"/>
        </w:rPr>
        <w:t xml:space="preserve">taff inquiry, the Applicant states that when </w:t>
      </w:r>
      <w:r w:rsidR="009B4104">
        <w:rPr>
          <w:bCs/>
          <w:sz w:val="24"/>
          <w:szCs w:val="24"/>
        </w:rPr>
        <w:t xml:space="preserve">such delays occur, </w:t>
      </w:r>
      <w:r w:rsidRPr="00D276EB">
        <w:rPr>
          <w:bCs/>
          <w:sz w:val="24"/>
          <w:szCs w:val="24"/>
        </w:rPr>
        <w:t xml:space="preserve">scheduled patients </w:t>
      </w:r>
      <w:r w:rsidR="009B4104">
        <w:rPr>
          <w:bCs/>
          <w:sz w:val="24"/>
          <w:szCs w:val="24"/>
        </w:rPr>
        <w:t xml:space="preserve">are </w:t>
      </w:r>
      <w:r w:rsidRPr="00D276EB">
        <w:rPr>
          <w:bCs/>
          <w:sz w:val="24"/>
          <w:szCs w:val="24"/>
        </w:rPr>
        <w:t>accommodated on the same day unless the patient requests it be rescheduled. The Applicant asserts that with the proposed unit located in the ED, outpatients will have full access to the existing two units, thereby reducing wait times and delays they currently experience.</w:t>
      </w:r>
    </w:p>
    <w:p w14:paraId="46B23C9F" w14:textId="77777777" w:rsidR="00985969" w:rsidRPr="00D276EB" w:rsidRDefault="00985969" w:rsidP="00D276EB">
      <w:pPr>
        <w:spacing w:after="0" w:line="240" w:lineRule="auto"/>
        <w:rPr>
          <w:bCs/>
          <w:sz w:val="24"/>
          <w:szCs w:val="24"/>
        </w:rPr>
      </w:pPr>
    </w:p>
    <w:p w14:paraId="3051D807" w14:textId="29222BAB" w:rsidR="00D276EB" w:rsidRDefault="00D276EB" w:rsidP="00D276EB">
      <w:pPr>
        <w:spacing w:after="0" w:line="240" w:lineRule="auto"/>
        <w:rPr>
          <w:sz w:val="24"/>
          <w:szCs w:val="24"/>
        </w:rPr>
      </w:pPr>
      <w:r w:rsidRPr="00D276EB">
        <w:rPr>
          <w:bCs/>
          <w:sz w:val="24"/>
          <w:szCs w:val="24"/>
        </w:rPr>
        <w:t>CT also is used for CT-guided interventional radiology (“</w:t>
      </w:r>
      <w:r w:rsidR="00E91E3D">
        <w:rPr>
          <w:bCs/>
          <w:sz w:val="24"/>
          <w:szCs w:val="24"/>
        </w:rPr>
        <w:t>CT-</w:t>
      </w:r>
      <w:r w:rsidRPr="00D276EB">
        <w:rPr>
          <w:bCs/>
          <w:sz w:val="24"/>
          <w:szCs w:val="24"/>
        </w:rPr>
        <w:t>IR”)</w:t>
      </w:r>
      <w:r w:rsidRPr="00D276EB">
        <w:rPr>
          <w:bCs/>
          <w:sz w:val="24"/>
          <w:szCs w:val="24"/>
          <w:vertAlign w:val="superscript"/>
        </w:rPr>
        <w:footnoteReference w:id="13"/>
      </w:r>
      <w:r w:rsidRPr="00D276EB">
        <w:rPr>
          <w:bCs/>
          <w:sz w:val="24"/>
          <w:szCs w:val="24"/>
        </w:rPr>
        <w:t xml:space="preserve"> procedures and Coronary CT Angiography (“CCTA”)</w:t>
      </w:r>
      <w:r w:rsidRPr="00D276EB">
        <w:rPr>
          <w:bCs/>
          <w:sz w:val="24"/>
          <w:szCs w:val="24"/>
          <w:vertAlign w:val="superscript"/>
        </w:rPr>
        <w:footnoteReference w:id="14"/>
      </w:r>
      <w:r w:rsidRPr="00D276EB">
        <w:rPr>
          <w:bCs/>
          <w:sz w:val="24"/>
          <w:szCs w:val="24"/>
        </w:rPr>
        <w:t xml:space="preserve"> which require a longer blocks of time, and once an interventional procedure begins, it cannot be interrupted.</w:t>
      </w:r>
      <w:r w:rsidRPr="00D276EB">
        <w:rPr>
          <w:bCs/>
          <w:sz w:val="24"/>
          <w:szCs w:val="24"/>
          <w:vertAlign w:val="superscript"/>
        </w:rPr>
        <w:footnoteReference w:id="15"/>
      </w:r>
      <w:r w:rsidRPr="00D276EB">
        <w:rPr>
          <w:bCs/>
          <w:sz w:val="24"/>
          <w:szCs w:val="24"/>
        </w:rPr>
        <w:t xml:space="preserve"> </w:t>
      </w:r>
      <w:r w:rsidR="00985969" w:rsidRPr="00985969">
        <w:rPr>
          <w:bCs/>
          <w:sz w:val="24"/>
          <w:szCs w:val="24"/>
        </w:rPr>
        <w:t xml:space="preserve">CDH has limited interventional CT block times </w:t>
      </w:r>
      <w:r w:rsidR="00985969" w:rsidRPr="00985969">
        <w:rPr>
          <w:bCs/>
          <w:sz w:val="24"/>
          <w:szCs w:val="24"/>
        </w:rPr>
        <w:lastRenderedPageBreak/>
        <w:t>available</w:t>
      </w:r>
      <w:r w:rsidR="00985969">
        <w:rPr>
          <w:bCs/>
          <w:sz w:val="24"/>
          <w:szCs w:val="24"/>
        </w:rPr>
        <w:t xml:space="preserve"> for these procedures s</w:t>
      </w:r>
      <w:r w:rsidRPr="00D276EB">
        <w:rPr>
          <w:bCs/>
          <w:sz w:val="24"/>
          <w:szCs w:val="24"/>
        </w:rPr>
        <w:t xml:space="preserve">ince emergent cases are </w:t>
      </w:r>
      <w:r w:rsidRPr="00D276EB">
        <w:rPr>
          <w:sz w:val="24"/>
          <w:szCs w:val="24"/>
        </w:rPr>
        <w:t>prioritized</w:t>
      </w:r>
      <w:r w:rsidR="00985969">
        <w:rPr>
          <w:sz w:val="24"/>
          <w:szCs w:val="24"/>
        </w:rPr>
        <w:t>,</w:t>
      </w:r>
      <w:r w:rsidRPr="00D276EB">
        <w:rPr>
          <w:sz w:val="24"/>
          <w:szCs w:val="24"/>
        </w:rPr>
        <w:t xml:space="preserve"> inpatients need access, and also </w:t>
      </w:r>
      <w:r w:rsidR="00985969">
        <w:rPr>
          <w:sz w:val="24"/>
          <w:szCs w:val="24"/>
        </w:rPr>
        <w:t xml:space="preserve">the </w:t>
      </w:r>
      <w:r w:rsidRPr="00D276EB">
        <w:rPr>
          <w:sz w:val="24"/>
          <w:szCs w:val="24"/>
        </w:rPr>
        <w:t>outpatient schedule</w:t>
      </w:r>
      <w:r w:rsidR="00985969">
        <w:rPr>
          <w:sz w:val="24"/>
          <w:szCs w:val="24"/>
        </w:rPr>
        <w:t xml:space="preserve"> is already </w:t>
      </w:r>
      <w:r w:rsidR="004C68BB">
        <w:rPr>
          <w:sz w:val="24"/>
          <w:szCs w:val="24"/>
        </w:rPr>
        <w:t>full</w:t>
      </w:r>
      <w:r w:rsidR="00985969">
        <w:rPr>
          <w:sz w:val="24"/>
          <w:szCs w:val="24"/>
        </w:rPr>
        <w:t xml:space="preserve">. </w:t>
      </w:r>
      <w:r w:rsidRPr="00D276EB">
        <w:rPr>
          <w:bCs/>
          <w:sz w:val="24"/>
          <w:szCs w:val="24"/>
        </w:rPr>
        <w:t xml:space="preserve">The Applicant asserts that the addition of a third CT unit will allow the Hospital to increase the number of </w:t>
      </w:r>
      <w:r w:rsidR="004C68BB" w:rsidRPr="00D276EB">
        <w:rPr>
          <w:bCs/>
          <w:sz w:val="24"/>
          <w:szCs w:val="24"/>
        </w:rPr>
        <w:t>timeslots</w:t>
      </w:r>
      <w:r w:rsidRPr="00D276EB">
        <w:rPr>
          <w:bCs/>
          <w:sz w:val="24"/>
          <w:szCs w:val="24"/>
        </w:rPr>
        <w:t xml:space="preserve"> for interventional radiology and </w:t>
      </w:r>
      <w:r w:rsidR="008166FA">
        <w:rPr>
          <w:bCs/>
          <w:sz w:val="24"/>
          <w:szCs w:val="24"/>
        </w:rPr>
        <w:t>C</w:t>
      </w:r>
      <w:r w:rsidRPr="00D276EB">
        <w:rPr>
          <w:bCs/>
          <w:sz w:val="24"/>
          <w:szCs w:val="24"/>
        </w:rPr>
        <w:t xml:space="preserve">CTA thereby improving </w:t>
      </w:r>
      <w:r w:rsidRPr="00D276EB">
        <w:rPr>
          <w:sz w:val="24"/>
          <w:szCs w:val="24"/>
        </w:rPr>
        <w:t xml:space="preserve">access for patients needing such procedures. </w:t>
      </w:r>
    </w:p>
    <w:p w14:paraId="2DD5776E" w14:textId="77777777" w:rsidR="009D7FC4" w:rsidRPr="00D276EB" w:rsidRDefault="009D7FC4" w:rsidP="00D276EB">
      <w:pPr>
        <w:spacing w:after="0" w:line="240" w:lineRule="auto"/>
        <w:rPr>
          <w:bCs/>
          <w:sz w:val="24"/>
          <w:szCs w:val="24"/>
        </w:rPr>
      </w:pPr>
    </w:p>
    <w:p w14:paraId="4ED953AB" w14:textId="3DA56C5B" w:rsidR="00D276EB" w:rsidRDefault="00D276EB" w:rsidP="00D276EB">
      <w:pPr>
        <w:spacing w:after="0" w:line="240" w:lineRule="auto"/>
        <w:rPr>
          <w:sz w:val="24"/>
          <w:szCs w:val="24"/>
        </w:rPr>
      </w:pPr>
      <w:r w:rsidRPr="00D276EB">
        <w:rPr>
          <w:bCs/>
          <w:sz w:val="24"/>
          <w:szCs w:val="24"/>
        </w:rPr>
        <w:t xml:space="preserve">A </w:t>
      </w:r>
      <w:r w:rsidRPr="00D276EB">
        <w:rPr>
          <w:sz w:val="24"/>
          <w:szCs w:val="24"/>
        </w:rPr>
        <w:t xml:space="preserve">third CT unit will also enable CDH to expand its lung cancer screening program to respond to broadened screening guidelines. On February 10, 2022, the Centers for Medicare &amp; Medicaid Services (“CMMS”) announced expanded eligibility coverage for low dose </w:t>
      </w:r>
      <w:r w:rsidR="00CD774A">
        <w:rPr>
          <w:sz w:val="24"/>
          <w:szCs w:val="24"/>
        </w:rPr>
        <w:t xml:space="preserve">CT </w:t>
      </w:r>
      <w:r w:rsidRPr="00D276EB">
        <w:rPr>
          <w:sz w:val="24"/>
          <w:szCs w:val="24"/>
        </w:rPr>
        <w:t xml:space="preserve">(“LDCT”) by lowering the starting age for screening from 55 to 50 years and by reducing the </w:t>
      </w:r>
      <w:r w:rsidR="00CD774A">
        <w:rPr>
          <w:sz w:val="24"/>
          <w:szCs w:val="24"/>
        </w:rPr>
        <w:t xml:space="preserve">eligibility requirements apropos a patient’s </w:t>
      </w:r>
      <w:r w:rsidRPr="00D276EB">
        <w:rPr>
          <w:sz w:val="24"/>
          <w:szCs w:val="24"/>
        </w:rPr>
        <w:t xml:space="preserve">history of tobacco smoking from </w:t>
      </w:r>
      <w:r w:rsidRPr="00CD774A">
        <w:rPr>
          <w:i/>
          <w:iCs/>
          <w:sz w:val="24"/>
          <w:szCs w:val="24"/>
        </w:rPr>
        <w:t>at least 30 packs per year</w:t>
      </w:r>
      <w:r w:rsidRPr="00D276EB">
        <w:rPr>
          <w:sz w:val="24"/>
          <w:szCs w:val="24"/>
        </w:rPr>
        <w:t xml:space="preserve"> to </w:t>
      </w:r>
      <w:r w:rsidRPr="00CD774A">
        <w:rPr>
          <w:i/>
          <w:iCs/>
          <w:sz w:val="24"/>
          <w:szCs w:val="24"/>
        </w:rPr>
        <w:t>at least 20 pack per year</w:t>
      </w:r>
      <w:r w:rsidRPr="00D276EB">
        <w:rPr>
          <w:sz w:val="24"/>
          <w:szCs w:val="24"/>
        </w:rPr>
        <w:t xml:space="preserve">. The expanded eligibility is expected to </w:t>
      </w:r>
      <w:r w:rsidR="00CD774A">
        <w:rPr>
          <w:sz w:val="24"/>
          <w:szCs w:val="24"/>
        </w:rPr>
        <w:t xml:space="preserve">drive </w:t>
      </w:r>
      <w:r w:rsidRPr="00D276EB">
        <w:rPr>
          <w:sz w:val="24"/>
          <w:szCs w:val="24"/>
        </w:rPr>
        <w:t xml:space="preserve">increased CT volume. </w:t>
      </w:r>
    </w:p>
    <w:p w14:paraId="0865D828" w14:textId="77777777" w:rsidR="00D276EB" w:rsidRPr="00D276EB" w:rsidRDefault="00D276EB" w:rsidP="00D276EB">
      <w:pPr>
        <w:spacing w:after="0" w:line="240" w:lineRule="auto"/>
        <w:rPr>
          <w:sz w:val="24"/>
          <w:szCs w:val="24"/>
        </w:rPr>
      </w:pPr>
    </w:p>
    <w:p w14:paraId="026B99C5" w14:textId="676D8AA3" w:rsidR="00D276EB" w:rsidRDefault="00D276EB" w:rsidP="00D276EB">
      <w:pPr>
        <w:numPr>
          <w:ilvl w:val="0"/>
          <w:numId w:val="13"/>
        </w:numPr>
        <w:spacing w:after="0" w:line="240" w:lineRule="auto"/>
        <w:rPr>
          <w:b/>
          <w:bCs/>
          <w:sz w:val="24"/>
          <w:szCs w:val="24"/>
        </w:rPr>
      </w:pPr>
      <w:bookmarkStart w:id="6" w:name="_Hlk134463846"/>
      <w:r w:rsidRPr="00D276EB">
        <w:rPr>
          <w:b/>
          <w:bCs/>
          <w:sz w:val="24"/>
          <w:szCs w:val="24"/>
        </w:rPr>
        <w:t xml:space="preserve">Population Growth including among the Aging Population </w:t>
      </w:r>
    </w:p>
    <w:p w14:paraId="706C8BD1" w14:textId="77777777" w:rsidR="009D7FC4" w:rsidRPr="00D276EB" w:rsidRDefault="009D7FC4" w:rsidP="009D7FC4">
      <w:pPr>
        <w:spacing w:after="0" w:line="240" w:lineRule="auto"/>
        <w:ind w:left="360"/>
        <w:rPr>
          <w:b/>
          <w:bCs/>
          <w:sz w:val="24"/>
          <w:szCs w:val="24"/>
        </w:rPr>
      </w:pPr>
    </w:p>
    <w:bookmarkEnd w:id="6"/>
    <w:p w14:paraId="74F6DB74" w14:textId="107B2754" w:rsidR="00D276EB" w:rsidRDefault="00D276EB" w:rsidP="00D276EB">
      <w:pPr>
        <w:spacing w:after="0" w:line="240" w:lineRule="auto"/>
        <w:rPr>
          <w:bCs/>
          <w:sz w:val="24"/>
          <w:szCs w:val="24"/>
        </w:rPr>
      </w:pPr>
      <w:r w:rsidRPr="00D276EB">
        <w:rPr>
          <w:bCs/>
          <w:sz w:val="24"/>
          <w:szCs w:val="24"/>
        </w:rPr>
        <w:t xml:space="preserve">From FY20 to FY22, the CDH’s </w:t>
      </w:r>
      <w:r w:rsidRPr="00EB7DCB">
        <w:rPr>
          <w:bCs/>
          <w:i/>
          <w:iCs/>
          <w:sz w:val="24"/>
          <w:szCs w:val="24"/>
        </w:rPr>
        <w:t>65 and older</w:t>
      </w:r>
      <w:r w:rsidRPr="00D276EB">
        <w:rPr>
          <w:bCs/>
          <w:sz w:val="24"/>
          <w:szCs w:val="24"/>
        </w:rPr>
        <w:t xml:space="preserve"> age cohort grew by 3.29%. Notably, the number of patients </w:t>
      </w:r>
      <w:r w:rsidRPr="00EB7DCB">
        <w:rPr>
          <w:bCs/>
          <w:sz w:val="24"/>
          <w:szCs w:val="24"/>
        </w:rPr>
        <w:t xml:space="preserve">65 and older </w:t>
      </w:r>
      <w:r w:rsidRPr="00D276EB">
        <w:rPr>
          <w:bCs/>
          <w:sz w:val="24"/>
          <w:szCs w:val="24"/>
        </w:rPr>
        <w:t>that received a CT scan increased by 36.5%</w:t>
      </w:r>
      <w:r w:rsidR="009D7FC4">
        <w:rPr>
          <w:bCs/>
          <w:sz w:val="24"/>
          <w:szCs w:val="24"/>
        </w:rPr>
        <w:t xml:space="preserve"> </w:t>
      </w:r>
      <w:r w:rsidR="009D7FC4" w:rsidRPr="009D7FC4">
        <w:rPr>
          <w:bCs/>
          <w:sz w:val="24"/>
          <w:szCs w:val="24"/>
        </w:rPr>
        <w:t>(from 4,655 unique patients in FY20 to 6,358 unique patients in FY22)</w:t>
      </w:r>
      <w:r w:rsidRPr="00D276EB">
        <w:rPr>
          <w:bCs/>
          <w:sz w:val="24"/>
          <w:szCs w:val="24"/>
        </w:rPr>
        <w:t>. In FY21 and FY22, over half of patients receiving CT scans were age 65 and older: 51.53%, 51.95%, respectively.</w:t>
      </w:r>
    </w:p>
    <w:p w14:paraId="59BE1313" w14:textId="77777777" w:rsidR="002B697A" w:rsidRDefault="002B697A" w:rsidP="00D276EB">
      <w:pPr>
        <w:spacing w:after="0" w:line="240" w:lineRule="auto"/>
        <w:rPr>
          <w:bCs/>
          <w:sz w:val="24"/>
          <w:szCs w:val="24"/>
        </w:rPr>
      </w:pPr>
    </w:p>
    <w:p w14:paraId="3D4DD685" w14:textId="57F961C7" w:rsidR="00D276EB" w:rsidRDefault="00D276EB" w:rsidP="00D276EB">
      <w:pPr>
        <w:spacing w:after="0" w:line="240" w:lineRule="auto"/>
        <w:rPr>
          <w:sz w:val="24"/>
          <w:szCs w:val="24"/>
        </w:rPr>
      </w:pPr>
      <w:r w:rsidRPr="00D276EB">
        <w:rPr>
          <w:bCs/>
          <w:sz w:val="24"/>
          <w:szCs w:val="24"/>
        </w:rPr>
        <w:t>The population of CDH’s primary service area is projected to increase by approximately 2.68% from 2020 to 2035.</w:t>
      </w:r>
      <w:r w:rsidRPr="00D276EB">
        <w:rPr>
          <w:bCs/>
          <w:sz w:val="24"/>
          <w:szCs w:val="24"/>
          <w:vertAlign w:val="superscript"/>
        </w:rPr>
        <w:footnoteReference w:id="16"/>
      </w:r>
      <w:r w:rsidRPr="00D276EB">
        <w:rPr>
          <w:bCs/>
          <w:sz w:val="24"/>
          <w:szCs w:val="24"/>
        </w:rPr>
        <w:t xml:space="preserve"> In particular, </w:t>
      </w:r>
      <w:r w:rsidR="00EB7DCB" w:rsidRPr="00EB7DCB">
        <w:rPr>
          <w:bCs/>
          <w:sz w:val="24"/>
          <w:szCs w:val="24"/>
        </w:rPr>
        <w:t xml:space="preserve">the </w:t>
      </w:r>
      <w:r w:rsidR="00EB7DCB" w:rsidRPr="00EB7DCB">
        <w:rPr>
          <w:bCs/>
          <w:i/>
          <w:iCs/>
          <w:sz w:val="24"/>
          <w:szCs w:val="24"/>
        </w:rPr>
        <w:t>65 and older</w:t>
      </w:r>
      <w:r w:rsidR="00EB7DCB" w:rsidRPr="00EB7DCB">
        <w:rPr>
          <w:bCs/>
          <w:sz w:val="24"/>
          <w:szCs w:val="24"/>
        </w:rPr>
        <w:t xml:space="preserve"> cohort</w:t>
      </w:r>
      <w:r w:rsidR="00EB7DCB">
        <w:rPr>
          <w:bCs/>
          <w:sz w:val="24"/>
          <w:szCs w:val="24"/>
        </w:rPr>
        <w:t>,</w:t>
      </w:r>
      <w:r w:rsidR="00EB7DCB" w:rsidRPr="00EB7DCB">
        <w:rPr>
          <w:bCs/>
          <w:sz w:val="24"/>
          <w:szCs w:val="24"/>
        </w:rPr>
        <w:t xml:space="preserve"> </w:t>
      </w:r>
      <w:r w:rsidRPr="00D276EB">
        <w:rPr>
          <w:bCs/>
          <w:sz w:val="24"/>
          <w:szCs w:val="24"/>
        </w:rPr>
        <w:t>the age cohort that is most affected by conditions that CT is most beneficial for, is expected to grow by approximately 40.45% from 2020 to 2035.</w:t>
      </w:r>
      <w:r w:rsidRPr="00D276EB">
        <w:rPr>
          <w:bCs/>
          <w:sz w:val="24"/>
          <w:szCs w:val="24"/>
          <w:vertAlign w:val="superscript"/>
        </w:rPr>
        <w:footnoteReference w:id="17"/>
      </w:r>
      <w:r w:rsidRPr="00D276EB">
        <w:rPr>
          <w:bCs/>
          <w:sz w:val="24"/>
          <w:szCs w:val="24"/>
        </w:rPr>
        <w:t xml:space="preserve"> </w:t>
      </w:r>
      <w:r w:rsidRPr="00D276EB">
        <w:rPr>
          <w:sz w:val="24"/>
          <w:szCs w:val="24"/>
        </w:rPr>
        <w:t xml:space="preserve">As the Patient Panel ages, CDH patients will present with conditions that more frequently require advanced diagnostic imaging, including CT. Table </w:t>
      </w:r>
      <w:r w:rsidR="009D7FC4">
        <w:rPr>
          <w:sz w:val="24"/>
          <w:szCs w:val="24"/>
        </w:rPr>
        <w:t>6</w:t>
      </w:r>
      <w:r w:rsidRPr="00D276EB">
        <w:rPr>
          <w:sz w:val="24"/>
          <w:szCs w:val="24"/>
        </w:rPr>
        <w:t xml:space="preserve"> below details the Hospital’s CT volume projections following implementation of the Proposed Project.</w:t>
      </w:r>
      <w:r w:rsidR="002B697A">
        <w:rPr>
          <w:sz w:val="24"/>
          <w:szCs w:val="24"/>
        </w:rPr>
        <w:t xml:space="preserve"> </w:t>
      </w:r>
    </w:p>
    <w:p w14:paraId="0F6B7502" w14:textId="28748D91" w:rsidR="002B697A" w:rsidRDefault="002B697A" w:rsidP="00D276EB">
      <w:pPr>
        <w:spacing w:after="0" w:line="240" w:lineRule="auto"/>
        <w:rPr>
          <w:sz w:val="24"/>
          <w:szCs w:val="24"/>
        </w:rPr>
      </w:pPr>
    </w:p>
    <w:p w14:paraId="1A67C43A" w14:textId="748430BF" w:rsidR="002B697A" w:rsidRDefault="002B697A" w:rsidP="00D276EB">
      <w:pPr>
        <w:spacing w:after="0" w:line="240" w:lineRule="auto"/>
        <w:rPr>
          <w:sz w:val="24"/>
          <w:szCs w:val="24"/>
        </w:rPr>
      </w:pPr>
      <w:r w:rsidRPr="002B697A">
        <w:rPr>
          <w:sz w:val="24"/>
          <w:szCs w:val="24"/>
        </w:rPr>
        <w:t>Literature on patterns of CT use indicate that imaging rates tend to be higher among older adults.</w:t>
      </w:r>
      <w:r w:rsidRPr="002B697A">
        <w:rPr>
          <w:sz w:val="24"/>
          <w:szCs w:val="24"/>
          <w:vertAlign w:val="superscript"/>
        </w:rPr>
        <w:endnoteReference w:id="4"/>
      </w:r>
      <w:r w:rsidRPr="002B697A">
        <w:rPr>
          <w:sz w:val="24"/>
          <w:szCs w:val="24"/>
        </w:rPr>
        <w:t xml:space="preserve"> According to a study published in 2013, average CT utilization rates were approximately 24, 72, 159, and 240 per 1,000 persons for ages &lt;18, 18-44, 45-54 and 65+ years, respectively.</w:t>
      </w:r>
      <w:r w:rsidRPr="002B697A">
        <w:rPr>
          <w:sz w:val="24"/>
          <w:szCs w:val="24"/>
          <w:vertAlign w:val="superscript"/>
        </w:rPr>
        <w:endnoteReference w:id="5"/>
      </w:r>
      <w:r w:rsidRPr="002B697A">
        <w:rPr>
          <w:sz w:val="24"/>
          <w:szCs w:val="24"/>
        </w:rPr>
        <w:t xml:space="preserve"> The high CT imaging rates among older adults are likely related to the higher incidences of age-related conditions including neurologic and stroke, arthritis and orthopedic, oncologic, and cardiac conditions.</w:t>
      </w:r>
      <w:r w:rsidR="00EB7DCB">
        <w:rPr>
          <w:sz w:val="24"/>
          <w:szCs w:val="24"/>
        </w:rPr>
        <w:t xml:space="preserve"> Staff notes that clinical applications since 2013 have expanded for this age cohort as discussed further under Factor 1(b).</w:t>
      </w:r>
    </w:p>
    <w:p w14:paraId="28E8D26F" w14:textId="77777777" w:rsidR="00D276EB" w:rsidRPr="00D276EB" w:rsidRDefault="00D276EB" w:rsidP="00D276EB">
      <w:pPr>
        <w:spacing w:after="0" w:line="240" w:lineRule="auto"/>
        <w:rPr>
          <w:sz w:val="24"/>
          <w:szCs w:val="24"/>
        </w:rPr>
      </w:pPr>
    </w:p>
    <w:p w14:paraId="6E2B93F1" w14:textId="5E3A442E" w:rsidR="00D276EB" w:rsidRDefault="00D276EB" w:rsidP="00D276EB">
      <w:pPr>
        <w:spacing w:after="0" w:line="240" w:lineRule="auto"/>
        <w:rPr>
          <w:b/>
          <w:sz w:val="24"/>
          <w:szCs w:val="24"/>
          <w:u w:val="single"/>
        </w:rPr>
      </w:pPr>
      <w:r w:rsidRPr="00D276EB">
        <w:rPr>
          <w:b/>
          <w:sz w:val="24"/>
          <w:szCs w:val="24"/>
          <w:u w:val="single"/>
        </w:rPr>
        <w:t xml:space="preserve">Projected Growth and Future Demand </w:t>
      </w:r>
    </w:p>
    <w:p w14:paraId="7C568AC0" w14:textId="77777777" w:rsidR="00D276EB" w:rsidRPr="00D276EB" w:rsidRDefault="00D276EB" w:rsidP="00D276EB">
      <w:pPr>
        <w:spacing w:after="0" w:line="240" w:lineRule="auto"/>
        <w:rPr>
          <w:b/>
          <w:sz w:val="24"/>
          <w:szCs w:val="24"/>
          <w:u w:val="single"/>
        </w:rPr>
      </w:pPr>
    </w:p>
    <w:p w14:paraId="18D76669" w14:textId="32B4F6EC" w:rsidR="00D276EB" w:rsidRPr="00D276EB" w:rsidRDefault="00D276EB" w:rsidP="00D276EB">
      <w:pPr>
        <w:spacing w:after="0" w:line="240" w:lineRule="auto"/>
        <w:rPr>
          <w:sz w:val="24"/>
          <w:szCs w:val="24"/>
        </w:rPr>
      </w:pPr>
      <w:r w:rsidRPr="00D276EB">
        <w:rPr>
          <w:bCs/>
          <w:sz w:val="24"/>
          <w:szCs w:val="24"/>
        </w:rPr>
        <w:t>The Applicant asserts that based on historical volume and population growth, particularly in the aging sector, that CDH expects CT volume will continue to grow</w:t>
      </w:r>
      <w:r w:rsidR="009D7FC4">
        <w:rPr>
          <w:bCs/>
          <w:sz w:val="24"/>
          <w:szCs w:val="24"/>
        </w:rPr>
        <w:t>.</w:t>
      </w:r>
      <w:r w:rsidRPr="00D276EB">
        <w:rPr>
          <w:sz w:val="24"/>
          <w:szCs w:val="24"/>
        </w:rPr>
        <w:t xml:space="preserve"> After the first year, where overall growth is projected to be 18.5%, CT scan growth is projected to level off to ~1% annual growth through 2027. </w:t>
      </w:r>
    </w:p>
    <w:p w14:paraId="1A808651" w14:textId="77777777" w:rsidR="00D276EB" w:rsidRPr="00D276EB" w:rsidRDefault="00D276EB" w:rsidP="00D276EB">
      <w:pPr>
        <w:spacing w:after="0" w:line="240" w:lineRule="auto"/>
        <w:rPr>
          <w:bCs/>
          <w:sz w:val="24"/>
          <w:szCs w:val="24"/>
          <w:u w:val="single"/>
        </w:rPr>
      </w:pPr>
    </w:p>
    <w:p w14:paraId="4FAD7F6E" w14:textId="67F91C62" w:rsidR="00D276EB" w:rsidRPr="00D276EB" w:rsidRDefault="00D276EB" w:rsidP="00401553">
      <w:pPr>
        <w:spacing w:after="0" w:line="240" w:lineRule="auto"/>
        <w:jc w:val="center"/>
        <w:rPr>
          <w:b/>
          <w:sz w:val="24"/>
          <w:szCs w:val="24"/>
        </w:rPr>
      </w:pPr>
      <w:r w:rsidRPr="00D276EB">
        <w:rPr>
          <w:b/>
          <w:sz w:val="24"/>
          <w:szCs w:val="24"/>
        </w:rPr>
        <w:lastRenderedPageBreak/>
        <w:t xml:space="preserve">Table </w:t>
      </w:r>
      <w:r w:rsidR="00401553">
        <w:rPr>
          <w:b/>
          <w:sz w:val="24"/>
          <w:szCs w:val="24"/>
        </w:rPr>
        <w:t>6</w:t>
      </w:r>
      <w:r w:rsidRPr="00D276EB">
        <w:rPr>
          <w:b/>
          <w:sz w:val="24"/>
          <w:szCs w:val="24"/>
        </w:rPr>
        <w:t>: Projected CT Volume</w:t>
      </w:r>
      <w:r w:rsidR="000C305F">
        <w:rPr>
          <w:b/>
          <w:sz w:val="24"/>
          <w:szCs w:val="24"/>
        </w:rPr>
        <w:t xml:space="preserve"> FY 23-27</w:t>
      </w:r>
    </w:p>
    <w:p w14:paraId="4DFE8D08" w14:textId="77777777" w:rsidR="00D276EB" w:rsidRPr="00D276EB" w:rsidRDefault="00D276EB" w:rsidP="00D276EB">
      <w:pPr>
        <w:spacing w:after="0" w:line="240" w:lineRule="auto"/>
        <w:rPr>
          <w:sz w:val="24"/>
          <w:szCs w:val="24"/>
        </w:rPr>
      </w:pPr>
      <w:r w:rsidRPr="00D276EB">
        <w:rPr>
          <w:sz w:val="24"/>
          <w:szCs w:val="24"/>
        </w:rPr>
        <w:t xml:space="preserve">      </w:t>
      </w:r>
    </w:p>
    <w:tbl>
      <w:tblPr>
        <w:tblW w:w="10228" w:type="dxa"/>
        <w:jc w:val="center"/>
        <w:tblLook w:val="04A0" w:firstRow="1" w:lastRow="0" w:firstColumn="1" w:lastColumn="0" w:noHBand="0" w:noVBand="1"/>
      </w:tblPr>
      <w:tblGrid>
        <w:gridCol w:w="1599"/>
        <w:gridCol w:w="885"/>
        <w:gridCol w:w="1051"/>
        <w:gridCol w:w="885"/>
        <w:gridCol w:w="1051"/>
        <w:gridCol w:w="885"/>
        <w:gridCol w:w="1051"/>
        <w:gridCol w:w="885"/>
        <w:gridCol w:w="1051"/>
        <w:gridCol w:w="885"/>
      </w:tblGrid>
      <w:tr w:rsidR="009E7CA4" w:rsidRPr="00D276EB" w14:paraId="05C7DCA2" w14:textId="77777777" w:rsidTr="00CE2533">
        <w:trPr>
          <w:cantSplit/>
          <w:trHeight w:val="736"/>
          <w:tblHeader/>
          <w:jc w:val="center"/>
        </w:trPr>
        <w:tc>
          <w:tcPr>
            <w:tcW w:w="1599" w:type="dxa"/>
            <w:tcBorders>
              <w:top w:val="single" w:sz="8" w:space="0" w:color="auto"/>
              <w:left w:val="single" w:sz="8" w:space="0" w:color="auto"/>
              <w:bottom w:val="single" w:sz="8" w:space="0" w:color="auto"/>
              <w:right w:val="single" w:sz="8" w:space="0" w:color="auto"/>
            </w:tcBorders>
            <w:shd w:val="clear" w:color="auto" w:fill="E5FFFF"/>
            <w:vAlign w:val="center"/>
            <w:hideMark/>
          </w:tcPr>
          <w:p w14:paraId="39753F3A" w14:textId="77777777" w:rsidR="009E7CA4" w:rsidRPr="00D276EB" w:rsidRDefault="009E7CA4" w:rsidP="00D276EB">
            <w:pPr>
              <w:spacing w:after="0" w:line="240" w:lineRule="auto"/>
              <w:rPr>
                <w:b/>
                <w:bCs/>
                <w:sz w:val="24"/>
                <w:szCs w:val="24"/>
              </w:rPr>
            </w:pPr>
            <w:r w:rsidRPr="00D276EB">
              <w:rPr>
                <w:b/>
                <w:bCs/>
                <w:sz w:val="24"/>
                <w:szCs w:val="24"/>
              </w:rPr>
              <w:t>CT Volume</w:t>
            </w:r>
          </w:p>
        </w:tc>
        <w:tc>
          <w:tcPr>
            <w:tcW w:w="885" w:type="dxa"/>
            <w:tcBorders>
              <w:top w:val="single" w:sz="8" w:space="0" w:color="auto"/>
              <w:left w:val="nil"/>
              <w:bottom w:val="single" w:sz="8" w:space="0" w:color="auto"/>
              <w:right w:val="single" w:sz="8" w:space="0" w:color="auto"/>
            </w:tcBorders>
            <w:shd w:val="clear" w:color="auto" w:fill="E5FFFF"/>
            <w:vAlign w:val="center"/>
            <w:hideMark/>
          </w:tcPr>
          <w:p w14:paraId="62076D4F" w14:textId="77777777" w:rsidR="009E7CA4" w:rsidRPr="00D276EB" w:rsidRDefault="009E7CA4" w:rsidP="009E7CA4">
            <w:pPr>
              <w:spacing w:after="0" w:line="240" w:lineRule="auto"/>
              <w:jc w:val="center"/>
              <w:rPr>
                <w:b/>
                <w:bCs/>
                <w:sz w:val="24"/>
                <w:szCs w:val="24"/>
              </w:rPr>
            </w:pPr>
            <w:r w:rsidRPr="00D276EB">
              <w:rPr>
                <w:b/>
                <w:bCs/>
                <w:sz w:val="24"/>
                <w:szCs w:val="24"/>
              </w:rPr>
              <w:t>FY23</w:t>
            </w:r>
          </w:p>
        </w:tc>
        <w:tc>
          <w:tcPr>
            <w:tcW w:w="1051" w:type="dxa"/>
            <w:tcBorders>
              <w:top w:val="single" w:sz="8" w:space="0" w:color="auto"/>
              <w:left w:val="nil"/>
              <w:bottom w:val="single" w:sz="8" w:space="0" w:color="auto"/>
              <w:right w:val="single" w:sz="8" w:space="0" w:color="auto"/>
            </w:tcBorders>
            <w:shd w:val="clear" w:color="auto" w:fill="E5FFFF"/>
            <w:vAlign w:val="center"/>
            <w:hideMark/>
          </w:tcPr>
          <w:p w14:paraId="51F9565A" w14:textId="77777777" w:rsidR="009E7CA4" w:rsidRPr="00D276EB" w:rsidRDefault="009E7CA4" w:rsidP="009E7CA4">
            <w:pPr>
              <w:spacing w:after="0" w:line="240" w:lineRule="auto"/>
              <w:jc w:val="center"/>
              <w:rPr>
                <w:b/>
                <w:bCs/>
                <w:sz w:val="24"/>
                <w:szCs w:val="24"/>
              </w:rPr>
            </w:pPr>
            <w:r w:rsidRPr="00D276EB">
              <w:rPr>
                <w:b/>
                <w:bCs/>
                <w:sz w:val="24"/>
                <w:szCs w:val="24"/>
              </w:rPr>
              <w:t>% Increase</w:t>
            </w:r>
          </w:p>
        </w:tc>
        <w:tc>
          <w:tcPr>
            <w:tcW w:w="885" w:type="dxa"/>
            <w:tcBorders>
              <w:top w:val="single" w:sz="8" w:space="0" w:color="auto"/>
              <w:left w:val="nil"/>
              <w:bottom w:val="single" w:sz="8" w:space="0" w:color="auto"/>
              <w:right w:val="single" w:sz="8" w:space="0" w:color="auto"/>
            </w:tcBorders>
            <w:shd w:val="clear" w:color="auto" w:fill="E5FFFF"/>
            <w:vAlign w:val="center"/>
            <w:hideMark/>
          </w:tcPr>
          <w:p w14:paraId="65728EB0" w14:textId="77777777" w:rsidR="009E7CA4" w:rsidRPr="00D276EB" w:rsidRDefault="009E7CA4" w:rsidP="009E7CA4">
            <w:pPr>
              <w:spacing w:after="0" w:line="240" w:lineRule="auto"/>
              <w:jc w:val="center"/>
              <w:rPr>
                <w:b/>
                <w:bCs/>
                <w:sz w:val="24"/>
                <w:szCs w:val="24"/>
              </w:rPr>
            </w:pPr>
            <w:r w:rsidRPr="00D276EB">
              <w:rPr>
                <w:b/>
                <w:bCs/>
                <w:sz w:val="24"/>
                <w:szCs w:val="24"/>
              </w:rPr>
              <w:t>FY24</w:t>
            </w:r>
          </w:p>
        </w:tc>
        <w:tc>
          <w:tcPr>
            <w:tcW w:w="1051" w:type="dxa"/>
            <w:tcBorders>
              <w:top w:val="single" w:sz="8" w:space="0" w:color="auto"/>
              <w:left w:val="nil"/>
              <w:bottom w:val="single" w:sz="8" w:space="0" w:color="auto"/>
              <w:right w:val="single" w:sz="8" w:space="0" w:color="auto"/>
            </w:tcBorders>
            <w:shd w:val="clear" w:color="auto" w:fill="E5FFFF"/>
            <w:vAlign w:val="center"/>
            <w:hideMark/>
          </w:tcPr>
          <w:p w14:paraId="76D8E787" w14:textId="77777777" w:rsidR="009E7CA4" w:rsidRPr="00D276EB" w:rsidRDefault="009E7CA4" w:rsidP="009E7CA4">
            <w:pPr>
              <w:spacing w:after="0" w:line="240" w:lineRule="auto"/>
              <w:jc w:val="center"/>
              <w:rPr>
                <w:b/>
                <w:bCs/>
                <w:sz w:val="24"/>
                <w:szCs w:val="24"/>
              </w:rPr>
            </w:pPr>
            <w:r w:rsidRPr="00D276EB">
              <w:rPr>
                <w:b/>
                <w:bCs/>
                <w:sz w:val="24"/>
                <w:szCs w:val="24"/>
              </w:rPr>
              <w:t>% Increase</w:t>
            </w:r>
          </w:p>
        </w:tc>
        <w:tc>
          <w:tcPr>
            <w:tcW w:w="885" w:type="dxa"/>
            <w:tcBorders>
              <w:top w:val="single" w:sz="8" w:space="0" w:color="auto"/>
              <w:left w:val="nil"/>
              <w:bottom w:val="single" w:sz="8" w:space="0" w:color="auto"/>
              <w:right w:val="single" w:sz="8" w:space="0" w:color="auto"/>
            </w:tcBorders>
            <w:shd w:val="clear" w:color="auto" w:fill="E5FFFF"/>
            <w:vAlign w:val="center"/>
            <w:hideMark/>
          </w:tcPr>
          <w:p w14:paraId="7A370DF7" w14:textId="77777777" w:rsidR="009E7CA4" w:rsidRPr="00D276EB" w:rsidRDefault="009E7CA4" w:rsidP="009E7CA4">
            <w:pPr>
              <w:spacing w:after="0" w:line="240" w:lineRule="auto"/>
              <w:jc w:val="center"/>
              <w:rPr>
                <w:b/>
                <w:bCs/>
                <w:sz w:val="24"/>
                <w:szCs w:val="24"/>
              </w:rPr>
            </w:pPr>
            <w:r w:rsidRPr="00D276EB">
              <w:rPr>
                <w:b/>
                <w:bCs/>
                <w:sz w:val="24"/>
                <w:szCs w:val="24"/>
              </w:rPr>
              <w:t>FY25</w:t>
            </w:r>
          </w:p>
        </w:tc>
        <w:tc>
          <w:tcPr>
            <w:tcW w:w="1051" w:type="dxa"/>
            <w:tcBorders>
              <w:top w:val="single" w:sz="8" w:space="0" w:color="auto"/>
              <w:left w:val="nil"/>
              <w:bottom w:val="single" w:sz="8" w:space="0" w:color="auto"/>
              <w:right w:val="single" w:sz="8" w:space="0" w:color="auto"/>
            </w:tcBorders>
            <w:shd w:val="clear" w:color="auto" w:fill="E5FFFF"/>
            <w:vAlign w:val="center"/>
            <w:hideMark/>
          </w:tcPr>
          <w:p w14:paraId="2D1FBA89" w14:textId="77777777" w:rsidR="009E7CA4" w:rsidRPr="00D276EB" w:rsidRDefault="009E7CA4" w:rsidP="009E7CA4">
            <w:pPr>
              <w:spacing w:after="0" w:line="240" w:lineRule="auto"/>
              <w:jc w:val="center"/>
              <w:rPr>
                <w:b/>
                <w:bCs/>
                <w:sz w:val="24"/>
                <w:szCs w:val="24"/>
              </w:rPr>
            </w:pPr>
            <w:r w:rsidRPr="00D276EB">
              <w:rPr>
                <w:b/>
                <w:bCs/>
                <w:sz w:val="24"/>
                <w:szCs w:val="24"/>
              </w:rPr>
              <w:t>% Increase</w:t>
            </w:r>
          </w:p>
        </w:tc>
        <w:tc>
          <w:tcPr>
            <w:tcW w:w="885" w:type="dxa"/>
            <w:tcBorders>
              <w:top w:val="single" w:sz="8" w:space="0" w:color="auto"/>
              <w:left w:val="nil"/>
              <w:bottom w:val="single" w:sz="8" w:space="0" w:color="auto"/>
              <w:right w:val="single" w:sz="8" w:space="0" w:color="auto"/>
            </w:tcBorders>
            <w:shd w:val="clear" w:color="auto" w:fill="E5FFFF"/>
            <w:vAlign w:val="center"/>
            <w:hideMark/>
          </w:tcPr>
          <w:p w14:paraId="3543F2B6" w14:textId="77777777" w:rsidR="009E7CA4" w:rsidRPr="00D276EB" w:rsidRDefault="009E7CA4" w:rsidP="009E7CA4">
            <w:pPr>
              <w:spacing w:after="0" w:line="240" w:lineRule="auto"/>
              <w:jc w:val="center"/>
              <w:rPr>
                <w:b/>
                <w:bCs/>
                <w:sz w:val="24"/>
                <w:szCs w:val="24"/>
              </w:rPr>
            </w:pPr>
            <w:r w:rsidRPr="00D276EB">
              <w:rPr>
                <w:b/>
                <w:bCs/>
                <w:sz w:val="24"/>
                <w:szCs w:val="24"/>
              </w:rPr>
              <w:t>FY26</w:t>
            </w:r>
          </w:p>
        </w:tc>
        <w:tc>
          <w:tcPr>
            <w:tcW w:w="1051" w:type="dxa"/>
            <w:tcBorders>
              <w:top w:val="single" w:sz="8" w:space="0" w:color="auto"/>
              <w:left w:val="nil"/>
              <w:bottom w:val="single" w:sz="8" w:space="0" w:color="auto"/>
              <w:right w:val="single" w:sz="8" w:space="0" w:color="auto"/>
            </w:tcBorders>
            <w:shd w:val="clear" w:color="auto" w:fill="E5FFFF"/>
            <w:vAlign w:val="center"/>
            <w:hideMark/>
          </w:tcPr>
          <w:p w14:paraId="0AC2FAE6" w14:textId="77777777" w:rsidR="009E7CA4" w:rsidRPr="00D276EB" w:rsidRDefault="009E7CA4" w:rsidP="009E7CA4">
            <w:pPr>
              <w:spacing w:after="0" w:line="240" w:lineRule="auto"/>
              <w:jc w:val="center"/>
              <w:rPr>
                <w:b/>
                <w:bCs/>
                <w:sz w:val="24"/>
                <w:szCs w:val="24"/>
              </w:rPr>
            </w:pPr>
            <w:r w:rsidRPr="00D276EB">
              <w:rPr>
                <w:b/>
                <w:bCs/>
                <w:sz w:val="24"/>
                <w:szCs w:val="24"/>
              </w:rPr>
              <w:t>% Increase</w:t>
            </w:r>
          </w:p>
        </w:tc>
        <w:tc>
          <w:tcPr>
            <w:tcW w:w="885" w:type="dxa"/>
            <w:tcBorders>
              <w:top w:val="single" w:sz="8" w:space="0" w:color="auto"/>
              <w:left w:val="nil"/>
              <w:bottom w:val="single" w:sz="8" w:space="0" w:color="auto"/>
              <w:right w:val="single" w:sz="8" w:space="0" w:color="auto"/>
            </w:tcBorders>
            <w:shd w:val="clear" w:color="auto" w:fill="E5FFFF"/>
            <w:vAlign w:val="center"/>
            <w:hideMark/>
          </w:tcPr>
          <w:p w14:paraId="752007AB" w14:textId="77777777" w:rsidR="009E7CA4" w:rsidRPr="00D276EB" w:rsidRDefault="009E7CA4" w:rsidP="009E7CA4">
            <w:pPr>
              <w:spacing w:after="0" w:line="240" w:lineRule="auto"/>
              <w:jc w:val="center"/>
              <w:rPr>
                <w:b/>
                <w:bCs/>
                <w:sz w:val="24"/>
                <w:szCs w:val="24"/>
              </w:rPr>
            </w:pPr>
            <w:r w:rsidRPr="00D276EB">
              <w:rPr>
                <w:b/>
                <w:bCs/>
                <w:sz w:val="24"/>
                <w:szCs w:val="24"/>
              </w:rPr>
              <w:t>FY27</w:t>
            </w:r>
          </w:p>
        </w:tc>
      </w:tr>
      <w:tr w:rsidR="009E7CA4" w:rsidRPr="00D276EB" w14:paraId="722A78D1" w14:textId="77777777" w:rsidTr="00CE2533">
        <w:trPr>
          <w:cantSplit/>
          <w:trHeight w:val="601"/>
          <w:jc w:val="center"/>
        </w:trPr>
        <w:tc>
          <w:tcPr>
            <w:tcW w:w="1599" w:type="dxa"/>
            <w:tcBorders>
              <w:top w:val="nil"/>
              <w:left w:val="single" w:sz="8" w:space="0" w:color="auto"/>
              <w:bottom w:val="single" w:sz="8" w:space="0" w:color="auto"/>
              <w:right w:val="single" w:sz="8" w:space="0" w:color="auto"/>
            </w:tcBorders>
            <w:shd w:val="clear" w:color="auto" w:fill="auto"/>
            <w:vAlign w:val="center"/>
            <w:hideMark/>
          </w:tcPr>
          <w:p w14:paraId="5F67E98C" w14:textId="77777777" w:rsidR="009E7CA4" w:rsidRPr="00D276EB" w:rsidRDefault="009E7CA4" w:rsidP="00D276EB">
            <w:pPr>
              <w:spacing w:after="0" w:line="240" w:lineRule="auto"/>
              <w:rPr>
                <w:sz w:val="24"/>
                <w:szCs w:val="24"/>
              </w:rPr>
            </w:pPr>
            <w:r w:rsidRPr="00D276EB">
              <w:rPr>
                <w:sz w:val="24"/>
                <w:szCs w:val="24"/>
              </w:rPr>
              <w:t>Emergency Department</w:t>
            </w:r>
          </w:p>
        </w:tc>
        <w:tc>
          <w:tcPr>
            <w:tcW w:w="885" w:type="dxa"/>
            <w:tcBorders>
              <w:top w:val="nil"/>
              <w:left w:val="nil"/>
              <w:bottom w:val="single" w:sz="8" w:space="0" w:color="auto"/>
              <w:right w:val="single" w:sz="8" w:space="0" w:color="auto"/>
            </w:tcBorders>
            <w:shd w:val="clear" w:color="auto" w:fill="auto"/>
            <w:vAlign w:val="center"/>
            <w:hideMark/>
          </w:tcPr>
          <w:p w14:paraId="307790A1" w14:textId="77777777" w:rsidR="009E7CA4" w:rsidRPr="00D276EB" w:rsidRDefault="009E7CA4" w:rsidP="009E7CA4">
            <w:pPr>
              <w:spacing w:after="0" w:line="240" w:lineRule="auto"/>
              <w:jc w:val="right"/>
              <w:rPr>
                <w:sz w:val="24"/>
                <w:szCs w:val="24"/>
              </w:rPr>
            </w:pPr>
            <w:r w:rsidRPr="00D276EB">
              <w:rPr>
                <w:sz w:val="24"/>
                <w:szCs w:val="24"/>
              </w:rPr>
              <w:t>8,701</w:t>
            </w:r>
          </w:p>
        </w:tc>
        <w:tc>
          <w:tcPr>
            <w:tcW w:w="1051" w:type="dxa"/>
            <w:tcBorders>
              <w:top w:val="nil"/>
              <w:left w:val="nil"/>
              <w:bottom w:val="single" w:sz="8" w:space="0" w:color="auto"/>
              <w:right w:val="single" w:sz="8" w:space="0" w:color="auto"/>
            </w:tcBorders>
            <w:shd w:val="clear" w:color="auto" w:fill="auto"/>
            <w:vAlign w:val="center"/>
          </w:tcPr>
          <w:p w14:paraId="75F4321F" w14:textId="77777777" w:rsidR="009E7CA4" w:rsidRPr="00D276EB" w:rsidRDefault="009E7CA4" w:rsidP="009E7CA4">
            <w:pPr>
              <w:spacing w:after="0" w:line="240" w:lineRule="auto"/>
              <w:jc w:val="center"/>
              <w:rPr>
                <w:sz w:val="24"/>
                <w:szCs w:val="24"/>
              </w:rPr>
            </w:pPr>
            <w:r w:rsidRPr="00D276EB">
              <w:rPr>
                <w:sz w:val="24"/>
                <w:szCs w:val="24"/>
              </w:rPr>
              <w:t>0.0%</w:t>
            </w:r>
          </w:p>
        </w:tc>
        <w:tc>
          <w:tcPr>
            <w:tcW w:w="885" w:type="dxa"/>
            <w:tcBorders>
              <w:top w:val="nil"/>
              <w:left w:val="nil"/>
              <w:bottom w:val="single" w:sz="8" w:space="0" w:color="auto"/>
              <w:right w:val="single" w:sz="8" w:space="0" w:color="auto"/>
            </w:tcBorders>
            <w:shd w:val="clear" w:color="auto" w:fill="auto"/>
            <w:vAlign w:val="center"/>
            <w:hideMark/>
          </w:tcPr>
          <w:p w14:paraId="3433D3F6" w14:textId="77777777" w:rsidR="009E7CA4" w:rsidRPr="00D276EB" w:rsidRDefault="009E7CA4" w:rsidP="009E7CA4">
            <w:pPr>
              <w:spacing w:after="0" w:line="240" w:lineRule="auto"/>
              <w:jc w:val="right"/>
              <w:rPr>
                <w:sz w:val="24"/>
                <w:szCs w:val="24"/>
              </w:rPr>
            </w:pPr>
            <w:r w:rsidRPr="00D276EB">
              <w:rPr>
                <w:sz w:val="24"/>
                <w:szCs w:val="24"/>
              </w:rPr>
              <w:t>8,701</w:t>
            </w:r>
          </w:p>
        </w:tc>
        <w:tc>
          <w:tcPr>
            <w:tcW w:w="1051" w:type="dxa"/>
            <w:tcBorders>
              <w:top w:val="nil"/>
              <w:left w:val="nil"/>
              <w:bottom w:val="single" w:sz="8" w:space="0" w:color="auto"/>
              <w:right w:val="single" w:sz="8" w:space="0" w:color="auto"/>
            </w:tcBorders>
            <w:shd w:val="clear" w:color="auto" w:fill="auto"/>
            <w:vAlign w:val="center"/>
          </w:tcPr>
          <w:p w14:paraId="43575238" w14:textId="77777777" w:rsidR="009E7CA4" w:rsidRPr="00D276EB" w:rsidRDefault="009E7CA4" w:rsidP="009E7CA4">
            <w:pPr>
              <w:spacing w:after="0" w:line="240" w:lineRule="auto"/>
              <w:jc w:val="center"/>
              <w:rPr>
                <w:sz w:val="24"/>
                <w:szCs w:val="24"/>
              </w:rPr>
            </w:pPr>
            <w:r w:rsidRPr="00D276EB">
              <w:rPr>
                <w:sz w:val="24"/>
                <w:szCs w:val="24"/>
              </w:rPr>
              <w:t>1.0%</w:t>
            </w:r>
          </w:p>
        </w:tc>
        <w:tc>
          <w:tcPr>
            <w:tcW w:w="885" w:type="dxa"/>
            <w:tcBorders>
              <w:top w:val="nil"/>
              <w:left w:val="nil"/>
              <w:bottom w:val="single" w:sz="8" w:space="0" w:color="auto"/>
              <w:right w:val="single" w:sz="8" w:space="0" w:color="auto"/>
            </w:tcBorders>
            <w:shd w:val="clear" w:color="auto" w:fill="auto"/>
            <w:vAlign w:val="center"/>
            <w:hideMark/>
          </w:tcPr>
          <w:p w14:paraId="07F9FD9F" w14:textId="77777777" w:rsidR="009E7CA4" w:rsidRPr="00D276EB" w:rsidRDefault="009E7CA4" w:rsidP="009E7CA4">
            <w:pPr>
              <w:spacing w:after="0" w:line="240" w:lineRule="auto"/>
              <w:jc w:val="right"/>
              <w:rPr>
                <w:sz w:val="24"/>
                <w:szCs w:val="24"/>
              </w:rPr>
            </w:pPr>
            <w:r w:rsidRPr="00D276EB">
              <w:rPr>
                <w:sz w:val="24"/>
                <w:szCs w:val="24"/>
              </w:rPr>
              <w:t>8,788</w:t>
            </w:r>
          </w:p>
        </w:tc>
        <w:tc>
          <w:tcPr>
            <w:tcW w:w="1051" w:type="dxa"/>
            <w:tcBorders>
              <w:top w:val="nil"/>
              <w:left w:val="nil"/>
              <w:bottom w:val="single" w:sz="8" w:space="0" w:color="auto"/>
              <w:right w:val="single" w:sz="8" w:space="0" w:color="auto"/>
            </w:tcBorders>
            <w:shd w:val="clear" w:color="auto" w:fill="auto"/>
            <w:vAlign w:val="center"/>
          </w:tcPr>
          <w:p w14:paraId="1C8376FC" w14:textId="77777777" w:rsidR="009E7CA4" w:rsidRPr="00D276EB" w:rsidRDefault="009E7CA4" w:rsidP="009E7CA4">
            <w:pPr>
              <w:spacing w:after="0" w:line="240" w:lineRule="auto"/>
              <w:jc w:val="center"/>
              <w:rPr>
                <w:sz w:val="24"/>
                <w:szCs w:val="24"/>
              </w:rPr>
            </w:pPr>
            <w:r w:rsidRPr="00D276EB">
              <w:rPr>
                <w:sz w:val="24"/>
                <w:szCs w:val="24"/>
              </w:rPr>
              <w:t>2.0%</w:t>
            </w:r>
          </w:p>
        </w:tc>
        <w:tc>
          <w:tcPr>
            <w:tcW w:w="885" w:type="dxa"/>
            <w:tcBorders>
              <w:top w:val="nil"/>
              <w:left w:val="nil"/>
              <w:bottom w:val="single" w:sz="8" w:space="0" w:color="auto"/>
              <w:right w:val="single" w:sz="8" w:space="0" w:color="auto"/>
            </w:tcBorders>
            <w:shd w:val="clear" w:color="auto" w:fill="auto"/>
            <w:vAlign w:val="center"/>
            <w:hideMark/>
          </w:tcPr>
          <w:p w14:paraId="7A785A30" w14:textId="77777777" w:rsidR="009E7CA4" w:rsidRPr="00D276EB" w:rsidRDefault="009E7CA4" w:rsidP="009E7CA4">
            <w:pPr>
              <w:spacing w:after="0" w:line="240" w:lineRule="auto"/>
              <w:jc w:val="right"/>
              <w:rPr>
                <w:sz w:val="24"/>
                <w:szCs w:val="24"/>
              </w:rPr>
            </w:pPr>
            <w:r w:rsidRPr="00D276EB">
              <w:rPr>
                <w:sz w:val="24"/>
                <w:szCs w:val="24"/>
              </w:rPr>
              <w:t>8,963</w:t>
            </w:r>
          </w:p>
        </w:tc>
        <w:tc>
          <w:tcPr>
            <w:tcW w:w="1051" w:type="dxa"/>
            <w:tcBorders>
              <w:top w:val="nil"/>
              <w:left w:val="nil"/>
              <w:bottom w:val="single" w:sz="8" w:space="0" w:color="auto"/>
              <w:right w:val="single" w:sz="8" w:space="0" w:color="auto"/>
            </w:tcBorders>
            <w:shd w:val="clear" w:color="auto" w:fill="auto"/>
            <w:vAlign w:val="center"/>
          </w:tcPr>
          <w:p w14:paraId="7628EFED" w14:textId="77777777" w:rsidR="009E7CA4" w:rsidRPr="00D276EB" w:rsidRDefault="009E7CA4" w:rsidP="009E7CA4">
            <w:pPr>
              <w:spacing w:after="0" w:line="240" w:lineRule="auto"/>
              <w:jc w:val="center"/>
              <w:rPr>
                <w:sz w:val="24"/>
                <w:szCs w:val="24"/>
              </w:rPr>
            </w:pPr>
            <w:r w:rsidRPr="00D276EB">
              <w:rPr>
                <w:sz w:val="24"/>
                <w:szCs w:val="24"/>
              </w:rPr>
              <w:t>2.0%</w:t>
            </w:r>
          </w:p>
        </w:tc>
        <w:tc>
          <w:tcPr>
            <w:tcW w:w="885" w:type="dxa"/>
            <w:tcBorders>
              <w:top w:val="nil"/>
              <w:left w:val="nil"/>
              <w:bottom w:val="single" w:sz="8" w:space="0" w:color="auto"/>
              <w:right w:val="single" w:sz="8" w:space="0" w:color="auto"/>
            </w:tcBorders>
            <w:shd w:val="clear" w:color="auto" w:fill="auto"/>
            <w:vAlign w:val="center"/>
            <w:hideMark/>
          </w:tcPr>
          <w:p w14:paraId="1B89471E" w14:textId="77777777" w:rsidR="009E7CA4" w:rsidRPr="00D276EB" w:rsidRDefault="009E7CA4" w:rsidP="009E7CA4">
            <w:pPr>
              <w:spacing w:after="0" w:line="240" w:lineRule="auto"/>
              <w:jc w:val="right"/>
              <w:rPr>
                <w:sz w:val="24"/>
                <w:szCs w:val="24"/>
              </w:rPr>
            </w:pPr>
            <w:r w:rsidRPr="00D276EB">
              <w:rPr>
                <w:sz w:val="24"/>
                <w:szCs w:val="24"/>
              </w:rPr>
              <w:t>9,143</w:t>
            </w:r>
          </w:p>
        </w:tc>
      </w:tr>
      <w:tr w:rsidR="009E7CA4" w:rsidRPr="00D276EB" w14:paraId="4A2F8A5E" w14:textId="77777777" w:rsidTr="00CE2533">
        <w:trPr>
          <w:cantSplit/>
          <w:trHeight w:val="286"/>
          <w:jc w:val="center"/>
        </w:trPr>
        <w:tc>
          <w:tcPr>
            <w:tcW w:w="1599" w:type="dxa"/>
            <w:tcBorders>
              <w:top w:val="nil"/>
              <w:left w:val="single" w:sz="8" w:space="0" w:color="auto"/>
              <w:bottom w:val="single" w:sz="8" w:space="0" w:color="auto"/>
              <w:right w:val="single" w:sz="8" w:space="0" w:color="auto"/>
            </w:tcBorders>
            <w:shd w:val="clear" w:color="auto" w:fill="auto"/>
            <w:vAlign w:val="center"/>
            <w:hideMark/>
          </w:tcPr>
          <w:p w14:paraId="6269D658" w14:textId="6520A512" w:rsidR="009E7CA4" w:rsidRPr="00D276EB" w:rsidRDefault="00E91E3D" w:rsidP="00D276EB">
            <w:pPr>
              <w:spacing w:after="0" w:line="240" w:lineRule="auto"/>
              <w:rPr>
                <w:sz w:val="24"/>
                <w:szCs w:val="24"/>
              </w:rPr>
            </w:pPr>
            <w:r>
              <w:rPr>
                <w:sz w:val="24"/>
                <w:szCs w:val="24"/>
              </w:rPr>
              <w:t>CT</w:t>
            </w:r>
            <w:r w:rsidR="003B2FD6">
              <w:rPr>
                <w:sz w:val="24"/>
                <w:szCs w:val="24"/>
              </w:rPr>
              <w:t>- IR</w:t>
            </w:r>
          </w:p>
        </w:tc>
        <w:tc>
          <w:tcPr>
            <w:tcW w:w="885" w:type="dxa"/>
            <w:tcBorders>
              <w:top w:val="nil"/>
              <w:left w:val="nil"/>
              <w:bottom w:val="single" w:sz="8" w:space="0" w:color="auto"/>
              <w:right w:val="single" w:sz="8" w:space="0" w:color="auto"/>
            </w:tcBorders>
            <w:shd w:val="clear" w:color="auto" w:fill="auto"/>
            <w:vAlign w:val="center"/>
            <w:hideMark/>
          </w:tcPr>
          <w:p w14:paraId="1150E7E1" w14:textId="77777777" w:rsidR="009E7CA4" w:rsidRPr="00D276EB" w:rsidRDefault="009E7CA4" w:rsidP="009E7CA4">
            <w:pPr>
              <w:spacing w:after="0" w:line="240" w:lineRule="auto"/>
              <w:jc w:val="right"/>
              <w:rPr>
                <w:sz w:val="24"/>
                <w:szCs w:val="24"/>
              </w:rPr>
            </w:pPr>
            <w:r w:rsidRPr="00D276EB">
              <w:rPr>
                <w:sz w:val="24"/>
                <w:szCs w:val="24"/>
              </w:rPr>
              <w:t>282</w:t>
            </w:r>
          </w:p>
        </w:tc>
        <w:tc>
          <w:tcPr>
            <w:tcW w:w="1051" w:type="dxa"/>
            <w:tcBorders>
              <w:top w:val="nil"/>
              <w:left w:val="nil"/>
              <w:bottom w:val="single" w:sz="8" w:space="0" w:color="auto"/>
              <w:right w:val="single" w:sz="8" w:space="0" w:color="auto"/>
            </w:tcBorders>
            <w:shd w:val="clear" w:color="auto" w:fill="auto"/>
            <w:vAlign w:val="center"/>
          </w:tcPr>
          <w:p w14:paraId="67DC6A84" w14:textId="77777777" w:rsidR="009E7CA4" w:rsidRPr="00D276EB" w:rsidRDefault="009E7CA4" w:rsidP="009E7CA4">
            <w:pPr>
              <w:spacing w:after="0" w:line="240" w:lineRule="auto"/>
              <w:jc w:val="center"/>
              <w:rPr>
                <w:sz w:val="24"/>
                <w:szCs w:val="24"/>
              </w:rPr>
            </w:pPr>
            <w:r w:rsidRPr="00D276EB">
              <w:rPr>
                <w:sz w:val="24"/>
                <w:szCs w:val="24"/>
              </w:rPr>
              <w:t>0.0%</w:t>
            </w:r>
          </w:p>
        </w:tc>
        <w:tc>
          <w:tcPr>
            <w:tcW w:w="885" w:type="dxa"/>
            <w:tcBorders>
              <w:top w:val="nil"/>
              <w:left w:val="nil"/>
              <w:bottom w:val="single" w:sz="8" w:space="0" w:color="auto"/>
              <w:right w:val="single" w:sz="8" w:space="0" w:color="auto"/>
            </w:tcBorders>
            <w:shd w:val="clear" w:color="auto" w:fill="auto"/>
            <w:vAlign w:val="center"/>
            <w:hideMark/>
          </w:tcPr>
          <w:p w14:paraId="0DEF4A9C" w14:textId="77777777" w:rsidR="009E7CA4" w:rsidRPr="00D276EB" w:rsidRDefault="009E7CA4" w:rsidP="009E7CA4">
            <w:pPr>
              <w:spacing w:after="0" w:line="240" w:lineRule="auto"/>
              <w:jc w:val="right"/>
              <w:rPr>
                <w:sz w:val="24"/>
                <w:szCs w:val="24"/>
              </w:rPr>
            </w:pPr>
            <w:r w:rsidRPr="00D276EB">
              <w:rPr>
                <w:sz w:val="24"/>
                <w:szCs w:val="24"/>
              </w:rPr>
              <w:t>282</w:t>
            </w:r>
          </w:p>
        </w:tc>
        <w:tc>
          <w:tcPr>
            <w:tcW w:w="1051" w:type="dxa"/>
            <w:tcBorders>
              <w:top w:val="nil"/>
              <w:left w:val="nil"/>
              <w:bottom w:val="single" w:sz="8" w:space="0" w:color="auto"/>
              <w:right w:val="single" w:sz="8" w:space="0" w:color="auto"/>
            </w:tcBorders>
            <w:shd w:val="clear" w:color="auto" w:fill="auto"/>
            <w:vAlign w:val="center"/>
          </w:tcPr>
          <w:p w14:paraId="300DF16E" w14:textId="77777777" w:rsidR="009E7CA4" w:rsidRPr="00D276EB" w:rsidRDefault="009E7CA4" w:rsidP="009E7CA4">
            <w:pPr>
              <w:spacing w:after="0" w:line="240" w:lineRule="auto"/>
              <w:jc w:val="center"/>
              <w:rPr>
                <w:sz w:val="24"/>
                <w:szCs w:val="24"/>
              </w:rPr>
            </w:pPr>
            <w:r w:rsidRPr="00D276EB">
              <w:rPr>
                <w:sz w:val="24"/>
                <w:szCs w:val="24"/>
              </w:rPr>
              <w:t>4.0%</w:t>
            </w:r>
          </w:p>
        </w:tc>
        <w:tc>
          <w:tcPr>
            <w:tcW w:w="885" w:type="dxa"/>
            <w:tcBorders>
              <w:top w:val="nil"/>
              <w:left w:val="nil"/>
              <w:bottom w:val="single" w:sz="8" w:space="0" w:color="auto"/>
              <w:right w:val="single" w:sz="8" w:space="0" w:color="auto"/>
            </w:tcBorders>
            <w:shd w:val="clear" w:color="auto" w:fill="auto"/>
            <w:vAlign w:val="center"/>
            <w:hideMark/>
          </w:tcPr>
          <w:p w14:paraId="21F3C9A0" w14:textId="77777777" w:rsidR="009E7CA4" w:rsidRPr="00D276EB" w:rsidRDefault="009E7CA4" w:rsidP="009E7CA4">
            <w:pPr>
              <w:spacing w:after="0" w:line="240" w:lineRule="auto"/>
              <w:jc w:val="right"/>
              <w:rPr>
                <w:sz w:val="24"/>
                <w:szCs w:val="24"/>
              </w:rPr>
            </w:pPr>
            <w:r w:rsidRPr="00D276EB">
              <w:rPr>
                <w:sz w:val="24"/>
                <w:szCs w:val="24"/>
              </w:rPr>
              <w:t>293</w:t>
            </w:r>
          </w:p>
        </w:tc>
        <w:tc>
          <w:tcPr>
            <w:tcW w:w="1051" w:type="dxa"/>
            <w:tcBorders>
              <w:top w:val="nil"/>
              <w:left w:val="nil"/>
              <w:bottom w:val="single" w:sz="8" w:space="0" w:color="auto"/>
              <w:right w:val="single" w:sz="8" w:space="0" w:color="auto"/>
            </w:tcBorders>
            <w:shd w:val="clear" w:color="auto" w:fill="auto"/>
            <w:vAlign w:val="center"/>
          </w:tcPr>
          <w:p w14:paraId="208ACF9A" w14:textId="77777777" w:rsidR="009E7CA4" w:rsidRPr="00D276EB" w:rsidRDefault="009E7CA4" w:rsidP="009E7CA4">
            <w:pPr>
              <w:spacing w:after="0" w:line="240" w:lineRule="auto"/>
              <w:jc w:val="center"/>
              <w:rPr>
                <w:sz w:val="24"/>
                <w:szCs w:val="24"/>
              </w:rPr>
            </w:pPr>
            <w:r w:rsidRPr="00D276EB">
              <w:rPr>
                <w:sz w:val="24"/>
                <w:szCs w:val="24"/>
              </w:rPr>
              <w:t>4.0%</w:t>
            </w:r>
          </w:p>
        </w:tc>
        <w:tc>
          <w:tcPr>
            <w:tcW w:w="885" w:type="dxa"/>
            <w:tcBorders>
              <w:top w:val="nil"/>
              <w:left w:val="nil"/>
              <w:bottom w:val="single" w:sz="8" w:space="0" w:color="auto"/>
              <w:right w:val="single" w:sz="8" w:space="0" w:color="auto"/>
            </w:tcBorders>
            <w:shd w:val="clear" w:color="auto" w:fill="auto"/>
            <w:vAlign w:val="center"/>
            <w:hideMark/>
          </w:tcPr>
          <w:p w14:paraId="084AFD92" w14:textId="77777777" w:rsidR="009E7CA4" w:rsidRPr="00D276EB" w:rsidRDefault="009E7CA4" w:rsidP="009E7CA4">
            <w:pPr>
              <w:spacing w:after="0" w:line="240" w:lineRule="auto"/>
              <w:jc w:val="right"/>
              <w:rPr>
                <w:sz w:val="24"/>
                <w:szCs w:val="24"/>
              </w:rPr>
            </w:pPr>
            <w:r w:rsidRPr="00D276EB">
              <w:rPr>
                <w:sz w:val="24"/>
                <w:szCs w:val="24"/>
              </w:rPr>
              <w:t>305</w:t>
            </w:r>
          </w:p>
        </w:tc>
        <w:tc>
          <w:tcPr>
            <w:tcW w:w="1051" w:type="dxa"/>
            <w:tcBorders>
              <w:top w:val="nil"/>
              <w:left w:val="nil"/>
              <w:bottom w:val="single" w:sz="8" w:space="0" w:color="auto"/>
              <w:right w:val="single" w:sz="8" w:space="0" w:color="auto"/>
            </w:tcBorders>
            <w:shd w:val="clear" w:color="auto" w:fill="auto"/>
            <w:vAlign w:val="center"/>
          </w:tcPr>
          <w:p w14:paraId="3FEE8D7A" w14:textId="77777777" w:rsidR="009E7CA4" w:rsidRPr="00D276EB" w:rsidRDefault="009E7CA4" w:rsidP="009E7CA4">
            <w:pPr>
              <w:spacing w:after="0" w:line="240" w:lineRule="auto"/>
              <w:jc w:val="center"/>
              <w:rPr>
                <w:sz w:val="24"/>
                <w:szCs w:val="24"/>
              </w:rPr>
            </w:pPr>
            <w:r w:rsidRPr="00D276EB">
              <w:rPr>
                <w:sz w:val="24"/>
                <w:szCs w:val="24"/>
              </w:rPr>
              <w:t>4.0%</w:t>
            </w:r>
          </w:p>
        </w:tc>
        <w:tc>
          <w:tcPr>
            <w:tcW w:w="885" w:type="dxa"/>
            <w:tcBorders>
              <w:top w:val="nil"/>
              <w:left w:val="nil"/>
              <w:bottom w:val="single" w:sz="8" w:space="0" w:color="auto"/>
              <w:right w:val="single" w:sz="8" w:space="0" w:color="auto"/>
            </w:tcBorders>
            <w:shd w:val="clear" w:color="auto" w:fill="auto"/>
            <w:vAlign w:val="center"/>
            <w:hideMark/>
          </w:tcPr>
          <w:p w14:paraId="3DB64714" w14:textId="77777777" w:rsidR="009E7CA4" w:rsidRPr="00D276EB" w:rsidRDefault="009E7CA4" w:rsidP="009E7CA4">
            <w:pPr>
              <w:spacing w:after="0" w:line="240" w:lineRule="auto"/>
              <w:jc w:val="right"/>
              <w:rPr>
                <w:sz w:val="24"/>
                <w:szCs w:val="24"/>
              </w:rPr>
            </w:pPr>
            <w:r w:rsidRPr="00D276EB">
              <w:rPr>
                <w:sz w:val="24"/>
                <w:szCs w:val="24"/>
              </w:rPr>
              <w:t>317</w:t>
            </w:r>
          </w:p>
        </w:tc>
      </w:tr>
      <w:tr w:rsidR="009E7CA4" w:rsidRPr="00D276EB" w14:paraId="39F556D9" w14:textId="77777777" w:rsidTr="00CE2533">
        <w:trPr>
          <w:cantSplit/>
          <w:trHeight w:val="349"/>
          <w:jc w:val="center"/>
        </w:trPr>
        <w:tc>
          <w:tcPr>
            <w:tcW w:w="1599" w:type="dxa"/>
            <w:tcBorders>
              <w:top w:val="nil"/>
              <w:left w:val="single" w:sz="8" w:space="0" w:color="auto"/>
              <w:bottom w:val="single" w:sz="8" w:space="0" w:color="auto"/>
              <w:right w:val="single" w:sz="8" w:space="0" w:color="auto"/>
            </w:tcBorders>
            <w:shd w:val="clear" w:color="auto" w:fill="auto"/>
            <w:vAlign w:val="center"/>
            <w:hideMark/>
          </w:tcPr>
          <w:p w14:paraId="1CDC1510" w14:textId="77777777" w:rsidR="009E7CA4" w:rsidRPr="00D276EB" w:rsidRDefault="009E7CA4" w:rsidP="00D276EB">
            <w:pPr>
              <w:spacing w:after="0" w:line="240" w:lineRule="auto"/>
              <w:rPr>
                <w:sz w:val="24"/>
                <w:szCs w:val="24"/>
              </w:rPr>
            </w:pPr>
            <w:r w:rsidRPr="00D276EB">
              <w:rPr>
                <w:sz w:val="24"/>
                <w:szCs w:val="24"/>
              </w:rPr>
              <w:t>LDCT</w:t>
            </w:r>
          </w:p>
        </w:tc>
        <w:tc>
          <w:tcPr>
            <w:tcW w:w="885" w:type="dxa"/>
            <w:tcBorders>
              <w:top w:val="nil"/>
              <w:left w:val="nil"/>
              <w:bottom w:val="single" w:sz="8" w:space="0" w:color="auto"/>
              <w:right w:val="single" w:sz="8" w:space="0" w:color="auto"/>
            </w:tcBorders>
            <w:shd w:val="clear" w:color="auto" w:fill="auto"/>
            <w:vAlign w:val="center"/>
            <w:hideMark/>
          </w:tcPr>
          <w:p w14:paraId="4220C348" w14:textId="77777777" w:rsidR="009E7CA4" w:rsidRPr="00D276EB" w:rsidRDefault="009E7CA4" w:rsidP="009E7CA4">
            <w:pPr>
              <w:spacing w:after="0" w:line="240" w:lineRule="auto"/>
              <w:jc w:val="right"/>
              <w:rPr>
                <w:sz w:val="24"/>
                <w:szCs w:val="24"/>
              </w:rPr>
            </w:pPr>
            <w:r w:rsidRPr="00D276EB">
              <w:rPr>
                <w:sz w:val="24"/>
                <w:szCs w:val="24"/>
              </w:rPr>
              <w:t>561</w:t>
            </w:r>
          </w:p>
        </w:tc>
        <w:tc>
          <w:tcPr>
            <w:tcW w:w="1051" w:type="dxa"/>
            <w:tcBorders>
              <w:top w:val="nil"/>
              <w:left w:val="nil"/>
              <w:bottom w:val="single" w:sz="8" w:space="0" w:color="auto"/>
              <w:right w:val="single" w:sz="8" w:space="0" w:color="auto"/>
            </w:tcBorders>
            <w:shd w:val="clear" w:color="auto" w:fill="auto"/>
            <w:vAlign w:val="center"/>
          </w:tcPr>
          <w:p w14:paraId="7DF06B08" w14:textId="77777777" w:rsidR="009E7CA4" w:rsidRPr="00D276EB" w:rsidRDefault="009E7CA4" w:rsidP="009E7CA4">
            <w:pPr>
              <w:spacing w:after="0" w:line="240" w:lineRule="auto"/>
              <w:jc w:val="center"/>
              <w:rPr>
                <w:sz w:val="24"/>
                <w:szCs w:val="24"/>
              </w:rPr>
            </w:pPr>
            <w:r w:rsidRPr="00D276EB">
              <w:rPr>
                <w:sz w:val="24"/>
                <w:szCs w:val="24"/>
              </w:rPr>
              <w:t>6.0%</w:t>
            </w:r>
          </w:p>
        </w:tc>
        <w:tc>
          <w:tcPr>
            <w:tcW w:w="885" w:type="dxa"/>
            <w:tcBorders>
              <w:top w:val="nil"/>
              <w:left w:val="nil"/>
              <w:bottom w:val="single" w:sz="8" w:space="0" w:color="auto"/>
              <w:right w:val="single" w:sz="8" w:space="0" w:color="auto"/>
            </w:tcBorders>
            <w:shd w:val="clear" w:color="auto" w:fill="auto"/>
            <w:vAlign w:val="center"/>
            <w:hideMark/>
          </w:tcPr>
          <w:p w14:paraId="0B4715DC" w14:textId="77777777" w:rsidR="009E7CA4" w:rsidRPr="00D276EB" w:rsidRDefault="009E7CA4" w:rsidP="009E7CA4">
            <w:pPr>
              <w:spacing w:after="0" w:line="240" w:lineRule="auto"/>
              <w:jc w:val="right"/>
              <w:rPr>
                <w:sz w:val="24"/>
                <w:szCs w:val="24"/>
              </w:rPr>
            </w:pPr>
            <w:r w:rsidRPr="00D276EB">
              <w:rPr>
                <w:sz w:val="24"/>
                <w:szCs w:val="24"/>
              </w:rPr>
              <w:t>595</w:t>
            </w:r>
          </w:p>
        </w:tc>
        <w:tc>
          <w:tcPr>
            <w:tcW w:w="1051" w:type="dxa"/>
            <w:tcBorders>
              <w:top w:val="nil"/>
              <w:left w:val="nil"/>
              <w:bottom w:val="single" w:sz="8" w:space="0" w:color="auto"/>
              <w:right w:val="single" w:sz="8" w:space="0" w:color="auto"/>
            </w:tcBorders>
            <w:shd w:val="clear" w:color="auto" w:fill="auto"/>
            <w:vAlign w:val="center"/>
          </w:tcPr>
          <w:p w14:paraId="411E4774" w14:textId="77777777" w:rsidR="009E7CA4" w:rsidRPr="00D276EB" w:rsidRDefault="009E7CA4" w:rsidP="009E7CA4">
            <w:pPr>
              <w:spacing w:after="0" w:line="240" w:lineRule="auto"/>
              <w:jc w:val="center"/>
              <w:rPr>
                <w:sz w:val="24"/>
                <w:szCs w:val="24"/>
              </w:rPr>
            </w:pPr>
            <w:r w:rsidRPr="00D276EB">
              <w:rPr>
                <w:sz w:val="24"/>
                <w:szCs w:val="24"/>
              </w:rPr>
              <w:t>4.0%</w:t>
            </w:r>
          </w:p>
        </w:tc>
        <w:tc>
          <w:tcPr>
            <w:tcW w:w="885" w:type="dxa"/>
            <w:tcBorders>
              <w:top w:val="nil"/>
              <w:left w:val="nil"/>
              <w:bottom w:val="single" w:sz="8" w:space="0" w:color="auto"/>
              <w:right w:val="single" w:sz="8" w:space="0" w:color="auto"/>
            </w:tcBorders>
            <w:shd w:val="clear" w:color="auto" w:fill="auto"/>
            <w:vAlign w:val="center"/>
            <w:hideMark/>
          </w:tcPr>
          <w:p w14:paraId="41A7FF43" w14:textId="77777777" w:rsidR="009E7CA4" w:rsidRPr="00D276EB" w:rsidRDefault="009E7CA4" w:rsidP="009E7CA4">
            <w:pPr>
              <w:spacing w:after="0" w:line="240" w:lineRule="auto"/>
              <w:jc w:val="right"/>
              <w:rPr>
                <w:sz w:val="24"/>
                <w:szCs w:val="24"/>
              </w:rPr>
            </w:pPr>
            <w:r w:rsidRPr="00D276EB">
              <w:rPr>
                <w:sz w:val="24"/>
                <w:szCs w:val="24"/>
              </w:rPr>
              <w:t>619</w:t>
            </w:r>
          </w:p>
        </w:tc>
        <w:tc>
          <w:tcPr>
            <w:tcW w:w="1051" w:type="dxa"/>
            <w:tcBorders>
              <w:top w:val="nil"/>
              <w:left w:val="nil"/>
              <w:bottom w:val="single" w:sz="8" w:space="0" w:color="auto"/>
              <w:right w:val="single" w:sz="8" w:space="0" w:color="auto"/>
            </w:tcBorders>
            <w:shd w:val="clear" w:color="auto" w:fill="auto"/>
            <w:vAlign w:val="center"/>
          </w:tcPr>
          <w:p w14:paraId="64F88A2D" w14:textId="77777777" w:rsidR="009E7CA4" w:rsidRPr="00D276EB" w:rsidRDefault="009E7CA4" w:rsidP="009E7CA4">
            <w:pPr>
              <w:spacing w:after="0" w:line="240" w:lineRule="auto"/>
              <w:jc w:val="center"/>
              <w:rPr>
                <w:sz w:val="24"/>
                <w:szCs w:val="24"/>
              </w:rPr>
            </w:pPr>
            <w:r w:rsidRPr="00D276EB">
              <w:rPr>
                <w:sz w:val="24"/>
                <w:szCs w:val="24"/>
              </w:rPr>
              <w:t>4.0%</w:t>
            </w:r>
          </w:p>
        </w:tc>
        <w:tc>
          <w:tcPr>
            <w:tcW w:w="885" w:type="dxa"/>
            <w:tcBorders>
              <w:top w:val="nil"/>
              <w:left w:val="nil"/>
              <w:bottom w:val="single" w:sz="8" w:space="0" w:color="auto"/>
              <w:right w:val="single" w:sz="8" w:space="0" w:color="auto"/>
            </w:tcBorders>
            <w:shd w:val="clear" w:color="auto" w:fill="auto"/>
            <w:vAlign w:val="center"/>
            <w:hideMark/>
          </w:tcPr>
          <w:p w14:paraId="2DD9BC36" w14:textId="77777777" w:rsidR="009E7CA4" w:rsidRPr="00D276EB" w:rsidRDefault="009E7CA4" w:rsidP="009E7CA4">
            <w:pPr>
              <w:spacing w:after="0" w:line="240" w:lineRule="auto"/>
              <w:jc w:val="right"/>
              <w:rPr>
                <w:sz w:val="24"/>
                <w:szCs w:val="24"/>
              </w:rPr>
            </w:pPr>
            <w:r w:rsidRPr="00D276EB">
              <w:rPr>
                <w:sz w:val="24"/>
                <w:szCs w:val="24"/>
              </w:rPr>
              <w:t>644</w:t>
            </w:r>
          </w:p>
        </w:tc>
        <w:tc>
          <w:tcPr>
            <w:tcW w:w="1051" w:type="dxa"/>
            <w:tcBorders>
              <w:top w:val="nil"/>
              <w:left w:val="nil"/>
              <w:bottom w:val="single" w:sz="8" w:space="0" w:color="auto"/>
              <w:right w:val="single" w:sz="8" w:space="0" w:color="auto"/>
            </w:tcBorders>
            <w:shd w:val="clear" w:color="auto" w:fill="auto"/>
            <w:vAlign w:val="center"/>
          </w:tcPr>
          <w:p w14:paraId="1516319F" w14:textId="77777777" w:rsidR="009E7CA4" w:rsidRPr="00D276EB" w:rsidRDefault="009E7CA4" w:rsidP="009E7CA4">
            <w:pPr>
              <w:spacing w:after="0" w:line="240" w:lineRule="auto"/>
              <w:jc w:val="center"/>
              <w:rPr>
                <w:sz w:val="24"/>
                <w:szCs w:val="24"/>
              </w:rPr>
            </w:pPr>
            <w:r w:rsidRPr="00D276EB">
              <w:rPr>
                <w:sz w:val="24"/>
                <w:szCs w:val="24"/>
              </w:rPr>
              <w:t>4.0%</w:t>
            </w:r>
          </w:p>
        </w:tc>
        <w:tc>
          <w:tcPr>
            <w:tcW w:w="885" w:type="dxa"/>
            <w:tcBorders>
              <w:top w:val="nil"/>
              <w:left w:val="nil"/>
              <w:bottom w:val="single" w:sz="8" w:space="0" w:color="auto"/>
              <w:right w:val="single" w:sz="8" w:space="0" w:color="auto"/>
            </w:tcBorders>
            <w:shd w:val="clear" w:color="auto" w:fill="auto"/>
            <w:vAlign w:val="center"/>
            <w:hideMark/>
          </w:tcPr>
          <w:p w14:paraId="0F7A579D" w14:textId="77777777" w:rsidR="009E7CA4" w:rsidRPr="00D276EB" w:rsidRDefault="009E7CA4" w:rsidP="009E7CA4">
            <w:pPr>
              <w:spacing w:after="0" w:line="240" w:lineRule="auto"/>
              <w:jc w:val="right"/>
              <w:rPr>
                <w:sz w:val="24"/>
                <w:szCs w:val="24"/>
              </w:rPr>
            </w:pPr>
            <w:r w:rsidRPr="00D276EB">
              <w:rPr>
                <w:sz w:val="24"/>
                <w:szCs w:val="24"/>
              </w:rPr>
              <w:t>670</w:t>
            </w:r>
          </w:p>
        </w:tc>
      </w:tr>
      <w:tr w:rsidR="009E7CA4" w:rsidRPr="00D276EB" w14:paraId="1DF61815" w14:textId="77777777" w:rsidTr="00CE2533">
        <w:trPr>
          <w:cantSplit/>
          <w:trHeight w:val="394"/>
          <w:jc w:val="center"/>
        </w:trPr>
        <w:tc>
          <w:tcPr>
            <w:tcW w:w="1599" w:type="dxa"/>
            <w:tcBorders>
              <w:top w:val="nil"/>
              <w:left w:val="single" w:sz="8" w:space="0" w:color="auto"/>
              <w:bottom w:val="single" w:sz="8" w:space="0" w:color="auto"/>
              <w:right w:val="single" w:sz="8" w:space="0" w:color="auto"/>
            </w:tcBorders>
            <w:shd w:val="clear" w:color="auto" w:fill="auto"/>
            <w:vAlign w:val="center"/>
            <w:hideMark/>
          </w:tcPr>
          <w:p w14:paraId="1411A1EB" w14:textId="77777777" w:rsidR="009E7CA4" w:rsidRPr="00D276EB" w:rsidRDefault="009E7CA4" w:rsidP="00D276EB">
            <w:pPr>
              <w:spacing w:after="0" w:line="240" w:lineRule="auto"/>
              <w:rPr>
                <w:sz w:val="24"/>
                <w:szCs w:val="24"/>
              </w:rPr>
            </w:pPr>
            <w:r w:rsidRPr="00D276EB">
              <w:rPr>
                <w:sz w:val="24"/>
                <w:szCs w:val="24"/>
              </w:rPr>
              <w:t>Other</w:t>
            </w:r>
            <w:r w:rsidRPr="00D276EB">
              <w:rPr>
                <w:sz w:val="24"/>
                <w:szCs w:val="24"/>
                <w:vertAlign w:val="superscript"/>
              </w:rPr>
              <w:footnoteReference w:id="18"/>
            </w:r>
          </w:p>
        </w:tc>
        <w:tc>
          <w:tcPr>
            <w:tcW w:w="885" w:type="dxa"/>
            <w:tcBorders>
              <w:top w:val="nil"/>
              <w:left w:val="nil"/>
              <w:bottom w:val="single" w:sz="8" w:space="0" w:color="auto"/>
              <w:right w:val="single" w:sz="8" w:space="0" w:color="auto"/>
            </w:tcBorders>
            <w:shd w:val="clear" w:color="auto" w:fill="auto"/>
            <w:vAlign w:val="center"/>
            <w:hideMark/>
          </w:tcPr>
          <w:p w14:paraId="037D7B1C" w14:textId="77777777" w:rsidR="009E7CA4" w:rsidRPr="00D276EB" w:rsidRDefault="009E7CA4" w:rsidP="009E7CA4">
            <w:pPr>
              <w:spacing w:after="0" w:line="240" w:lineRule="auto"/>
              <w:jc w:val="right"/>
              <w:rPr>
                <w:sz w:val="24"/>
                <w:szCs w:val="24"/>
              </w:rPr>
            </w:pPr>
            <w:r w:rsidRPr="00D276EB">
              <w:rPr>
                <w:sz w:val="24"/>
                <w:szCs w:val="24"/>
              </w:rPr>
              <w:t>14,450</w:t>
            </w:r>
          </w:p>
        </w:tc>
        <w:tc>
          <w:tcPr>
            <w:tcW w:w="1051" w:type="dxa"/>
            <w:tcBorders>
              <w:top w:val="nil"/>
              <w:left w:val="nil"/>
              <w:bottom w:val="single" w:sz="8" w:space="0" w:color="auto"/>
              <w:right w:val="single" w:sz="8" w:space="0" w:color="auto"/>
            </w:tcBorders>
            <w:shd w:val="clear" w:color="auto" w:fill="auto"/>
            <w:vAlign w:val="center"/>
          </w:tcPr>
          <w:p w14:paraId="7FE88043" w14:textId="77777777" w:rsidR="009E7CA4" w:rsidRPr="00D276EB" w:rsidRDefault="009E7CA4" w:rsidP="009E7CA4">
            <w:pPr>
              <w:spacing w:after="0" w:line="240" w:lineRule="auto"/>
              <w:jc w:val="center"/>
              <w:rPr>
                <w:sz w:val="24"/>
                <w:szCs w:val="24"/>
              </w:rPr>
            </w:pPr>
            <w:r w:rsidRPr="00D276EB">
              <w:rPr>
                <w:sz w:val="24"/>
                <w:szCs w:val="24"/>
              </w:rPr>
              <w:t>30.5%</w:t>
            </w:r>
          </w:p>
        </w:tc>
        <w:tc>
          <w:tcPr>
            <w:tcW w:w="885" w:type="dxa"/>
            <w:tcBorders>
              <w:top w:val="nil"/>
              <w:left w:val="nil"/>
              <w:bottom w:val="single" w:sz="8" w:space="0" w:color="auto"/>
              <w:right w:val="single" w:sz="8" w:space="0" w:color="auto"/>
            </w:tcBorders>
            <w:shd w:val="clear" w:color="auto" w:fill="auto"/>
            <w:vAlign w:val="center"/>
            <w:hideMark/>
          </w:tcPr>
          <w:p w14:paraId="158D9928" w14:textId="77777777" w:rsidR="009E7CA4" w:rsidRPr="00D276EB" w:rsidRDefault="009E7CA4" w:rsidP="009E7CA4">
            <w:pPr>
              <w:spacing w:after="0" w:line="240" w:lineRule="auto"/>
              <w:jc w:val="right"/>
              <w:rPr>
                <w:sz w:val="24"/>
                <w:szCs w:val="24"/>
              </w:rPr>
            </w:pPr>
            <w:r w:rsidRPr="00D276EB">
              <w:rPr>
                <w:sz w:val="24"/>
                <w:szCs w:val="24"/>
              </w:rPr>
              <w:t>18,863</w:t>
            </w:r>
          </w:p>
        </w:tc>
        <w:tc>
          <w:tcPr>
            <w:tcW w:w="1051" w:type="dxa"/>
            <w:tcBorders>
              <w:top w:val="nil"/>
              <w:left w:val="nil"/>
              <w:bottom w:val="single" w:sz="8" w:space="0" w:color="auto"/>
              <w:right w:val="single" w:sz="8" w:space="0" w:color="auto"/>
            </w:tcBorders>
            <w:shd w:val="clear" w:color="auto" w:fill="auto"/>
            <w:vAlign w:val="center"/>
          </w:tcPr>
          <w:p w14:paraId="74394F19" w14:textId="77777777" w:rsidR="009E7CA4" w:rsidRPr="00D276EB" w:rsidRDefault="009E7CA4" w:rsidP="009E7CA4">
            <w:pPr>
              <w:spacing w:after="0" w:line="240" w:lineRule="auto"/>
              <w:jc w:val="center"/>
              <w:rPr>
                <w:sz w:val="24"/>
                <w:szCs w:val="24"/>
              </w:rPr>
            </w:pPr>
            <w:r w:rsidRPr="00D276EB">
              <w:rPr>
                <w:sz w:val="24"/>
                <w:szCs w:val="24"/>
              </w:rPr>
              <w:t>0.9%</w:t>
            </w:r>
          </w:p>
        </w:tc>
        <w:tc>
          <w:tcPr>
            <w:tcW w:w="885" w:type="dxa"/>
            <w:tcBorders>
              <w:top w:val="nil"/>
              <w:left w:val="nil"/>
              <w:bottom w:val="single" w:sz="8" w:space="0" w:color="auto"/>
              <w:right w:val="single" w:sz="8" w:space="0" w:color="auto"/>
            </w:tcBorders>
            <w:shd w:val="clear" w:color="auto" w:fill="auto"/>
            <w:vAlign w:val="center"/>
            <w:hideMark/>
          </w:tcPr>
          <w:p w14:paraId="559C5B6E" w14:textId="77777777" w:rsidR="009E7CA4" w:rsidRPr="00D276EB" w:rsidRDefault="009E7CA4" w:rsidP="009E7CA4">
            <w:pPr>
              <w:spacing w:after="0" w:line="240" w:lineRule="auto"/>
              <w:jc w:val="right"/>
              <w:rPr>
                <w:sz w:val="24"/>
                <w:szCs w:val="24"/>
              </w:rPr>
            </w:pPr>
            <w:r w:rsidRPr="00D276EB">
              <w:rPr>
                <w:sz w:val="24"/>
                <w:szCs w:val="24"/>
              </w:rPr>
              <w:t>19,037</w:t>
            </w:r>
          </w:p>
        </w:tc>
        <w:tc>
          <w:tcPr>
            <w:tcW w:w="1051" w:type="dxa"/>
            <w:tcBorders>
              <w:top w:val="nil"/>
              <w:left w:val="nil"/>
              <w:bottom w:val="single" w:sz="8" w:space="0" w:color="auto"/>
              <w:right w:val="single" w:sz="8" w:space="0" w:color="auto"/>
            </w:tcBorders>
            <w:shd w:val="clear" w:color="auto" w:fill="auto"/>
            <w:vAlign w:val="center"/>
          </w:tcPr>
          <w:p w14:paraId="6A6C73C9" w14:textId="77777777" w:rsidR="009E7CA4" w:rsidRPr="00D276EB" w:rsidRDefault="009E7CA4" w:rsidP="009E7CA4">
            <w:pPr>
              <w:spacing w:after="0" w:line="240" w:lineRule="auto"/>
              <w:jc w:val="center"/>
              <w:rPr>
                <w:sz w:val="24"/>
                <w:szCs w:val="24"/>
              </w:rPr>
            </w:pPr>
            <w:r w:rsidRPr="00D276EB">
              <w:rPr>
                <w:sz w:val="24"/>
                <w:szCs w:val="24"/>
              </w:rPr>
              <w:t>0.4%</w:t>
            </w:r>
          </w:p>
        </w:tc>
        <w:tc>
          <w:tcPr>
            <w:tcW w:w="885" w:type="dxa"/>
            <w:tcBorders>
              <w:top w:val="nil"/>
              <w:left w:val="nil"/>
              <w:bottom w:val="single" w:sz="8" w:space="0" w:color="auto"/>
              <w:right w:val="single" w:sz="8" w:space="0" w:color="auto"/>
            </w:tcBorders>
            <w:shd w:val="clear" w:color="auto" w:fill="auto"/>
            <w:vAlign w:val="center"/>
            <w:hideMark/>
          </w:tcPr>
          <w:p w14:paraId="5DA2C447" w14:textId="77777777" w:rsidR="009E7CA4" w:rsidRPr="00D276EB" w:rsidRDefault="009E7CA4" w:rsidP="009E7CA4">
            <w:pPr>
              <w:spacing w:after="0" w:line="240" w:lineRule="auto"/>
              <w:jc w:val="right"/>
              <w:rPr>
                <w:sz w:val="24"/>
                <w:szCs w:val="24"/>
              </w:rPr>
            </w:pPr>
            <w:r w:rsidRPr="00D276EB">
              <w:rPr>
                <w:sz w:val="24"/>
                <w:szCs w:val="24"/>
              </w:rPr>
              <w:t>19,121</w:t>
            </w:r>
          </w:p>
        </w:tc>
        <w:tc>
          <w:tcPr>
            <w:tcW w:w="1051" w:type="dxa"/>
            <w:tcBorders>
              <w:top w:val="nil"/>
              <w:left w:val="nil"/>
              <w:bottom w:val="single" w:sz="8" w:space="0" w:color="auto"/>
              <w:right w:val="single" w:sz="8" w:space="0" w:color="auto"/>
            </w:tcBorders>
            <w:shd w:val="clear" w:color="auto" w:fill="auto"/>
            <w:vAlign w:val="center"/>
          </w:tcPr>
          <w:p w14:paraId="4850C4F7" w14:textId="77777777" w:rsidR="009E7CA4" w:rsidRPr="00D276EB" w:rsidRDefault="009E7CA4" w:rsidP="009E7CA4">
            <w:pPr>
              <w:spacing w:after="0" w:line="240" w:lineRule="auto"/>
              <w:jc w:val="center"/>
              <w:rPr>
                <w:sz w:val="24"/>
                <w:szCs w:val="24"/>
              </w:rPr>
            </w:pPr>
            <w:r w:rsidRPr="00D276EB">
              <w:rPr>
                <w:sz w:val="24"/>
                <w:szCs w:val="24"/>
              </w:rPr>
              <w:t>0.4%</w:t>
            </w:r>
          </w:p>
        </w:tc>
        <w:tc>
          <w:tcPr>
            <w:tcW w:w="885" w:type="dxa"/>
            <w:tcBorders>
              <w:top w:val="nil"/>
              <w:left w:val="nil"/>
              <w:bottom w:val="single" w:sz="8" w:space="0" w:color="auto"/>
              <w:right w:val="single" w:sz="8" w:space="0" w:color="auto"/>
            </w:tcBorders>
            <w:shd w:val="clear" w:color="auto" w:fill="auto"/>
            <w:vAlign w:val="center"/>
            <w:hideMark/>
          </w:tcPr>
          <w:p w14:paraId="5DA10428" w14:textId="77777777" w:rsidR="009E7CA4" w:rsidRPr="00D276EB" w:rsidRDefault="009E7CA4" w:rsidP="009E7CA4">
            <w:pPr>
              <w:spacing w:after="0" w:line="240" w:lineRule="auto"/>
              <w:jc w:val="right"/>
              <w:rPr>
                <w:sz w:val="24"/>
                <w:szCs w:val="24"/>
              </w:rPr>
            </w:pPr>
            <w:r w:rsidRPr="00D276EB">
              <w:rPr>
                <w:sz w:val="24"/>
                <w:szCs w:val="24"/>
              </w:rPr>
              <w:t>19,200</w:t>
            </w:r>
          </w:p>
        </w:tc>
      </w:tr>
      <w:tr w:rsidR="009E7CA4" w:rsidRPr="00D276EB" w14:paraId="0C073260" w14:textId="77777777" w:rsidTr="00CE2533">
        <w:trPr>
          <w:cantSplit/>
          <w:trHeight w:val="430"/>
          <w:jc w:val="center"/>
        </w:trPr>
        <w:tc>
          <w:tcPr>
            <w:tcW w:w="1599" w:type="dxa"/>
            <w:tcBorders>
              <w:top w:val="nil"/>
              <w:left w:val="single" w:sz="8" w:space="0" w:color="auto"/>
              <w:bottom w:val="single" w:sz="8" w:space="0" w:color="auto"/>
              <w:right w:val="single" w:sz="8" w:space="0" w:color="auto"/>
            </w:tcBorders>
            <w:shd w:val="clear" w:color="000000" w:fill="CCECFF"/>
            <w:vAlign w:val="center"/>
            <w:hideMark/>
          </w:tcPr>
          <w:p w14:paraId="05068F29" w14:textId="77777777" w:rsidR="009E7CA4" w:rsidRPr="00D276EB" w:rsidRDefault="009E7CA4" w:rsidP="00D276EB">
            <w:pPr>
              <w:spacing w:after="0" w:line="240" w:lineRule="auto"/>
              <w:rPr>
                <w:sz w:val="24"/>
                <w:szCs w:val="24"/>
              </w:rPr>
            </w:pPr>
            <w:r w:rsidRPr="00D276EB">
              <w:rPr>
                <w:sz w:val="24"/>
                <w:szCs w:val="24"/>
              </w:rPr>
              <w:t>Total</w:t>
            </w:r>
          </w:p>
        </w:tc>
        <w:tc>
          <w:tcPr>
            <w:tcW w:w="885" w:type="dxa"/>
            <w:tcBorders>
              <w:top w:val="nil"/>
              <w:left w:val="nil"/>
              <w:bottom w:val="single" w:sz="8" w:space="0" w:color="auto"/>
              <w:right w:val="single" w:sz="8" w:space="0" w:color="auto"/>
            </w:tcBorders>
            <w:shd w:val="clear" w:color="000000" w:fill="CCECFF"/>
            <w:vAlign w:val="center"/>
            <w:hideMark/>
          </w:tcPr>
          <w:p w14:paraId="67AECDD7" w14:textId="77777777" w:rsidR="009E7CA4" w:rsidRPr="00D276EB" w:rsidRDefault="009E7CA4" w:rsidP="009E7CA4">
            <w:pPr>
              <w:spacing w:after="0" w:line="240" w:lineRule="auto"/>
              <w:jc w:val="right"/>
              <w:rPr>
                <w:sz w:val="24"/>
                <w:szCs w:val="24"/>
              </w:rPr>
            </w:pPr>
            <w:r w:rsidRPr="00D276EB">
              <w:rPr>
                <w:sz w:val="24"/>
                <w:szCs w:val="24"/>
              </w:rPr>
              <w:t>23,994</w:t>
            </w:r>
          </w:p>
        </w:tc>
        <w:tc>
          <w:tcPr>
            <w:tcW w:w="1051" w:type="dxa"/>
            <w:tcBorders>
              <w:top w:val="nil"/>
              <w:left w:val="nil"/>
              <w:bottom w:val="single" w:sz="8" w:space="0" w:color="auto"/>
              <w:right w:val="single" w:sz="8" w:space="0" w:color="auto"/>
            </w:tcBorders>
            <w:shd w:val="clear" w:color="000000" w:fill="CCECFF"/>
            <w:vAlign w:val="center"/>
          </w:tcPr>
          <w:p w14:paraId="381BA8EB" w14:textId="77777777" w:rsidR="009E7CA4" w:rsidRPr="00D276EB" w:rsidRDefault="009E7CA4" w:rsidP="009E7CA4">
            <w:pPr>
              <w:spacing w:after="0" w:line="240" w:lineRule="auto"/>
              <w:jc w:val="center"/>
              <w:rPr>
                <w:sz w:val="24"/>
                <w:szCs w:val="24"/>
              </w:rPr>
            </w:pPr>
            <w:r w:rsidRPr="00D276EB">
              <w:rPr>
                <w:sz w:val="24"/>
                <w:szCs w:val="24"/>
              </w:rPr>
              <w:t>18.5%</w:t>
            </w:r>
          </w:p>
        </w:tc>
        <w:tc>
          <w:tcPr>
            <w:tcW w:w="885" w:type="dxa"/>
            <w:tcBorders>
              <w:top w:val="nil"/>
              <w:left w:val="nil"/>
              <w:bottom w:val="single" w:sz="8" w:space="0" w:color="auto"/>
              <w:right w:val="single" w:sz="8" w:space="0" w:color="auto"/>
            </w:tcBorders>
            <w:shd w:val="clear" w:color="000000" w:fill="CCECFF"/>
            <w:vAlign w:val="center"/>
            <w:hideMark/>
          </w:tcPr>
          <w:p w14:paraId="182C03DC" w14:textId="77777777" w:rsidR="009E7CA4" w:rsidRPr="00D276EB" w:rsidRDefault="009E7CA4" w:rsidP="009E7CA4">
            <w:pPr>
              <w:spacing w:after="0" w:line="240" w:lineRule="auto"/>
              <w:jc w:val="right"/>
              <w:rPr>
                <w:sz w:val="24"/>
                <w:szCs w:val="24"/>
              </w:rPr>
            </w:pPr>
            <w:r w:rsidRPr="00D276EB">
              <w:rPr>
                <w:sz w:val="24"/>
                <w:szCs w:val="24"/>
              </w:rPr>
              <w:t>28,441</w:t>
            </w:r>
          </w:p>
        </w:tc>
        <w:tc>
          <w:tcPr>
            <w:tcW w:w="1051" w:type="dxa"/>
            <w:tcBorders>
              <w:top w:val="nil"/>
              <w:left w:val="nil"/>
              <w:bottom w:val="single" w:sz="8" w:space="0" w:color="auto"/>
              <w:right w:val="single" w:sz="8" w:space="0" w:color="auto"/>
            </w:tcBorders>
            <w:shd w:val="clear" w:color="000000" w:fill="CCECFF"/>
            <w:vAlign w:val="center"/>
          </w:tcPr>
          <w:p w14:paraId="6B9CC325" w14:textId="77777777" w:rsidR="009E7CA4" w:rsidRPr="00D276EB" w:rsidRDefault="009E7CA4" w:rsidP="009E7CA4">
            <w:pPr>
              <w:spacing w:after="0" w:line="240" w:lineRule="auto"/>
              <w:jc w:val="center"/>
              <w:rPr>
                <w:sz w:val="24"/>
                <w:szCs w:val="24"/>
              </w:rPr>
            </w:pPr>
            <w:r w:rsidRPr="00D276EB">
              <w:rPr>
                <w:sz w:val="24"/>
                <w:szCs w:val="24"/>
              </w:rPr>
              <w:t>1.0%</w:t>
            </w:r>
          </w:p>
        </w:tc>
        <w:tc>
          <w:tcPr>
            <w:tcW w:w="885" w:type="dxa"/>
            <w:tcBorders>
              <w:top w:val="nil"/>
              <w:left w:val="nil"/>
              <w:bottom w:val="single" w:sz="8" w:space="0" w:color="auto"/>
              <w:right w:val="single" w:sz="8" w:space="0" w:color="auto"/>
            </w:tcBorders>
            <w:shd w:val="clear" w:color="000000" w:fill="CCECFF"/>
            <w:vAlign w:val="center"/>
            <w:hideMark/>
          </w:tcPr>
          <w:p w14:paraId="77F7536E" w14:textId="77777777" w:rsidR="009E7CA4" w:rsidRPr="00D276EB" w:rsidRDefault="009E7CA4" w:rsidP="009E7CA4">
            <w:pPr>
              <w:spacing w:after="0" w:line="240" w:lineRule="auto"/>
              <w:jc w:val="right"/>
              <w:rPr>
                <w:sz w:val="24"/>
                <w:szCs w:val="24"/>
              </w:rPr>
            </w:pPr>
            <w:r w:rsidRPr="00D276EB">
              <w:rPr>
                <w:sz w:val="24"/>
                <w:szCs w:val="24"/>
              </w:rPr>
              <w:t>28,737</w:t>
            </w:r>
          </w:p>
        </w:tc>
        <w:tc>
          <w:tcPr>
            <w:tcW w:w="1051" w:type="dxa"/>
            <w:tcBorders>
              <w:top w:val="nil"/>
              <w:left w:val="nil"/>
              <w:bottom w:val="single" w:sz="8" w:space="0" w:color="auto"/>
              <w:right w:val="single" w:sz="8" w:space="0" w:color="auto"/>
            </w:tcBorders>
            <w:shd w:val="clear" w:color="000000" w:fill="CCECFF"/>
            <w:vAlign w:val="center"/>
          </w:tcPr>
          <w:p w14:paraId="66489FDD" w14:textId="77777777" w:rsidR="009E7CA4" w:rsidRPr="00D276EB" w:rsidRDefault="009E7CA4" w:rsidP="009E7CA4">
            <w:pPr>
              <w:spacing w:after="0" w:line="240" w:lineRule="auto"/>
              <w:jc w:val="center"/>
              <w:rPr>
                <w:sz w:val="24"/>
                <w:szCs w:val="24"/>
              </w:rPr>
            </w:pPr>
            <w:r w:rsidRPr="00D276EB">
              <w:rPr>
                <w:sz w:val="24"/>
                <w:szCs w:val="24"/>
              </w:rPr>
              <w:t>1.0%</w:t>
            </w:r>
          </w:p>
        </w:tc>
        <w:tc>
          <w:tcPr>
            <w:tcW w:w="885" w:type="dxa"/>
            <w:tcBorders>
              <w:top w:val="nil"/>
              <w:left w:val="nil"/>
              <w:bottom w:val="single" w:sz="8" w:space="0" w:color="auto"/>
              <w:right w:val="single" w:sz="8" w:space="0" w:color="auto"/>
            </w:tcBorders>
            <w:shd w:val="clear" w:color="000000" w:fill="CCECFF"/>
            <w:vAlign w:val="center"/>
            <w:hideMark/>
          </w:tcPr>
          <w:p w14:paraId="0B29D9B3" w14:textId="77777777" w:rsidR="009E7CA4" w:rsidRPr="00D276EB" w:rsidRDefault="009E7CA4" w:rsidP="009E7CA4">
            <w:pPr>
              <w:spacing w:after="0" w:line="240" w:lineRule="auto"/>
              <w:jc w:val="right"/>
              <w:rPr>
                <w:sz w:val="24"/>
                <w:szCs w:val="24"/>
              </w:rPr>
            </w:pPr>
            <w:r w:rsidRPr="00D276EB">
              <w:rPr>
                <w:sz w:val="24"/>
                <w:szCs w:val="24"/>
              </w:rPr>
              <w:t>29,033</w:t>
            </w:r>
          </w:p>
        </w:tc>
        <w:tc>
          <w:tcPr>
            <w:tcW w:w="1051" w:type="dxa"/>
            <w:tcBorders>
              <w:top w:val="nil"/>
              <w:left w:val="nil"/>
              <w:bottom w:val="single" w:sz="8" w:space="0" w:color="auto"/>
              <w:right w:val="single" w:sz="8" w:space="0" w:color="auto"/>
            </w:tcBorders>
            <w:shd w:val="clear" w:color="000000" w:fill="CCECFF"/>
            <w:vAlign w:val="center"/>
          </w:tcPr>
          <w:p w14:paraId="5F915788" w14:textId="77777777" w:rsidR="009E7CA4" w:rsidRPr="00D276EB" w:rsidRDefault="009E7CA4" w:rsidP="009E7CA4">
            <w:pPr>
              <w:spacing w:after="0" w:line="240" w:lineRule="auto"/>
              <w:jc w:val="center"/>
              <w:rPr>
                <w:sz w:val="24"/>
                <w:szCs w:val="24"/>
              </w:rPr>
            </w:pPr>
            <w:r w:rsidRPr="00D276EB">
              <w:rPr>
                <w:sz w:val="24"/>
                <w:szCs w:val="24"/>
              </w:rPr>
              <w:t>1.0%</w:t>
            </w:r>
          </w:p>
        </w:tc>
        <w:tc>
          <w:tcPr>
            <w:tcW w:w="885" w:type="dxa"/>
            <w:tcBorders>
              <w:top w:val="nil"/>
              <w:left w:val="nil"/>
              <w:bottom w:val="single" w:sz="8" w:space="0" w:color="auto"/>
              <w:right w:val="single" w:sz="8" w:space="0" w:color="auto"/>
            </w:tcBorders>
            <w:shd w:val="clear" w:color="000000" w:fill="CCECFF"/>
            <w:vAlign w:val="center"/>
            <w:hideMark/>
          </w:tcPr>
          <w:p w14:paraId="65D7DC63" w14:textId="77777777" w:rsidR="009E7CA4" w:rsidRPr="00D276EB" w:rsidRDefault="009E7CA4" w:rsidP="009E7CA4">
            <w:pPr>
              <w:spacing w:after="0" w:line="240" w:lineRule="auto"/>
              <w:jc w:val="right"/>
              <w:rPr>
                <w:sz w:val="24"/>
                <w:szCs w:val="24"/>
              </w:rPr>
            </w:pPr>
            <w:r w:rsidRPr="00D276EB">
              <w:rPr>
                <w:sz w:val="24"/>
                <w:szCs w:val="24"/>
              </w:rPr>
              <w:t>29,330</w:t>
            </w:r>
          </w:p>
        </w:tc>
      </w:tr>
    </w:tbl>
    <w:p w14:paraId="0B245376" w14:textId="77777777" w:rsidR="00D276EB" w:rsidRPr="00D276EB" w:rsidRDefault="00D276EB" w:rsidP="00D276EB">
      <w:pPr>
        <w:spacing w:after="0" w:line="240" w:lineRule="auto"/>
        <w:rPr>
          <w:sz w:val="24"/>
          <w:szCs w:val="24"/>
        </w:rPr>
      </w:pPr>
    </w:p>
    <w:p w14:paraId="7478A1B6" w14:textId="5C5B4B11" w:rsidR="008844EF" w:rsidRDefault="00D276EB" w:rsidP="008A2FBF">
      <w:pPr>
        <w:spacing w:after="0" w:line="240" w:lineRule="auto"/>
      </w:pPr>
      <w:r w:rsidRPr="00D276EB">
        <w:rPr>
          <w:sz w:val="24"/>
          <w:szCs w:val="24"/>
        </w:rPr>
        <w:t xml:space="preserve">YTD in 2023 CDH performed 184 </w:t>
      </w:r>
      <w:r w:rsidR="00132A24">
        <w:rPr>
          <w:sz w:val="24"/>
          <w:szCs w:val="24"/>
        </w:rPr>
        <w:t>CT</w:t>
      </w:r>
      <w:r w:rsidR="00E91E3D">
        <w:rPr>
          <w:sz w:val="24"/>
          <w:szCs w:val="24"/>
        </w:rPr>
        <w:t>-</w:t>
      </w:r>
      <w:r w:rsidRPr="00D276EB">
        <w:rPr>
          <w:sz w:val="24"/>
          <w:szCs w:val="24"/>
        </w:rPr>
        <w:t>IR procedures and projects 282 procedures for FY 2023 and 2024</w:t>
      </w:r>
      <w:r w:rsidR="00C62E39">
        <w:rPr>
          <w:sz w:val="24"/>
          <w:szCs w:val="24"/>
        </w:rPr>
        <w:t xml:space="preserve"> and</w:t>
      </w:r>
      <w:r w:rsidRPr="00D276EB">
        <w:rPr>
          <w:sz w:val="24"/>
          <w:szCs w:val="24"/>
        </w:rPr>
        <w:t xml:space="preserve"> a 4% growth for the remainder of the projection period. YTD 2</w:t>
      </w:r>
      <w:r w:rsidR="0081713B">
        <w:rPr>
          <w:sz w:val="24"/>
          <w:szCs w:val="24"/>
        </w:rPr>
        <w:t>,</w:t>
      </w:r>
      <w:r w:rsidRPr="00D276EB">
        <w:rPr>
          <w:sz w:val="24"/>
          <w:szCs w:val="24"/>
        </w:rPr>
        <w:t xml:space="preserve">712 </w:t>
      </w:r>
      <w:r w:rsidR="008166FA">
        <w:rPr>
          <w:sz w:val="24"/>
          <w:szCs w:val="24"/>
        </w:rPr>
        <w:t>C</w:t>
      </w:r>
      <w:r w:rsidRPr="00D276EB">
        <w:rPr>
          <w:sz w:val="24"/>
          <w:szCs w:val="24"/>
        </w:rPr>
        <w:t xml:space="preserve">CTA scans have been performed and CDH projects 3,616 and 3,833 for FYs 2023 and 2024 respectively, a 6% increase. (The Applicant did not provide projections for CCTA but within the </w:t>
      </w:r>
      <w:r w:rsidRPr="00D276EB">
        <w:rPr>
          <w:i/>
          <w:iCs/>
          <w:sz w:val="24"/>
          <w:szCs w:val="24"/>
        </w:rPr>
        <w:t>Other</w:t>
      </w:r>
      <w:r w:rsidRPr="00D276EB">
        <w:rPr>
          <w:sz w:val="24"/>
          <w:szCs w:val="24"/>
        </w:rPr>
        <w:t xml:space="preserve"> category, it </w:t>
      </w:r>
      <w:r w:rsidR="0081713B">
        <w:rPr>
          <w:sz w:val="24"/>
          <w:szCs w:val="24"/>
        </w:rPr>
        <w:t xml:space="preserve">currently </w:t>
      </w:r>
      <w:r w:rsidRPr="00D276EB">
        <w:rPr>
          <w:sz w:val="24"/>
          <w:szCs w:val="24"/>
        </w:rPr>
        <w:t>comprises 20-25% of the total</w:t>
      </w:r>
      <w:r w:rsidR="006D3413">
        <w:rPr>
          <w:sz w:val="24"/>
          <w:szCs w:val="24"/>
        </w:rPr>
        <w:t>.)</w:t>
      </w:r>
      <w:r w:rsidRPr="00D276EB">
        <w:rPr>
          <w:sz w:val="24"/>
          <w:szCs w:val="24"/>
        </w:rPr>
        <w:t xml:space="preserve"> </w:t>
      </w:r>
      <w:r w:rsidR="006D3413">
        <w:rPr>
          <w:sz w:val="24"/>
          <w:szCs w:val="24"/>
        </w:rPr>
        <w:t>A</w:t>
      </w:r>
      <w:r w:rsidRPr="00D276EB">
        <w:rPr>
          <w:sz w:val="24"/>
          <w:szCs w:val="24"/>
        </w:rPr>
        <w:t xml:space="preserve">fter an initial surge of 30.5%, growth projections are modest, less than 1% as Table </w:t>
      </w:r>
      <w:r w:rsidR="00401553">
        <w:rPr>
          <w:sz w:val="24"/>
          <w:szCs w:val="24"/>
        </w:rPr>
        <w:t>6</w:t>
      </w:r>
      <w:r w:rsidRPr="00D276EB">
        <w:rPr>
          <w:sz w:val="24"/>
          <w:szCs w:val="24"/>
        </w:rPr>
        <w:t xml:space="preserve"> shows.</w:t>
      </w:r>
      <w:r w:rsidR="00876E83">
        <w:rPr>
          <w:sz w:val="24"/>
          <w:szCs w:val="24"/>
        </w:rPr>
        <w:t xml:space="preserve"> </w:t>
      </w:r>
      <w:r w:rsidR="00D8149F">
        <w:rPr>
          <w:sz w:val="24"/>
          <w:szCs w:val="24"/>
        </w:rPr>
        <w:t xml:space="preserve"> </w:t>
      </w:r>
      <w:r w:rsidR="008A2FBF" w:rsidRPr="008A2FBF">
        <w:rPr>
          <w:rFonts w:ascii="Calibri" w:eastAsia="Calibri" w:hAnsi="Calibri" w:cs="Calibri"/>
          <w:sz w:val="24"/>
          <w:szCs w:val="24"/>
        </w:rPr>
        <w:t xml:space="preserve">The Year 1 </w:t>
      </w:r>
      <w:r w:rsidR="00C1471E" w:rsidRPr="006D3413">
        <w:rPr>
          <w:rFonts w:ascii="Calibri" w:eastAsia="Calibri" w:hAnsi="Calibri" w:cs="Calibri"/>
          <w:sz w:val="24"/>
          <w:szCs w:val="24"/>
        </w:rPr>
        <w:t xml:space="preserve">growth </w:t>
      </w:r>
      <w:r w:rsidR="008A2FBF" w:rsidRPr="008A2FBF">
        <w:rPr>
          <w:rFonts w:ascii="Calibri" w:eastAsia="Calibri" w:hAnsi="Calibri" w:cs="Calibri"/>
          <w:sz w:val="24"/>
          <w:szCs w:val="24"/>
        </w:rPr>
        <w:t>is projected to occur</w:t>
      </w:r>
      <w:r w:rsidR="000A7503">
        <w:rPr>
          <w:rFonts w:ascii="Calibri" w:eastAsia="Calibri" w:hAnsi="Calibri" w:cs="Calibri"/>
          <w:sz w:val="24"/>
          <w:szCs w:val="24"/>
        </w:rPr>
        <w:t xml:space="preserve"> for two main reasons</w:t>
      </w:r>
      <w:r w:rsidR="005576CB">
        <w:rPr>
          <w:rFonts w:ascii="Calibri" w:eastAsia="Calibri" w:hAnsi="Calibri" w:cs="Calibri"/>
          <w:sz w:val="24"/>
          <w:szCs w:val="24"/>
        </w:rPr>
        <w:t xml:space="preserve">: </w:t>
      </w:r>
      <w:r w:rsidR="008A2FBF" w:rsidRPr="008A2FBF">
        <w:rPr>
          <w:rFonts w:ascii="Calibri" w:eastAsia="Calibri" w:hAnsi="Calibri" w:cs="Calibri"/>
          <w:sz w:val="24"/>
          <w:szCs w:val="24"/>
        </w:rPr>
        <w:t xml:space="preserve"> </w:t>
      </w:r>
      <w:r w:rsidR="005576CB">
        <w:rPr>
          <w:rFonts w:ascii="Calibri" w:eastAsia="Calibri" w:hAnsi="Calibri" w:cs="Calibri"/>
          <w:sz w:val="24"/>
          <w:szCs w:val="24"/>
        </w:rPr>
        <w:t xml:space="preserve">1) </w:t>
      </w:r>
      <w:r w:rsidR="00C1471E" w:rsidRPr="006D3413">
        <w:rPr>
          <w:rFonts w:ascii="Calibri" w:eastAsia="Calibri" w:hAnsi="Calibri" w:cs="Calibri"/>
          <w:sz w:val="24"/>
          <w:szCs w:val="24"/>
        </w:rPr>
        <w:t xml:space="preserve">the </w:t>
      </w:r>
      <w:r w:rsidR="00DD2BBB" w:rsidRPr="006D3413">
        <w:rPr>
          <w:rFonts w:ascii="Calibri" w:eastAsia="Calibri" w:hAnsi="Calibri" w:cs="Calibri"/>
          <w:sz w:val="24"/>
          <w:szCs w:val="24"/>
        </w:rPr>
        <w:t xml:space="preserve">initial </w:t>
      </w:r>
      <w:r w:rsidR="008A2FBF" w:rsidRPr="008A2FBF">
        <w:rPr>
          <w:rFonts w:ascii="Calibri" w:eastAsia="Calibri" w:hAnsi="Calibri" w:cs="Calibri"/>
          <w:sz w:val="24"/>
          <w:szCs w:val="24"/>
        </w:rPr>
        <w:t xml:space="preserve">scheduling backlog </w:t>
      </w:r>
      <w:r w:rsidR="005576CB">
        <w:rPr>
          <w:rFonts w:ascii="Calibri" w:eastAsia="Calibri" w:hAnsi="Calibri" w:cs="Calibri"/>
          <w:sz w:val="24"/>
          <w:szCs w:val="24"/>
        </w:rPr>
        <w:t xml:space="preserve">will be </w:t>
      </w:r>
      <w:r w:rsidR="00C043D7">
        <w:rPr>
          <w:rFonts w:ascii="Calibri" w:eastAsia="Calibri" w:hAnsi="Calibri" w:cs="Calibri"/>
          <w:sz w:val="24"/>
          <w:szCs w:val="24"/>
        </w:rPr>
        <w:t xml:space="preserve">addressed </w:t>
      </w:r>
      <w:r w:rsidR="00DD2BBB" w:rsidRPr="006D3413">
        <w:rPr>
          <w:rFonts w:ascii="Calibri" w:eastAsia="Calibri" w:hAnsi="Calibri" w:cs="Calibri"/>
          <w:sz w:val="24"/>
          <w:szCs w:val="24"/>
        </w:rPr>
        <w:t xml:space="preserve">and </w:t>
      </w:r>
      <w:r w:rsidR="005576CB">
        <w:rPr>
          <w:rFonts w:ascii="Calibri" w:eastAsia="Calibri" w:hAnsi="Calibri" w:cs="Calibri"/>
          <w:sz w:val="24"/>
          <w:szCs w:val="24"/>
        </w:rPr>
        <w:t xml:space="preserve">2) </w:t>
      </w:r>
      <w:r w:rsidR="008A2FBF" w:rsidRPr="008A2FBF">
        <w:rPr>
          <w:rFonts w:ascii="Calibri" w:eastAsia="Calibri" w:hAnsi="Calibri" w:cs="Calibri"/>
          <w:sz w:val="24"/>
          <w:szCs w:val="24"/>
        </w:rPr>
        <w:t xml:space="preserve">patients that may be leaving the </w:t>
      </w:r>
      <w:r w:rsidR="00DD2BBB" w:rsidRPr="006D3413">
        <w:rPr>
          <w:rFonts w:ascii="Calibri" w:eastAsia="Calibri" w:hAnsi="Calibri" w:cs="Calibri"/>
          <w:sz w:val="24"/>
          <w:szCs w:val="24"/>
        </w:rPr>
        <w:t xml:space="preserve">region </w:t>
      </w:r>
      <w:r w:rsidR="005576CB">
        <w:rPr>
          <w:rFonts w:ascii="Calibri" w:eastAsia="Calibri" w:hAnsi="Calibri" w:cs="Calibri"/>
          <w:sz w:val="24"/>
          <w:szCs w:val="24"/>
        </w:rPr>
        <w:t xml:space="preserve">will </w:t>
      </w:r>
      <w:r w:rsidR="00FD5BDB">
        <w:rPr>
          <w:rFonts w:ascii="Calibri" w:eastAsia="Calibri" w:hAnsi="Calibri" w:cs="Calibri"/>
          <w:sz w:val="24"/>
          <w:szCs w:val="24"/>
        </w:rPr>
        <w:t>be able to receive their need</w:t>
      </w:r>
      <w:r w:rsidR="00C043D7">
        <w:rPr>
          <w:rFonts w:ascii="Calibri" w:eastAsia="Calibri" w:hAnsi="Calibri" w:cs="Calibri"/>
          <w:sz w:val="24"/>
          <w:szCs w:val="24"/>
        </w:rPr>
        <w:t xml:space="preserve">ed </w:t>
      </w:r>
      <w:r w:rsidR="00FD5BDB">
        <w:rPr>
          <w:rFonts w:ascii="Calibri" w:eastAsia="Calibri" w:hAnsi="Calibri" w:cs="Calibri"/>
          <w:sz w:val="24"/>
          <w:szCs w:val="24"/>
        </w:rPr>
        <w:t>scans in a timely manner at CDH</w:t>
      </w:r>
      <w:r w:rsidR="008A2FBF" w:rsidRPr="008A2FBF">
        <w:rPr>
          <w:rFonts w:ascii="Calibri" w:eastAsia="Calibri" w:hAnsi="Calibri" w:cs="Calibri"/>
          <w:sz w:val="24"/>
          <w:szCs w:val="24"/>
        </w:rPr>
        <w:t xml:space="preserve">. </w:t>
      </w:r>
      <w:r w:rsidR="008844EF">
        <w:rPr>
          <w:rFonts w:ascii="Calibri" w:eastAsia="Calibri" w:hAnsi="Calibri" w:cs="Calibri"/>
          <w:sz w:val="24"/>
          <w:szCs w:val="24"/>
        </w:rPr>
        <w:t xml:space="preserve">Following staff inquiry the Applicant </w:t>
      </w:r>
      <w:r w:rsidR="00695633">
        <w:rPr>
          <w:rFonts w:ascii="Calibri" w:eastAsia="Calibri" w:hAnsi="Calibri" w:cs="Calibri"/>
          <w:sz w:val="24"/>
          <w:szCs w:val="24"/>
        </w:rPr>
        <w:t>states that i</w:t>
      </w:r>
      <w:r w:rsidR="008844EF">
        <w:t xml:space="preserve">n FY2022, 1,077 </w:t>
      </w:r>
      <w:r w:rsidR="00695633">
        <w:t xml:space="preserve">Cooley </w:t>
      </w:r>
      <w:r w:rsidR="008844EF">
        <w:t xml:space="preserve">patients residing </w:t>
      </w:r>
      <w:r w:rsidR="00695633">
        <w:t xml:space="preserve">its </w:t>
      </w:r>
      <w:r w:rsidR="008844EF">
        <w:t>service area sought CT services at another MGB facility.</w:t>
      </w:r>
    </w:p>
    <w:p w14:paraId="355BC29D" w14:textId="77777777" w:rsidR="00695633" w:rsidRDefault="00695633" w:rsidP="008A2FBF">
      <w:pPr>
        <w:spacing w:after="0" w:line="240" w:lineRule="auto"/>
        <w:rPr>
          <w:rFonts w:ascii="Calibri" w:eastAsia="Calibri" w:hAnsi="Calibri" w:cs="Calibri"/>
          <w:sz w:val="24"/>
          <w:szCs w:val="24"/>
        </w:rPr>
      </w:pPr>
    </w:p>
    <w:p w14:paraId="31976961" w14:textId="2F3A8E74" w:rsidR="008A2FBF" w:rsidRPr="008A2FBF" w:rsidRDefault="008A2FBF" w:rsidP="008A2FBF">
      <w:pPr>
        <w:spacing w:after="0" w:line="240" w:lineRule="auto"/>
        <w:rPr>
          <w:rFonts w:ascii="Calibri" w:eastAsia="Calibri" w:hAnsi="Calibri" w:cs="Calibri"/>
          <w:sz w:val="24"/>
          <w:szCs w:val="24"/>
        </w:rPr>
      </w:pPr>
      <w:r w:rsidRPr="008A2FBF">
        <w:rPr>
          <w:rFonts w:ascii="Calibri" w:eastAsia="Calibri" w:hAnsi="Calibri" w:cs="Calibri"/>
          <w:sz w:val="24"/>
          <w:szCs w:val="24"/>
        </w:rPr>
        <w:t>After Year 1, growth is projected to fall in</w:t>
      </w:r>
      <w:r w:rsidR="00C043D7">
        <w:rPr>
          <w:rFonts w:ascii="Calibri" w:eastAsia="Calibri" w:hAnsi="Calibri" w:cs="Calibri"/>
          <w:sz w:val="24"/>
          <w:szCs w:val="24"/>
        </w:rPr>
        <w:t>to</w:t>
      </w:r>
      <w:r w:rsidRPr="008A2FBF">
        <w:rPr>
          <w:rFonts w:ascii="Calibri" w:eastAsia="Calibri" w:hAnsi="Calibri" w:cs="Calibri"/>
          <w:sz w:val="24"/>
          <w:szCs w:val="24"/>
        </w:rPr>
        <w:t xml:space="preserve"> alignment with</w:t>
      </w:r>
      <w:r w:rsidR="00B1595F">
        <w:rPr>
          <w:rFonts w:ascii="Calibri" w:eastAsia="Calibri" w:hAnsi="Calibri" w:cs="Calibri"/>
          <w:sz w:val="24"/>
          <w:szCs w:val="24"/>
        </w:rPr>
        <w:t xml:space="preserve"> long-term</w:t>
      </w:r>
      <w:r w:rsidRPr="008A2FBF">
        <w:rPr>
          <w:rFonts w:ascii="Calibri" w:eastAsia="Calibri" w:hAnsi="Calibri" w:cs="Calibri"/>
          <w:sz w:val="24"/>
          <w:szCs w:val="24"/>
        </w:rPr>
        <w:t xml:space="preserve"> demographic trends</w:t>
      </w:r>
      <w:r w:rsidR="00D11AC1">
        <w:rPr>
          <w:rFonts w:ascii="Calibri" w:eastAsia="Calibri" w:hAnsi="Calibri" w:cs="Calibri"/>
          <w:sz w:val="24"/>
          <w:szCs w:val="24"/>
        </w:rPr>
        <w:t xml:space="preserve"> of approximately 1% per year.</w:t>
      </w:r>
    </w:p>
    <w:p w14:paraId="18B27CEA" w14:textId="77777777" w:rsidR="008A2FBF" w:rsidRPr="008A2FBF" w:rsidRDefault="008A2FBF" w:rsidP="008A2FBF">
      <w:pPr>
        <w:spacing w:after="0" w:line="240" w:lineRule="auto"/>
        <w:rPr>
          <w:rFonts w:ascii="Calibri" w:eastAsia="Calibri" w:hAnsi="Calibri" w:cs="Calibri"/>
        </w:rPr>
      </w:pPr>
    </w:p>
    <w:p w14:paraId="7616FFA7" w14:textId="6C061157" w:rsidR="00D276EB" w:rsidRDefault="00D276EB" w:rsidP="00D276EB">
      <w:pPr>
        <w:spacing w:after="0" w:line="240" w:lineRule="auto"/>
        <w:rPr>
          <w:b/>
          <w:bCs/>
          <w:i/>
          <w:iCs/>
          <w:sz w:val="24"/>
          <w:szCs w:val="24"/>
        </w:rPr>
      </w:pPr>
      <w:r w:rsidRPr="00D276EB">
        <w:rPr>
          <w:b/>
          <w:bCs/>
          <w:i/>
          <w:iCs/>
          <w:sz w:val="24"/>
          <w:szCs w:val="24"/>
        </w:rPr>
        <w:t>Analysis</w:t>
      </w:r>
      <w:r w:rsidR="00605968">
        <w:rPr>
          <w:b/>
          <w:bCs/>
          <w:i/>
          <w:iCs/>
          <w:sz w:val="24"/>
          <w:szCs w:val="24"/>
        </w:rPr>
        <w:t xml:space="preserve"> of Need</w:t>
      </w:r>
    </w:p>
    <w:p w14:paraId="3FD41C0F" w14:textId="77777777" w:rsidR="00282E2B" w:rsidRPr="00D276EB" w:rsidRDefault="00282E2B" w:rsidP="00D276EB">
      <w:pPr>
        <w:spacing w:after="0" w:line="240" w:lineRule="auto"/>
        <w:rPr>
          <w:b/>
          <w:bCs/>
          <w:i/>
          <w:iCs/>
          <w:sz w:val="24"/>
          <w:szCs w:val="24"/>
        </w:rPr>
      </w:pPr>
    </w:p>
    <w:p w14:paraId="6B5AB110" w14:textId="15738820" w:rsidR="00D276EB" w:rsidRDefault="00D276EB" w:rsidP="00D276EB">
      <w:pPr>
        <w:spacing w:after="0" w:line="240" w:lineRule="auto"/>
        <w:rPr>
          <w:sz w:val="24"/>
          <w:szCs w:val="24"/>
        </w:rPr>
      </w:pPr>
      <w:r w:rsidRPr="00D276EB">
        <w:rPr>
          <w:sz w:val="24"/>
          <w:szCs w:val="24"/>
        </w:rPr>
        <w:t xml:space="preserve">The Proposed Project will address current and future needs of the Patient Panel by increasing CT capacity at CDH. As discussed above, it is clear that over a third of all CT scans originate within the ED and thus it </w:t>
      </w:r>
      <w:r w:rsidR="008166FA">
        <w:rPr>
          <w:sz w:val="24"/>
          <w:szCs w:val="24"/>
        </w:rPr>
        <w:t xml:space="preserve">is reasonable </w:t>
      </w:r>
      <w:r w:rsidRPr="00D276EB">
        <w:rPr>
          <w:sz w:val="24"/>
          <w:szCs w:val="24"/>
        </w:rPr>
        <w:t xml:space="preserve">to locate a unit in that location; by eliminating the need to transport ED patients to CT in the radiology department, efficiencies and timely access will be gained. Having a CT unit embedded in the ED will allow the hospital to shift ED volume (over 26,000 scans) to the new unit. </w:t>
      </w:r>
    </w:p>
    <w:p w14:paraId="227578A7" w14:textId="77777777" w:rsidR="003A5696" w:rsidRPr="00D276EB" w:rsidRDefault="003A5696" w:rsidP="00D276EB">
      <w:pPr>
        <w:spacing w:after="0" w:line="240" w:lineRule="auto"/>
        <w:rPr>
          <w:sz w:val="24"/>
          <w:szCs w:val="24"/>
        </w:rPr>
      </w:pPr>
    </w:p>
    <w:p w14:paraId="0034202C" w14:textId="4033FA7B" w:rsidR="0023423D" w:rsidRDefault="00D276EB" w:rsidP="00D276EB">
      <w:pPr>
        <w:spacing w:after="0" w:line="240" w:lineRule="auto"/>
        <w:rPr>
          <w:sz w:val="24"/>
          <w:szCs w:val="24"/>
        </w:rPr>
      </w:pPr>
      <w:r w:rsidRPr="00D276EB">
        <w:rPr>
          <w:sz w:val="24"/>
          <w:szCs w:val="24"/>
        </w:rPr>
        <w:t>A third unit will provide capacity to accommodate non-emergent patients</w:t>
      </w:r>
      <w:r w:rsidR="008166FA">
        <w:rPr>
          <w:sz w:val="24"/>
          <w:szCs w:val="24"/>
        </w:rPr>
        <w:t>,</w:t>
      </w:r>
      <w:r w:rsidRPr="00D276EB">
        <w:rPr>
          <w:sz w:val="24"/>
          <w:szCs w:val="24"/>
        </w:rPr>
        <w:t xml:space="preserve"> </w:t>
      </w:r>
      <w:r w:rsidR="008166FA">
        <w:rPr>
          <w:sz w:val="24"/>
          <w:szCs w:val="24"/>
        </w:rPr>
        <w:t xml:space="preserve">thereby </w:t>
      </w:r>
      <w:r w:rsidRPr="00D276EB">
        <w:rPr>
          <w:sz w:val="24"/>
          <w:szCs w:val="24"/>
        </w:rPr>
        <w:t>minimizing disruptions</w:t>
      </w:r>
      <w:r w:rsidR="00C72009">
        <w:rPr>
          <w:sz w:val="24"/>
          <w:szCs w:val="24"/>
        </w:rPr>
        <w:t xml:space="preserve"> in care delivery, provide </w:t>
      </w:r>
      <w:r w:rsidRPr="00D276EB">
        <w:rPr>
          <w:sz w:val="24"/>
          <w:szCs w:val="24"/>
        </w:rPr>
        <w:t>timely</w:t>
      </w:r>
      <w:r w:rsidR="00C72009">
        <w:rPr>
          <w:sz w:val="24"/>
          <w:szCs w:val="24"/>
        </w:rPr>
        <w:t xml:space="preserve"> appointment</w:t>
      </w:r>
      <w:r w:rsidRPr="00D276EB">
        <w:rPr>
          <w:sz w:val="24"/>
          <w:szCs w:val="24"/>
        </w:rPr>
        <w:t xml:space="preserve"> access to CT </w:t>
      </w:r>
      <w:r w:rsidR="00535187">
        <w:rPr>
          <w:sz w:val="24"/>
          <w:szCs w:val="24"/>
        </w:rPr>
        <w:t xml:space="preserve">and reduce </w:t>
      </w:r>
      <w:r w:rsidR="00535187" w:rsidRPr="00535187">
        <w:rPr>
          <w:sz w:val="24"/>
          <w:szCs w:val="24"/>
        </w:rPr>
        <w:t>travel time out of the service are</w:t>
      </w:r>
      <w:r w:rsidR="00535187">
        <w:rPr>
          <w:sz w:val="24"/>
          <w:szCs w:val="24"/>
        </w:rPr>
        <w:t>a,</w:t>
      </w:r>
      <w:r w:rsidR="00535187" w:rsidRPr="00535187">
        <w:rPr>
          <w:sz w:val="24"/>
          <w:szCs w:val="24"/>
        </w:rPr>
        <w:t xml:space="preserve"> </w:t>
      </w:r>
      <w:r w:rsidRPr="00D276EB">
        <w:rPr>
          <w:sz w:val="24"/>
          <w:szCs w:val="24"/>
        </w:rPr>
        <w:t>for outpatients</w:t>
      </w:r>
      <w:r w:rsidR="00C72009">
        <w:rPr>
          <w:sz w:val="24"/>
          <w:szCs w:val="24"/>
        </w:rPr>
        <w:t>;</w:t>
      </w:r>
      <w:r w:rsidRPr="00D276EB">
        <w:rPr>
          <w:sz w:val="24"/>
          <w:szCs w:val="24"/>
        </w:rPr>
        <w:t xml:space="preserve"> and for inpatients, </w:t>
      </w:r>
      <w:r w:rsidR="00535187">
        <w:rPr>
          <w:sz w:val="24"/>
          <w:szCs w:val="24"/>
        </w:rPr>
        <w:t xml:space="preserve">it will </w:t>
      </w:r>
      <w:r w:rsidRPr="00D276EB">
        <w:rPr>
          <w:sz w:val="24"/>
          <w:szCs w:val="24"/>
        </w:rPr>
        <w:t xml:space="preserve">potentially </w:t>
      </w:r>
      <w:proofErr w:type="gramStart"/>
      <w:r w:rsidRPr="00D276EB">
        <w:rPr>
          <w:sz w:val="24"/>
          <w:szCs w:val="24"/>
        </w:rPr>
        <w:t>reducing</w:t>
      </w:r>
      <w:proofErr w:type="gramEnd"/>
      <w:r w:rsidRPr="00D276EB">
        <w:rPr>
          <w:sz w:val="24"/>
          <w:szCs w:val="24"/>
        </w:rPr>
        <w:t xml:space="preserve"> lengths of stay </w:t>
      </w:r>
      <w:r w:rsidR="00535187">
        <w:rPr>
          <w:sz w:val="24"/>
          <w:szCs w:val="24"/>
        </w:rPr>
        <w:t xml:space="preserve">by providing </w:t>
      </w:r>
      <w:r w:rsidRPr="00D276EB">
        <w:rPr>
          <w:sz w:val="24"/>
          <w:szCs w:val="24"/>
        </w:rPr>
        <w:t>earlier diagnosis and treatment. It will also create capacity for LDCT</w:t>
      </w:r>
      <w:r w:rsidR="0081713B">
        <w:rPr>
          <w:sz w:val="24"/>
          <w:szCs w:val="24"/>
        </w:rPr>
        <w:t xml:space="preserve">, </w:t>
      </w:r>
      <w:r w:rsidR="008166FA">
        <w:rPr>
          <w:sz w:val="24"/>
          <w:szCs w:val="24"/>
        </w:rPr>
        <w:t>C</w:t>
      </w:r>
      <w:r w:rsidRPr="00D276EB">
        <w:rPr>
          <w:sz w:val="24"/>
          <w:szCs w:val="24"/>
        </w:rPr>
        <w:t>CTA and</w:t>
      </w:r>
      <w:r w:rsidR="003B2FD6">
        <w:rPr>
          <w:sz w:val="24"/>
          <w:szCs w:val="24"/>
        </w:rPr>
        <w:t xml:space="preserve"> CT-</w:t>
      </w:r>
      <w:r w:rsidR="008166FA">
        <w:rPr>
          <w:sz w:val="24"/>
          <w:szCs w:val="24"/>
        </w:rPr>
        <w:t xml:space="preserve">IR </w:t>
      </w:r>
      <w:r w:rsidRPr="00D276EB">
        <w:rPr>
          <w:sz w:val="24"/>
          <w:szCs w:val="24"/>
        </w:rPr>
        <w:t>procedures.</w:t>
      </w:r>
      <w:r w:rsidR="0023423D">
        <w:rPr>
          <w:sz w:val="24"/>
          <w:szCs w:val="24"/>
        </w:rPr>
        <w:t xml:space="preserve"> Upon </w:t>
      </w:r>
      <w:r w:rsidR="007A1DA1">
        <w:rPr>
          <w:sz w:val="24"/>
          <w:szCs w:val="24"/>
        </w:rPr>
        <w:t>s</w:t>
      </w:r>
      <w:r w:rsidR="0023423D">
        <w:rPr>
          <w:sz w:val="24"/>
          <w:szCs w:val="24"/>
        </w:rPr>
        <w:t xml:space="preserve">taff inquiry, the Applicant provided assurances that there is a multidisciplinary team at CDH to provide follow-up diagnostics and treatment for patients who </w:t>
      </w:r>
      <w:r w:rsidR="0023423D">
        <w:rPr>
          <w:sz w:val="24"/>
          <w:szCs w:val="24"/>
        </w:rPr>
        <w:lastRenderedPageBreak/>
        <w:t>screen positive for abnormalities detected and</w:t>
      </w:r>
      <w:r w:rsidR="00953865">
        <w:rPr>
          <w:sz w:val="24"/>
          <w:szCs w:val="24"/>
        </w:rPr>
        <w:t>,</w:t>
      </w:r>
      <w:r w:rsidR="0023423D">
        <w:rPr>
          <w:sz w:val="24"/>
          <w:szCs w:val="24"/>
        </w:rPr>
        <w:t xml:space="preserve"> the ability to refer </w:t>
      </w:r>
      <w:r w:rsidR="00953865">
        <w:rPr>
          <w:sz w:val="24"/>
          <w:szCs w:val="24"/>
        </w:rPr>
        <w:t xml:space="preserve">higher acuity patients </w:t>
      </w:r>
      <w:r w:rsidR="0023423D">
        <w:rPr>
          <w:sz w:val="24"/>
          <w:szCs w:val="24"/>
        </w:rPr>
        <w:t xml:space="preserve">to an AMC. </w:t>
      </w:r>
    </w:p>
    <w:p w14:paraId="4B1F9796" w14:textId="77777777" w:rsidR="0023423D" w:rsidRDefault="0023423D" w:rsidP="00D276EB">
      <w:pPr>
        <w:spacing w:after="0" w:line="240" w:lineRule="auto"/>
        <w:rPr>
          <w:sz w:val="24"/>
          <w:szCs w:val="24"/>
        </w:rPr>
      </w:pPr>
    </w:p>
    <w:p w14:paraId="655D222E" w14:textId="60D4FA18" w:rsidR="00D276EB" w:rsidRPr="00D276EB" w:rsidRDefault="00D276EB" w:rsidP="00D276EB">
      <w:pPr>
        <w:spacing w:after="0" w:line="240" w:lineRule="auto"/>
        <w:rPr>
          <w:sz w:val="24"/>
          <w:szCs w:val="24"/>
        </w:rPr>
      </w:pPr>
      <w:r w:rsidRPr="00D276EB">
        <w:rPr>
          <w:sz w:val="24"/>
          <w:szCs w:val="24"/>
        </w:rPr>
        <w:t xml:space="preserve">Therefore, the Proposed Project </w:t>
      </w:r>
      <w:r w:rsidR="003478E4">
        <w:rPr>
          <w:sz w:val="24"/>
          <w:szCs w:val="24"/>
        </w:rPr>
        <w:t>should</w:t>
      </w:r>
      <w:r w:rsidRPr="00D276EB">
        <w:rPr>
          <w:sz w:val="24"/>
          <w:szCs w:val="24"/>
        </w:rPr>
        <w:t xml:space="preserve"> improve access to care, and improve the patient experience.</w:t>
      </w:r>
      <w:r w:rsidR="002B697A">
        <w:rPr>
          <w:sz w:val="24"/>
          <w:szCs w:val="24"/>
        </w:rPr>
        <w:t xml:space="preserve"> </w:t>
      </w:r>
      <w:r w:rsidRPr="00D276EB">
        <w:rPr>
          <w:sz w:val="24"/>
          <w:szCs w:val="24"/>
        </w:rPr>
        <w:t>CCTA has become a gatekeeper to the catheterization laboratory as a negative CCTA of sufficient quality virtually rules out obstructive CAD and significantly reduces unnecessary invasive procedures.</w:t>
      </w:r>
      <w:r w:rsidRPr="00D276EB">
        <w:rPr>
          <w:sz w:val="24"/>
          <w:szCs w:val="24"/>
          <w:vertAlign w:val="superscript"/>
        </w:rPr>
        <w:endnoteReference w:id="6"/>
      </w:r>
      <w:r w:rsidRPr="00D276EB">
        <w:rPr>
          <w:sz w:val="24"/>
          <w:szCs w:val="24"/>
        </w:rPr>
        <w:t xml:space="preserve"> </w:t>
      </w:r>
    </w:p>
    <w:p w14:paraId="55B52D9C" w14:textId="67012AD7" w:rsidR="003E1CDA" w:rsidRDefault="007D6615" w:rsidP="002B05B4">
      <w:pPr>
        <w:pStyle w:val="Heading1"/>
      </w:pPr>
      <w:bookmarkStart w:id="7" w:name="_Toc144121530"/>
      <w:r>
        <w:t>F</w:t>
      </w:r>
      <w:r w:rsidR="003E1CDA" w:rsidRPr="003E1CDA">
        <w:t>actor 1: b) Public Health Value</w:t>
      </w:r>
      <w:r w:rsidR="006F12E9">
        <w:t xml:space="preserve"> through</w:t>
      </w:r>
      <w:r w:rsidR="003E1CDA" w:rsidRPr="003E1CDA">
        <w:t xml:space="preserve"> Improved Health Outcomes </w:t>
      </w:r>
      <w:r w:rsidR="007D602B" w:rsidRPr="003E1CDA">
        <w:t>and</w:t>
      </w:r>
      <w:r w:rsidR="003E1CDA" w:rsidRPr="003E1CDA">
        <w:t xml:space="preserve"> Quality Of Life; Assurances Of Health Equity</w:t>
      </w:r>
      <w:bookmarkEnd w:id="7"/>
    </w:p>
    <w:p w14:paraId="4A8C41CF" w14:textId="77777777" w:rsidR="005259F8" w:rsidRPr="005259F8" w:rsidRDefault="005259F8" w:rsidP="003D35D8">
      <w:pPr>
        <w:spacing w:before="240"/>
        <w:rPr>
          <w:sz w:val="24"/>
          <w:szCs w:val="24"/>
        </w:rPr>
      </w:pPr>
      <w:r w:rsidRPr="005259F8">
        <w:rPr>
          <w:b/>
          <w:bCs/>
          <w:sz w:val="24"/>
          <w:szCs w:val="24"/>
        </w:rPr>
        <w:t>Improved health outcomes and quality of life</w:t>
      </w:r>
      <w:r w:rsidRPr="005259F8">
        <w:rPr>
          <w:sz w:val="24"/>
          <w:szCs w:val="24"/>
        </w:rPr>
        <w:t xml:space="preserve">. </w:t>
      </w:r>
    </w:p>
    <w:p w14:paraId="486DF770" w14:textId="77777777" w:rsidR="00D30E62" w:rsidRDefault="006F12E9" w:rsidP="003A5696">
      <w:pPr>
        <w:spacing w:line="240" w:lineRule="auto"/>
        <w:rPr>
          <w:bCs/>
          <w:sz w:val="24"/>
          <w:szCs w:val="24"/>
        </w:rPr>
      </w:pPr>
      <w:r w:rsidRPr="006F12E9">
        <w:rPr>
          <w:bCs/>
          <w:sz w:val="24"/>
          <w:szCs w:val="24"/>
        </w:rPr>
        <w:t>The use of diagnostic imaging in the United States, including CT, has increased due to advancements in technology (e.g., improvements in techniques, resolution, and acquisition time), expansion of clinical applications (including those to diagnose and treat age-related conditions), and patient and physician generated need/demand.</w:t>
      </w:r>
      <w:r w:rsidRPr="006F12E9">
        <w:rPr>
          <w:bCs/>
          <w:sz w:val="24"/>
          <w:szCs w:val="24"/>
          <w:vertAlign w:val="superscript"/>
        </w:rPr>
        <w:t xml:space="preserve"> </w:t>
      </w:r>
      <w:r w:rsidRPr="006F12E9">
        <w:rPr>
          <w:bCs/>
          <w:sz w:val="24"/>
          <w:szCs w:val="24"/>
          <w:vertAlign w:val="superscript"/>
        </w:rPr>
        <w:endnoteReference w:id="7"/>
      </w:r>
      <w:r w:rsidRPr="006F12E9">
        <w:rPr>
          <w:bCs/>
          <w:sz w:val="24"/>
          <w:szCs w:val="24"/>
          <w:vertAlign w:val="superscript"/>
        </w:rPr>
        <w:t xml:space="preserve">, </w:t>
      </w:r>
      <w:r w:rsidRPr="006F12E9">
        <w:rPr>
          <w:bCs/>
          <w:sz w:val="24"/>
          <w:szCs w:val="24"/>
          <w:vertAlign w:val="superscript"/>
        </w:rPr>
        <w:endnoteReference w:id="8"/>
      </w:r>
      <w:r w:rsidRPr="006F12E9">
        <w:rPr>
          <w:bCs/>
          <w:sz w:val="24"/>
          <w:szCs w:val="24"/>
        </w:rPr>
        <w:t xml:space="preserve">  </w:t>
      </w:r>
    </w:p>
    <w:p w14:paraId="229BF711" w14:textId="2E5E9279" w:rsidR="006F12E9" w:rsidRPr="006F12E9" w:rsidRDefault="00D30E62" w:rsidP="003A5696">
      <w:pPr>
        <w:spacing w:line="240" w:lineRule="auto"/>
        <w:rPr>
          <w:bCs/>
          <w:sz w:val="24"/>
          <w:szCs w:val="24"/>
        </w:rPr>
      </w:pPr>
      <w:r w:rsidRPr="00D30E62">
        <w:rPr>
          <w:bCs/>
          <w:sz w:val="24"/>
          <w:szCs w:val="24"/>
        </w:rPr>
        <w:t>The Applicant cites evidence-based literature regarding the efficacy and utility of CT technology as an essential component of care: it relies on this to maintain that elective and emergency CT imaging leads to improved public health outcomes and quality of life.</w:t>
      </w:r>
      <w:r>
        <w:rPr>
          <w:bCs/>
          <w:sz w:val="24"/>
          <w:szCs w:val="24"/>
        </w:rPr>
        <w:t xml:space="preserve"> </w:t>
      </w:r>
      <w:r w:rsidR="006F12E9" w:rsidRPr="006F12E9">
        <w:rPr>
          <w:bCs/>
          <w:sz w:val="24"/>
          <w:szCs w:val="24"/>
        </w:rPr>
        <w:t xml:space="preserve">The development and improvement in advanced diagnostic imaging technologies is widely credited with leading to improved patient outcomes, resulting from earlier and more accurate diagnoses of disease, using </w:t>
      </w:r>
      <w:r>
        <w:rPr>
          <w:bCs/>
          <w:sz w:val="24"/>
          <w:szCs w:val="24"/>
        </w:rPr>
        <w:t xml:space="preserve">less or </w:t>
      </w:r>
      <w:r w:rsidR="006F12E9" w:rsidRPr="006F12E9">
        <w:rPr>
          <w:bCs/>
          <w:sz w:val="24"/>
          <w:szCs w:val="24"/>
        </w:rPr>
        <w:t>non</w:t>
      </w:r>
      <w:r>
        <w:rPr>
          <w:bCs/>
          <w:sz w:val="24"/>
          <w:szCs w:val="24"/>
        </w:rPr>
        <w:t>-</w:t>
      </w:r>
      <w:r w:rsidR="006F12E9" w:rsidRPr="006F12E9">
        <w:rPr>
          <w:bCs/>
          <w:sz w:val="24"/>
          <w:szCs w:val="24"/>
        </w:rPr>
        <w:t>invasive techniques, and improved patient care processes.</w:t>
      </w:r>
      <w:r w:rsidR="006F12E9" w:rsidRPr="006F12E9">
        <w:rPr>
          <w:bCs/>
          <w:sz w:val="24"/>
          <w:szCs w:val="24"/>
          <w:vertAlign w:val="superscript"/>
        </w:rPr>
        <w:endnoteReference w:id="9"/>
      </w:r>
      <w:r w:rsidR="006F12E9" w:rsidRPr="006F12E9">
        <w:rPr>
          <w:bCs/>
          <w:sz w:val="24"/>
          <w:szCs w:val="24"/>
        </w:rPr>
        <w:t xml:space="preserve"> Many CT scans can be performed in minutes, which enables rapid detection and diagnosis of emergent conditions.</w:t>
      </w:r>
    </w:p>
    <w:p w14:paraId="54620045" w14:textId="2E2B2EB7" w:rsidR="006F12E9" w:rsidRPr="006F12E9" w:rsidRDefault="006F12E9" w:rsidP="003A5696">
      <w:pPr>
        <w:spacing w:line="240" w:lineRule="auto"/>
        <w:rPr>
          <w:sz w:val="24"/>
          <w:szCs w:val="24"/>
        </w:rPr>
      </w:pPr>
      <w:r w:rsidRPr="006F12E9">
        <w:rPr>
          <w:sz w:val="24"/>
          <w:szCs w:val="24"/>
        </w:rPr>
        <w:t>Since CT utilizes cross-sectional x-ray images to create 3D images of bones, blood vessels and soft tissue,</w:t>
      </w:r>
      <w:r w:rsidRPr="006F12E9">
        <w:rPr>
          <w:sz w:val="24"/>
          <w:szCs w:val="24"/>
          <w:vertAlign w:val="superscript"/>
        </w:rPr>
        <w:endnoteReference w:id="10"/>
      </w:r>
      <w:r w:rsidR="00D30E62">
        <w:rPr>
          <w:sz w:val="24"/>
          <w:szCs w:val="24"/>
        </w:rPr>
        <w:t>it</w:t>
      </w:r>
      <w:r w:rsidRPr="006F12E9">
        <w:rPr>
          <w:sz w:val="24"/>
          <w:szCs w:val="24"/>
        </w:rPr>
        <w:t xml:space="preserve"> is useful in detecting tumors or lesions within the abdomen and lungs; heart disease or abnormalities of the heart; head injuries, blood clots and embolisms.</w:t>
      </w:r>
      <w:r w:rsidRPr="006F12E9">
        <w:rPr>
          <w:sz w:val="24"/>
          <w:szCs w:val="24"/>
          <w:vertAlign w:val="superscript"/>
        </w:rPr>
        <w:endnoteReference w:id="11"/>
      </w:r>
      <w:r w:rsidRPr="006F12E9">
        <w:rPr>
          <w:sz w:val="24"/>
          <w:szCs w:val="24"/>
        </w:rPr>
        <w:t xml:space="preserve"> As a result, CT is a useful diagnostic tool detecting diseases and trauma; treatment planning and guiding procedures; and monitoring the effectiveness of select therapies.</w:t>
      </w:r>
      <w:r w:rsidRPr="006F12E9">
        <w:rPr>
          <w:sz w:val="24"/>
          <w:szCs w:val="24"/>
          <w:vertAlign w:val="superscript"/>
        </w:rPr>
        <w:endnoteReference w:id="12"/>
      </w:r>
      <w:r w:rsidRPr="006F12E9">
        <w:rPr>
          <w:sz w:val="24"/>
          <w:szCs w:val="24"/>
        </w:rPr>
        <w:t xml:space="preserve"> </w:t>
      </w:r>
    </w:p>
    <w:p w14:paraId="4EB140A4" w14:textId="68BF029D" w:rsidR="006F12E9" w:rsidRPr="006F12E9" w:rsidRDefault="006F12E9" w:rsidP="003A5696">
      <w:pPr>
        <w:spacing w:line="240" w:lineRule="auto"/>
        <w:rPr>
          <w:sz w:val="24"/>
          <w:szCs w:val="24"/>
        </w:rPr>
      </w:pPr>
      <w:r w:rsidRPr="006F12E9">
        <w:rPr>
          <w:sz w:val="24"/>
          <w:szCs w:val="24"/>
        </w:rPr>
        <w:t>CT imaging is essential to timely diagnose and to differentiate the type of stroke (Ischemic or Hemorrhagic)  that a patient is experiencing to enable timely appropriate treatment and to optimize the chance for positive patient outcomes.</w:t>
      </w:r>
      <w:r w:rsidRPr="006F12E9">
        <w:rPr>
          <w:sz w:val="24"/>
          <w:szCs w:val="24"/>
          <w:vertAlign w:val="superscript"/>
        </w:rPr>
        <w:endnoteReference w:id="13"/>
      </w:r>
      <w:r w:rsidRPr="006F12E9">
        <w:rPr>
          <w:sz w:val="24"/>
          <w:szCs w:val="24"/>
          <w:vertAlign w:val="superscript"/>
        </w:rPr>
        <w:t>,</w:t>
      </w:r>
      <w:r w:rsidRPr="006F12E9">
        <w:rPr>
          <w:sz w:val="24"/>
          <w:szCs w:val="24"/>
        </w:rPr>
        <w:t xml:space="preserve"> </w:t>
      </w:r>
      <w:r w:rsidRPr="006F12E9">
        <w:rPr>
          <w:sz w:val="24"/>
          <w:szCs w:val="24"/>
          <w:vertAlign w:val="superscript"/>
        </w:rPr>
        <w:endnoteReference w:id="14"/>
      </w:r>
      <w:r w:rsidRPr="006F12E9">
        <w:rPr>
          <w:sz w:val="24"/>
          <w:szCs w:val="24"/>
        </w:rPr>
        <w:t xml:space="preserve"> Additionally, the detailed images produced by the CT scan can rule out other brain abnormalities.</w:t>
      </w:r>
      <w:r w:rsidRPr="006F12E9">
        <w:rPr>
          <w:sz w:val="24"/>
          <w:szCs w:val="24"/>
          <w:vertAlign w:val="superscript"/>
        </w:rPr>
        <w:endnoteReference w:id="15"/>
      </w:r>
      <w:r w:rsidRPr="006F12E9">
        <w:rPr>
          <w:sz w:val="24"/>
          <w:szCs w:val="24"/>
        </w:rPr>
        <w:t xml:space="preserve"> According to the Massachusetts Department of Health’s Time Target Recommendations and the American Heart Association/American Stroke Association’s “Get With the Guidelines – Stroke”, CT imaging should be completed within 25 minutes of arrival </w:t>
      </w:r>
      <w:r w:rsidR="002E433B">
        <w:rPr>
          <w:sz w:val="24"/>
          <w:szCs w:val="24"/>
        </w:rPr>
        <w:t>a</w:t>
      </w:r>
      <w:r w:rsidRPr="006F12E9">
        <w:rPr>
          <w:sz w:val="24"/>
          <w:szCs w:val="24"/>
        </w:rPr>
        <w:t>t the hospital, and IV thrombolytic (“tPA”) treatment should begin within one hour of patient arrival when indicated for Ischemic stroke.</w:t>
      </w:r>
      <w:r w:rsidRPr="006F12E9">
        <w:rPr>
          <w:sz w:val="24"/>
          <w:szCs w:val="24"/>
          <w:vertAlign w:val="superscript"/>
        </w:rPr>
        <w:endnoteReference w:id="16"/>
      </w:r>
      <w:r w:rsidRPr="006F12E9">
        <w:rPr>
          <w:sz w:val="24"/>
          <w:szCs w:val="24"/>
        </w:rPr>
        <w:t xml:space="preserve"> As discussed above, CDH meets these guidelines over 80% of the time.</w:t>
      </w:r>
    </w:p>
    <w:p w14:paraId="6C4400A3" w14:textId="137FBE1D" w:rsidR="0090069E" w:rsidRPr="006F12E9" w:rsidRDefault="006F12E9" w:rsidP="003A5696">
      <w:pPr>
        <w:spacing w:line="240" w:lineRule="auto"/>
        <w:rPr>
          <w:sz w:val="24"/>
          <w:szCs w:val="24"/>
        </w:rPr>
      </w:pPr>
      <w:r w:rsidRPr="006F12E9">
        <w:rPr>
          <w:bCs/>
          <w:sz w:val="24"/>
          <w:szCs w:val="24"/>
        </w:rPr>
        <w:t>CT-</w:t>
      </w:r>
      <w:r w:rsidR="0090069E">
        <w:rPr>
          <w:bCs/>
          <w:sz w:val="24"/>
          <w:szCs w:val="24"/>
        </w:rPr>
        <w:t xml:space="preserve">IR </w:t>
      </w:r>
      <w:r w:rsidRPr="006F12E9">
        <w:rPr>
          <w:bCs/>
          <w:sz w:val="24"/>
          <w:szCs w:val="24"/>
        </w:rPr>
        <w:t xml:space="preserve">is used to perform </w:t>
      </w:r>
      <w:r w:rsidR="003B2FD6">
        <w:rPr>
          <w:bCs/>
          <w:sz w:val="24"/>
          <w:szCs w:val="24"/>
        </w:rPr>
        <w:t xml:space="preserve">both </w:t>
      </w:r>
      <w:r w:rsidRPr="006F12E9">
        <w:rPr>
          <w:bCs/>
          <w:sz w:val="24"/>
          <w:szCs w:val="24"/>
        </w:rPr>
        <w:t>diagnostic and therapeutic medical procedures for neurological conditions, cancer, heart disease, spinal problems, and vascular disease, among others.</w:t>
      </w:r>
      <w:r w:rsidRPr="006F12E9">
        <w:rPr>
          <w:bCs/>
          <w:sz w:val="24"/>
          <w:szCs w:val="24"/>
          <w:vertAlign w:val="superscript"/>
        </w:rPr>
        <w:endnoteReference w:id="17"/>
      </w:r>
      <w:r w:rsidRPr="006F12E9">
        <w:rPr>
          <w:bCs/>
          <w:sz w:val="24"/>
          <w:szCs w:val="24"/>
        </w:rPr>
        <w:t xml:space="preserve"> </w:t>
      </w:r>
      <w:r w:rsidRPr="006F12E9">
        <w:rPr>
          <w:sz w:val="24"/>
          <w:szCs w:val="24"/>
        </w:rPr>
        <w:t>The new CT will be a dual source energy scanner that simultaneously uses two x-ray energy spectra to capture images which improve</w:t>
      </w:r>
      <w:r w:rsidR="0090069E">
        <w:rPr>
          <w:sz w:val="24"/>
          <w:szCs w:val="24"/>
        </w:rPr>
        <w:t>s</w:t>
      </w:r>
      <w:r w:rsidRPr="006F12E9">
        <w:rPr>
          <w:sz w:val="24"/>
          <w:szCs w:val="24"/>
        </w:rPr>
        <w:t xml:space="preserve"> anatomical differentiation; most CT has limited ability to </w:t>
      </w:r>
      <w:r w:rsidRPr="006F12E9">
        <w:rPr>
          <w:sz w:val="24"/>
          <w:szCs w:val="24"/>
        </w:rPr>
        <w:lastRenderedPageBreak/>
        <w:t>differentiate soft tissue.</w:t>
      </w:r>
      <w:r w:rsidRPr="006F12E9">
        <w:rPr>
          <w:sz w:val="24"/>
          <w:szCs w:val="24"/>
          <w:vertAlign w:val="superscript"/>
        </w:rPr>
        <w:endnoteReference w:id="18"/>
      </w:r>
      <w:r w:rsidRPr="006F12E9">
        <w:rPr>
          <w:sz w:val="24"/>
          <w:szCs w:val="24"/>
          <w:vertAlign w:val="superscript"/>
        </w:rPr>
        <w:t xml:space="preserve">, </w:t>
      </w:r>
      <w:r w:rsidRPr="006F12E9">
        <w:rPr>
          <w:sz w:val="24"/>
          <w:szCs w:val="24"/>
          <w:vertAlign w:val="superscript"/>
        </w:rPr>
        <w:endnoteReference w:id="19"/>
      </w:r>
      <w:r w:rsidRPr="006F12E9">
        <w:rPr>
          <w:sz w:val="24"/>
          <w:szCs w:val="24"/>
        </w:rPr>
        <w:t xml:space="preserve"> This CT will enable CDH perform </w:t>
      </w:r>
      <w:r w:rsidR="008166FA">
        <w:rPr>
          <w:sz w:val="24"/>
          <w:szCs w:val="24"/>
        </w:rPr>
        <w:t xml:space="preserve">CCTA </w:t>
      </w:r>
      <w:r w:rsidRPr="006F12E9">
        <w:rPr>
          <w:sz w:val="24"/>
          <w:szCs w:val="24"/>
        </w:rPr>
        <w:t xml:space="preserve">to visualize coronary arteries to aide in diagnosis </w:t>
      </w:r>
      <w:r w:rsidR="0090069E">
        <w:rPr>
          <w:sz w:val="24"/>
          <w:szCs w:val="24"/>
        </w:rPr>
        <w:t xml:space="preserve">of heart disease </w:t>
      </w:r>
      <w:r w:rsidRPr="006F12E9">
        <w:rPr>
          <w:sz w:val="24"/>
          <w:szCs w:val="24"/>
        </w:rPr>
        <w:t>and determine the appropriate intervention.</w:t>
      </w:r>
      <w:r w:rsidR="002E433B" w:rsidRPr="002E433B">
        <w:rPr>
          <w:sz w:val="24"/>
          <w:szCs w:val="24"/>
          <w:vertAlign w:val="superscript"/>
        </w:rPr>
        <w:endnoteReference w:id="20"/>
      </w:r>
      <w:r w:rsidR="0090069E">
        <w:rPr>
          <w:sz w:val="24"/>
          <w:szCs w:val="24"/>
        </w:rPr>
        <w:t xml:space="preserve">  </w:t>
      </w:r>
    </w:p>
    <w:p w14:paraId="634AC1BD" w14:textId="77777777" w:rsidR="006A229F" w:rsidRPr="00C043D7" w:rsidRDefault="0090069E" w:rsidP="00230729">
      <w:pPr>
        <w:spacing w:line="240" w:lineRule="auto"/>
        <w:rPr>
          <w:sz w:val="24"/>
          <w:szCs w:val="24"/>
        </w:rPr>
      </w:pPr>
      <w:r w:rsidRPr="0090069E">
        <w:rPr>
          <w:sz w:val="24"/>
          <w:szCs w:val="24"/>
        </w:rPr>
        <w:t>Upon staff inquiry, the Applicant noted that within the region</w:t>
      </w:r>
      <w:r>
        <w:rPr>
          <w:sz w:val="24"/>
          <w:szCs w:val="24"/>
        </w:rPr>
        <w:t xml:space="preserve"> of Hampshire </w:t>
      </w:r>
      <w:r w:rsidR="003266D5">
        <w:rPr>
          <w:sz w:val="24"/>
          <w:szCs w:val="24"/>
        </w:rPr>
        <w:t>C</w:t>
      </w:r>
      <w:r>
        <w:rPr>
          <w:sz w:val="24"/>
          <w:szCs w:val="24"/>
        </w:rPr>
        <w:t>ounty, there are tw</w:t>
      </w:r>
      <w:r w:rsidR="00230729">
        <w:rPr>
          <w:sz w:val="24"/>
          <w:szCs w:val="24"/>
        </w:rPr>
        <w:t>o health disparities in addition to the aging population, that the CT may positively impact, and improve public health outcomes</w:t>
      </w:r>
      <w:bookmarkStart w:id="8" w:name="_Hlk141962953"/>
      <w:r w:rsidR="006A229F">
        <w:rPr>
          <w:sz w:val="24"/>
          <w:szCs w:val="24"/>
        </w:rPr>
        <w:t>. T</w:t>
      </w:r>
      <w:r w:rsidR="00230729" w:rsidRPr="00230729">
        <w:rPr>
          <w:sz w:val="24"/>
          <w:szCs w:val="24"/>
        </w:rPr>
        <w:t>here is a higher prevalence of heart disease among Black and African American patients in Hampshire County and a corresponding higher rate of emergency department utilization for heart disease among Black and African American patients than other races/ethnicities</w:t>
      </w:r>
      <w:r w:rsidR="00230729">
        <w:rPr>
          <w:sz w:val="24"/>
          <w:szCs w:val="24"/>
        </w:rPr>
        <w:t>:</w:t>
      </w:r>
      <w:r w:rsidR="00230729" w:rsidRPr="00230729">
        <w:rPr>
          <w:sz w:val="24"/>
          <w:szCs w:val="24"/>
        </w:rPr>
        <w:t xml:space="preserve"> the rate of ED utilization </w:t>
      </w:r>
      <w:r w:rsidR="00230729" w:rsidRPr="00C043D7">
        <w:rPr>
          <w:sz w:val="24"/>
          <w:szCs w:val="24"/>
        </w:rPr>
        <w:t>for Black and African American patients is 584 per 100,000 (age adjusted) compared to 393 for White patients. In Easthampton the rate is 1059 for Black and African American patients compared to 345 for White patients.</w:t>
      </w:r>
      <w:r w:rsidR="00230729" w:rsidRPr="00C043D7">
        <w:rPr>
          <w:rStyle w:val="FootnoteReference"/>
          <w:sz w:val="24"/>
          <w:szCs w:val="24"/>
        </w:rPr>
        <w:footnoteReference w:id="19"/>
      </w:r>
      <w:r w:rsidR="00230729" w:rsidRPr="00C043D7">
        <w:rPr>
          <w:sz w:val="24"/>
          <w:szCs w:val="24"/>
        </w:rPr>
        <w:t xml:space="preserve"> </w:t>
      </w:r>
    </w:p>
    <w:p w14:paraId="05CD5766" w14:textId="6A629714" w:rsidR="00230729" w:rsidRPr="00C043D7" w:rsidRDefault="00230729" w:rsidP="00230729">
      <w:pPr>
        <w:spacing w:line="240" w:lineRule="auto"/>
        <w:rPr>
          <w:sz w:val="24"/>
          <w:szCs w:val="24"/>
        </w:rPr>
      </w:pPr>
      <w:r w:rsidRPr="00C043D7">
        <w:rPr>
          <w:sz w:val="24"/>
          <w:szCs w:val="24"/>
        </w:rPr>
        <w:t xml:space="preserve">Additionally, Hampshire County is experiencing a shift in resident demographics, with Black and African American population growing 19.9% from 2019 to 2020, as well as </w:t>
      </w:r>
      <w:r w:rsidR="005F5229" w:rsidRPr="00C043D7">
        <w:rPr>
          <w:sz w:val="24"/>
          <w:szCs w:val="24"/>
        </w:rPr>
        <w:t>T</w:t>
      </w:r>
      <w:r w:rsidRPr="00C043D7">
        <w:rPr>
          <w:sz w:val="24"/>
          <w:szCs w:val="24"/>
        </w:rPr>
        <w:t xml:space="preserve">wo or more races growing 206.2% (U.S. Census Bureau). Given these trends, </w:t>
      </w:r>
      <w:r w:rsidR="005F5229" w:rsidRPr="00C043D7">
        <w:rPr>
          <w:sz w:val="24"/>
          <w:szCs w:val="24"/>
        </w:rPr>
        <w:t xml:space="preserve">CDH </w:t>
      </w:r>
      <w:r w:rsidRPr="00C043D7">
        <w:rPr>
          <w:sz w:val="24"/>
          <w:szCs w:val="24"/>
        </w:rPr>
        <w:t xml:space="preserve">anticipates an increased need for CT related to heart disease. </w:t>
      </w:r>
    </w:p>
    <w:bookmarkEnd w:id="8"/>
    <w:p w14:paraId="319E9C2D" w14:textId="484AC090" w:rsidR="00230729" w:rsidRPr="00230729" w:rsidRDefault="00114E20" w:rsidP="00230729">
      <w:pPr>
        <w:spacing w:line="240" w:lineRule="auto"/>
        <w:rPr>
          <w:sz w:val="24"/>
          <w:szCs w:val="24"/>
        </w:rPr>
      </w:pPr>
      <w:r>
        <w:rPr>
          <w:sz w:val="24"/>
          <w:szCs w:val="24"/>
        </w:rPr>
        <w:t>Additionally, t</w:t>
      </w:r>
      <w:r w:rsidR="00230729" w:rsidRPr="00230729">
        <w:rPr>
          <w:sz w:val="24"/>
          <w:szCs w:val="24"/>
        </w:rPr>
        <w:t xml:space="preserve">he </w:t>
      </w:r>
      <w:r w:rsidR="005F5229">
        <w:rPr>
          <w:sz w:val="24"/>
          <w:szCs w:val="24"/>
        </w:rPr>
        <w:t xml:space="preserve">rate of </w:t>
      </w:r>
      <w:r w:rsidR="00230729" w:rsidRPr="00230729">
        <w:rPr>
          <w:sz w:val="24"/>
          <w:szCs w:val="24"/>
        </w:rPr>
        <w:t>adult smoking in 2020 in Hampshire County is 13%</w:t>
      </w:r>
      <w:r w:rsidR="005F5229">
        <w:rPr>
          <w:sz w:val="24"/>
          <w:szCs w:val="24"/>
        </w:rPr>
        <w:t>.</w:t>
      </w:r>
      <w:r w:rsidR="005F5229">
        <w:rPr>
          <w:rStyle w:val="FootnoteReference"/>
          <w:sz w:val="24"/>
          <w:szCs w:val="24"/>
        </w:rPr>
        <w:footnoteReference w:id="20"/>
      </w:r>
      <w:r w:rsidR="00230729" w:rsidRPr="00230729">
        <w:rPr>
          <w:sz w:val="24"/>
          <w:szCs w:val="24"/>
        </w:rPr>
        <w:t xml:space="preserve">  However, according to the 2022 American Lung Association State of Lung Cancer Report, the percentage of eligible individuals receiving lung cancer screenings was only 16.3%, meaning there is large gap between eligible individuals and those receiving screenings. </w:t>
      </w:r>
      <w:r w:rsidR="00826C7D">
        <w:rPr>
          <w:sz w:val="24"/>
          <w:szCs w:val="24"/>
        </w:rPr>
        <w:t>The Applica</w:t>
      </w:r>
      <w:r w:rsidR="00CA0E97">
        <w:rPr>
          <w:sz w:val="24"/>
          <w:szCs w:val="24"/>
        </w:rPr>
        <w:t xml:space="preserve">nt did not provide data on the percentage </w:t>
      </w:r>
      <w:r w:rsidR="00F70041">
        <w:rPr>
          <w:sz w:val="24"/>
          <w:szCs w:val="24"/>
        </w:rPr>
        <w:t>of smokers in Hampshire County who eligible for</w:t>
      </w:r>
      <w:r w:rsidR="00973F76">
        <w:rPr>
          <w:sz w:val="24"/>
          <w:szCs w:val="24"/>
        </w:rPr>
        <w:t>, and who actually receive screening,</w:t>
      </w:r>
    </w:p>
    <w:p w14:paraId="408E2855" w14:textId="79F0A127" w:rsidR="00421B65" w:rsidRDefault="008E57EB" w:rsidP="003A5696">
      <w:pPr>
        <w:spacing w:line="240" w:lineRule="auto"/>
        <w:rPr>
          <w:sz w:val="24"/>
          <w:szCs w:val="24"/>
        </w:rPr>
      </w:pPr>
      <w:r w:rsidRPr="008E57EB">
        <w:rPr>
          <w:sz w:val="24"/>
          <w:szCs w:val="24"/>
        </w:rPr>
        <w:t xml:space="preserve">Citing the literature, </w:t>
      </w:r>
      <w:r w:rsidR="00E5049A">
        <w:rPr>
          <w:sz w:val="24"/>
          <w:szCs w:val="24"/>
        </w:rPr>
        <w:t xml:space="preserve">the Applicant notes </w:t>
      </w:r>
      <w:r w:rsidRPr="008E57EB">
        <w:rPr>
          <w:sz w:val="24"/>
          <w:szCs w:val="24"/>
        </w:rPr>
        <w:t>patient satisfaction is an important indicator for measuring quality in healthcar</w:t>
      </w:r>
      <w:r w:rsidR="0099279E">
        <w:rPr>
          <w:sz w:val="24"/>
          <w:szCs w:val="24"/>
        </w:rPr>
        <w:t xml:space="preserve">e as it </w:t>
      </w:r>
      <w:r w:rsidRPr="008E57EB">
        <w:rPr>
          <w:sz w:val="24"/>
          <w:szCs w:val="24"/>
        </w:rPr>
        <w:t>impacts clinical outcomes, patient retention,</w:t>
      </w:r>
      <w:r w:rsidR="0099279E">
        <w:rPr>
          <w:sz w:val="24"/>
          <w:szCs w:val="24"/>
        </w:rPr>
        <w:t xml:space="preserve"> and</w:t>
      </w:r>
      <w:r w:rsidRPr="008E57EB">
        <w:rPr>
          <w:sz w:val="24"/>
          <w:szCs w:val="24"/>
        </w:rPr>
        <w:t xml:space="preserve"> medical malpractice claims; </w:t>
      </w:r>
      <w:r w:rsidR="009668CA">
        <w:rPr>
          <w:sz w:val="24"/>
          <w:szCs w:val="24"/>
        </w:rPr>
        <w:t xml:space="preserve">and further, </w:t>
      </w:r>
      <w:r w:rsidRPr="008E57EB">
        <w:rPr>
          <w:sz w:val="24"/>
          <w:szCs w:val="24"/>
        </w:rPr>
        <w:t>timely, efficient, patient-centered care directly influence</w:t>
      </w:r>
      <w:r w:rsidR="00E5049A">
        <w:rPr>
          <w:sz w:val="24"/>
          <w:szCs w:val="24"/>
        </w:rPr>
        <w:t>s</w:t>
      </w:r>
      <w:r w:rsidRPr="008E57EB">
        <w:rPr>
          <w:sz w:val="24"/>
          <w:szCs w:val="24"/>
        </w:rPr>
        <w:t xml:space="preserve"> patient satisfaction.</w:t>
      </w:r>
      <w:r w:rsidRPr="008E57EB">
        <w:rPr>
          <w:sz w:val="24"/>
          <w:szCs w:val="24"/>
          <w:vertAlign w:val="superscript"/>
        </w:rPr>
        <w:endnoteReference w:id="21"/>
      </w:r>
      <w:r>
        <w:rPr>
          <w:sz w:val="24"/>
          <w:szCs w:val="24"/>
        </w:rPr>
        <w:t xml:space="preserve"> </w:t>
      </w:r>
      <w:r w:rsidR="00522FAD" w:rsidRPr="008C0B5A">
        <w:rPr>
          <w:sz w:val="24"/>
          <w:szCs w:val="24"/>
        </w:rPr>
        <w:t xml:space="preserve">The Applicant asserts the Proposed Project will </w:t>
      </w:r>
      <w:r w:rsidR="005F5229">
        <w:rPr>
          <w:sz w:val="24"/>
          <w:szCs w:val="24"/>
        </w:rPr>
        <w:t>main</w:t>
      </w:r>
      <w:r w:rsidR="00522FAD" w:rsidRPr="008C0B5A">
        <w:rPr>
          <w:sz w:val="24"/>
          <w:szCs w:val="24"/>
        </w:rPr>
        <w:t xml:space="preserve">tain patient satisfaction by ensuring </w:t>
      </w:r>
      <w:r w:rsidR="00155EAA" w:rsidRPr="008C0B5A">
        <w:rPr>
          <w:sz w:val="24"/>
          <w:szCs w:val="24"/>
        </w:rPr>
        <w:t>that patients</w:t>
      </w:r>
      <w:r w:rsidR="00522FAD" w:rsidRPr="008C0B5A">
        <w:rPr>
          <w:sz w:val="24"/>
          <w:szCs w:val="24"/>
        </w:rPr>
        <w:t xml:space="preserve"> will not </w:t>
      </w:r>
      <w:r w:rsidR="000F5186">
        <w:rPr>
          <w:sz w:val="24"/>
          <w:szCs w:val="24"/>
        </w:rPr>
        <w:t xml:space="preserve">experience </w:t>
      </w:r>
      <w:r w:rsidR="002C62E8">
        <w:rPr>
          <w:sz w:val="24"/>
          <w:szCs w:val="24"/>
        </w:rPr>
        <w:t xml:space="preserve">extensive delays or </w:t>
      </w:r>
      <w:r w:rsidR="00522FAD" w:rsidRPr="008C0B5A">
        <w:rPr>
          <w:sz w:val="24"/>
          <w:szCs w:val="24"/>
        </w:rPr>
        <w:t>need to travel</w:t>
      </w:r>
      <w:r w:rsidR="00250BAA">
        <w:rPr>
          <w:sz w:val="24"/>
          <w:szCs w:val="24"/>
        </w:rPr>
        <w:t xml:space="preserve"> </w:t>
      </w:r>
      <w:r w:rsidR="00FA3333">
        <w:rPr>
          <w:sz w:val="24"/>
          <w:szCs w:val="24"/>
        </w:rPr>
        <w:t>outside the</w:t>
      </w:r>
      <w:r w:rsidR="00250BAA">
        <w:rPr>
          <w:sz w:val="24"/>
          <w:szCs w:val="24"/>
        </w:rPr>
        <w:t xml:space="preserve"> </w:t>
      </w:r>
      <w:r w:rsidR="007D602B">
        <w:rPr>
          <w:sz w:val="24"/>
          <w:szCs w:val="24"/>
        </w:rPr>
        <w:t xml:space="preserve">service area </w:t>
      </w:r>
      <w:r w:rsidR="00522FAD" w:rsidRPr="008C0B5A">
        <w:rPr>
          <w:sz w:val="24"/>
          <w:szCs w:val="24"/>
        </w:rPr>
        <w:t xml:space="preserve">to access </w:t>
      </w:r>
      <w:r w:rsidR="007D602B">
        <w:rPr>
          <w:sz w:val="24"/>
          <w:szCs w:val="24"/>
        </w:rPr>
        <w:t xml:space="preserve">needed CT </w:t>
      </w:r>
      <w:r w:rsidR="00522FAD" w:rsidRPr="008C0B5A">
        <w:rPr>
          <w:sz w:val="24"/>
          <w:szCs w:val="24"/>
        </w:rPr>
        <w:t xml:space="preserve">services. </w:t>
      </w:r>
    </w:p>
    <w:p w14:paraId="60A0F29E" w14:textId="601615D8" w:rsidR="00421B65" w:rsidRPr="00605968" w:rsidRDefault="009527AE" w:rsidP="003A5696">
      <w:pPr>
        <w:spacing w:line="240" w:lineRule="auto"/>
        <w:rPr>
          <w:rFonts w:cstheme="minorHAnsi"/>
          <w:b/>
          <w:bCs/>
          <w:i/>
          <w:iCs/>
          <w:sz w:val="24"/>
          <w:szCs w:val="24"/>
        </w:rPr>
      </w:pPr>
      <w:r w:rsidRPr="00605968">
        <w:rPr>
          <w:rFonts w:cstheme="minorHAnsi"/>
          <w:b/>
          <w:bCs/>
          <w:i/>
          <w:iCs/>
          <w:sz w:val="24"/>
          <w:szCs w:val="24"/>
        </w:rPr>
        <w:t xml:space="preserve">Analysis </w:t>
      </w:r>
    </w:p>
    <w:p w14:paraId="1B6E14B5" w14:textId="45F769F1" w:rsidR="00D8605E" w:rsidRPr="00D8605E" w:rsidRDefault="00D8605E" w:rsidP="003A5696">
      <w:pPr>
        <w:spacing w:line="240" w:lineRule="auto"/>
        <w:rPr>
          <w:bCs/>
          <w:sz w:val="24"/>
          <w:szCs w:val="24"/>
        </w:rPr>
      </w:pPr>
      <w:r w:rsidRPr="00D8605E">
        <w:rPr>
          <w:bCs/>
          <w:sz w:val="24"/>
          <w:szCs w:val="24"/>
        </w:rPr>
        <w:t>Staff acknowledge</w:t>
      </w:r>
      <w:r w:rsidR="0090069E">
        <w:rPr>
          <w:bCs/>
          <w:sz w:val="24"/>
          <w:szCs w:val="24"/>
        </w:rPr>
        <w:t>s</w:t>
      </w:r>
      <w:r w:rsidRPr="00D8605E">
        <w:rPr>
          <w:bCs/>
          <w:sz w:val="24"/>
          <w:szCs w:val="24"/>
        </w:rPr>
        <w:t xml:space="preserve"> that providing timely access to advanced imaging contributes to improved health outcomes and patient satisfaction. Advanced imaging can improve disease diagnosis treatment and monitoring, which can </w:t>
      </w:r>
      <w:r w:rsidR="00114E20">
        <w:rPr>
          <w:bCs/>
          <w:sz w:val="24"/>
          <w:szCs w:val="24"/>
        </w:rPr>
        <w:t xml:space="preserve">lower the use of </w:t>
      </w:r>
      <w:r w:rsidRPr="00D8605E">
        <w:rPr>
          <w:bCs/>
          <w:sz w:val="24"/>
          <w:szCs w:val="24"/>
        </w:rPr>
        <w:t>more invasive and costly procedures,</w:t>
      </w:r>
      <w:r w:rsidRPr="00D8605E">
        <w:rPr>
          <w:bCs/>
          <w:sz w:val="24"/>
          <w:szCs w:val="24"/>
          <w:vertAlign w:val="superscript"/>
        </w:rPr>
        <w:endnoteReference w:id="22"/>
      </w:r>
      <w:r w:rsidRPr="00D8605E">
        <w:rPr>
          <w:bCs/>
          <w:sz w:val="24"/>
          <w:szCs w:val="24"/>
        </w:rPr>
        <w:t xml:space="preserve"> and positively </w:t>
      </w:r>
      <w:r w:rsidRPr="00D8605E">
        <w:rPr>
          <w:sz w:val="24"/>
          <w:szCs w:val="24"/>
        </w:rPr>
        <w:t>affect health outcomes</w:t>
      </w:r>
      <w:r w:rsidR="00114E20">
        <w:rPr>
          <w:sz w:val="24"/>
          <w:szCs w:val="24"/>
        </w:rPr>
        <w:t xml:space="preserve"> through reduce</w:t>
      </w:r>
      <w:r w:rsidR="004924CC">
        <w:rPr>
          <w:sz w:val="24"/>
          <w:szCs w:val="24"/>
        </w:rPr>
        <w:t>d</w:t>
      </w:r>
      <w:r w:rsidR="00114E20">
        <w:rPr>
          <w:sz w:val="24"/>
          <w:szCs w:val="24"/>
        </w:rPr>
        <w:t xml:space="preserve"> recovery times and lower infection rates</w:t>
      </w:r>
      <w:r w:rsidRPr="00D8605E">
        <w:rPr>
          <w:sz w:val="24"/>
          <w:szCs w:val="24"/>
        </w:rPr>
        <w:t>.</w:t>
      </w:r>
      <w:r w:rsidRPr="00D8605E">
        <w:rPr>
          <w:bCs/>
          <w:sz w:val="24"/>
          <w:szCs w:val="24"/>
        </w:rPr>
        <w:t xml:space="preserve"> </w:t>
      </w:r>
    </w:p>
    <w:p w14:paraId="209D2FBB" w14:textId="06D9585A" w:rsidR="00D8605E" w:rsidRPr="00D8605E" w:rsidRDefault="00D8605E" w:rsidP="003A5696">
      <w:pPr>
        <w:spacing w:line="240" w:lineRule="auto"/>
        <w:rPr>
          <w:bCs/>
          <w:sz w:val="24"/>
          <w:szCs w:val="24"/>
        </w:rPr>
      </w:pPr>
      <w:r w:rsidRPr="00D8605E">
        <w:rPr>
          <w:sz w:val="24"/>
          <w:szCs w:val="24"/>
        </w:rPr>
        <w:t xml:space="preserve">Staff </w:t>
      </w:r>
      <w:r w:rsidR="002E433B">
        <w:rPr>
          <w:sz w:val="24"/>
          <w:szCs w:val="24"/>
        </w:rPr>
        <w:t>aff</w:t>
      </w:r>
      <w:r w:rsidRPr="00D8605E">
        <w:rPr>
          <w:sz w:val="24"/>
          <w:szCs w:val="24"/>
        </w:rPr>
        <w:t xml:space="preserve">irms </w:t>
      </w:r>
      <w:r w:rsidR="002E433B">
        <w:rPr>
          <w:sz w:val="24"/>
          <w:szCs w:val="24"/>
        </w:rPr>
        <w:t xml:space="preserve">the </w:t>
      </w:r>
      <w:r w:rsidRPr="00D8605E">
        <w:rPr>
          <w:sz w:val="24"/>
          <w:szCs w:val="24"/>
        </w:rPr>
        <w:t>need for co</w:t>
      </w:r>
      <w:r w:rsidR="002E433B">
        <w:rPr>
          <w:sz w:val="24"/>
          <w:szCs w:val="24"/>
        </w:rPr>
        <w:t xml:space="preserve">mmunity </w:t>
      </w:r>
      <w:r w:rsidRPr="00D8605E">
        <w:rPr>
          <w:sz w:val="24"/>
          <w:szCs w:val="24"/>
        </w:rPr>
        <w:t xml:space="preserve">access to CT services, especially among the </w:t>
      </w:r>
      <w:r w:rsidRPr="00114E20">
        <w:rPr>
          <w:i/>
          <w:iCs/>
          <w:sz w:val="24"/>
          <w:szCs w:val="24"/>
        </w:rPr>
        <w:t>65 and over</w:t>
      </w:r>
      <w:r w:rsidRPr="00D8605E">
        <w:rPr>
          <w:sz w:val="24"/>
          <w:szCs w:val="24"/>
        </w:rPr>
        <w:t xml:space="preserve"> </w:t>
      </w:r>
      <w:r w:rsidR="00114E20">
        <w:rPr>
          <w:sz w:val="24"/>
          <w:szCs w:val="24"/>
        </w:rPr>
        <w:t xml:space="preserve">cohort </w:t>
      </w:r>
      <w:r w:rsidRPr="00D8605E">
        <w:rPr>
          <w:sz w:val="24"/>
          <w:szCs w:val="24"/>
        </w:rPr>
        <w:t xml:space="preserve">which comprises </w:t>
      </w:r>
      <w:r w:rsidR="003C3CA7">
        <w:rPr>
          <w:sz w:val="24"/>
          <w:szCs w:val="24"/>
        </w:rPr>
        <w:t>nearly</w:t>
      </w:r>
      <w:r w:rsidRPr="00D8605E">
        <w:rPr>
          <w:sz w:val="24"/>
          <w:szCs w:val="24"/>
        </w:rPr>
        <w:t xml:space="preserve"> </w:t>
      </w:r>
      <w:r w:rsidR="003C3CA7">
        <w:rPr>
          <w:sz w:val="24"/>
          <w:szCs w:val="24"/>
        </w:rPr>
        <w:t xml:space="preserve">30% </w:t>
      </w:r>
      <w:r w:rsidRPr="00D8605E">
        <w:rPr>
          <w:sz w:val="24"/>
          <w:szCs w:val="24"/>
        </w:rPr>
        <w:t xml:space="preserve">of </w:t>
      </w:r>
      <w:r w:rsidR="005B3CA7">
        <w:rPr>
          <w:sz w:val="24"/>
          <w:szCs w:val="24"/>
        </w:rPr>
        <w:t>CDH</w:t>
      </w:r>
      <w:r w:rsidRPr="00D8605E">
        <w:rPr>
          <w:sz w:val="24"/>
          <w:szCs w:val="24"/>
        </w:rPr>
        <w:t>’s patient population</w:t>
      </w:r>
      <w:r w:rsidR="002E433B">
        <w:rPr>
          <w:sz w:val="24"/>
          <w:szCs w:val="24"/>
        </w:rPr>
        <w:t>, for whom travel outside of the service area poses a greater burden</w:t>
      </w:r>
      <w:r w:rsidRPr="00D8605E">
        <w:rPr>
          <w:sz w:val="24"/>
          <w:szCs w:val="24"/>
        </w:rPr>
        <w:t>. Risk for cancer, cardiovascular disease, and Alzheimer’s, the leading causes of death in Massachusetts, increase with age, and consequently demand for the proposed imaging services is likely to increase with a growing aging population.</w:t>
      </w:r>
      <w:r w:rsidRPr="00D8605E">
        <w:rPr>
          <w:sz w:val="24"/>
          <w:szCs w:val="24"/>
          <w:vertAlign w:val="superscript"/>
        </w:rPr>
        <w:endnoteReference w:id="23"/>
      </w:r>
      <w:r w:rsidRPr="00D8605E">
        <w:rPr>
          <w:sz w:val="24"/>
          <w:szCs w:val="24"/>
        </w:rPr>
        <w:t xml:space="preserve"> </w:t>
      </w:r>
    </w:p>
    <w:p w14:paraId="49E69667" w14:textId="220A3F15" w:rsidR="003E1CDA" w:rsidRPr="002C6249" w:rsidRDefault="003E1CDA" w:rsidP="003E1CDA">
      <w:pPr>
        <w:spacing w:line="240" w:lineRule="auto"/>
        <w:rPr>
          <w:sz w:val="24"/>
          <w:szCs w:val="24"/>
        </w:rPr>
      </w:pPr>
      <w:r w:rsidRPr="002C6249">
        <w:rPr>
          <w:b/>
          <w:bCs/>
          <w:sz w:val="24"/>
          <w:szCs w:val="24"/>
        </w:rPr>
        <w:lastRenderedPageBreak/>
        <w:t>Health Equity and Social Determinants of Health (SDOH)</w:t>
      </w:r>
    </w:p>
    <w:p w14:paraId="11E72F4D" w14:textId="270B60FA" w:rsidR="005C1EB6" w:rsidRPr="005C1EB6" w:rsidRDefault="008E57EB" w:rsidP="002C6249">
      <w:pPr>
        <w:spacing w:line="240" w:lineRule="auto"/>
        <w:rPr>
          <w:sz w:val="24"/>
          <w:szCs w:val="24"/>
        </w:rPr>
      </w:pPr>
      <w:r>
        <w:rPr>
          <w:sz w:val="24"/>
          <w:szCs w:val="24"/>
        </w:rPr>
        <w:t>The Applicant asserts that t</w:t>
      </w:r>
      <w:r w:rsidR="005C1EB6" w:rsidRPr="005C1EB6">
        <w:rPr>
          <w:sz w:val="24"/>
          <w:szCs w:val="24"/>
        </w:rPr>
        <w:t>o ensure health equity</w:t>
      </w:r>
      <w:r>
        <w:rPr>
          <w:sz w:val="24"/>
          <w:szCs w:val="24"/>
        </w:rPr>
        <w:t xml:space="preserve"> for</w:t>
      </w:r>
      <w:r w:rsidR="005C1EB6" w:rsidRPr="005C1EB6">
        <w:rPr>
          <w:sz w:val="24"/>
          <w:szCs w:val="24"/>
        </w:rPr>
        <w:t xml:space="preserve"> all populations, including those deemed underserved, the Proposed Project will not affect accessibility of CDH’s services to economically disadvantaged, medically indigent and/or Medicaid eligible individuals. CDH does not discriminate based on ability to pay or payer source and this practice will continue following implementation of the Proposed Project. </w:t>
      </w:r>
    </w:p>
    <w:p w14:paraId="6D0E6AF8" w14:textId="3B1D8F3A" w:rsidR="005C1EB6" w:rsidRPr="005C1EB6" w:rsidRDefault="008E57EB" w:rsidP="002C6249">
      <w:pPr>
        <w:spacing w:line="240" w:lineRule="auto"/>
        <w:rPr>
          <w:sz w:val="24"/>
          <w:szCs w:val="24"/>
        </w:rPr>
      </w:pPr>
      <w:bookmarkStart w:id="9" w:name="_Hlk138933797"/>
      <w:r>
        <w:rPr>
          <w:sz w:val="24"/>
          <w:szCs w:val="24"/>
        </w:rPr>
        <w:t xml:space="preserve">In order to identify areas of disparity, </w:t>
      </w:r>
      <w:r w:rsidR="005C1EB6" w:rsidRPr="005C1EB6">
        <w:rPr>
          <w:sz w:val="24"/>
          <w:szCs w:val="24"/>
        </w:rPr>
        <w:t>CDH collects</w:t>
      </w:r>
      <w:r>
        <w:rPr>
          <w:sz w:val="24"/>
          <w:szCs w:val="24"/>
        </w:rPr>
        <w:t xml:space="preserve"> and analyzes</w:t>
      </w:r>
      <w:r w:rsidR="005C1EB6" w:rsidRPr="005C1EB6">
        <w:rPr>
          <w:sz w:val="24"/>
          <w:szCs w:val="24"/>
        </w:rPr>
        <w:t xml:space="preserve"> patient demographic data including race, ethnicity, language, disability, sexual orientation, and gender identity, and plans to add veteran status in 2023.</w:t>
      </w:r>
      <w:bookmarkEnd w:id="9"/>
      <w:r w:rsidR="00AB4A6D">
        <w:rPr>
          <w:sz w:val="24"/>
          <w:szCs w:val="24"/>
        </w:rPr>
        <w:t xml:space="preserve"> </w:t>
      </w:r>
    </w:p>
    <w:p w14:paraId="5D2AAFAB" w14:textId="15D650C2" w:rsidR="005C1EB6" w:rsidRDefault="005C1EB6" w:rsidP="002C6249">
      <w:pPr>
        <w:spacing w:line="240" w:lineRule="auto"/>
        <w:rPr>
          <w:sz w:val="24"/>
          <w:szCs w:val="24"/>
        </w:rPr>
      </w:pPr>
      <w:r w:rsidRPr="005C1EB6">
        <w:rPr>
          <w:sz w:val="24"/>
          <w:szCs w:val="24"/>
        </w:rPr>
        <w:t>Medical interpreter services are available at CDH, including for CT patients.</w:t>
      </w:r>
      <w:r w:rsidR="00300294">
        <w:rPr>
          <w:sz w:val="24"/>
          <w:szCs w:val="24"/>
        </w:rPr>
        <w:t xml:space="preserve"> </w:t>
      </w:r>
      <w:r w:rsidR="00300294" w:rsidRPr="00300294">
        <w:rPr>
          <w:bCs/>
          <w:sz w:val="24"/>
          <w:szCs w:val="24"/>
        </w:rPr>
        <w:t xml:space="preserve">The most requested languages are Spanish, American Sign Language, Chinese-Mandarin, Vietnamese, </w:t>
      </w:r>
      <w:r w:rsidR="00E9105A">
        <w:rPr>
          <w:bCs/>
          <w:sz w:val="24"/>
          <w:szCs w:val="24"/>
        </w:rPr>
        <w:t xml:space="preserve">and </w:t>
      </w:r>
      <w:r w:rsidR="00300294" w:rsidRPr="00300294">
        <w:rPr>
          <w:bCs/>
          <w:sz w:val="24"/>
          <w:szCs w:val="24"/>
        </w:rPr>
        <w:t xml:space="preserve">Khmer/Cambodian.  </w:t>
      </w:r>
      <w:r w:rsidR="00AB4A6D" w:rsidRPr="00AB4A6D">
        <w:rPr>
          <w:bCs/>
          <w:sz w:val="24"/>
          <w:szCs w:val="24"/>
        </w:rPr>
        <w:t xml:space="preserve">Bilingual staff are available to provide direct services to Spanish-speaking patients, and outside vendors are retained for other languages along with video remote interpreter services. </w:t>
      </w:r>
      <w:r w:rsidR="00AB4A6D">
        <w:rPr>
          <w:bCs/>
          <w:sz w:val="24"/>
          <w:szCs w:val="24"/>
        </w:rPr>
        <w:t xml:space="preserve">Additionally, </w:t>
      </w:r>
      <w:r w:rsidRPr="005C1EB6">
        <w:rPr>
          <w:sz w:val="24"/>
          <w:szCs w:val="24"/>
        </w:rPr>
        <w:t>CDH has a Qualified Bilingual Support program where staff and providers are assessed for competency to speak directly with patients in a language other than English</w:t>
      </w:r>
      <w:bookmarkStart w:id="10" w:name="_Hlk138934033"/>
      <w:r w:rsidRPr="005C1EB6">
        <w:rPr>
          <w:sz w:val="24"/>
          <w:szCs w:val="24"/>
        </w:rPr>
        <w:t xml:space="preserve">. </w:t>
      </w:r>
      <w:bookmarkEnd w:id="10"/>
    </w:p>
    <w:p w14:paraId="2F474B5C" w14:textId="1C6B309D" w:rsidR="005C1EB6" w:rsidRDefault="00AB4A6D" w:rsidP="002C6249">
      <w:pPr>
        <w:spacing w:line="240" w:lineRule="auto"/>
        <w:rPr>
          <w:sz w:val="24"/>
          <w:szCs w:val="24"/>
        </w:rPr>
      </w:pPr>
      <w:r>
        <w:rPr>
          <w:sz w:val="24"/>
          <w:szCs w:val="24"/>
        </w:rPr>
        <w:t xml:space="preserve">The Applicant provided examples of its </w:t>
      </w:r>
      <w:r w:rsidR="005C1EB6" w:rsidRPr="005C1EB6">
        <w:rPr>
          <w:sz w:val="24"/>
          <w:szCs w:val="24"/>
        </w:rPr>
        <w:t>progress</w:t>
      </w:r>
      <w:r w:rsidR="001F09AD">
        <w:rPr>
          <w:sz w:val="24"/>
          <w:szCs w:val="24"/>
        </w:rPr>
        <w:t xml:space="preserve"> in ensuring equity across the </w:t>
      </w:r>
      <w:r w:rsidR="000D0E88">
        <w:rPr>
          <w:sz w:val="24"/>
          <w:szCs w:val="24"/>
        </w:rPr>
        <w:t xml:space="preserve">MGB </w:t>
      </w:r>
      <w:r w:rsidR="001F09AD">
        <w:rPr>
          <w:sz w:val="24"/>
          <w:szCs w:val="24"/>
        </w:rPr>
        <w:t>system</w:t>
      </w:r>
      <w:r>
        <w:rPr>
          <w:sz w:val="24"/>
          <w:szCs w:val="24"/>
        </w:rPr>
        <w:t>, these are included in Appendix II.</w:t>
      </w:r>
    </w:p>
    <w:p w14:paraId="03710D80" w14:textId="4DF39BC6" w:rsidR="00775F9D" w:rsidRDefault="0033231E" w:rsidP="002C6249">
      <w:pPr>
        <w:spacing w:line="240" w:lineRule="auto"/>
        <w:rPr>
          <w:sz w:val="24"/>
          <w:szCs w:val="24"/>
        </w:rPr>
      </w:pPr>
      <w:r>
        <w:rPr>
          <w:sz w:val="24"/>
          <w:szCs w:val="24"/>
        </w:rPr>
        <w:t xml:space="preserve">Staff </w:t>
      </w:r>
      <w:r w:rsidR="00775F9D">
        <w:rPr>
          <w:sz w:val="24"/>
          <w:szCs w:val="24"/>
        </w:rPr>
        <w:t xml:space="preserve">inquired about SDOH measures implemented that are specific </w:t>
      </w:r>
      <w:r w:rsidR="00124503">
        <w:rPr>
          <w:sz w:val="24"/>
          <w:szCs w:val="24"/>
        </w:rPr>
        <w:t>to CDH</w:t>
      </w:r>
      <w:r w:rsidR="00775F9D">
        <w:rPr>
          <w:sz w:val="24"/>
          <w:szCs w:val="24"/>
        </w:rPr>
        <w:t>. T</w:t>
      </w:r>
      <w:r w:rsidR="00124503">
        <w:rPr>
          <w:sz w:val="24"/>
          <w:szCs w:val="24"/>
        </w:rPr>
        <w:t>he hospital has implemented gender neutral restrooms, where all signage was changed to reflect that status since all are single occupancy</w:t>
      </w:r>
      <w:r w:rsidR="00AA450E">
        <w:rPr>
          <w:sz w:val="24"/>
          <w:szCs w:val="24"/>
        </w:rPr>
        <w:t xml:space="preserve">. </w:t>
      </w:r>
      <w:r w:rsidR="00C96247">
        <w:rPr>
          <w:sz w:val="24"/>
          <w:szCs w:val="24"/>
        </w:rPr>
        <w:t xml:space="preserve"> </w:t>
      </w:r>
    </w:p>
    <w:p w14:paraId="4CD0B8E7" w14:textId="3DEE9FEB" w:rsidR="00124503" w:rsidRPr="00124503" w:rsidRDefault="00C96247" w:rsidP="002C6249">
      <w:pPr>
        <w:spacing w:line="240" w:lineRule="auto"/>
        <w:rPr>
          <w:sz w:val="24"/>
          <w:szCs w:val="24"/>
        </w:rPr>
      </w:pPr>
      <w:r w:rsidRPr="001E00BE">
        <w:rPr>
          <w:bCs/>
          <w:sz w:val="24"/>
          <w:szCs w:val="24"/>
        </w:rPr>
        <w:t>T</w:t>
      </w:r>
      <w:r w:rsidR="00124503" w:rsidRPr="00124503">
        <w:rPr>
          <w:bCs/>
          <w:sz w:val="24"/>
          <w:szCs w:val="24"/>
        </w:rPr>
        <w:t xml:space="preserve">he CT table </w:t>
      </w:r>
      <w:r w:rsidRPr="001E00BE">
        <w:rPr>
          <w:bCs/>
          <w:sz w:val="24"/>
          <w:szCs w:val="24"/>
        </w:rPr>
        <w:t xml:space="preserve">can </w:t>
      </w:r>
      <w:r w:rsidR="00124503" w:rsidRPr="00124503">
        <w:rPr>
          <w:bCs/>
          <w:sz w:val="24"/>
          <w:szCs w:val="24"/>
        </w:rPr>
        <w:t xml:space="preserve">be lowered to accommodate older patients, </w:t>
      </w:r>
      <w:r w:rsidR="000E1212" w:rsidRPr="001E00BE">
        <w:rPr>
          <w:bCs/>
          <w:sz w:val="24"/>
          <w:szCs w:val="24"/>
        </w:rPr>
        <w:t xml:space="preserve">and the space </w:t>
      </w:r>
      <w:r w:rsidR="00124503" w:rsidRPr="00124503">
        <w:rPr>
          <w:bCs/>
          <w:sz w:val="24"/>
          <w:szCs w:val="24"/>
        </w:rPr>
        <w:t>will includ</w:t>
      </w:r>
      <w:r w:rsidR="000E1212" w:rsidRPr="001E00BE">
        <w:rPr>
          <w:bCs/>
          <w:sz w:val="24"/>
          <w:szCs w:val="24"/>
        </w:rPr>
        <w:t>e</w:t>
      </w:r>
      <w:r w:rsidR="00124503" w:rsidRPr="00124503">
        <w:rPr>
          <w:bCs/>
          <w:sz w:val="24"/>
          <w:szCs w:val="24"/>
        </w:rPr>
        <w:t xml:space="preserve"> installing </w:t>
      </w:r>
      <w:r w:rsidR="00124503" w:rsidRPr="00124503">
        <w:rPr>
          <w:sz w:val="24"/>
          <w:szCs w:val="24"/>
        </w:rPr>
        <w:t>flooring</w:t>
      </w:r>
      <w:r w:rsidR="00D61F12" w:rsidRPr="001E00BE">
        <w:rPr>
          <w:sz w:val="24"/>
          <w:szCs w:val="24"/>
        </w:rPr>
        <w:t xml:space="preserve"> that is</w:t>
      </w:r>
      <w:r w:rsidR="00124503" w:rsidRPr="00124503">
        <w:rPr>
          <w:sz w:val="24"/>
          <w:szCs w:val="24"/>
        </w:rPr>
        <w:t xml:space="preserve"> slip resistant</w:t>
      </w:r>
      <w:r w:rsidR="00D61F12" w:rsidRPr="001E00BE">
        <w:rPr>
          <w:sz w:val="24"/>
          <w:szCs w:val="24"/>
        </w:rPr>
        <w:t xml:space="preserve"> (with texture)</w:t>
      </w:r>
      <w:r w:rsidR="00124503" w:rsidRPr="00124503">
        <w:rPr>
          <w:sz w:val="24"/>
          <w:szCs w:val="24"/>
        </w:rPr>
        <w:t xml:space="preserve">, </w:t>
      </w:r>
      <w:r w:rsidR="00D61F12" w:rsidRPr="001E00BE">
        <w:rPr>
          <w:sz w:val="24"/>
          <w:szCs w:val="24"/>
        </w:rPr>
        <w:t xml:space="preserve">and </w:t>
      </w:r>
      <w:r w:rsidR="00124503" w:rsidRPr="00124503">
        <w:rPr>
          <w:sz w:val="24"/>
          <w:szCs w:val="24"/>
        </w:rPr>
        <w:t>lighter colored so patients can acclimate themselves to stepping onto the floor from a stretcher</w:t>
      </w:r>
      <w:r w:rsidR="00D61F12" w:rsidRPr="001E00BE">
        <w:rPr>
          <w:sz w:val="24"/>
          <w:szCs w:val="24"/>
        </w:rPr>
        <w:t xml:space="preserve">, </w:t>
      </w:r>
      <w:r w:rsidR="001E00BE" w:rsidRPr="001E00BE">
        <w:rPr>
          <w:sz w:val="24"/>
          <w:szCs w:val="24"/>
        </w:rPr>
        <w:t xml:space="preserve">as well as </w:t>
      </w:r>
      <w:r w:rsidR="00124503" w:rsidRPr="00124503">
        <w:rPr>
          <w:sz w:val="24"/>
          <w:szCs w:val="24"/>
        </w:rPr>
        <w:t xml:space="preserve">using color transitions that </w:t>
      </w:r>
      <w:r w:rsidR="001E00BE" w:rsidRPr="001E00BE">
        <w:rPr>
          <w:sz w:val="24"/>
          <w:szCs w:val="24"/>
        </w:rPr>
        <w:t xml:space="preserve">assist those </w:t>
      </w:r>
      <w:r w:rsidR="00124503" w:rsidRPr="00124503">
        <w:rPr>
          <w:sz w:val="24"/>
          <w:szCs w:val="24"/>
        </w:rPr>
        <w:t>with weaker eyesight.</w:t>
      </w:r>
      <w:r w:rsidR="001E00BE" w:rsidRPr="00284E66">
        <w:rPr>
          <w:sz w:val="24"/>
          <w:szCs w:val="24"/>
        </w:rPr>
        <w:t xml:space="preserve"> The units also can be lowered to </w:t>
      </w:r>
      <w:r w:rsidR="00124503" w:rsidRPr="00124503">
        <w:rPr>
          <w:bCs/>
          <w:sz w:val="24"/>
          <w:szCs w:val="24"/>
        </w:rPr>
        <w:t>20 inches</w:t>
      </w:r>
      <w:r w:rsidR="00284E66">
        <w:rPr>
          <w:bCs/>
          <w:sz w:val="24"/>
          <w:szCs w:val="24"/>
        </w:rPr>
        <w:t xml:space="preserve">, </w:t>
      </w:r>
      <w:r w:rsidR="00124503" w:rsidRPr="00124503">
        <w:rPr>
          <w:bCs/>
          <w:sz w:val="24"/>
          <w:szCs w:val="24"/>
        </w:rPr>
        <w:t xml:space="preserve">have microphones with </w:t>
      </w:r>
      <w:r w:rsidR="001F6344">
        <w:rPr>
          <w:bCs/>
          <w:sz w:val="24"/>
          <w:szCs w:val="24"/>
        </w:rPr>
        <w:t xml:space="preserve">adjustable </w:t>
      </w:r>
      <w:r w:rsidR="00124503" w:rsidRPr="00124503">
        <w:rPr>
          <w:bCs/>
          <w:sz w:val="24"/>
          <w:szCs w:val="24"/>
        </w:rPr>
        <w:t>volume</w:t>
      </w:r>
      <w:r w:rsidR="00280B16" w:rsidRPr="00284E66">
        <w:rPr>
          <w:bCs/>
          <w:sz w:val="24"/>
          <w:szCs w:val="24"/>
        </w:rPr>
        <w:t xml:space="preserve">, </w:t>
      </w:r>
      <w:r w:rsidR="001F6344">
        <w:rPr>
          <w:bCs/>
          <w:sz w:val="24"/>
          <w:szCs w:val="24"/>
        </w:rPr>
        <w:t xml:space="preserve">have </w:t>
      </w:r>
      <w:r w:rsidR="00124503" w:rsidRPr="00124503">
        <w:rPr>
          <w:bCs/>
          <w:sz w:val="24"/>
          <w:szCs w:val="24"/>
        </w:rPr>
        <w:t xml:space="preserve">visual aids </w:t>
      </w:r>
      <w:r w:rsidR="001F6344" w:rsidRPr="00124503">
        <w:rPr>
          <w:bCs/>
          <w:sz w:val="24"/>
          <w:szCs w:val="24"/>
        </w:rPr>
        <w:t>for breathing instructions</w:t>
      </w:r>
      <w:r w:rsidR="001F6344" w:rsidRPr="001F6344">
        <w:rPr>
          <w:bCs/>
          <w:sz w:val="24"/>
          <w:szCs w:val="24"/>
        </w:rPr>
        <w:t xml:space="preserve"> </w:t>
      </w:r>
      <w:r w:rsidR="00124503" w:rsidRPr="00124503">
        <w:rPr>
          <w:bCs/>
          <w:sz w:val="24"/>
          <w:szCs w:val="24"/>
        </w:rPr>
        <w:t>for patients with hearing limitations</w:t>
      </w:r>
      <w:r w:rsidR="00983B95" w:rsidRPr="00284E66">
        <w:rPr>
          <w:bCs/>
          <w:sz w:val="24"/>
          <w:szCs w:val="24"/>
        </w:rPr>
        <w:t xml:space="preserve">, and in addition to </w:t>
      </w:r>
      <w:r w:rsidR="00124503" w:rsidRPr="00124503">
        <w:rPr>
          <w:bCs/>
          <w:sz w:val="24"/>
          <w:szCs w:val="24"/>
        </w:rPr>
        <w:t>wheelchairs and stretchers</w:t>
      </w:r>
      <w:r w:rsidR="00983B95">
        <w:rPr>
          <w:bCs/>
          <w:sz w:val="24"/>
          <w:szCs w:val="24"/>
        </w:rPr>
        <w:t xml:space="preserve">, </w:t>
      </w:r>
      <w:r w:rsidR="00983B95" w:rsidRPr="00124503">
        <w:rPr>
          <w:bCs/>
          <w:sz w:val="24"/>
          <w:szCs w:val="24"/>
        </w:rPr>
        <w:t xml:space="preserve">walkers </w:t>
      </w:r>
      <w:r w:rsidR="00284E66">
        <w:rPr>
          <w:bCs/>
          <w:sz w:val="24"/>
          <w:szCs w:val="24"/>
        </w:rPr>
        <w:t xml:space="preserve">are </w:t>
      </w:r>
      <w:r w:rsidR="00983B95" w:rsidRPr="00124503">
        <w:rPr>
          <w:bCs/>
          <w:sz w:val="24"/>
          <w:szCs w:val="24"/>
        </w:rPr>
        <w:t>available to patients</w:t>
      </w:r>
      <w:r w:rsidR="00284E66">
        <w:rPr>
          <w:bCs/>
          <w:sz w:val="24"/>
          <w:szCs w:val="24"/>
        </w:rPr>
        <w:t>.</w:t>
      </w:r>
    </w:p>
    <w:p w14:paraId="5E75299C" w14:textId="77777777" w:rsidR="005C1EB6" w:rsidRPr="005C1EB6" w:rsidRDefault="005C1EB6" w:rsidP="005C1EB6">
      <w:pPr>
        <w:spacing w:line="240" w:lineRule="auto"/>
        <w:rPr>
          <w:b/>
          <w:bCs/>
          <w:i/>
          <w:iCs/>
          <w:sz w:val="24"/>
          <w:szCs w:val="24"/>
        </w:rPr>
      </w:pPr>
      <w:r w:rsidRPr="005C1EB6">
        <w:rPr>
          <w:b/>
          <w:bCs/>
          <w:i/>
          <w:iCs/>
          <w:sz w:val="24"/>
          <w:szCs w:val="24"/>
        </w:rPr>
        <w:t>Analysis</w:t>
      </w:r>
    </w:p>
    <w:p w14:paraId="23C54F8C" w14:textId="4E5DA2C9" w:rsidR="005C1EB6" w:rsidRDefault="001F09AD" w:rsidP="005C1EB6">
      <w:pPr>
        <w:spacing w:line="240" w:lineRule="auto"/>
        <w:rPr>
          <w:sz w:val="24"/>
          <w:szCs w:val="24"/>
        </w:rPr>
      </w:pPr>
      <w:r>
        <w:rPr>
          <w:sz w:val="24"/>
          <w:szCs w:val="24"/>
        </w:rPr>
        <w:t>As described herein,</w:t>
      </w:r>
      <w:r w:rsidRPr="001F09AD">
        <w:rPr>
          <w:sz w:val="24"/>
          <w:szCs w:val="24"/>
        </w:rPr>
        <w:t xml:space="preserve"> </w:t>
      </w:r>
      <w:r>
        <w:rPr>
          <w:sz w:val="24"/>
          <w:szCs w:val="24"/>
        </w:rPr>
        <w:t>t</w:t>
      </w:r>
      <w:r w:rsidRPr="001F09AD">
        <w:rPr>
          <w:sz w:val="24"/>
          <w:szCs w:val="24"/>
        </w:rPr>
        <w:t>he Applicant provided descriptions of its programs designed to improve health equity, and inclusion.</w:t>
      </w:r>
      <w:r>
        <w:rPr>
          <w:sz w:val="24"/>
          <w:szCs w:val="24"/>
        </w:rPr>
        <w:t xml:space="preserve"> </w:t>
      </w:r>
      <w:r w:rsidR="005C1EB6" w:rsidRPr="005C1EB6">
        <w:rPr>
          <w:sz w:val="24"/>
          <w:szCs w:val="24"/>
        </w:rPr>
        <w:t>The Applicant stresses that CDH is committed to promoting health equity, ensuring patients can access the Hospital’s services and effectively communicate with their providers, and offers a variety of services to address SD</w:t>
      </w:r>
      <w:r w:rsidR="00640036">
        <w:rPr>
          <w:sz w:val="24"/>
          <w:szCs w:val="24"/>
        </w:rPr>
        <w:t>O</w:t>
      </w:r>
      <w:r w:rsidR="005C1EB6" w:rsidRPr="005C1EB6">
        <w:rPr>
          <w:sz w:val="24"/>
          <w:szCs w:val="24"/>
        </w:rPr>
        <w:t>H</w:t>
      </w:r>
      <w:r>
        <w:rPr>
          <w:sz w:val="24"/>
          <w:szCs w:val="24"/>
        </w:rPr>
        <w:t xml:space="preserve"> </w:t>
      </w:r>
      <w:r w:rsidR="005C1EB6" w:rsidRPr="005C1EB6">
        <w:rPr>
          <w:sz w:val="24"/>
          <w:szCs w:val="24"/>
        </w:rPr>
        <w:t>and health disparities. The Applicant anticipates the Proposed Project will result in improved patient experience</w:t>
      </w:r>
      <w:r>
        <w:rPr>
          <w:sz w:val="24"/>
          <w:szCs w:val="24"/>
        </w:rPr>
        <w:t>,</w:t>
      </w:r>
      <w:r w:rsidR="005C1EB6" w:rsidRPr="005C1EB6">
        <w:rPr>
          <w:sz w:val="24"/>
          <w:szCs w:val="24"/>
        </w:rPr>
        <w:t xml:space="preserve"> quality outcomes</w:t>
      </w:r>
      <w:r>
        <w:rPr>
          <w:sz w:val="24"/>
          <w:szCs w:val="24"/>
        </w:rPr>
        <w:t xml:space="preserve"> and equity</w:t>
      </w:r>
      <w:r w:rsidR="005C1EB6" w:rsidRPr="005C1EB6">
        <w:rPr>
          <w:sz w:val="24"/>
          <w:szCs w:val="24"/>
        </w:rPr>
        <w:t xml:space="preserve">. </w:t>
      </w:r>
      <w:r w:rsidR="00B936E7">
        <w:rPr>
          <w:sz w:val="24"/>
          <w:szCs w:val="24"/>
        </w:rPr>
        <w:t>S</w:t>
      </w:r>
      <w:r w:rsidR="005C1EB6" w:rsidRPr="005C1EB6">
        <w:rPr>
          <w:sz w:val="24"/>
          <w:szCs w:val="24"/>
        </w:rPr>
        <w:t xml:space="preserve">taff believes the </w:t>
      </w:r>
      <w:r w:rsidR="0088429E">
        <w:rPr>
          <w:sz w:val="24"/>
          <w:szCs w:val="24"/>
        </w:rPr>
        <w:t xml:space="preserve">programs </w:t>
      </w:r>
      <w:r w:rsidR="009627C8">
        <w:rPr>
          <w:sz w:val="24"/>
          <w:szCs w:val="24"/>
        </w:rPr>
        <w:t xml:space="preserve">described </w:t>
      </w:r>
      <w:r w:rsidR="005C1EB6" w:rsidRPr="005C1EB6">
        <w:rPr>
          <w:sz w:val="24"/>
          <w:szCs w:val="24"/>
        </w:rPr>
        <w:t xml:space="preserve">will improve access to CT imaging </w:t>
      </w:r>
      <w:r w:rsidR="0098143C">
        <w:rPr>
          <w:sz w:val="24"/>
          <w:szCs w:val="24"/>
        </w:rPr>
        <w:t>for those deemed underserved in the region</w:t>
      </w:r>
      <w:r w:rsidR="004E7A21">
        <w:rPr>
          <w:sz w:val="24"/>
          <w:szCs w:val="24"/>
        </w:rPr>
        <w:t>, and for whom travel beyond the service area can pose additional challenges</w:t>
      </w:r>
      <w:r w:rsidR="00B936E7">
        <w:rPr>
          <w:sz w:val="24"/>
          <w:szCs w:val="24"/>
        </w:rPr>
        <w:t xml:space="preserve">, and as a result the Proposed Project </w:t>
      </w:r>
      <w:r w:rsidR="005C1EB6" w:rsidRPr="005C1EB6">
        <w:rPr>
          <w:sz w:val="24"/>
          <w:szCs w:val="24"/>
        </w:rPr>
        <w:t xml:space="preserve">and </w:t>
      </w:r>
      <w:r w:rsidR="00B936E7">
        <w:rPr>
          <w:sz w:val="24"/>
          <w:szCs w:val="24"/>
        </w:rPr>
        <w:t xml:space="preserve">may </w:t>
      </w:r>
      <w:r w:rsidR="005C1EB6" w:rsidRPr="005C1EB6">
        <w:rPr>
          <w:sz w:val="24"/>
          <w:szCs w:val="24"/>
        </w:rPr>
        <w:t>ultimately improve health outcomes for all patients whose clinical condition benefit from CT</w:t>
      </w:r>
      <w:r w:rsidR="00FD3401">
        <w:rPr>
          <w:sz w:val="24"/>
          <w:szCs w:val="24"/>
        </w:rPr>
        <w:t xml:space="preserve"> scans.</w:t>
      </w:r>
    </w:p>
    <w:p w14:paraId="41ED1AEB" w14:textId="348C1AFA" w:rsidR="003E1CDA" w:rsidRPr="00376AD5" w:rsidRDefault="003E1CDA" w:rsidP="002B05B4">
      <w:pPr>
        <w:pStyle w:val="Heading1"/>
      </w:pPr>
      <w:bookmarkStart w:id="11" w:name="_Toc144121531"/>
      <w:r w:rsidRPr="003E1CDA">
        <w:lastRenderedPageBreak/>
        <w:t>Factor 1: c) Efficiency, Continuity of Care, Coordination of Care</w:t>
      </w:r>
      <w:bookmarkEnd w:id="11"/>
      <w:r w:rsidR="005B68F6">
        <w:t xml:space="preserve"> </w:t>
      </w:r>
    </w:p>
    <w:p w14:paraId="0CDE42A6" w14:textId="4D1DB763" w:rsidR="00C67247" w:rsidRDefault="00C67247" w:rsidP="00376AD5">
      <w:pPr>
        <w:spacing w:before="240" w:line="240" w:lineRule="auto"/>
        <w:rPr>
          <w:bCs/>
          <w:sz w:val="24"/>
          <w:szCs w:val="24"/>
        </w:rPr>
      </w:pPr>
      <w:r>
        <w:rPr>
          <w:bCs/>
          <w:sz w:val="24"/>
          <w:szCs w:val="24"/>
        </w:rPr>
        <w:t>The Applicant asserts t</w:t>
      </w:r>
      <w:r w:rsidRPr="00C67247">
        <w:rPr>
          <w:bCs/>
          <w:sz w:val="24"/>
          <w:szCs w:val="24"/>
        </w:rPr>
        <w:t xml:space="preserve">he Proposed Project will ensure continuity of care, improved </w:t>
      </w:r>
      <w:r w:rsidR="003A5696" w:rsidRPr="00C67247">
        <w:rPr>
          <w:bCs/>
          <w:sz w:val="24"/>
          <w:szCs w:val="24"/>
        </w:rPr>
        <w:t xml:space="preserve">health </w:t>
      </w:r>
      <w:r w:rsidR="003A5696">
        <w:rPr>
          <w:bCs/>
          <w:sz w:val="24"/>
          <w:szCs w:val="24"/>
        </w:rPr>
        <w:t>outcomes</w:t>
      </w:r>
      <w:r w:rsidRPr="00C67247">
        <w:rPr>
          <w:bCs/>
          <w:sz w:val="24"/>
          <w:szCs w:val="24"/>
        </w:rPr>
        <w:t xml:space="preserve">, and enhanced quality of life </w:t>
      </w:r>
      <w:r>
        <w:rPr>
          <w:bCs/>
          <w:sz w:val="24"/>
          <w:szCs w:val="24"/>
        </w:rPr>
        <w:t>in several ways.</w:t>
      </w:r>
    </w:p>
    <w:p w14:paraId="34388994" w14:textId="243CC9A4" w:rsidR="00C67247" w:rsidRPr="00C67247" w:rsidRDefault="00C67247" w:rsidP="003A5696">
      <w:pPr>
        <w:spacing w:line="240" w:lineRule="auto"/>
        <w:rPr>
          <w:bCs/>
          <w:sz w:val="24"/>
          <w:szCs w:val="24"/>
        </w:rPr>
      </w:pPr>
      <w:r>
        <w:rPr>
          <w:bCs/>
          <w:sz w:val="24"/>
          <w:szCs w:val="24"/>
        </w:rPr>
        <w:t>H</w:t>
      </w:r>
      <w:r w:rsidRPr="00C67247">
        <w:rPr>
          <w:bCs/>
          <w:sz w:val="24"/>
          <w:szCs w:val="24"/>
        </w:rPr>
        <w:t>aving the CT scanner embedded in the ED will increase efficiency and collaboration between the ED team and Radiology</w:t>
      </w:r>
      <w:r w:rsidR="00376AD5">
        <w:rPr>
          <w:bCs/>
          <w:sz w:val="24"/>
          <w:szCs w:val="24"/>
        </w:rPr>
        <w:t>; and b</w:t>
      </w:r>
      <w:r>
        <w:rPr>
          <w:bCs/>
          <w:sz w:val="24"/>
          <w:szCs w:val="24"/>
        </w:rPr>
        <w:t>y e</w:t>
      </w:r>
      <w:r w:rsidRPr="00C67247">
        <w:rPr>
          <w:bCs/>
          <w:sz w:val="24"/>
          <w:szCs w:val="24"/>
        </w:rPr>
        <w:t>stablishing Radiology as part of the ED team</w:t>
      </w:r>
      <w:r w:rsidR="003A0C72">
        <w:rPr>
          <w:bCs/>
          <w:sz w:val="24"/>
          <w:szCs w:val="24"/>
        </w:rPr>
        <w:t xml:space="preserve">, it is anticipated that </w:t>
      </w:r>
      <w:r w:rsidRPr="00C67247">
        <w:rPr>
          <w:bCs/>
          <w:sz w:val="24"/>
          <w:szCs w:val="24"/>
        </w:rPr>
        <w:t>workflows</w:t>
      </w:r>
      <w:r w:rsidR="003A0C72">
        <w:rPr>
          <w:bCs/>
          <w:sz w:val="24"/>
          <w:szCs w:val="24"/>
        </w:rPr>
        <w:t xml:space="preserve"> will be enhanced</w:t>
      </w:r>
      <w:r w:rsidRPr="00C67247">
        <w:rPr>
          <w:bCs/>
          <w:sz w:val="24"/>
          <w:szCs w:val="24"/>
        </w:rPr>
        <w:t xml:space="preserve">, </w:t>
      </w:r>
      <w:r w:rsidR="003A0C72">
        <w:rPr>
          <w:bCs/>
          <w:sz w:val="24"/>
          <w:szCs w:val="24"/>
        </w:rPr>
        <w:t xml:space="preserve">and </w:t>
      </w:r>
      <w:r w:rsidRPr="00C67247">
        <w:rPr>
          <w:bCs/>
          <w:sz w:val="24"/>
          <w:szCs w:val="24"/>
        </w:rPr>
        <w:t xml:space="preserve">morale and collaboration </w:t>
      </w:r>
      <w:r w:rsidR="003A0C72">
        <w:rPr>
          <w:bCs/>
          <w:sz w:val="24"/>
          <w:szCs w:val="24"/>
        </w:rPr>
        <w:t xml:space="preserve">among </w:t>
      </w:r>
      <w:r w:rsidRPr="00C67247">
        <w:rPr>
          <w:bCs/>
          <w:sz w:val="24"/>
          <w:szCs w:val="24"/>
        </w:rPr>
        <w:t>the department</w:t>
      </w:r>
      <w:r w:rsidR="003A0C72">
        <w:rPr>
          <w:bCs/>
          <w:sz w:val="24"/>
          <w:szCs w:val="24"/>
        </w:rPr>
        <w:t>s improved</w:t>
      </w:r>
      <w:r w:rsidRPr="00C67247">
        <w:rPr>
          <w:bCs/>
          <w:sz w:val="24"/>
          <w:szCs w:val="24"/>
        </w:rPr>
        <w:t>.</w:t>
      </w:r>
      <w:r w:rsidR="003A0C72">
        <w:rPr>
          <w:bCs/>
          <w:sz w:val="24"/>
          <w:szCs w:val="24"/>
        </w:rPr>
        <w:t xml:space="preserve"> Further,</w:t>
      </w:r>
      <w:r w:rsidRPr="00C67247">
        <w:rPr>
          <w:bCs/>
          <w:sz w:val="24"/>
          <w:szCs w:val="24"/>
        </w:rPr>
        <w:t xml:space="preserve"> </w:t>
      </w:r>
      <w:r w:rsidR="003A0C72">
        <w:rPr>
          <w:bCs/>
          <w:sz w:val="24"/>
          <w:szCs w:val="24"/>
        </w:rPr>
        <w:t>r</w:t>
      </w:r>
      <w:r w:rsidRPr="00C67247">
        <w:rPr>
          <w:bCs/>
          <w:sz w:val="24"/>
          <w:szCs w:val="24"/>
        </w:rPr>
        <w:t xml:space="preserve">adiology will have </w:t>
      </w:r>
      <w:r>
        <w:rPr>
          <w:bCs/>
          <w:sz w:val="24"/>
          <w:szCs w:val="24"/>
        </w:rPr>
        <w:t xml:space="preserve">ongoing access to </w:t>
      </w:r>
      <w:r w:rsidRPr="00C67247">
        <w:rPr>
          <w:bCs/>
          <w:sz w:val="24"/>
          <w:szCs w:val="24"/>
        </w:rPr>
        <w:t xml:space="preserve">ED resources </w:t>
      </w:r>
      <w:r>
        <w:rPr>
          <w:bCs/>
          <w:sz w:val="24"/>
          <w:szCs w:val="24"/>
        </w:rPr>
        <w:t xml:space="preserve">and staff will be </w:t>
      </w:r>
      <w:r w:rsidRPr="00C67247">
        <w:rPr>
          <w:bCs/>
          <w:sz w:val="24"/>
          <w:szCs w:val="24"/>
        </w:rPr>
        <w:t>more readily available to help with the clinical care of</w:t>
      </w:r>
      <w:r>
        <w:rPr>
          <w:bCs/>
          <w:sz w:val="24"/>
          <w:szCs w:val="24"/>
        </w:rPr>
        <w:t xml:space="preserve"> ED</w:t>
      </w:r>
      <w:r w:rsidRPr="00C67247">
        <w:rPr>
          <w:bCs/>
          <w:sz w:val="24"/>
          <w:szCs w:val="24"/>
        </w:rPr>
        <w:t xml:space="preserve"> patients </w:t>
      </w:r>
      <w:r w:rsidR="003A0C72">
        <w:rPr>
          <w:bCs/>
          <w:sz w:val="24"/>
          <w:szCs w:val="24"/>
        </w:rPr>
        <w:t xml:space="preserve">who </w:t>
      </w:r>
      <w:r w:rsidR="00376AD5">
        <w:rPr>
          <w:bCs/>
          <w:sz w:val="24"/>
          <w:szCs w:val="24"/>
        </w:rPr>
        <w:t>undergo</w:t>
      </w:r>
      <w:r w:rsidR="003A0C72">
        <w:rPr>
          <w:bCs/>
          <w:sz w:val="24"/>
          <w:szCs w:val="24"/>
        </w:rPr>
        <w:t xml:space="preserve"> </w:t>
      </w:r>
      <w:r w:rsidRPr="00C67247">
        <w:rPr>
          <w:bCs/>
          <w:sz w:val="24"/>
          <w:szCs w:val="24"/>
        </w:rPr>
        <w:t xml:space="preserve">imaging. </w:t>
      </w:r>
      <w:r w:rsidR="003A0C72">
        <w:rPr>
          <w:bCs/>
          <w:sz w:val="24"/>
          <w:szCs w:val="24"/>
        </w:rPr>
        <w:t xml:space="preserve">All </w:t>
      </w:r>
      <w:r w:rsidRPr="00C67247">
        <w:rPr>
          <w:bCs/>
          <w:sz w:val="24"/>
          <w:szCs w:val="24"/>
        </w:rPr>
        <w:t>ED critical findings</w:t>
      </w:r>
      <w:r w:rsidR="003A0C72">
        <w:rPr>
          <w:bCs/>
          <w:sz w:val="24"/>
          <w:szCs w:val="24"/>
        </w:rPr>
        <w:t>, including radiology</w:t>
      </w:r>
      <w:r w:rsidRPr="00C67247">
        <w:rPr>
          <w:bCs/>
          <w:sz w:val="24"/>
          <w:szCs w:val="24"/>
        </w:rPr>
        <w:t xml:space="preserve"> will be communicated using the Critical Results System - Alert Notification of Critical Results (“ANCR”),</w:t>
      </w:r>
      <w:r w:rsidR="003A0C72">
        <w:rPr>
          <w:rStyle w:val="FootnoteReference"/>
          <w:bCs/>
          <w:sz w:val="24"/>
          <w:szCs w:val="24"/>
        </w:rPr>
        <w:footnoteReference w:id="21"/>
      </w:r>
      <w:r w:rsidRPr="00C67247">
        <w:rPr>
          <w:bCs/>
          <w:sz w:val="24"/>
          <w:szCs w:val="24"/>
        </w:rPr>
        <w:t xml:space="preserve"> which provides immediate results for critical findings</w:t>
      </w:r>
      <w:r w:rsidR="003A0C72">
        <w:rPr>
          <w:bCs/>
          <w:sz w:val="24"/>
          <w:szCs w:val="24"/>
        </w:rPr>
        <w:t xml:space="preserve"> within the ED and</w:t>
      </w:r>
      <w:r w:rsidRPr="00C67247">
        <w:rPr>
          <w:bCs/>
          <w:sz w:val="24"/>
          <w:szCs w:val="24"/>
        </w:rPr>
        <w:t xml:space="preserve"> automatically to the referring physicians.</w:t>
      </w:r>
      <w:r>
        <w:rPr>
          <w:bCs/>
          <w:sz w:val="24"/>
          <w:szCs w:val="24"/>
        </w:rPr>
        <w:t xml:space="preserve"> </w:t>
      </w:r>
      <w:r w:rsidR="003A0C72">
        <w:rPr>
          <w:bCs/>
          <w:sz w:val="24"/>
          <w:szCs w:val="24"/>
        </w:rPr>
        <w:t xml:space="preserve">Efficiencies will also be gained </w:t>
      </w:r>
      <w:r w:rsidRPr="00C67247">
        <w:rPr>
          <w:bCs/>
          <w:sz w:val="24"/>
          <w:szCs w:val="24"/>
        </w:rPr>
        <w:t>since ED patients will no longer need to be transported to Radiology</w:t>
      </w:r>
      <w:r w:rsidR="003A0C72">
        <w:rPr>
          <w:bCs/>
          <w:sz w:val="24"/>
          <w:szCs w:val="24"/>
        </w:rPr>
        <w:t>.</w:t>
      </w:r>
    </w:p>
    <w:p w14:paraId="2EC0F77C" w14:textId="178C5CAF" w:rsidR="000325FE" w:rsidRPr="003A5696" w:rsidRDefault="003A0C72" w:rsidP="000325FE">
      <w:pPr>
        <w:spacing w:line="240" w:lineRule="auto"/>
        <w:rPr>
          <w:bCs/>
          <w:sz w:val="24"/>
          <w:szCs w:val="24"/>
        </w:rPr>
      </w:pPr>
      <w:r>
        <w:rPr>
          <w:bCs/>
          <w:sz w:val="24"/>
          <w:szCs w:val="24"/>
        </w:rPr>
        <w:t xml:space="preserve">Additionally, </w:t>
      </w:r>
      <w:r w:rsidRPr="00C67247">
        <w:rPr>
          <w:bCs/>
          <w:sz w:val="24"/>
          <w:szCs w:val="24"/>
        </w:rPr>
        <w:t xml:space="preserve">CDH’s electronic medical record (“EMR”) </w:t>
      </w:r>
      <w:r w:rsidR="000325FE">
        <w:rPr>
          <w:bCs/>
          <w:sz w:val="24"/>
          <w:szCs w:val="24"/>
        </w:rPr>
        <w:t xml:space="preserve">is integrated ensure continuity and coordination of care among </w:t>
      </w:r>
      <w:r w:rsidRPr="00C67247">
        <w:rPr>
          <w:bCs/>
          <w:sz w:val="24"/>
          <w:szCs w:val="24"/>
        </w:rPr>
        <w:t xml:space="preserve">the Hospital </w:t>
      </w:r>
      <w:r w:rsidR="000325FE">
        <w:rPr>
          <w:bCs/>
          <w:sz w:val="24"/>
          <w:szCs w:val="24"/>
        </w:rPr>
        <w:t xml:space="preserve">clinicians, </w:t>
      </w:r>
      <w:r w:rsidRPr="00C67247">
        <w:rPr>
          <w:bCs/>
          <w:sz w:val="24"/>
          <w:szCs w:val="24"/>
        </w:rPr>
        <w:t>community primary care</w:t>
      </w:r>
      <w:r w:rsidR="000325FE">
        <w:rPr>
          <w:bCs/>
          <w:sz w:val="24"/>
          <w:szCs w:val="24"/>
        </w:rPr>
        <w:t xml:space="preserve"> and members of the care team</w:t>
      </w:r>
      <w:r w:rsidR="000325FE" w:rsidRPr="000325FE">
        <w:rPr>
          <w:bCs/>
          <w:sz w:val="24"/>
          <w:szCs w:val="24"/>
        </w:rPr>
        <w:t xml:space="preserve"> such as </w:t>
      </w:r>
      <w:r w:rsidR="000325FE" w:rsidRPr="00C67247">
        <w:rPr>
          <w:bCs/>
          <w:sz w:val="24"/>
          <w:szCs w:val="24"/>
        </w:rPr>
        <w:t>case management</w:t>
      </w:r>
      <w:r w:rsidR="000325FE">
        <w:rPr>
          <w:bCs/>
          <w:sz w:val="24"/>
          <w:szCs w:val="24"/>
        </w:rPr>
        <w:t xml:space="preserve"> and </w:t>
      </w:r>
      <w:r w:rsidR="000325FE" w:rsidRPr="00C67247">
        <w:rPr>
          <w:bCs/>
          <w:sz w:val="24"/>
          <w:szCs w:val="24"/>
        </w:rPr>
        <w:t>social work support</w:t>
      </w:r>
      <w:r w:rsidR="000325FE" w:rsidRPr="000325FE">
        <w:rPr>
          <w:bCs/>
          <w:sz w:val="24"/>
          <w:szCs w:val="24"/>
        </w:rPr>
        <w:t xml:space="preserve"> </w:t>
      </w:r>
      <w:r w:rsidR="000325FE">
        <w:rPr>
          <w:bCs/>
          <w:sz w:val="24"/>
          <w:szCs w:val="24"/>
        </w:rPr>
        <w:t xml:space="preserve">which leads to </w:t>
      </w:r>
      <w:r w:rsidRPr="00C67247">
        <w:rPr>
          <w:bCs/>
          <w:sz w:val="24"/>
          <w:szCs w:val="24"/>
        </w:rPr>
        <w:t>improved health outcomes, and enhanced quality of life</w:t>
      </w:r>
      <w:r w:rsidR="000325FE">
        <w:rPr>
          <w:bCs/>
          <w:sz w:val="24"/>
          <w:szCs w:val="24"/>
        </w:rPr>
        <w:t>.</w:t>
      </w:r>
    </w:p>
    <w:p w14:paraId="7CE10DB2" w14:textId="4DBD3301" w:rsidR="00C67247" w:rsidRPr="00605968" w:rsidRDefault="00C67247" w:rsidP="00C67247">
      <w:pPr>
        <w:rPr>
          <w:b/>
          <w:bCs/>
          <w:i/>
          <w:iCs/>
          <w:color w:val="FF0000"/>
          <w:sz w:val="24"/>
          <w:szCs w:val="24"/>
        </w:rPr>
      </w:pPr>
      <w:r w:rsidRPr="00605968">
        <w:rPr>
          <w:b/>
          <w:bCs/>
          <w:i/>
          <w:iCs/>
          <w:sz w:val="24"/>
          <w:szCs w:val="24"/>
        </w:rPr>
        <w:t>A</w:t>
      </w:r>
      <w:r w:rsidR="003478E4" w:rsidRPr="00605968">
        <w:rPr>
          <w:b/>
          <w:bCs/>
          <w:i/>
          <w:iCs/>
          <w:sz w:val="24"/>
          <w:szCs w:val="24"/>
        </w:rPr>
        <w:t>nalysis</w:t>
      </w:r>
    </w:p>
    <w:p w14:paraId="47A302C1" w14:textId="77777777" w:rsidR="009627C8" w:rsidRDefault="000325FE" w:rsidP="003A5696">
      <w:pPr>
        <w:spacing w:line="240" w:lineRule="auto"/>
        <w:rPr>
          <w:sz w:val="24"/>
          <w:szCs w:val="24"/>
        </w:rPr>
      </w:pPr>
      <w:r>
        <w:rPr>
          <w:sz w:val="24"/>
          <w:szCs w:val="24"/>
        </w:rPr>
        <w:t xml:space="preserve">Staff </w:t>
      </w:r>
      <w:r w:rsidR="00D42D33" w:rsidRPr="0035170A">
        <w:rPr>
          <w:sz w:val="24"/>
          <w:szCs w:val="24"/>
        </w:rPr>
        <w:t>notes that care fragmentation</w:t>
      </w:r>
      <w:r w:rsidR="00437CE8" w:rsidRPr="0035170A">
        <w:rPr>
          <w:sz w:val="24"/>
          <w:szCs w:val="24"/>
        </w:rPr>
        <w:t xml:space="preserve"> </w:t>
      </w:r>
      <w:r w:rsidR="00376AD5">
        <w:rPr>
          <w:sz w:val="24"/>
          <w:szCs w:val="24"/>
        </w:rPr>
        <w:t>can occur</w:t>
      </w:r>
      <w:r w:rsidR="00437CE8" w:rsidRPr="0035170A">
        <w:rPr>
          <w:sz w:val="24"/>
          <w:szCs w:val="24"/>
        </w:rPr>
        <w:t xml:space="preserve"> when healthcare delivery is spread across a number of separately located and operated </w:t>
      </w:r>
      <w:r w:rsidR="00ED73D4" w:rsidRPr="0035170A">
        <w:rPr>
          <w:sz w:val="24"/>
          <w:szCs w:val="24"/>
        </w:rPr>
        <w:t xml:space="preserve">providers </w:t>
      </w:r>
      <w:r w:rsidR="00376AD5">
        <w:rPr>
          <w:sz w:val="24"/>
          <w:szCs w:val="24"/>
        </w:rPr>
        <w:t xml:space="preserve">with disparate systems that lack interoperability. This can be </w:t>
      </w:r>
      <w:r w:rsidR="00D42D33" w:rsidRPr="0035170A">
        <w:rPr>
          <w:sz w:val="24"/>
          <w:szCs w:val="24"/>
        </w:rPr>
        <w:t>a source of inefficiency</w:t>
      </w:r>
      <w:r w:rsidR="00A15936" w:rsidRPr="0035170A">
        <w:rPr>
          <w:sz w:val="24"/>
          <w:szCs w:val="24"/>
        </w:rPr>
        <w:t xml:space="preserve"> and ineffectiveness</w:t>
      </w:r>
      <w:r w:rsidR="00D42D33" w:rsidRPr="0035170A">
        <w:rPr>
          <w:sz w:val="24"/>
          <w:szCs w:val="24"/>
        </w:rPr>
        <w:t xml:space="preserve"> in healthcare</w:t>
      </w:r>
      <w:r w:rsidR="00437CE8" w:rsidRPr="0035170A">
        <w:rPr>
          <w:sz w:val="24"/>
          <w:szCs w:val="24"/>
        </w:rPr>
        <w:t xml:space="preserve"> and </w:t>
      </w:r>
      <w:r w:rsidR="00777FC4" w:rsidRPr="0035170A">
        <w:rPr>
          <w:sz w:val="24"/>
          <w:szCs w:val="24"/>
        </w:rPr>
        <w:t xml:space="preserve">a source of dissatisfaction for </w:t>
      </w:r>
      <w:r w:rsidR="00D42D33" w:rsidRPr="0035170A">
        <w:rPr>
          <w:sz w:val="24"/>
          <w:szCs w:val="24"/>
        </w:rPr>
        <w:t>patients</w:t>
      </w:r>
      <w:r w:rsidR="00437CE8" w:rsidRPr="0035170A">
        <w:rPr>
          <w:sz w:val="24"/>
          <w:szCs w:val="24"/>
        </w:rPr>
        <w:t>.</w:t>
      </w:r>
      <w:r w:rsidR="007D631E" w:rsidRPr="00F559EB">
        <w:rPr>
          <w:rStyle w:val="EndnoteReference"/>
          <w:sz w:val="24"/>
          <w:szCs w:val="24"/>
        </w:rPr>
        <w:endnoteReference w:id="24"/>
      </w:r>
      <w:r w:rsidR="00D42D33" w:rsidRPr="0035170A">
        <w:rPr>
          <w:sz w:val="24"/>
          <w:szCs w:val="24"/>
        </w:rPr>
        <w:t xml:space="preserve"> </w:t>
      </w:r>
    </w:p>
    <w:p w14:paraId="41FE56B2" w14:textId="7F8DA6DF" w:rsidR="0035170A" w:rsidRPr="0035170A" w:rsidRDefault="00EA0F04" w:rsidP="003A5696">
      <w:pPr>
        <w:spacing w:line="240" w:lineRule="auto"/>
        <w:rPr>
          <w:sz w:val="24"/>
          <w:szCs w:val="24"/>
        </w:rPr>
      </w:pPr>
      <w:r>
        <w:rPr>
          <w:sz w:val="24"/>
          <w:szCs w:val="24"/>
        </w:rPr>
        <w:t xml:space="preserve">The Proposed Project will help to prevent fragmentation by embedding CT within the ED and by providing adequate CT resources such that wait-times and travel outside the region for </w:t>
      </w:r>
      <w:r w:rsidR="00B700D1">
        <w:rPr>
          <w:sz w:val="24"/>
          <w:szCs w:val="24"/>
        </w:rPr>
        <w:t xml:space="preserve">such </w:t>
      </w:r>
      <w:r>
        <w:rPr>
          <w:sz w:val="24"/>
          <w:szCs w:val="24"/>
        </w:rPr>
        <w:t xml:space="preserve">services </w:t>
      </w:r>
      <w:r w:rsidR="00376AD5">
        <w:rPr>
          <w:sz w:val="24"/>
          <w:szCs w:val="24"/>
        </w:rPr>
        <w:t>will</w:t>
      </w:r>
      <w:r w:rsidR="00B700D1">
        <w:rPr>
          <w:sz w:val="24"/>
          <w:szCs w:val="24"/>
        </w:rPr>
        <w:t xml:space="preserve"> be</w:t>
      </w:r>
      <w:r>
        <w:rPr>
          <w:sz w:val="24"/>
          <w:szCs w:val="24"/>
        </w:rPr>
        <w:t xml:space="preserve"> reduced.</w:t>
      </w:r>
      <w:r w:rsidR="00B700D1">
        <w:rPr>
          <w:sz w:val="24"/>
          <w:szCs w:val="24"/>
        </w:rPr>
        <w:t xml:space="preserve"> </w:t>
      </w:r>
      <w:r w:rsidR="00BB673F" w:rsidRPr="0035170A">
        <w:rPr>
          <w:sz w:val="24"/>
          <w:szCs w:val="24"/>
        </w:rPr>
        <w:t xml:space="preserve">Co-located services </w:t>
      </w:r>
      <w:r>
        <w:rPr>
          <w:sz w:val="24"/>
          <w:szCs w:val="24"/>
        </w:rPr>
        <w:t>such as CT within the ED, will</w:t>
      </w:r>
      <w:r w:rsidR="009627C8">
        <w:rPr>
          <w:sz w:val="24"/>
          <w:szCs w:val="24"/>
        </w:rPr>
        <w:t xml:space="preserve"> not only</w:t>
      </w:r>
      <w:r>
        <w:rPr>
          <w:sz w:val="24"/>
          <w:szCs w:val="24"/>
        </w:rPr>
        <w:t xml:space="preserve"> reduce the likelihood of </w:t>
      </w:r>
      <w:r w:rsidR="00BB673F" w:rsidRPr="0035170A">
        <w:rPr>
          <w:sz w:val="24"/>
          <w:szCs w:val="24"/>
        </w:rPr>
        <w:t>fragmented care</w:t>
      </w:r>
      <w:r w:rsidR="009627C8">
        <w:rPr>
          <w:sz w:val="24"/>
          <w:szCs w:val="24"/>
        </w:rPr>
        <w:t>,</w:t>
      </w:r>
      <w:r w:rsidR="00BB673F" w:rsidRPr="0035170A">
        <w:rPr>
          <w:sz w:val="24"/>
          <w:szCs w:val="24"/>
        </w:rPr>
        <w:t xml:space="preserve"> </w:t>
      </w:r>
      <w:r w:rsidR="001030D8">
        <w:rPr>
          <w:sz w:val="24"/>
          <w:szCs w:val="24"/>
        </w:rPr>
        <w:t>it</w:t>
      </w:r>
      <w:r w:rsidR="009627C8">
        <w:rPr>
          <w:sz w:val="24"/>
          <w:szCs w:val="24"/>
        </w:rPr>
        <w:t xml:space="preserve"> will also </w:t>
      </w:r>
      <w:r w:rsidR="007618A7" w:rsidRPr="0035170A">
        <w:rPr>
          <w:sz w:val="24"/>
          <w:szCs w:val="24"/>
        </w:rPr>
        <w:t>increas</w:t>
      </w:r>
      <w:r w:rsidR="009627C8">
        <w:rPr>
          <w:sz w:val="24"/>
          <w:szCs w:val="24"/>
        </w:rPr>
        <w:t>e</w:t>
      </w:r>
      <w:r w:rsidR="007618A7" w:rsidRPr="0035170A">
        <w:rPr>
          <w:sz w:val="24"/>
          <w:szCs w:val="24"/>
        </w:rPr>
        <w:t xml:space="preserve"> </w:t>
      </w:r>
      <w:r w:rsidR="00BB673F" w:rsidRPr="0035170A">
        <w:rPr>
          <w:sz w:val="24"/>
          <w:szCs w:val="24"/>
        </w:rPr>
        <w:t>collaboration among providers</w:t>
      </w:r>
      <w:r w:rsidR="007618A7" w:rsidRPr="0035170A">
        <w:rPr>
          <w:sz w:val="24"/>
          <w:szCs w:val="24"/>
        </w:rPr>
        <w:t xml:space="preserve"> and </w:t>
      </w:r>
      <w:r w:rsidR="00BB673F" w:rsidRPr="0035170A">
        <w:rPr>
          <w:sz w:val="24"/>
          <w:szCs w:val="24"/>
        </w:rPr>
        <w:t>efficienc</w:t>
      </w:r>
      <w:r w:rsidR="007618A7" w:rsidRPr="0035170A">
        <w:rPr>
          <w:sz w:val="24"/>
          <w:szCs w:val="24"/>
        </w:rPr>
        <w:t>ies</w:t>
      </w:r>
      <w:r w:rsidR="00376AD5">
        <w:rPr>
          <w:sz w:val="24"/>
          <w:szCs w:val="24"/>
        </w:rPr>
        <w:t xml:space="preserve"> caused by delays in care</w:t>
      </w:r>
      <w:r w:rsidR="00153A6B">
        <w:rPr>
          <w:sz w:val="24"/>
          <w:szCs w:val="24"/>
        </w:rPr>
        <w:t>,</w:t>
      </w:r>
      <w:r w:rsidR="007618A7" w:rsidRPr="0035170A">
        <w:rPr>
          <w:sz w:val="24"/>
          <w:szCs w:val="24"/>
        </w:rPr>
        <w:t xml:space="preserve"> both of which contribute to </w:t>
      </w:r>
      <w:r w:rsidR="00BB673F" w:rsidRPr="0035170A">
        <w:rPr>
          <w:sz w:val="24"/>
          <w:szCs w:val="24"/>
        </w:rPr>
        <w:t xml:space="preserve">improved health outcomes. </w:t>
      </w:r>
    </w:p>
    <w:p w14:paraId="69617CF7" w14:textId="698D3E92" w:rsidR="00B4411E" w:rsidRPr="0035170A" w:rsidRDefault="00D54E53" w:rsidP="003A5696">
      <w:pPr>
        <w:spacing w:line="240" w:lineRule="auto"/>
        <w:rPr>
          <w:sz w:val="24"/>
          <w:szCs w:val="24"/>
        </w:rPr>
      </w:pPr>
      <w:r>
        <w:rPr>
          <w:sz w:val="24"/>
          <w:szCs w:val="24"/>
        </w:rPr>
        <w:t xml:space="preserve">The newer </w:t>
      </w:r>
      <w:r w:rsidR="00EA0F04">
        <w:rPr>
          <w:sz w:val="24"/>
          <w:szCs w:val="24"/>
        </w:rPr>
        <w:t xml:space="preserve">CT </w:t>
      </w:r>
      <w:r>
        <w:rPr>
          <w:sz w:val="24"/>
          <w:szCs w:val="24"/>
        </w:rPr>
        <w:t xml:space="preserve">unit will </w:t>
      </w:r>
      <w:r w:rsidR="003D35D8">
        <w:rPr>
          <w:sz w:val="24"/>
          <w:szCs w:val="24"/>
        </w:rPr>
        <w:t xml:space="preserve">be capable of performing a </w:t>
      </w:r>
      <w:r w:rsidR="00EA0F04">
        <w:rPr>
          <w:sz w:val="24"/>
          <w:szCs w:val="24"/>
        </w:rPr>
        <w:t>broader</w:t>
      </w:r>
      <w:r w:rsidR="003D35D8">
        <w:rPr>
          <w:sz w:val="24"/>
          <w:szCs w:val="24"/>
        </w:rPr>
        <w:t xml:space="preserve"> array</w:t>
      </w:r>
      <w:r w:rsidR="00EA0F04">
        <w:rPr>
          <w:sz w:val="24"/>
          <w:szCs w:val="24"/>
        </w:rPr>
        <w:t xml:space="preserve"> of scans including </w:t>
      </w:r>
      <w:r w:rsidR="003B2FD6">
        <w:rPr>
          <w:sz w:val="24"/>
          <w:szCs w:val="24"/>
        </w:rPr>
        <w:t>CT-</w:t>
      </w:r>
      <w:r w:rsidR="00B700D1">
        <w:rPr>
          <w:sz w:val="24"/>
          <w:szCs w:val="24"/>
        </w:rPr>
        <w:t xml:space="preserve">IR </w:t>
      </w:r>
      <w:r w:rsidR="00EA0F04">
        <w:rPr>
          <w:sz w:val="24"/>
          <w:szCs w:val="24"/>
        </w:rPr>
        <w:t xml:space="preserve">and </w:t>
      </w:r>
      <w:r w:rsidR="00B700D1">
        <w:rPr>
          <w:sz w:val="24"/>
          <w:szCs w:val="24"/>
        </w:rPr>
        <w:t>C</w:t>
      </w:r>
      <w:r w:rsidR="00EA0F04">
        <w:rPr>
          <w:sz w:val="24"/>
          <w:szCs w:val="24"/>
        </w:rPr>
        <w:t xml:space="preserve">CTA </w:t>
      </w:r>
      <w:r w:rsidR="006117AA" w:rsidRPr="00357899">
        <w:rPr>
          <w:sz w:val="24"/>
          <w:szCs w:val="24"/>
        </w:rPr>
        <w:t xml:space="preserve">thereby </w:t>
      </w:r>
      <w:r w:rsidR="00495712" w:rsidRPr="00357899">
        <w:rPr>
          <w:sz w:val="24"/>
          <w:szCs w:val="24"/>
        </w:rPr>
        <w:t xml:space="preserve">yield </w:t>
      </w:r>
      <w:r w:rsidR="00705718" w:rsidRPr="00357899">
        <w:rPr>
          <w:sz w:val="24"/>
          <w:szCs w:val="24"/>
        </w:rPr>
        <w:t>i</w:t>
      </w:r>
      <w:r w:rsidR="00707FEE" w:rsidRPr="00357899">
        <w:rPr>
          <w:sz w:val="24"/>
          <w:szCs w:val="24"/>
        </w:rPr>
        <w:t>mprove</w:t>
      </w:r>
      <w:r w:rsidR="00495712" w:rsidRPr="00357899">
        <w:rPr>
          <w:sz w:val="24"/>
          <w:szCs w:val="24"/>
        </w:rPr>
        <w:t xml:space="preserve">ments in </w:t>
      </w:r>
      <w:r w:rsidR="00707FEE" w:rsidRPr="00357899">
        <w:rPr>
          <w:sz w:val="24"/>
          <w:szCs w:val="24"/>
        </w:rPr>
        <w:t xml:space="preserve">the </w:t>
      </w:r>
      <w:r w:rsidR="003D35D8">
        <w:rPr>
          <w:sz w:val="24"/>
          <w:szCs w:val="24"/>
        </w:rPr>
        <w:t xml:space="preserve">range and </w:t>
      </w:r>
      <w:r w:rsidR="00707FEE" w:rsidRPr="00357899">
        <w:rPr>
          <w:sz w:val="24"/>
          <w:szCs w:val="24"/>
        </w:rPr>
        <w:t>quality of imaging</w:t>
      </w:r>
      <w:r w:rsidR="009627C8">
        <w:rPr>
          <w:sz w:val="24"/>
          <w:szCs w:val="24"/>
        </w:rPr>
        <w:t>. It will also be faster thereby reducing</w:t>
      </w:r>
      <w:r w:rsidR="00705718" w:rsidRPr="00357899">
        <w:rPr>
          <w:sz w:val="24"/>
          <w:szCs w:val="24"/>
        </w:rPr>
        <w:t xml:space="preserve"> turnaround times </w:t>
      </w:r>
      <w:r w:rsidR="00EA0F04">
        <w:rPr>
          <w:sz w:val="24"/>
          <w:szCs w:val="24"/>
        </w:rPr>
        <w:t xml:space="preserve">and improve </w:t>
      </w:r>
      <w:r w:rsidR="00707FEE" w:rsidRPr="00357899">
        <w:rPr>
          <w:sz w:val="24"/>
          <w:szCs w:val="24"/>
        </w:rPr>
        <w:t>access to imaging</w:t>
      </w:r>
      <w:r w:rsidR="00705718" w:rsidRPr="00357899">
        <w:rPr>
          <w:sz w:val="24"/>
          <w:szCs w:val="24"/>
        </w:rPr>
        <w:t>,</w:t>
      </w:r>
      <w:r w:rsidR="00707FEE" w:rsidRPr="00357899">
        <w:rPr>
          <w:sz w:val="24"/>
          <w:szCs w:val="24"/>
        </w:rPr>
        <w:t xml:space="preserve"> </w:t>
      </w:r>
      <w:r w:rsidR="00EA0F04">
        <w:rPr>
          <w:sz w:val="24"/>
          <w:szCs w:val="24"/>
        </w:rPr>
        <w:t xml:space="preserve">while improving </w:t>
      </w:r>
      <w:r w:rsidR="00707FEE" w:rsidRPr="00357899">
        <w:rPr>
          <w:sz w:val="24"/>
          <w:szCs w:val="24"/>
        </w:rPr>
        <w:t xml:space="preserve">operational efficiencies. </w:t>
      </w:r>
    </w:p>
    <w:p w14:paraId="12315D29" w14:textId="7DC5A0D3" w:rsidR="00137187" w:rsidRDefault="009627C8" w:rsidP="003A5696">
      <w:pPr>
        <w:spacing w:line="240" w:lineRule="auto"/>
        <w:rPr>
          <w:sz w:val="24"/>
          <w:szCs w:val="24"/>
        </w:rPr>
      </w:pPr>
      <w:r>
        <w:rPr>
          <w:sz w:val="24"/>
          <w:szCs w:val="24"/>
        </w:rPr>
        <w:t xml:space="preserve">The Applicant has an integrated health information system. </w:t>
      </w:r>
      <w:r w:rsidR="00E316F1" w:rsidRPr="00250142">
        <w:rPr>
          <w:sz w:val="24"/>
          <w:szCs w:val="24"/>
        </w:rPr>
        <w:t>Review of the literature suggests access to integrated health information technology systems directly impacts health outcomes through reducing fragmentation and improving coordination among care providers.</w:t>
      </w:r>
      <w:r w:rsidR="00E316F1" w:rsidRPr="00220821">
        <w:rPr>
          <w:rStyle w:val="EndnoteReference"/>
          <w:sz w:val="24"/>
          <w:szCs w:val="24"/>
        </w:rPr>
        <w:endnoteReference w:id="25"/>
      </w:r>
      <w:r w:rsidR="00220821" w:rsidRPr="00220821">
        <w:rPr>
          <w:sz w:val="24"/>
          <w:szCs w:val="24"/>
          <w:vertAlign w:val="superscript"/>
        </w:rPr>
        <w:t>,</w:t>
      </w:r>
      <w:r w:rsidR="003D35D8">
        <w:rPr>
          <w:sz w:val="24"/>
          <w:szCs w:val="24"/>
          <w:vertAlign w:val="superscript"/>
        </w:rPr>
        <w:t xml:space="preserve"> </w:t>
      </w:r>
      <w:r w:rsidR="00750FA4" w:rsidRPr="00220821">
        <w:rPr>
          <w:rStyle w:val="EndnoteReference"/>
          <w:sz w:val="24"/>
          <w:szCs w:val="24"/>
        </w:rPr>
        <w:endnoteReference w:id="26"/>
      </w:r>
      <w:r w:rsidR="00E316F1" w:rsidRPr="00250142">
        <w:rPr>
          <w:sz w:val="24"/>
          <w:szCs w:val="24"/>
        </w:rPr>
        <w:t xml:space="preserve"> Similarly other studies show that integrated health information technology systems directly affect health outcomes, as access to a single, integrated health record, can reduce errors, improve patient safety, and support better patient outcomes.</w:t>
      </w:r>
      <w:r w:rsidR="00E316F1" w:rsidRPr="00250142">
        <w:rPr>
          <w:rStyle w:val="EndnoteReference"/>
          <w:sz w:val="24"/>
          <w:szCs w:val="24"/>
        </w:rPr>
        <w:endnoteReference w:id="27"/>
      </w:r>
      <w:r w:rsidR="00E316F1">
        <w:rPr>
          <w:sz w:val="24"/>
          <w:szCs w:val="24"/>
        </w:rPr>
        <w:t xml:space="preserve"> </w:t>
      </w:r>
    </w:p>
    <w:p w14:paraId="5401ABD5" w14:textId="4C618003" w:rsidR="003E1CDA" w:rsidRPr="003E1CDA" w:rsidRDefault="003E1CDA" w:rsidP="0024289A">
      <w:pPr>
        <w:pStyle w:val="Heading1"/>
      </w:pPr>
      <w:bookmarkStart w:id="12" w:name="_Toc144121532"/>
      <w:r w:rsidRPr="003E1CDA">
        <w:lastRenderedPageBreak/>
        <w:t>Factor 1: d) Consultation</w:t>
      </w:r>
      <w:bookmarkEnd w:id="12"/>
      <w:r w:rsidRPr="003E1CDA">
        <w:t xml:space="preserve"> </w:t>
      </w:r>
    </w:p>
    <w:p w14:paraId="071ECCC9" w14:textId="77777777" w:rsidR="00B700D1" w:rsidRDefault="00B700D1" w:rsidP="003E1CDA">
      <w:pPr>
        <w:spacing w:after="0" w:line="240" w:lineRule="auto"/>
        <w:rPr>
          <w:sz w:val="24"/>
          <w:szCs w:val="24"/>
        </w:rPr>
      </w:pPr>
    </w:p>
    <w:p w14:paraId="5F29F91F" w14:textId="5DD9C9C7" w:rsidR="003E1CDA" w:rsidRPr="003E1CDA" w:rsidRDefault="003E1CDA" w:rsidP="003E1CDA">
      <w:pPr>
        <w:spacing w:after="0" w:line="240" w:lineRule="auto"/>
        <w:rPr>
          <w:sz w:val="24"/>
          <w:szCs w:val="24"/>
        </w:rPr>
      </w:pPr>
      <w:r w:rsidRPr="003E1CDA">
        <w:rPr>
          <w:sz w:val="24"/>
          <w:szCs w:val="24"/>
        </w:rPr>
        <w:t>The Applicant has provided evidence of consultation, both prior to and after the Filing Date, with all government agencies that have licensure, certification, or other regulatory oversight, which has been done and will not be addressed further in this report.</w:t>
      </w:r>
    </w:p>
    <w:p w14:paraId="7F6D9025" w14:textId="55D279AE" w:rsidR="00B700D1" w:rsidRDefault="003E1CDA" w:rsidP="00B700D1">
      <w:pPr>
        <w:pStyle w:val="Heading1"/>
      </w:pPr>
      <w:bookmarkStart w:id="13" w:name="_Toc144121533"/>
      <w:r w:rsidRPr="003E1CDA">
        <w:t xml:space="preserve">Factor 1: e) Evidence of Sound Community Engagement </w:t>
      </w:r>
      <w:r w:rsidR="00A62447">
        <w:t xml:space="preserve">within </w:t>
      </w:r>
      <w:r w:rsidRPr="003E1CDA">
        <w:t>the Patient Panel</w:t>
      </w:r>
      <w:bookmarkEnd w:id="13"/>
    </w:p>
    <w:p w14:paraId="5B905C39" w14:textId="77777777" w:rsidR="00B700D1" w:rsidRDefault="00B700D1" w:rsidP="003A5696">
      <w:pPr>
        <w:spacing w:after="0" w:line="240" w:lineRule="auto"/>
        <w:rPr>
          <w:sz w:val="24"/>
          <w:szCs w:val="24"/>
        </w:rPr>
      </w:pPr>
    </w:p>
    <w:p w14:paraId="31AE182A" w14:textId="43A2E74D" w:rsidR="003E1CDA" w:rsidRPr="003E1CDA" w:rsidRDefault="003E1CDA" w:rsidP="003A5696">
      <w:pPr>
        <w:spacing w:after="0" w:line="240" w:lineRule="auto"/>
        <w:rPr>
          <w:sz w:val="24"/>
          <w:szCs w:val="24"/>
        </w:rPr>
      </w:pPr>
      <w:r w:rsidRPr="003E1CDA">
        <w:rPr>
          <w:sz w:val="24"/>
          <w:szCs w:val="24"/>
        </w:rPr>
        <w:t>The Department’s Guideline</w:t>
      </w:r>
      <w:r w:rsidRPr="003E1CDA">
        <w:rPr>
          <w:sz w:val="24"/>
          <w:szCs w:val="24"/>
          <w:vertAlign w:val="superscript"/>
        </w:rPr>
        <w:footnoteReference w:id="22"/>
      </w:r>
      <w:r w:rsidRPr="003E1CDA">
        <w:rPr>
          <w:sz w:val="24"/>
          <w:szCs w:val="24"/>
        </w:rPr>
        <w:t xml:space="preserve"> for community engagement defines “community” as the Patient Panel, and requires that at minimum, the Applicant must “consult” with groups representative of the Applicant's Patient Panel. Regulations state that efforts in such consultation should consist of engaging “community coalitions statistically representative of the Patient Panel.”</w:t>
      </w:r>
      <w:r w:rsidRPr="003E1CDA">
        <w:rPr>
          <w:sz w:val="24"/>
          <w:szCs w:val="24"/>
          <w:vertAlign w:val="superscript"/>
        </w:rPr>
        <w:footnoteReference w:id="23"/>
      </w:r>
    </w:p>
    <w:p w14:paraId="5550ED8F" w14:textId="77777777" w:rsidR="00B700D1" w:rsidRDefault="00B700D1" w:rsidP="00B700D1">
      <w:pPr>
        <w:spacing w:after="0" w:line="240" w:lineRule="auto"/>
        <w:rPr>
          <w:sz w:val="24"/>
          <w:szCs w:val="24"/>
        </w:rPr>
      </w:pPr>
      <w:bookmarkStart w:id="14" w:name="_Hlk140505850"/>
    </w:p>
    <w:p w14:paraId="15672705" w14:textId="615D59F5" w:rsidR="00126C6D" w:rsidRPr="00126C6D" w:rsidRDefault="00126C6D" w:rsidP="003A5696">
      <w:pPr>
        <w:spacing w:line="240" w:lineRule="auto"/>
        <w:rPr>
          <w:sz w:val="24"/>
          <w:szCs w:val="24"/>
        </w:rPr>
      </w:pPr>
      <w:r w:rsidRPr="00126C6D">
        <w:rPr>
          <w:sz w:val="24"/>
          <w:szCs w:val="24"/>
        </w:rPr>
        <w:t>To ensure sound community engagement throughout the development of the Proposed Project, the Applicant took the following actions:</w:t>
      </w:r>
    </w:p>
    <w:p w14:paraId="7ECF5E27" w14:textId="77777777" w:rsidR="00126C6D" w:rsidRPr="00126C6D" w:rsidRDefault="00126C6D" w:rsidP="0057409D">
      <w:pPr>
        <w:numPr>
          <w:ilvl w:val="0"/>
          <w:numId w:val="10"/>
        </w:numPr>
        <w:spacing w:after="0" w:line="240" w:lineRule="auto"/>
        <w:rPr>
          <w:sz w:val="24"/>
          <w:szCs w:val="24"/>
        </w:rPr>
      </w:pPr>
      <w:r w:rsidRPr="00126C6D">
        <w:rPr>
          <w:sz w:val="24"/>
          <w:szCs w:val="24"/>
        </w:rPr>
        <w:t xml:space="preserve">PFAC presentation on November 15, 2022. Fourteen (14) individuals were in attendance. </w:t>
      </w:r>
    </w:p>
    <w:p w14:paraId="745C0184" w14:textId="77777777" w:rsidR="00126C6D" w:rsidRPr="00126C6D" w:rsidRDefault="00126C6D" w:rsidP="0057409D">
      <w:pPr>
        <w:numPr>
          <w:ilvl w:val="0"/>
          <w:numId w:val="10"/>
        </w:numPr>
        <w:spacing w:after="0" w:line="240" w:lineRule="auto"/>
        <w:rPr>
          <w:sz w:val="24"/>
          <w:szCs w:val="24"/>
        </w:rPr>
      </w:pPr>
      <w:r w:rsidRPr="00126C6D">
        <w:rPr>
          <w:sz w:val="24"/>
          <w:szCs w:val="24"/>
        </w:rPr>
        <w:t>Healthy Communities Committee presentation on February 13, 2023. Sixteen (16) individuals were in attendance.</w:t>
      </w:r>
    </w:p>
    <w:p w14:paraId="08B30ED5" w14:textId="69FD715F" w:rsidR="00126C6D" w:rsidRDefault="00126C6D" w:rsidP="0057409D">
      <w:pPr>
        <w:numPr>
          <w:ilvl w:val="0"/>
          <w:numId w:val="10"/>
        </w:numPr>
        <w:spacing w:after="0" w:line="240" w:lineRule="auto"/>
        <w:rPr>
          <w:sz w:val="24"/>
          <w:szCs w:val="24"/>
        </w:rPr>
      </w:pPr>
      <w:r w:rsidRPr="00126C6D">
        <w:rPr>
          <w:sz w:val="24"/>
          <w:szCs w:val="24"/>
        </w:rPr>
        <w:t xml:space="preserve">Public Forum presentation on March 2, 2023. Sixteen (16) individuals were in attendance. </w:t>
      </w:r>
      <w:bookmarkEnd w:id="14"/>
    </w:p>
    <w:p w14:paraId="3AF34538" w14:textId="77777777" w:rsidR="0057409D" w:rsidRDefault="0057409D" w:rsidP="0057409D">
      <w:pPr>
        <w:spacing w:after="0" w:line="240" w:lineRule="auto"/>
        <w:ind w:left="720"/>
        <w:rPr>
          <w:sz w:val="24"/>
          <w:szCs w:val="24"/>
        </w:rPr>
      </w:pPr>
    </w:p>
    <w:p w14:paraId="2A3F6C26" w14:textId="6D19D823" w:rsidR="005B68F6" w:rsidRPr="00126C6D" w:rsidRDefault="005B68F6" w:rsidP="003A5696">
      <w:pPr>
        <w:spacing w:line="240" w:lineRule="auto"/>
        <w:rPr>
          <w:sz w:val="24"/>
          <w:szCs w:val="24"/>
        </w:rPr>
      </w:pPr>
      <w:r w:rsidRPr="005B68F6">
        <w:rPr>
          <w:sz w:val="24"/>
          <w:szCs w:val="24"/>
        </w:rPr>
        <w:t>The presentations reviewed the purpose of the Proposed Project, what it would mean for patients and the community, and provided a general overview of the Proposed Project’s process.</w:t>
      </w:r>
      <w:r>
        <w:rPr>
          <w:sz w:val="24"/>
          <w:szCs w:val="24"/>
        </w:rPr>
        <w:t xml:space="preserve"> </w:t>
      </w:r>
    </w:p>
    <w:p w14:paraId="3642F797" w14:textId="77777777" w:rsidR="0057409D" w:rsidRDefault="003E1CDA" w:rsidP="003A5696">
      <w:pPr>
        <w:spacing w:after="0" w:line="240" w:lineRule="auto"/>
        <w:rPr>
          <w:b/>
          <w:bCs/>
          <w:i/>
          <w:iCs/>
          <w:sz w:val="24"/>
          <w:szCs w:val="24"/>
        </w:rPr>
      </w:pPr>
      <w:r w:rsidRPr="003E1CDA">
        <w:rPr>
          <w:b/>
          <w:bCs/>
          <w:i/>
          <w:iCs/>
          <w:sz w:val="24"/>
          <w:szCs w:val="24"/>
        </w:rPr>
        <w:t>Analysis</w:t>
      </w:r>
    </w:p>
    <w:p w14:paraId="351C8F1D" w14:textId="280A82A7" w:rsidR="003E1CDA" w:rsidRPr="003E1CDA" w:rsidRDefault="003E1CDA" w:rsidP="003A5696">
      <w:pPr>
        <w:spacing w:after="0" w:line="240" w:lineRule="auto"/>
        <w:rPr>
          <w:b/>
          <w:bCs/>
          <w:i/>
          <w:iCs/>
          <w:sz w:val="24"/>
          <w:szCs w:val="24"/>
        </w:rPr>
      </w:pPr>
      <w:r w:rsidRPr="003E1CDA">
        <w:rPr>
          <w:b/>
          <w:bCs/>
          <w:i/>
          <w:iCs/>
          <w:sz w:val="24"/>
          <w:szCs w:val="24"/>
        </w:rPr>
        <w:t xml:space="preserve"> </w:t>
      </w:r>
    </w:p>
    <w:p w14:paraId="4F343094" w14:textId="65973C8E" w:rsidR="003E1CDA" w:rsidRPr="003A5696" w:rsidRDefault="003E1CDA" w:rsidP="003A5696">
      <w:pPr>
        <w:spacing w:after="0" w:line="240" w:lineRule="auto"/>
        <w:rPr>
          <w:sz w:val="24"/>
          <w:szCs w:val="24"/>
        </w:rPr>
      </w:pPr>
      <w:r w:rsidRPr="003E1CDA">
        <w:rPr>
          <w:sz w:val="24"/>
          <w:szCs w:val="24"/>
        </w:rPr>
        <w:t>Staff finds that the</w:t>
      </w:r>
      <w:r w:rsidR="005B68F6" w:rsidRPr="005B68F6">
        <w:rPr>
          <w:sz w:val="24"/>
          <w:szCs w:val="24"/>
        </w:rPr>
        <w:t xml:space="preserve"> Applicant sought to engage the community to elicit feedback from patients and families regarding the Proposed Project</w:t>
      </w:r>
      <w:r w:rsidR="005B68F6">
        <w:rPr>
          <w:sz w:val="24"/>
          <w:szCs w:val="24"/>
        </w:rPr>
        <w:t xml:space="preserve"> and thereby the </w:t>
      </w:r>
      <w:r w:rsidRPr="003E1CDA">
        <w:rPr>
          <w:sz w:val="24"/>
          <w:szCs w:val="24"/>
        </w:rPr>
        <w:t xml:space="preserve">Applicant </w:t>
      </w:r>
      <w:r w:rsidR="005B68F6">
        <w:rPr>
          <w:sz w:val="24"/>
          <w:szCs w:val="24"/>
        </w:rPr>
        <w:t xml:space="preserve">has </w:t>
      </w:r>
      <w:r w:rsidRPr="003E1CDA">
        <w:rPr>
          <w:sz w:val="24"/>
          <w:szCs w:val="24"/>
        </w:rPr>
        <w:t>met the minimum required community engagement standard of Consult in the planning phase of the Proposed Project.</w:t>
      </w:r>
    </w:p>
    <w:p w14:paraId="1404F3C7" w14:textId="1D3F36E2" w:rsidR="00126C6D" w:rsidRDefault="003E1CDA" w:rsidP="00126C6D">
      <w:pPr>
        <w:pStyle w:val="Heading1"/>
      </w:pPr>
      <w:bookmarkStart w:id="15" w:name="_Toc144121534"/>
      <w:r w:rsidRPr="003E1CDA">
        <w:t xml:space="preserve">Factor 1: f) Competition </w:t>
      </w:r>
      <w:r w:rsidR="0057409D" w:rsidRPr="003E1CDA">
        <w:t>on</w:t>
      </w:r>
      <w:r w:rsidRPr="003E1CDA">
        <w:t xml:space="preserve"> Price, Total Medical Expenses (TME), Costs </w:t>
      </w:r>
      <w:r w:rsidR="0057409D" w:rsidRPr="003E1CDA">
        <w:t>and</w:t>
      </w:r>
      <w:r w:rsidRPr="003E1CDA">
        <w:t xml:space="preserve"> Other Measures Of Health Care Spending</w:t>
      </w:r>
      <w:bookmarkEnd w:id="15"/>
      <w:r w:rsidR="009C6041">
        <w:t xml:space="preserve"> </w:t>
      </w:r>
    </w:p>
    <w:p w14:paraId="75C893D6" w14:textId="77777777" w:rsidR="00F3518F" w:rsidRPr="00F3518F" w:rsidRDefault="00F3518F" w:rsidP="00F3518F"/>
    <w:p w14:paraId="324A2AC7" w14:textId="318AC98C" w:rsidR="00655AC6" w:rsidRDefault="00655AC6" w:rsidP="003A5696">
      <w:pPr>
        <w:spacing w:after="0" w:line="240" w:lineRule="auto"/>
        <w:rPr>
          <w:sz w:val="24"/>
          <w:szCs w:val="24"/>
        </w:rPr>
      </w:pPr>
      <w:r w:rsidRPr="00B269B1">
        <w:rPr>
          <w:sz w:val="24"/>
          <w:szCs w:val="24"/>
        </w:rPr>
        <w:t xml:space="preserve">The Applicant asserts that the Proposed Project will not have an adverse effect on competition in the Massachusetts healthcare market based on price, TME, provider costs, or other recognized measures of healthcare spending </w:t>
      </w:r>
      <w:r w:rsidR="00805068">
        <w:rPr>
          <w:sz w:val="24"/>
          <w:szCs w:val="24"/>
        </w:rPr>
        <w:t>based on the following</w:t>
      </w:r>
      <w:r w:rsidR="00A275C2">
        <w:rPr>
          <w:sz w:val="24"/>
          <w:szCs w:val="24"/>
        </w:rPr>
        <w:t>.</w:t>
      </w:r>
    </w:p>
    <w:p w14:paraId="3462CB17" w14:textId="77777777" w:rsidR="003A5696" w:rsidRPr="00B269B1" w:rsidRDefault="003A5696" w:rsidP="003A5696">
      <w:pPr>
        <w:spacing w:after="0" w:line="240" w:lineRule="auto"/>
        <w:rPr>
          <w:sz w:val="24"/>
          <w:szCs w:val="24"/>
        </w:rPr>
      </w:pPr>
    </w:p>
    <w:p w14:paraId="4608C437" w14:textId="2374A7A2" w:rsidR="00A275C2" w:rsidRPr="00A275C2" w:rsidRDefault="00BD178D" w:rsidP="003A5696">
      <w:pPr>
        <w:spacing w:line="240" w:lineRule="auto"/>
        <w:rPr>
          <w:sz w:val="24"/>
          <w:szCs w:val="24"/>
        </w:rPr>
      </w:pPr>
      <w:r w:rsidRPr="00BD178D">
        <w:rPr>
          <w:sz w:val="24"/>
          <w:szCs w:val="24"/>
        </w:rPr>
        <w:lastRenderedPageBreak/>
        <w:t xml:space="preserve">The Applicant states </w:t>
      </w:r>
      <w:r>
        <w:rPr>
          <w:sz w:val="24"/>
          <w:szCs w:val="24"/>
        </w:rPr>
        <w:t>t</w:t>
      </w:r>
      <w:r w:rsidRPr="00A275C2">
        <w:rPr>
          <w:sz w:val="24"/>
          <w:szCs w:val="24"/>
        </w:rPr>
        <w:t>he third CT unit in the ED</w:t>
      </w:r>
      <w:r>
        <w:rPr>
          <w:sz w:val="24"/>
          <w:szCs w:val="24"/>
        </w:rPr>
        <w:t xml:space="preserve"> </w:t>
      </w:r>
      <w:r w:rsidR="00701842">
        <w:rPr>
          <w:sz w:val="24"/>
          <w:szCs w:val="24"/>
        </w:rPr>
        <w:t xml:space="preserve">will </w:t>
      </w:r>
      <w:r>
        <w:rPr>
          <w:sz w:val="24"/>
          <w:szCs w:val="24"/>
        </w:rPr>
        <w:t>requir</w:t>
      </w:r>
      <w:r w:rsidR="00701842">
        <w:rPr>
          <w:sz w:val="24"/>
          <w:szCs w:val="24"/>
        </w:rPr>
        <w:t>e</w:t>
      </w:r>
      <w:r>
        <w:rPr>
          <w:sz w:val="24"/>
          <w:szCs w:val="24"/>
        </w:rPr>
        <w:t xml:space="preserve"> </w:t>
      </w:r>
      <w:r w:rsidRPr="00A275C2">
        <w:rPr>
          <w:sz w:val="24"/>
          <w:szCs w:val="24"/>
        </w:rPr>
        <w:t>one full time CT technologist</w:t>
      </w:r>
      <w:r w:rsidR="0082480B">
        <w:rPr>
          <w:sz w:val="24"/>
          <w:szCs w:val="24"/>
        </w:rPr>
        <w:t>, which</w:t>
      </w:r>
      <w:r>
        <w:rPr>
          <w:sz w:val="24"/>
          <w:szCs w:val="24"/>
        </w:rPr>
        <w:t xml:space="preserve"> </w:t>
      </w:r>
      <w:r w:rsidRPr="00A275C2">
        <w:rPr>
          <w:sz w:val="24"/>
          <w:szCs w:val="24"/>
        </w:rPr>
        <w:t>will have a minimal impact on operating costs</w:t>
      </w:r>
      <w:r w:rsidR="00F3518F">
        <w:rPr>
          <w:sz w:val="24"/>
          <w:szCs w:val="24"/>
        </w:rPr>
        <w:t xml:space="preserve">. </w:t>
      </w:r>
      <w:r w:rsidR="0082480B">
        <w:rPr>
          <w:sz w:val="24"/>
          <w:szCs w:val="24"/>
        </w:rPr>
        <w:t>Additionally, s</w:t>
      </w:r>
      <w:r w:rsidR="00F3518F">
        <w:rPr>
          <w:sz w:val="24"/>
          <w:szCs w:val="24"/>
        </w:rPr>
        <w:t>ince</w:t>
      </w:r>
      <w:r>
        <w:rPr>
          <w:sz w:val="24"/>
          <w:szCs w:val="24"/>
        </w:rPr>
        <w:t xml:space="preserve"> </w:t>
      </w:r>
      <w:r w:rsidR="00A275C2" w:rsidRPr="00A275C2">
        <w:rPr>
          <w:sz w:val="24"/>
          <w:szCs w:val="24"/>
        </w:rPr>
        <w:t xml:space="preserve">CDH’s existing </w:t>
      </w:r>
      <w:r w:rsidR="00A275C2">
        <w:rPr>
          <w:sz w:val="24"/>
          <w:szCs w:val="24"/>
        </w:rPr>
        <w:t xml:space="preserve">2 </w:t>
      </w:r>
      <w:r w:rsidR="00A275C2" w:rsidRPr="00A275C2">
        <w:rPr>
          <w:sz w:val="24"/>
          <w:szCs w:val="24"/>
        </w:rPr>
        <w:t>CT</w:t>
      </w:r>
      <w:r w:rsidR="00A275C2">
        <w:rPr>
          <w:sz w:val="24"/>
          <w:szCs w:val="24"/>
        </w:rPr>
        <w:t>s</w:t>
      </w:r>
      <w:r w:rsidR="00A275C2" w:rsidRPr="00A275C2">
        <w:rPr>
          <w:sz w:val="24"/>
          <w:szCs w:val="24"/>
        </w:rPr>
        <w:t xml:space="preserve"> </w:t>
      </w:r>
      <w:r w:rsidR="00A275C2">
        <w:rPr>
          <w:sz w:val="24"/>
          <w:szCs w:val="24"/>
        </w:rPr>
        <w:t xml:space="preserve">are </w:t>
      </w:r>
      <w:r w:rsidR="00A275C2" w:rsidRPr="00A275C2">
        <w:rPr>
          <w:sz w:val="24"/>
          <w:szCs w:val="24"/>
        </w:rPr>
        <w:t xml:space="preserve">operating near full capacity, </w:t>
      </w:r>
      <w:r w:rsidR="00F3518F">
        <w:rPr>
          <w:sz w:val="24"/>
          <w:szCs w:val="24"/>
        </w:rPr>
        <w:t xml:space="preserve">the ED CT may </w:t>
      </w:r>
      <w:r w:rsidR="0082480B">
        <w:rPr>
          <w:sz w:val="24"/>
          <w:szCs w:val="24"/>
        </w:rPr>
        <w:t xml:space="preserve">eliminate cost increases due to </w:t>
      </w:r>
      <w:r w:rsidR="00F3518F">
        <w:rPr>
          <w:sz w:val="24"/>
          <w:szCs w:val="24"/>
        </w:rPr>
        <w:t xml:space="preserve">delayed treatment. When wait times for </w:t>
      </w:r>
      <w:r w:rsidR="00A275C2" w:rsidRPr="00A275C2">
        <w:rPr>
          <w:sz w:val="24"/>
          <w:szCs w:val="24"/>
        </w:rPr>
        <w:t>CT imaging</w:t>
      </w:r>
      <w:r w:rsidR="0082480B">
        <w:rPr>
          <w:sz w:val="24"/>
          <w:szCs w:val="24"/>
        </w:rPr>
        <w:t>,</w:t>
      </w:r>
      <w:r w:rsidR="00A275C2" w:rsidRPr="00A275C2">
        <w:rPr>
          <w:sz w:val="24"/>
          <w:szCs w:val="24"/>
        </w:rPr>
        <w:t xml:space="preserve"> particularly for outpatients and patients requiring interventional CT</w:t>
      </w:r>
      <w:r w:rsidR="00F3518F">
        <w:rPr>
          <w:sz w:val="24"/>
          <w:szCs w:val="24"/>
        </w:rPr>
        <w:t xml:space="preserve"> are prolonged, de</w:t>
      </w:r>
      <w:r w:rsidR="00A275C2" w:rsidRPr="00A275C2">
        <w:rPr>
          <w:sz w:val="24"/>
          <w:szCs w:val="24"/>
        </w:rPr>
        <w:t>lay</w:t>
      </w:r>
      <w:r w:rsidR="00F3518F">
        <w:rPr>
          <w:sz w:val="24"/>
          <w:szCs w:val="24"/>
        </w:rPr>
        <w:t>ed</w:t>
      </w:r>
      <w:r w:rsidR="00A275C2" w:rsidRPr="00A275C2">
        <w:rPr>
          <w:sz w:val="24"/>
          <w:szCs w:val="24"/>
        </w:rPr>
        <w:t xml:space="preserve"> diagnosis </w:t>
      </w:r>
      <w:r w:rsidR="00F3518F">
        <w:rPr>
          <w:sz w:val="24"/>
          <w:szCs w:val="24"/>
        </w:rPr>
        <w:t xml:space="preserve">and </w:t>
      </w:r>
      <w:r w:rsidR="00A275C2" w:rsidRPr="00A275C2">
        <w:rPr>
          <w:sz w:val="24"/>
          <w:szCs w:val="24"/>
        </w:rPr>
        <w:t>treatment</w:t>
      </w:r>
      <w:r w:rsidR="00F3518F">
        <w:rPr>
          <w:sz w:val="24"/>
          <w:szCs w:val="24"/>
        </w:rPr>
        <w:t xml:space="preserve"> can</w:t>
      </w:r>
      <w:r w:rsidR="00A275C2" w:rsidRPr="00A275C2">
        <w:rPr>
          <w:sz w:val="24"/>
          <w:szCs w:val="24"/>
        </w:rPr>
        <w:t xml:space="preserve"> </w:t>
      </w:r>
      <w:r w:rsidR="00F3518F">
        <w:rPr>
          <w:sz w:val="24"/>
          <w:szCs w:val="24"/>
        </w:rPr>
        <w:t xml:space="preserve">result in </w:t>
      </w:r>
      <w:r w:rsidR="002B30FC">
        <w:rPr>
          <w:sz w:val="24"/>
          <w:szCs w:val="24"/>
        </w:rPr>
        <w:t xml:space="preserve">a decline in </w:t>
      </w:r>
      <w:r w:rsidR="00F3518F">
        <w:rPr>
          <w:sz w:val="24"/>
          <w:szCs w:val="24"/>
        </w:rPr>
        <w:t xml:space="preserve">the patient’s medical condition and </w:t>
      </w:r>
      <w:r w:rsidR="00A275C2" w:rsidRPr="00A275C2">
        <w:rPr>
          <w:sz w:val="24"/>
          <w:szCs w:val="24"/>
        </w:rPr>
        <w:t>increas</w:t>
      </w:r>
      <w:r w:rsidR="00F3518F">
        <w:rPr>
          <w:sz w:val="24"/>
          <w:szCs w:val="24"/>
        </w:rPr>
        <w:t>es in</w:t>
      </w:r>
      <w:r w:rsidR="00A275C2" w:rsidRPr="00A275C2">
        <w:rPr>
          <w:sz w:val="24"/>
          <w:szCs w:val="24"/>
        </w:rPr>
        <w:t xml:space="preserve"> the overall cost of care</w:t>
      </w:r>
      <w:r w:rsidR="00F3518F">
        <w:rPr>
          <w:sz w:val="24"/>
          <w:szCs w:val="24"/>
        </w:rPr>
        <w:t>.</w:t>
      </w:r>
      <w:r w:rsidR="00A275C2" w:rsidRPr="00A275C2">
        <w:rPr>
          <w:sz w:val="24"/>
          <w:szCs w:val="24"/>
        </w:rPr>
        <w:t xml:space="preserve"> The third CT unit will improve access to CT interventional procedures that expedite diagnosis and treatment</w:t>
      </w:r>
      <w:r w:rsidR="002B30FC">
        <w:rPr>
          <w:sz w:val="24"/>
          <w:szCs w:val="24"/>
        </w:rPr>
        <w:t>,</w:t>
      </w:r>
      <w:r w:rsidR="00A275C2" w:rsidRPr="00A275C2">
        <w:rPr>
          <w:sz w:val="24"/>
          <w:szCs w:val="24"/>
        </w:rPr>
        <w:t xml:space="preserve"> thereby </w:t>
      </w:r>
      <w:r w:rsidR="002B30FC">
        <w:rPr>
          <w:sz w:val="24"/>
          <w:szCs w:val="24"/>
        </w:rPr>
        <w:t xml:space="preserve">avoiding more </w:t>
      </w:r>
      <w:r w:rsidR="0082480B">
        <w:rPr>
          <w:sz w:val="24"/>
          <w:szCs w:val="24"/>
        </w:rPr>
        <w:t xml:space="preserve">potentially more </w:t>
      </w:r>
      <w:r w:rsidR="002B30FC">
        <w:rPr>
          <w:sz w:val="24"/>
          <w:szCs w:val="24"/>
        </w:rPr>
        <w:t>invasive and costly procedures</w:t>
      </w:r>
      <w:r w:rsidR="00A275C2" w:rsidRPr="00A275C2">
        <w:rPr>
          <w:sz w:val="24"/>
          <w:szCs w:val="24"/>
        </w:rPr>
        <w:t xml:space="preserve">. </w:t>
      </w:r>
      <w:r w:rsidR="002B30FC">
        <w:rPr>
          <w:sz w:val="24"/>
          <w:szCs w:val="24"/>
        </w:rPr>
        <w:t>The Applicant asserts that t</w:t>
      </w:r>
      <w:r w:rsidRPr="00A275C2">
        <w:rPr>
          <w:sz w:val="24"/>
          <w:szCs w:val="24"/>
        </w:rPr>
        <w:t>o improve health outcomes</w:t>
      </w:r>
      <w:r w:rsidRPr="00BD178D">
        <w:rPr>
          <w:sz w:val="24"/>
          <w:szCs w:val="24"/>
        </w:rPr>
        <w:t xml:space="preserve"> </w:t>
      </w:r>
      <w:r w:rsidRPr="00A275C2">
        <w:rPr>
          <w:sz w:val="24"/>
          <w:szCs w:val="24"/>
        </w:rPr>
        <w:t>and contain overall medical costs, hospitals must have the ability to provide access to CT imaging</w:t>
      </w:r>
      <w:r w:rsidRPr="00BD178D">
        <w:rPr>
          <w:sz w:val="24"/>
          <w:szCs w:val="24"/>
        </w:rPr>
        <w:t xml:space="preserve"> by </w:t>
      </w:r>
      <w:r w:rsidRPr="00A275C2">
        <w:rPr>
          <w:sz w:val="24"/>
          <w:szCs w:val="24"/>
        </w:rPr>
        <w:t>deliver</w:t>
      </w:r>
      <w:r w:rsidRPr="00BD178D">
        <w:rPr>
          <w:sz w:val="24"/>
          <w:szCs w:val="24"/>
        </w:rPr>
        <w:t>ing</w:t>
      </w:r>
      <w:r w:rsidRPr="00A275C2">
        <w:rPr>
          <w:sz w:val="24"/>
          <w:szCs w:val="24"/>
        </w:rPr>
        <w:t xml:space="preserve"> quality, timely care</w:t>
      </w:r>
      <w:r w:rsidR="002B30FC">
        <w:rPr>
          <w:sz w:val="24"/>
          <w:szCs w:val="24"/>
        </w:rPr>
        <w:t xml:space="preserve"> and therefore, </w:t>
      </w:r>
      <w:r w:rsidRPr="00A275C2">
        <w:rPr>
          <w:sz w:val="24"/>
          <w:szCs w:val="24"/>
        </w:rPr>
        <w:t xml:space="preserve">the Proposed Project is necessary to meet </w:t>
      </w:r>
      <w:r w:rsidR="002B30FC">
        <w:rPr>
          <w:sz w:val="24"/>
          <w:szCs w:val="24"/>
        </w:rPr>
        <w:t>p</w:t>
      </w:r>
      <w:r w:rsidRPr="00A275C2">
        <w:rPr>
          <w:sz w:val="24"/>
          <w:szCs w:val="24"/>
        </w:rPr>
        <w:t>atient</w:t>
      </w:r>
      <w:r w:rsidR="002B30FC">
        <w:rPr>
          <w:sz w:val="24"/>
          <w:szCs w:val="24"/>
        </w:rPr>
        <w:t xml:space="preserve">s’ </w:t>
      </w:r>
      <w:r w:rsidRPr="00A275C2">
        <w:rPr>
          <w:sz w:val="24"/>
          <w:szCs w:val="24"/>
        </w:rPr>
        <w:t>need</w:t>
      </w:r>
      <w:r>
        <w:rPr>
          <w:sz w:val="24"/>
          <w:szCs w:val="24"/>
        </w:rPr>
        <w:t>s.</w:t>
      </w:r>
    </w:p>
    <w:p w14:paraId="59650E2A" w14:textId="10216022" w:rsidR="003E1CDA" w:rsidRPr="004E656E" w:rsidRDefault="003E1CDA" w:rsidP="003A5696">
      <w:pPr>
        <w:spacing w:line="240" w:lineRule="auto"/>
        <w:rPr>
          <w:b/>
          <w:bCs/>
          <w:i/>
          <w:iCs/>
          <w:sz w:val="24"/>
          <w:szCs w:val="24"/>
        </w:rPr>
      </w:pPr>
      <w:r w:rsidRPr="002A5813">
        <w:rPr>
          <w:b/>
          <w:bCs/>
          <w:i/>
          <w:iCs/>
          <w:sz w:val="24"/>
          <w:szCs w:val="24"/>
        </w:rPr>
        <w:t>Analysis</w:t>
      </w:r>
      <w:r w:rsidR="00A62447" w:rsidRPr="002A5813">
        <w:rPr>
          <w:b/>
          <w:bCs/>
          <w:i/>
          <w:iCs/>
          <w:sz w:val="24"/>
          <w:szCs w:val="24"/>
        </w:rPr>
        <w:t xml:space="preserve"> </w:t>
      </w:r>
      <w:r w:rsidR="002A5813">
        <w:rPr>
          <w:b/>
          <w:bCs/>
          <w:i/>
          <w:iCs/>
          <w:sz w:val="24"/>
          <w:szCs w:val="24"/>
        </w:rPr>
        <w:t>Factor 1</w:t>
      </w:r>
    </w:p>
    <w:p w14:paraId="77FE6F67" w14:textId="1347E668" w:rsidR="00376AD5" w:rsidRDefault="002A5813" w:rsidP="003A5696">
      <w:pPr>
        <w:spacing w:line="240" w:lineRule="auto"/>
        <w:rPr>
          <w:sz w:val="24"/>
          <w:szCs w:val="24"/>
        </w:rPr>
      </w:pPr>
      <w:r>
        <w:rPr>
          <w:sz w:val="24"/>
          <w:szCs w:val="24"/>
        </w:rPr>
        <w:t xml:space="preserve">Staff finds that the Applicant has made a reasonable argument for an additional unit </w:t>
      </w:r>
      <w:r w:rsidR="00376AD5">
        <w:rPr>
          <w:sz w:val="24"/>
          <w:szCs w:val="24"/>
        </w:rPr>
        <w:t xml:space="preserve">to meet existing demand, the demands of a growing and aging population, the expanded clinical protocols for stroke and LDCT and the increasing clinical applications within </w:t>
      </w:r>
      <w:r w:rsidR="003B2FD6">
        <w:rPr>
          <w:sz w:val="24"/>
          <w:szCs w:val="24"/>
        </w:rPr>
        <w:t>CT-</w:t>
      </w:r>
      <w:r w:rsidR="00376AD5">
        <w:rPr>
          <w:sz w:val="24"/>
          <w:szCs w:val="24"/>
        </w:rPr>
        <w:t xml:space="preserve">IR. </w:t>
      </w:r>
    </w:p>
    <w:p w14:paraId="3387221E" w14:textId="4AFF5D7A" w:rsidR="002A5813" w:rsidRDefault="002B30FC" w:rsidP="003A5696">
      <w:pPr>
        <w:spacing w:line="240" w:lineRule="auto"/>
        <w:rPr>
          <w:bCs/>
          <w:sz w:val="24"/>
          <w:szCs w:val="24"/>
        </w:rPr>
      </w:pPr>
      <w:r w:rsidRPr="002B30FC">
        <w:rPr>
          <w:sz w:val="24"/>
          <w:szCs w:val="24"/>
        </w:rPr>
        <w:t>While advanced imaging improves clinical care, it is also the source of overuse and added healthcare costs.</w:t>
      </w:r>
      <w:r w:rsidRPr="002B30FC">
        <w:rPr>
          <w:sz w:val="24"/>
          <w:szCs w:val="24"/>
          <w:vertAlign w:val="superscript"/>
        </w:rPr>
        <w:endnoteReference w:id="28"/>
      </w:r>
      <w:r w:rsidRPr="002B30FC">
        <w:rPr>
          <w:sz w:val="24"/>
          <w:szCs w:val="24"/>
        </w:rPr>
        <w:t xml:space="preserve"> Staff notes that excessive imaging remains a concern in the Commonwealth with Massachusetts ranking fourth in the nation in Medicare spending for imaging.</w:t>
      </w:r>
      <w:r w:rsidRPr="002B30FC">
        <w:rPr>
          <w:sz w:val="24"/>
          <w:szCs w:val="24"/>
          <w:vertAlign w:val="superscript"/>
        </w:rPr>
        <w:endnoteReference w:id="29"/>
      </w:r>
      <w:r w:rsidRPr="002B30FC">
        <w:rPr>
          <w:sz w:val="24"/>
          <w:szCs w:val="24"/>
        </w:rPr>
        <w:t xml:space="preserve"> </w:t>
      </w:r>
      <w:r>
        <w:rPr>
          <w:sz w:val="24"/>
          <w:szCs w:val="24"/>
        </w:rPr>
        <w:t>O</w:t>
      </w:r>
      <w:r w:rsidR="00A275C2" w:rsidRPr="00A275C2">
        <w:rPr>
          <w:sz w:val="24"/>
          <w:szCs w:val="24"/>
        </w:rPr>
        <w:t xml:space="preserve">veruse of imaging may </w:t>
      </w:r>
      <w:r>
        <w:rPr>
          <w:sz w:val="24"/>
          <w:szCs w:val="24"/>
        </w:rPr>
        <w:t xml:space="preserve">lead to </w:t>
      </w:r>
      <w:r w:rsidR="00A275C2" w:rsidRPr="00A275C2">
        <w:rPr>
          <w:sz w:val="24"/>
          <w:szCs w:val="24"/>
        </w:rPr>
        <w:t>lower quality care as a result of worry, and unnecessary healthcare interventions including follow-up tests, treatments, visits, hospitalizations, and increased healthcare spending.</w:t>
      </w:r>
      <w:r w:rsidR="00A275C2" w:rsidRPr="00A275C2">
        <w:rPr>
          <w:sz w:val="24"/>
          <w:szCs w:val="24"/>
          <w:vertAlign w:val="superscript"/>
        </w:rPr>
        <w:endnoteReference w:id="30"/>
      </w:r>
      <w:r w:rsidR="00A275C2" w:rsidRPr="00A275C2">
        <w:rPr>
          <w:sz w:val="24"/>
          <w:szCs w:val="24"/>
        </w:rPr>
        <w:t xml:space="preserve"> </w:t>
      </w:r>
      <w:r w:rsidR="00BD178D">
        <w:rPr>
          <w:sz w:val="24"/>
          <w:szCs w:val="24"/>
        </w:rPr>
        <w:t xml:space="preserve"> </w:t>
      </w:r>
      <w:r w:rsidR="000B5D27">
        <w:rPr>
          <w:bCs/>
          <w:sz w:val="24"/>
          <w:szCs w:val="24"/>
        </w:rPr>
        <w:t xml:space="preserve">Staff </w:t>
      </w:r>
      <w:r w:rsidR="00A271D9">
        <w:rPr>
          <w:bCs/>
          <w:sz w:val="24"/>
          <w:szCs w:val="24"/>
        </w:rPr>
        <w:t xml:space="preserve">also </w:t>
      </w:r>
      <w:r w:rsidR="000B5D27">
        <w:rPr>
          <w:bCs/>
          <w:sz w:val="24"/>
          <w:szCs w:val="24"/>
        </w:rPr>
        <w:t>note</w:t>
      </w:r>
      <w:r w:rsidR="00BD178D">
        <w:rPr>
          <w:bCs/>
          <w:sz w:val="24"/>
          <w:szCs w:val="24"/>
        </w:rPr>
        <w:t>s</w:t>
      </w:r>
      <w:r w:rsidR="000B5D27">
        <w:rPr>
          <w:bCs/>
          <w:sz w:val="24"/>
          <w:szCs w:val="24"/>
        </w:rPr>
        <w:t xml:space="preserve"> that </w:t>
      </w:r>
      <w:r w:rsidR="00F61B75" w:rsidRPr="00F61B75">
        <w:rPr>
          <w:bCs/>
          <w:sz w:val="24"/>
          <w:szCs w:val="24"/>
        </w:rPr>
        <w:t>CMS</w:t>
      </w:r>
      <w:r w:rsidR="002A5813">
        <w:rPr>
          <w:bCs/>
          <w:sz w:val="24"/>
          <w:szCs w:val="24"/>
        </w:rPr>
        <w:t xml:space="preserve"> has delayed indefinitely, the final implementation of</w:t>
      </w:r>
      <w:r w:rsidR="00F61B75" w:rsidRPr="00F61B75">
        <w:rPr>
          <w:bCs/>
          <w:sz w:val="24"/>
          <w:szCs w:val="24"/>
        </w:rPr>
        <w:t xml:space="preserve"> Clinical Decision Support Mechanism (CDSM) mandate</w:t>
      </w:r>
      <w:r w:rsidR="002A5813">
        <w:rPr>
          <w:bCs/>
          <w:sz w:val="24"/>
          <w:szCs w:val="24"/>
        </w:rPr>
        <w:t xml:space="preserve"> which will ultimately </w:t>
      </w:r>
      <w:r w:rsidR="00F61B75" w:rsidRPr="00F61B75">
        <w:rPr>
          <w:bCs/>
          <w:sz w:val="24"/>
          <w:szCs w:val="24"/>
        </w:rPr>
        <w:t>require new compliance measures when healthcare professionals order outpatient advanced imaging</w:t>
      </w:r>
      <w:r w:rsidR="002A5813">
        <w:rPr>
          <w:bCs/>
          <w:sz w:val="24"/>
          <w:szCs w:val="24"/>
        </w:rPr>
        <w:t>.</w:t>
      </w:r>
      <w:r w:rsidR="002A5813">
        <w:rPr>
          <w:rStyle w:val="FootnoteReference"/>
          <w:bCs/>
          <w:sz w:val="24"/>
          <w:szCs w:val="24"/>
        </w:rPr>
        <w:footnoteReference w:id="24"/>
      </w:r>
    </w:p>
    <w:p w14:paraId="7FC611BE" w14:textId="18106D13" w:rsidR="006A2549" w:rsidRDefault="009673E9" w:rsidP="003A5696">
      <w:pPr>
        <w:spacing w:line="240" w:lineRule="auto"/>
        <w:rPr>
          <w:bCs/>
          <w:sz w:val="24"/>
          <w:szCs w:val="24"/>
        </w:rPr>
      </w:pPr>
      <w:r w:rsidRPr="009673E9">
        <w:rPr>
          <w:bCs/>
          <w:sz w:val="24"/>
          <w:szCs w:val="24"/>
        </w:rPr>
        <w:t xml:space="preserve">Staff finds that, </w:t>
      </w:r>
      <w:r w:rsidR="002A5813">
        <w:rPr>
          <w:bCs/>
          <w:sz w:val="24"/>
          <w:szCs w:val="24"/>
        </w:rPr>
        <w:t xml:space="preserve">given that </w:t>
      </w:r>
      <w:r w:rsidR="002A5813" w:rsidRPr="002A5813">
        <w:rPr>
          <w:bCs/>
          <w:sz w:val="24"/>
          <w:szCs w:val="24"/>
        </w:rPr>
        <w:t>there will be no change in CDH’s contracted rates for CT services resulting from the Proposed Project</w:t>
      </w:r>
      <w:r w:rsidR="002A5813">
        <w:rPr>
          <w:bCs/>
          <w:sz w:val="24"/>
          <w:szCs w:val="24"/>
        </w:rPr>
        <w:t xml:space="preserve">, </w:t>
      </w:r>
      <w:r w:rsidRPr="009673E9">
        <w:rPr>
          <w:bCs/>
          <w:sz w:val="24"/>
          <w:szCs w:val="24"/>
        </w:rPr>
        <w:t>on balance, the requirement that the Proposed Project will likely compete on the basis of price, TME provider costs, and other measures of health care spending have been met.</w:t>
      </w:r>
    </w:p>
    <w:p w14:paraId="2798BA3E" w14:textId="5243E435" w:rsidR="009C6041" w:rsidRDefault="009C6041" w:rsidP="003A5696">
      <w:pPr>
        <w:spacing w:after="0" w:line="240" w:lineRule="auto"/>
        <w:rPr>
          <w:sz w:val="24"/>
          <w:szCs w:val="24"/>
        </w:rPr>
      </w:pPr>
      <w:r w:rsidRPr="003E1CDA">
        <w:rPr>
          <w:sz w:val="24"/>
          <w:szCs w:val="24"/>
        </w:rPr>
        <w:t xml:space="preserve">The Applicant proposed specific outcome, and process measures to track the impact of the Proposed Project which staff has reviewed, and which will become a part of the reporting requirements. </w:t>
      </w:r>
      <w:r>
        <w:rPr>
          <w:sz w:val="24"/>
          <w:szCs w:val="24"/>
        </w:rPr>
        <w:t xml:space="preserve">The measures are listed below in Appendix </w:t>
      </w:r>
      <w:r w:rsidR="004F45A2">
        <w:rPr>
          <w:sz w:val="24"/>
          <w:szCs w:val="24"/>
        </w:rPr>
        <w:t>I</w:t>
      </w:r>
      <w:r>
        <w:rPr>
          <w:sz w:val="24"/>
          <w:szCs w:val="24"/>
        </w:rPr>
        <w:t xml:space="preserve">. </w:t>
      </w:r>
    </w:p>
    <w:p w14:paraId="00F42AD4" w14:textId="77777777" w:rsidR="00BD178D" w:rsidRPr="006A2549" w:rsidRDefault="00BD178D" w:rsidP="003A5696">
      <w:pPr>
        <w:spacing w:after="0" w:line="240" w:lineRule="auto"/>
        <w:rPr>
          <w:sz w:val="24"/>
          <w:szCs w:val="24"/>
        </w:rPr>
      </w:pPr>
    </w:p>
    <w:p w14:paraId="0DD5FAE0" w14:textId="7E3E01EA" w:rsidR="00BD178D" w:rsidRPr="00BD178D" w:rsidRDefault="003E1CDA" w:rsidP="00BD178D">
      <w:pPr>
        <w:spacing w:after="0" w:line="240" w:lineRule="auto"/>
        <w:rPr>
          <w:sz w:val="24"/>
          <w:szCs w:val="24"/>
        </w:rPr>
      </w:pPr>
      <w:r w:rsidRPr="003E1CDA">
        <w:rPr>
          <w:sz w:val="24"/>
          <w:szCs w:val="24"/>
        </w:rPr>
        <w:t xml:space="preserve">As a result of information provided by the Applicant and additional analysis, staff finds that the Applicant has demonstrated that the Proposed Project has met Factor 1(a-f). </w:t>
      </w:r>
    </w:p>
    <w:p w14:paraId="0ADE0888" w14:textId="254C8151" w:rsidR="003E1CDA" w:rsidRDefault="003E1CDA" w:rsidP="0024289A">
      <w:pPr>
        <w:pStyle w:val="Heading1"/>
      </w:pPr>
      <w:bookmarkStart w:id="16" w:name="_Toc144121535"/>
      <w:r w:rsidRPr="002B05B4">
        <w:t xml:space="preserve">Factor 2: Cost </w:t>
      </w:r>
      <w:r w:rsidR="00B675A1" w:rsidRPr="002B05B4">
        <w:t>C</w:t>
      </w:r>
      <w:r w:rsidRPr="002B05B4">
        <w:t>ontainment, Improved Public Health Outcomes and Delivery System Transformation</w:t>
      </w:r>
      <w:bookmarkEnd w:id="16"/>
    </w:p>
    <w:p w14:paraId="3717ACFE" w14:textId="77777777" w:rsidR="0022028B" w:rsidRPr="0022028B" w:rsidRDefault="0022028B" w:rsidP="0022028B"/>
    <w:p w14:paraId="02F9F013" w14:textId="77777777" w:rsidR="003E1CDA" w:rsidRPr="003E1CDA" w:rsidRDefault="003E1CDA" w:rsidP="003E1CDA">
      <w:pPr>
        <w:spacing w:line="240" w:lineRule="auto"/>
        <w:rPr>
          <w:b/>
          <w:bCs/>
          <w:sz w:val="24"/>
          <w:szCs w:val="24"/>
        </w:rPr>
      </w:pPr>
      <w:r w:rsidRPr="003E1CDA">
        <w:rPr>
          <w:b/>
          <w:bCs/>
          <w:sz w:val="24"/>
          <w:szCs w:val="24"/>
        </w:rPr>
        <w:lastRenderedPageBreak/>
        <w:t>Cost Containment</w:t>
      </w:r>
    </w:p>
    <w:p w14:paraId="060E72A1" w14:textId="5642D892" w:rsidR="00BB7632" w:rsidRPr="00BB7632" w:rsidRDefault="00BB7632" w:rsidP="00BB7632">
      <w:pPr>
        <w:spacing w:line="240" w:lineRule="auto"/>
        <w:rPr>
          <w:sz w:val="24"/>
          <w:szCs w:val="24"/>
        </w:rPr>
      </w:pPr>
      <w:r w:rsidRPr="00BB7632">
        <w:rPr>
          <w:sz w:val="24"/>
          <w:szCs w:val="24"/>
        </w:rPr>
        <w:t xml:space="preserve">The </w:t>
      </w:r>
      <w:r w:rsidR="0022028B">
        <w:rPr>
          <w:sz w:val="24"/>
          <w:szCs w:val="24"/>
        </w:rPr>
        <w:t>Applicant states that</w:t>
      </w:r>
      <w:r w:rsidR="009C202F">
        <w:rPr>
          <w:sz w:val="24"/>
          <w:szCs w:val="24"/>
        </w:rPr>
        <w:t xml:space="preserve"> </w:t>
      </w:r>
      <w:r w:rsidR="0022028B">
        <w:rPr>
          <w:sz w:val="24"/>
          <w:szCs w:val="24"/>
        </w:rPr>
        <w:t>t</w:t>
      </w:r>
      <w:r w:rsidRPr="00BB7632">
        <w:rPr>
          <w:sz w:val="24"/>
          <w:szCs w:val="24"/>
        </w:rPr>
        <w:t xml:space="preserve">he Proposed Project seeks to </w:t>
      </w:r>
      <w:r w:rsidR="009C202F">
        <w:rPr>
          <w:sz w:val="24"/>
          <w:szCs w:val="24"/>
        </w:rPr>
        <w:t xml:space="preserve">meaningfully contribute to </w:t>
      </w:r>
      <w:r w:rsidRPr="00BB7632">
        <w:rPr>
          <w:sz w:val="24"/>
          <w:szCs w:val="24"/>
        </w:rPr>
        <w:t xml:space="preserve">the </w:t>
      </w:r>
      <w:r w:rsidR="009C202F">
        <w:rPr>
          <w:sz w:val="24"/>
          <w:szCs w:val="24"/>
        </w:rPr>
        <w:t xml:space="preserve">Massachusetts </w:t>
      </w:r>
      <w:r w:rsidRPr="00BB7632">
        <w:rPr>
          <w:sz w:val="24"/>
          <w:szCs w:val="24"/>
        </w:rPr>
        <w:t xml:space="preserve">goals </w:t>
      </w:r>
      <w:r w:rsidR="0022028B">
        <w:rPr>
          <w:sz w:val="24"/>
          <w:szCs w:val="24"/>
        </w:rPr>
        <w:t xml:space="preserve">of </w:t>
      </w:r>
      <w:r w:rsidR="009C202F">
        <w:rPr>
          <w:sz w:val="24"/>
          <w:szCs w:val="24"/>
        </w:rPr>
        <w:t xml:space="preserve">cost containment </w:t>
      </w:r>
      <w:r w:rsidRPr="00BB7632">
        <w:rPr>
          <w:sz w:val="24"/>
          <w:szCs w:val="24"/>
        </w:rPr>
        <w:t xml:space="preserve">by providing high-quality imaging services for patients in a cost-effective, community-based setting. </w:t>
      </w:r>
      <w:r w:rsidR="009C202F">
        <w:rPr>
          <w:sz w:val="24"/>
          <w:szCs w:val="24"/>
        </w:rPr>
        <w:t>Further, t</w:t>
      </w:r>
      <w:r w:rsidRPr="00BB7632">
        <w:rPr>
          <w:sz w:val="24"/>
          <w:szCs w:val="24"/>
        </w:rPr>
        <w:t xml:space="preserve">he Proposed Project seeks to improve </w:t>
      </w:r>
      <w:r w:rsidR="009C202F">
        <w:rPr>
          <w:sz w:val="24"/>
          <w:szCs w:val="24"/>
        </w:rPr>
        <w:t xml:space="preserve">timely </w:t>
      </w:r>
      <w:r w:rsidRPr="00BB7632">
        <w:rPr>
          <w:sz w:val="24"/>
          <w:szCs w:val="24"/>
        </w:rPr>
        <w:t>access to an essential component of hospital care</w:t>
      </w:r>
      <w:r w:rsidR="0022028B">
        <w:rPr>
          <w:sz w:val="24"/>
          <w:szCs w:val="24"/>
        </w:rPr>
        <w:t>, CT</w:t>
      </w:r>
      <w:r w:rsidRPr="00BB7632">
        <w:rPr>
          <w:sz w:val="24"/>
          <w:szCs w:val="24"/>
        </w:rPr>
        <w:t xml:space="preserve"> imaging</w:t>
      </w:r>
      <w:r w:rsidR="009C202F">
        <w:rPr>
          <w:sz w:val="24"/>
          <w:szCs w:val="24"/>
        </w:rPr>
        <w:t>,</w:t>
      </w:r>
      <w:r w:rsidRPr="00BB7632">
        <w:rPr>
          <w:sz w:val="24"/>
          <w:szCs w:val="24"/>
        </w:rPr>
        <w:t xml:space="preserve"> </w:t>
      </w:r>
      <w:r w:rsidR="0022028B">
        <w:rPr>
          <w:sz w:val="24"/>
          <w:szCs w:val="24"/>
        </w:rPr>
        <w:t>which</w:t>
      </w:r>
      <w:r w:rsidR="009C202F">
        <w:rPr>
          <w:sz w:val="24"/>
          <w:szCs w:val="24"/>
        </w:rPr>
        <w:t xml:space="preserve"> facilitates</w:t>
      </w:r>
      <w:r w:rsidRPr="00BB7632">
        <w:rPr>
          <w:sz w:val="24"/>
          <w:szCs w:val="24"/>
        </w:rPr>
        <w:t xml:space="preserve"> timely diagnosis</w:t>
      </w:r>
      <w:r w:rsidR="009C202F">
        <w:rPr>
          <w:sz w:val="24"/>
          <w:szCs w:val="24"/>
        </w:rPr>
        <w:t xml:space="preserve"> thereby </w:t>
      </w:r>
      <w:r w:rsidRPr="00BB7632">
        <w:rPr>
          <w:sz w:val="24"/>
          <w:szCs w:val="24"/>
        </w:rPr>
        <w:t>allow</w:t>
      </w:r>
      <w:r w:rsidR="009C202F">
        <w:rPr>
          <w:sz w:val="24"/>
          <w:szCs w:val="24"/>
        </w:rPr>
        <w:t>ing</w:t>
      </w:r>
      <w:r w:rsidRPr="00BB7632">
        <w:rPr>
          <w:sz w:val="24"/>
          <w:szCs w:val="24"/>
        </w:rPr>
        <w:t xml:space="preserve"> treatment to begin </w:t>
      </w:r>
      <w:r w:rsidR="009C202F">
        <w:rPr>
          <w:sz w:val="24"/>
          <w:szCs w:val="24"/>
        </w:rPr>
        <w:t xml:space="preserve">earlier in the disease </w:t>
      </w:r>
      <w:r w:rsidR="00401553">
        <w:rPr>
          <w:sz w:val="24"/>
          <w:szCs w:val="24"/>
        </w:rPr>
        <w:t>process</w:t>
      </w:r>
      <w:r w:rsidR="009C202F">
        <w:rPr>
          <w:sz w:val="24"/>
          <w:szCs w:val="24"/>
        </w:rPr>
        <w:t>. As a result, this can reduce costs as discussed in depth under Factor 1</w:t>
      </w:r>
      <w:r w:rsidRPr="00BB7632">
        <w:rPr>
          <w:sz w:val="24"/>
          <w:szCs w:val="24"/>
        </w:rPr>
        <w:t>. Accordingly, the Proposed Project will contribute to the Commonwealth’s goals of cost containment by having</w:t>
      </w:r>
      <w:r w:rsidR="00401553">
        <w:rPr>
          <w:sz w:val="24"/>
          <w:szCs w:val="24"/>
        </w:rPr>
        <w:t xml:space="preserve"> a</w:t>
      </w:r>
      <w:r w:rsidRPr="00BB7632">
        <w:rPr>
          <w:sz w:val="24"/>
          <w:szCs w:val="24"/>
        </w:rPr>
        <w:t xml:space="preserve"> negligible to positive impact on costs while ensuring timely access to care. </w:t>
      </w:r>
    </w:p>
    <w:p w14:paraId="6C550F2F" w14:textId="0148EC56" w:rsidR="003E1CDA" w:rsidRPr="00062574" w:rsidRDefault="003E1CDA" w:rsidP="003E1CDA">
      <w:pPr>
        <w:spacing w:line="240" w:lineRule="auto"/>
        <w:rPr>
          <w:b/>
          <w:bCs/>
          <w:i/>
          <w:iCs/>
          <w:sz w:val="24"/>
          <w:szCs w:val="24"/>
        </w:rPr>
      </w:pPr>
      <w:r w:rsidRPr="00062574">
        <w:rPr>
          <w:b/>
          <w:bCs/>
          <w:i/>
          <w:iCs/>
          <w:sz w:val="24"/>
          <w:szCs w:val="24"/>
        </w:rPr>
        <w:t>Analysis: Cost Containment</w:t>
      </w:r>
    </w:p>
    <w:p w14:paraId="60986E5C" w14:textId="04D40EE4" w:rsidR="003E1CDA" w:rsidRPr="00062574" w:rsidRDefault="00E21B16" w:rsidP="00062574">
      <w:pPr>
        <w:spacing w:line="240" w:lineRule="auto"/>
        <w:rPr>
          <w:sz w:val="24"/>
          <w:szCs w:val="24"/>
        </w:rPr>
      </w:pPr>
      <w:r>
        <w:rPr>
          <w:sz w:val="24"/>
          <w:szCs w:val="24"/>
        </w:rPr>
        <w:t>As described above, t</w:t>
      </w:r>
      <w:r w:rsidR="000B5D27">
        <w:rPr>
          <w:sz w:val="24"/>
          <w:szCs w:val="24"/>
        </w:rPr>
        <w:t xml:space="preserve">he Proposed Project seeks </w:t>
      </w:r>
      <w:r w:rsidR="00304DFB">
        <w:rPr>
          <w:sz w:val="24"/>
          <w:szCs w:val="24"/>
        </w:rPr>
        <w:t>to provide continued access to</w:t>
      </w:r>
      <w:r w:rsidR="000B5D27">
        <w:rPr>
          <w:sz w:val="24"/>
          <w:szCs w:val="24"/>
        </w:rPr>
        <w:t xml:space="preserve"> imaging services</w:t>
      </w:r>
      <w:r w:rsidR="0026798D">
        <w:rPr>
          <w:sz w:val="24"/>
          <w:szCs w:val="24"/>
        </w:rPr>
        <w:t xml:space="preserve"> without any increases in negotiated rates for CDH and the potential to hold costs steady through reductions in costs associated with delayed care and the use of more invasive diagnostic and treatment tools</w:t>
      </w:r>
      <w:r w:rsidR="00304DFB">
        <w:rPr>
          <w:sz w:val="24"/>
          <w:szCs w:val="24"/>
        </w:rPr>
        <w:t xml:space="preserve">. </w:t>
      </w:r>
      <w:r w:rsidR="009464F3">
        <w:rPr>
          <w:sz w:val="24"/>
          <w:szCs w:val="24"/>
        </w:rPr>
        <w:t>Therefore,</w:t>
      </w:r>
      <w:r w:rsidR="00304DFB">
        <w:rPr>
          <w:sz w:val="24"/>
          <w:szCs w:val="24"/>
        </w:rPr>
        <w:t xml:space="preserve"> DoN </w:t>
      </w:r>
      <w:r w:rsidR="007A1DA1">
        <w:rPr>
          <w:sz w:val="24"/>
          <w:szCs w:val="24"/>
        </w:rPr>
        <w:t>s</w:t>
      </w:r>
      <w:r w:rsidR="00304DFB">
        <w:rPr>
          <w:sz w:val="24"/>
          <w:szCs w:val="24"/>
        </w:rPr>
        <w:t xml:space="preserve">taff </w:t>
      </w:r>
      <w:r w:rsidR="000B5D27">
        <w:rPr>
          <w:sz w:val="24"/>
          <w:szCs w:val="24"/>
        </w:rPr>
        <w:t xml:space="preserve">can </w:t>
      </w:r>
      <w:r w:rsidR="00C12878" w:rsidRPr="00062574">
        <w:rPr>
          <w:sz w:val="24"/>
          <w:szCs w:val="24"/>
        </w:rPr>
        <w:t xml:space="preserve">conclude that </w:t>
      </w:r>
      <w:r w:rsidR="000B5D27">
        <w:rPr>
          <w:sz w:val="24"/>
          <w:szCs w:val="24"/>
        </w:rPr>
        <w:t xml:space="preserve">the </w:t>
      </w:r>
      <w:r w:rsidR="00C12878" w:rsidRPr="00062574">
        <w:rPr>
          <w:sz w:val="24"/>
          <w:szCs w:val="24"/>
        </w:rPr>
        <w:t xml:space="preserve">Proposed Project will likely meet the cost containment </w:t>
      </w:r>
      <w:r w:rsidR="0026798D">
        <w:rPr>
          <w:sz w:val="24"/>
          <w:szCs w:val="24"/>
        </w:rPr>
        <w:t>elements of F</w:t>
      </w:r>
      <w:r w:rsidR="00C12878" w:rsidRPr="00062574">
        <w:rPr>
          <w:sz w:val="24"/>
          <w:szCs w:val="24"/>
        </w:rPr>
        <w:t>actor</w:t>
      </w:r>
      <w:r w:rsidR="0026798D">
        <w:rPr>
          <w:sz w:val="24"/>
          <w:szCs w:val="24"/>
        </w:rPr>
        <w:t xml:space="preserve"> 2</w:t>
      </w:r>
      <w:r w:rsidR="00C12878" w:rsidRPr="00062574">
        <w:rPr>
          <w:sz w:val="24"/>
          <w:szCs w:val="24"/>
        </w:rPr>
        <w:t>.</w:t>
      </w:r>
    </w:p>
    <w:p w14:paraId="60B81E73" w14:textId="4913B6A0" w:rsidR="003E1CDA" w:rsidRDefault="003E1CDA" w:rsidP="003E1CDA">
      <w:pPr>
        <w:spacing w:line="240" w:lineRule="auto"/>
        <w:rPr>
          <w:b/>
          <w:bCs/>
          <w:sz w:val="24"/>
          <w:szCs w:val="24"/>
        </w:rPr>
      </w:pPr>
      <w:r w:rsidRPr="00062574">
        <w:rPr>
          <w:b/>
          <w:bCs/>
          <w:sz w:val="24"/>
          <w:szCs w:val="24"/>
        </w:rPr>
        <w:t>Improved Public Health Outcomes</w:t>
      </w:r>
    </w:p>
    <w:p w14:paraId="7DE5E061" w14:textId="6394D0C3" w:rsidR="0022028B" w:rsidRPr="0022028B" w:rsidRDefault="0022028B" w:rsidP="0022028B">
      <w:pPr>
        <w:spacing w:line="240" w:lineRule="auto"/>
        <w:rPr>
          <w:sz w:val="24"/>
          <w:szCs w:val="24"/>
        </w:rPr>
      </w:pPr>
      <w:bookmarkStart w:id="17" w:name="_Hlk101967270"/>
      <w:r w:rsidRPr="0022028B">
        <w:rPr>
          <w:sz w:val="24"/>
          <w:szCs w:val="24"/>
        </w:rPr>
        <w:t>As discussed in this Application, the Applicant anticipates demand for CT imaging will continue to increase as the CDH Patient Panel grows and ages. To ensure timely access to CT imaging it is necessary to have adequate capacity</w:t>
      </w:r>
      <w:r w:rsidR="0026798D">
        <w:rPr>
          <w:sz w:val="24"/>
          <w:szCs w:val="24"/>
        </w:rPr>
        <w:t xml:space="preserve"> that t</w:t>
      </w:r>
      <w:r w:rsidRPr="0022028B">
        <w:rPr>
          <w:sz w:val="24"/>
          <w:szCs w:val="24"/>
        </w:rPr>
        <w:t xml:space="preserve">he addition of a third CT unit will </w:t>
      </w:r>
      <w:r w:rsidR="0026798D">
        <w:rPr>
          <w:sz w:val="24"/>
          <w:szCs w:val="24"/>
        </w:rPr>
        <w:t>provide</w:t>
      </w:r>
      <w:r w:rsidRPr="0022028B">
        <w:rPr>
          <w:sz w:val="24"/>
          <w:szCs w:val="24"/>
        </w:rPr>
        <w:t xml:space="preserve">. Timely access will be </w:t>
      </w:r>
      <w:r w:rsidR="0026798D">
        <w:rPr>
          <w:sz w:val="24"/>
          <w:szCs w:val="24"/>
        </w:rPr>
        <w:t xml:space="preserve">measured </w:t>
      </w:r>
      <w:r w:rsidRPr="0022028B">
        <w:rPr>
          <w:sz w:val="24"/>
          <w:szCs w:val="24"/>
        </w:rPr>
        <w:t xml:space="preserve">by improving door to CT time for stroke patients, reducing wait times for outpatients and expanding availability </w:t>
      </w:r>
      <w:r w:rsidR="0026798D">
        <w:rPr>
          <w:sz w:val="24"/>
          <w:szCs w:val="24"/>
        </w:rPr>
        <w:t>IR-</w:t>
      </w:r>
      <w:r w:rsidRPr="0022028B">
        <w:rPr>
          <w:sz w:val="24"/>
          <w:szCs w:val="24"/>
        </w:rPr>
        <w:t xml:space="preserve">CT. More timely access will facilitate treatment and result in improved patient experience and public health outcomes. </w:t>
      </w:r>
      <w:bookmarkEnd w:id="17"/>
    </w:p>
    <w:p w14:paraId="1E443B61" w14:textId="295BA6AC" w:rsidR="003E1CDA" w:rsidRPr="00282E2B" w:rsidRDefault="0022028B" w:rsidP="003E1CDA">
      <w:pPr>
        <w:spacing w:line="240" w:lineRule="auto"/>
        <w:rPr>
          <w:b/>
          <w:bCs/>
          <w:i/>
          <w:iCs/>
          <w:sz w:val="24"/>
          <w:szCs w:val="24"/>
        </w:rPr>
      </w:pPr>
      <w:r w:rsidRPr="00282E2B">
        <w:rPr>
          <w:b/>
          <w:bCs/>
          <w:i/>
          <w:iCs/>
          <w:sz w:val="24"/>
          <w:szCs w:val="24"/>
        </w:rPr>
        <w:t>A</w:t>
      </w:r>
      <w:r w:rsidR="003E1CDA" w:rsidRPr="00282E2B">
        <w:rPr>
          <w:b/>
          <w:bCs/>
          <w:i/>
          <w:iCs/>
          <w:sz w:val="24"/>
          <w:szCs w:val="24"/>
        </w:rPr>
        <w:t>nalysis: Public Health Outcomes</w:t>
      </w:r>
    </w:p>
    <w:p w14:paraId="7C125F18" w14:textId="6A502C14" w:rsidR="005C7EE8" w:rsidRDefault="008A67F6" w:rsidP="008A67F6">
      <w:pPr>
        <w:spacing w:line="240" w:lineRule="auto"/>
        <w:rPr>
          <w:sz w:val="24"/>
          <w:szCs w:val="24"/>
        </w:rPr>
      </w:pPr>
      <w:r w:rsidRPr="008A67F6">
        <w:rPr>
          <w:sz w:val="24"/>
          <w:szCs w:val="24"/>
        </w:rPr>
        <w:t xml:space="preserve">As mentioned above, ensuring timely access to coordinated imaging services </w:t>
      </w:r>
      <w:r w:rsidR="009464F3">
        <w:rPr>
          <w:sz w:val="24"/>
          <w:szCs w:val="24"/>
        </w:rPr>
        <w:t xml:space="preserve">can </w:t>
      </w:r>
      <w:r w:rsidR="009464F3" w:rsidRPr="008A67F6">
        <w:rPr>
          <w:sz w:val="24"/>
          <w:szCs w:val="24"/>
        </w:rPr>
        <w:t>reduce delays in diagnosis and treatment</w:t>
      </w:r>
      <w:r w:rsidR="009464F3">
        <w:rPr>
          <w:sz w:val="24"/>
          <w:szCs w:val="24"/>
        </w:rPr>
        <w:t xml:space="preserve"> </w:t>
      </w:r>
      <w:r w:rsidR="00DB58E9">
        <w:rPr>
          <w:sz w:val="24"/>
          <w:szCs w:val="24"/>
        </w:rPr>
        <w:t>(</w:t>
      </w:r>
      <w:r w:rsidR="009464F3">
        <w:rPr>
          <w:sz w:val="24"/>
          <w:szCs w:val="24"/>
        </w:rPr>
        <w:t>which can adversely impact health outcomes</w:t>
      </w:r>
      <w:r w:rsidR="00DB58E9">
        <w:rPr>
          <w:sz w:val="24"/>
          <w:szCs w:val="24"/>
        </w:rPr>
        <w:t>)</w:t>
      </w:r>
      <w:r w:rsidR="009464F3">
        <w:rPr>
          <w:sz w:val="24"/>
          <w:szCs w:val="24"/>
        </w:rPr>
        <w:t xml:space="preserve">, </w:t>
      </w:r>
      <w:r w:rsidR="00DB58E9">
        <w:rPr>
          <w:sz w:val="24"/>
          <w:szCs w:val="24"/>
        </w:rPr>
        <w:t xml:space="preserve">and thus </w:t>
      </w:r>
      <w:r w:rsidRPr="008A67F6">
        <w:rPr>
          <w:sz w:val="24"/>
          <w:szCs w:val="24"/>
        </w:rPr>
        <w:t xml:space="preserve">contribute to improved health outcomes and patient satisfaction. </w:t>
      </w:r>
    </w:p>
    <w:p w14:paraId="3BE0B81E" w14:textId="1E45EC76" w:rsidR="003E1CDA" w:rsidRPr="003E1CDA" w:rsidRDefault="00B134DF" w:rsidP="003E1CDA">
      <w:pPr>
        <w:spacing w:line="240" w:lineRule="auto"/>
        <w:rPr>
          <w:b/>
          <w:bCs/>
          <w:sz w:val="24"/>
          <w:szCs w:val="24"/>
        </w:rPr>
      </w:pPr>
      <w:r>
        <w:rPr>
          <w:b/>
          <w:bCs/>
          <w:sz w:val="24"/>
          <w:szCs w:val="24"/>
        </w:rPr>
        <w:t>D</w:t>
      </w:r>
      <w:r w:rsidR="003E1CDA" w:rsidRPr="003E1CDA">
        <w:rPr>
          <w:b/>
          <w:bCs/>
          <w:sz w:val="24"/>
          <w:szCs w:val="24"/>
        </w:rPr>
        <w:t>elivery System Transformation</w:t>
      </w:r>
    </w:p>
    <w:p w14:paraId="3B0953A6" w14:textId="602B39EE" w:rsidR="0022028B" w:rsidRPr="0022028B" w:rsidRDefault="0022028B" w:rsidP="0022028B">
      <w:pPr>
        <w:spacing w:line="240" w:lineRule="auto"/>
        <w:rPr>
          <w:sz w:val="24"/>
          <w:szCs w:val="24"/>
        </w:rPr>
      </w:pPr>
      <w:bookmarkStart w:id="18" w:name="_Hlk138935242"/>
      <w:r w:rsidRPr="0022028B">
        <w:rPr>
          <w:sz w:val="24"/>
          <w:szCs w:val="24"/>
        </w:rPr>
        <w:t xml:space="preserve">The Applicant </w:t>
      </w:r>
      <w:r w:rsidR="00D53551">
        <w:rPr>
          <w:sz w:val="24"/>
          <w:szCs w:val="24"/>
        </w:rPr>
        <w:t xml:space="preserve">states that MGB </w:t>
      </w:r>
      <w:r w:rsidRPr="0022028B">
        <w:rPr>
          <w:sz w:val="24"/>
          <w:szCs w:val="24"/>
        </w:rPr>
        <w:t>and CDH have numerous programs in place to ensure linkages to social service organizations. For instance, patients of Cooley Hospital Physicians’ Organization, the Hospital’s affiliated medical group, are screened for SD</w:t>
      </w:r>
      <w:r w:rsidR="00640036">
        <w:rPr>
          <w:sz w:val="24"/>
          <w:szCs w:val="24"/>
        </w:rPr>
        <w:t>O</w:t>
      </w:r>
      <w:r w:rsidRPr="0022028B">
        <w:rPr>
          <w:sz w:val="24"/>
          <w:szCs w:val="24"/>
        </w:rPr>
        <w:t xml:space="preserve">H including housing, access to food, transportation, and education. Patients complete the screening using an iPad and are offered staff assistance as needed. Patients who screen positively are </w:t>
      </w:r>
      <w:r w:rsidR="00F306C9">
        <w:rPr>
          <w:sz w:val="24"/>
          <w:szCs w:val="24"/>
        </w:rPr>
        <w:t xml:space="preserve">referred to </w:t>
      </w:r>
      <w:bookmarkEnd w:id="18"/>
      <w:r w:rsidR="00901E1D">
        <w:rPr>
          <w:sz w:val="24"/>
          <w:szCs w:val="24"/>
        </w:rPr>
        <w:t>a</w:t>
      </w:r>
      <w:r w:rsidRPr="0022028B">
        <w:rPr>
          <w:sz w:val="24"/>
          <w:szCs w:val="24"/>
        </w:rPr>
        <w:t>n interdisciplinary team of nurses and social workers</w:t>
      </w:r>
      <w:r w:rsidR="00901E1D">
        <w:rPr>
          <w:sz w:val="24"/>
          <w:szCs w:val="24"/>
        </w:rPr>
        <w:t xml:space="preserve"> who</w:t>
      </w:r>
      <w:r w:rsidRPr="0022028B">
        <w:rPr>
          <w:sz w:val="24"/>
          <w:szCs w:val="24"/>
        </w:rPr>
        <w:t xml:space="preserve"> identify patients’ health risks, coordinate care between providers and services, and facilitate communications and transitions between hospital, rehabilitation facilities</w:t>
      </w:r>
      <w:r w:rsidR="00901E1D">
        <w:rPr>
          <w:sz w:val="24"/>
          <w:szCs w:val="24"/>
        </w:rPr>
        <w:t xml:space="preserve">, </w:t>
      </w:r>
      <w:r w:rsidR="00901E1D" w:rsidRPr="00901E1D">
        <w:rPr>
          <w:sz w:val="24"/>
          <w:szCs w:val="24"/>
        </w:rPr>
        <w:t>community-based programs</w:t>
      </w:r>
      <w:r w:rsidR="00901E1D">
        <w:rPr>
          <w:sz w:val="24"/>
          <w:szCs w:val="24"/>
        </w:rPr>
        <w:t>,</w:t>
      </w:r>
      <w:r w:rsidR="00901E1D" w:rsidRPr="00901E1D">
        <w:rPr>
          <w:sz w:val="24"/>
          <w:szCs w:val="24"/>
        </w:rPr>
        <w:t xml:space="preserve"> </w:t>
      </w:r>
      <w:r w:rsidRPr="0022028B">
        <w:rPr>
          <w:sz w:val="24"/>
          <w:szCs w:val="24"/>
        </w:rPr>
        <w:t>and home</w:t>
      </w:r>
      <w:r w:rsidR="00901E1D">
        <w:rPr>
          <w:sz w:val="24"/>
          <w:szCs w:val="24"/>
        </w:rPr>
        <w:t xml:space="preserve"> as appropriate</w:t>
      </w:r>
      <w:r w:rsidRPr="0022028B">
        <w:rPr>
          <w:sz w:val="24"/>
          <w:szCs w:val="24"/>
        </w:rPr>
        <w:t>. The program also maintains a database of local resources for patients.</w:t>
      </w:r>
      <w:r w:rsidR="00901E1D">
        <w:rPr>
          <w:sz w:val="24"/>
          <w:szCs w:val="24"/>
        </w:rPr>
        <w:t xml:space="preserve"> Staff inquired whether ED patients at CDH are screened for SDOH to which the Applicant responded there is a plan to begin screening soon.</w:t>
      </w:r>
    </w:p>
    <w:p w14:paraId="5B8F822F" w14:textId="0083977D" w:rsidR="003E1CDA" w:rsidRPr="00425E59" w:rsidRDefault="003E1CDA" w:rsidP="003E1CDA">
      <w:pPr>
        <w:spacing w:line="240" w:lineRule="auto"/>
        <w:rPr>
          <w:b/>
          <w:bCs/>
          <w:i/>
          <w:iCs/>
          <w:sz w:val="24"/>
          <w:szCs w:val="24"/>
        </w:rPr>
      </w:pPr>
      <w:r w:rsidRPr="00425E59">
        <w:rPr>
          <w:b/>
          <w:bCs/>
          <w:i/>
          <w:iCs/>
          <w:sz w:val="24"/>
          <w:szCs w:val="24"/>
        </w:rPr>
        <w:lastRenderedPageBreak/>
        <w:t>Analysis: Delivery System Transformation</w:t>
      </w:r>
    </w:p>
    <w:p w14:paraId="181538DA" w14:textId="7316B1E7" w:rsidR="00757990" w:rsidRDefault="00757990" w:rsidP="00062574">
      <w:pPr>
        <w:spacing w:after="0" w:line="240" w:lineRule="auto"/>
        <w:rPr>
          <w:sz w:val="24"/>
          <w:szCs w:val="24"/>
        </w:rPr>
      </w:pPr>
      <w:r>
        <w:rPr>
          <w:sz w:val="24"/>
          <w:szCs w:val="24"/>
        </w:rPr>
        <w:t xml:space="preserve">Staff notes that with its efforts to identify SDOH disparities and implement solutions, the Applicant is showing its commitment to the </w:t>
      </w:r>
      <w:r w:rsidR="0057409D">
        <w:rPr>
          <w:sz w:val="24"/>
          <w:szCs w:val="24"/>
        </w:rPr>
        <w:t>issue,</w:t>
      </w:r>
      <w:r>
        <w:rPr>
          <w:sz w:val="24"/>
          <w:szCs w:val="24"/>
        </w:rPr>
        <w:t xml:space="preserve"> and it is imperative for efforts to make inroads particularly given the reported increasing diversity within the region.</w:t>
      </w:r>
    </w:p>
    <w:p w14:paraId="449A046C" w14:textId="22CABFD6" w:rsidR="00F56096" w:rsidRPr="00C12878" w:rsidRDefault="00C12878" w:rsidP="00062574">
      <w:pPr>
        <w:spacing w:after="0" w:line="240" w:lineRule="auto"/>
        <w:rPr>
          <w:sz w:val="24"/>
          <w:szCs w:val="24"/>
        </w:rPr>
      </w:pPr>
      <w:r w:rsidRPr="00C12878">
        <w:rPr>
          <w:sz w:val="24"/>
          <w:szCs w:val="24"/>
        </w:rPr>
        <w:t>Central to the goal of Delivery System Transformation is the integration of social services and community</w:t>
      </w:r>
      <w:r>
        <w:rPr>
          <w:sz w:val="24"/>
          <w:szCs w:val="24"/>
        </w:rPr>
        <w:t>-</w:t>
      </w:r>
      <w:r w:rsidRPr="00C12878">
        <w:rPr>
          <w:sz w:val="24"/>
          <w:szCs w:val="24"/>
        </w:rPr>
        <w:t xml:space="preserve">based expertise. </w:t>
      </w:r>
      <w:r w:rsidR="0039705E">
        <w:rPr>
          <w:sz w:val="24"/>
          <w:szCs w:val="24"/>
        </w:rPr>
        <w:t>SD</w:t>
      </w:r>
      <w:r w:rsidR="00640036">
        <w:rPr>
          <w:sz w:val="24"/>
          <w:szCs w:val="24"/>
        </w:rPr>
        <w:t>O</w:t>
      </w:r>
      <w:r w:rsidR="0039705E">
        <w:rPr>
          <w:sz w:val="24"/>
          <w:szCs w:val="24"/>
        </w:rPr>
        <w:t xml:space="preserve">H screening </w:t>
      </w:r>
      <w:r w:rsidR="00CC46A2">
        <w:rPr>
          <w:sz w:val="24"/>
          <w:szCs w:val="24"/>
        </w:rPr>
        <w:t>is integrated in</w:t>
      </w:r>
      <w:r w:rsidR="001002AD">
        <w:rPr>
          <w:sz w:val="24"/>
          <w:szCs w:val="24"/>
        </w:rPr>
        <w:t xml:space="preserve">to </w:t>
      </w:r>
      <w:r w:rsidR="00D63342">
        <w:rPr>
          <w:sz w:val="24"/>
          <w:szCs w:val="24"/>
        </w:rPr>
        <w:t xml:space="preserve">the Applicant’s </w:t>
      </w:r>
      <w:r w:rsidR="0039705E">
        <w:rPr>
          <w:sz w:val="24"/>
          <w:szCs w:val="24"/>
        </w:rPr>
        <w:t xml:space="preserve">care processes, </w:t>
      </w:r>
      <w:r w:rsidR="00ED73D4">
        <w:rPr>
          <w:sz w:val="24"/>
          <w:szCs w:val="24"/>
        </w:rPr>
        <w:t>to</w:t>
      </w:r>
      <w:r w:rsidR="0039705E">
        <w:rPr>
          <w:sz w:val="24"/>
          <w:szCs w:val="24"/>
        </w:rPr>
        <w:t xml:space="preserve"> address health risks and improve health outcomes</w:t>
      </w:r>
      <w:r w:rsidRPr="00C12878">
        <w:rPr>
          <w:sz w:val="24"/>
          <w:szCs w:val="24"/>
        </w:rPr>
        <w:t>.</w:t>
      </w:r>
      <w:r w:rsidR="00CC46A2">
        <w:rPr>
          <w:sz w:val="24"/>
          <w:szCs w:val="24"/>
        </w:rPr>
        <w:t xml:space="preserve"> </w:t>
      </w:r>
      <w:r w:rsidR="00D63342">
        <w:rPr>
          <w:sz w:val="24"/>
          <w:szCs w:val="24"/>
        </w:rPr>
        <w:t>Persistent disparities in a number of health outcomes</w:t>
      </w:r>
      <w:r w:rsidR="00DB58E9">
        <w:rPr>
          <w:sz w:val="24"/>
          <w:szCs w:val="24"/>
        </w:rPr>
        <w:t>,</w:t>
      </w:r>
      <w:r w:rsidR="00C3771F">
        <w:rPr>
          <w:sz w:val="24"/>
          <w:szCs w:val="24"/>
        </w:rPr>
        <w:t xml:space="preserve"> including the </w:t>
      </w:r>
      <w:r w:rsidR="00C3771F" w:rsidRPr="00C3771F">
        <w:rPr>
          <w:sz w:val="24"/>
          <w:szCs w:val="24"/>
        </w:rPr>
        <w:t>leading causes of death</w:t>
      </w:r>
      <w:r w:rsidR="00DB58E9">
        <w:rPr>
          <w:sz w:val="24"/>
          <w:szCs w:val="24"/>
        </w:rPr>
        <w:t>,</w:t>
      </w:r>
      <w:r w:rsidR="00D63342">
        <w:rPr>
          <w:sz w:val="24"/>
          <w:szCs w:val="24"/>
        </w:rPr>
        <w:t xml:space="preserve"> </w:t>
      </w:r>
      <w:r w:rsidR="00E52613">
        <w:rPr>
          <w:sz w:val="24"/>
          <w:szCs w:val="24"/>
        </w:rPr>
        <w:t>indicate</w:t>
      </w:r>
      <w:r w:rsidR="00D63342">
        <w:rPr>
          <w:sz w:val="24"/>
          <w:szCs w:val="24"/>
        </w:rPr>
        <w:t xml:space="preserve"> the important </w:t>
      </w:r>
      <w:r w:rsidR="00744C7C">
        <w:rPr>
          <w:sz w:val="24"/>
          <w:szCs w:val="24"/>
        </w:rPr>
        <w:t>influence</w:t>
      </w:r>
      <w:r w:rsidR="00D63342">
        <w:rPr>
          <w:sz w:val="24"/>
          <w:szCs w:val="24"/>
        </w:rPr>
        <w:t xml:space="preserve"> of the social determinants </w:t>
      </w:r>
      <w:r w:rsidR="002F2DF7">
        <w:rPr>
          <w:sz w:val="24"/>
          <w:szCs w:val="24"/>
        </w:rPr>
        <w:t>in health prevention and disease promotion</w:t>
      </w:r>
      <w:r w:rsidR="007A1378">
        <w:rPr>
          <w:sz w:val="24"/>
          <w:szCs w:val="24"/>
        </w:rPr>
        <w:t>.</w:t>
      </w:r>
      <w:r w:rsidR="007A1378">
        <w:rPr>
          <w:rStyle w:val="EndnoteReference"/>
          <w:sz w:val="24"/>
          <w:szCs w:val="24"/>
        </w:rPr>
        <w:endnoteReference w:id="31"/>
      </w:r>
      <w:r w:rsidR="007A1378">
        <w:rPr>
          <w:sz w:val="24"/>
          <w:szCs w:val="24"/>
        </w:rPr>
        <w:t xml:space="preserve"> </w:t>
      </w:r>
      <w:r w:rsidR="00757990">
        <w:rPr>
          <w:sz w:val="24"/>
          <w:szCs w:val="24"/>
        </w:rPr>
        <w:t xml:space="preserve"> Providing access to LDCT for lung cancer in the region is one step to improving health outcomes. </w:t>
      </w:r>
    </w:p>
    <w:p w14:paraId="0B5DA248" w14:textId="7BDC8FE1" w:rsidR="00F962C6" w:rsidRDefault="00F962C6" w:rsidP="003E1CDA">
      <w:pPr>
        <w:spacing w:after="0"/>
        <w:rPr>
          <w:b/>
          <w:bCs/>
          <w:sz w:val="28"/>
          <w:szCs w:val="28"/>
        </w:rPr>
      </w:pPr>
    </w:p>
    <w:p w14:paraId="359B40B0" w14:textId="77777777" w:rsidR="0057409D" w:rsidRDefault="008213E7" w:rsidP="003E1CDA">
      <w:pPr>
        <w:spacing w:after="0"/>
        <w:rPr>
          <w:b/>
          <w:bCs/>
          <w:i/>
          <w:iCs/>
          <w:sz w:val="24"/>
          <w:szCs w:val="24"/>
        </w:rPr>
      </w:pPr>
      <w:r w:rsidRPr="006578AD">
        <w:rPr>
          <w:b/>
          <w:bCs/>
          <w:i/>
          <w:iCs/>
          <w:sz w:val="24"/>
          <w:szCs w:val="24"/>
        </w:rPr>
        <w:t xml:space="preserve">Analysis </w:t>
      </w:r>
      <w:r w:rsidR="003E1CDA" w:rsidRPr="006578AD">
        <w:rPr>
          <w:b/>
          <w:bCs/>
          <w:i/>
          <w:iCs/>
          <w:sz w:val="24"/>
          <w:szCs w:val="24"/>
        </w:rPr>
        <w:t>FACTOR 2</w:t>
      </w:r>
    </w:p>
    <w:p w14:paraId="575242B3" w14:textId="48B3D265" w:rsidR="003E1CDA" w:rsidRPr="006578AD" w:rsidRDefault="003E1CDA" w:rsidP="003E1CDA">
      <w:pPr>
        <w:spacing w:after="0"/>
        <w:rPr>
          <w:i/>
          <w:iCs/>
          <w:sz w:val="24"/>
          <w:szCs w:val="24"/>
        </w:rPr>
      </w:pPr>
      <w:r w:rsidRPr="006578AD">
        <w:rPr>
          <w:i/>
          <w:iCs/>
          <w:sz w:val="24"/>
          <w:szCs w:val="24"/>
        </w:rPr>
        <w:t xml:space="preserve"> </w:t>
      </w:r>
    </w:p>
    <w:p w14:paraId="09D5AF0A" w14:textId="5D4A6098" w:rsidR="003E1CDA" w:rsidRPr="003E1CDA" w:rsidRDefault="003E1CDA" w:rsidP="003E1CDA">
      <w:pPr>
        <w:spacing w:after="0" w:line="240" w:lineRule="auto"/>
        <w:rPr>
          <w:b/>
          <w:bCs/>
          <w:sz w:val="24"/>
          <w:szCs w:val="24"/>
        </w:rPr>
      </w:pPr>
      <w:r w:rsidRPr="003E1CDA">
        <w:rPr>
          <w:sz w:val="24"/>
          <w:szCs w:val="24"/>
        </w:rPr>
        <w:t>As a result of information provided by the Applicant and additional analysis, staff finds that the Applicant has demonstrated that the Proposed Project has met Factor 2.</w:t>
      </w:r>
    </w:p>
    <w:p w14:paraId="37B182AD" w14:textId="36E6B12C" w:rsidR="003E1CDA" w:rsidRPr="003E1CDA" w:rsidRDefault="003E1CDA" w:rsidP="0024289A">
      <w:pPr>
        <w:pStyle w:val="Heading1"/>
      </w:pPr>
      <w:bookmarkStart w:id="19" w:name="_Toc144121536"/>
      <w:r w:rsidRPr="003E1CDA">
        <w:t>Factor 3: Relevant Licensure/Oversight Compliance</w:t>
      </w:r>
      <w:bookmarkEnd w:id="19"/>
      <w:r w:rsidRPr="003E1CDA">
        <w:t xml:space="preserve"> </w:t>
      </w:r>
    </w:p>
    <w:p w14:paraId="2FEEFBF8" w14:textId="77777777" w:rsidR="003E1CDA" w:rsidRPr="003E1CDA" w:rsidRDefault="003E1CDA" w:rsidP="00494346">
      <w:pPr>
        <w:spacing w:before="240" w:after="0" w:line="240" w:lineRule="auto"/>
        <w:rPr>
          <w:b/>
          <w:bCs/>
          <w:sz w:val="24"/>
          <w:szCs w:val="24"/>
        </w:rPr>
      </w:pPr>
      <w:r w:rsidRPr="003E1CDA">
        <w:rPr>
          <w:sz w:val="24"/>
          <w:szCs w:val="24"/>
        </w:rPr>
        <w:t>The Applicant has provided evidence of compliance and good standing with federal, state, and local laws and regulations and will not be addressed further in this report.</w:t>
      </w:r>
    </w:p>
    <w:p w14:paraId="5C31A63B" w14:textId="61E585D1" w:rsidR="00494346" w:rsidRPr="00494346" w:rsidRDefault="003E1CDA" w:rsidP="00494346">
      <w:pPr>
        <w:pStyle w:val="Heading1"/>
      </w:pPr>
      <w:bookmarkStart w:id="20" w:name="_Toc144121537"/>
      <w:r w:rsidRPr="003E1CDA">
        <w:t xml:space="preserve">Factor 4: </w:t>
      </w:r>
      <w:r w:rsidR="002B05B4">
        <w:t>Financial Feasibility</w:t>
      </w:r>
      <w:bookmarkEnd w:id="20"/>
    </w:p>
    <w:p w14:paraId="1983E44F" w14:textId="1E66B2F9" w:rsidR="008213E7" w:rsidRDefault="00600AA5" w:rsidP="00532F96">
      <w:pPr>
        <w:spacing w:before="240" w:line="240" w:lineRule="auto"/>
        <w:rPr>
          <w:sz w:val="24"/>
          <w:szCs w:val="24"/>
        </w:rPr>
      </w:pPr>
      <w:r w:rsidRPr="005F07C5">
        <w:rPr>
          <w:sz w:val="24"/>
          <w:szCs w:val="24"/>
        </w:rPr>
        <w:t xml:space="preserve">Under Factor 4, the Applicant must demonstrate that it has sufficient funds available for capital and operating costs necessary to support the Proposed Project without negative effects or consequences to the existing </w:t>
      </w:r>
      <w:r>
        <w:rPr>
          <w:sz w:val="24"/>
          <w:szCs w:val="24"/>
        </w:rPr>
        <w:t>P</w:t>
      </w:r>
      <w:r w:rsidRPr="005F07C5">
        <w:rPr>
          <w:sz w:val="24"/>
          <w:szCs w:val="24"/>
        </w:rPr>
        <w:t xml:space="preserve">atient </w:t>
      </w:r>
      <w:r>
        <w:rPr>
          <w:sz w:val="24"/>
          <w:szCs w:val="24"/>
        </w:rPr>
        <w:t>P</w:t>
      </w:r>
      <w:r w:rsidRPr="005F07C5">
        <w:rPr>
          <w:sz w:val="24"/>
          <w:szCs w:val="24"/>
        </w:rPr>
        <w:t xml:space="preserve">anel. Documentation sufficient to make such finding must be supported by an analysis by an independent CPA. </w:t>
      </w:r>
    </w:p>
    <w:p w14:paraId="69C40819" w14:textId="397DFC16" w:rsidR="00625877" w:rsidRPr="00EC77FE" w:rsidRDefault="00E726C7" w:rsidP="00625877">
      <w:pPr>
        <w:spacing w:line="240" w:lineRule="auto"/>
        <w:rPr>
          <w:sz w:val="24"/>
          <w:szCs w:val="24"/>
        </w:rPr>
      </w:pPr>
      <w:r w:rsidRPr="00E726C7">
        <w:rPr>
          <w:sz w:val="24"/>
          <w:szCs w:val="24"/>
        </w:rPr>
        <w:t xml:space="preserve">The scope of the CPA Report, performed by BDO, is limited to an analysis of the </w:t>
      </w:r>
      <w:r w:rsidR="00625877">
        <w:rPr>
          <w:sz w:val="24"/>
          <w:szCs w:val="24"/>
        </w:rPr>
        <w:t>six</w:t>
      </w:r>
      <w:r w:rsidRPr="00E726C7">
        <w:rPr>
          <w:sz w:val="24"/>
          <w:szCs w:val="24"/>
        </w:rPr>
        <w:t>-year Projections for the fiscal years 202</w:t>
      </w:r>
      <w:r w:rsidR="00625877">
        <w:rPr>
          <w:sz w:val="24"/>
          <w:szCs w:val="24"/>
        </w:rPr>
        <w:t>3</w:t>
      </w:r>
      <w:r w:rsidRPr="00E726C7">
        <w:rPr>
          <w:sz w:val="24"/>
          <w:szCs w:val="24"/>
        </w:rPr>
        <w:t>, through 2028, prepared by Management, and the supporting documentation</w:t>
      </w:r>
      <w:r w:rsidR="00625877">
        <w:rPr>
          <w:sz w:val="24"/>
          <w:szCs w:val="24"/>
        </w:rPr>
        <w:t xml:space="preserve">. </w:t>
      </w:r>
      <w:r w:rsidR="00347FB9">
        <w:rPr>
          <w:sz w:val="24"/>
          <w:szCs w:val="24"/>
        </w:rPr>
        <w:t>T</w:t>
      </w:r>
      <w:r w:rsidR="00625877" w:rsidRPr="00EC77FE">
        <w:rPr>
          <w:sz w:val="24"/>
          <w:szCs w:val="24"/>
        </w:rPr>
        <w:t xml:space="preserve">o gain an understanding of </w:t>
      </w:r>
      <w:r w:rsidR="00625877">
        <w:rPr>
          <w:sz w:val="24"/>
          <w:szCs w:val="24"/>
        </w:rPr>
        <w:t xml:space="preserve">MGB </w:t>
      </w:r>
      <w:r w:rsidR="00625877" w:rsidRPr="00EC77FE">
        <w:rPr>
          <w:sz w:val="24"/>
          <w:szCs w:val="24"/>
        </w:rPr>
        <w:t xml:space="preserve">and CDH </w:t>
      </w:r>
      <w:r w:rsidR="00625877">
        <w:rPr>
          <w:sz w:val="24"/>
          <w:szCs w:val="24"/>
        </w:rPr>
        <w:t xml:space="preserve">and </w:t>
      </w:r>
      <w:r w:rsidR="00347FB9">
        <w:rPr>
          <w:sz w:val="24"/>
          <w:szCs w:val="24"/>
        </w:rPr>
        <w:t xml:space="preserve">to </w:t>
      </w:r>
      <w:r w:rsidR="00625877" w:rsidRPr="00EC77FE">
        <w:rPr>
          <w:sz w:val="24"/>
          <w:szCs w:val="24"/>
        </w:rPr>
        <w:t xml:space="preserve">render an opinion </w:t>
      </w:r>
      <w:r w:rsidR="00532F96">
        <w:rPr>
          <w:sz w:val="24"/>
          <w:szCs w:val="24"/>
        </w:rPr>
        <w:t xml:space="preserve">on </w:t>
      </w:r>
      <w:r w:rsidR="00625877" w:rsidRPr="00EC77FE">
        <w:rPr>
          <w:sz w:val="24"/>
          <w:szCs w:val="24"/>
        </w:rPr>
        <w:t xml:space="preserve">the reasonableness of assumptions and feasibility of the </w:t>
      </w:r>
      <w:r w:rsidR="00625877">
        <w:rPr>
          <w:sz w:val="24"/>
          <w:szCs w:val="24"/>
        </w:rPr>
        <w:t xml:space="preserve">Proposed </w:t>
      </w:r>
      <w:r w:rsidR="00625877" w:rsidRPr="00EC77FE">
        <w:rPr>
          <w:sz w:val="24"/>
          <w:szCs w:val="24"/>
        </w:rPr>
        <w:t>Project</w:t>
      </w:r>
      <w:r w:rsidR="00625877">
        <w:rPr>
          <w:sz w:val="24"/>
          <w:szCs w:val="24"/>
        </w:rPr>
        <w:t>,</w:t>
      </w:r>
      <w:r w:rsidR="00625877" w:rsidRPr="00EC77FE">
        <w:rPr>
          <w:sz w:val="24"/>
          <w:szCs w:val="24"/>
        </w:rPr>
        <w:t xml:space="preserve"> </w:t>
      </w:r>
      <w:r w:rsidR="00625877">
        <w:rPr>
          <w:sz w:val="24"/>
          <w:szCs w:val="24"/>
        </w:rPr>
        <w:t>t</w:t>
      </w:r>
      <w:r w:rsidR="00625877" w:rsidRPr="00EC77FE">
        <w:rPr>
          <w:sz w:val="24"/>
          <w:szCs w:val="24"/>
        </w:rPr>
        <w:t>h</w:t>
      </w:r>
      <w:r w:rsidR="00625877">
        <w:rPr>
          <w:sz w:val="24"/>
          <w:szCs w:val="24"/>
        </w:rPr>
        <w:t>e CPA</w:t>
      </w:r>
      <w:r w:rsidR="00625877" w:rsidRPr="00EC77FE">
        <w:rPr>
          <w:sz w:val="24"/>
          <w:szCs w:val="24"/>
        </w:rPr>
        <w:t xml:space="preserve"> </w:t>
      </w:r>
      <w:r w:rsidR="00625877">
        <w:rPr>
          <w:sz w:val="24"/>
          <w:szCs w:val="24"/>
        </w:rPr>
        <w:t>reviewed and analyze</w:t>
      </w:r>
      <w:r w:rsidR="00532F96">
        <w:rPr>
          <w:sz w:val="24"/>
          <w:szCs w:val="24"/>
        </w:rPr>
        <w:t>d</w:t>
      </w:r>
      <w:r w:rsidR="00625877" w:rsidRPr="00EC77FE">
        <w:rPr>
          <w:sz w:val="24"/>
          <w:szCs w:val="24"/>
        </w:rPr>
        <w:t xml:space="preserve"> historical and prospective financial information provided by </w:t>
      </w:r>
      <w:r w:rsidR="00625877">
        <w:rPr>
          <w:sz w:val="24"/>
          <w:szCs w:val="24"/>
        </w:rPr>
        <w:t xml:space="preserve">MGB </w:t>
      </w:r>
      <w:r w:rsidR="00625877" w:rsidRPr="00EC77FE">
        <w:rPr>
          <w:sz w:val="24"/>
          <w:szCs w:val="24"/>
        </w:rPr>
        <w:t>Management</w:t>
      </w:r>
      <w:r w:rsidR="00587AA5">
        <w:rPr>
          <w:sz w:val="24"/>
          <w:szCs w:val="24"/>
        </w:rPr>
        <w:t xml:space="preserve"> between February and May 10</w:t>
      </w:r>
      <w:r w:rsidR="005E1AA4">
        <w:rPr>
          <w:sz w:val="24"/>
          <w:szCs w:val="24"/>
        </w:rPr>
        <w:t>2</w:t>
      </w:r>
      <w:r w:rsidR="00587AA5">
        <w:rPr>
          <w:sz w:val="24"/>
          <w:szCs w:val="24"/>
        </w:rPr>
        <w:t>3,</w:t>
      </w:r>
      <w:r w:rsidR="00625877" w:rsidRPr="00EC77FE">
        <w:rPr>
          <w:sz w:val="24"/>
          <w:szCs w:val="24"/>
        </w:rPr>
        <w:t xml:space="preserve"> including: </w:t>
      </w:r>
    </w:p>
    <w:p w14:paraId="20779A53" w14:textId="52385BF2" w:rsidR="00625877" w:rsidRPr="00EC77FE" w:rsidRDefault="00625877" w:rsidP="00263FB5">
      <w:pPr>
        <w:numPr>
          <w:ilvl w:val="0"/>
          <w:numId w:val="8"/>
        </w:numPr>
        <w:spacing w:line="240" w:lineRule="auto"/>
        <w:rPr>
          <w:sz w:val="24"/>
          <w:szCs w:val="24"/>
        </w:rPr>
      </w:pPr>
      <w:r w:rsidRPr="00EC77FE">
        <w:rPr>
          <w:sz w:val="24"/>
          <w:szCs w:val="24"/>
        </w:rPr>
        <w:t>Six-Year Pro-Forma Statements (Projections) for the fiscal years ending 2023 through 2028, provided February 17, 2023, updated on March 3, 2023, updated again on June 22, 2023</w:t>
      </w:r>
      <w:r w:rsidR="00347FB9">
        <w:rPr>
          <w:sz w:val="24"/>
          <w:szCs w:val="24"/>
        </w:rPr>
        <w:t>;</w:t>
      </w:r>
    </w:p>
    <w:p w14:paraId="27682391" w14:textId="76584312" w:rsidR="00625877" w:rsidRPr="00EC77FE" w:rsidRDefault="00625877" w:rsidP="00263FB5">
      <w:pPr>
        <w:numPr>
          <w:ilvl w:val="0"/>
          <w:numId w:val="8"/>
        </w:numPr>
        <w:spacing w:line="240" w:lineRule="auto"/>
        <w:rPr>
          <w:sz w:val="24"/>
          <w:szCs w:val="24"/>
        </w:rPr>
      </w:pPr>
      <w:r w:rsidRPr="00EC77FE">
        <w:rPr>
          <w:sz w:val="24"/>
          <w:szCs w:val="24"/>
        </w:rPr>
        <w:t>Projected income statements for the CDH new CT unit, including detailed assumptions for the first five years of operations</w:t>
      </w:r>
      <w:r w:rsidR="00347FB9">
        <w:rPr>
          <w:sz w:val="24"/>
          <w:szCs w:val="24"/>
        </w:rPr>
        <w:t>;</w:t>
      </w:r>
    </w:p>
    <w:p w14:paraId="61293B1B" w14:textId="21CDDDAA" w:rsidR="00625877" w:rsidRPr="00EC77FE" w:rsidRDefault="00625877" w:rsidP="00263FB5">
      <w:pPr>
        <w:numPr>
          <w:ilvl w:val="0"/>
          <w:numId w:val="8"/>
        </w:numPr>
        <w:spacing w:line="240" w:lineRule="auto"/>
        <w:rPr>
          <w:sz w:val="24"/>
          <w:szCs w:val="24"/>
        </w:rPr>
      </w:pPr>
      <w:r w:rsidRPr="00EC77FE">
        <w:rPr>
          <w:sz w:val="24"/>
          <w:szCs w:val="24"/>
        </w:rPr>
        <w:t>CDH CT Scan Department income statements for fiscal years 2021 and 2022</w:t>
      </w:r>
      <w:r w:rsidR="00347FB9">
        <w:rPr>
          <w:sz w:val="24"/>
          <w:szCs w:val="24"/>
        </w:rPr>
        <w:t>;</w:t>
      </w:r>
    </w:p>
    <w:p w14:paraId="05CD54F4" w14:textId="21E49A87" w:rsidR="00625877" w:rsidRPr="00EC77FE" w:rsidRDefault="00625877" w:rsidP="00263FB5">
      <w:pPr>
        <w:numPr>
          <w:ilvl w:val="0"/>
          <w:numId w:val="8"/>
        </w:numPr>
        <w:spacing w:line="240" w:lineRule="auto"/>
        <w:rPr>
          <w:sz w:val="24"/>
          <w:szCs w:val="24"/>
        </w:rPr>
      </w:pPr>
      <w:r w:rsidRPr="00EC77FE">
        <w:rPr>
          <w:sz w:val="24"/>
          <w:szCs w:val="24"/>
        </w:rPr>
        <w:t>Schedule of Estimated Total Capital Expenditure (Factor 4 Form F4a.ii)</w:t>
      </w:r>
      <w:r w:rsidR="00347FB9">
        <w:rPr>
          <w:sz w:val="24"/>
          <w:szCs w:val="24"/>
        </w:rPr>
        <w:t>;</w:t>
      </w:r>
    </w:p>
    <w:p w14:paraId="3140B576" w14:textId="266F0044" w:rsidR="00625877" w:rsidRPr="00EC77FE" w:rsidRDefault="00625877" w:rsidP="00263FB5">
      <w:pPr>
        <w:numPr>
          <w:ilvl w:val="0"/>
          <w:numId w:val="8"/>
        </w:numPr>
        <w:spacing w:line="240" w:lineRule="auto"/>
        <w:rPr>
          <w:sz w:val="24"/>
          <w:szCs w:val="24"/>
        </w:rPr>
      </w:pPr>
      <w:r w:rsidRPr="00EC77FE">
        <w:rPr>
          <w:sz w:val="24"/>
          <w:szCs w:val="24"/>
        </w:rPr>
        <w:lastRenderedPageBreak/>
        <w:t xml:space="preserve">Audited Financial Statements of </w:t>
      </w:r>
      <w:r>
        <w:rPr>
          <w:sz w:val="24"/>
          <w:szCs w:val="24"/>
        </w:rPr>
        <w:t>MGB</w:t>
      </w:r>
      <w:r w:rsidRPr="00EC77FE">
        <w:rPr>
          <w:sz w:val="24"/>
          <w:szCs w:val="24"/>
        </w:rPr>
        <w:t xml:space="preserve"> Incorporated and Affiliates as of and for the years ended September 30, </w:t>
      </w:r>
      <w:r w:rsidR="00587AA5" w:rsidRPr="00EC77FE">
        <w:rPr>
          <w:sz w:val="24"/>
          <w:szCs w:val="24"/>
        </w:rPr>
        <w:t>2022,</w:t>
      </w:r>
      <w:r w:rsidRPr="00EC77FE">
        <w:rPr>
          <w:sz w:val="24"/>
          <w:szCs w:val="24"/>
        </w:rPr>
        <w:t xml:space="preserve"> and 2021;</w:t>
      </w:r>
    </w:p>
    <w:p w14:paraId="1A7E38C6" w14:textId="77777777" w:rsidR="00625877" w:rsidRPr="00EC77FE" w:rsidRDefault="00625877" w:rsidP="00263FB5">
      <w:pPr>
        <w:numPr>
          <w:ilvl w:val="0"/>
          <w:numId w:val="8"/>
        </w:numPr>
        <w:spacing w:line="240" w:lineRule="auto"/>
        <w:rPr>
          <w:sz w:val="24"/>
          <w:szCs w:val="24"/>
        </w:rPr>
      </w:pPr>
      <w:r w:rsidRPr="00EC77FE">
        <w:rPr>
          <w:sz w:val="24"/>
          <w:szCs w:val="24"/>
        </w:rPr>
        <w:t xml:space="preserve">Multi-Year Financial Framework of </w:t>
      </w:r>
      <w:r>
        <w:rPr>
          <w:sz w:val="24"/>
          <w:szCs w:val="24"/>
        </w:rPr>
        <w:t>MGB</w:t>
      </w:r>
      <w:r w:rsidRPr="00EC77FE">
        <w:rPr>
          <w:sz w:val="24"/>
          <w:szCs w:val="24"/>
        </w:rPr>
        <w:t xml:space="preserve"> Incorporated for the fiscal years ending 2023 through 2027 prepared for </w:t>
      </w:r>
      <w:r>
        <w:rPr>
          <w:sz w:val="24"/>
          <w:szCs w:val="24"/>
        </w:rPr>
        <w:t>MGB</w:t>
      </w:r>
      <w:r w:rsidRPr="00EC77FE">
        <w:rPr>
          <w:sz w:val="24"/>
          <w:szCs w:val="24"/>
        </w:rPr>
        <w:t xml:space="preserve"> Finance Committee as of November 11, 2022;</w:t>
      </w:r>
    </w:p>
    <w:p w14:paraId="7754D3A6" w14:textId="284E145D" w:rsidR="00625877" w:rsidRPr="00EC77FE" w:rsidRDefault="00625877" w:rsidP="00263FB5">
      <w:pPr>
        <w:numPr>
          <w:ilvl w:val="0"/>
          <w:numId w:val="8"/>
        </w:numPr>
        <w:spacing w:line="240" w:lineRule="auto"/>
        <w:rPr>
          <w:sz w:val="24"/>
          <w:szCs w:val="24"/>
        </w:rPr>
      </w:pPr>
      <w:r w:rsidRPr="00EC77FE">
        <w:rPr>
          <w:sz w:val="24"/>
          <w:szCs w:val="24"/>
        </w:rPr>
        <w:t xml:space="preserve">Consolidated Balance Sheet and Statements of Operations of MGB and Affiliates, which includes CDH, as of and for the years ended September 30, </w:t>
      </w:r>
      <w:r w:rsidR="00587AA5" w:rsidRPr="00EC77FE">
        <w:rPr>
          <w:sz w:val="24"/>
          <w:szCs w:val="24"/>
        </w:rPr>
        <w:t>2021,</w:t>
      </w:r>
      <w:r w:rsidRPr="00EC77FE">
        <w:rPr>
          <w:sz w:val="24"/>
          <w:szCs w:val="24"/>
        </w:rPr>
        <w:t xml:space="preserve"> and 2022;</w:t>
      </w:r>
    </w:p>
    <w:p w14:paraId="0C4891B3" w14:textId="77777777" w:rsidR="00625877" w:rsidRPr="00EC77FE" w:rsidRDefault="00625877" w:rsidP="00263FB5">
      <w:pPr>
        <w:numPr>
          <w:ilvl w:val="0"/>
          <w:numId w:val="8"/>
        </w:numPr>
        <w:spacing w:line="240" w:lineRule="auto"/>
        <w:rPr>
          <w:sz w:val="24"/>
          <w:szCs w:val="24"/>
        </w:rPr>
      </w:pPr>
      <w:r w:rsidRPr="00EC77FE">
        <w:rPr>
          <w:sz w:val="24"/>
          <w:szCs w:val="24"/>
        </w:rPr>
        <w:t xml:space="preserve">Company website – https://www.massgeneralbrigham.org; </w:t>
      </w:r>
      <w:r>
        <w:rPr>
          <w:sz w:val="24"/>
          <w:szCs w:val="24"/>
        </w:rPr>
        <w:t xml:space="preserve">CDH </w:t>
      </w:r>
      <w:r w:rsidRPr="00EC77FE">
        <w:rPr>
          <w:sz w:val="24"/>
          <w:szCs w:val="24"/>
        </w:rPr>
        <w:t>website – https://www.cooleydickinson.org;</w:t>
      </w:r>
    </w:p>
    <w:p w14:paraId="570A4662" w14:textId="337AB451" w:rsidR="00625877" w:rsidRPr="00857280" w:rsidRDefault="00625877" w:rsidP="00625877">
      <w:pPr>
        <w:spacing w:line="240" w:lineRule="auto"/>
        <w:rPr>
          <w:sz w:val="24"/>
          <w:szCs w:val="24"/>
        </w:rPr>
      </w:pPr>
      <w:r>
        <w:rPr>
          <w:sz w:val="24"/>
          <w:szCs w:val="24"/>
        </w:rPr>
        <w:t xml:space="preserve">The CPA </w:t>
      </w:r>
      <w:r w:rsidRPr="00857280">
        <w:rPr>
          <w:sz w:val="24"/>
          <w:szCs w:val="24"/>
        </w:rPr>
        <w:t xml:space="preserve">report </w:t>
      </w:r>
      <w:r w:rsidR="00347FB9">
        <w:rPr>
          <w:sz w:val="24"/>
          <w:szCs w:val="24"/>
        </w:rPr>
        <w:t xml:space="preserve">also </w:t>
      </w:r>
      <w:r>
        <w:rPr>
          <w:sz w:val="24"/>
          <w:szCs w:val="24"/>
        </w:rPr>
        <w:t xml:space="preserve">analyzed </w:t>
      </w:r>
      <w:r w:rsidRPr="00857280">
        <w:rPr>
          <w:sz w:val="24"/>
          <w:szCs w:val="24"/>
        </w:rPr>
        <w:t>Key Metrics</w:t>
      </w:r>
      <w:r w:rsidR="00347FB9">
        <w:rPr>
          <w:sz w:val="24"/>
          <w:szCs w:val="24"/>
        </w:rPr>
        <w:t>,</w:t>
      </w:r>
      <w:r>
        <w:rPr>
          <w:rStyle w:val="FootnoteReference"/>
          <w:sz w:val="24"/>
          <w:szCs w:val="24"/>
        </w:rPr>
        <w:footnoteReference w:id="25"/>
      </w:r>
      <w:r>
        <w:rPr>
          <w:sz w:val="24"/>
          <w:szCs w:val="24"/>
        </w:rPr>
        <w:t xml:space="preserve"> which </w:t>
      </w:r>
      <w:r w:rsidRPr="00857280">
        <w:rPr>
          <w:sz w:val="24"/>
          <w:szCs w:val="24"/>
        </w:rPr>
        <w:t xml:space="preserve">are used to assist in the evaluation of management performance </w:t>
      </w:r>
      <w:r w:rsidR="00347FB9">
        <w:rPr>
          <w:sz w:val="24"/>
          <w:szCs w:val="24"/>
        </w:rPr>
        <w:t>of</w:t>
      </w:r>
      <w:r w:rsidRPr="00857280">
        <w:rPr>
          <w:sz w:val="24"/>
          <w:szCs w:val="24"/>
        </w:rPr>
        <w:t xml:space="preserve"> how efficiently resources are utilized.</w:t>
      </w:r>
      <w:r>
        <w:rPr>
          <w:rStyle w:val="FootnoteReference"/>
          <w:sz w:val="24"/>
          <w:szCs w:val="24"/>
        </w:rPr>
        <w:footnoteReference w:id="26"/>
      </w:r>
      <w:r w:rsidRPr="00857280">
        <w:rPr>
          <w:sz w:val="24"/>
          <w:szCs w:val="24"/>
        </w:rPr>
        <w:t xml:space="preserve"> </w:t>
      </w:r>
    </w:p>
    <w:p w14:paraId="403B0CF2" w14:textId="77777777" w:rsidR="00625877" w:rsidRPr="009617BB" w:rsidRDefault="00625877" w:rsidP="00A24A31">
      <w:pPr>
        <w:pStyle w:val="ListParagraph"/>
        <w:numPr>
          <w:ilvl w:val="0"/>
          <w:numId w:val="9"/>
        </w:numPr>
        <w:spacing w:line="240" w:lineRule="auto"/>
        <w:rPr>
          <w:sz w:val="24"/>
          <w:szCs w:val="24"/>
        </w:rPr>
      </w:pPr>
      <w:r w:rsidRPr="009617BB">
        <w:rPr>
          <w:sz w:val="24"/>
          <w:szCs w:val="24"/>
        </w:rPr>
        <w:t>Revenues</w:t>
      </w:r>
    </w:p>
    <w:p w14:paraId="346C769B" w14:textId="69451E76" w:rsidR="00625877" w:rsidRPr="00857280" w:rsidRDefault="00625877" w:rsidP="00625877">
      <w:pPr>
        <w:spacing w:line="240" w:lineRule="auto"/>
        <w:rPr>
          <w:sz w:val="24"/>
          <w:szCs w:val="24"/>
        </w:rPr>
      </w:pPr>
      <w:r w:rsidRPr="00857280">
        <w:rPr>
          <w:sz w:val="24"/>
          <w:szCs w:val="24"/>
        </w:rPr>
        <w:t xml:space="preserve">Since </w:t>
      </w:r>
      <w:r w:rsidR="00B05710">
        <w:rPr>
          <w:sz w:val="24"/>
          <w:szCs w:val="24"/>
        </w:rPr>
        <w:t>the</w:t>
      </w:r>
      <w:r w:rsidRPr="00857280">
        <w:rPr>
          <w:sz w:val="24"/>
          <w:szCs w:val="24"/>
        </w:rPr>
        <w:t xml:space="preserve"> net patient service revenue is the only revenue category impacted by the Proposed Project, the CPA only analyzed this category of historical and projected financial information. The </w:t>
      </w:r>
      <w:r w:rsidR="00605968">
        <w:rPr>
          <w:sz w:val="24"/>
          <w:szCs w:val="24"/>
        </w:rPr>
        <w:t>a</w:t>
      </w:r>
      <w:r w:rsidRPr="00857280">
        <w:rPr>
          <w:sz w:val="24"/>
          <w:szCs w:val="24"/>
        </w:rPr>
        <w:t xml:space="preserve">nalysis determined that the proposed capital project would represent approximately </w:t>
      </w:r>
      <w:r w:rsidR="006A229F">
        <w:rPr>
          <w:sz w:val="24"/>
          <w:szCs w:val="24"/>
        </w:rPr>
        <w:t>0</w:t>
      </w:r>
      <w:r w:rsidRPr="00857280">
        <w:rPr>
          <w:sz w:val="24"/>
          <w:szCs w:val="24"/>
        </w:rPr>
        <w:t xml:space="preserve">.0148% (1.5 one-hundredth of 1%) of </w:t>
      </w:r>
      <w:r>
        <w:rPr>
          <w:sz w:val="24"/>
          <w:szCs w:val="24"/>
        </w:rPr>
        <w:t>MGB</w:t>
      </w:r>
      <w:r w:rsidRPr="00857280">
        <w:rPr>
          <w:sz w:val="24"/>
          <w:szCs w:val="24"/>
        </w:rPr>
        <w:t xml:space="preserve"> net patient service revenue in FY 2025, and approximately .0172% (</w:t>
      </w:r>
      <w:r w:rsidR="00347FB9">
        <w:rPr>
          <w:sz w:val="24"/>
          <w:szCs w:val="24"/>
        </w:rPr>
        <w:t xml:space="preserve">&lt; </w:t>
      </w:r>
      <w:r w:rsidRPr="00857280">
        <w:rPr>
          <w:sz w:val="24"/>
          <w:szCs w:val="24"/>
        </w:rPr>
        <w:t xml:space="preserve">2 one-hundredths of 1%) of </w:t>
      </w:r>
      <w:r>
        <w:rPr>
          <w:sz w:val="24"/>
          <w:szCs w:val="24"/>
        </w:rPr>
        <w:t>MGB</w:t>
      </w:r>
      <w:r w:rsidRPr="00857280">
        <w:rPr>
          <w:sz w:val="24"/>
          <w:szCs w:val="24"/>
        </w:rPr>
        <w:t xml:space="preserve"> net patient service revenue in FY 2028. The first year in which revenue is present for the proposed capital project is FY 2025. </w:t>
      </w:r>
    </w:p>
    <w:p w14:paraId="400EF838" w14:textId="62B4C585" w:rsidR="00625877" w:rsidRPr="00857280" w:rsidRDefault="00625877" w:rsidP="00625877">
      <w:pPr>
        <w:spacing w:line="240" w:lineRule="auto"/>
        <w:rPr>
          <w:sz w:val="24"/>
          <w:szCs w:val="24"/>
        </w:rPr>
      </w:pPr>
      <w:r w:rsidRPr="00857280">
        <w:rPr>
          <w:sz w:val="24"/>
          <w:szCs w:val="24"/>
        </w:rPr>
        <w:t xml:space="preserve">The CPA concluded that the revenue growth projected by the Applicant reflects a reasonable estimation based primarily upon the Company’s historical operations, excluding FY 2020 due to the financial impact of the COVID-19 pandemic. </w:t>
      </w:r>
    </w:p>
    <w:p w14:paraId="19554301" w14:textId="77777777" w:rsidR="00625877" w:rsidRPr="009617BB" w:rsidRDefault="00625877" w:rsidP="00A24A31">
      <w:pPr>
        <w:pStyle w:val="ListParagraph"/>
        <w:numPr>
          <w:ilvl w:val="0"/>
          <w:numId w:val="9"/>
        </w:numPr>
        <w:spacing w:line="240" w:lineRule="auto"/>
        <w:rPr>
          <w:sz w:val="24"/>
          <w:szCs w:val="24"/>
        </w:rPr>
      </w:pPr>
      <w:r w:rsidRPr="009617BB">
        <w:rPr>
          <w:sz w:val="24"/>
          <w:szCs w:val="24"/>
        </w:rPr>
        <w:t>Operating Expenses</w:t>
      </w:r>
    </w:p>
    <w:p w14:paraId="766D2573" w14:textId="77777777" w:rsidR="00347FB9" w:rsidRDefault="00625877" w:rsidP="00625877">
      <w:pPr>
        <w:spacing w:line="240" w:lineRule="auto"/>
        <w:rPr>
          <w:sz w:val="24"/>
          <w:szCs w:val="24"/>
        </w:rPr>
      </w:pPr>
      <w:r w:rsidRPr="00857280">
        <w:rPr>
          <w:sz w:val="24"/>
          <w:szCs w:val="24"/>
        </w:rPr>
        <w:t>The CPA analyzed operating expenses for reasonableness and feasibility as it relates to the projected revenue items</w:t>
      </w:r>
      <w:r>
        <w:rPr>
          <w:sz w:val="24"/>
          <w:szCs w:val="24"/>
        </w:rPr>
        <w:t xml:space="preserve"> including</w:t>
      </w:r>
      <w:r w:rsidRPr="00857280">
        <w:rPr>
          <w:sz w:val="24"/>
          <w:szCs w:val="24"/>
        </w:rPr>
        <w:t xml:space="preserve"> actual operating results for </w:t>
      </w:r>
      <w:r>
        <w:rPr>
          <w:sz w:val="24"/>
          <w:szCs w:val="24"/>
        </w:rPr>
        <w:t>MGB</w:t>
      </w:r>
      <w:r w:rsidRPr="00857280">
        <w:rPr>
          <w:sz w:val="24"/>
          <w:szCs w:val="24"/>
        </w:rPr>
        <w:t xml:space="preserve"> for the years ended 2021 and 2022 to determine the impact of the proposed capital project at CDH on the consolidated entity and to determine the reasonableness of the Projections for the fiscal years 2023 through 2028. Based upon </w:t>
      </w:r>
      <w:r w:rsidR="00347FB9">
        <w:rPr>
          <w:sz w:val="24"/>
          <w:szCs w:val="24"/>
        </w:rPr>
        <w:t xml:space="preserve">this </w:t>
      </w:r>
      <w:r w:rsidRPr="00857280">
        <w:rPr>
          <w:sz w:val="24"/>
          <w:szCs w:val="24"/>
        </w:rPr>
        <w:t>analysis, the proposed capital project would represent</w:t>
      </w:r>
      <w:r w:rsidR="00347FB9">
        <w:rPr>
          <w:sz w:val="24"/>
          <w:szCs w:val="24"/>
        </w:rPr>
        <w:t xml:space="preserve"> ~0</w:t>
      </w:r>
      <w:r w:rsidRPr="00857280">
        <w:rPr>
          <w:sz w:val="24"/>
          <w:szCs w:val="24"/>
        </w:rPr>
        <w:t>.0011% (</w:t>
      </w:r>
      <w:r w:rsidR="00347FB9">
        <w:rPr>
          <w:sz w:val="24"/>
          <w:szCs w:val="24"/>
        </w:rPr>
        <w:t>~</w:t>
      </w:r>
      <w:r w:rsidRPr="00857280">
        <w:rPr>
          <w:sz w:val="24"/>
          <w:szCs w:val="24"/>
        </w:rPr>
        <w:t xml:space="preserve">1-one thousandths of 1%) of </w:t>
      </w:r>
      <w:r>
        <w:rPr>
          <w:sz w:val="24"/>
          <w:szCs w:val="24"/>
        </w:rPr>
        <w:t>MGB</w:t>
      </w:r>
      <w:r w:rsidRPr="00857280">
        <w:rPr>
          <w:sz w:val="24"/>
          <w:szCs w:val="24"/>
        </w:rPr>
        <w:t xml:space="preserve"> operating expenses in FY 2025, and</w:t>
      </w:r>
      <w:r w:rsidR="00347FB9">
        <w:rPr>
          <w:sz w:val="24"/>
          <w:szCs w:val="24"/>
        </w:rPr>
        <w:t xml:space="preserve"> ~0</w:t>
      </w:r>
      <w:r w:rsidRPr="00857280">
        <w:rPr>
          <w:sz w:val="24"/>
          <w:szCs w:val="24"/>
        </w:rPr>
        <w:t>.0019% (</w:t>
      </w:r>
      <w:r w:rsidR="00347FB9">
        <w:rPr>
          <w:sz w:val="24"/>
          <w:szCs w:val="24"/>
        </w:rPr>
        <w:t>~</w:t>
      </w:r>
      <w:r w:rsidRPr="00857280">
        <w:rPr>
          <w:sz w:val="24"/>
          <w:szCs w:val="24"/>
        </w:rPr>
        <w:t xml:space="preserve">2-one thousandths of 1%) of </w:t>
      </w:r>
      <w:r>
        <w:rPr>
          <w:sz w:val="24"/>
          <w:szCs w:val="24"/>
        </w:rPr>
        <w:t>MGB</w:t>
      </w:r>
      <w:r w:rsidRPr="00857280">
        <w:rPr>
          <w:sz w:val="24"/>
          <w:szCs w:val="24"/>
        </w:rPr>
        <w:t xml:space="preserve"> operating expenses in FY 2028. </w:t>
      </w:r>
      <w:r w:rsidR="00347FB9">
        <w:rPr>
          <w:sz w:val="24"/>
          <w:szCs w:val="24"/>
        </w:rPr>
        <w:t xml:space="preserve"> </w:t>
      </w:r>
    </w:p>
    <w:p w14:paraId="2C1D06C5" w14:textId="05645DBF" w:rsidR="00625877" w:rsidRPr="00857280" w:rsidRDefault="00625877" w:rsidP="00625877">
      <w:pPr>
        <w:spacing w:line="240" w:lineRule="auto"/>
        <w:rPr>
          <w:sz w:val="24"/>
          <w:szCs w:val="24"/>
        </w:rPr>
      </w:pPr>
      <w:r w:rsidRPr="00857280">
        <w:rPr>
          <w:sz w:val="24"/>
          <w:szCs w:val="24"/>
        </w:rPr>
        <w:t xml:space="preserve">As a result, the CPA concluded the growth in operating expenses projected by Management reflects a reasonable estimation based primarily upon the Company’s historical operations, excluding FY 2020 due to the financial impact of the COVID -19 pandemic. </w:t>
      </w:r>
    </w:p>
    <w:p w14:paraId="70996EAF" w14:textId="77777777" w:rsidR="00625877" w:rsidRPr="009617BB" w:rsidRDefault="00625877" w:rsidP="00A24A31">
      <w:pPr>
        <w:pStyle w:val="ListParagraph"/>
        <w:numPr>
          <w:ilvl w:val="0"/>
          <w:numId w:val="9"/>
        </w:numPr>
        <w:spacing w:line="240" w:lineRule="auto"/>
        <w:rPr>
          <w:sz w:val="24"/>
          <w:szCs w:val="24"/>
        </w:rPr>
      </w:pPr>
      <w:r w:rsidRPr="009617BB">
        <w:rPr>
          <w:sz w:val="24"/>
          <w:szCs w:val="24"/>
        </w:rPr>
        <w:t>Nonoperating Gains/Expenses and Other Changes in Net Assets</w:t>
      </w:r>
    </w:p>
    <w:p w14:paraId="4938157A" w14:textId="08BDB2DB" w:rsidR="00625877" w:rsidRPr="00857280" w:rsidRDefault="00625877" w:rsidP="00625877">
      <w:pPr>
        <w:spacing w:line="240" w:lineRule="auto"/>
        <w:rPr>
          <w:sz w:val="24"/>
          <w:szCs w:val="24"/>
        </w:rPr>
      </w:pPr>
      <w:r w:rsidRPr="00857280">
        <w:rPr>
          <w:sz w:val="24"/>
          <w:szCs w:val="24"/>
        </w:rPr>
        <w:t xml:space="preserve">The final categories of </w:t>
      </w:r>
      <w:r>
        <w:rPr>
          <w:sz w:val="24"/>
          <w:szCs w:val="24"/>
        </w:rPr>
        <w:t>MGB</w:t>
      </w:r>
      <w:r w:rsidRPr="00857280">
        <w:rPr>
          <w:sz w:val="24"/>
          <w:szCs w:val="24"/>
        </w:rPr>
        <w:t xml:space="preserve"> Projections are various nonoperating gains/expenses and other changes in net assets. The CPA analyzed the nonoperating activity in aggregate and determined </w:t>
      </w:r>
      <w:r w:rsidRPr="00857280">
        <w:rPr>
          <w:sz w:val="24"/>
          <w:szCs w:val="24"/>
        </w:rPr>
        <w:lastRenderedPageBreak/>
        <w:t xml:space="preserve">that there were no nonoperating expenses projected for the </w:t>
      </w:r>
      <w:r w:rsidR="00C41090">
        <w:rPr>
          <w:sz w:val="24"/>
          <w:szCs w:val="24"/>
        </w:rPr>
        <w:t>P</w:t>
      </w:r>
      <w:r w:rsidRPr="00857280">
        <w:rPr>
          <w:sz w:val="24"/>
          <w:szCs w:val="24"/>
        </w:rPr>
        <w:t xml:space="preserve">roposed </w:t>
      </w:r>
      <w:r w:rsidR="00C41090">
        <w:rPr>
          <w:sz w:val="24"/>
          <w:szCs w:val="24"/>
        </w:rPr>
        <w:t>P</w:t>
      </w:r>
      <w:r w:rsidRPr="00857280">
        <w:rPr>
          <w:sz w:val="24"/>
          <w:szCs w:val="24"/>
        </w:rPr>
        <w:t>roject at CDH and that the pro-forma nonoperating gains/expenses and other changes in net assets are reasonable.</w:t>
      </w:r>
    </w:p>
    <w:p w14:paraId="079CC45D" w14:textId="77777777" w:rsidR="00625877" w:rsidRPr="009617BB" w:rsidRDefault="00625877" w:rsidP="00A24A31">
      <w:pPr>
        <w:pStyle w:val="ListParagraph"/>
        <w:numPr>
          <w:ilvl w:val="0"/>
          <w:numId w:val="9"/>
        </w:numPr>
        <w:spacing w:line="240" w:lineRule="auto"/>
        <w:rPr>
          <w:sz w:val="24"/>
          <w:szCs w:val="24"/>
        </w:rPr>
      </w:pPr>
      <w:r w:rsidRPr="009617BB">
        <w:rPr>
          <w:sz w:val="24"/>
          <w:szCs w:val="24"/>
        </w:rPr>
        <w:t>Capital Expenditures and Cash Flows</w:t>
      </w:r>
    </w:p>
    <w:p w14:paraId="2425CB80" w14:textId="4077F7E9" w:rsidR="00625877" w:rsidRPr="00857280" w:rsidRDefault="00625877" w:rsidP="00625877">
      <w:pPr>
        <w:spacing w:line="240" w:lineRule="auto"/>
        <w:rPr>
          <w:sz w:val="24"/>
          <w:szCs w:val="24"/>
        </w:rPr>
      </w:pPr>
      <w:r w:rsidRPr="00857280">
        <w:rPr>
          <w:sz w:val="24"/>
          <w:szCs w:val="24"/>
        </w:rPr>
        <w:t xml:space="preserve">The CPA reviewed MGB’s capital expenditures and cash flows and had discussions with Management to determine whether it anticipated reinvesting sufficient funds for technological upgrades </w:t>
      </w:r>
      <w:r w:rsidR="00C41090">
        <w:rPr>
          <w:sz w:val="24"/>
          <w:szCs w:val="24"/>
        </w:rPr>
        <w:t>to</w:t>
      </w:r>
      <w:r w:rsidRPr="00857280">
        <w:rPr>
          <w:sz w:val="24"/>
          <w:szCs w:val="24"/>
        </w:rPr>
        <w:t xml:space="preserve"> property, </w:t>
      </w:r>
      <w:proofErr w:type="gramStart"/>
      <w:r w:rsidRPr="00857280">
        <w:rPr>
          <w:sz w:val="24"/>
          <w:szCs w:val="24"/>
        </w:rPr>
        <w:t>plant</w:t>
      </w:r>
      <w:proofErr w:type="gramEnd"/>
      <w:r w:rsidRPr="00857280">
        <w:rPr>
          <w:sz w:val="24"/>
          <w:szCs w:val="24"/>
        </w:rPr>
        <w:t xml:space="preserve"> and equipment and whether the cash flow would be able to support that reinvestment.</w:t>
      </w:r>
    </w:p>
    <w:p w14:paraId="58FCAB51" w14:textId="5388BF8F" w:rsidR="00625877" w:rsidRDefault="00625877" w:rsidP="00625877">
      <w:pPr>
        <w:spacing w:line="240" w:lineRule="auto"/>
        <w:rPr>
          <w:sz w:val="24"/>
          <w:szCs w:val="24"/>
        </w:rPr>
      </w:pPr>
      <w:r w:rsidRPr="00857280">
        <w:rPr>
          <w:sz w:val="24"/>
          <w:szCs w:val="24"/>
        </w:rPr>
        <w:t xml:space="preserve">The CPA also considered the current and projected capital project and loan financing obligations included within the Projections and the impact of those projected expenditures on </w:t>
      </w:r>
      <w:r>
        <w:rPr>
          <w:sz w:val="24"/>
          <w:szCs w:val="24"/>
        </w:rPr>
        <w:t>MGB</w:t>
      </w:r>
      <w:r w:rsidRPr="00857280">
        <w:rPr>
          <w:sz w:val="24"/>
          <w:szCs w:val="24"/>
        </w:rPr>
        <w:t xml:space="preserve"> cash </w:t>
      </w:r>
      <w:r w:rsidR="00D224B5" w:rsidRPr="00857280">
        <w:rPr>
          <w:sz w:val="24"/>
          <w:szCs w:val="24"/>
        </w:rPr>
        <w:t>flow and</w:t>
      </w:r>
      <w:r w:rsidRPr="00857280">
        <w:rPr>
          <w:sz w:val="24"/>
          <w:szCs w:val="24"/>
        </w:rPr>
        <w:t xml:space="preserve"> concluded that the pro-forma capital expenditures and their impact on </w:t>
      </w:r>
      <w:r>
        <w:rPr>
          <w:sz w:val="24"/>
          <w:szCs w:val="24"/>
        </w:rPr>
        <w:t>MGB</w:t>
      </w:r>
      <w:r w:rsidRPr="00857280">
        <w:rPr>
          <w:sz w:val="24"/>
          <w:szCs w:val="24"/>
        </w:rPr>
        <w:t xml:space="preserve"> cash flows are reasonable.</w:t>
      </w:r>
    </w:p>
    <w:p w14:paraId="704516A4" w14:textId="69C432B3" w:rsidR="00625877" w:rsidRPr="00263FB5" w:rsidRDefault="00D70215" w:rsidP="00263FB5">
      <w:pPr>
        <w:spacing w:line="240" w:lineRule="auto"/>
        <w:rPr>
          <w:sz w:val="24"/>
          <w:szCs w:val="24"/>
        </w:rPr>
      </w:pPr>
      <w:r w:rsidRPr="00263FB5">
        <w:rPr>
          <w:sz w:val="24"/>
          <w:szCs w:val="24"/>
        </w:rPr>
        <w:t xml:space="preserve">CPA’s </w:t>
      </w:r>
      <w:r w:rsidR="00625877" w:rsidRPr="00263FB5">
        <w:rPr>
          <w:sz w:val="24"/>
          <w:szCs w:val="24"/>
        </w:rPr>
        <w:t>Conclusion</w:t>
      </w:r>
    </w:p>
    <w:p w14:paraId="447BF411" w14:textId="273BECA6" w:rsidR="008D5E0C" w:rsidRPr="0001189D" w:rsidRDefault="00C41090" w:rsidP="00625877">
      <w:pPr>
        <w:spacing w:line="240" w:lineRule="auto"/>
        <w:rPr>
          <w:i/>
          <w:iCs/>
          <w:sz w:val="24"/>
          <w:szCs w:val="24"/>
        </w:rPr>
      </w:pPr>
      <w:r>
        <w:rPr>
          <w:sz w:val="24"/>
          <w:szCs w:val="24"/>
        </w:rPr>
        <w:t>T</w:t>
      </w:r>
      <w:r w:rsidR="00625877" w:rsidRPr="009617BB">
        <w:rPr>
          <w:sz w:val="24"/>
          <w:szCs w:val="24"/>
        </w:rPr>
        <w:t xml:space="preserve">he CPA’s analysis </w:t>
      </w:r>
      <w:r w:rsidR="0001189D">
        <w:rPr>
          <w:sz w:val="24"/>
          <w:szCs w:val="24"/>
        </w:rPr>
        <w:t xml:space="preserve">reflects that </w:t>
      </w:r>
      <w:r w:rsidR="0001189D" w:rsidRPr="0001189D">
        <w:rPr>
          <w:sz w:val="24"/>
          <w:szCs w:val="24"/>
        </w:rPr>
        <w:t>the Proposed Project</w:t>
      </w:r>
      <w:r w:rsidR="0001189D">
        <w:rPr>
          <w:sz w:val="24"/>
          <w:szCs w:val="24"/>
        </w:rPr>
        <w:t xml:space="preserve"> has </w:t>
      </w:r>
      <w:r w:rsidR="00625877" w:rsidRPr="009617BB">
        <w:rPr>
          <w:sz w:val="24"/>
          <w:szCs w:val="24"/>
        </w:rPr>
        <w:t xml:space="preserve">a relatively insignificant </w:t>
      </w:r>
      <w:r w:rsidR="0001189D">
        <w:rPr>
          <w:sz w:val="24"/>
          <w:szCs w:val="24"/>
        </w:rPr>
        <w:t xml:space="preserve">impact on </w:t>
      </w:r>
      <w:r w:rsidR="00625877" w:rsidRPr="009617BB">
        <w:rPr>
          <w:sz w:val="24"/>
          <w:szCs w:val="24"/>
        </w:rPr>
        <w:t xml:space="preserve">the operations and financial position of </w:t>
      </w:r>
      <w:r w:rsidR="00625877">
        <w:rPr>
          <w:sz w:val="24"/>
          <w:szCs w:val="24"/>
        </w:rPr>
        <w:t>MGB</w:t>
      </w:r>
      <w:r w:rsidR="00625877" w:rsidRPr="009617BB">
        <w:rPr>
          <w:sz w:val="24"/>
          <w:szCs w:val="24"/>
        </w:rPr>
        <w:t xml:space="preserve">. Consequently, the CPA determined that the Projections are not likely to result in insufficient funds for capital and ongoing operating costs necessary to support the </w:t>
      </w:r>
      <w:r w:rsidR="0001189D">
        <w:rPr>
          <w:sz w:val="24"/>
          <w:szCs w:val="24"/>
        </w:rPr>
        <w:t>P</w:t>
      </w:r>
      <w:r w:rsidR="00625877" w:rsidRPr="009617BB">
        <w:rPr>
          <w:sz w:val="24"/>
          <w:szCs w:val="24"/>
        </w:rPr>
        <w:t xml:space="preserve">roposed </w:t>
      </w:r>
      <w:r w:rsidR="0001189D">
        <w:rPr>
          <w:sz w:val="24"/>
          <w:szCs w:val="24"/>
        </w:rPr>
        <w:t>P</w:t>
      </w:r>
      <w:r w:rsidR="00625877" w:rsidRPr="009617BB">
        <w:rPr>
          <w:sz w:val="24"/>
          <w:szCs w:val="24"/>
        </w:rPr>
        <w:t>roject and determined the project</w:t>
      </w:r>
      <w:r w:rsidR="0001189D">
        <w:rPr>
          <w:sz w:val="24"/>
          <w:szCs w:val="24"/>
        </w:rPr>
        <w:t xml:space="preserve">ions </w:t>
      </w:r>
      <w:r w:rsidR="00625877" w:rsidRPr="009617BB">
        <w:rPr>
          <w:sz w:val="24"/>
          <w:szCs w:val="24"/>
        </w:rPr>
        <w:t>are reasonable and based upon feasible financial assumptions. Therefore, the proposed new CT unit at CDH is financially feasible and within the financial capability of MGB and not likely to have a negative impact of the Applicant’s patient panel.</w:t>
      </w:r>
    </w:p>
    <w:p w14:paraId="11B4E354" w14:textId="1E82139C" w:rsidR="003E1CDA" w:rsidRDefault="003E1CDA" w:rsidP="003E1CDA">
      <w:pPr>
        <w:spacing w:after="0" w:line="240" w:lineRule="auto"/>
        <w:rPr>
          <w:b/>
          <w:bCs/>
          <w:i/>
          <w:iCs/>
          <w:sz w:val="24"/>
          <w:szCs w:val="24"/>
        </w:rPr>
      </w:pPr>
      <w:r w:rsidRPr="003E1CDA">
        <w:rPr>
          <w:b/>
          <w:bCs/>
          <w:i/>
          <w:iCs/>
          <w:sz w:val="24"/>
          <w:szCs w:val="24"/>
        </w:rPr>
        <w:t xml:space="preserve">Analysis </w:t>
      </w:r>
    </w:p>
    <w:p w14:paraId="7F36FA52" w14:textId="77777777" w:rsidR="0001189D" w:rsidRPr="003E1CDA" w:rsidRDefault="0001189D" w:rsidP="003E1CDA">
      <w:pPr>
        <w:spacing w:after="0" w:line="240" w:lineRule="auto"/>
        <w:rPr>
          <w:b/>
          <w:bCs/>
          <w:i/>
          <w:iCs/>
          <w:sz w:val="24"/>
          <w:szCs w:val="24"/>
        </w:rPr>
      </w:pPr>
    </w:p>
    <w:p w14:paraId="752334C4" w14:textId="3CCB1048" w:rsidR="003E1CDA" w:rsidRDefault="003E1CDA" w:rsidP="00C41090">
      <w:pPr>
        <w:spacing w:after="0" w:line="240" w:lineRule="auto"/>
      </w:pPr>
      <w:r w:rsidRPr="003E1CDA">
        <w:rPr>
          <w:sz w:val="24"/>
          <w:szCs w:val="24"/>
        </w:rPr>
        <w:t>Staff is satisfied with the CPA’s analysis of Applicant</w:t>
      </w:r>
      <w:r w:rsidR="008D7589">
        <w:rPr>
          <w:sz w:val="24"/>
          <w:szCs w:val="24"/>
        </w:rPr>
        <w:t>’</w:t>
      </w:r>
      <w:r w:rsidRPr="003E1CDA">
        <w:rPr>
          <w:sz w:val="24"/>
          <w:szCs w:val="24"/>
        </w:rPr>
        <w:t xml:space="preserve">s decision to proceed with the Proposed Project. As a result, </w:t>
      </w:r>
      <w:r w:rsidR="007A1DA1">
        <w:rPr>
          <w:sz w:val="24"/>
          <w:szCs w:val="24"/>
        </w:rPr>
        <w:t>s</w:t>
      </w:r>
      <w:r w:rsidRPr="003E1CDA">
        <w:rPr>
          <w:sz w:val="24"/>
          <w:szCs w:val="24"/>
        </w:rPr>
        <w:t>taff finds the CPA analysis to be acceptable and that the Applicant has met the requirements of Factor 4.</w:t>
      </w:r>
    </w:p>
    <w:p w14:paraId="610A41C9" w14:textId="74B62D41" w:rsidR="006578AD" w:rsidRDefault="003E1CDA" w:rsidP="0024289A">
      <w:pPr>
        <w:pStyle w:val="Heading1"/>
      </w:pPr>
      <w:bookmarkStart w:id="21" w:name="_Toc144121538"/>
      <w:r w:rsidRPr="003E1CDA">
        <w:t>Factor 5: Assessment of the Proposed Project’s Relative Merit</w:t>
      </w:r>
      <w:bookmarkEnd w:id="21"/>
    </w:p>
    <w:p w14:paraId="4B2D0853" w14:textId="60B6862A" w:rsidR="00F67C18" w:rsidRPr="003E1CDA" w:rsidRDefault="00650A7F" w:rsidP="00C41090">
      <w:pPr>
        <w:spacing w:before="240" w:line="240" w:lineRule="auto"/>
        <w:rPr>
          <w:sz w:val="24"/>
          <w:szCs w:val="24"/>
        </w:rPr>
      </w:pPr>
      <w:r>
        <w:rPr>
          <w:sz w:val="24"/>
          <w:szCs w:val="24"/>
        </w:rPr>
        <w:t xml:space="preserve">Factor 5 requires a review of, </w:t>
      </w:r>
      <w:r w:rsidR="003E1CDA" w:rsidRPr="003E1CDA">
        <w:rPr>
          <w:sz w:val="24"/>
          <w:szCs w:val="24"/>
        </w:rPr>
        <w:t xml:space="preserve">at a minimum, the quality, efficiency, and capital and operating costs of the Proposed Project relative to potential alternatives or substitutes, including alternative evidence-based strategies and public health interventions. </w:t>
      </w:r>
      <w:r w:rsidR="00625877" w:rsidRPr="00625877">
        <w:rPr>
          <w:sz w:val="24"/>
          <w:szCs w:val="24"/>
        </w:rPr>
        <w:t>The Applicant must provide sufficient evidence that the Proposed Project, on balance, is superior to alternative and substitute methods for meeting the existing Patient Panel needs identified by the Applicant pursuant to 105 CMR 100.210(A)(1).</w:t>
      </w:r>
    </w:p>
    <w:p w14:paraId="3AF6209D" w14:textId="73ABF9D4" w:rsidR="00E15DD3" w:rsidRPr="00E15DD3" w:rsidRDefault="00600415" w:rsidP="00E15DD3">
      <w:pPr>
        <w:spacing w:line="240" w:lineRule="auto"/>
        <w:rPr>
          <w:bCs/>
          <w:sz w:val="24"/>
          <w:szCs w:val="24"/>
        </w:rPr>
      </w:pPr>
      <w:r w:rsidRPr="00600415">
        <w:rPr>
          <w:sz w:val="24"/>
          <w:szCs w:val="24"/>
        </w:rPr>
        <w:t xml:space="preserve">The Applicant reports that it evaluated and rejected </w:t>
      </w:r>
      <w:r w:rsidR="00DC1DC6">
        <w:rPr>
          <w:sz w:val="24"/>
          <w:szCs w:val="24"/>
        </w:rPr>
        <w:t xml:space="preserve">one </w:t>
      </w:r>
      <w:r w:rsidRPr="00600415">
        <w:rPr>
          <w:sz w:val="24"/>
          <w:szCs w:val="24"/>
        </w:rPr>
        <w:t>alternative to the proposed project:</w:t>
      </w:r>
      <w:r w:rsidR="00DC1DC6">
        <w:rPr>
          <w:sz w:val="24"/>
          <w:szCs w:val="24"/>
        </w:rPr>
        <w:t xml:space="preserve"> maintaining the status quo </w:t>
      </w:r>
      <w:r w:rsidR="00DC1DC6" w:rsidRPr="00E15DD3">
        <w:rPr>
          <w:sz w:val="24"/>
          <w:szCs w:val="24"/>
        </w:rPr>
        <w:t xml:space="preserve">and continue to serve patients with </w:t>
      </w:r>
      <w:r w:rsidR="003D35D8">
        <w:rPr>
          <w:sz w:val="24"/>
          <w:szCs w:val="24"/>
        </w:rPr>
        <w:t xml:space="preserve">just </w:t>
      </w:r>
      <w:r w:rsidR="00DC1DC6" w:rsidRPr="00E15DD3">
        <w:rPr>
          <w:sz w:val="24"/>
          <w:szCs w:val="24"/>
        </w:rPr>
        <w:t xml:space="preserve">two CT </w:t>
      </w:r>
      <w:r w:rsidR="003D35D8" w:rsidRPr="00E15DD3">
        <w:rPr>
          <w:sz w:val="24"/>
          <w:szCs w:val="24"/>
        </w:rPr>
        <w:t>units</w:t>
      </w:r>
      <w:r w:rsidR="00AE007D">
        <w:rPr>
          <w:bCs/>
          <w:sz w:val="24"/>
          <w:szCs w:val="24"/>
        </w:rPr>
        <w:t xml:space="preserve">. </w:t>
      </w:r>
      <w:r w:rsidR="00DC1DC6">
        <w:rPr>
          <w:bCs/>
          <w:sz w:val="24"/>
          <w:szCs w:val="24"/>
        </w:rPr>
        <w:t>T</w:t>
      </w:r>
      <w:r w:rsidR="00E15DD3" w:rsidRPr="00E15DD3">
        <w:rPr>
          <w:bCs/>
          <w:sz w:val="24"/>
          <w:szCs w:val="24"/>
        </w:rPr>
        <w:t xml:space="preserve">hrough the addition of one </w:t>
      </w:r>
      <w:r w:rsidR="00AE007D">
        <w:rPr>
          <w:bCs/>
          <w:sz w:val="24"/>
          <w:szCs w:val="24"/>
        </w:rPr>
        <w:t xml:space="preserve">dedicated </w:t>
      </w:r>
      <w:r w:rsidR="00E15DD3" w:rsidRPr="00E15DD3">
        <w:rPr>
          <w:bCs/>
          <w:sz w:val="24"/>
          <w:szCs w:val="24"/>
        </w:rPr>
        <w:t>CT unit in the emergency department</w:t>
      </w:r>
      <w:r w:rsidR="00FB16E5">
        <w:rPr>
          <w:bCs/>
          <w:sz w:val="24"/>
          <w:szCs w:val="24"/>
        </w:rPr>
        <w:t xml:space="preserve"> the Applicant </w:t>
      </w:r>
      <w:r w:rsidR="006578AD">
        <w:rPr>
          <w:bCs/>
          <w:sz w:val="24"/>
          <w:szCs w:val="24"/>
        </w:rPr>
        <w:t xml:space="preserve">asserts </w:t>
      </w:r>
      <w:r w:rsidR="00FB16E5">
        <w:rPr>
          <w:bCs/>
          <w:sz w:val="24"/>
          <w:szCs w:val="24"/>
        </w:rPr>
        <w:t xml:space="preserve">the </w:t>
      </w:r>
      <w:r w:rsidR="00B71C41" w:rsidRPr="00E15DD3">
        <w:rPr>
          <w:bCs/>
          <w:sz w:val="24"/>
          <w:szCs w:val="24"/>
        </w:rPr>
        <w:t>Proposed Project is the superior option</w:t>
      </w:r>
      <w:r w:rsidR="00B71C41" w:rsidRPr="00B71C41">
        <w:rPr>
          <w:bCs/>
          <w:sz w:val="24"/>
          <w:szCs w:val="24"/>
        </w:rPr>
        <w:t xml:space="preserve"> </w:t>
      </w:r>
      <w:r w:rsidR="00B71C41">
        <w:rPr>
          <w:bCs/>
          <w:sz w:val="24"/>
          <w:szCs w:val="24"/>
        </w:rPr>
        <w:t>due to the following:</w:t>
      </w:r>
    </w:p>
    <w:p w14:paraId="3D900E0A" w14:textId="7D322F91" w:rsidR="00E15DD3" w:rsidRPr="00E15DD3" w:rsidRDefault="00E15DD3" w:rsidP="00C41090">
      <w:pPr>
        <w:spacing w:line="240" w:lineRule="auto"/>
        <w:ind w:left="360"/>
        <w:rPr>
          <w:bCs/>
          <w:sz w:val="24"/>
          <w:szCs w:val="24"/>
        </w:rPr>
      </w:pPr>
      <w:r w:rsidRPr="00E15DD3">
        <w:rPr>
          <w:b/>
          <w:sz w:val="24"/>
          <w:szCs w:val="24"/>
        </w:rPr>
        <w:t xml:space="preserve">Quality: </w:t>
      </w:r>
      <w:r w:rsidR="00D02DF7">
        <w:rPr>
          <w:b/>
          <w:sz w:val="24"/>
          <w:szCs w:val="24"/>
        </w:rPr>
        <w:t xml:space="preserve"> </w:t>
      </w:r>
      <w:r w:rsidR="00D02DF7" w:rsidRPr="00D02DF7">
        <w:rPr>
          <w:bCs/>
          <w:sz w:val="24"/>
          <w:szCs w:val="24"/>
        </w:rPr>
        <w:t xml:space="preserve">Maintaining the status quo will not achieve the improvements to quality that the expanded capacity will have to address </w:t>
      </w:r>
      <w:r w:rsidR="00D02DF7">
        <w:rPr>
          <w:bCs/>
          <w:sz w:val="24"/>
          <w:szCs w:val="24"/>
        </w:rPr>
        <w:t xml:space="preserve">delays in access that occur. First, </w:t>
      </w:r>
      <w:r w:rsidR="00664607" w:rsidRPr="00664607">
        <w:rPr>
          <w:bCs/>
          <w:sz w:val="24"/>
          <w:szCs w:val="24"/>
        </w:rPr>
        <w:t xml:space="preserve">patients </w:t>
      </w:r>
      <w:r w:rsidR="00F95843">
        <w:rPr>
          <w:bCs/>
          <w:sz w:val="24"/>
          <w:szCs w:val="24"/>
        </w:rPr>
        <w:t xml:space="preserve">including </w:t>
      </w:r>
      <w:r w:rsidR="00F95843">
        <w:rPr>
          <w:bCs/>
          <w:sz w:val="24"/>
          <w:szCs w:val="24"/>
        </w:rPr>
        <w:lastRenderedPageBreak/>
        <w:t xml:space="preserve">those </w:t>
      </w:r>
      <w:r w:rsidR="00664607" w:rsidRPr="00664607">
        <w:rPr>
          <w:bCs/>
          <w:sz w:val="24"/>
          <w:szCs w:val="24"/>
        </w:rPr>
        <w:t xml:space="preserve">with potential </w:t>
      </w:r>
      <w:r w:rsidR="00F95843">
        <w:rPr>
          <w:bCs/>
          <w:sz w:val="24"/>
          <w:szCs w:val="24"/>
        </w:rPr>
        <w:t xml:space="preserve">trauma or </w:t>
      </w:r>
      <w:r w:rsidR="00664607" w:rsidRPr="00664607">
        <w:rPr>
          <w:bCs/>
          <w:sz w:val="24"/>
          <w:szCs w:val="24"/>
        </w:rPr>
        <w:t>stroke,</w:t>
      </w:r>
      <w:r w:rsidR="00D02DF7" w:rsidRPr="00D02DF7">
        <w:rPr>
          <w:bCs/>
          <w:sz w:val="24"/>
          <w:szCs w:val="24"/>
        </w:rPr>
        <w:t xml:space="preserve"> who present in the ED</w:t>
      </w:r>
      <w:r w:rsidR="00D02DF7">
        <w:rPr>
          <w:bCs/>
          <w:sz w:val="24"/>
          <w:szCs w:val="24"/>
        </w:rPr>
        <w:t xml:space="preserve"> are appropriately prioritized</w:t>
      </w:r>
      <w:r w:rsidR="00664607">
        <w:rPr>
          <w:bCs/>
          <w:sz w:val="24"/>
          <w:szCs w:val="24"/>
        </w:rPr>
        <w:t xml:space="preserve">, </w:t>
      </w:r>
      <w:r w:rsidR="00D02DF7">
        <w:rPr>
          <w:bCs/>
          <w:sz w:val="24"/>
          <w:szCs w:val="24"/>
        </w:rPr>
        <w:t>over scheduled inpatient</w:t>
      </w:r>
      <w:r w:rsidR="008863D1">
        <w:rPr>
          <w:bCs/>
          <w:sz w:val="24"/>
          <w:szCs w:val="24"/>
        </w:rPr>
        <w:t>s</w:t>
      </w:r>
      <w:r w:rsidR="00D02DF7">
        <w:rPr>
          <w:bCs/>
          <w:sz w:val="24"/>
          <w:szCs w:val="24"/>
        </w:rPr>
        <w:t xml:space="preserve"> and outpatients</w:t>
      </w:r>
      <w:r w:rsidR="00F95843">
        <w:rPr>
          <w:bCs/>
          <w:sz w:val="24"/>
          <w:szCs w:val="24"/>
        </w:rPr>
        <w:t xml:space="preserve"> thereby potentially delaying diagnosis and treatments and negatively impacting outcomes. Further, the unit</w:t>
      </w:r>
      <w:r w:rsidR="00AE007D">
        <w:rPr>
          <w:bCs/>
          <w:sz w:val="24"/>
          <w:szCs w:val="24"/>
        </w:rPr>
        <w:t xml:space="preserve"> will eliminate </w:t>
      </w:r>
      <w:r w:rsidR="00F95843">
        <w:rPr>
          <w:bCs/>
          <w:sz w:val="24"/>
          <w:szCs w:val="24"/>
        </w:rPr>
        <w:t xml:space="preserve">the </w:t>
      </w:r>
      <w:r w:rsidR="00AE007D">
        <w:rPr>
          <w:bCs/>
          <w:sz w:val="24"/>
          <w:szCs w:val="24"/>
        </w:rPr>
        <w:t>need for</w:t>
      </w:r>
      <w:r w:rsidRPr="00E15DD3">
        <w:rPr>
          <w:bCs/>
          <w:sz w:val="24"/>
          <w:szCs w:val="24"/>
        </w:rPr>
        <w:t xml:space="preserve"> </w:t>
      </w:r>
      <w:r w:rsidR="00F95843">
        <w:rPr>
          <w:bCs/>
          <w:sz w:val="24"/>
          <w:szCs w:val="24"/>
        </w:rPr>
        <w:t xml:space="preserve">patients to travel to </w:t>
      </w:r>
      <w:r w:rsidRPr="00E15DD3">
        <w:rPr>
          <w:bCs/>
          <w:sz w:val="24"/>
          <w:szCs w:val="24"/>
        </w:rPr>
        <w:t>interventional radiology procedures</w:t>
      </w:r>
      <w:r w:rsidR="00F95843">
        <w:rPr>
          <w:bCs/>
          <w:sz w:val="24"/>
          <w:szCs w:val="24"/>
        </w:rPr>
        <w:t>. O</w:t>
      </w:r>
      <w:r w:rsidR="00D02DF7">
        <w:rPr>
          <w:bCs/>
          <w:sz w:val="24"/>
          <w:szCs w:val="24"/>
        </w:rPr>
        <w:t>lder patients for whom travel poses a greater burden and for whom delays in diagnosis and treatment can result in diminished outcomes</w:t>
      </w:r>
      <w:r w:rsidR="00F95843">
        <w:rPr>
          <w:bCs/>
          <w:sz w:val="24"/>
          <w:szCs w:val="24"/>
        </w:rPr>
        <w:t xml:space="preserve"> will benefit from these improvements</w:t>
      </w:r>
      <w:r w:rsidR="00D02DF7">
        <w:rPr>
          <w:bCs/>
          <w:sz w:val="24"/>
          <w:szCs w:val="24"/>
        </w:rPr>
        <w:t>.</w:t>
      </w:r>
    </w:p>
    <w:p w14:paraId="75F851FA" w14:textId="62442DA6" w:rsidR="004D6685" w:rsidRPr="00E15DD3" w:rsidRDefault="00E15DD3" w:rsidP="00C41090">
      <w:pPr>
        <w:spacing w:line="240" w:lineRule="auto"/>
        <w:ind w:left="360"/>
        <w:rPr>
          <w:sz w:val="24"/>
          <w:szCs w:val="24"/>
        </w:rPr>
      </w:pPr>
      <w:r w:rsidRPr="00E15DD3">
        <w:rPr>
          <w:b/>
          <w:sz w:val="24"/>
          <w:szCs w:val="24"/>
        </w:rPr>
        <w:t xml:space="preserve">Efficiency: </w:t>
      </w:r>
      <w:r w:rsidR="00664607" w:rsidRPr="00664607">
        <w:rPr>
          <w:sz w:val="24"/>
          <w:szCs w:val="24"/>
        </w:rPr>
        <w:t xml:space="preserve">A third CT unit will eliminate disruptions and rescheduling </w:t>
      </w:r>
      <w:r w:rsidR="00F95843">
        <w:rPr>
          <w:sz w:val="24"/>
          <w:szCs w:val="24"/>
        </w:rPr>
        <w:t xml:space="preserve">of </w:t>
      </w:r>
      <w:r w:rsidR="00664607" w:rsidRPr="00664607">
        <w:rPr>
          <w:sz w:val="24"/>
          <w:szCs w:val="24"/>
        </w:rPr>
        <w:t>patients</w:t>
      </w:r>
      <w:r w:rsidR="00F95843">
        <w:rPr>
          <w:sz w:val="24"/>
          <w:szCs w:val="24"/>
        </w:rPr>
        <w:t>’</w:t>
      </w:r>
      <w:r w:rsidR="00664607" w:rsidRPr="00664607">
        <w:rPr>
          <w:sz w:val="24"/>
          <w:szCs w:val="24"/>
        </w:rPr>
        <w:t xml:space="preserve"> CTs as a result of </w:t>
      </w:r>
      <w:r w:rsidR="00664607">
        <w:rPr>
          <w:sz w:val="24"/>
          <w:szCs w:val="24"/>
        </w:rPr>
        <w:t xml:space="preserve">need to prioritize ED CTs. </w:t>
      </w:r>
      <w:r w:rsidR="004D6685">
        <w:rPr>
          <w:bCs/>
          <w:sz w:val="24"/>
          <w:szCs w:val="24"/>
        </w:rPr>
        <w:t xml:space="preserve">With no expansion, </w:t>
      </w:r>
      <w:r w:rsidR="004D6685" w:rsidRPr="00E15DD3">
        <w:rPr>
          <w:bCs/>
          <w:sz w:val="24"/>
          <w:szCs w:val="24"/>
        </w:rPr>
        <w:t>CDH will continue to be strained</w:t>
      </w:r>
      <w:r w:rsidR="004D6685">
        <w:rPr>
          <w:bCs/>
          <w:sz w:val="24"/>
          <w:szCs w:val="24"/>
        </w:rPr>
        <w:t xml:space="preserve"> since</w:t>
      </w:r>
      <w:r w:rsidR="004D6685" w:rsidRPr="00E15DD3">
        <w:rPr>
          <w:bCs/>
          <w:sz w:val="24"/>
          <w:szCs w:val="24"/>
        </w:rPr>
        <w:t xml:space="preserve"> demand for CT continues to grow</w:t>
      </w:r>
      <w:r w:rsidR="004D6685">
        <w:rPr>
          <w:bCs/>
          <w:sz w:val="24"/>
          <w:szCs w:val="24"/>
        </w:rPr>
        <w:t>; and</w:t>
      </w:r>
      <w:r w:rsidR="004D6685" w:rsidRPr="00E15DD3">
        <w:rPr>
          <w:bCs/>
          <w:sz w:val="24"/>
          <w:szCs w:val="24"/>
        </w:rPr>
        <w:t xml:space="preserve"> when outpatient scans are delayed or must be rescheduled</w:t>
      </w:r>
      <w:r w:rsidR="004D6685">
        <w:rPr>
          <w:bCs/>
          <w:sz w:val="24"/>
          <w:szCs w:val="24"/>
        </w:rPr>
        <w:t xml:space="preserve">, </w:t>
      </w:r>
      <w:r w:rsidR="00D70215">
        <w:rPr>
          <w:bCs/>
          <w:sz w:val="24"/>
          <w:szCs w:val="24"/>
        </w:rPr>
        <w:t xml:space="preserve">non-emergent </w:t>
      </w:r>
      <w:r w:rsidR="004D6685" w:rsidRPr="00E15DD3">
        <w:rPr>
          <w:bCs/>
          <w:sz w:val="24"/>
          <w:szCs w:val="24"/>
        </w:rPr>
        <w:t xml:space="preserve">patients will experience </w:t>
      </w:r>
      <w:r w:rsidR="004D6685">
        <w:rPr>
          <w:bCs/>
          <w:sz w:val="24"/>
          <w:szCs w:val="24"/>
        </w:rPr>
        <w:t>increas</w:t>
      </w:r>
      <w:r w:rsidR="008863D1">
        <w:rPr>
          <w:bCs/>
          <w:sz w:val="24"/>
          <w:szCs w:val="24"/>
        </w:rPr>
        <w:t>ing</w:t>
      </w:r>
      <w:r w:rsidR="004D6685">
        <w:rPr>
          <w:bCs/>
          <w:sz w:val="24"/>
          <w:szCs w:val="24"/>
        </w:rPr>
        <w:t xml:space="preserve"> </w:t>
      </w:r>
      <w:r w:rsidR="004D6685" w:rsidRPr="00E15DD3">
        <w:rPr>
          <w:bCs/>
          <w:sz w:val="24"/>
          <w:szCs w:val="24"/>
        </w:rPr>
        <w:t>wait times</w:t>
      </w:r>
      <w:r w:rsidR="004D6685">
        <w:rPr>
          <w:bCs/>
          <w:sz w:val="24"/>
          <w:szCs w:val="24"/>
        </w:rPr>
        <w:t xml:space="preserve"> thereby </w:t>
      </w:r>
      <w:r w:rsidR="004D6685" w:rsidRPr="00E15DD3">
        <w:rPr>
          <w:sz w:val="24"/>
          <w:szCs w:val="24"/>
        </w:rPr>
        <w:t>delay</w:t>
      </w:r>
      <w:r w:rsidR="004D6685" w:rsidRPr="004D6685">
        <w:rPr>
          <w:sz w:val="24"/>
          <w:szCs w:val="24"/>
        </w:rPr>
        <w:t>ing</w:t>
      </w:r>
      <w:r w:rsidR="004D6685" w:rsidRPr="00E15DD3">
        <w:rPr>
          <w:sz w:val="24"/>
          <w:szCs w:val="24"/>
        </w:rPr>
        <w:t xml:space="preserve"> access</w:t>
      </w:r>
      <w:r w:rsidR="00D70215">
        <w:rPr>
          <w:sz w:val="24"/>
          <w:szCs w:val="24"/>
        </w:rPr>
        <w:t xml:space="preserve"> and diminishing efficiency</w:t>
      </w:r>
      <w:r w:rsidR="004D6685">
        <w:rPr>
          <w:sz w:val="24"/>
          <w:szCs w:val="24"/>
        </w:rPr>
        <w:t>.</w:t>
      </w:r>
    </w:p>
    <w:p w14:paraId="3F830D55" w14:textId="351412CD" w:rsidR="00E15DD3" w:rsidRPr="00E15DD3" w:rsidRDefault="00E15DD3" w:rsidP="00C41090">
      <w:pPr>
        <w:spacing w:line="240" w:lineRule="auto"/>
        <w:ind w:left="360"/>
        <w:rPr>
          <w:sz w:val="24"/>
          <w:szCs w:val="24"/>
        </w:rPr>
      </w:pPr>
      <w:r w:rsidRPr="00E15DD3">
        <w:rPr>
          <w:b/>
          <w:sz w:val="24"/>
          <w:szCs w:val="24"/>
        </w:rPr>
        <w:t xml:space="preserve">Capital Expense: </w:t>
      </w:r>
      <w:r w:rsidRPr="00E15DD3">
        <w:rPr>
          <w:bCs/>
          <w:sz w:val="24"/>
          <w:szCs w:val="24"/>
        </w:rPr>
        <w:t>The capital expenditure for the</w:t>
      </w:r>
      <w:r w:rsidR="004D6685">
        <w:rPr>
          <w:bCs/>
          <w:sz w:val="24"/>
          <w:szCs w:val="24"/>
        </w:rPr>
        <w:t xml:space="preserve"> additional</w:t>
      </w:r>
      <w:r w:rsidRPr="00E15DD3">
        <w:rPr>
          <w:bCs/>
          <w:sz w:val="24"/>
          <w:szCs w:val="24"/>
        </w:rPr>
        <w:t xml:space="preserve"> CT unit is</w:t>
      </w:r>
      <w:r w:rsidRPr="00E15DD3">
        <w:rPr>
          <w:sz w:val="24"/>
          <w:szCs w:val="24"/>
        </w:rPr>
        <w:t xml:space="preserve"> $2,516,623.00</w:t>
      </w:r>
      <w:r w:rsidR="004D6685">
        <w:rPr>
          <w:sz w:val="24"/>
          <w:szCs w:val="24"/>
        </w:rPr>
        <w:t>, whereas maintaining the status quo will have no capital costs.</w:t>
      </w:r>
    </w:p>
    <w:p w14:paraId="1166F552" w14:textId="2FDD482D" w:rsidR="00E15DD3" w:rsidRPr="00E15DD3" w:rsidRDefault="00E15DD3" w:rsidP="00C41090">
      <w:pPr>
        <w:spacing w:line="240" w:lineRule="auto"/>
        <w:ind w:left="360"/>
        <w:rPr>
          <w:sz w:val="24"/>
          <w:szCs w:val="24"/>
        </w:rPr>
      </w:pPr>
      <w:r w:rsidRPr="00E15DD3">
        <w:rPr>
          <w:b/>
          <w:bCs/>
          <w:sz w:val="24"/>
          <w:szCs w:val="24"/>
        </w:rPr>
        <w:t xml:space="preserve">Operating Costs: </w:t>
      </w:r>
      <w:r w:rsidRPr="00E15DD3">
        <w:rPr>
          <w:sz w:val="24"/>
          <w:szCs w:val="24"/>
        </w:rPr>
        <w:t>The first-year incremental operating expense of the Proposed Project is $229,830. By year five (5), operating costs are estimated at $468,845</w:t>
      </w:r>
      <w:r w:rsidR="004D6685">
        <w:rPr>
          <w:sz w:val="24"/>
          <w:szCs w:val="24"/>
        </w:rPr>
        <w:t xml:space="preserve">, while there would be </w:t>
      </w:r>
      <w:r w:rsidR="004D6685" w:rsidRPr="00E15DD3">
        <w:rPr>
          <w:sz w:val="24"/>
          <w:szCs w:val="24"/>
        </w:rPr>
        <w:t>no additional operating costs</w:t>
      </w:r>
      <w:r w:rsidR="004D6685">
        <w:rPr>
          <w:sz w:val="24"/>
          <w:szCs w:val="24"/>
        </w:rPr>
        <w:t xml:space="preserve"> if no expansion occurs</w:t>
      </w:r>
      <w:r w:rsidR="004D6685" w:rsidRPr="00E15DD3">
        <w:rPr>
          <w:sz w:val="24"/>
          <w:szCs w:val="24"/>
        </w:rPr>
        <w:t xml:space="preserve">. </w:t>
      </w:r>
    </w:p>
    <w:p w14:paraId="634575E0" w14:textId="77777777" w:rsidR="00600415" w:rsidRPr="00600415" w:rsidRDefault="00600415" w:rsidP="00600415">
      <w:pPr>
        <w:spacing w:line="240" w:lineRule="auto"/>
        <w:rPr>
          <w:b/>
          <w:bCs/>
          <w:i/>
          <w:iCs/>
          <w:sz w:val="24"/>
          <w:szCs w:val="24"/>
        </w:rPr>
      </w:pPr>
      <w:r w:rsidRPr="00D70215">
        <w:rPr>
          <w:b/>
          <w:bCs/>
          <w:i/>
          <w:iCs/>
          <w:sz w:val="24"/>
          <w:szCs w:val="24"/>
        </w:rPr>
        <w:t>Analysis</w:t>
      </w:r>
    </w:p>
    <w:p w14:paraId="70712002" w14:textId="54B2CB21" w:rsidR="00600415" w:rsidRDefault="00600415" w:rsidP="003E1CDA">
      <w:pPr>
        <w:spacing w:line="240" w:lineRule="auto"/>
        <w:rPr>
          <w:sz w:val="24"/>
          <w:szCs w:val="24"/>
        </w:rPr>
      </w:pPr>
      <w:r w:rsidRPr="00600415">
        <w:rPr>
          <w:sz w:val="24"/>
          <w:szCs w:val="24"/>
        </w:rPr>
        <w:t>The Proposed Project was chosen as the best alternative to meet the needs of Patient Panel</w:t>
      </w:r>
      <w:r w:rsidR="006578AD">
        <w:rPr>
          <w:sz w:val="24"/>
          <w:szCs w:val="24"/>
        </w:rPr>
        <w:t xml:space="preserve"> since</w:t>
      </w:r>
      <w:r w:rsidRPr="00600415">
        <w:rPr>
          <w:sz w:val="24"/>
          <w:szCs w:val="24"/>
        </w:rPr>
        <w:t xml:space="preserve"> </w:t>
      </w:r>
      <w:r w:rsidR="008863D1">
        <w:rPr>
          <w:sz w:val="24"/>
          <w:szCs w:val="24"/>
        </w:rPr>
        <w:t xml:space="preserve">as described further in Factor 1, </w:t>
      </w:r>
      <w:r w:rsidRPr="00600415">
        <w:rPr>
          <w:sz w:val="24"/>
          <w:szCs w:val="24"/>
        </w:rPr>
        <w:t xml:space="preserve">Quality and </w:t>
      </w:r>
      <w:r w:rsidR="006578AD">
        <w:rPr>
          <w:sz w:val="24"/>
          <w:szCs w:val="24"/>
        </w:rPr>
        <w:t>E</w:t>
      </w:r>
      <w:r w:rsidRPr="00600415">
        <w:rPr>
          <w:sz w:val="24"/>
          <w:szCs w:val="24"/>
        </w:rPr>
        <w:t xml:space="preserve">fficiency of care </w:t>
      </w:r>
      <w:r w:rsidR="006578AD">
        <w:rPr>
          <w:sz w:val="24"/>
          <w:szCs w:val="24"/>
        </w:rPr>
        <w:t>delivery may</w:t>
      </w:r>
      <w:r w:rsidRPr="00600415">
        <w:rPr>
          <w:sz w:val="24"/>
          <w:szCs w:val="24"/>
        </w:rPr>
        <w:t xml:space="preserve"> be improved</w:t>
      </w:r>
      <w:r w:rsidR="00B630AD">
        <w:rPr>
          <w:sz w:val="24"/>
          <w:szCs w:val="24"/>
        </w:rPr>
        <w:t xml:space="preserve">. </w:t>
      </w:r>
      <w:r w:rsidR="008863D1">
        <w:rPr>
          <w:sz w:val="24"/>
          <w:szCs w:val="24"/>
        </w:rPr>
        <w:t xml:space="preserve"> </w:t>
      </w:r>
    </w:p>
    <w:p w14:paraId="634995B1" w14:textId="10912585" w:rsidR="003E1CDA" w:rsidRPr="003E1CDA" w:rsidRDefault="00600415" w:rsidP="003E1CDA">
      <w:pPr>
        <w:spacing w:after="0" w:line="240" w:lineRule="auto"/>
        <w:rPr>
          <w:sz w:val="24"/>
          <w:szCs w:val="24"/>
        </w:rPr>
      </w:pPr>
      <w:r>
        <w:rPr>
          <w:sz w:val="24"/>
          <w:szCs w:val="24"/>
        </w:rPr>
        <w:t>S</w:t>
      </w:r>
      <w:r w:rsidR="003E1CDA" w:rsidRPr="003E1CDA">
        <w:rPr>
          <w:sz w:val="24"/>
          <w:szCs w:val="24"/>
        </w:rPr>
        <w:t xml:space="preserve">taff finds that the Applicant has appropriately considered the quality, efficiency, and capital and operating costs of the Proposed Project relative to </w:t>
      </w:r>
      <w:r w:rsidR="00B630AD">
        <w:rPr>
          <w:sz w:val="24"/>
          <w:szCs w:val="24"/>
        </w:rPr>
        <w:t xml:space="preserve">the </w:t>
      </w:r>
      <w:r w:rsidR="003E1CDA" w:rsidRPr="003E1CDA">
        <w:rPr>
          <w:sz w:val="24"/>
          <w:szCs w:val="24"/>
        </w:rPr>
        <w:t>potential alternative. As a result of information provided by the Applicant and additional analysis, staff finds the Applicant has reasonably met the standards of Factor 5.</w:t>
      </w:r>
    </w:p>
    <w:p w14:paraId="28CCA38F" w14:textId="39575EDD" w:rsidR="008213E7" w:rsidRDefault="00FA6CD1" w:rsidP="0024289A">
      <w:pPr>
        <w:pStyle w:val="Heading1"/>
      </w:pPr>
      <w:bookmarkStart w:id="22" w:name="_Toc144121539"/>
      <w:r w:rsidRPr="00FA6CD1">
        <w:t>Factor 6: Fulfillment of DPH Community-based Health Initiatives Guideline</w:t>
      </w:r>
      <w:bookmarkEnd w:id="22"/>
    </w:p>
    <w:p w14:paraId="787DE1D5" w14:textId="77777777" w:rsidR="00FA74CC" w:rsidRDefault="00FA74CC" w:rsidP="00FA74CC">
      <w:pPr>
        <w:spacing w:after="0" w:line="240" w:lineRule="auto"/>
        <w:ind w:right="540"/>
        <w:rPr>
          <w:rFonts w:ascii="Calibri" w:eastAsia="Times New Roman" w:hAnsi="Calibri" w:cs="Times New Roman"/>
          <w:b/>
          <w:bCs/>
          <w:i/>
          <w:iCs/>
          <w:color w:val="000000"/>
          <w:sz w:val="24"/>
          <w:szCs w:val="24"/>
        </w:rPr>
      </w:pPr>
    </w:p>
    <w:p w14:paraId="37CCE571" w14:textId="746241A9" w:rsidR="00FA74CC" w:rsidRPr="00FA74CC" w:rsidRDefault="00FA74CC" w:rsidP="00FA74CC">
      <w:pPr>
        <w:spacing w:after="0" w:line="240" w:lineRule="auto"/>
        <w:ind w:right="540"/>
        <w:rPr>
          <w:rFonts w:ascii="Calibri" w:eastAsia="Times New Roman" w:hAnsi="Calibri" w:cs="Times New Roman"/>
          <w:color w:val="000000"/>
          <w:sz w:val="24"/>
          <w:szCs w:val="24"/>
        </w:rPr>
      </w:pPr>
      <w:bookmarkStart w:id="23" w:name="_Hlk142405714"/>
      <w:r w:rsidRPr="00FA74CC">
        <w:rPr>
          <w:rFonts w:ascii="Calibri" w:eastAsia="Times New Roman" w:hAnsi="Calibri" w:cs="Times New Roman"/>
          <w:b/>
          <w:bCs/>
          <w:i/>
          <w:iCs/>
          <w:color w:val="000000"/>
          <w:sz w:val="24"/>
          <w:szCs w:val="24"/>
        </w:rPr>
        <w:t>Summary and relevant background and context for this application:</w:t>
      </w:r>
      <w:r w:rsidRPr="00FA74CC">
        <w:rPr>
          <w:rFonts w:ascii="Calibri" w:eastAsia="Times New Roman" w:hAnsi="Calibri" w:cs="Times New Roman"/>
          <w:color w:val="000000"/>
          <w:sz w:val="24"/>
          <w:szCs w:val="24"/>
        </w:rPr>
        <w:t xml:space="preserve"> This is a DoN project that will result in a Tier 1 Community-based Health Initiative (CHI). The Applicant, Mass General Brigham Incorporated at Cooley Dickinson Hospit</w:t>
      </w:r>
      <w:r w:rsidRPr="00FA74CC">
        <w:rPr>
          <w:rFonts w:ascii="Calibri" w:eastAsia="Times New Roman" w:hAnsi="Calibri" w:cs="Times New Roman"/>
          <w:sz w:val="24"/>
          <w:szCs w:val="24"/>
        </w:rPr>
        <w:t>al (CDH), plans to acquire a computed tomography (CT) Unit. Since this project constitutes as DoN-Required Equipment obtained by a hospital, standard practice is to contribute the CHI dollars to a local CHI project and the Statewide Community Health and Healthy Aging Funds.</w:t>
      </w:r>
    </w:p>
    <w:bookmarkEnd w:id="23"/>
    <w:p w14:paraId="4A8AF76B" w14:textId="77777777" w:rsidR="00FA74CC" w:rsidRPr="00FA74CC" w:rsidRDefault="00FA74CC" w:rsidP="00FA74CC">
      <w:pPr>
        <w:spacing w:after="0" w:line="240" w:lineRule="auto"/>
        <w:ind w:right="540"/>
        <w:rPr>
          <w:rFonts w:ascii="Calibri" w:eastAsia="Times New Roman" w:hAnsi="Calibri" w:cs="Times New Roman"/>
          <w:color w:val="000000"/>
          <w:sz w:val="24"/>
          <w:szCs w:val="24"/>
        </w:rPr>
      </w:pPr>
      <w:r w:rsidRPr="00FA74CC">
        <w:rPr>
          <w:rFonts w:ascii="Calibri" w:eastAsia="Times New Roman" w:hAnsi="Calibri" w:cs="Times New Roman"/>
          <w:color w:val="000000"/>
          <w:sz w:val="24"/>
          <w:szCs w:val="24"/>
        </w:rPr>
        <w:t> </w:t>
      </w:r>
    </w:p>
    <w:p w14:paraId="504295C4" w14:textId="77777777" w:rsidR="00FA74CC" w:rsidRPr="00FA74CC" w:rsidRDefault="00FA74CC" w:rsidP="00FA74CC">
      <w:pPr>
        <w:spacing w:after="0" w:line="240" w:lineRule="auto"/>
        <w:ind w:right="540"/>
        <w:rPr>
          <w:rFonts w:ascii="Calibri" w:eastAsia="Times New Roman" w:hAnsi="Calibri" w:cs="Times New Roman"/>
          <w:color w:val="000000"/>
          <w:sz w:val="24"/>
          <w:szCs w:val="24"/>
        </w:rPr>
      </w:pPr>
      <w:r w:rsidRPr="00FA74CC">
        <w:rPr>
          <w:rFonts w:ascii="Calibri" w:eastAsia="Times New Roman" w:hAnsi="Calibri" w:cs="Times New Roman"/>
          <w:color w:val="000000"/>
          <w:sz w:val="24"/>
          <w:szCs w:val="24"/>
        </w:rPr>
        <w:t>To fulfill Factor 6 requirements, the Applicant submitted a CHI Narrative, its existing 2022 Community Health Needs Assessment, a Self-Assessment, and Stakeholder Assessments.</w:t>
      </w:r>
    </w:p>
    <w:p w14:paraId="25786E80" w14:textId="77777777" w:rsidR="00FA74CC" w:rsidRPr="00FA74CC" w:rsidRDefault="00FA74CC" w:rsidP="00FA74CC">
      <w:pPr>
        <w:spacing w:after="0" w:line="240" w:lineRule="auto"/>
        <w:rPr>
          <w:rFonts w:ascii="Calibri" w:eastAsia="Times New Roman" w:hAnsi="Calibri" w:cs="Times New Roman"/>
          <w:color w:val="000000"/>
          <w:sz w:val="24"/>
          <w:szCs w:val="24"/>
        </w:rPr>
      </w:pPr>
    </w:p>
    <w:p w14:paraId="1833E65D" w14:textId="6C47A5AC" w:rsidR="00FA74CC" w:rsidRPr="00FA74CC" w:rsidRDefault="00FA74CC" w:rsidP="00FA74CC">
      <w:pPr>
        <w:spacing w:after="0" w:line="240" w:lineRule="auto"/>
        <w:rPr>
          <w:rFonts w:ascii="Calibri" w:eastAsia="Times New Roman" w:hAnsi="Calibri" w:cs="Times New Roman"/>
          <w:color w:val="000000"/>
          <w:sz w:val="24"/>
          <w:szCs w:val="24"/>
        </w:rPr>
      </w:pPr>
      <w:r w:rsidRPr="00FA74CC">
        <w:rPr>
          <w:rFonts w:ascii="Calibri" w:eastAsia="Times New Roman" w:hAnsi="Calibri" w:cs="Times New Roman"/>
          <w:b/>
          <w:bCs/>
          <w:color w:val="000000"/>
          <w:sz w:val="24"/>
          <w:szCs w:val="24"/>
        </w:rPr>
        <w:t>The 2022 Community Health Needs Assessment</w:t>
      </w:r>
      <w:r w:rsidRPr="00FA74CC">
        <w:rPr>
          <w:rFonts w:ascii="Calibri" w:eastAsia="Times New Roman" w:hAnsi="Calibri" w:cs="Times New Roman"/>
          <w:color w:val="000000"/>
          <w:sz w:val="24"/>
          <w:szCs w:val="24"/>
        </w:rPr>
        <w:t xml:space="preserve"> (CHNA) was conducted in partnership with the Coalition of Western Massachusetts Hospitals/Insurers (“the Coalition”), in which CDH is a member. The Coalition is a network formed in 2012 that consists of 9 non-profit hospitals and insurers in the region and works to coordinate resources and activities to advance health equity </w:t>
      </w:r>
      <w:r w:rsidRPr="00FA74CC">
        <w:rPr>
          <w:rFonts w:ascii="Calibri" w:eastAsia="Times New Roman" w:hAnsi="Calibri" w:cs="Times New Roman"/>
          <w:color w:val="000000"/>
          <w:sz w:val="24"/>
          <w:szCs w:val="24"/>
        </w:rPr>
        <w:lastRenderedPageBreak/>
        <w:t xml:space="preserve">and conduct the CHNA. For the 2022 CHNA, the Coalition worked with the Public Health </w:t>
      </w:r>
      <w:r w:rsidR="003D35D8" w:rsidRPr="00FA74CC">
        <w:rPr>
          <w:rFonts w:ascii="Calibri" w:eastAsia="Times New Roman" w:hAnsi="Calibri" w:cs="Times New Roman"/>
          <w:color w:val="000000"/>
          <w:sz w:val="24"/>
          <w:szCs w:val="24"/>
        </w:rPr>
        <w:t>Institute</w:t>
      </w:r>
      <w:r w:rsidRPr="00FA74CC">
        <w:rPr>
          <w:rFonts w:ascii="Calibri" w:eastAsia="Times New Roman" w:hAnsi="Calibri" w:cs="Times New Roman"/>
          <w:color w:val="000000"/>
          <w:sz w:val="24"/>
          <w:szCs w:val="24"/>
        </w:rPr>
        <w:t xml:space="preserve"> of Western MA to conduct the Assessment.</w:t>
      </w:r>
    </w:p>
    <w:p w14:paraId="1A194AAA" w14:textId="77777777" w:rsidR="00FA74CC" w:rsidRPr="00FA74CC" w:rsidRDefault="00FA74CC" w:rsidP="00FA74CC">
      <w:pPr>
        <w:spacing w:after="0" w:line="240" w:lineRule="auto"/>
        <w:rPr>
          <w:rFonts w:ascii="Calibri" w:eastAsia="Times New Roman" w:hAnsi="Calibri" w:cs="Times New Roman"/>
          <w:color w:val="000000"/>
          <w:sz w:val="24"/>
          <w:szCs w:val="24"/>
        </w:rPr>
      </w:pPr>
    </w:p>
    <w:p w14:paraId="57521D2B" w14:textId="77777777" w:rsidR="00FA74CC" w:rsidRPr="00FA74CC" w:rsidRDefault="00FA74CC" w:rsidP="00FA74CC">
      <w:pPr>
        <w:spacing w:after="0" w:line="240" w:lineRule="auto"/>
        <w:rPr>
          <w:rFonts w:ascii="Calibri" w:eastAsia="Times New Roman" w:hAnsi="Calibri" w:cs="Times New Roman"/>
          <w:color w:val="000000"/>
          <w:sz w:val="24"/>
          <w:szCs w:val="24"/>
        </w:rPr>
      </w:pPr>
      <w:r w:rsidRPr="00FA74CC">
        <w:rPr>
          <w:rFonts w:ascii="Calibri" w:eastAsia="Times New Roman" w:hAnsi="Calibri" w:cs="Times New Roman"/>
          <w:color w:val="000000"/>
          <w:sz w:val="24"/>
          <w:szCs w:val="24"/>
        </w:rPr>
        <w:t xml:space="preserve">Building off the 2016 and 2019 reports, the 2022 CHNA more specifically highlights the relationship between health behaviors and outcomes with the social determinants of health. The current CHNA also integrated community feedback to inform data collection needs and health priorities. This process consisted of a literature review of previous and existing reports, surveying public health officials, an analysis of quantitative data with efforts to disaggregate (e.g., by race, ethnicity, gender, age, LGBTQIA+, rural) to understand health inequities. Subsequent qualitative data was collected in the form of informational interviews and focus groups centered on youth mental health and wellbeing. Focus populations of this CHNA included members of the Black community and folks from communities of color, as well as individuals who identify as transgender and non-binary. </w:t>
      </w:r>
    </w:p>
    <w:p w14:paraId="0435EA6B" w14:textId="77777777" w:rsidR="00FA74CC" w:rsidRPr="00FA74CC" w:rsidRDefault="00FA74CC" w:rsidP="00FA74CC">
      <w:pPr>
        <w:spacing w:after="0" w:line="240" w:lineRule="auto"/>
        <w:rPr>
          <w:rFonts w:ascii="Calibri" w:eastAsia="Times New Roman" w:hAnsi="Calibri" w:cs="Times New Roman"/>
          <w:color w:val="000000"/>
          <w:sz w:val="24"/>
          <w:szCs w:val="24"/>
        </w:rPr>
      </w:pPr>
    </w:p>
    <w:p w14:paraId="236EBEA6" w14:textId="77777777" w:rsidR="00FA74CC" w:rsidRPr="00FA74CC" w:rsidRDefault="00FA74CC" w:rsidP="00FA74CC">
      <w:pPr>
        <w:spacing w:after="0" w:line="240" w:lineRule="auto"/>
        <w:rPr>
          <w:rFonts w:ascii="Calibri" w:eastAsia="Times New Roman" w:hAnsi="Calibri" w:cs="Times New Roman"/>
          <w:color w:val="000000"/>
          <w:sz w:val="24"/>
          <w:szCs w:val="24"/>
        </w:rPr>
      </w:pPr>
      <w:r w:rsidRPr="00FA74CC">
        <w:rPr>
          <w:rFonts w:ascii="Calibri" w:eastAsia="Times New Roman" w:hAnsi="Calibri" w:cs="Times New Roman"/>
          <w:color w:val="000000"/>
          <w:sz w:val="24"/>
          <w:szCs w:val="24"/>
        </w:rPr>
        <w:t xml:space="preserve">Key health-related social needs identified in the CHNA include community and social environment, digital equity, transit, food access and physical activity, housing, </w:t>
      </w:r>
      <w:proofErr w:type="gramStart"/>
      <w:r w:rsidRPr="00FA74CC">
        <w:rPr>
          <w:rFonts w:ascii="Calibri" w:eastAsia="Times New Roman" w:hAnsi="Calibri" w:cs="Times New Roman"/>
          <w:color w:val="000000"/>
          <w:sz w:val="24"/>
          <w:szCs w:val="24"/>
        </w:rPr>
        <w:t>violence</w:t>
      </w:r>
      <w:proofErr w:type="gramEnd"/>
      <w:r w:rsidRPr="00FA74CC">
        <w:rPr>
          <w:rFonts w:ascii="Calibri" w:eastAsia="Times New Roman" w:hAnsi="Calibri" w:cs="Times New Roman"/>
          <w:color w:val="000000"/>
          <w:sz w:val="24"/>
          <w:szCs w:val="24"/>
        </w:rPr>
        <w:t xml:space="preserve"> and lack of resources to meet basic needs. Additionally, community needs in terms of health behaviors and outcomes include asthma, heart disease, stroke, mental health, and COVID/long COVID.</w:t>
      </w:r>
    </w:p>
    <w:p w14:paraId="6A94AD7C" w14:textId="77777777" w:rsidR="00FA74CC" w:rsidRPr="00FA74CC" w:rsidRDefault="00FA74CC" w:rsidP="00FA74CC">
      <w:pPr>
        <w:spacing w:after="0" w:line="240" w:lineRule="auto"/>
        <w:rPr>
          <w:rFonts w:ascii="Calibri" w:eastAsia="Times New Roman" w:hAnsi="Calibri" w:cs="Times New Roman"/>
          <w:color w:val="000000"/>
          <w:sz w:val="24"/>
          <w:szCs w:val="24"/>
        </w:rPr>
      </w:pPr>
      <w:r w:rsidRPr="00FA74CC">
        <w:rPr>
          <w:rFonts w:ascii="Calibri" w:eastAsia="Times New Roman" w:hAnsi="Calibri" w:cs="Times New Roman"/>
          <w:color w:val="000000"/>
          <w:sz w:val="24"/>
          <w:szCs w:val="24"/>
        </w:rPr>
        <w:t> </w:t>
      </w:r>
    </w:p>
    <w:p w14:paraId="64D05D50" w14:textId="0140CA4D" w:rsidR="00FA74CC" w:rsidRPr="00FA74CC" w:rsidRDefault="00FA74CC" w:rsidP="00FA74CC">
      <w:pPr>
        <w:spacing w:after="0" w:line="240" w:lineRule="auto"/>
        <w:rPr>
          <w:rFonts w:ascii="Calibri" w:eastAsia="Times New Roman" w:hAnsi="Calibri" w:cs="Times New Roman"/>
          <w:color w:val="000000"/>
          <w:sz w:val="24"/>
          <w:szCs w:val="24"/>
        </w:rPr>
      </w:pPr>
      <w:r w:rsidRPr="00FA74CC">
        <w:rPr>
          <w:rFonts w:ascii="Calibri" w:eastAsia="Times New Roman" w:hAnsi="Calibri" w:cs="Times New Roman"/>
          <w:b/>
          <w:bCs/>
          <w:color w:val="000000"/>
          <w:sz w:val="24"/>
          <w:szCs w:val="24"/>
        </w:rPr>
        <w:t xml:space="preserve">The Self-Assessment </w:t>
      </w:r>
      <w:r w:rsidRPr="00FA74CC">
        <w:rPr>
          <w:rFonts w:ascii="Calibri" w:eastAsia="Times New Roman" w:hAnsi="Calibri" w:cs="Times New Roman"/>
          <w:color w:val="000000"/>
          <w:sz w:val="24"/>
          <w:szCs w:val="24"/>
        </w:rPr>
        <w:t>provided a summary of community engagement processes and socio-demographic information, data and highlights related to topics and themes of community needs. Through data analysis, existing surveys, and key informant interviews, the participating community groups and residents identified the key concerns outlined in the 2022 CHNA.</w:t>
      </w:r>
    </w:p>
    <w:p w14:paraId="2898BC27" w14:textId="77777777" w:rsidR="00FA74CC" w:rsidRPr="00FA74CC" w:rsidRDefault="00FA74CC" w:rsidP="00FA74CC">
      <w:pPr>
        <w:spacing w:after="0" w:line="240" w:lineRule="auto"/>
        <w:rPr>
          <w:rFonts w:ascii="Calibri" w:eastAsia="Times New Roman" w:hAnsi="Calibri" w:cs="Times New Roman"/>
          <w:color w:val="000000"/>
          <w:sz w:val="24"/>
          <w:szCs w:val="24"/>
        </w:rPr>
      </w:pPr>
      <w:r w:rsidRPr="00FA74CC">
        <w:rPr>
          <w:rFonts w:ascii="Calibri" w:eastAsia="Times New Roman" w:hAnsi="Calibri" w:cs="Times New Roman"/>
          <w:color w:val="000000"/>
          <w:sz w:val="24"/>
          <w:szCs w:val="24"/>
        </w:rPr>
        <w:t> </w:t>
      </w:r>
    </w:p>
    <w:p w14:paraId="0676E1D6" w14:textId="77777777" w:rsidR="00FA74CC" w:rsidRPr="00FA74CC" w:rsidRDefault="00FA74CC" w:rsidP="00FA74CC">
      <w:pPr>
        <w:spacing w:after="0" w:line="240" w:lineRule="auto"/>
        <w:rPr>
          <w:rFonts w:ascii="Calibri" w:eastAsia="Times New Roman" w:hAnsi="Calibri" w:cs="Times New Roman"/>
          <w:color w:val="000000"/>
          <w:sz w:val="24"/>
          <w:szCs w:val="24"/>
        </w:rPr>
      </w:pPr>
      <w:r w:rsidRPr="00FA74CC">
        <w:rPr>
          <w:rFonts w:ascii="Calibri" w:eastAsia="Times New Roman" w:hAnsi="Calibri" w:cs="Times New Roman"/>
          <w:b/>
          <w:bCs/>
          <w:color w:val="000000"/>
          <w:sz w:val="24"/>
          <w:szCs w:val="24"/>
        </w:rPr>
        <w:t>Stakeholder Assessments</w:t>
      </w:r>
      <w:r w:rsidRPr="00FA74CC">
        <w:rPr>
          <w:rFonts w:ascii="Calibri" w:eastAsia="Times New Roman" w:hAnsi="Calibri" w:cs="Times New Roman"/>
          <w:color w:val="000000"/>
          <w:sz w:val="24"/>
          <w:szCs w:val="24"/>
        </w:rPr>
        <w:t xml:space="preserve"> submitted provided information on the individuals’ engagement levels (</w:t>
      </w:r>
      <w:proofErr w:type="gramStart"/>
      <w:r w:rsidRPr="00FA74CC">
        <w:rPr>
          <w:rFonts w:ascii="Calibri" w:eastAsia="Times New Roman" w:hAnsi="Calibri" w:cs="Times New Roman"/>
          <w:color w:val="000000"/>
          <w:sz w:val="24"/>
          <w:szCs w:val="24"/>
        </w:rPr>
        <w:t>e.g.</w:t>
      </w:r>
      <w:proofErr w:type="gramEnd"/>
      <w:r w:rsidRPr="00FA74CC">
        <w:rPr>
          <w:rFonts w:ascii="Calibri" w:eastAsia="Times New Roman" w:hAnsi="Calibri" w:cs="Times New Roman"/>
          <w:color w:val="000000"/>
          <w:sz w:val="24"/>
          <w:szCs w:val="24"/>
        </w:rPr>
        <w:t xml:space="preserve"> their personal participation and role) and their analysis of how the Applicant engaged the community in community health improvement planning processes. The information provided in these forms were consistent with the self-assessment conducted by the Applicant. </w:t>
      </w:r>
    </w:p>
    <w:p w14:paraId="19C29507" w14:textId="77777777" w:rsidR="00FA74CC" w:rsidRPr="00FA74CC" w:rsidRDefault="00FA74CC" w:rsidP="00FA74CC">
      <w:pPr>
        <w:spacing w:after="0" w:line="240" w:lineRule="auto"/>
        <w:rPr>
          <w:rFonts w:ascii="Calibri" w:eastAsia="Times New Roman" w:hAnsi="Calibri" w:cs="Times New Roman"/>
          <w:color w:val="000000"/>
          <w:sz w:val="24"/>
          <w:szCs w:val="24"/>
        </w:rPr>
      </w:pPr>
      <w:r w:rsidRPr="00FA74CC">
        <w:rPr>
          <w:rFonts w:ascii="Calibri" w:eastAsia="Times New Roman" w:hAnsi="Calibri" w:cs="Times New Roman"/>
          <w:color w:val="000000"/>
          <w:sz w:val="24"/>
          <w:szCs w:val="24"/>
        </w:rPr>
        <w:t> </w:t>
      </w:r>
    </w:p>
    <w:p w14:paraId="58DBEF8E" w14:textId="77777777" w:rsidR="00FA74CC" w:rsidRPr="00FA74CC" w:rsidRDefault="00FA74CC" w:rsidP="00FA74CC">
      <w:pPr>
        <w:spacing w:after="0" w:line="240" w:lineRule="auto"/>
        <w:rPr>
          <w:rFonts w:ascii="Calibri" w:eastAsia="Times New Roman" w:hAnsi="Calibri" w:cs="Times New Roman"/>
          <w:color w:val="000000"/>
          <w:sz w:val="24"/>
          <w:szCs w:val="24"/>
        </w:rPr>
      </w:pPr>
      <w:r w:rsidRPr="00FA74CC">
        <w:rPr>
          <w:rFonts w:ascii="Calibri" w:eastAsia="Times New Roman" w:hAnsi="Calibri" w:cs="Times New Roman"/>
          <w:b/>
          <w:bCs/>
          <w:color w:val="000000"/>
          <w:sz w:val="24"/>
          <w:szCs w:val="24"/>
        </w:rPr>
        <w:t>The CHI Narrative</w:t>
      </w:r>
      <w:r w:rsidRPr="00FA74CC">
        <w:rPr>
          <w:rFonts w:ascii="Calibri" w:eastAsia="Times New Roman" w:hAnsi="Calibri" w:cs="Times New Roman"/>
          <w:color w:val="000000"/>
          <w:sz w:val="24"/>
          <w:szCs w:val="24"/>
        </w:rPr>
        <w:t xml:space="preserve"> provided information on the Applicant’s decision-making structure and governing body for the CHI funding decision. The Applicant reported that the CHI Advisory Committee will begin meeting and identifying CHI Health Priorities at 6 weeks post-project approval. Within a year of approval, the Applicant plans to disburse the funds, and complete final evaluations of funded project(s) within two years of approval. Administrative monies will support the promotion of meetings, interpretation/translation services, community engagement efforts.</w:t>
      </w:r>
    </w:p>
    <w:p w14:paraId="0881F567" w14:textId="77777777" w:rsidR="00FA74CC" w:rsidRPr="00FA74CC" w:rsidRDefault="00FA74CC" w:rsidP="00FA74CC">
      <w:pPr>
        <w:spacing w:after="0" w:line="240" w:lineRule="auto"/>
        <w:rPr>
          <w:rFonts w:ascii="Calibri" w:eastAsia="Times New Roman" w:hAnsi="Calibri" w:cs="Times New Roman"/>
          <w:color w:val="000000"/>
          <w:sz w:val="24"/>
          <w:szCs w:val="24"/>
        </w:rPr>
      </w:pPr>
    </w:p>
    <w:p w14:paraId="7CB02996" w14:textId="10518F1B" w:rsidR="00FA74CC" w:rsidRPr="00FA74CC" w:rsidRDefault="00FA74CC" w:rsidP="00FA74CC">
      <w:pPr>
        <w:spacing w:after="0" w:line="240" w:lineRule="auto"/>
        <w:rPr>
          <w:rFonts w:ascii="Calibri" w:eastAsia="Times New Roman" w:hAnsi="Calibri" w:cs="Times New Roman"/>
          <w:color w:val="000000"/>
          <w:sz w:val="24"/>
          <w:szCs w:val="24"/>
        </w:rPr>
      </w:pPr>
      <w:r w:rsidRPr="00FA74CC">
        <w:rPr>
          <w:rFonts w:ascii="Calibri" w:eastAsia="Times New Roman" w:hAnsi="Calibri" w:cs="Times New Roman"/>
          <w:color w:val="000000"/>
          <w:sz w:val="24"/>
          <w:szCs w:val="24"/>
        </w:rPr>
        <w:t>DPH will work with the Applicant to ensure ongoing community engagement, a feasible project timeline and appropriate stewardship of the administrative allowance. Administrative allowances are used to address barriers to participation for community to engage in the community health planning process.</w:t>
      </w:r>
    </w:p>
    <w:p w14:paraId="7C17A7DD" w14:textId="77777777" w:rsidR="003368A5" w:rsidRDefault="003368A5" w:rsidP="00FA74CC">
      <w:pPr>
        <w:spacing w:after="0" w:line="240" w:lineRule="auto"/>
        <w:jc w:val="both"/>
        <w:rPr>
          <w:rFonts w:ascii="Calibri" w:eastAsia="Times New Roman" w:hAnsi="Calibri" w:cs="Times New Roman"/>
          <w:color w:val="000000"/>
          <w:sz w:val="24"/>
          <w:szCs w:val="24"/>
        </w:rPr>
      </w:pPr>
    </w:p>
    <w:p w14:paraId="0D38500A" w14:textId="7761C035" w:rsidR="00FA74CC" w:rsidRPr="00FA74CC" w:rsidRDefault="00FA74CC" w:rsidP="00FA74CC">
      <w:pPr>
        <w:spacing w:after="0" w:line="240" w:lineRule="auto"/>
        <w:jc w:val="both"/>
        <w:rPr>
          <w:rFonts w:ascii="Calibri" w:eastAsia="Times New Roman" w:hAnsi="Calibri" w:cs="Times New Roman"/>
          <w:color w:val="000000"/>
          <w:sz w:val="24"/>
          <w:szCs w:val="24"/>
        </w:rPr>
      </w:pPr>
      <w:r w:rsidRPr="00FA74CC">
        <w:rPr>
          <w:rFonts w:ascii="Calibri" w:eastAsia="Times New Roman" w:hAnsi="Calibri" w:cs="Times New Roman"/>
          <w:color w:val="000000"/>
          <w:sz w:val="24"/>
          <w:szCs w:val="24"/>
        </w:rPr>
        <w:t> </w:t>
      </w:r>
    </w:p>
    <w:p w14:paraId="03E2010A" w14:textId="77777777" w:rsidR="00282E2B" w:rsidRDefault="00FA74CC" w:rsidP="00FA74CC">
      <w:pPr>
        <w:spacing w:after="0" w:line="240" w:lineRule="auto"/>
        <w:rPr>
          <w:rFonts w:ascii="Calibri" w:eastAsia="Times New Roman" w:hAnsi="Calibri" w:cs="Times New Roman"/>
          <w:b/>
          <w:bCs/>
          <w:color w:val="000000"/>
          <w:sz w:val="24"/>
          <w:szCs w:val="24"/>
        </w:rPr>
      </w:pPr>
      <w:r w:rsidRPr="00FA74CC">
        <w:rPr>
          <w:rFonts w:ascii="Calibri" w:eastAsia="Times New Roman" w:hAnsi="Calibri" w:cs="Times New Roman"/>
          <w:b/>
          <w:bCs/>
          <w:i/>
          <w:iCs/>
          <w:color w:val="000000"/>
          <w:sz w:val="24"/>
          <w:szCs w:val="24"/>
        </w:rPr>
        <w:lastRenderedPageBreak/>
        <w:t>Analysis</w:t>
      </w:r>
    </w:p>
    <w:p w14:paraId="44633C84" w14:textId="328FB7CE" w:rsidR="00FA74CC" w:rsidRPr="00FA74CC" w:rsidRDefault="00FA74CC" w:rsidP="00FA74CC">
      <w:pPr>
        <w:spacing w:after="0" w:line="240" w:lineRule="auto"/>
        <w:rPr>
          <w:rFonts w:ascii="Calibri" w:eastAsia="Times New Roman" w:hAnsi="Calibri" w:cs="Times New Roman"/>
          <w:color w:val="000000"/>
          <w:sz w:val="24"/>
          <w:szCs w:val="24"/>
        </w:rPr>
      </w:pPr>
      <w:r w:rsidRPr="00FA74CC">
        <w:rPr>
          <w:rFonts w:ascii="Calibri" w:eastAsia="Times New Roman" w:hAnsi="Calibri" w:cs="Times New Roman"/>
          <w:color w:val="000000"/>
          <w:sz w:val="24"/>
          <w:szCs w:val="24"/>
        </w:rPr>
        <w:t>As a result of information provided by the Applicant and additional analysis, staff finds that with the conditions outlined below, and the ongoing communication outlined above, the Applicant will have demonstrated that the Proposed Project has met Factor 6.</w:t>
      </w:r>
    </w:p>
    <w:p w14:paraId="36ACF3A1" w14:textId="10DCD567" w:rsidR="003E1CDA" w:rsidRPr="003E1CDA" w:rsidRDefault="006578AD" w:rsidP="0024289A">
      <w:pPr>
        <w:pStyle w:val="Heading1"/>
      </w:pPr>
      <w:bookmarkStart w:id="24" w:name="_Toc144121540"/>
      <w:r>
        <w:t xml:space="preserve">Overall </w:t>
      </w:r>
      <w:r w:rsidR="003E1CDA" w:rsidRPr="003E1CDA">
        <w:t>Findings and Recommendations</w:t>
      </w:r>
      <w:bookmarkEnd w:id="24"/>
      <w:r w:rsidR="003E1CDA" w:rsidRPr="003E1CDA">
        <w:t xml:space="preserve"> </w:t>
      </w:r>
    </w:p>
    <w:p w14:paraId="240B4334" w14:textId="0AE49331" w:rsidR="003E1CDA" w:rsidRPr="003E1CDA" w:rsidRDefault="003E1CDA" w:rsidP="003E1CDA">
      <w:pPr>
        <w:spacing w:after="0" w:line="240" w:lineRule="auto"/>
        <w:rPr>
          <w:sz w:val="24"/>
          <w:szCs w:val="24"/>
        </w:rPr>
      </w:pPr>
      <w:r w:rsidRPr="003E1CDA">
        <w:rPr>
          <w:sz w:val="24"/>
          <w:szCs w:val="24"/>
        </w:rPr>
        <w:t xml:space="preserve">Based upon a review of the materials submitted, </w:t>
      </w:r>
      <w:r w:rsidR="007A1DA1">
        <w:rPr>
          <w:sz w:val="24"/>
          <w:szCs w:val="24"/>
        </w:rPr>
        <w:t>s</w:t>
      </w:r>
      <w:r w:rsidRPr="003E1CDA">
        <w:rPr>
          <w:sz w:val="24"/>
          <w:szCs w:val="24"/>
        </w:rPr>
        <w:t xml:space="preserve">taff finds that, with the addition of the recommended conditions detailed below, the Applicant has met each DoN Factor for the Proposed </w:t>
      </w:r>
      <w:r w:rsidR="003D35D8" w:rsidRPr="003E1CDA">
        <w:rPr>
          <w:sz w:val="24"/>
          <w:szCs w:val="24"/>
        </w:rPr>
        <w:t>Project and</w:t>
      </w:r>
      <w:r w:rsidRPr="003E1CDA">
        <w:rPr>
          <w:sz w:val="24"/>
          <w:szCs w:val="24"/>
        </w:rPr>
        <w:t xml:space="preserve"> recommends that the Department approve this Determination of Need, subject to all applicable standard and Other Conditions. </w:t>
      </w:r>
    </w:p>
    <w:p w14:paraId="6809D2AC" w14:textId="56FBA335" w:rsidR="005F2DE7" w:rsidRDefault="005F2DE7" w:rsidP="003E1CDA">
      <w:pPr>
        <w:spacing w:line="240" w:lineRule="auto"/>
        <w:rPr>
          <w:b/>
          <w:bCs/>
          <w:sz w:val="24"/>
          <w:szCs w:val="24"/>
        </w:rPr>
      </w:pPr>
    </w:p>
    <w:p w14:paraId="1EFA40B6" w14:textId="0F66B034" w:rsidR="003E1CDA" w:rsidRDefault="00FA6CD1" w:rsidP="0024289A">
      <w:pPr>
        <w:pStyle w:val="Heading1"/>
      </w:pPr>
      <w:bookmarkStart w:id="25" w:name="_Toc144121541"/>
      <w:r>
        <w:t>Conditions to the DoN</w:t>
      </w:r>
      <w:bookmarkEnd w:id="25"/>
    </w:p>
    <w:p w14:paraId="718282E5" w14:textId="77777777" w:rsidR="00FA74CC" w:rsidRPr="00FA74CC" w:rsidRDefault="00FA74CC" w:rsidP="00FA74CC"/>
    <w:p w14:paraId="418727B7" w14:textId="77777777" w:rsidR="00FA74CC" w:rsidRPr="00FA74CC" w:rsidRDefault="00FA74CC" w:rsidP="00FA74CC">
      <w:pPr>
        <w:numPr>
          <w:ilvl w:val="0"/>
          <w:numId w:val="12"/>
        </w:numPr>
        <w:spacing w:after="0" w:line="240" w:lineRule="auto"/>
        <w:contextualSpacing/>
        <w:rPr>
          <w:rFonts w:ascii="Calibri" w:eastAsia="Times New Roman" w:hAnsi="Calibri" w:cs="Times New Roman"/>
          <w:color w:val="000000"/>
          <w:sz w:val="24"/>
          <w:szCs w:val="24"/>
        </w:rPr>
      </w:pPr>
      <w:r w:rsidRPr="00FA74CC">
        <w:rPr>
          <w:rFonts w:ascii="Calibri" w:eastAsia="Times New Roman" w:hAnsi="Calibri" w:cs="Times New Roman"/>
          <w:color w:val="000000"/>
          <w:sz w:val="24"/>
          <w:szCs w:val="24"/>
        </w:rPr>
        <w:t>Of the total required CHI contribution of $125,831.15</w:t>
      </w:r>
    </w:p>
    <w:p w14:paraId="790B7609" w14:textId="77777777" w:rsidR="00FA74CC" w:rsidRPr="00FA74CC" w:rsidRDefault="00FA74CC" w:rsidP="00FA74CC">
      <w:pPr>
        <w:numPr>
          <w:ilvl w:val="1"/>
          <w:numId w:val="12"/>
        </w:numPr>
        <w:spacing w:after="0" w:line="240" w:lineRule="auto"/>
        <w:contextualSpacing/>
        <w:rPr>
          <w:rFonts w:ascii="Calibri" w:eastAsia="Times New Roman" w:hAnsi="Calibri" w:cs="Times New Roman"/>
          <w:color w:val="000000"/>
          <w:sz w:val="24"/>
          <w:szCs w:val="24"/>
        </w:rPr>
      </w:pPr>
      <w:r w:rsidRPr="00FA74CC">
        <w:rPr>
          <w:rFonts w:ascii="Calibri" w:eastAsia="Times New Roman" w:hAnsi="Calibri" w:cs="Times New Roman"/>
          <w:color w:val="000000"/>
          <w:sz w:val="24"/>
          <w:szCs w:val="24"/>
        </w:rPr>
        <w:t>$12,079.79 will be directed to the CHI Statewide Initiative  </w:t>
      </w:r>
    </w:p>
    <w:p w14:paraId="47BC4050" w14:textId="77777777" w:rsidR="00FA74CC" w:rsidRPr="00FA74CC" w:rsidRDefault="00FA74CC" w:rsidP="00FA74CC">
      <w:pPr>
        <w:numPr>
          <w:ilvl w:val="1"/>
          <w:numId w:val="12"/>
        </w:numPr>
        <w:spacing w:after="0" w:line="240" w:lineRule="auto"/>
        <w:contextualSpacing/>
        <w:rPr>
          <w:rFonts w:ascii="Calibri" w:eastAsia="Times New Roman" w:hAnsi="Calibri" w:cs="Times New Roman"/>
          <w:color w:val="000000"/>
          <w:sz w:val="24"/>
          <w:szCs w:val="24"/>
        </w:rPr>
      </w:pPr>
      <w:r w:rsidRPr="00FA74CC">
        <w:rPr>
          <w:rFonts w:ascii="Calibri" w:eastAsia="Times New Roman" w:hAnsi="Calibri" w:cs="Times New Roman"/>
          <w:color w:val="000000"/>
          <w:sz w:val="24"/>
          <w:szCs w:val="24"/>
        </w:rPr>
        <w:t>$108,718.11 will be dedicated to local approaches to the DoN Health Priorities  </w:t>
      </w:r>
    </w:p>
    <w:p w14:paraId="1BFC1F72" w14:textId="77777777" w:rsidR="00FA74CC" w:rsidRPr="00FA74CC" w:rsidRDefault="00FA74CC" w:rsidP="00FA74CC">
      <w:pPr>
        <w:numPr>
          <w:ilvl w:val="1"/>
          <w:numId w:val="12"/>
        </w:numPr>
        <w:spacing w:after="0" w:line="240" w:lineRule="auto"/>
        <w:contextualSpacing/>
        <w:rPr>
          <w:rFonts w:ascii="Calibri" w:eastAsia="Times New Roman" w:hAnsi="Calibri" w:cs="Times New Roman"/>
          <w:color w:val="000000"/>
          <w:sz w:val="24"/>
          <w:szCs w:val="24"/>
        </w:rPr>
      </w:pPr>
      <w:r w:rsidRPr="00FA74CC">
        <w:rPr>
          <w:rFonts w:ascii="Calibri" w:eastAsia="Times New Roman" w:hAnsi="Calibri" w:cs="Times New Roman"/>
          <w:color w:val="000000"/>
          <w:sz w:val="24"/>
          <w:szCs w:val="24"/>
        </w:rPr>
        <w:t>$5,033.25 may be designated as the administrative allowance. </w:t>
      </w:r>
    </w:p>
    <w:p w14:paraId="324F1ED9" w14:textId="33BF4903" w:rsidR="00FA74CC" w:rsidRPr="00FA74CC" w:rsidRDefault="00FA74CC" w:rsidP="00FA74CC">
      <w:pPr>
        <w:numPr>
          <w:ilvl w:val="0"/>
          <w:numId w:val="12"/>
        </w:numPr>
        <w:spacing w:after="0" w:line="240" w:lineRule="auto"/>
        <w:contextualSpacing/>
        <w:rPr>
          <w:rFonts w:ascii="Calibri" w:eastAsia="Times New Roman" w:hAnsi="Calibri" w:cs="Times New Roman"/>
          <w:color w:val="000000"/>
          <w:sz w:val="24"/>
          <w:szCs w:val="24"/>
        </w:rPr>
      </w:pPr>
      <w:r w:rsidRPr="00FA74CC">
        <w:rPr>
          <w:rFonts w:ascii="Calibri" w:eastAsia="Times New Roman" w:hAnsi="Calibri" w:cs="Times New Roman"/>
          <w:color w:val="000000"/>
          <w:sz w:val="24"/>
          <w:szCs w:val="24"/>
        </w:rPr>
        <w:t>To comply with the Holder’s obligation to contribute to the Statewide CHI Initiative, the Holder must submit a check for $12,079.79 to Health Resources in Action (the fiscal agent for the CHI Statewide Initiative).</w:t>
      </w:r>
    </w:p>
    <w:p w14:paraId="205F3AC8" w14:textId="37A08D60" w:rsidR="00FA74CC" w:rsidRPr="00FA74CC" w:rsidRDefault="00FA74CC" w:rsidP="00FA74CC">
      <w:pPr>
        <w:numPr>
          <w:ilvl w:val="1"/>
          <w:numId w:val="12"/>
        </w:numPr>
        <w:spacing w:after="0" w:line="240" w:lineRule="auto"/>
        <w:contextualSpacing/>
        <w:rPr>
          <w:rFonts w:ascii="Calibri" w:eastAsia="Times New Roman" w:hAnsi="Calibri" w:cs="Times New Roman"/>
          <w:color w:val="000000"/>
          <w:sz w:val="24"/>
          <w:szCs w:val="24"/>
        </w:rPr>
      </w:pPr>
      <w:r w:rsidRPr="00FA74CC">
        <w:rPr>
          <w:rFonts w:ascii="Calibri" w:eastAsia="Times New Roman" w:hAnsi="Calibri" w:cs="Times New Roman"/>
          <w:color w:val="000000"/>
          <w:sz w:val="24"/>
          <w:szCs w:val="24"/>
        </w:rPr>
        <w:t>The Holder must submit the funds to HRiA within 30 days from the date of the Notice of Approval.</w:t>
      </w:r>
    </w:p>
    <w:p w14:paraId="005EDD3B" w14:textId="77777777" w:rsidR="00FA74CC" w:rsidRPr="00FA74CC" w:rsidRDefault="00FA74CC" w:rsidP="00FA74CC">
      <w:pPr>
        <w:numPr>
          <w:ilvl w:val="1"/>
          <w:numId w:val="12"/>
        </w:numPr>
        <w:spacing w:after="0" w:line="240" w:lineRule="auto"/>
        <w:contextualSpacing/>
        <w:rPr>
          <w:rFonts w:ascii="Calibri" w:eastAsia="Times New Roman" w:hAnsi="Calibri" w:cs="Times New Roman"/>
          <w:color w:val="000000"/>
          <w:sz w:val="24"/>
          <w:szCs w:val="24"/>
        </w:rPr>
      </w:pPr>
      <w:r w:rsidRPr="00FA74CC">
        <w:rPr>
          <w:rFonts w:ascii="Calibri" w:eastAsia="Times New Roman" w:hAnsi="Calibri" w:cs="Times New Roman"/>
          <w:color w:val="000000"/>
          <w:sz w:val="24"/>
          <w:szCs w:val="24"/>
        </w:rPr>
        <w:t>The Holder must promptly notify DPH (CHI contact staff) when the payment has been made. </w:t>
      </w:r>
    </w:p>
    <w:p w14:paraId="5259DA5A" w14:textId="77777777" w:rsidR="00FA74CC" w:rsidRPr="00FA74CC" w:rsidRDefault="00FA74CC" w:rsidP="00FA74CC">
      <w:pPr>
        <w:spacing w:after="0" w:line="240" w:lineRule="auto"/>
        <w:rPr>
          <w:rFonts w:ascii="Calibri" w:eastAsia="Times New Roman" w:hAnsi="Calibri" w:cs="Times New Roman"/>
          <w:color w:val="000000"/>
          <w:sz w:val="24"/>
          <w:szCs w:val="24"/>
        </w:rPr>
      </w:pPr>
    </w:p>
    <w:p w14:paraId="5C1A9832" w14:textId="77777777" w:rsidR="00FA74CC" w:rsidRPr="00FA74CC" w:rsidRDefault="00FA74CC" w:rsidP="00FA74CC">
      <w:pPr>
        <w:spacing w:after="0" w:line="240" w:lineRule="auto"/>
        <w:ind w:left="720" w:right="540"/>
        <w:rPr>
          <w:rFonts w:ascii="Calibri" w:eastAsia="Times New Roman" w:hAnsi="Calibri" w:cs="Times New Roman"/>
          <w:color w:val="000000"/>
          <w:sz w:val="24"/>
          <w:szCs w:val="24"/>
        </w:rPr>
      </w:pPr>
      <w:r w:rsidRPr="00FA74CC">
        <w:rPr>
          <w:rFonts w:ascii="Calibri" w:eastAsia="Times New Roman" w:hAnsi="Calibri" w:cs="Times New Roman"/>
          <w:color w:val="000000"/>
          <w:sz w:val="24"/>
          <w:szCs w:val="24"/>
        </w:rPr>
        <w:t>Payment should be sent to:   </w:t>
      </w:r>
    </w:p>
    <w:p w14:paraId="034D94CD" w14:textId="77777777" w:rsidR="00FA74CC" w:rsidRPr="00FA74CC" w:rsidRDefault="00FA74CC" w:rsidP="00FA74CC">
      <w:pPr>
        <w:spacing w:after="0" w:line="240" w:lineRule="auto"/>
        <w:ind w:left="1440" w:right="540"/>
        <w:rPr>
          <w:rFonts w:ascii="Calibri" w:eastAsia="Times New Roman" w:hAnsi="Calibri" w:cs="Times New Roman"/>
          <w:color w:val="000000"/>
          <w:sz w:val="24"/>
          <w:szCs w:val="24"/>
        </w:rPr>
      </w:pPr>
      <w:r w:rsidRPr="00FA74CC">
        <w:rPr>
          <w:rFonts w:ascii="Calibri" w:eastAsia="Times New Roman" w:hAnsi="Calibri" w:cs="Times New Roman"/>
          <w:color w:val="000000"/>
          <w:sz w:val="24"/>
          <w:szCs w:val="24"/>
        </w:rPr>
        <w:t>Health Resources in Action, Inc., (HRiA)   </w:t>
      </w:r>
    </w:p>
    <w:p w14:paraId="52523FC2" w14:textId="77777777" w:rsidR="00FA74CC" w:rsidRPr="00FA74CC" w:rsidRDefault="00FA74CC" w:rsidP="00FA74CC">
      <w:pPr>
        <w:spacing w:after="0" w:line="240" w:lineRule="auto"/>
        <w:ind w:left="1440" w:right="540"/>
        <w:rPr>
          <w:rFonts w:ascii="Calibri" w:eastAsia="Times New Roman" w:hAnsi="Calibri" w:cs="Times New Roman"/>
          <w:color w:val="000000"/>
          <w:sz w:val="24"/>
          <w:szCs w:val="24"/>
        </w:rPr>
      </w:pPr>
      <w:r w:rsidRPr="00FA74CC">
        <w:rPr>
          <w:rFonts w:ascii="Calibri" w:eastAsia="Times New Roman" w:hAnsi="Calibri" w:cs="Times New Roman"/>
          <w:color w:val="000000"/>
          <w:sz w:val="24"/>
          <w:szCs w:val="24"/>
        </w:rPr>
        <w:t>2 Boylston Street, 4th Floor   </w:t>
      </w:r>
    </w:p>
    <w:p w14:paraId="3864D3AA" w14:textId="77777777" w:rsidR="00FA74CC" w:rsidRPr="00FA74CC" w:rsidRDefault="00FA74CC" w:rsidP="00FA74CC">
      <w:pPr>
        <w:spacing w:after="0" w:line="240" w:lineRule="auto"/>
        <w:ind w:left="1440" w:right="540"/>
        <w:rPr>
          <w:rFonts w:ascii="Calibri" w:eastAsia="Times New Roman" w:hAnsi="Calibri" w:cs="Times New Roman"/>
          <w:color w:val="000000"/>
          <w:sz w:val="24"/>
          <w:szCs w:val="24"/>
        </w:rPr>
      </w:pPr>
      <w:r w:rsidRPr="00FA74CC">
        <w:rPr>
          <w:rFonts w:ascii="Calibri" w:eastAsia="Times New Roman" w:hAnsi="Calibri" w:cs="Times New Roman"/>
          <w:color w:val="000000"/>
          <w:sz w:val="24"/>
          <w:szCs w:val="24"/>
        </w:rPr>
        <w:t>Boston, MA 02116   </w:t>
      </w:r>
    </w:p>
    <w:p w14:paraId="545CF8BF" w14:textId="2CCBA596" w:rsidR="00FA74CC" w:rsidRDefault="00FA74CC" w:rsidP="00FA74CC">
      <w:pPr>
        <w:ind w:left="1440"/>
        <w:rPr>
          <w:rFonts w:ascii="Calibri" w:eastAsia="Times New Roman" w:hAnsi="Calibri" w:cs="Times New Roman"/>
          <w:color w:val="000000"/>
          <w:sz w:val="24"/>
          <w:szCs w:val="24"/>
        </w:rPr>
      </w:pPr>
      <w:r w:rsidRPr="00FA74CC">
        <w:rPr>
          <w:rFonts w:ascii="Calibri" w:eastAsia="Times New Roman" w:hAnsi="Calibri" w:cs="Times New Roman"/>
          <w:color w:val="000000"/>
          <w:sz w:val="24"/>
          <w:szCs w:val="24"/>
        </w:rPr>
        <w:t>Attn: Ms. Bora Toro </w:t>
      </w:r>
    </w:p>
    <w:p w14:paraId="1B9C3167" w14:textId="2A28A853" w:rsidR="003368A5" w:rsidRDefault="003368A5">
      <w:pPr>
        <w:rPr>
          <w:rFonts w:ascii="Calibri" w:eastAsia="Times New Roman" w:hAnsi="Calibri" w:cs="Times New Roman"/>
          <w:color w:val="000000"/>
          <w:sz w:val="24"/>
          <w:szCs w:val="24"/>
        </w:rPr>
      </w:pPr>
      <w:r>
        <w:rPr>
          <w:rFonts w:ascii="Calibri" w:eastAsia="Times New Roman" w:hAnsi="Calibri" w:cs="Times New Roman"/>
          <w:color w:val="000000"/>
          <w:sz w:val="24"/>
          <w:szCs w:val="24"/>
        </w:rPr>
        <w:br w:type="page"/>
      </w:r>
    </w:p>
    <w:p w14:paraId="27068306" w14:textId="241EEBD8" w:rsidR="00745383" w:rsidRDefault="00940201" w:rsidP="00E15DD3">
      <w:pPr>
        <w:pStyle w:val="Heading1"/>
      </w:pPr>
      <w:bookmarkStart w:id="26" w:name="_Toc144121542"/>
      <w:r w:rsidRPr="003D35D8">
        <w:lastRenderedPageBreak/>
        <w:t>Appendix I</w:t>
      </w:r>
      <w:bookmarkEnd w:id="26"/>
    </w:p>
    <w:p w14:paraId="0A4D8DC9" w14:textId="77777777" w:rsidR="004F45A2" w:rsidRDefault="004F45A2" w:rsidP="004F45A2">
      <w:pPr>
        <w:spacing w:after="0" w:line="240" w:lineRule="auto"/>
        <w:ind w:left="20"/>
        <w:jc w:val="both"/>
        <w:rPr>
          <w:rFonts w:cstheme="minorHAnsi"/>
          <w:sz w:val="24"/>
          <w:szCs w:val="24"/>
        </w:rPr>
      </w:pPr>
    </w:p>
    <w:p w14:paraId="7B15704A" w14:textId="6140B54D" w:rsidR="006578AD" w:rsidRPr="006578AD" w:rsidRDefault="004F45A2" w:rsidP="00114E20">
      <w:pPr>
        <w:spacing w:after="0" w:line="240" w:lineRule="auto"/>
        <w:ind w:left="20"/>
        <w:rPr>
          <w:rFonts w:cstheme="minorHAnsi"/>
          <w:sz w:val="24"/>
          <w:szCs w:val="24"/>
        </w:rPr>
      </w:pPr>
      <w:r w:rsidRPr="004F45A2">
        <w:rPr>
          <w:rFonts w:cstheme="minorHAnsi"/>
          <w:sz w:val="24"/>
          <w:szCs w:val="24"/>
        </w:rPr>
        <w:t xml:space="preserve">The Applicant provided several metrics that it will monitor regularly to assess the impact of the Proposed Project. These will be reported to the DoN program on an annual basis following project implementation. </w:t>
      </w:r>
      <w:r w:rsidRPr="004F45A2">
        <w:rPr>
          <w:rFonts w:cstheme="minorHAnsi"/>
          <w:i/>
          <w:iCs/>
          <w:sz w:val="24"/>
          <w:szCs w:val="24"/>
        </w:rPr>
        <w:t>Reporting will include a description of numerators and denominators</w:t>
      </w:r>
      <w:r>
        <w:rPr>
          <w:rFonts w:cstheme="minorHAnsi"/>
          <w:i/>
          <w:iCs/>
          <w:sz w:val="24"/>
          <w:szCs w:val="24"/>
        </w:rPr>
        <w:t>.</w:t>
      </w:r>
      <w:r w:rsidR="00114E20">
        <w:rPr>
          <w:rFonts w:cstheme="minorHAnsi"/>
          <w:i/>
          <w:iCs/>
          <w:sz w:val="24"/>
          <w:szCs w:val="24"/>
        </w:rPr>
        <w:t xml:space="preserve"> </w:t>
      </w:r>
      <w:r w:rsidR="006578AD" w:rsidRPr="006578AD">
        <w:rPr>
          <w:rFonts w:cstheme="minorHAnsi"/>
          <w:sz w:val="24"/>
          <w:szCs w:val="24"/>
        </w:rPr>
        <w:t>The measures are discussed below:</w:t>
      </w:r>
    </w:p>
    <w:p w14:paraId="0081AFA3" w14:textId="77777777" w:rsidR="006578AD" w:rsidRPr="006578AD" w:rsidRDefault="006578AD" w:rsidP="009C6041">
      <w:pPr>
        <w:spacing w:after="0" w:line="240" w:lineRule="auto"/>
        <w:jc w:val="both"/>
        <w:rPr>
          <w:rFonts w:cstheme="minorHAnsi"/>
          <w:sz w:val="24"/>
          <w:szCs w:val="24"/>
        </w:rPr>
      </w:pPr>
    </w:p>
    <w:p w14:paraId="0A3BB14C" w14:textId="77777777" w:rsidR="006578AD" w:rsidRPr="006578AD" w:rsidRDefault="006578AD" w:rsidP="00114E20">
      <w:pPr>
        <w:numPr>
          <w:ilvl w:val="0"/>
          <w:numId w:val="7"/>
        </w:numPr>
        <w:spacing w:after="0" w:line="240" w:lineRule="auto"/>
        <w:ind w:left="380"/>
        <w:rPr>
          <w:rFonts w:cstheme="minorHAnsi"/>
          <w:sz w:val="24"/>
          <w:szCs w:val="24"/>
        </w:rPr>
      </w:pPr>
      <w:r w:rsidRPr="006578AD">
        <w:rPr>
          <w:rFonts w:cstheme="minorHAnsi"/>
          <w:sz w:val="24"/>
          <w:szCs w:val="24"/>
        </w:rPr>
        <w:t>Timely Access – Door to CT for Stroke Patients: Adding a third CT unit in the ED will likely decrease time from door to CT for stroke patients. As a result, stroke patients will receive a timely diagnosis that will direct subsequent medical treatment.</w:t>
      </w:r>
    </w:p>
    <w:p w14:paraId="2FA01ED9" w14:textId="77777777" w:rsidR="006578AD" w:rsidRPr="006578AD" w:rsidRDefault="006578AD" w:rsidP="00114E20">
      <w:pPr>
        <w:spacing w:after="0" w:line="240" w:lineRule="auto"/>
        <w:ind w:left="560"/>
        <w:rPr>
          <w:rFonts w:cstheme="minorHAnsi"/>
          <w:sz w:val="24"/>
          <w:szCs w:val="24"/>
        </w:rPr>
      </w:pPr>
      <w:r w:rsidRPr="006578AD">
        <w:rPr>
          <w:rFonts w:cstheme="minorHAnsi"/>
          <w:b/>
          <w:bCs/>
          <w:sz w:val="24"/>
          <w:szCs w:val="24"/>
        </w:rPr>
        <w:t xml:space="preserve">Measure: </w:t>
      </w:r>
      <w:r w:rsidRPr="006578AD">
        <w:rPr>
          <w:rFonts w:cstheme="minorHAnsi"/>
          <w:sz w:val="24"/>
          <w:szCs w:val="24"/>
        </w:rPr>
        <w:t>Length of time</w:t>
      </w:r>
      <w:r w:rsidRPr="006578AD">
        <w:rPr>
          <w:rFonts w:cstheme="minorHAnsi"/>
          <w:b/>
          <w:bCs/>
          <w:sz w:val="24"/>
          <w:szCs w:val="24"/>
        </w:rPr>
        <w:t xml:space="preserve"> </w:t>
      </w:r>
      <w:r w:rsidRPr="006578AD">
        <w:rPr>
          <w:rFonts w:cstheme="minorHAnsi"/>
          <w:sz w:val="24"/>
          <w:szCs w:val="24"/>
        </w:rPr>
        <w:t>between when patient reaches the Hospital to when a CT         scan begins.</w:t>
      </w:r>
    </w:p>
    <w:p w14:paraId="2CCC3BB8" w14:textId="77777777" w:rsidR="006578AD" w:rsidRPr="006578AD" w:rsidRDefault="006578AD" w:rsidP="00114E20">
      <w:pPr>
        <w:spacing w:after="0" w:line="240" w:lineRule="auto"/>
        <w:ind w:left="380" w:firstLine="180"/>
        <w:rPr>
          <w:rFonts w:cstheme="minorHAnsi"/>
          <w:sz w:val="24"/>
          <w:szCs w:val="24"/>
        </w:rPr>
      </w:pPr>
      <w:r w:rsidRPr="006578AD">
        <w:rPr>
          <w:rFonts w:cstheme="minorHAnsi"/>
          <w:b/>
          <w:bCs/>
          <w:sz w:val="24"/>
          <w:szCs w:val="24"/>
        </w:rPr>
        <w:t xml:space="preserve">Baseline: </w:t>
      </w:r>
      <w:r w:rsidRPr="006578AD">
        <w:rPr>
          <w:rFonts w:cstheme="minorHAnsi"/>
          <w:sz w:val="24"/>
          <w:szCs w:val="24"/>
        </w:rPr>
        <w:t>Average door to CT scan time: 62.80 minutes</w:t>
      </w:r>
    </w:p>
    <w:p w14:paraId="321BCB9D" w14:textId="5DC4FF66" w:rsidR="006578AD" w:rsidRDefault="006578AD" w:rsidP="00114E20">
      <w:pPr>
        <w:spacing w:after="0" w:line="240" w:lineRule="auto"/>
        <w:ind w:left="560"/>
        <w:rPr>
          <w:rFonts w:cstheme="minorHAnsi"/>
          <w:sz w:val="24"/>
          <w:szCs w:val="24"/>
        </w:rPr>
      </w:pPr>
      <w:r w:rsidRPr="006578AD">
        <w:rPr>
          <w:rFonts w:cstheme="minorHAnsi"/>
          <w:b/>
          <w:bCs/>
          <w:sz w:val="24"/>
          <w:szCs w:val="24"/>
        </w:rPr>
        <w:t xml:space="preserve">Projections: </w:t>
      </w:r>
      <w:r w:rsidRPr="006578AD">
        <w:rPr>
          <w:rFonts w:cstheme="minorHAnsi"/>
          <w:sz w:val="24"/>
          <w:szCs w:val="24"/>
        </w:rPr>
        <w:t>Year 1: 56.51 minutes; Year 2: 50.86 minutes; and Year 3: 45.77 minutes</w:t>
      </w:r>
    </w:p>
    <w:p w14:paraId="6986C2F8" w14:textId="77777777" w:rsidR="00F14FCE" w:rsidRPr="006578AD" w:rsidRDefault="00F14FCE" w:rsidP="00114E20">
      <w:pPr>
        <w:spacing w:after="0" w:line="240" w:lineRule="auto"/>
        <w:ind w:left="560"/>
        <w:rPr>
          <w:rFonts w:cstheme="minorHAnsi"/>
          <w:sz w:val="24"/>
          <w:szCs w:val="24"/>
        </w:rPr>
      </w:pPr>
    </w:p>
    <w:p w14:paraId="6F5F05FC" w14:textId="09BC0EBF" w:rsidR="006578AD" w:rsidRDefault="006578AD" w:rsidP="00114E20">
      <w:pPr>
        <w:numPr>
          <w:ilvl w:val="0"/>
          <w:numId w:val="7"/>
        </w:numPr>
        <w:spacing w:line="240" w:lineRule="auto"/>
        <w:ind w:left="380"/>
        <w:contextualSpacing/>
        <w:rPr>
          <w:rFonts w:cstheme="minorHAnsi"/>
          <w:sz w:val="24"/>
          <w:szCs w:val="24"/>
        </w:rPr>
      </w:pPr>
      <w:r w:rsidRPr="006578AD">
        <w:rPr>
          <w:rFonts w:cstheme="minorHAnsi"/>
          <w:sz w:val="24"/>
          <w:szCs w:val="24"/>
        </w:rPr>
        <w:t>Access – Outpatient wait times will decrease.</w:t>
      </w:r>
    </w:p>
    <w:p w14:paraId="2B7582BB" w14:textId="77777777" w:rsidR="006578AD" w:rsidRPr="006578AD" w:rsidRDefault="006578AD" w:rsidP="00114E20">
      <w:pPr>
        <w:spacing w:after="0" w:line="240" w:lineRule="auto"/>
        <w:ind w:left="380" w:firstLine="180"/>
        <w:rPr>
          <w:rFonts w:cstheme="minorHAnsi"/>
          <w:b/>
          <w:bCs/>
          <w:sz w:val="24"/>
          <w:szCs w:val="24"/>
        </w:rPr>
      </w:pPr>
      <w:r w:rsidRPr="006578AD">
        <w:rPr>
          <w:rFonts w:cstheme="minorHAnsi"/>
          <w:b/>
          <w:bCs/>
          <w:sz w:val="24"/>
          <w:szCs w:val="24"/>
        </w:rPr>
        <w:t xml:space="preserve">Measure: </w:t>
      </w:r>
      <w:r w:rsidRPr="006578AD">
        <w:rPr>
          <w:rFonts w:cstheme="minorHAnsi"/>
          <w:sz w:val="24"/>
          <w:szCs w:val="24"/>
        </w:rPr>
        <w:t>Median days for patient to get scheduled for CT scan</w:t>
      </w:r>
      <w:r w:rsidRPr="006578AD">
        <w:rPr>
          <w:rFonts w:eastAsia="Times New Roman" w:cstheme="minorHAnsi"/>
          <w:bCs/>
          <w:kern w:val="2"/>
          <w:sz w:val="24"/>
          <w:szCs w:val="24"/>
        </w:rPr>
        <w:t>.</w:t>
      </w:r>
      <w:r w:rsidRPr="006578AD">
        <w:rPr>
          <w:rFonts w:eastAsia="Times New Roman" w:cstheme="minorHAnsi"/>
          <w:bCs/>
          <w:kern w:val="2"/>
          <w:sz w:val="24"/>
          <w:szCs w:val="24"/>
          <w:vertAlign w:val="superscript"/>
        </w:rPr>
        <w:footnoteReference w:id="27"/>
      </w:r>
    </w:p>
    <w:p w14:paraId="56250AA3" w14:textId="77777777" w:rsidR="006578AD" w:rsidRPr="006578AD" w:rsidRDefault="006578AD" w:rsidP="00114E20">
      <w:pPr>
        <w:spacing w:after="0" w:line="240" w:lineRule="auto"/>
        <w:ind w:left="380" w:firstLine="180"/>
        <w:rPr>
          <w:rFonts w:cstheme="minorHAnsi"/>
          <w:sz w:val="24"/>
          <w:szCs w:val="24"/>
        </w:rPr>
      </w:pPr>
      <w:r w:rsidRPr="006578AD">
        <w:rPr>
          <w:rFonts w:cstheme="minorHAnsi"/>
          <w:b/>
          <w:bCs/>
          <w:sz w:val="24"/>
          <w:szCs w:val="24"/>
        </w:rPr>
        <w:t xml:space="preserve">Baseline: </w:t>
      </w:r>
      <w:r w:rsidRPr="006578AD">
        <w:rPr>
          <w:rFonts w:cstheme="minorHAnsi"/>
          <w:sz w:val="24"/>
          <w:szCs w:val="24"/>
        </w:rPr>
        <w:t>Average wait time is 14 days.</w:t>
      </w:r>
    </w:p>
    <w:p w14:paraId="6615ECB9" w14:textId="77777777" w:rsidR="006578AD" w:rsidRPr="006578AD" w:rsidRDefault="006578AD" w:rsidP="00114E20">
      <w:pPr>
        <w:spacing w:line="240" w:lineRule="auto"/>
        <w:ind w:left="380" w:firstLine="180"/>
        <w:rPr>
          <w:rFonts w:cstheme="minorHAnsi"/>
          <w:sz w:val="24"/>
          <w:szCs w:val="24"/>
        </w:rPr>
      </w:pPr>
      <w:r w:rsidRPr="006578AD">
        <w:rPr>
          <w:rFonts w:cstheme="minorHAnsi"/>
          <w:b/>
          <w:bCs/>
          <w:sz w:val="24"/>
          <w:szCs w:val="24"/>
        </w:rPr>
        <w:t>Projections:</w:t>
      </w:r>
      <w:r w:rsidRPr="006578AD">
        <w:rPr>
          <w:rFonts w:cstheme="minorHAnsi"/>
          <w:sz w:val="24"/>
          <w:szCs w:val="24"/>
        </w:rPr>
        <w:t xml:space="preserve"> Year 1: 7 days; Year 2: 6 days; and Year 3: 5 days</w:t>
      </w:r>
    </w:p>
    <w:p w14:paraId="7227696B" w14:textId="77777777" w:rsidR="006578AD" w:rsidRPr="006578AD" w:rsidRDefault="006578AD" w:rsidP="00114E20">
      <w:pPr>
        <w:numPr>
          <w:ilvl w:val="0"/>
          <w:numId w:val="7"/>
        </w:numPr>
        <w:spacing w:line="240" w:lineRule="auto"/>
        <w:ind w:left="380"/>
        <w:contextualSpacing/>
        <w:rPr>
          <w:rFonts w:cstheme="minorHAnsi"/>
          <w:sz w:val="24"/>
          <w:szCs w:val="24"/>
        </w:rPr>
      </w:pPr>
      <w:r w:rsidRPr="006578AD">
        <w:rPr>
          <w:rFonts w:cstheme="minorHAnsi"/>
          <w:sz w:val="24"/>
          <w:szCs w:val="24"/>
        </w:rPr>
        <w:t xml:space="preserve">Patient Experience Scores: Patients that are satisfied with care are more likely to seek additional treatment when necessary. Timely access to CT scans likely will improve patient experience. </w:t>
      </w:r>
    </w:p>
    <w:p w14:paraId="6D042382" w14:textId="77777777" w:rsidR="006578AD" w:rsidRPr="006578AD" w:rsidRDefault="006578AD" w:rsidP="00114E20">
      <w:pPr>
        <w:spacing w:after="0" w:line="240" w:lineRule="auto"/>
        <w:ind w:left="380" w:firstLine="180"/>
        <w:rPr>
          <w:rFonts w:cstheme="minorHAnsi"/>
          <w:sz w:val="24"/>
          <w:szCs w:val="24"/>
        </w:rPr>
      </w:pPr>
      <w:r w:rsidRPr="006578AD">
        <w:rPr>
          <w:rFonts w:cstheme="minorHAnsi"/>
          <w:b/>
          <w:bCs/>
          <w:sz w:val="24"/>
          <w:szCs w:val="24"/>
        </w:rPr>
        <w:t xml:space="preserve">Measure: </w:t>
      </w:r>
      <w:r w:rsidRPr="006578AD">
        <w:rPr>
          <w:rFonts w:cstheme="minorHAnsi"/>
          <w:sz w:val="24"/>
          <w:szCs w:val="24"/>
        </w:rPr>
        <w:t xml:space="preserve">Overall rating of experience. </w:t>
      </w:r>
    </w:p>
    <w:p w14:paraId="52D312F5" w14:textId="77777777" w:rsidR="006578AD" w:rsidRPr="006578AD" w:rsidRDefault="006578AD" w:rsidP="00114E20">
      <w:pPr>
        <w:spacing w:after="0" w:line="240" w:lineRule="auto"/>
        <w:ind w:left="380" w:firstLine="180"/>
        <w:rPr>
          <w:rFonts w:cstheme="minorHAnsi"/>
          <w:b/>
          <w:bCs/>
          <w:sz w:val="24"/>
          <w:szCs w:val="24"/>
        </w:rPr>
      </w:pPr>
      <w:r w:rsidRPr="006578AD">
        <w:rPr>
          <w:rFonts w:cstheme="minorHAnsi"/>
          <w:b/>
          <w:bCs/>
          <w:sz w:val="24"/>
          <w:szCs w:val="24"/>
        </w:rPr>
        <w:t xml:space="preserve">Baseline: </w:t>
      </w:r>
      <w:r w:rsidRPr="006578AD">
        <w:rPr>
          <w:rFonts w:cstheme="minorHAnsi"/>
          <w:sz w:val="24"/>
          <w:szCs w:val="24"/>
        </w:rPr>
        <w:t>83%</w:t>
      </w:r>
      <w:r w:rsidRPr="006578AD">
        <w:rPr>
          <w:rFonts w:cstheme="minorHAnsi"/>
          <w:sz w:val="24"/>
          <w:szCs w:val="24"/>
          <w:vertAlign w:val="superscript"/>
        </w:rPr>
        <w:footnoteReference w:id="28"/>
      </w:r>
    </w:p>
    <w:p w14:paraId="068B2E07" w14:textId="77777777" w:rsidR="006578AD" w:rsidRPr="006578AD" w:rsidRDefault="006578AD" w:rsidP="00114E20">
      <w:pPr>
        <w:spacing w:after="0" w:line="240" w:lineRule="auto"/>
        <w:ind w:left="380" w:firstLine="180"/>
        <w:rPr>
          <w:rFonts w:cstheme="minorHAnsi"/>
          <w:sz w:val="24"/>
          <w:szCs w:val="24"/>
        </w:rPr>
      </w:pPr>
      <w:r w:rsidRPr="006578AD">
        <w:rPr>
          <w:rFonts w:cstheme="minorHAnsi"/>
          <w:b/>
          <w:bCs/>
          <w:sz w:val="24"/>
          <w:szCs w:val="24"/>
        </w:rPr>
        <w:t xml:space="preserve">Projections: </w:t>
      </w:r>
      <w:r w:rsidRPr="006578AD">
        <w:rPr>
          <w:rFonts w:cstheme="minorHAnsi"/>
          <w:sz w:val="24"/>
          <w:szCs w:val="24"/>
        </w:rPr>
        <w:t>Year 1: 85%; Year 2: 87%; and Year 3: 89%</w:t>
      </w:r>
    </w:p>
    <w:p w14:paraId="12F040C8" w14:textId="2CC59730" w:rsidR="007369A3" w:rsidRDefault="007369A3">
      <w:r>
        <w:br w:type="page"/>
      </w:r>
    </w:p>
    <w:p w14:paraId="2D1F6267" w14:textId="1A94AB04" w:rsidR="00E15DD3" w:rsidRDefault="00AB4A6D" w:rsidP="00114E20">
      <w:pPr>
        <w:pStyle w:val="Heading1"/>
      </w:pPr>
      <w:bookmarkStart w:id="27" w:name="_Toc144121543"/>
      <w:r>
        <w:lastRenderedPageBreak/>
        <w:t>Appendix II</w:t>
      </w:r>
      <w:bookmarkEnd w:id="27"/>
    </w:p>
    <w:p w14:paraId="54716D31" w14:textId="77777777" w:rsidR="00AB4A6D" w:rsidRPr="00AB4A6D" w:rsidRDefault="00AB4A6D" w:rsidP="00114E20"/>
    <w:p w14:paraId="11A1D37E" w14:textId="77777777" w:rsidR="00AB4A6D" w:rsidRPr="00AB4A6D" w:rsidRDefault="00AB4A6D" w:rsidP="00114E20">
      <w:pPr>
        <w:numPr>
          <w:ilvl w:val="0"/>
          <w:numId w:val="11"/>
        </w:numPr>
        <w:spacing w:line="240" w:lineRule="auto"/>
        <w:rPr>
          <w:sz w:val="24"/>
          <w:szCs w:val="24"/>
        </w:rPr>
      </w:pPr>
      <w:bookmarkStart w:id="28" w:name="_Hlk138934476"/>
      <w:r w:rsidRPr="00AB4A6D">
        <w:rPr>
          <w:sz w:val="24"/>
          <w:szCs w:val="24"/>
        </w:rPr>
        <w:t>MGB recently invested $50 million in community and mental health;</w:t>
      </w:r>
    </w:p>
    <w:p w14:paraId="083B3D60" w14:textId="77777777" w:rsidR="00AB4A6D" w:rsidRPr="00AB4A6D" w:rsidRDefault="00AB4A6D" w:rsidP="00114E20">
      <w:pPr>
        <w:numPr>
          <w:ilvl w:val="0"/>
          <w:numId w:val="11"/>
        </w:numPr>
        <w:spacing w:line="240" w:lineRule="auto"/>
        <w:rPr>
          <w:sz w:val="24"/>
          <w:szCs w:val="24"/>
        </w:rPr>
      </w:pPr>
      <w:r w:rsidRPr="00AB4A6D">
        <w:rPr>
          <w:sz w:val="24"/>
          <w:szCs w:val="24"/>
        </w:rPr>
        <w:t xml:space="preserve">MGB launched United Against Racism, a statewide initiative for becoming an anti-racist organization that includes staff training to increase cultural competency including unconscious bias; requiring leaders to participate in diversity, equity, and inclusion training; committing to a series of specific timelines and metrics of success based on input from staff, leadership, and the Board. Highlights of those efforts </w:t>
      </w:r>
      <w:bookmarkEnd w:id="28"/>
      <w:proofErr w:type="gramStart"/>
      <w:r w:rsidRPr="00AB4A6D">
        <w:rPr>
          <w:sz w:val="24"/>
          <w:szCs w:val="24"/>
        </w:rPr>
        <w:t>include:</w:t>
      </w:r>
      <w:proofErr w:type="gramEnd"/>
      <w:r w:rsidRPr="00AB4A6D">
        <w:rPr>
          <w:sz w:val="24"/>
          <w:szCs w:val="24"/>
        </w:rPr>
        <w:t xml:space="preserve"> removing race in clinical protocols where too often a patient’s race has played a role in clinical decision tools and policies;  </w:t>
      </w:r>
    </w:p>
    <w:p w14:paraId="63AE52FB" w14:textId="20EC3C77" w:rsidR="00AB4A6D" w:rsidRPr="00AB4A6D" w:rsidRDefault="00AB4A6D" w:rsidP="00114E20">
      <w:pPr>
        <w:numPr>
          <w:ilvl w:val="0"/>
          <w:numId w:val="11"/>
        </w:numPr>
        <w:spacing w:line="240" w:lineRule="auto"/>
        <w:rPr>
          <w:sz w:val="24"/>
          <w:szCs w:val="24"/>
        </w:rPr>
      </w:pPr>
      <w:r w:rsidRPr="00AB4A6D">
        <w:rPr>
          <w:sz w:val="24"/>
          <w:szCs w:val="24"/>
        </w:rPr>
        <w:t>Increasing SD</w:t>
      </w:r>
      <w:r w:rsidR="00640036">
        <w:rPr>
          <w:sz w:val="24"/>
          <w:szCs w:val="24"/>
        </w:rPr>
        <w:t>O</w:t>
      </w:r>
      <w:r w:rsidRPr="00AB4A6D">
        <w:rPr>
          <w:sz w:val="24"/>
          <w:szCs w:val="24"/>
        </w:rPr>
        <w:t xml:space="preserve">H screening and resources to reduce health gaps such as food insecurity, housing needs, across 22 primary practices; </w:t>
      </w:r>
    </w:p>
    <w:p w14:paraId="31B24F7C" w14:textId="77777777" w:rsidR="00AB4A6D" w:rsidRPr="00AB4A6D" w:rsidRDefault="00AB4A6D" w:rsidP="00114E20">
      <w:pPr>
        <w:numPr>
          <w:ilvl w:val="0"/>
          <w:numId w:val="11"/>
        </w:numPr>
        <w:spacing w:line="240" w:lineRule="auto"/>
        <w:rPr>
          <w:sz w:val="24"/>
          <w:szCs w:val="24"/>
        </w:rPr>
      </w:pPr>
      <w:r w:rsidRPr="00AB4A6D">
        <w:rPr>
          <w:sz w:val="24"/>
          <w:szCs w:val="24"/>
        </w:rPr>
        <w:t xml:space="preserve">Improving access for all patients by hiring 11 bilingual digital access coordinators who collectively speak Spanish, Portuguese, Haitian, Creole, Arabic, Russian, Mandarin, Cantonese, and Cape Verdean Creole, and translating MGB’s Patient Gateway platform into languages most commonly spoken by its patients; </w:t>
      </w:r>
    </w:p>
    <w:p w14:paraId="20A01BE5" w14:textId="77777777" w:rsidR="00AB4A6D" w:rsidRPr="00AB4A6D" w:rsidRDefault="00AB4A6D" w:rsidP="00114E20">
      <w:pPr>
        <w:numPr>
          <w:ilvl w:val="0"/>
          <w:numId w:val="11"/>
        </w:numPr>
        <w:spacing w:line="240" w:lineRule="auto"/>
        <w:rPr>
          <w:sz w:val="24"/>
          <w:szCs w:val="24"/>
        </w:rPr>
      </w:pPr>
      <w:r w:rsidRPr="00AB4A6D">
        <w:rPr>
          <w:sz w:val="24"/>
          <w:szCs w:val="24"/>
        </w:rPr>
        <w:t xml:space="preserve">Building a culture of health equity improvement by funding 18 grants that aim to reduce racial disparities in patient experience and/or outcomes, such as reducing disparities in the use of physical restraint in emergency departments and improving access to mental health treatment for non-English speaking trauma survivors; </w:t>
      </w:r>
    </w:p>
    <w:p w14:paraId="395ADD7C" w14:textId="77777777" w:rsidR="00AB4A6D" w:rsidRPr="00AB4A6D" w:rsidRDefault="00AB4A6D" w:rsidP="00114E20">
      <w:pPr>
        <w:numPr>
          <w:ilvl w:val="0"/>
          <w:numId w:val="11"/>
        </w:numPr>
        <w:spacing w:line="240" w:lineRule="auto"/>
        <w:rPr>
          <w:sz w:val="24"/>
          <w:szCs w:val="24"/>
        </w:rPr>
      </w:pPr>
      <w:r w:rsidRPr="00AB4A6D">
        <w:rPr>
          <w:sz w:val="24"/>
          <w:szCs w:val="24"/>
        </w:rPr>
        <w:t>Expanding on mobile community care that began during the COVID-19 pandemic;</w:t>
      </w:r>
    </w:p>
    <w:p w14:paraId="6DEFA7D9" w14:textId="77777777" w:rsidR="00AB4A6D" w:rsidRPr="00AB4A6D" w:rsidRDefault="00AB4A6D" w:rsidP="00114E20">
      <w:pPr>
        <w:numPr>
          <w:ilvl w:val="0"/>
          <w:numId w:val="11"/>
        </w:numPr>
        <w:spacing w:line="240" w:lineRule="auto"/>
        <w:rPr>
          <w:sz w:val="24"/>
          <w:szCs w:val="24"/>
        </w:rPr>
      </w:pPr>
      <w:r w:rsidRPr="00AB4A6D">
        <w:rPr>
          <w:sz w:val="24"/>
          <w:szCs w:val="24"/>
        </w:rPr>
        <w:t>Enhancing health equity leadership and accountability by hiring a chief community health equity officer and senior medical director for health equity - both highly respected clinicians with a lifelong dedication to providing all patients with exceptional care;</w:t>
      </w:r>
    </w:p>
    <w:p w14:paraId="1E072CD1" w14:textId="77777777" w:rsidR="00AB4A6D" w:rsidRPr="00AB4A6D" w:rsidRDefault="00AB4A6D" w:rsidP="00114E20">
      <w:pPr>
        <w:numPr>
          <w:ilvl w:val="0"/>
          <w:numId w:val="11"/>
        </w:numPr>
        <w:spacing w:line="240" w:lineRule="auto"/>
        <w:rPr>
          <w:sz w:val="24"/>
          <w:szCs w:val="24"/>
        </w:rPr>
      </w:pPr>
      <w:r w:rsidRPr="00AB4A6D">
        <w:rPr>
          <w:sz w:val="24"/>
          <w:szCs w:val="24"/>
        </w:rPr>
        <w:t>Participating in the Health Equity Index program of the Human Rights Campaign Foundation, which promotes policies and practices in health care settings that lead to greater equity for LGBTQ patients. The Applicant scored 100% in its most recent survey.</w:t>
      </w:r>
    </w:p>
    <w:p w14:paraId="5C92842C" w14:textId="77777777" w:rsidR="00E15DD3" w:rsidRPr="00E15DD3" w:rsidRDefault="00E15DD3" w:rsidP="00114E20"/>
    <w:p w14:paraId="283DD98D" w14:textId="67CFC9D7" w:rsidR="00745383" w:rsidRDefault="00745383" w:rsidP="00745383">
      <w:pPr>
        <w:spacing w:after="0" w:line="240" w:lineRule="auto"/>
        <w:rPr>
          <w:b/>
          <w:bCs/>
          <w:sz w:val="24"/>
          <w:szCs w:val="24"/>
        </w:rPr>
      </w:pPr>
    </w:p>
    <w:p w14:paraId="297F3238" w14:textId="0AC0EE47" w:rsidR="00C41090" w:rsidRDefault="00C41090">
      <w:pPr>
        <w:rPr>
          <w:b/>
          <w:bCs/>
          <w:sz w:val="24"/>
          <w:szCs w:val="24"/>
        </w:rPr>
      </w:pPr>
      <w:r>
        <w:rPr>
          <w:b/>
          <w:bCs/>
          <w:sz w:val="24"/>
          <w:szCs w:val="24"/>
        </w:rPr>
        <w:br w:type="page"/>
      </w:r>
    </w:p>
    <w:p w14:paraId="2681BFC9" w14:textId="732BFFFE" w:rsidR="00745383" w:rsidRPr="00D12013" w:rsidRDefault="00C41090" w:rsidP="00745383">
      <w:pPr>
        <w:spacing w:after="0" w:line="240" w:lineRule="auto"/>
        <w:rPr>
          <w:b/>
          <w:bCs/>
          <w:sz w:val="24"/>
          <w:szCs w:val="24"/>
        </w:rPr>
      </w:pPr>
      <w:r>
        <w:rPr>
          <w:b/>
          <w:bCs/>
          <w:sz w:val="24"/>
          <w:szCs w:val="24"/>
        </w:rPr>
        <w:lastRenderedPageBreak/>
        <w:t>Endnotes</w:t>
      </w:r>
    </w:p>
    <w:sectPr w:rsidR="00745383" w:rsidRPr="00D12013" w:rsidSect="00897353">
      <w:endnotePr>
        <w:numFmt w:val="lowerLetter"/>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BC0DB4" w14:textId="77777777" w:rsidR="00C4656E" w:rsidRDefault="00C4656E" w:rsidP="0017637D">
      <w:pPr>
        <w:spacing w:after="0" w:line="240" w:lineRule="auto"/>
      </w:pPr>
      <w:r>
        <w:separator/>
      </w:r>
    </w:p>
  </w:endnote>
  <w:endnote w:type="continuationSeparator" w:id="0">
    <w:p w14:paraId="63277BBC" w14:textId="77777777" w:rsidR="00C4656E" w:rsidRDefault="00C4656E" w:rsidP="0017637D">
      <w:pPr>
        <w:spacing w:after="0" w:line="240" w:lineRule="auto"/>
      </w:pPr>
      <w:r>
        <w:continuationSeparator/>
      </w:r>
    </w:p>
  </w:endnote>
  <w:endnote w:id="1">
    <w:p w14:paraId="067EEA7E" w14:textId="01638111" w:rsidR="00C375A0" w:rsidRDefault="00C375A0" w:rsidP="00C375A0">
      <w:pPr>
        <w:pStyle w:val="EndnoteText"/>
      </w:pPr>
      <w:r>
        <w:rPr>
          <w:rStyle w:val="EndnoteReference"/>
        </w:rPr>
        <w:endnoteRef/>
      </w:r>
      <w:r>
        <w:t xml:space="preserve"> Center for Health Information and Analysis. </w:t>
      </w:r>
      <w:hyperlink r:id="rId1" w:history="1">
        <w:r w:rsidRPr="001D42A3">
          <w:rPr>
            <w:rStyle w:val="Hyperlink"/>
            <w:color w:val="auto"/>
            <w:u w:val="none"/>
          </w:rPr>
          <w:t>Massachusetts Hospital Profiles.</w:t>
        </w:r>
      </w:hyperlink>
      <w:r w:rsidRPr="001D42A3">
        <w:t xml:space="preserve"> </w:t>
      </w:r>
      <w:r>
        <w:t xml:space="preserve">Technical Appendix. </w:t>
      </w:r>
      <w:hyperlink r:id="rId2" w:history="1">
        <w:r w:rsidRPr="0082145C">
          <w:rPr>
            <w:rStyle w:val="Hyperlink"/>
          </w:rPr>
          <w:t>https://www.chiamass.gov/assets/docs/r/hospital-profiles/2019/FY19-Massachusetts-Hospital-Profiles-Technical-Appendix.pdf</w:t>
        </w:r>
      </w:hyperlink>
      <w:r>
        <w:t xml:space="preserve"> </w:t>
      </w:r>
    </w:p>
  </w:endnote>
  <w:endnote w:id="2">
    <w:p w14:paraId="4DF693A7" w14:textId="6B769CCA" w:rsidR="00C375A0" w:rsidRDefault="00C375A0" w:rsidP="00C375A0">
      <w:pPr>
        <w:pStyle w:val="EndnoteText"/>
      </w:pPr>
      <w:r>
        <w:rPr>
          <w:rStyle w:val="EndnoteReference"/>
        </w:rPr>
        <w:endnoteRef/>
      </w:r>
      <w:r>
        <w:t xml:space="preserve"> </w:t>
      </w:r>
      <w:hyperlink r:id="rId3" w:history="1">
        <w:r w:rsidRPr="001D42A3">
          <w:rPr>
            <w:rStyle w:val="Hyperlink"/>
            <w:color w:val="auto"/>
            <w:u w:val="none"/>
          </w:rPr>
          <w:t>Full List of MassHealth Accountable Care Organizations and Manage Care Organizations</w:t>
        </w:r>
      </w:hyperlink>
      <w:r w:rsidRPr="001D42A3">
        <w:t xml:space="preserve"> </w:t>
      </w:r>
      <w:hyperlink r:id="rId4" w:history="1">
        <w:r w:rsidRPr="00A753D2">
          <w:rPr>
            <w:rStyle w:val="Hyperlink"/>
          </w:rPr>
          <w:t>https://www.mass.gov/service-details/full-list-of-masshealth-acos-and-mcos</w:t>
        </w:r>
      </w:hyperlink>
      <w:r w:rsidRPr="00A753D2">
        <w:t xml:space="preserve">  </w:t>
      </w:r>
    </w:p>
  </w:endnote>
  <w:endnote w:id="3">
    <w:p w14:paraId="078B4A22" w14:textId="1DD4B23F" w:rsidR="00C375A0" w:rsidRPr="00494346" w:rsidRDefault="00C375A0" w:rsidP="00C375A0">
      <w:pPr>
        <w:pStyle w:val="EndnoteText"/>
        <w:rPr>
          <w:rFonts w:cstheme="minorHAnsi"/>
        </w:rPr>
      </w:pPr>
      <w:r>
        <w:rPr>
          <w:rStyle w:val="EndnoteReference"/>
        </w:rPr>
        <w:endnoteRef/>
      </w:r>
      <w:r>
        <w:t xml:space="preserve"> </w:t>
      </w:r>
      <w:r w:rsidRPr="00EF2392">
        <w:t xml:space="preserve">Massachusetts Health Policy Commission. Health Policy Commission ACO Certification Program Accountable Care Organizations In Massachusetts: </w:t>
      </w:r>
      <w:hyperlink r:id="rId5" w:history="1">
        <w:r w:rsidRPr="001D42A3">
          <w:rPr>
            <w:rStyle w:val="Hyperlink"/>
            <w:color w:val="auto"/>
            <w:u w:val="none"/>
          </w:rPr>
          <w:t>Profiles of The 2019 and 2020 HPC-Certified ACOs.</w:t>
        </w:r>
      </w:hyperlink>
      <w:r w:rsidRPr="001D42A3">
        <w:t xml:space="preserve"> </w:t>
      </w:r>
      <w:r w:rsidRPr="00EF2392">
        <w:t xml:space="preserve">Available: </w:t>
      </w:r>
      <w:hyperlink r:id="rId6">
        <w:r w:rsidRPr="00494346">
          <w:rPr>
            <w:rStyle w:val="Hyperlink"/>
            <w:rFonts w:cstheme="minorHAnsi"/>
          </w:rPr>
          <w:t>https://www.mass.gov/doc/accountable-care-organizations-in-massachusetts-profiles-of-the-2019-and-2020-hpc-certified-acos/download</w:t>
        </w:r>
      </w:hyperlink>
    </w:p>
  </w:endnote>
  <w:endnote w:id="4">
    <w:p w14:paraId="33701313" w14:textId="1FD36047" w:rsidR="002B697A" w:rsidRPr="00494346" w:rsidRDefault="002B697A" w:rsidP="002B697A">
      <w:pPr>
        <w:pStyle w:val="EndnoteText"/>
        <w:rPr>
          <w:rFonts w:cstheme="minorHAnsi"/>
        </w:rPr>
      </w:pPr>
      <w:r w:rsidRPr="00494346">
        <w:rPr>
          <w:rStyle w:val="EndnoteReference"/>
          <w:rFonts w:cstheme="minorHAnsi"/>
        </w:rPr>
        <w:endnoteRef/>
      </w:r>
      <w:r w:rsidR="00521F3C">
        <w:rPr>
          <w:rFonts w:cstheme="minorHAnsi"/>
        </w:rPr>
        <w:t xml:space="preserve"> </w:t>
      </w:r>
      <w:r w:rsidR="00521F3C" w:rsidRPr="0015626A">
        <w:rPr>
          <w:rFonts w:cstheme="minorHAnsi"/>
        </w:rPr>
        <w:t xml:space="preserve">Rebecca Smith-Bindman et al., </w:t>
      </w:r>
      <w:hyperlink r:id="rId7" w:history="1">
        <w:r w:rsidR="00521F3C" w:rsidRPr="0015626A">
          <w:rPr>
            <w:rStyle w:val="Hyperlink"/>
            <w:rFonts w:cstheme="minorHAnsi"/>
            <w:i/>
            <w:iCs/>
            <w:color w:val="auto"/>
            <w:u w:val="none"/>
          </w:rPr>
          <w:t>Rising Use Of Diagnostic Medical Imaging In A Large Integrated Health System</w:t>
        </w:r>
        <w:r w:rsidR="00521F3C" w:rsidRPr="0015626A">
          <w:rPr>
            <w:rStyle w:val="Hyperlink"/>
            <w:rFonts w:cstheme="minorHAnsi"/>
            <w:color w:val="auto"/>
            <w:u w:val="none"/>
          </w:rPr>
          <w:t>,</w:t>
        </w:r>
      </w:hyperlink>
      <w:r w:rsidR="00521F3C" w:rsidRPr="0015626A">
        <w:rPr>
          <w:rFonts w:cstheme="minorHAnsi"/>
        </w:rPr>
        <w:t xml:space="preserve"> 27 Health Affairs 1491 (2008), </w:t>
      </w:r>
      <w:hyperlink r:id="rId8" w:history="1">
        <w:r w:rsidR="000B14FE" w:rsidRPr="0015626A">
          <w:rPr>
            <w:rStyle w:val="Hyperlink"/>
            <w:rFonts w:cstheme="minorHAnsi"/>
            <w:color w:val="auto"/>
            <w:u w:val="none"/>
          </w:rPr>
          <w:t>https://www.ncbi.nlm.nih.gov/pmc/articles/PMC2765780/pdf/nihms-137739.pdf</w:t>
        </w:r>
      </w:hyperlink>
      <w:r w:rsidR="000B14FE" w:rsidRPr="0015626A">
        <w:rPr>
          <w:rFonts w:cstheme="minorHAnsi"/>
        </w:rPr>
        <w:t xml:space="preserve"> </w:t>
      </w:r>
      <w:r w:rsidR="00521F3C" w:rsidRPr="0015626A">
        <w:rPr>
          <w:rFonts w:cstheme="minorHAnsi"/>
        </w:rPr>
        <w:t xml:space="preserve">; Rebecca Smith-Bindman et al., </w:t>
      </w:r>
      <w:hyperlink r:id="rId9" w:history="1">
        <w:r w:rsidR="00521F3C" w:rsidRPr="0015626A">
          <w:rPr>
            <w:rStyle w:val="Hyperlink"/>
            <w:rFonts w:cstheme="minorHAnsi"/>
            <w:i/>
            <w:iCs/>
            <w:color w:val="auto"/>
            <w:u w:val="none"/>
          </w:rPr>
          <w:t>Use of Diagnostic Imaging Studies and Associated Radiation Exposure For Patients Enrolled in Large Integrated Healthcare Systems</w:t>
        </w:r>
      </w:hyperlink>
      <w:r w:rsidR="00521F3C" w:rsidRPr="0015626A">
        <w:rPr>
          <w:rFonts w:cstheme="minorHAnsi"/>
          <w:i/>
          <w:iCs/>
        </w:rPr>
        <w:t>, 1996-2010</w:t>
      </w:r>
      <w:r w:rsidR="00521F3C" w:rsidRPr="0015626A">
        <w:rPr>
          <w:rFonts w:cstheme="minorHAnsi"/>
        </w:rPr>
        <w:t xml:space="preserve">, JAMA Network (June 13, 2012), </w:t>
      </w:r>
      <w:hyperlink r:id="rId10" w:history="1">
        <w:r w:rsidR="000B14FE" w:rsidRPr="0015626A">
          <w:rPr>
            <w:rStyle w:val="Hyperlink"/>
            <w:rFonts w:cstheme="minorHAnsi"/>
            <w:color w:val="auto"/>
            <w:u w:val="none"/>
          </w:rPr>
          <w:t>https://jamanetwork.com/journals/jama/fullarticle/1182858</w:t>
        </w:r>
      </w:hyperlink>
      <w:r w:rsidR="000B14FE" w:rsidRPr="0015626A">
        <w:rPr>
          <w:rFonts w:cstheme="minorHAnsi"/>
        </w:rPr>
        <w:t xml:space="preserve"> </w:t>
      </w:r>
      <w:r w:rsidR="00521F3C" w:rsidRPr="0015626A">
        <w:rPr>
          <w:rFonts w:cstheme="minorHAnsi"/>
        </w:rPr>
        <w:t xml:space="preserve">; Robert J. McDonald et al., </w:t>
      </w:r>
      <w:r w:rsidR="00521F3C" w:rsidRPr="0015626A">
        <w:rPr>
          <w:rFonts w:cstheme="minorHAnsi"/>
          <w:i/>
          <w:iCs/>
        </w:rPr>
        <w:t>The Effects of Changes in Utilization and Technological Advancements of Cross-Sectional Imaging on Radiologist Workload</w:t>
      </w:r>
      <w:r w:rsidR="00521F3C" w:rsidRPr="0015626A">
        <w:rPr>
          <w:rFonts w:cstheme="minorHAnsi"/>
        </w:rPr>
        <w:t xml:space="preserve">, 22 Academic Radiology 1191 (2015); Michael Walter, </w:t>
      </w:r>
      <w:hyperlink r:id="rId11" w:history="1">
        <w:r w:rsidR="00521F3C" w:rsidRPr="0015626A">
          <w:rPr>
            <w:rStyle w:val="Hyperlink"/>
            <w:rFonts w:cstheme="minorHAnsi"/>
            <w:i/>
            <w:iCs/>
            <w:color w:val="auto"/>
            <w:u w:val="none"/>
          </w:rPr>
          <w:t>Feeling overworked?</w:t>
        </w:r>
        <w:r w:rsidR="00521F3C" w:rsidRPr="0015626A">
          <w:rPr>
            <w:rStyle w:val="Hyperlink"/>
            <w:rFonts w:cstheme="minorHAnsi"/>
            <w:color w:val="auto"/>
            <w:u w:val="none"/>
          </w:rPr>
          <w:t xml:space="preserve"> </w:t>
        </w:r>
        <w:r w:rsidR="00521F3C" w:rsidRPr="0015626A">
          <w:rPr>
            <w:rStyle w:val="Hyperlink"/>
            <w:rFonts w:cstheme="minorHAnsi"/>
            <w:i/>
            <w:iCs/>
            <w:color w:val="auto"/>
            <w:u w:val="none"/>
          </w:rPr>
          <w:t>Rise in CT, MRI images adds to radiologist workload</w:t>
        </w:r>
        <w:r w:rsidR="00521F3C" w:rsidRPr="0015626A">
          <w:rPr>
            <w:rStyle w:val="Hyperlink"/>
            <w:rFonts w:cstheme="minorHAnsi"/>
            <w:color w:val="auto"/>
            <w:u w:val="none"/>
          </w:rPr>
          <w:t>,</w:t>
        </w:r>
      </w:hyperlink>
      <w:r w:rsidR="00521F3C" w:rsidRPr="0015626A">
        <w:rPr>
          <w:rFonts w:cstheme="minorHAnsi"/>
        </w:rPr>
        <w:t xml:space="preserve"> Radiology Business (Jul. 31, 2015), </w:t>
      </w:r>
      <w:hyperlink r:id="rId12" w:history="1">
        <w:r w:rsidR="000B14FE" w:rsidRPr="0015626A">
          <w:rPr>
            <w:rStyle w:val="Hyperlink"/>
            <w:rFonts w:cstheme="minorHAnsi"/>
            <w:color w:val="auto"/>
            <w:u w:val="none"/>
          </w:rPr>
          <w:t>https://radiologybusiness.com/topics/medical-imaging/magnetic-resonance-imaging-mri/feeling-overworked-rise-ct-mri-images-adds</w:t>
        </w:r>
      </w:hyperlink>
      <w:r w:rsidR="000B14FE" w:rsidRPr="0015626A">
        <w:rPr>
          <w:rFonts w:cstheme="minorHAnsi"/>
        </w:rPr>
        <w:t xml:space="preserve"> </w:t>
      </w:r>
      <w:r w:rsidR="00521F3C" w:rsidRPr="0015626A">
        <w:rPr>
          <w:rFonts w:cstheme="minorHAnsi"/>
        </w:rPr>
        <w:t xml:space="preserve">; </w:t>
      </w:r>
      <w:hyperlink r:id="rId13" w:history="1">
        <w:r w:rsidR="00521F3C" w:rsidRPr="0015626A">
          <w:rPr>
            <w:rStyle w:val="Hyperlink"/>
            <w:rFonts w:cstheme="minorHAnsi"/>
            <w:i/>
            <w:iCs/>
            <w:color w:val="auto"/>
            <w:u w:val="none"/>
          </w:rPr>
          <w:t>Increases in Imaging Procedures, Chronic Diseases Spur Growth of Medical Imaging Informatics Market</w:t>
        </w:r>
      </w:hyperlink>
      <w:r w:rsidR="00521F3C" w:rsidRPr="0015626A">
        <w:rPr>
          <w:rFonts w:cstheme="minorHAnsi"/>
        </w:rPr>
        <w:t xml:space="preserve">, Imaging Technology News (Oct. 28, 2016), </w:t>
      </w:r>
      <w:hyperlink r:id="rId14" w:history="1">
        <w:r w:rsidR="00F3575B" w:rsidRPr="0015626A">
          <w:rPr>
            <w:rStyle w:val="Hyperlink"/>
            <w:rFonts w:cstheme="minorHAnsi"/>
            <w:color w:val="auto"/>
            <w:u w:val="none"/>
          </w:rPr>
          <w:t>https://www.itnonline.com/content/increases-imaging-procedures-chronic-diseases-spur-growth-medical-imaging-informatics</w:t>
        </w:r>
      </w:hyperlink>
      <w:r w:rsidR="00F3575B" w:rsidRPr="0015626A">
        <w:rPr>
          <w:rFonts w:cstheme="minorHAnsi"/>
        </w:rPr>
        <w:t xml:space="preserve"> </w:t>
      </w:r>
      <w:r w:rsidRPr="0015626A">
        <w:rPr>
          <w:rFonts w:cstheme="minorHAnsi"/>
        </w:rPr>
        <w:t>.</w:t>
      </w:r>
    </w:p>
  </w:endnote>
  <w:endnote w:id="5">
    <w:p w14:paraId="6D988608" w14:textId="68A851E9" w:rsidR="002B697A" w:rsidRPr="00494346" w:rsidRDefault="002B697A" w:rsidP="002B697A">
      <w:pPr>
        <w:pStyle w:val="EndnoteText"/>
        <w:rPr>
          <w:rFonts w:cstheme="minorHAnsi"/>
        </w:rPr>
      </w:pPr>
      <w:r w:rsidRPr="00494346">
        <w:rPr>
          <w:rStyle w:val="EndnoteReference"/>
          <w:rFonts w:cstheme="minorHAnsi"/>
        </w:rPr>
        <w:endnoteRef/>
      </w:r>
      <w:r w:rsidR="000901FC" w:rsidRPr="00494346">
        <w:rPr>
          <w:rFonts w:cstheme="minorHAnsi"/>
        </w:rPr>
        <w:t xml:space="preserve">Kathleen Lang et al., </w:t>
      </w:r>
      <w:hyperlink r:id="rId15" w:history="1">
        <w:r w:rsidR="000901FC" w:rsidRPr="0015626A">
          <w:rPr>
            <w:rStyle w:val="Hyperlink"/>
            <w:rFonts w:cstheme="minorHAnsi"/>
            <w:color w:val="auto"/>
            <w:u w:val="none"/>
          </w:rPr>
          <w:t>National trends in advanced outpatient diagnostic imaging utilization: an analysis of the medical expenditure panel survey</w:t>
        </w:r>
      </w:hyperlink>
      <w:r w:rsidR="000901FC" w:rsidRPr="0015626A">
        <w:rPr>
          <w:rFonts w:cstheme="minorHAnsi"/>
        </w:rPr>
        <w:t xml:space="preserve">, 2000-2009, BMC Med. Imaging, (2013) available at </w:t>
      </w:r>
      <w:hyperlink r:id="rId16" w:history="1">
        <w:r w:rsidR="0015626A" w:rsidRPr="0015626A">
          <w:rPr>
            <w:rStyle w:val="Hyperlink"/>
            <w:rFonts w:cstheme="minorHAnsi"/>
            <w:color w:val="auto"/>
            <w:u w:val="none"/>
          </w:rPr>
          <w:t>https://pubmed.ncbi.nlm.nih.gov/24279724/</w:t>
        </w:r>
      </w:hyperlink>
      <w:r w:rsidR="0015626A" w:rsidRPr="0015626A">
        <w:rPr>
          <w:rFonts w:cstheme="minorHAnsi"/>
        </w:rPr>
        <w:t xml:space="preserve"> </w:t>
      </w:r>
      <w:r w:rsidR="000901FC" w:rsidRPr="0015626A">
        <w:rPr>
          <w:rFonts w:cstheme="minorHAnsi"/>
        </w:rPr>
        <w:t>.</w:t>
      </w:r>
    </w:p>
  </w:endnote>
  <w:endnote w:id="6">
    <w:p w14:paraId="1D4377C9" w14:textId="77777777" w:rsidR="00D276EB" w:rsidRPr="00494346" w:rsidRDefault="00D276EB" w:rsidP="00D276EB">
      <w:pPr>
        <w:pStyle w:val="EndnoteText"/>
        <w:rPr>
          <w:rFonts w:cstheme="minorHAnsi"/>
        </w:rPr>
      </w:pPr>
      <w:r w:rsidRPr="00494346">
        <w:rPr>
          <w:rStyle w:val="EndnoteReference"/>
          <w:rFonts w:cstheme="minorHAnsi"/>
        </w:rPr>
        <w:endnoteRef/>
      </w:r>
      <w:r w:rsidRPr="00494346">
        <w:rPr>
          <w:rFonts w:cstheme="minorHAnsi"/>
        </w:rPr>
        <w:t xml:space="preserve"> Danad I, Raijmakers PG, Knaapen P. Diagnosing coronary artery disease with hybrid PET/CT: it takes two to tango.</w:t>
      </w:r>
      <w:r w:rsidRPr="00494346">
        <w:rPr>
          <w:rFonts w:cstheme="minorHAnsi"/>
          <w:b/>
          <w:bCs/>
        </w:rPr>
        <w:t>J Nucl Cardiol</w:t>
      </w:r>
      <w:r w:rsidRPr="00494346">
        <w:rPr>
          <w:rFonts w:cstheme="minorHAnsi"/>
        </w:rPr>
        <w:t>. 2013; 20:874–890. doi: 10.1007/s12350-013-9753-8</w:t>
      </w:r>
    </w:p>
  </w:endnote>
  <w:endnote w:id="7">
    <w:p w14:paraId="6A9B4B21" w14:textId="43090FF1" w:rsidR="006F12E9" w:rsidRPr="00494346" w:rsidRDefault="00521F3C" w:rsidP="006F12E9">
      <w:pPr>
        <w:pStyle w:val="EndnoteText"/>
        <w:rPr>
          <w:rFonts w:cstheme="minorHAnsi"/>
        </w:rPr>
      </w:pPr>
      <w:r>
        <w:rPr>
          <w:rFonts w:cstheme="minorHAnsi"/>
        </w:rPr>
        <w:t xml:space="preserve"> </w:t>
      </w:r>
      <w:r w:rsidR="006F12E9" w:rsidRPr="00494346">
        <w:rPr>
          <w:rStyle w:val="EndnoteReference"/>
          <w:rFonts w:cstheme="minorHAnsi"/>
        </w:rPr>
        <w:endnoteRef/>
      </w:r>
      <w:r w:rsidR="000901FC">
        <w:rPr>
          <w:rFonts w:cstheme="minorHAnsi"/>
        </w:rPr>
        <w:t xml:space="preserve"> </w:t>
      </w:r>
      <w:r w:rsidRPr="00494346">
        <w:rPr>
          <w:rFonts w:cstheme="minorHAnsi"/>
        </w:rPr>
        <w:t xml:space="preserve">Smith-Bindman et al., supra note </w:t>
      </w:r>
      <w:r w:rsidR="000901FC">
        <w:rPr>
          <w:rFonts w:cstheme="minorHAnsi"/>
        </w:rPr>
        <w:t>d</w:t>
      </w:r>
      <w:r w:rsidRPr="00494346">
        <w:rPr>
          <w:rFonts w:cstheme="minorHAnsi"/>
        </w:rPr>
        <w:t>;</w:t>
      </w:r>
      <w:r w:rsidR="000901FC" w:rsidRPr="000901FC">
        <w:rPr>
          <w:rFonts w:cstheme="minorHAnsi"/>
        </w:rPr>
        <w:t xml:space="preserve"> Lang et al., </w:t>
      </w:r>
      <w:r w:rsidR="000901FC" w:rsidRPr="000901FC">
        <w:rPr>
          <w:rFonts w:cstheme="minorHAnsi"/>
          <w:i/>
          <w:iCs/>
        </w:rPr>
        <w:t xml:space="preserve">supra </w:t>
      </w:r>
      <w:r w:rsidR="000901FC" w:rsidRPr="000901FC">
        <w:rPr>
          <w:rFonts w:cstheme="minorHAnsi"/>
        </w:rPr>
        <w:t xml:space="preserve">note </w:t>
      </w:r>
      <w:r w:rsidR="000901FC">
        <w:rPr>
          <w:rFonts w:cstheme="minorHAnsi"/>
        </w:rPr>
        <w:t>e</w:t>
      </w:r>
      <w:r w:rsidR="000901FC" w:rsidRPr="000901FC">
        <w:rPr>
          <w:rFonts w:cstheme="minorHAnsi"/>
        </w:rPr>
        <w:t>.</w:t>
      </w:r>
    </w:p>
  </w:endnote>
  <w:endnote w:id="8">
    <w:p w14:paraId="629E2A38" w14:textId="3FCDD329" w:rsidR="006F12E9" w:rsidRPr="00494346" w:rsidRDefault="006F12E9" w:rsidP="006F12E9">
      <w:pPr>
        <w:pStyle w:val="EndnoteText"/>
        <w:rPr>
          <w:rFonts w:cstheme="minorHAnsi"/>
        </w:rPr>
      </w:pPr>
      <w:r w:rsidRPr="00494346">
        <w:rPr>
          <w:rStyle w:val="EndnoteReference"/>
          <w:rFonts w:cstheme="minorHAnsi"/>
        </w:rPr>
        <w:endnoteRef/>
      </w:r>
      <w:r w:rsidRPr="00494346">
        <w:rPr>
          <w:rFonts w:cstheme="minorHAnsi"/>
        </w:rPr>
        <w:t xml:space="preserve"> Health Affairs, supra note</w:t>
      </w:r>
      <w:r w:rsidR="000901FC">
        <w:rPr>
          <w:rFonts w:cstheme="minorHAnsi"/>
        </w:rPr>
        <w:t xml:space="preserve"> d</w:t>
      </w:r>
      <w:r w:rsidRPr="00494346">
        <w:rPr>
          <w:rFonts w:cstheme="minorHAnsi"/>
        </w:rPr>
        <w:t xml:space="preserve">; Jama Network, supra note </w:t>
      </w:r>
      <w:r w:rsidR="000901FC">
        <w:rPr>
          <w:rFonts w:cstheme="minorHAnsi"/>
        </w:rPr>
        <w:t>d</w:t>
      </w:r>
      <w:r w:rsidRPr="00494346">
        <w:rPr>
          <w:rFonts w:cstheme="minorHAnsi"/>
        </w:rPr>
        <w:t xml:space="preserve">; McDonald et al., supra note </w:t>
      </w:r>
      <w:r w:rsidR="000901FC">
        <w:rPr>
          <w:rFonts w:cstheme="minorHAnsi"/>
        </w:rPr>
        <w:t>d</w:t>
      </w:r>
      <w:r w:rsidRPr="00494346">
        <w:rPr>
          <w:rFonts w:cstheme="minorHAnsi"/>
        </w:rPr>
        <w:t xml:space="preserve">; Walter et al., supra note </w:t>
      </w:r>
      <w:r w:rsidR="000901FC">
        <w:rPr>
          <w:rFonts w:cstheme="minorHAnsi"/>
        </w:rPr>
        <w:t xml:space="preserve">d; </w:t>
      </w:r>
      <w:r w:rsidRPr="00494346">
        <w:rPr>
          <w:rFonts w:cstheme="minorHAnsi"/>
        </w:rPr>
        <w:t xml:space="preserve">Imaging Technology News, </w:t>
      </w:r>
      <w:r w:rsidRPr="00494346">
        <w:rPr>
          <w:rFonts w:cstheme="minorHAnsi"/>
          <w:i/>
          <w:iCs/>
        </w:rPr>
        <w:t xml:space="preserve">supra </w:t>
      </w:r>
      <w:r w:rsidRPr="00494346">
        <w:rPr>
          <w:rFonts w:cstheme="minorHAnsi"/>
        </w:rPr>
        <w:t xml:space="preserve">note </w:t>
      </w:r>
      <w:r w:rsidR="000901FC">
        <w:rPr>
          <w:rFonts w:cstheme="minorHAnsi"/>
        </w:rPr>
        <w:t>d</w:t>
      </w:r>
      <w:r w:rsidRPr="00494346">
        <w:rPr>
          <w:rFonts w:cstheme="minorHAnsi"/>
        </w:rPr>
        <w:t>.</w:t>
      </w:r>
    </w:p>
  </w:endnote>
  <w:endnote w:id="9">
    <w:p w14:paraId="68C6A27F" w14:textId="3EDF9B0E" w:rsidR="006F12E9" w:rsidRPr="00494346" w:rsidRDefault="006F12E9" w:rsidP="006F12E9">
      <w:pPr>
        <w:pStyle w:val="EndnoteText"/>
        <w:rPr>
          <w:rFonts w:cstheme="minorHAnsi"/>
        </w:rPr>
      </w:pPr>
      <w:r w:rsidRPr="00494346">
        <w:rPr>
          <w:rStyle w:val="EndnoteReference"/>
          <w:rFonts w:cstheme="minorHAnsi"/>
        </w:rPr>
        <w:endnoteRef/>
      </w:r>
      <w:r w:rsidRPr="00494346">
        <w:rPr>
          <w:rFonts w:cstheme="minorHAnsi"/>
        </w:rPr>
        <w:t xml:space="preserve"> Health Affairs, supra note </w:t>
      </w:r>
      <w:r w:rsidR="000901FC">
        <w:rPr>
          <w:rFonts w:cstheme="minorHAnsi"/>
        </w:rPr>
        <w:t>d</w:t>
      </w:r>
      <w:r w:rsidRPr="00494346">
        <w:rPr>
          <w:rFonts w:cstheme="minorHAnsi"/>
        </w:rPr>
        <w:t xml:space="preserve">; Jama Network, supra note </w:t>
      </w:r>
      <w:r w:rsidR="000901FC">
        <w:rPr>
          <w:rFonts w:cstheme="minorHAnsi"/>
        </w:rPr>
        <w:t>d</w:t>
      </w:r>
      <w:r w:rsidRPr="00494346">
        <w:rPr>
          <w:rFonts w:cstheme="minorHAnsi"/>
        </w:rPr>
        <w:t xml:space="preserve">; McDonald et al., supra note </w:t>
      </w:r>
      <w:r w:rsidR="000901FC">
        <w:rPr>
          <w:rFonts w:cstheme="minorHAnsi"/>
        </w:rPr>
        <w:t>d</w:t>
      </w:r>
      <w:r w:rsidRPr="00494346">
        <w:rPr>
          <w:rFonts w:cstheme="minorHAnsi"/>
        </w:rPr>
        <w:t xml:space="preserve">; Walter et al., supra note </w:t>
      </w:r>
      <w:r w:rsidR="000901FC">
        <w:rPr>
          <w:rFonts w:cstheme="minorHAnsi"/>
        </w:rPr>
        <w:t>d</w:t>
      </w:r>
      <w:r w:rsidRPr="00494346">
        <w:rPr>
          <w:rFonts w:cstheme="minorHAnsi"/>
        </w:rPr>
        <w:t xml:space="preserve">; Imaging Technology News, </w:t>
      </w:r>
      <w:r w:rsidRPr="00494346">
        <w:rPr>
          <w:rFonts w:cstheme="minorHAnsi"/>
          <w:i/>
          <w:iCs/>
        </w:rPr>
        <w:t xml:space="preserve">supra </w:t>
      </w:r>
      <w:r w:rsidRPr="00494346">
        <w:rPr>
          <w:rFonts w:cstheme="minorHAnsi"/>
        </w:rPr>
        <w:t>note</w:t>
      </w:r>
      <w:r w:rsidR="005B56A9">
        <w:rPr>
          <w:rFonts w:cstheme="minorHAnsi"/>
        </w:rPr>
        <w:t xml:space="preserve"> </w:t>
      </w:r>
      <w:r w:rsidR="000901FC">
        <w:rPr>
          <w:rFonts w:cstheme="minorHAnsi"/>
        </w:rPr>
        <w:t>d</w:t>
      </w:r>
      <w:r w:rsidRPr="00494346">
        <w:rPr>
          <w:rFonts w:cstheme="minorHAnsi"/>
        </w:rPr>
        <w:t>.</w:t>
      </w:r>
    </w:p>
  </w:endnote>
  <w:endnote w:id="10">
    <w:p w14:paraId="2754E184" w14:textId="148B62AE" w:rsidR="006F12E9" w:rsidRPr="008B2FCB" w:rsidRDefault="006F12E9" w:rsidP="006F12E9">
      <w:pPr>
        <w:pStyle w:val="EndnoteText"/>
        <w:rPr>
          <w:rFonts w:cstheme="minorHAnsi"/>
        </w:rPr>
      </w:pPr>
      <w:r w:rsidRPr="00494346">
        <w:rPr>
          <w:rStyle w:val="EndnoteReference"/>
          <w:rFonts w:cstheme="minorHAnsi"/>
        </w:rPr>
        <w:endnoteRef/>
      </w:r>
      <w:r w:rsidRPr="00494346">
        <w:rPr>
          <w:rFonts w:cstheme="minorHAnsi"/>
        </w:rPr>
        <w:t xml:space="preserve"> </w:t>
      </w:r>
      <w:r w:rsidRPr="00494346">
        <w:rPr>
          <w:rFonts w:cstheme="minorHAnsi"/>
          <w:i/>
          <w:iCs/>
        </w:rPr>
        <w:t>See</w:t>
      </w:r>
      <w:r w:rsidRPr="00494346">
        <w:rPr>
          <w:rFonts w:cstheme="minorHAnsi"/>
        </w:rPr>
        <w:t xml:space="preserve"> </w:t>
      </w:r>
      <w:hyperlink r:id="rId17" w:history="1">
        <w:r w:rsidRPr="008B2FCB">
          <w:rPr>
            <w:rStyle w:val="Hyperlink"/>
            <w:rFonts w:cstheme="minorHAnsi"/>
            <w:i/>
            <w:iCs/>
            <w:color w:val="auto"/>
            <w:u w:val="none"/>
          </w:rPr>
          <w:t>Computed Tomography (CT)</w:t>
        </w:r>
        <w:r w:rsidRPr="008B2FCB">
          <w:rPr>
            <w:rStyle w:val="Hyperlink"/>
            <w:rFonts w:cstheme="minorHAnsi"/>
            <w:color w:val="auto"/>
            <w:u w:val="none"/>
          </w:rPr>
          <w:t>,</w:t>
        </w:r>
      </w:hyperlink>
      <w:r w:rsidRPr="008B2FCB">
        <w:rPr>
          <w:rFonts w:cstheme="minorHAnsi"/>
        </w:rPr>
        <w:t xml:space="preserve"> Nat’l Inst. of Biomedical Imaging and Bioengineering, </w:t>
      </w:r>
      <w:hyperlink r:id="rId18" w:history="1">
        <w:r w:rsidR="00B22DF9" w:rsidRPr="008B2FCB">
          <w:rPr>
            <w:rStyle w:val="Hyperlink"/>
            <w:rFonts w:cstheme="minorHAnsi"/>
            <w:color w:val="auto"/>
            <w:u w:val="none"/>
          </w:rPr>
          <w:t>https://www.nibib.nih.gov/science-education/science-topics/computed-tomography-ct</w:t>
        </w:r>
      </w:hyperlink>
      <w:r w:rsidR="00B22DF9" w:rsidRPr="008B2FCB">
        <w:rPr>
          <w:rFonts w:cstheme="minorHAnsi"/>
        </w:rPr>
        <w:t xml:space="preserve"> </w:t>
      </w:r>
      <w:r w:rsidRPr="008B2FCB">
        <w:rPr>
          <w:rFonts w:cstheme="minorHAnsi"/>
        </w:rPr>
        <w:t xml:space="preserve"> (last visited Feb. 24, 2022); </w:t>
      </w:r>
      <w:hyperlink r:id="rId19" w:history="1">
        <w:r w:rsidRPr="008B2FCB">
          <w:rPr>
            <w:rStyle w:val="Hyperlink"/>
            <w:rFonts w:cstheme="minorHAnsi"/>
            <w:i/>
            <w:iCs/>
            <w:color w:val="auto"/>
            <w:u w:val="none"/>
          </w:rPr>
          <w:t>CT Scan</w:t>
        </w:r>
      </w:hyperlink>
      <w:r w:rsidRPr="008B2FCB">
        <w:rPr>
          <w:rFonts w:cstheme="minorHAnsi"/>
        </w:rPr>
        <w:t xml:space="preserve">, Mayo Clinic, </w:t>
      </w:r>
      <w:hyperlink r:id="rId20" w:history="1">
        <w:r w:rsidR="00B22DF9" w:rsidRPr="008B2FCB">
          <w:rPr>
            <w:rStyle w:val="Hyperlink"/>
            <w:rFonts w:cstheme="minorHAnsi"/>
            <w:color w:val="auto"/>
            <w:u w:val="none"/>
          </w:rPr>
          <w:t>https://www.mayoclinic.org/tests-procedures/ct-scan/about/pac-20393675</w:t>
        </w:r>
      </w:hyperlink>
      <w:r w:rsidR="00B22DF9" w:rsidRPr="008B2FCB">
        <w:rPr>
          <w:rFonts w:cstheme="minorHAnsi"/>
        </w:rPr>
        <w:t xml:space="preserve"> </w:t>
      </w:r>
      <w:r w:rsidRPr="008B2FCB">
        <w:rPr>
          <w:rFonts w:cstheme="minorHAnsi"/>
        </w:rPr>
        <w:t xml:space="preserve"> (last visited Feb. 24, 2022).</w:t>
      </w:r>
    </w:p>
  </w:endnote>
  <w:endnote w:id="11">
    <w:p w14:paraId="7E5C56B2" w14:textId="6D2DA10A" w:rsidR="006F12E9" w:rsidRPr="008B2FCB" w:rsidRDefault="006F12E9" w:rsidP="006F12E9">
      <w:pPr>
        <w:pStyle w:val="EndnoteText"/>
        <w:rPr>
          <w:rFonts w:cstheme="minorHAnsi"/>
        </w:rPr>
      </w:pPr>
      <w:r w:rsidRPr="008B2FCB">
        <w:rPr>
          <w:rStyle w:val="EndnoteReference"/>
          <w:rFonts w:cstheme="minorHAnsi"/>
        </w:rPr>
        <w:endnoteRef/>
      </w:r>
      <w:r w:rsidRPr="008B2FCB">
        <w:rPr>
          <w:rFonts w:cstheme="minorHAnsi"/>
          <w:i/>
          <w:iCs/>
        </w:rPr>
        <w:t xml:space="preserve">See </w:t>
      </w:r>
      <w:r w:rsidRPr="008B2FCB">
        <w:rPr>
          <w:rFonts w:cstheme="minorHAnsi"/>
        </w:rPr>
        <w:t>Yvette Brazier</w:t>
      </w:r>
      <w:r w:rsidRPr="008B2FCB">
        <w:rPr>
          <w:rFonts w:cstheme="minorHAnsi"/>
          <w:i/>
          <w:iCs/>
        </w:rPr>
        <w:t xml:space="preserve">, </w:t>
      </w:r>
      <w:hyperlink r:id="rId21" w:anchor="procedure" w:history="1">
        <w:r w:rsidRPr="008B2FCB">
          <w:rPr>
            <w:rStyle w:val="Hyperlink"/>
            <w:rFonts w:cstheme="minorHAnsi"/>
            <w:i/>
            <w:iCs/>
            <w:color w:val="auto"/>
            <w:u w:val="none"/>
          </w:rPr>
          <w:t>How Does a CT or CAT scan work?</w:t>
        </w:r>
        <w:r w:rsidRPr="008B2FCB">
          <w:rPr>
            <w:rStyle w:val="Hyperlink"/>
            <w:rFonts w:cstheme="minorHAnsi"/>
            <w:color w:val="auto"/>
            <w:u w:val="none"/>
          </w:rPr>
          <w:t>,</w:t>
        </w:r>
      </w:hyperlink>
      <w:r w:rsidRPr="008B2FCB">
        <w:rPr>
          <w:rFonts w:cstheme="minorHAnsi"/>
          <w:i/>
          <w:iCs/>
        </w:rPr>
        <w:t xml:space="preserve"> </w:t>
      </w:r>
      <w:proofErr w:type="spellStart"/>
      <w:r w:rsidRPr="008B2FCB">
        <w:rPr>
          <w:rFonts w:cstheme="minorHAnsi"/>
        </w:rPr>
        <w:t>MedicalNewsToday</w:t>
      </w:r>
      <w:proofErr w:type="spellEnd"/>
      <w:r w:rsidRPr="008B2FCB">
        <w:rPr>
          <w:rFonts w:cstheme="minorHAnsi"/>
        </w:rPr>
        <w:t xml:space="preserve">, </w:t>
      </w:r>
      <w:hyperlink r:id="rId22" w:history="1">
        <w:r w:rsidR="00B22DF9" w:rsidRPr="008B2FCB">
          <w:rPr>
            <w:rStyle w:val="Hyperlink"/>
            <w:rFonts w:cstheme="minorHAnsi"/>
            <w:color w:val="auto"/>
            <w:u w:val="none"/>
          </w:rPr>
          <w:t>https://www.medicalnewstoday.com/articles/153201#procedure</w:t>
        </w:r>
      </w:hyperlink>
      <w:r w:rsidR="00B22DF9" w:rsidRPr="008B2FCB">
        <w:rPr>
          <w:rFonts w:cstheme="minorHAnsi"/>
        </w:rPr>
        <w:t xml:space="preserve"> </w:t>
      </w:r>
      <w:r w:rsidRPr="008B2FCB">
        <w:rPr>
          <w:rFonts w:cstheme="minorHAnsi"/>
        </w:rPr>
        <w:t xml:space="preserve"> (last modified June 23, 2017).</w:t>
      </w:r>
    </w:p>
  </w:endnote>
  <w:endnote w:id="12">
    <w:p w14:paraId="3776F163" w14:textId="4B4D6576" w:rsidR="006F12E9" w:rsidRPr="008B2FCB" w:rsidRDefault="006F12E9" w:rsidP="006F12E9">
      <w:pPr>
        <w:autoSpaceDE w:val="0"/>
        <w:autoSpaceDN w:val="0"/>
        <w:adjustRightInd w:val="0"/>
        <w:spacing w:after="0" w:line="240" w:lineRule="auto"/>
        <w:rPr>
          <w:rFonts w:cstheme="minorHAnsi"/>
          <w:sz w:val="20"/>
          <w:szCs w:val="20"/>
        </w:rPr>
      </w:pPr>
      <w:r w:rsidRPr="008B2FCB">
        <w:rPr>
          <w:rStyle w:val="EndnoteReference"/>
          <w:rFonts w:cstheme="minorHAnsi"/>
          <w:sz w:val="20"/>
          <w:szCs w:val="20"/>
        </w:rPr>
        <w:endnoteRef/>
      </w:r>
      <w:r w:rsidRPr="008B2FCB">
        <w:rPr>
          <w:rFonts w:cstheme="minorHAnsi"/>
          <w:sz w:val="20"/>
          <w:szCs w:val="20"/>
        </w:rPr>
        <w:t xml:space="preserve"> Carlo Liguori et al., </w:t>
      </w:r>
      <w:hyperlink r:id="rId23" w:history="1">
        <w:r w:rsidRPr="008B2FCB">
          <w:rPr>
            <w:rStyle w:val="Hyperlink"/>
            <w:rFonts w:cstheme="minorHAnsi"/>
            <w:i/>
            <w:iCs/>
            <w:color w:val="auto"/>
            <w:sz w:val="20"/>
            <w:szCs w:val="20"/>
            <w:u w:val="none"/>
          </w:rPr>
          <w:t>Emerging clinical applications of computed tomography</w:t>
        </w:r>
      </w:hyperlink>
      <w:r w:rsidRPr="008B2FCB">
        <w:rPr>
          <w:rFonts w:cstheme="minorHAnsi"/>
          <w:i/>
          <w:iCs/>
          <w:sz w:val="20"/>
          <w:szCs w:val="20"/>
        </w:rPr>
        <w:t xml:space="preserve">, </w:t>
      </w:r>
      <w:r w:rsidRPr="008B2FCB">
        <w:rPr>
          <w:rFonts w:cstheme="minorHAnsi"/>
          <w:sz w:val="20"/>
          <w:szCs w:val="20"/>
        </w:rPr>
        <w:t>8 Med. Devices 265 (2015),</w:t>
      </w:r>
    </w:p>
    <w:p w14:paraId="69172D37" w14:textId="0E6DDB7E" w:rsidR="006F12E9" w:rsidRPr="008B2FCB" w:rsidRDefault="006F12E9" w:rsidP="006F12E9">
      <w:pPr>
        <w:autoSpaceDE w:val="0"/>
        <w:autoSpaceDN w:val="0"/>
        <w:adjustRightInd w:val="0"/>
        <w:spacing w:after="0" w:line="240" w:lineRule="auto"/>
        <w:rPr>
          <w:rFonts w:cstheme="minorHAnsi"/>
          <w:sz w:val="20"/>
          <w:szCs w:val="20"/>
        </w:rPr>
      </w:pPr>
      <w:r w:rsidRPr="008B2FCB">
        <w:rPr>
          <w:rFonts w:cstheme="minorHAnsi"/>
          <w:i/>
          <w:iCs/>
          <w:sz w:val="20"/>
          <w:szCs w:val="20"/>
        </w:rPr>
        <w:t xml:space="preserve">available at </w:t>
      </w:r>
      <w:hyperlink r:id="rId24" w:history="1">
        <w:r w:rsidR="008B2FCB" w:rsidRPr="008B2FCB">
          <w:rPr>
            <w:rStyle w:val="Hyperlink"/>
            <w:rFonts w:cstheme="minorHAnsi"/>
            <w:color w:val="auto"/>
            <w:sz w:val="20"/>
            <w:szCs w:val="20"/>
            <w:u w:val="none"/>
          </w:rPr>
          <w:t>https://www.ncbi.nlm.nih.gov/pmclarticles/PMC4467659/</w:t>
        </w:r>
      </w:hyperlink>
      <w:r w:rsidR="008B2FCB" w:rsidRPr="008B2FCB">
        <w:rPr>
          <w:rFonts w:cstheme="minorHAnsi"/>
          <w:sz w:val="20"/>
          <w:szCs w:val="20"/>
        </w:rPr>
        <w:t xml:space="preserve"> </w:t>
      </w:r>
      <w:r w:rsidRPr="008B2FCB">
        <w:rPr>
          <w:rFonts w:cstheme="minorHAnsi"/>
          <w:sz w:val="20"/>
          <w:szCs w:val="20"/>
        </w:rPr>
        <w:t xml:space="preserve">; </w:t>
      </w:r>
      <w:hyperlink r:id="rId25" w:history="1">
        <w:r w:rsidRPr="008B2FCB">
          <w:rPr>
            <w:rStyle w:val="Hyperlink"/>
            <w:rFonts w:cstheme="minorHAnsi"/>
            <w:i/>
            <w:iCs/>
            <w:color w:val="auto"/>
            <w:sz w:val="20"/>
            <w:szCs w:val="20"/>
            <w:u w:val="none"/>
          </w:rPr>
          <w:t>Computed Tomography</w:t>
        </w:r>
      </w:hyperlink>
      <w:r w:rsidRPr="008B2FCB">
        <w:rPr>
          <w:rFonts w:cstheme="minorHAnsi"/>
          <w:sz w:val="20"/>
          <w:szCs w:val="20"/>
        </w:rPr>
        <w:t xml:space="preserve">, RadiologyInfo.org, </w:t>
      </w:r>
      <w:hyperlink r:id="rId26" w:history="1">
        <w:r w:rsidR="008B2FCB" w:rsidRPr="008B2FCB">
          <w:rPr>
            <w:rStyle w:val="Hyperlink"/>
            <w:rFonts w:cstheme="minorHAnsi"/>
            <w:color w:val="auto"/>
            <w:sz w:val="20"/>
            <w:szCs w:val="20"/>
            <w:u w:val="none"/>
          </w:rPr>
          <w:t>https://www.radiologyinfo.org/en/submenu.cfm?pg=ctscan</w:t>
        </w:r>
      </w:hyperlink>
      <w:r w:rsidR="008B2FCB" w:rsidRPr="008B2FCB">
        <w:rPr>
          <w:rFonts w:cstheme="minorHAnsi"/>
          <w:sz w:val="20"/>
          <w:szCs w:val="20"/>
        </w:rPr>
        <w:t xml:space="preserve"> </w:t>
      </w:r>
      <w:r w:rsidRPr="008B2FCB">
        <w:rPr>
          <w:rFonts w:cstheme="minorHAnsi"/>
          <w:sz w:val="20"/>
          <w:szCs w:val="20"/>
        </w:rPr>
        <w:t xml:space="preserve"> (last visited Jun. 29, 2018); </w:t>
      </w:r>
      <w:hyperlink r:id="rId27" w:history="1">
        <w:r w:rsidRPr="008B2FCB">
          <w:rPr>
            <w:rStyle w:val="Hyperlink"/>
            <w:rFonts w:cstheme="minorHAnsi"/>
            <w:i/>
            <w:iCs/>
            <w:color w:val="auto"/>
            <w:sz w:val="20"/>
            <w:szCs w:val="20"/>
            <w:u w:val="none"/>
          </w:rPr>
          <w:t>Computed Tomography (CT),</w:t>
        </w:r>
      </w:hyperlink>
      <w:r w:rsidRPr="008B2FCB">
        <w:rPr>
          <w:rFonts w:cstheme="minorHAnsi"/>
          <w:i/>
          <w:iCs/>
          <w:sz w:val="20"/>
          <w:szCs w:val="20"/>
        </w:rPr>
        <w:t xml:space="preserve"> </w:t>
      </w:r>
      <w:r w:rsidRPr="008B2FCB">
        <w:rPr>
          <w:rFonts w:cstheme="minorHAnsi"/>
          <w:sz w:val="20"/>
          <w:szCs w:val="20"/>
        </w:rPr>
        <w:t xml:space="preserve">U.S. Food &amp; Drug Administration, </w:t>
      </w:r>
      <w:hyperlink r:id="rId28" w:history="1">
        <w:r w:rsidR="008B2FCB" w:rsidRPr="008B2FCB">
          <w:rPr>
            <w:rStyle w:val="Hyperlink"/>
            <w:rFonts w:cstheme="minorHAnsi"/>
            <w:color w:val="auto"/>
            <w:sz w:val="20"/>
            <w:szCs w:val="20"/>
            <w:u w:val="none"/>
          </w:rPr>
          <w:t>https://www.fda.gov/radiation-emitting-products/medical-x-ray-imaging/computed-tomography-ct</w:t>
        </w:r>
      </w:hyperlink>
      <w:r w:rsidR="008B2FCB" w:rsidRPr="008B2FCB">
        <w:rPr>
          <w:rFonts w:cstheme="minorHAnsi"/>
          <w:sz w:val="20"/>
          <w:szCs w:val="20"/>
        </w:rPr>
        <w:t xml:space="preserve"> </w:t>
      </w:r>
      <w:r w:rsidRPr="008B2FCB" w:rsidDel="00D31E8B">
        <w:rPr>
          <w:rFonts w:cstheme="minorHAnsi"/>
          <w:sz w:val="20"/>
          <w:szCs w:val="20"/>
        </w:rPr>
        <w:t xml:space="preserve"> </w:t>
      </w:r>
      <w:r w:rsidRPr="008B2FCB">
        <w:rPr>
          <w:rFonts w:cstheme="minorHAnsi"/>
          <w:sz w:val="20"/>
          <w:szCs w:val="20"/>
        </w:rPr>
        <w:t>(last updated Mar. 7, 2018).</w:t>
      </w:r>
    </w:p>
  </w:endnote>
  <w:endnote w:id="13">
    <w:p w14:paraId="392E9769" w14:textId="6ACABB6A" w:rsidR="006F12E9" w:rsidRPr="00494346" w:rsidRDefault="006F12E9" w:rsidP="006F12E9">
      <w:pPr>
        <w:pStyle w:val="EndnoteText"/>
        <w:rPr>
          <w:rFonts w:cstheme="minorHAnsi"/>
        </w:rPr>
      </w:pPr>
      <w:r w:rsidRPr="008B2FCB">
        <w:rPr>
          <w:rStyle w:val="EndnoteReference"/>
          <w:rFonts w:cstheme="minorHAnsi"/>
        </w:rPr>
        <w:endnoteRef/>
      </w:r>
      <w:r w:rsidRPr="008B2FCB">
        <w:rPr>
          <w:rFonts w:cstheme="minorHAnsi"/>
        </w:rPr>
        <w:t xml:space="preserve"> Jeffrey L. Saver, M.D. et al., </w:t>
      </w:r>
      <w:hyperlink r:id="rId29" w:history="1">
        <w:r w:rsidRPr="008B2FCB">
          <w:rPr>
            <w:rStyle w:val="Hyperlink"/>
            <w:rFonts w:cstheme="minorHAnsi"/>
            <w:i/>
            <w:iCs/>
            <w:color w:val="auto"/>
            <w:u w:val="none"/>
          </w:rPr>
          <w:t>Time to Treatment With Intravenous Tissue Plasminogen Activator and Outcome From Acute Ischemic Stroke</w:t>
        </w:r>
      </w:hyperlink>
      <w:r w:rsidRPr="008B2FCB">
        <w:rPr>
          <w:rFonts w:cstheme="minorHAnsi"/>
        </w:rPr>
        <w:t xml:space="preserve">, JAMA Network (June 19 2013), </w:t>
      </w:r>
      <w:hyperlink r:id="rId30" w:history="1">
        <w:r w:rsidR="008B2FCB" w:rsidRPr="008B2FCB">
          <w:rPr>
            <w:rStyle w:val="Hyperlink"/>
            <w:rFonts w:cstheme="minorHAnsi"/>
            <w:color w:val="auto"/>
            <w:u w:val="none"/>
          </w:rPr>
          <w:t>https://jamanetwork.com/journals/jama/fullarticle/1697967</w:t>
        </w:r>
      </w:hyperlink>
      <w:r w:rsidR="008B2FCB" w:rsidRPr="008B2FCB">
        <w:rPr>
          <w:rFonts w:cstheme="minorHAnsi"/>
        </w:rPr>
        <w:t xml:space="preserve"> </w:t>
      </w:r>
      <w:r w:rsidRPr="008B2FCB">
        <w:rPr>
          <w:rFonts w:cstheme="minorHAnsi"/>
        </w:rPr>
        <w:t xml:space="preserve"> (stating “In a registry representing US clinical practice, earlier thrombolytic treatment was associated with reduced mortality and symptomatic intracranial hemorrhage, and higher rates of independent ambulation at discharge and discharge to home following acute ischemic stroke.”).</w:t>
      </w:r>
    </w:p>
  </w:endnote>
  <w:endnote w:id="14">
    <w:p w14:paraId="4B73575C" w14:textId="301F95D0" w:rsidR="006F12E9" w:rsidRPr="00494346" w:rsidRDefault="006F12E9" w:rsidP="006F12E9">
      <w:pPr>
        <w:pStyle w:val="EndnoteText"/>
        <w:rPr>
          <w:rFonts w:cstheme="minorHAnsi"/>
        </w:rPr>
      </w:pPr>
      <w:r w:rsidRPr="00494346">
        <w:rPr>
          <w:rStyle w:val="EndnoteReference"/>
          <w:rFonts w:cstheme="minorHAnsi"/>
        </w:rPr>
        <w:endnoteRef/>
      </w:r>
      <w:r w:rsidRPr="00494346">
        <w:rPr>
          <w:rFonts w:cstheme="minorHAnsi"/>
        </w:rPr>
        <w:t xml:space="preserve"> </w:t>
      </w:r>
      <w:r w:rsidRPr="00494346">
        <w:rPr>
          <w:rFonts w:cstheme="minorHAnsi"/>
          <w:i/>
          <w:iCs/>
        </w:rPr>
        <w:t>See Id.</w:t>
      </w:r>
      <w:r w:rsidR="00B700D1" w:rsidRPr="00494346">
        <w:rPr>
          <w:rFonts w:cstheme="minorHAnsi"/>
          <w:i/>
          <w:iCs/>
        </w:rPr>
        <w:t xml:space="preserve"> </w:t>
      </w:r>
      <w:r w:rsidRPr="00494346">
        <w:rPr>
          <w:rFonts w:cstheme="minorHAnsi"/>
        </w:rPr>
        <w:t>(indicating there are two main types of strokes are ischemic stroke i.e. blocked artery or hemorrhagic stroke, a blood vessel bursting or leaking and indicating individuals may also experience a temporary disruption of blood flow to the brain, called a transient ischemic attack, but this does not tend to cause lasting symptoms).</w:t>
      </w:r>
    </w:p>
  </w:endnote>
  <w:endnote w:id="15">
    <w:p w14:paraId="22EB3173" w14:textId="42FF04A2" w:rsidR="006F12E9" w:rsidRPr="00494346" w:rsidRDefault="006F12E9" w:rsidP="006F12E9">
      <w:pPr>
        <w:pStyle w:val="EndnoteText"/>
        <w:rPr>
          <w:rFonts w:cstheme="minorHAnsi"/>
        </w:rPr>
      </w:pPr>
      <w:r w:rsidRPr="00494346">
        <w:rPr>
          <w:rStyle w:val="EndnoteReference"/>
          <w:rFonts w:cstheme="minorHAnsi"/>
        </w:rPr>
        <w:endnoteRef/>
      </w:r>
      <w:r w:rsidRPr="00494346">
        <w:rPr>
          <w:rFonts w:cstheme="minorHAnsi"/>
        </w:rPr>
        <w:t xml:space="preserve"> </w:t>
      </w:r>
      <w:r w:rsidRPr="00494346">
        <w:rPr>
          <w:rFonts w:cstheme="minorHAnsi"/>
          <w:i/>
          <w:iCs/>
        </w:rPr>
        <w:t>Id.</w:t>
      </w:r>
    </w:p>
  </w:endnote>
  <w:endnote w:id="16">
    <w:p w14:paraId="33D4D821" w14:textId="75976674" w:rsidR="006F12E9" w:rsidRPr="00494346" w:rsidRDefault="006F12E9" w:rsidP="006F12E9">
      <w:pPr>
        <w:pStyle w:val="EndnoteText"/>
        <w:rPr>
          <w:rFonts w:cstheme="minorHAnsi"/>
        </w:rPr>
      </w:pPr>
      <w:r w:rsidRPr="00494346">
        <w:rPr>
          <w:rStyle w:val="EndnoteReference"/>
          <w:rFonts w:cstheme="minorHAnsi"/>
        </w:rPr>
        <w:endnoteRef/>
      </w:r>
      <w:r w:rsidRPr="00494346">
        <w:rPr>
          <w:rFonts w:cstheme="minorHAnsi"/>
        </w:rPr>
        <w:t xml:space="preserve"> </w:t>
      </w:r>
      <w:r w:rsidRPr="00494346">
        <w:rPr>
          <w:rFonts w:cstheme="minorHAnsi"/>
          <w:i/>
          <w:iCs/>
        </w:rPr>
        <w:t>See</w:t>
      </w:r>
      <w:r w:rsidRPr="00494346">
        <w:rPr>
          <w:rFonts w:cstheme="minorHAnsi"/>
        </w:rPr>
        <w:t xml:space="preserve"> </w:t>
      </w:r>
      <w:r w:rsidRPr="00494346">
        <w:rPr>
          <w:rFonts w:cstheme="minorHAnsi"/>
          <w:i/>
          <w:iCs/>
        </w:rPr>
        <w:t>Primary Stroke Services Time Target Recommendations</w:t>
      </w:r>
      <w:r w:rsidRPr="00494346">
        <w:rPr>
          <w:rFonts w:cstheme="minorHAnsi"/>
        </w:rPr>
        <w:t xml:space="preserve">, </w:t>
      </w:r>
      <w:r w:rsidR="000901FC">
        <w:rPr>
          <w:rFonts w:cstheme="minorHAnsi"/>
        </w:rPr>
        <w:t>Foor</w:t>
      </w:r>
      <w:r w:rsidRPr="00494346">
        <w:rPr>
          <w:rFonts w:cstheme="minorHAnsi"/>
        </w:rPr>
        <w:t>note 1</w:t>
      </w:r>
      <w:r w:rsidR="005B56A9">
        <w:rPr>
          <w:rFonts w:cstheme="minorHAnsi"/>
        </w:rPr>
        <w:t>0</w:t>
      </w:r>
      <w:r w:rsidRPr="00494346">
        <w:rPr>
          <w:rFonts w:cstheme="minorHAnsi"/>
        </w:rPr>
        <w:t>.</w:t>
      </w:r>
    </w:p>
  </w:endnote>
  <w:endnote w:id="17">
    <w:p w14:paraId="07742B2E" w14:textId="6724CB91" w:rsidR="006F12E9" w:rsidRPr="00494346" w:rsidRDefault="006F12E9" w:rsidP="006F12E9">
      <w:pPr>
        <w:pStyle w:val="EndnoteText"/>
        <w:rPr>
          <w:rFonts w:cstheme="minorHAnsi"/>
        </w:rPr>
      </w:pPr>
      <w:r w:rsidRPr="00494346">
        <w:rPr>
          <w:rStyle w:val="EndnoteReference"/>
          <w:rFonts w:cstheme="minorHAnsi"/>
        </w:rPr>
        <w:endnoteRef/>
      </w:r>
      <w:r w:rsidRPr="00494346">
        <w:rPr>
          <w:rFonts w:cstheme="minorHAnsi"/>
        </w:rPr>
        <w:t xml:space="preserve"> Elizabeth Hanes, RN, </w:t>
      </w:r>
      <w:hyperlink r:id="rId31" w:history="1">
        <w:r w:rsidRPr="00CF582E">
          <w:rPr>
            <w:rStyle w:val="Hyperlink"/>
            <w:rFonts w:cstheme="minorHAnsi"/>
            <w:color w:val="auto"/>
            <w:u w:val="none"/>
          </w:rPr>
          <w:t>What is Interventional Radiology?,</w:t>
        </w:r>
      </w:hyperlink>
      <w:r w:rsidRPr="00CF582E">
        <w:rPr>
          <w:rFonts w:cstheme="minorHAnsi"/>
        </w:rPr>
        <w:t xml:space="preserve"> DignityHealth, </w:t>
      </w:r>
      <w:hyperlink r:id="rId32" w:history="1">
        <w:r w:rsidR="00CF582E" w:rsidRPr="00CF582E">
          <w:rPr>
            <w:rStyle w:val="Hyperlink"/>
            <w:rFonts w:cstheme="minorHAnsi"/>
            <w:color w:val="auto"/>
            <w:u w:val="none"/>
          </w:rPr>
          <w:t>https://www.dignityhealth.org/articles/what-is-interventional-radiology</w:t>
        </w:r>
      </w:hyperlink>
      <w:r w:rsidR="00CF582E">
        <w:rPr>
          <w:rFonts w:cstheme="minorHAnsi"/>
        </w:rPr>
        <w:t xml:space="preserve"> </w:t>
      </w:r>
      <w:r w:rsidRPr="00494346">
        <w:rPr>
          <w:rFonts w:cstheme="minorHAnsi"/>
        </w:rPr>
        <w:t xml:space="preserve"> (Aug. 26, 2017).</w:t>
      </w:r>
    </w:p>
  </w:endnote>
  <w:endnote w:id="18">
    <w:p w14:paraId="0CDF3C4D" w14:textId="040159AD" w:rsidR="006F12E9" w:rsidRPr="00494346" w:rsidRDefault="006F12E9" w:rsidP="006F12E9">
      <w:pPr>
        <w:pStyle w:val="EndnoteText"/>
        <w:rPr>
          <w:rFonts w:cstheme="minorHAnsi"/>
        </w:rPr>
      </w:pPr>
      <w:r w:rsidRPr="00494346">
        <w:rPr>
          <w:rStyle w:val="EndnoteReference"/>
          <w:rFonts w:cstheme="minorHAnsi"/>
        </w:rPr>
        <w:endnoteRef/>
      </w:r>
      <w:r w:rsidRPr="00494346">
        <w:rPr>
          <w:rFonts w:cstheme="minorHAnsi"/>
        </w:rPr>
        <w:t xml:space="preserve"> </w:t>
      </w:r>
      <w:hyperlink r:id="rId33" w:anchor=":~:text=With%20Dual%20Source%20CT%20it,reducing%20the%20radiation%20dose%20significantly" w:history="1">
        <w:r w:rsidRPr="00CF582E">
          <w:rPr>
            <w:rStyle w:val="Hyperlink"/>
            <w:rFonts w:cstheme="minorHAnsi"/>
            <w:color w:val="auto"/>
            <w:u w:val="none"/>
          </w:rPr>
          <w:t>What is Dual Source Energy?</w:t>
        </w:r>
      </w:hyperlink>
      <w:r w:rsidRPr="00CF582E">
        <w:rPr>
          <w:rFonts w:cstheme="minorHAnsi"/>
        </w:rPr>
        <w:t xml:space="preserve"> </w:t>
      </w:r>
      <w:r w:rsidRPr="00494346">
        <w:rPr>
          <w:rFonts w:cstheme="minorHAnsi"/>
        </w:rPr>
        <w:t xml:space="preserve">Siemens Healthineers </w:t>
      </w:r>
      <w:hyperlink r:id="rId34" w:anchor=":~:text=With%20Dual%20Source%20CT%20it,reducing%20the%20radiation%20dose%20significantly" w:history="1">
        <w:r w:rsidRPr="00494346">
          <w:rPr>
            <w:rStyle w:val="Hyperlink"/>
            <w:rFonts w:cstheme="minorHAnsi"/>
          </w:rPr>
          <w:t>https://www.siemens-healthineers.com/en-us/computed-tomography/dual-energy/dual-source-dual-energy#:~:text=With%20Dual%20Source%20CT%20it,reducing%20the%20radiation%20dose%20significantly</w:t>
        </w:r>
      </w:hyperlink>
      <w:r w:rsidRPr="00494346">
        <w:rPr>
          <w:rFonts w:cstheme="minorHAnsi"/>
        </w:rPr>
        <w:t xml:space="preserve"> (last visited March 7, 2023).</w:t>
      </w:r>
    </w:p>
  </w:endnote>
  <w:endnote w:id="19">
    <w:p w14:paraId="6B191C07" w14:textId="0A8F2162" w:rsidR="006F12E9" w:rsidRPr="00494346" w:rsidRDefault="006F12E9" w:rsidP="006F12E9">
      <w:pPr>
        <w:pStyle w:val="EndnoteText"/>
        <w:rPr>
          <w:rFonts w:cstheme="minorHAnsi"/>
        </w:rPr>
      </w:pPr>
      <w:r w:rsidRPr="00494346">
        <w:rPr>
          <w:rStyle w:val="EndnoteReference"/>
          <w:rFonts w:cstheme="minorHAnsi"/>
        </w:rPr>
        <w:endnoteRef/>
      </w:r>
      <w:r w:rsidRPr="00494346">
        <w:rPr>
          <w:rFonts w:cstheme="minorHAnsi"/>
        </w:rPr>
        <w:t xml:space="preserve"> Hyun Woo Goo, MD, Jin Mo Goo, MD PhD, </w:t>
      </w:r>
      <w:hyperlink r:id="rId35" w:history="1">
        <w:r w:rsidRPr="005F3DA0">
          <w:rPr>
            <w:rStyle w:val="Hyperlink"/>
            <w:rFonts w:cstheme="minorHAnsi"/>
            <w:i/>
            <w:iCs/>
            <w:color w:val="auto"/>
            <w:u w:val="none"/>
          </w:rPr>
          <w:t>Dual-Energy CT: New Horizon in Medical Imaging</w:t>
        </w:r>
      </w:hyperlink>
      <w:r w:rsidRPr="00494346">
        <w:rPr>
          <w:rFonts w:cstheme="minorHAnsi"/>
        </w:rPr>
        <w:t xml:space="preserve">, </w:t>
      </w:r>
      <w:hyperlink r:id="rId36" w:history="1">
        <w:r w:rsidRPr="00494346">
          <w:rPr>
            <w:rStyle w:val="Hyperlink"/>
            <w:rFonts w:cstheme="minorHAnsi"/>
            <w:color w:val="376FAA"/>
          </w:rPr>
          <w:t>Korean J Radiol.</w:t>
        </w:r>
      </w:hyperlink>
      <w:r w:rsidRPr="00494346">
        <w:rPr>
          <w:rFonts w:cstheme="minorHAnsi"/>
          <w:color w:val="212121"/>
          <w:shd w:val="clear" w:color="auto" w:fill="FFFFFF"/>
        </w:rPr>
        <w:t xml:space="preserve"> 2017 Jul-Aug; 18(4): 555–569 (available at </w:t>
      </w:r>
      <w:hyperlink r:id="rId37" w:history="1">
        <w:r w:rsidR="005F3DA0" w:rsidRPr="005F3DA0">
          <w:rPr>
            <w:rStyle w:val="Hyperlink"/>
            <w:rFonts w:cstheme="minorHAnsi"/>
            <w:color w:val="auto"/>
            <w:u w:val="none"/>
            <w:shd w:val="clear" w:color="auto" w:fill="FFFFFF"/>
          </w:rPr>
          <w:t>https://www.ncbi.nlm.nih.gov/pmc/articles/PMC5447632/</w:t>
        </w:r>
      </w:hyperlink>
      <w:r w:rsidR="005F3DA0" w:rsidRPr="005F3DA0">
        <w:rPr>
          <w:rFonts w:cstheme="minorHAnsi"/>
          <w:shd w:val="clear" w:color="auto" w:fill="FFFFFF"/>
        </w:rPr>
        <w:t xml:space="preserve"> </w:t>
      </w:r>
      <w:r w:rsidRPr="005F3DA0">
        <w:rPr>
          <w:rFonts w:cstheme="minorHAnsi"/>
          <w:shd w:val="clear" w:color="auto" w:fill="FFFFFF"/>
        </w:rPr>
        <w:t xml:space="preserve"> </w:t>
      </w:r>
      <w:r w:rsidRPr="00494346">
        <w:rPr>
          <w:rFonts w:cstheme="minorHAnsi"/>
          <w:color w:val="212121"/>
          <w:shd w:val="clear" w:color="auto" w:fill="FFFFFF"/>
        </w:rPr>
        <w:t>).</w:t>
      </w:r>
    </w:p>
  </w:endnote>
  <w:endnote w:id="20">
    <w:p w14:paraId="01427FF4" w14:textId="66B3A293" w:rsidR="002E433B" w:rsidRPr="00494346" w:rsidRDefault="002E433B" w:rsidP="002E433B">
      <w:pPr>
        <w:pStyle w:val="EndnoteText"/>
        <w:rPr>
          <w:rFonts w:cstheme="minorHAnsi"/>
        </w:rPr>
      </w:pPr>
      <w:r w:rsidRPr="00494346">
        <w:rPr>
          <w:rStyle w:val="EndnoteReference"/>
          <w:rFonts w:cstheme="minorHAnsi"/>
        </w:rPr>
        <w:endnoteRef/>
      </w:r>
      <w:r w:rsidRPr="00494346">
        <w:rPr>
          <w:rFonts w:cstheme="minorHAnsi"/>
        </w:rPr>
        <w:t xml:space="preserve"> </w:t>
      </w:r>
      <w:hyperlink r:id="rId38" w:history="1">
        <w:r w:rsidRPr="005F3DA0">
          <w:rPr>
            <w:rStyle w:val="Hyperlink"/>
            <w:rFonts w:cstheme="minorHAnsi"/>
            <w:color w:val="auto"/>
            <w:u w:val="none"/>
          </w:rPr>
          <w:t>Coronary CTA</w:t>
        </w:r>
      </w:hyperlink>
      <w:r w:rsidRPr="005F3DA0">
        <w:rPr>
          <w:rFonts w:cstheme="minorHAnsi"/>
        </w:rPr>
        <w:t xml:space="preserve">, </w:t>
      </w:r>
      <w:r w:rsidRPr="00494346">
        <w:rPr>
          <w:rFonts w:cstheme="minorHAnsi"/>
        </w:rPr>
        <w:t xml:space="preserve">RadiologiyInfo.org available at </w:t>
      </w:r>
      <w:hyperlink r:id="rId39" w:history="1">
        <w:r w:rsidR="005F3DA0" w:rsidRPr="00D53624">
          <w:rPr>
            <w:rStyle w:val="Hyperlink"/>
            <w:rFonts w:cstheme="minorHAnsi"/>
          </w:rPr>
          <w:t>https://www.radiologyinfo.org/en/info/angiocoroct</w:t>
        </w:r>
      </w:hyperlink>
      <w:r w:rsidR="005F3DA0">
        <w:rPr>
          <w:rFonts w:cstheme="minorHAnsi"/>
        </w:rPr>
        <w:t xml:space="preserve"> </w:t>
      </w:r>
      <w:r w:rsidRPr="00494346">
        <w:rPr>
          <w:rFonts w:cstheme="minorHAnsi"/>
        </w:rPr>
        <w:t xml:space="preserve"> (last visited March 8, 2023). </w:t>
      </w:r>
    </w:p>
  </w:endnote>
  <w:endnote w:id="21">
    <w:p w14:paraId="23ADFA06" w14:textId="7B4ADA67" w:rsidR="008E57EB" w:rsidRPr="00494346" w:rsidRDefault="008E57EB" w:rsidP="008E57EB">
      <w:pPr>
        <w:pStyle w:val="EndnoteText"/>
        <w:rPr>
          <w:rFonts w:cstheme="minorHAnsi"/>
        </w:rPr>
      </w:pPr>
      <w:r w:rsidRPr="00494346">
        <w:rPr>
          <w:rStyle w:val="EndnoteReference"/>
          <w:rFonts w:cstheme="minorHAnsi"/>
        </w:rPr>
        <w:endnoteRef/>
      </w:r>
      <w:r w:rsidRPr="00494346">
        <w:rPr>
          <w:rFonts w:cstheme="minorHAnsi"/>
        </w:rPr>
        <w:t xml:space="preserve"> Prakash B. </w:t>
      </w:r>
      <w:hyperlink r:id="rId40" w:history="1">
        <w:r w:rsidRPr="005F3DA0">
          <w:rPr>
            <w:rStyle w:val="Hyperlink"/>
            <w:rFonts w:cstheme="minorHAnsi"/>
            <w:color w:val="auto"/>
            <w:u w:val="none"/>
          </w:rPr>
          <w:t>Patient satisfaction</w:t>
        </w:r>
      </w:hyperlink>
      <w:r w:rsidRPr="005F3DA0">
        <w:rPr>
          <w:rFonts w:cstheme="minorHAnsi"/>
        </w:rPr>
        <w:t xml:space="preserve">. J </w:t>
      </w:r>
      <w:r w:rsidRPr="00494346">
        <w:rPr>
          <w:rFonts w:cstheme="minorHAnsi"/>
        </w:rPr>
        <w:t xml:space="preserve">Cutan Aesthet Surg. 2010;3(3):151-155. doi:10.4103/0974-2077.74491. </w:t>
      </w:r>
      <w:hyperlink r:id="rId41" w:history="1">
        <w:r w:rsidRPr="00494346">
          <w:rPr>
            <w:rStyle w:val="Hyperlink"/>
            <w:rFonts w:cstheme="minorHAnsi"/>
          </w:rPr>
          <w:t>Available at https://www.ncbi.nlm.nih.gov/pmc/articles/PMC3047732/</w:t>
        </w:r>
      </w:hyperlink>
      <w:r w:rsidRPr="00494346">
        <w:rPr>
          <w:rFonts w:cstheme="minorHAnsi"/>
        </w:rPr>
        <w:t xml:space="preserve"> </w:t>
      </w:r>
    </w:p>
  </w:endnote>
  <w:endnote w:id="22">
    <w:p w14:paraId="493CDEEB" w14:textId="77777777" w:rsidR="00D8605E" w:rsidRPr="00494346" w:rsidRDefault="00D8605E" w:rsidP="00D8605E">
      <w:pPr>
        <w:pStyle w:val="EndnoteText"/>
        <w:rPr>
          <w:rFonts w:cstheme="minorHAnsi"/>
        </w:rPr>
      </w:pPr>
      <w:r w:rsidRPr="00494346">
        <w:rPr>
          <w:rStyle w:val="EndnoteReference"/>
          <w:rFonts w:cstheme="minorHAnsi"/>
        </w:rPr>
        <w:endnoteRef/>
      </w:r>
      <w:r w:rsidRPr="00494346">
        <w:rPr>
          <w:rFonts w:cstheme="minorHAnsi"/>
        </w:rPr>
        <w:t xml:space="preserve"> Hendee WR, Becker GJ, Borgstede JP, Bosma J, Casarella WJ, Erickson BA, Maynard CD, Thrall JH, Wallner PE. Addressing overutilization in medical imaging. Radiology. 2010 Oct;257(1):240-5. doi: 10.1148/radiol.10100063. Epub 2010 Aug 24. PMID: 20736333.</w:t>
      </w:r>
    </w:p>
  </w:endnote>
  <w:endnote w:id="23">
    <w:p w14:paraId="2EC1BB4F" w14:textId="1BEDDCA8" w:rsidR="00D8605E" w:rsidRPr="00494346" w:rsidRDefault="00D8605E" w:rsidP="00D8605E">
      <w:pPr>
        <w:pStyle w:val="EndnoteText"/>
        <w:rPr>
          <w:rFonts w:cstheme="minorHAnsi"/>
        </w:rPr>
      </w:pPr>
      <w:r w:rsidRPr="00494346">
        <w:rPr>
          <w:rStyle w:val="EndnoteReference"/>
          <w:rFonts w:cstheme="minorHAnsi"/>
        </w:rPr>
        <w:endnoteRef/>
      </w:r>
      <w:r w:rsidRPr="00494346">
        <w:rPr>
          <w:rFonts w:cstheme="minorHAnsi"/>
        </w:rPr>
        <w:t xml:space="preserve"> </w:t>
      </w:r>
      <w:hyperlink r:id="rId42" w:history="1">
        <w:r w:rsidRPr="005F3DA0">
          <w:rPr>
            <w:rStyle w:val="Hyperlink"/>
            <w:rFonts w:cstheme="minorHAnsi"/>
            <w:color w:val="auto"/>
            <w:u w:val="none"/>
          </w:rPr>
          <w:t>CDC. Stats of the State of Massachusetts.</w:t>
        </w:r>
      </w:hyperlink>
      <w:r w:rsidRPr="00494346">
        <w:rPr>
          <w:rFonts w:cstheme="minorHAnsi"/>
        </w:rPr>
        <w:t xml:space="preserve"> </w:t>
      </w:r>
      <w:hyperlink r:id="rId43" w:history="1">
        <w:r w:rsidRPr="00494346">
          <w:rPr>
            <w:rStyle w:val="Hyperlink"/>
            <w:rFonts w:cstheme="minorHAnsi"/>
          </w:rPr>
          <w:t>Available at https://www.cdc.gov/nchs/pressroom/states/massachusetts/massachusetts.htm</w:t>
        </w:r>
      </w:hyperlink>
      <w:r w:rsidRPr="00494346">
        <w:rPr>
          <w:rFonts w:cstheme="minorHAnsi"/>
        </w:rPr>
        <w:t xml:space="preserve"> </w:t>
      </w:r>
    </w:p>
  </w:endnote>
  <w:endnote w:id="24">
    <w:p w14:paraId="1EE8A439" w14:textId="3E8645C5" w:rsidR="00272CB1" w:rsidRPr="00494346" w:rsidRDefault="00272CB1" w:rsidP="007D631E">
      <w:pPr>
        <w:pStyle w:val="EndnoteText"/>
        <w:rPr>
          <w:rFonts w:cstheme="minorHAnsi"/>
        </w:rPr>
      </w:pPr>
      <w:r w:rsidRPr="00494346">
        <w:rPr>
          <w:rStyle w:val="EndnoteReference"/>
          <w:rFonts w:cstheme="minorHAnsi"/>
        </w:rPr>
        <w:endnoteRef/>
      </w:r>
      <w:r w:rsidRPr="00494346">
        <w:rPr>
          <w:rFonts w:cstheme="minorHAnsi"/>
        </w:rPr>
        <w:t xml:space="preserve"> </w:t>
      </w:r>
      <w:hyperlink r:id="rId44" w:history="1">
        <w:r w:rsidRPr="005F3DA0">
          <w:rPr>
            <w:rStyle w:val="Hyperlink"/>
            <w:rFonts w:cstheme="minorHAnsi"/>
            <w:color w:val="auto"/>
            <w:u w:val="none"/>
          </w:rPr>
          <w:t>The Problem of Fragmentation and the Need for Integrative Solutions</w:t>
        </w:r>
      </w:hyperlink>
      <w:r w:rsidRPr="005F3DA0">
        <w:rPr>
          <w:rFonts w:cstheme="minorHAnsi"/>
        </w:rPr>
        <w:t xml:space="preserve">. </w:t>
      </w:r>
      <w:r w:rsidRPr="00494346">
        <w:rPr>
          <w:rFonts w:cstheme="minorHAnsi"/>
        </w:rPr>
        <w:t>Kurt C. Stange</w:t>
      </w:r>
    </w:p>
    <w:p w14:paraId="2097301E" w14:textId="28F28BE2" w:rsidR="00272CB1" w:rsidRPr="00494346" w:rsidRDefault="00272CB1" w:rsidP="007D631E">
      <w:pPr>
        <w:pStyle w:val="EndnoteText"/>
        <w:rPr>
          <w:rFonts w:cstheme="minorHAnsi"/>
        </w:rPr>
      </w:pPr>
      <w:r w:rsidRPr="00494346">
        <w:rPr>
          <w:rFonts w:cstheme="minorHAnsi"/>
        </w:rPr>
        <w:t xml:space="preserve">The Annals of Family Medicine Mar 2009, 7 (2) 100-103; DOI: 10.1370/afm.971. </w:t>
      </w:r>
      <w:hyperlink r:id="rId45" w:history="1">
        <w:r w:rsidRPr="00494346">
          <w:rPr>
            <w:rStyle w:val="Hyperlink"/>
            <w:rFonts w:cstheme="minorHAnsi"/>
          </w:rPr>
          <w:t>Available at https://www.annfammed.org/content/7/2/100</w:t>
        </w:r>
      </w:hyperlink>
      <w:r w:rsidRPr="00494346">
        <w:rPr>
          <w:rFonts w:cstheme="minorHAnsi"/>
        </w:rPr>
        <w:t xml:space="preserve"> </w:t>
      </w:r>
    </w:p>
  </w:endnote>
  <w:endnote w:id="25">
    <w:p w14:paraId="0598DA56" w14:textId="4D7BA30A" w:rsidR="00272CB1" w:rsidRPr="00494346" w:rsidRDefault="00272CB1" w:rsidP="00E316F1">
      <w:pPr>
        <w:pStyle w:val="EndnoteText"/>
        <w:rPr>
          <w:rFonts w:cstheme="minorHAnsi"/>
        </w:rPr>
      </w:pPr>
      <w:r w:rsidRPr="00494346">
        <w:rPr>
          <w:rStyle w:val="EndnoteReference"/>
          <w:rFonts w:cstheme="minorHAnsi"/>
        </w:rPr>
        <w:endnoteRef/>
      </w:r>
      <w:r w:rsidRPr="00494346">
        <w:rPr>
          <w:rFonts w:cstheme="minorHAnsi"/>
        </w:rPr>
        <w:t xml:space="preserve"> </w:t>
      </w:r>
      <w:hyperlink r:id="rId46" w:history="1">
        <w:r w:rsidRPr="005F3DA0">
          <w:rPr>
            <w:rStyle w:val="Hyperlink"/>
            <w:rFonts w:cstheme="minorHAnsi"/>
            <w:color w:val="auto"/>
            <w:u w:val="none"/>
          </w:rPr>
          <w:t>HealthIT.gov. Improve Care Coordination</w:t>
        </w:r>
      </w:hyperlink>
      <w:r w:rsidRPr="005F3DA0">
        <w:rPr>
          <w:rFonts w:cstheme="minorHAnsi"/>
        </w:rPr>
        <w:t xml:space="preserve">. </w:t>
      </w:r>
      <w:hyperlink r:id="rId47" w:history="1">
        <w:r w:rsidRPr="00494346">
          <w:rPr>
            <w:rStyle w:val="Hyperlink"/>
            <w:rFonts w:cstheme="minorHAnsi"/>
          </w:rPr>
          <w:t>Available at https://www.healthit.gov/topic/health-it-basics/improve-care-coordination</w:t>
        </w:r>
      </w:hyperlink>
      <w:r w:rsidRPr="00494346">
        <w:rPr>
          <w:rFonts w:cstheme="minorHAnsi"/>
        </w:rPr>
        <w:t xml:space="preserve">  </w:t>
      </w:r>
    </w:p>
  </w:endnote>
  <w:endnote w:id="26">
    <w:p w14:paraId="249D8B01" w14:textId="57B0FEEB" w:rsidR="00272CB1" w:rsidRPr="00494346" w:rsidRDefault="00272CB1">
      <w:pPr>
        <w:pStyle w:val="EndnoteText"/>
        <w:rPr>
          <w:rFonts w:cstheme="minorHAnsi"/>
        </w:rPr>
      </w:pPr>
      <w:r w:rsidRPr="00494346">
        <w:rPr>
          <w:rStyle w:val="EndnoteReference"/>
          <w:rFonts w:cstheme="minorHAnsi"/>
        </w:rPr>
        <w:endnoteRef/>
      </w:r>
      <w:r w:rsidRPr="00494346">
        <w:rPr>
          <w:rFonts w:cstheme="minorHAnsi"/>
        </w:rPr>
        <w:t xml:space="preserve"> Alain Pinsonneault, Shamel Addas, Christina Qian, Vijay Dakshinamoorthy &amp; Robyn Tamblyn (2017) Integrated Health Information Technology and the Quality of Patient Care: A Natural Experiment, Journal of Management Information Systems, 34:2, 457-486, DOI: 10.1080/07421222.2017.1334477.</w:t>
      </w:r>
    </w:p>
  </w:endnote>
  <w:endnote w:id="27">
    <w:p w14:paraId="53FCC485" w14:textId="04A731BA" w:rsidR="00272CB1" w:rsidRPr="00494346" w:rsidRDefault="00272CB1" w:rsidP="00E316F1">
      <w:pPr>
        <w:pStyle w:val="EndnoteText"/>
        <w:rPr>
          <w:rFonts w:cstheme="minorHAnsi"/>
        </w:rPr>
      </w:pPr>
      <w:r w:rsidRPr="00494346">
        <w:rPr>
          <w:rStyle w:val="EndnoteReference"/>
          <w:rFonts w:cstheme="minorHAnsi"/>
        </w:rPr>
        <w:endnoteRef/>
      </w:r>
      <w:r w:rsidRPr="00494346">
        <w:rPr>
          <w:rFonts w:cstheme="minorHAnsi"/>
        </w:rPr>
        <w:t xml:space="preserve"> </w:t>
      </w:r>
      <w:hyperlink r:id="rId48" w:history="1">
        <w:r w:rsidRPr="005F3DA0">
          <w:rPr>
            <w:rStyle w:val="Hyperlink"/>
            <w:rFonts w:cstheme="minorHAnsi"/>
            <w:color w:val="auto"/>
            <w:u w:val="none"/>
          </w:rPr>
          <w:t>HealthIT.gov</w:t>
        </w:r>
      </w:hyperlink>
      <w:r w:rsidRPr="005F3DA0">
        <w:rPr>
          <w:rFonts w:cstheme="minorHAnsi"/>
        </w:rPr>
        <w:t xml:space="preserve">, </w:t>
      </w:r>
      <w:hyperlink r:id="rId49" w:history="1">
        <w:r w:rsidR="005F3DA0" w:rsidRPr="005F3DA0">
          <w:rPr>
            <w:rStyle w:val="Hyperlink"/>
            <w:rFonts w:cstheme="minorHAnsi"/>
            <w:color w:val="auto"/>
            <w:u w:val="none"/>
          </w:rPr>
          <w:t>https://www.healthit.gov/topic/health-it-and-health-information-exchange-basics/improved-diagnostics-patientoutcomes</w:t>
        </w:r>
      </w:hyperlink>
      <w:r w:rsidR="005F3DA0" w:rsidRPr="005F3DA0">
        <w:rPr>
          <w:rFonts w:cstheme="minorHAnsi"/>
        </w:rPr>
        <w:t xml:space="preserve"> </w:t>
      </w:r>
    </w:p>
  </w:endnote>
  <w:endnote w:id="28">
    <w:p w14:paraId="52F6EDB4" w14:textId="77777777" w:rsidR="002B30FC" w:rsidRPr="00494346" w:rsidRDefault="002B30FC" w:rsidP="002B30FC">
      <w:pPr>
        <w:pStyle w:val="EndnoteText"/>
        <w:rPr>
          <w:rFonts w:cstheme="minorHAnsi"/>
        </w:rPr>
      </w:pPr>
      <w:r w:rsidRPr="00494346">
        <w:rPr>
          <w:rStyle w:val="EndnoteReference"/>
          <w:rFonts w:cstheme="minorHAnsi"/>
        </w:rPr>
        <w:endnoteRef/>
      </w:r>
      <w:r w:rsidRPr="00494346">
        <w:rPr>
          <w:rFonts w:cstheme="minorHAnsi"/>
        </w:rPr>
        <w:t xml:space="preserve"> Hendee WR, Becker GJ, Borgstede JP, Bosma J, Casarella WJ, Erickson BA, Maynard CD, Thrall JH, Wallner PE. Addressing overutilization in medical imaging. Radiology. 2010 Oct;257(1):240-5. doi: 10.1148/radiol.10100063. Epub 2010 Aug 24. PMID: 20736333.</w:t>
      </w:r>
    </w:p>
  </w:endnote>
  <w:endnote w:id="29">
    <w:p w14:paraId="6609F272" w14:textId="4EF8A24C" w:rsidR="002B30FC" w:rsidRPr="00494346" w:rsidRDefault="002B30FC" w:rsidP="002B30FC">
      <w:pPr>
        <w:pStyle w:val="EndnoteText"/>
        <w:rPr>
          <w:rFonts w:cstheme="minorHAnsi"/>
        </w:rPr>
      </w:pPr>
      <w:r w:rsidRPr="00494346">
        <w:rPr>
          <w:rStyle w:val="EndnoteReference"/>
          <w:rFonts w:cstheme="minorHAnsi"/>
        </w:rPr>
        <w:endnoteRef/>
      </w:r>
      <w:r w:rsidRPr="00494346">
        <w:rPr>
          <w:rFonts w:cstheme="minorHAnsi"/>
        </w:rPr>
        <w:t xml:space="preserve"> Massachusetts Health Policy Commission. </w:t>
      </w:r>
      <w:hyperlink r:id="rId50" w:history="1">
        <w:r w:rsidRPr="005F3DA0">
          <w:rPr>
            <w:rStyle w:val="Hyperlink"/>
            <w:rFonts w:cstheme="minorHAnsi"/>
            <w:color w:val="auto"/>
            <w:u w:val="none"/>
          </w:rPr>
          <w:t>2018 Annual Health Care Cost Trends Report</w:t>
        </w:r>
      </w:hyperlink>
      <w:r w:rsidRPr="005F3DA0">
        <w:rPr>
          <w:rFonts w:cstheme="minorHAnsi"/>
        </w:rPr>
        <w:t>.</w:t>
      </w:r>
    </w:p>
    <w:p w14:paraId="26A6FA60" w14:textId="77777777" w:rsidR="002B30FC" w:rsidRPr="00494346" w:rsidRDefault="005F3DA0" w:rsidP="002B30FC">
      <w:pPr>
        <w:pStyle w:val="EndnoteText"/>
        <w:rPr>
          <w:rFonts w:cstheme="minorHAnsi"/>
        </w:rPr>
      </w:pPr>
      <w:hyperlink r:id="rId51" w:history="1">
        <w:r w:rsidR="002B30FC" w:rsidRPr="00494346">
          <w:rPr>
            <w:rStyle w:val="Hyperlink"/>
            <w:rFonts w:cstheme="minorHAnsi"/>
          </w:rPr>
          <w:t>Available at https://www.mass.gov/files/documents/2019/02/20/2018%20Cost%20Trends%20Report.pdf</w:t>
        </w:r>
      </w:hyperlink>
      <w:r w:rsidR="002B30FC" w:rsidRPr="00494346">
        <w:rPr>
          <w:rFonts w:cstheme="minorHAnsi"/>
        </w:rPr>
        <w:t xml:space="preserve"> </w:t>
      </w:r>
    </w:p>
  </w:endnote>
  <w:endnote w:id="30">
    <w:p w14:paraId="631C55A3" w14:textId="77777777" w:rsidR="00A275C2" w:rsidRPr="00494346" w:rsidRDefault="00A275C2" w:rsidP="00A275C2">
      <w:pPr>
        <w:pStyle w:val="EndnoteText"/>
        <w:rPr>
          <w:rFonts w:cstheme="minorHAnsi"/>
        </w:rPr>
      </w:pPr>
      <w:r w:rsidRPr="00494346">
        <w:rPr>
          <w:rStyle w:val="EndnoteReference"/>
          <w:rFonts w:cstheme="minorHAnsi"/>
        </w:rPr>
        <w:endnoteRef/>
      </w:r>
      <w:r w:rsidRPr="00494346">
        <w:rPr>
          <w:rFonts w:cstheme="minorHAnsi"/>
        </w:rPr>
        <w:t xml:space="preserve"> Litkowski PE, Smetana GW, Zeidel ML, Blanchard MS. Curbing the Urge to Image. Am J Med. 2016 Oct;129(10):1131-5. doi: 10.1016/j.amjmed.2016.06.020. Epub 2016 Jul 13. PMID: 27421918.</w:t>
      </w:r>
    </w:p>
  </w:endnote>
  <w:endnote w:id="31">
    <w:p w14:paraId="2A974E0D" w14:textId="1A632A40" w:rsidR="00272CB1" w:rsidRDefault="00272CB1">
      <w:pPr>
        <w:pStyle w:val="EndnoteText"/>
      </w:pPr>
      <w:r>
        <w:rPr>
          <w:rStyle w:val="EndnoteReference"/>
        </w:rPr>
        <w:endnoteRef/>
      </w:r>
      <w:r>
        <w:t xml:space="preserve"> </w:t>
      </w:r>
      <w:r w:rsidRPr="007A1378">
        <w:t>Singh GK, Daus GP, Allender M, et al. Social Determinants of Health in the United States: Addressing Major Health Inequality Trends for the Nation, 1935-2016. </w:t>
      </w:r>
      <w:r w:rsidRPr="007A1378">
        <w:rPr>
          <w:i/>
          <w:iCs/>
        </w:rPr>
        <w:t>Int J MCH AIDS</w:t>
      </w:r>
      <w:r w:rsidRPr="007A1378">
        <w:t>. 2017;6(2):139-164. doi:10.21106/ijma.236</w:t>
      </w: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5454527"/>
      <w:docPartObj>
        <w:docPartGallery w:val="Page Numbers (Bottom of Page)"/>
        <w:docPartUnique/>
      </w:docPartObj>
    </w:sdtPr>
    <w:sdtEndPr>
      <w:rPr>
        <w:noProof/>
      </w:rPr>
    </w:sdtEndPr>
    <w:sdtContent>
      <w:p w14:paraId="3D4B8190" w14:textId="6A8E5365" w:rsidR="00272CB1" w:rsidRDefault="00272CB1">
        <w:pPr>
          <w:pStyle w:val="Footer"/>
          <w:jc w:val="center"/>
        </w:pPr>
        <w:r>
          <w:fldChar w:fldCharType="begin"/>
        </w:r>
        <w:r>
          <w:instrText xml:space="preserve"> PAGE   \* MERGEFORMAT </w:instrText>
        </w:r>
        <w:r>
          <w:fldChar w:fldCharType="separate"/>
        </w:r>
        <w:r>
          <w:rPr>
            <w:noProof/>
          </w:rPr>
          <w:t>20</w:t>
        </w:r>
        <w:r>
          <w:rPr>
            <w:noProof/>
          </w:rPr>
          <w:fldChar w:fldCharType="end"/>
        </w:r>
      </w:p>
    </w:sdtContent>
  </w:sdt>
  <w:p w14:paraId="5D700CC9" w14:textId="77777777" w:rsidR="00272CB1" w:rsidRDefault="00272C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FF0EE8" w14:textId="77777777" w:rsidR="00C4656E" w:rsidRDefault="00C4656E" w:rsidP="0017637D">
      <w:pPr>
        <w:spacing w:after="0" w:line="240" w:lineRule="auto"/>
      </w:pPr>
      <w:r>
        <w:separator/>
      </w:r>
    </w:p>
  </w:footnote>
  <w:footnote w:type="continuationSeparator" w:id="0">
    <w:p w14:paraId="62F046F7" w14:textId="77777777" w:rsidR="00C4656E" w:rsidRDefault="00C4656E" w:rsidP="0017637D">
      <w:pPr>
        <w:spacing w:after="0" w:line="240" w:lineRule="auto"/>
      </w:pPr>
      <w:r>
        <w:continuationSeparator/>
      </w:r>
    </w:p>
  </w:footnote>
  <w:footnote w:id="1">
    <w:p w14:paraId="1C4767C7" w14:textId="368A8144" w:rsidR="00A5372B" w:rsidRDefault="00A5372B">
      <w:pPr>
        <w:pStyle w:val="FootnoteText"/>
      </w:pPr>
      <w:r>
        <w:rPr>
          <w:rStyle w:val="FootnoteReference"/>
        </w:rPr>
        <w:footnoteRef/>
      </w:r>
      <w:r>
        <w:t xml:space="preserve"> </w:t>
      </w:r>
      <w:r w:rsidRPr="00A5372B">
        <w:t>Its hospitals are principal teaching affiliates of the medical and dental schools of Harvard University</w:t>
      </w:r>
      <w:r>
        <w:t xml:space="preserve">. </w:t>
      </w:r>
      <w:r w:rsidR="00D24E40">
        <w:t xml:space="preserve"> And it </w:t>
      </w:r>
      <w:r w:rsidRPr="00A5372B">
        <w:t xml:space="preserve">operates a </w:t>
      </w:r>
      <w:r w:rsidR="00D24E40" w:rsidRPr="00D24E40">
        <w:t>graduate level program for health sciences</w:t>
      </w:r>
      <w:r w:rsidR="00D24E40">
        <w:t>, and</w:t>
      </w:r>
      <w:r w:rsidRPr="00A5372B">
        <w:t xml:space="preserve"> maintains the Mass General Research Institute, and the Brigham Research Institute</w:t>
      </w:r>
      <w:r w:rsidR="006815F3">
        <w:t xml:space="preserve"> </w:t>
      </w:r>
      <w:r w:rsidR="00D24E40">
        <w:t>(</w:t>
      </w:r>
      <w:r w:rsidRPr="00A5372B">
        <w:t>both are private, non-profit medical research enterprises</w:t>
      </w:r>
      <w:r w:rsidR="00D24E40">
        <w:t>)</w:t>
      </w:r>
      <w:r w:rsidRPr="00A5372B">
        <w:t xml:space="preserve">. </w:t>
      </w:r>
      <w:r w:rsidR="00D24E40">
        <w:t xml:space="preserve">It also it operates </w:t>
      </w:r>
      <w:r w:rsidR="00D24E40" w:rsidRPr="00D24E40">
        <w:t>a for-profit insurance company</w:t>
      </w:r>
      <w:r w:rsidR="00D24E40">
        <w:t>.</w:t>
      </w:r>
    </w:p>
  </w:footnote>
  <w:footnote w:id="2">
    <w:p w14:paraId="334C07B0" w14:textId="77777777" w:rsidR="00B4582F" w:rsidRPr="00B4582F" w:rsidRDefault="00B4582F" w:rsidP="00B4582F">
      <w:pPr>
        <w:pStyle w:val="FootnoteText"/>
        <w:rPr>
          <w:rFonts w:cstheme="minorHAnsi"/>
        </w:rPr>
      </w:pPr>
      <w:r w:rsidRPr="00B4582F">
        <w:rPr>
          <w:rStyle w:val="FootnoteReference"/>
          <w:rFonts w:cstheme="minorHAnsi"/>
        </w:rPr>
        <w:footnoteRef/>
      </w:r>
      <w:r w:rsidRPr="00B4582F">
        <w:rPr>
          <w:rFonts w:cstheme="minorHAnsi"/>
        </w:rPr>
        <w:t xml:space="preserve"> Utilization of patient care services at the following MGB organizations was used to determine CDH’s Patient Panel: </w:t>
      </w:r>
      <w:r w:rsidRPr="00B4582F">
        <w:rPr>
          <w:rFonts w:cstheme="minorHAnsi"/>
          <w:color w:val="000000"/>
        </w:rPr>
        <w:t>Cooley Dickinson Hospital and Cooley Dickinson Physicians Organization.</w:t>
      </w:r>
    </w:p>
  </w:footnote>
  <w:footnote w:id="3">
    <w:p w14:paraId="2CB0FDE1" w14:textId="383B3366" w:rsidR="00272CB1" w:rsidRPr="00BA6885" w:rsidRDefault="00272CB1">
      <w:pPr>
        <w:pStyle w:val="FootnoteText"/>
      </w:pPr>
      <w:r w:rsidRPr="00BA6885">
        <w:rPr>
          <w:rStyle w:val="FootnoteReference"/>
          <w:rFonts w:cstheme="minorHAnsi"/>
        </w:rPr>
        <w:footnoteRef/>
      </w:r>
      <w:r w:rsidRPr="00BA6885">
        <w:rPr>
          <w:rFonts w:cstheme="minorHAnsi"/>
        </w:rPr>
        <w:t xml:space="preserve"> As defined</w:t>
      </w:r>
      <w:r w:rsidR="00BA6885" w:rsidRPr="00BA6885">
        <w:rPr>
          <w:rFonts w:cstheme="minorHAnsi"/>
        </w:rPr>
        <w:t>,</w:t>
      </w:r>
      <w:r w:rsidRPr="00BA6885">
        <w:rPr>
          <w:rFonts w:cstheme="minorHAnsi"/>
        </w:rPr>
        <w:t xml:space="preserve"> in </w:t>
      </w:r>
      <w:r w:rsidR="00BA6885" w:rsidRPr="00BA6885">
        <w:rPr>
          <w:rFonts w:cstheme="minorHAnsi"/>
        </w:rPr>
        <w:t xml:space="preserve">part, in </w:t>
      </w:r>
      <w:r w:rsidRPr="00BA6885">
        <w:rPr>
          <w:rFonts w:cstheme="minorHAnsi"/>
        </w:rPr>
        <w:t>105 CMR 100.100, Patient Panel is the total of the individual patients regardless of payer, including those patients seen within an emergency department(s) if applicable, seen over the course of the most recent complete 36-month period by the Applicant or Holder</w:t>
      </w:r>
      <w:r w:rsidR="00BA6885" w:rsidRPr="00BA6885">
        <w:rPr>
          <w:rFonts w:cstheme="minorHAnsi"/>
        </w:rPr>
        <w:t>.</w:t>
      </w:r>
    </w:p>
  </w:footnote>
  <w:footnote w:id="4">
    <w:p w14:paraId="0F3FEB2E" w14:textId="77777777" w:rsidR="00E76908" w:rsidRPr="00BA6885" w:rsidRDefault="00E76908" w:rsidP="00E76908">
      <w:pPr>
        <w:pStyle w:val="FootnoteText"/>
        <w:rPr>
          <w:rFonts w:cstheme="minorHAnsi"/>
        </w:rPr>
      </w:pPr>
      <w:r w:rsidRPr="00BA6885">
        <w:rPr>
          <w:rStyle w:val="FootnoteReference"/>
          <w:rFonts w:ascii="Arial" w:hAnsi="Arial" w:cs="Arial"/>
        </w:rPr>
        <w:footnoteRef/>
      </w:r>
      <w:r w:rsidRPr="00BA6885">
        <w:rPr>
          <w:rFonts w:ascii="Arial" w:hAnsi="Arial" w:cs="Arial"/>
        </w:rPr>
        <w:t xml:space="preserve"> </w:t>
      </w:r>
      <w:r w:rsidRPr="00BA6885">
        <w:rPr>
          <w:rFonts w:cstheme="minorHAnsi"/>
        </w:rPr>
        <w:t xml:space="preserve">The Applicant’s fiscal year is from October 1 – September 30. The fiscal year data was pulled as of January 3, 2023. </w:t>
      </w:r>
    </w:p>
  </w:footnote>
  <w:footnote w:id="5">
    <w:p w14:paraId="56A2A88B" w14:textId="2A407F9B" w:rsidR="00F2020A" w:rsidRDefault="00F2020A">
      <w:pPr>
        <w:pStyle w:val="FootnoteText"/>
      </w:pPr>
      <w:r>
        <w:rPr>
          <w:rStyle w:val="FootnoteReference"/>
        </w:rPr>
        <w:footnoteRef/>
      </w:r>
      <w:r>
        <w:t xml:space="preserve"> Included in </w:t>
      </w:r>
      <w:r w:rsidRPr="004C08F3">
        <w:t>Patient Origin - In MA but not in HSA 1-6</w:t>
      </w:r>
      <w:r>
        <w:t xml:space="preserve"> Cohort</w:t>
      </w:r>
    </w:p>
  </w:footnote>
  <w:footnote w:id="6">
    <w:p w14:paraId="31D03AB0" w14:textId="6A8D0100" w:rsidR="00701842" w:rsidRPr="00000D50" w:rsidRDefault="00701842">
      <w:pPr>
        <w:pStyle w:val="FootnoteText"/>
      </w:pPr>
      <w:r w:rsidRPr="00000D50">
        <w:rPr>
          <w:rStyle w:val="FootnoteReference"/>
        </w:rPr>
        <w:footnoteRef/>
      </w:r>
      <w:r w:rsidRPr="00000D50">
        <w:t xml:space="preserve"> Commercial plans without an identified product type were included in the PPO/Indemnity product category.</w:t>
      </w:r>
    </w:p>
  </w:footnote>
  <w:footnote w:id="7">
    <w:p w14:paraId="353221A8" w14:textId="3AA01E56" w:rsidR="00701842" w:rsidRPr="00000D50" w:rsidRDefault="00701842">
      <w:pPr>
        <w:pStyle w:val="FootnoteText"/>
      </w:pPr>
      <w:r w:rsidRPr="00000D50">
        <w:rPr>
          <w:rStyle w:val="FootnoteReference"/>
        </w:rPr>
        <w:footnoteRef/>
      </w:r>
      <w:r w:rsidRPr="00000D50">
        <w:t xml:space="preserve"> Includes ConnectorCare plans.</w:t>
      </w:r>
    </w:p>
  </w:footnote>
  <w:footnote w:id="8">
    <w:p w14:paraId="5A2FDFD7" w14:textId="23166CC5" w:rsidR="00701842" w:rsidRPr="00000D50" w:rsidRDefault="00701842" w:rsidP="00000D50">
      <w:pPr>
        <w:spacing w:after="0"/>
        <w:rPr>
          <w:rFonts w:ascii="Calibri" w:eastAsia="Times New Roman" w:hAnsi="Calibri" w:cs="Calibri"/>
          <w:color w:val="000000"/>
          <w:sz w:val="20"/>
          <w:szCs w:val="20"/>
        </w:rPr>
      </w:pPr>
      <w:r w:rsidRPr="00000D50">
        <w:rPr>
          <w:rStyle w:val="FootnoteReference"/>
          <w:sz w:val="20"/>
          <w:szCs w:val="20"/>
        </w:rPr>
        <w:footnoteRef/>
      </w:r>
      <w:r w:rsidRPr="00000D50">
        <w:rPr>
          <w:sz w:val="20"/>
          <w:szCs w:val="20"/>
        </w:rPr>
        <w:t xml:space="preserve"> </w:t>
      </w:r>
      <w:r w:rsidRPr="00000D50">
        <w:rPr>
          <w:rFonts w:ascii="Calibri" w:eastAsia="Times New Roman" w:hAnsi="Calibri" w:cs="Calibri"/>
          <w:color w:val="000000"/>
          <w:sz w:val="20"/>
          <w:szCs w:val="20"/>
        </w:rPr>
        <w:t>Includes Medicare supplements.</w:t>
      </w:r>
    </w:p>
  </w:footnote>
  <w:footnote w:id="9">
    <w:p w14:paraId="74215A76" w14:textId="54460514" w:rsidR="00701842" w:rsidRPr="00000D50" w:rsidRDefault="00701842" w:rsidP="00000D50">
      <w:pPr>
        <w:rPr>
          <w:rFonts w:ascii="Calibri" w:eastAsia="Times New Roman" w:hAnsi="Calibri" w:cs="Calibri"/>
          <w:color w:val="000000"/>
          <w:sz w:val="20"/>
          <w:szCs w:val="20"/>
        </w:rPr>
      </w:pPr>
      <w:r w:rsidRPr="00000D50">
        <w:rPr>
          <w:rStyle w:val="FootnoteReference"/>
          <w:sz w:val="20"/>
          <w:szCs w:val="20"/>
        </w:rPr>
        <w:footnoteRef/>
      </w:r>
      <w:r w:rsidRPr="00000D50">
        <w:rPr>
          <w:sz w:val="20"/>
          <w:szCs w:val="20"/>
        </w:rPr>
        <w:t xml:space="preserve"> </w:t>
      </w:r>
      <w:r w:rsidRPr="00000D50">
        <w:rPr>
          <w:rFonts w:ascii="Calibri" w:eastAsia="Times New Roman" w:hAnsi="Calibri" w:cs="Calibri"/>
          <w:color w:val="000000"/>
          <w:sz w:val="20"/>
          <w:szCs w:val="20"/>
        </w:rPr>
        <w:t>Includes Free Care, TriCare, VA, Uninsured COVID-19 tests, Workers Compensation, International, and other uncategorized plans.</w:t>
      </w:r>
    </w:p>
    <w:p w14:paraId="61C3176D" w14:textId="199349A7" w:rsidR="00701842" w:rsidRDefault="00701842">
      <w:pPr>
        <w:pStyle w:val="FootnoteText"/>
      </w:pPr>
    </w:p>
  </w:footnote>
  <w:footnote w:id="10">
    <w:p w14:paraId="40F53447" w14:textId="06A4106C" w:rsidR="00D276EB" w:rsidRPr="00EF1D35" w:rsidRDefault="00D276EB" w:rsidP="00D276EB">
      <w:pPr>
        <w:pStyle w:val="FootnoteText"/>
        <w:rPr>
          <w:rFonts w:cstheme="minorHAnsi"/>
        </w:rPr>
      </w:pPr>
      <w:r w:rsidRPr="004B4DC1">
        <w:rPr>
          <w:rStyle w:val="FootnoteReference"/>
          <w:rFonts w:cstheme="minorHAnsi"/>
        </w:rPr>
        <w:footnoteRef/>
      </w:r>
      <w:r w:rsidRPr="004B4DC1">
        <w:rPr>
          <w:rFonts w:cstheme="minorHAnsi"/>
        </w:rPr>
        <w:t xml:space="preserve"> To be designated a PSS Hospital, a hospital must be equipped to readily provide timely acute stroke evaluation and treatment, and “must provide emergency diagnostic and therapeutic services 24 hours-a-day, seven days-a-week to </w:t>
      </w:r>
      <w:r w:rsidRPr="00EF1D35">
        <w:rPr>
          <w:rFonts w:cstheme="minorHAnsi"/>
        </w:rPr>
        <w:t xml:space="preserve">patients presenting with symptoms of acute stroke.” </w:t>
      </w:r>
      <w:hyperlink r:id="rId1" w:history="1">
        <w:r w:rsidRPr="00EF1D35">
          <w:rPr>
            <w:rStyle w:val="Hyperlink"/>
            <w:rFonts w:cstheme="minorHAnsi"/>
            <w:i/>
            <w:iCs/>
            <w:color w:val="auto"/>
            <w:u w:val="none"/>
          </w:rPr>
          <w:t>Primary Stroke Service validation</w:t>
        </w:r>
      </w:hyperlink>
      <w:r w:rsidRPr="00EF1D35">
        <w:rPr>
          <w:rFonts w:cstheme="minorHAnsi"/>
          <w:i/>
          <w:iCs/>
        </w:rPr>
        <w:t xml:space="preserve">, </w:t>
      </w:r>
      <w:r w:rsidRPr="00EF1D35">
        <w:rPr>
          <w:rFonts w:cstheme="minorHAnsi"/>
        </w:rPr>
        <w:t>Mass. Dep’t of Pub. Health,</w:t>
      </w:r>
      <w:r w:rsidRPr="00EF1D35">
        <w:rPr>
          <w:rFonts w:cstheme="minorHAnsi"/>
          <w:i/>
          <w:iCs/>
        </w:rPr>
        <w:t xml:space="preserve"> </w:t>
      </w:r>
      <w:hyperlink r:id="rId2" w:history="1">
        <w:r w:rsidR="00EF1D35" w:rsidRPr="00EF1D35">
          <w:rPr>
            <w:rStyle w:val="Hyperlink"/>
            <w:rFonts w:cstheme="minorHAnsi"/>
            <w:color w:val="auto"/>
            <w:u w:val="none"/>
          </w:rPr>
          <w:t>https://www.mass.gov/info-details/primary-stroke-service-pss-validation</w:t>
        </w:r>
      </w:hyperlink>
      <w:r w:rsidR="00EF1D35" w:rsidRPr="00EF1D35">
        <w:rPr>
          <w:rFonts w:cstheme="minorHAnsi"/>
        </w:rPr>
        <w:t xml:space="preserve"> </w:t>
      </w:r>
      <w:r w:rsidRPr="00EF1D35">
        <w:rPr>
          <w:rFonts w:cstheme="minorHAnsi"/>
        </w:rPr>
        <w:t xml:space="preserve"> (last visited Feb. 24, 2022). </w:t>
      </w:r>
      <w:r w:rsidRPr="00EF1D35">
        <w:rPr>
          <w:rFonts w:cstheme="minorHAnsi"/>
          <w:i/>
          <w:iCs/>
        </w:rPr>
        <w:t>See also</w:t>
      </w:r>
      <w:r w:rsidRPr="00EF1D35">
        <w:rPr>
          <w:rFonts w:cstheme="minorHAnsi"/>
        </w:rPr>
        <w:t xml:space="preserve">, </w:t>
      </w:r>
      <w:hyperlink r:id="rId3" w:history="1">
        <w:r w:rsidRPr="00EF1D35">
          <w:rPr>
            <w:rStyle w:val="Hyperlink"/>
            <w:rFonts w:cstheme="minorHAnsi"/>
            <w:i/>
            <w:iCs/>
            <w:color w:val="auto"/>
            <w:u w:val="none"/>
          </w:rPr>
          <w:t xml:space="preserve">Designated Primary Stroke Services </w:t>
        </w:r>
        <w:r w:rsidRPr="00EF1D35">
          <w:rPr>
            <w:rStyle w:val="Hyperlink"/>
            <w:rFonts w:cstheme="minorHAnsi"/>
            <w:color w:val="auto"/>
            <w:u w:val="none"/>
          </w:rPr>
          <w:t>Hospitals</w:t>
        </w:r>
      </w:hyperlink>
      <w:r w:rsidRPr="00EF1D35">
        <w:rPr>
          <w:rFonts w:cstheme="minorHAnsi"/>
        </w:rPr>
        <w:t xml:space="preserve">, Mass. Dep’t of Pub. Health, </w:t>
      </w:r>
      <w:hyperlink r:id="rId4" w:history="1">
        <w:r w:rsidR="00EF1D35" w:rsidRPr="00EF1D35">
          <w:rPr>
            <w:rStyle w:val="Hyperlink"/>
            <w:rFonts w:cstheme="minorHAnsi"/>
            <w:color w:val="auto"/>
            <w:u w:val="none"/>
          </w:rPr>
          <w:t>https://www.mass.gov/info-details/designated-primary-stroke-services-hospitals</w:t>
        </w:r>
      </w:hyperlink>
      <w:r w:rsidR="00EF1D35" w:rsidRPr="00EF1D35">
        <w:rPr>
          <w:rFonts w:cstheme="minorHAnsi"/>
        </w:rPr>
        <w:t xml:space="preserve"> </w:t>
      </w:r>
      <w:r w:rsidRPr="00EF1D35">
        <w:rPr>
          <w:rFonts w:cstheme="minorHAnsi"/>
        </w:rPr>
        <w:t xml:space="preserve"> (last visited Feb. 24, 2022).</w:t>
      </w:r>
    </w:p>
  </w:footnote>
  <w:footnote w:id="11">
    <w:p w14:paraId="40CF706C" w14:textId="1D8667B7" w:rsidR="00D276EB" w:rsidRPr="004B4DC1" w:rsidRDefault="00D276EB" w:rsidP="00D276EB">
      <w:pPr>
        <w:pStyle w:val="FootnoteText"/>
        <w:rPr>
          <w:rFonts w:cstheme="minorHAnsi"/>
        </w:rPr>
      </w:pPr>
      <w:r w:rsidRPr="00EF1D35">
        <w:rPr>
          <w:rStyle w:val="FootnoteReference"/>
          <w:rFonts w:cstheme="minorHAnsi"/>
        </w:rPr>
        <w:footnoteRef/>
      </w:r>
      <w:r w:rsidRPr="00EF1D35">
        <w:rPr>
          <w:rFonts w:cstheme="minorHAnsi"/>
        </w:rPr>
        <w:t xml:space="preserve"> </w:t>
      </w:r>
      <w:hyperlink r:id="rId5" w:anchor=":~:text=When%20administered%20quickly%20after%20stroke,of%20damage%20and%20functional%20impairment" w:history="1">
        <w:r w:rsidRPr="00EF1D35">
          <w:rPr>
            <w:rStyle w:val="Hyperlink"/>
            <w:rFonts w:cstheme="minorHAnsi"/>
            <w:color w:val="auto"/>
            <w:u w:val="none"/>
          </w:rPr>
          <w:t>National Institute of Neurological Disorders and Stroke</w:t>
        </w:r>
      </w:hyperlink>
      <w:r w:rsidRPr="00EF1D35">
        <w:rPr>
          <w:rFonts w:cstheme="minorHAnsi"/>
        </w:rPr>
        <w:t xml:space="preserve"> </w:t>
      </w:r>
      <w:hyperlink r:id="rId6" w:history="1">
        <w:r w:rsidR="00EF1D35" w:rsidRPr="00EF1D35">
          <w:rPr>
            <w:rStyle w:val="Hyperlink"/>
            <w:rFonts w:cstheme="minorHAnsi"/>
            <w:color w:val="auto"/>
            <w:u w:val="none"/>
          </w:rPr>
          <w:t>https://www.ninds.nih.gov/about-ninds/impact/ninds-contributions-approved-therapies/tissue-plasminogen-activator-acute-ischemic-stroke-alteplase-activaser#:~:text=When%20administered%20quickly%20after%20stroke,of%20damage%20and%20functional%20impairment</w:t>
        </w:r>
      </w:hyperlink>
      <w:r w:rsidR="00EF1D35" w:rsidRPr="00EF1D35">
        <w:rPr>
          <w:rFonts w:cstheme="minorHAnsi"/>
        </w:rPr>
        <w:t xml:space="preserve"> </w:t>
      </w:r>
      <w:r w:rsidRPr="00EF1D35">
        <w:rPr>
          <w:rFonts w:cstheme="minorHAnsi"/>
        </w:rPr>
        <w:t>.</w:t>
      </w:r>
    </w:p>
  </w:footnote>
  <w:footnote w:id="12">
    <w:p w14:paraId="7118C5CF" w14:textId="77777777" w:rsidR="00D276EB" w:rsidRPr="004B4DC1" w:rsidRDefault="00D276EB" w:rsidP="00D276EB">
      <w:pPr>
        <w:pStyle w:val="FootnoteText"/>
        <w:rPr>
          <w:rFonts w:cstheme="minorHAnsi"/>
        </w:rPr>
      </w:pPr>
      <w:r w:rsidRPr="005657C5">
        <w:rPr>
          <w:rStyle w:val="FootnoteReference"/>
          <w:rFonts w:cstheme="minorHAnsi"/>
        </w:rPr>
        <w:footnoteRef/>
      </w:r>
      <w:r w:rsidRPr="005657C5">
        <w:rPr>
          <w:rFonts w:cstheme="minorHAnsi"/>
        </w:rPr>
        <w:t xml:space="preserve"> This does not include patients who need 3-month, 6-month or annual CT exams that are schedule in advance.</w:t>
      </w:r>
    </w:p>
  </w:footnote>
  <w:footnote w:id="13">
    <w:p w14:paraId="5E698996" w14:textId="4BCBB8F1" w:rsidR="00D276EB" w:rsidRPr="00214B85" w:rsidRDefault="00D276EB" w:rsidP="00D276EB">
      <w:pPr>
        <w:pStyle w:val="FootnoteText"/>
      </w:pPr>
      <w:r>
        <w:rPr>
          <w:rStyle w:val="FootnoteReference"/>
        </w:rPr>
        <w:footnoteRef/>
      </w:r>
      <w:r>
        <w:t xml:space="preserve">  </w:t>
      </w:r>
      <w:r w:rsidR="003B2FD6">
        <w:t>CT-</w:t>
      </w:r>
      <w:r w:rsidRPr="00214B85">
        <w:t>IR is a way to diagnose and treat cancer and other conditions without major surgery</w:t>
      </w:r>
    </w:p>
  </w:footnote>
  <w:footnote w:id="14">
    <w:p w14:paraId="11D03535" w14:textId="77777777" w:rsidR="00D276EB" w:rsidRDefault="00D276EB" w:rsidP="00D276EB">
      <w:pPr>
        <w:pStyle w:val="FootnoteText"/>
      </w:pPr>
      <w:r>
        <w:rPr>
          <w:rStyle w:val="FootnoteReference"/>
        </w:rPr>
        <w:footnoteRef/>
      </w:r>
      <w:r>
        <w:t xml:space="preserve">  CCTA is a non-invasive way to evaluate the blood vessels of the heart.</w:t>
      </w:r>
    </w:p>
  </w:footnote>
  <w:footnote w:id="15">
    <w:p w14:paraId="7B95F370" w14:textId="77777777" w:rsidR="00D276EB" w:rsidRDefault="00D276EB" w:rsidP="00D276EB">
      <w:pPr>
        <w:pStyle w:val="FootnoteText"/>
      </w:pPr>
      <w:r>
        <w:rPr>
          <w:rStyle w:val="FootnoteReference"/>
        </w:rPr>
        <w:footnoteRef/>
      </w:r>
      <w:r>
        <w:t xml:space="preserve"> As generally the patient needs preparations that may include being NPO, and an IV contrast agent administered. </w:t>
      </w:r>
    </w:p>
  </w:footnote>
  <w:footnote w:id="16">
    <w:p w14:paraId="42A910F0" w14:textId="3EE0E627" w:rsidR="00D276EB" w:rsidRPr="00CE2533" w:rsidRDefault="00D276EB" w:rsidP="00D276EB">
      <w:pPr>
        <w:pStyle w:val="FootnoteText"/>
        <w:rPr>
          <w:rFonts w:cstheme="minorHAnsi"/>
        </w:rPr>
      </w:pPr>
      <w:r w:rsidRPr="00CE2533">
        <w:rPr>
          <w:rStyle w:val="FootnoteReference"/>
          <w:rFonts w:cstheme="minorHAnsi"/>
        </w:rPr>
        <w:footnoteRef/>
      </w:r>
      <w:r w:rsidRPr="00CE2533">
        <w:rPr>
          <w:rFonts w:cstheme="minorHAnsi"/>
        </w:rPr>
        <w:t xml:space="preserve"> </w:t>
      </w:r>
      <w:hyperlink r:id="rId7" w:history="1">
        <w:r w:rsidRPr="00CE2533">
          <w:rPr>
            <w:rStyle w:val="Hyperlink"/>
            <w:rFonts w:cstheme="minorHAnsi"/>
            <w:i/>
            <w:iCs/>
            <w:color w:val="auto"/>
            <w:u w:val="none"/>
          </w:rPr>
          <w:t>Mass. Population Projections</w:t>
        </w:r>
      </w:hyperlink>
      <w:r w:rsidRPr="00CE2533">
        <w:rPr>
          <w:rFonts w:cstheme="minorHAnsi"/>
        </w:rPr>
        <w:t xml:space="preserve">, UMass.: Donahue Inst. (Sept. 2018), </w:t>
      </w:r>
      <w:hyperlink r:id="rId8" w:history="1">
        <w:r w:rsidR="00CE2533" w:rsidRPr="00CE2533">
          <w:rPr>
            <w:rStyle w:val="Hyperlink"/>
            <w:rFonts w:cstheme="minorHAnsi"/>
            <w:color w:val="auto"/>
            <w:u w:val="none"/>
          </w:rPr>
          <w:t>http://www.pep.donahue-institute.org/</w:t>
        </w:r>
      </w:hyperlink>
      <w:r w:rsidR="00CE2533" w:rsidRPr="00CE2533">
        <w:rPr>
          <w:rFonts w:cstheme="minorHAnsi"/>
        </w:rPr>
        <w:t xml:space="preserve"> </w:t>
      </w:r>
    </w:p>
  </w:footnote>
  <w:footnote w:id="17">
    <w:p w14:paraId="6AFBADC3" w14:textId="77777777" w:rsidR="00D276EB" w:rsidRPr="008C24C9" w:rsidRDefault="00D276EB" w:rsidP="00D276EB">
      <w:pPr>
        <w:pStyle w:val="FootnoteText"/>
        <w:rPr>
          <w:rFonts w:ascii="Arial" w:hAnsi="Arial" w:cs="Arial"/>
          <w:i/>
          <w:iCs/>
          <w:sz w:val="18"/>
          <w:szCs w:val="18"/>
        </w:rPr>
      </w:pPr>
      <w:r w:rsidRPr="00A55A1F">
        <w:rPr>
          <w:rStyle w:val="FootnoteReference"/>
          <w:rFonts w:cstheme="minorHAnsi"/>
        </w:rPr>
        <w:footnoteRef/>
      </w:r>
      <w:r w:rsidRPr="00A55A1F">
        <w:rPr>
          <w:rFonts w:cstheme="minorHAnsi"/>
        </w:rPr>
        <w:t xml:space="preserve"> </w:t>
      </w:r>
      <w:r w:rsidRPr="00A55A1F">
        <w:rPr>
          <w:rFonts w:cstheme="minorHAnsi"/>
          <w:i/>
          <w:iCs/>
        </w:rPr>
        <w:t>Id.</w:t>
      </w:r>
    </w:p>
  </w:footnote>
  <w:footnote w:id="18">
    <w:p w14:paraId="5446053A" w14:textId="3F060C5D" w:rsidR="009E7CA4" w:rsidRDefault="009E7CA4" w:rsidP="00D276EB">
      <w:pPr>
        <w:pStyle w:val="FootnoteText"/>
      </w:pPr>
      <w:r>
        <w:rPr>
          <w:rStyle w:val="FootnoteReference"/>
        </w:rPr>
        <w:footnoteRef/>
      </w:r>
      <w:r>
        <w:t xml:space="preserve"> Includes C</w:t>
      </w:r>
      <w:r w:rsidR="00B700D1">
        <w:t>C</w:t>
      </w:r>
      <w:r>
        <w:t xml:space="preserve">TA </w:t>
      </w:r>
    </w:p>
  </w:footnote>
  <w:footnote w:id="19">
    <w:p w14:paraId="53B7E554" w14:textId="55AE29E4" w:rsidR="00230729" w:rsidRDefault="00230729">
      <w:pPr>
        <w:pStyle w:val="FootnoteText"/>
      </w:pPr>
      <w:r>
        <w:rPr>
          <w:rStyle w:val="FootnoteReference"/>
        </w:rPr>
        <w:footnoteRef/>
      </w:r>
      <w:r>
        <w:t xml:space="preserve"> </w:t>
      </w:r>
      <w:r w:rsidRPr="00230729">
        <w:t>MDPH Hospital Admissions data.</w:t>
      </w:r>
    </w:p>
  </w:footnote>
  <w:footnote w:id="20">
    <w:p w14:paraId="2051BAFB" w14:textId="6FE0A47B" w:rsidR="005F5229" w:rsidRDefault="005F5229">
      <w:pPr>
        <w:pStyle w:val="FootnoteText"/>
      </w:pPr>
      <w:r>
        <w:rPr>
          <w:rStyle w:val="FootnoteReference"/>
        </w:rPr>
        <w:footnoteRef/>
      </w:r>
      <w:r>
        <w:t xml:space="preserve"> </w:t>
      </w:r>
      <w:r w:rsidRPr="00230729">
        <w:t>County Health Rankings</w:t>
      </w:r>
    </w:p>
  </w:footnote>
  <w:footnote w:id="21">
    <w:p w14:paraId="6396AD69" w14:textId="0A871402" w:rsidR="003A0C72" w:rsidRDefault="003A0C72">
      <w:pPr>
        <w:pStyle w:val="FootnoteText"/>
      </w:pPr>
      <w:r>
        <w:rPr>
          <w:rStyle w:val="FootnoteReference"/>
        </w:rPr>
        <w:footnoteRef/>
      </w:r>
      <w:r>
        <w:t xml:space="preserve"> which </w:t>
      </w:r>
      <w:r w:rsidRPr="00C67247">
        <w:rPr>
          <w:bCs/>
        </w:rPr>
        <w:t>is a closed loop communication for all ED cases 24 hours a day, 7 days a week</w:t>
      </w:r>
      <w:r>
        <w:rPr>
          <w:bCs/>
        </w:rPr>
        <w:t>.</w:t>
      </w:r>
    </w:p>
  </w:footnote>
  <w:footnote w:id="22">
    <w:p w14:paraId="385CC10D" w14:textId="77777777" w:rsidR="00272CB1" w:rsidRPr="0010344C" w:rsidRDefault="00272CB1" w:rsidP="003E1CDA">
      <w:pPr>
        <w:pStyle w:val="FootnoteText"/>
        <w:rPr>
          <w:sz w:val="18"/>
          <w:szCs w:val="18"/>
        </w:rPr>
      </w:pPr>
      <w:r w:rsidRPr="0010344C">
        <w:rPr>
          <w:rStyle w:val="FootnoteReference"/>
          <w:sz w:val="18"/>
          <w:szCs w:val="18"/>
        </w:rPr>
        <w:footnoteRef/>
      </w:r>
      <w:r w:rsidRPr="0010344C">
        <w:rPr>
          <w:sz w:val="18"/>
          <w:szCs w:val="18"/>
        </w:rPr>
        <w:t xml:space="preserve"> Community Engagement Standards for Community Health Planning Guideline</w:t>
      </w:r>
    </w:p>
  </w:footnote>
  <w:footnote w:id="23">
    <w:p w14:paraId="5966E8BC" w14:textId="67CBFF88" w:rsidR="00272CB1" w:rsidRPr="0010344C" w:rsidRDefault="00272CB1" w:rsidP="003E1CDA">
      <w:pPr>
        <w:pStyle w:val="FootnoteText"/>
        <w:rPr>
          <w:sz w:val="18"/>
          <w:szCs w:val="18"/>
        </w:rPr>
      </w:pPr>
      <w:r w:rsidRPr="0010344C">
        <w:rPr>
          <w:rStyle w:val="FootnoteReference"/>
          <w:sz w:val="18"/>
          <w:szCs w:val="18"/>
        </w:rPr>
        <w:footnoteRef/>
      </w:r>
      <w:r w:rsidRPr="0010344C">
        <w:rPr>
          <w:sz w:val="18"/>
          <w:szCs w:val="18"/>
        </w:rPr>
        <w:t xml:space="preserve"> </w:t>
      </w:r>
      <w:hyperlink r:id="rId9" w:history="1">
        <w:r w:rsidRPr="00C365AE">
          <w:rPr>
            <w:rStyle w:val="Hyperlink"/>
            <w:color w:val="auto"/>
            <w:sz w:val="18"/>
            <w:szCs w:val="18"/>
            <w:u w:val="none"/>
          </w:rPr>
          <w:t>DoN Regulation 100.210 (A)(1)(e).</w:t>
        </w:r>
      </w:hyperlink>
      <w:r w:rsidRPr="0010344C">
        <w:rPr>
          <w:sz w:val="18"/>
          <w:szCs w:val="18"/>
        </w:rPr>
        <w:t xml:space="preserve"> </w:t>
      </w:r>
      <w:hyperlink r:id="rId10" w:history="1">
        <w:r>
          <w:rPr>
            <w:rStyle w:val="Hyperlink"/>
            <w:sz w:val="18"/>
            <w:szCs w:val="18"/>
          </w:rPr>
          <w:t>Available at https://www.mass.gov/files/documents/2018/12/31/jud-lib-105cmr100.pdf</w:t>
        </w:r>
      </w:hyperlink>
      <w:r w:rsidRPr="0010344C">
        <w:rPr>
          <w:sz w:val="18"/>
          <w:szCs w:val="18"/>
        </w:rPr>
        <w:t xml:space="preserve"> </w:t>
      </w:r>
    </w:p>
  </w:footnote>
  <w:footnote w:id="24">
    <w:p w14:paraId="57424804" w14:textId="48E9E2D9" w:rsidR="002A5813" w:rsidRDefault="002A5813">
      <w:pPr>
        <w:pStyle w:val="FootnoteText"/>
      </w:pPr>
      <w:r>
        <w:rPr>
          <w:rStyle w:val="FootnoteReference"/>
        </w:rPr>
        <w:footnoteRef/>
      </w:r>
      <w:r>
        <w:rPr>
          <w:bCs/>
        </w:rPr>
        <w:t xml:space="preserve"> Initially </w:t>
      </w:r>
      <w:r w:rsidRPr="002A5813">
        <w:rPr>
          <w:bCs/>
        </w:rPr>
        <w:t>CMS has delayed implementation of the Appropriate Use Criteria program to the Jan. 1 to following the end of the COVID-19 public health emergency</w:t>
      </w:r>
      <w:r>
        <w:rPr>
          <w:bCs/>
        </w:rPr>
        <w:t>, but it has now been delayed indefinitely.</w:t>
      </w:r>
    </w:p>
  </w:footnote>
  <w:footnote w:id="25">
    <w:p w14:paraId="1E10EC8B" w14:textId="77777777" w:rsidR="00625877" w:rsidRDefault="00625877" w:rsidP="00625877">
      <w:pPr>
        <w:pStyle w:val="FootnoteText"/>
      </w:pPr>
      <w:r>
        <w:rPr>
          <w:rStyle w:val="FootnoteReference"/>
        </w:rPr>
        <w:footnoteRef/>
      </w:r>
      <w:r>
        <w:t xml:space="preserve"> Financial Ratios </w:t>
      </w:r>
      <w:r w:rsidRPr="006B0C98">
        <w:t>fall into three primary categories: profitability, liquidity, and solvency. Profitability metrics, such as EBIDA, EBIDA Margin, Operating Margin, Total Margin, and Debt Service Coverage Ratio</w:t>
      </w:r>
    </w:p>
  </w:footnote>
  <w:footnote w:id="26">
    <w:p w14:paraId="0A4F4998" w14:textId="651C87C0" w:rsidR="00625877" w:rsidRDefault="00625877" w:rsidP="00625877">
      <w:pPr>
        <w:pStyle w:val="FootnoteText"/>
      </w:pPr>
      <w:r w:rsidRPr="009617BB">
        <w:rPr>
          <w:rStyle w:val="FootnoteReference"/>
        </w:rPr>
        <w:footnoteRef/>
      </w:r>
      <w:r w:rsidRPr="009617BB">
        <w:t xml:space="preserve"> See </w:t>
      </w:r>
      <w:hyperlink r:id="rId11" w:history="1">
        <w:r w:rsidRPr="00C365AE">
          <w:rPr>
            <w:rStyle w:val="Hyperlink"/>
            <w:color w:val="auto"/>
            <w:u w:val="none"/>
          </w:rPr>
          <w:t>CPA report</w:t>
        </w:r>
      </w:hyperlink>
      <w:r w:rsidRPr="00C365AE">
        <w:t xml:space="preserve"> </w:t>
      </w:r>
      <w:hyperlink r:id="rId12" w:history="1">
        <w:r w:rsidR="00C365AE" w:rsidRPr="00C365AE">
          <w:rPr>
            <w:rStyle w:val="Hyperlink"/>
            <w:color w:val="auto"/>
            <w:u w:val="none"/>
          </w:rPr>
          <w:t>https://www.mass.gov/doc/cpa-report-pdf-mass-general-brigham-incorporated/download</w:t>
        </w:r>
      </w:hyperlink>
      <w:r w:rsidR="00C365AE" w:rsidRPr="00C365AE">
        <w:t xml:space="preserve"> </w:t>
      </w:r>
    </w:p>
  </w:footnote>
  <w:footnote w:id="27">
    <w:p w14:paraId="24718109" w14:textId="77777777" w:rsidR="006578AD" w:rsidRPr="00494346" w:rsidRDefault="006578AD" w:rsidP="006578AD">
      <w:pPr>
        <w:pStyle w:val="FootnoteText"/>
        <w:rPr>
          <w:rFonts w:cstheme="minorHAnsi"/>
        </w:rPr>
      </w:pPr>
      <w:r w:rsidRPr="00494346">
        <w:rPr>
          <w:rStyle w:val="FootnoteReference"/>
          <w:rFonts w:cstheme="minorHAnsi"/>
        </w:rPr>
        <w:footnoteRef/>
      </w:r>
      <w:r w:rsidRPr="00494346">
        <w:rPr>
          <w:rFonts w:cstheme="minorHAnsi"/>
        </w:rPr>
        <w:t xml:space="preserve"> This value will not include patients who need 3-month, 6-month or annual CT exams that are schedule in advance.</w:t>
      </w:r>
    </w:p>
  </w:footnote>
  <w:footnote w:id="28">
    <w:p w14:paraId="316FFC7B" w14:textId="77777777" w:rsidR="006578AD" w:rsidRPr="00010F2F" w:rsidRDefault="006578AD" w:rsidP="006578AD">
      <w:pPr>
        <w:pStyle w:val="FootnoteText"/>
        <w:rPr>
          <w:rFonts w:ascii="Arial" w:hAnsi="Arial" w:cs="Arial"/>
          <w:sz w:val="18"/>
          <w:szCs w:val="18"/>
        </w:rPr>
      </w:pPr>
      <w:r w:rsidRPr="00494346">
        <w:rPr>
          <w:rStyle w:val="FootnoteReference"/>
          <w:rFonts w:cstheme="minorHAnsi"/>
        </w:rPr>
        <w:footnoteRef/>
      </w:r>
      <w:r w:rsidRPr="00494346">
        <w:rPr>
          <w:rFonts w:cstheme="minorHAnsi"/>
        </w:rPr>
        <w:t xml:space="preserve"> Measured from March 2022 through February 2023.</w:t>
      </w:r>
      <w:r w:rsidRPr="00010F2F">
        <w:rPr>
          <w:rFonts w:ascii="Arial" w:hAnsi="Arial" w:cs="Arial"/>
          <w:sz w:val="18"/>
          <w:szCs w:val="1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E3CD9"/>
    <w:multiLevelType w:val="hybridMultilevel"/>
    <w:tmpl w:val="525891F0"/>
    <w:lvl w:ilvl="0" w:tplc="402438B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C35BD4"/>
    <w:multiLevelType w:val="hybridMultilevel"/>
    <w:tmpl w:val="E45E9038"/>
    <w:lvl w:ilvl="0" w:tplc="FFFFFFFF">
      <w:start w:val="1"/>
      <w:numFmt w:val="decimal"/>
      <w:lvlText w:val="%1."/>
      <w:lvlJc w:val="left"/>
      <w:pPr>
        <w:ind w:left="360" w:hanging="360"/>
      </w:pPr>
      <w:rPr>
        <w:rFonts w:hint="default"/>
        <w:b/>
        <w:bCs/>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1EAC5354"/>
    <w:multiLevelType w:val="hybridMultilevel"/>
    <w:tmpl w:val="E996A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A370D5"/>
    <w:multiLevelType w:val="hybridMultilevel"/>
    <w:tmpl w:val="04268F58"/>
    <w:lvl w:ilvl="0" w:tplc="67E67F88">
      <w:start w:val="1"/>
      <w:numFmt w:val="decimal"/>
      <w:lvlText w:val="%1."/>
      <w:lvlJc w:val="left"/>
      <w:pPr>
        <w:ind w:left="360" w:hanging="360"/>
      </w:pPr>
      <w:rPr>
        <w:rFonts w:hint="default"/>
        <w:b/>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D4C42E1"/>
    <w:multiLevelType w:val="hybridMultilevel"/>
    <w:tmpl w:val="28AE17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49128F"/>
    <w:multiLevelType w:val="hybridMultilevel"/>
    <w:tmpl w:val="0430091E"/>
    <w:lvl w:ilvl="0" w:tplc="78EC7BE8">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49978644"/>
    <w:multiLevelType w:val="hybridMultilevel"/>
    <w:tmpl w:val="623887FE"/>
    <w:lvl w:ilvl="0" w:tplc="8AB01A34">
      <w:start w:val="1"/>
      <w:numFmt w:val="decimal"/>
      <w:lvlText w:val="%1."/>
      <w:lvlJc w:val="left"/>
      <w:pPr>
        <w:ind w:left="720" w:hanging="360"/>
      </w:pPr>
    </w:lvl>
    <w:lvl w:ilvl="1" w:tplc="B656A7DC">
      <w:start w:val="1"/>
      <w:numFmt w:val="lowerLetter"/>
      <w:lvlText w:val="%2."/>
      <w:lvlJc w:val="left"/>
      <w:pPr>
        <w:ind w:left="1440" w:hanging="360"/>
      </w:pPr>
    </w:lvl>
    <w:lvl w:ilvl="2" w:tplc="2F7C3516">
      <w:start w:val="1"/>
      <w:numFmt w:val="lowerRoman"/>
      <w:lvlText w:val="%3."/>
      <w:lvlJc w:val="right"/>
      <w:pPr>
        <w:ind w:left="2160" w:hanging="180"/>
      </w:pPr>
    </w:lvl>
    <w:lvl w:ilvl="3" w:tplc="0B5C0710">
      <w:start w:val="1"/>
      <w:numFmt w:val="decimal"/>
      <w:lvlText w:val="%4."/>
      <w:lvlJc w:val="left"/>
      <w:pPr>
        <w:ind w:left="2880" w:hanging="360"/>
      </w:pPr>
    </w:lvl>
    <w:lvl w:ilvl="4" w:tplc="541ADF7A">
      <w:start w:val="1"/>
      <w:numFmt w:val="lowerLetter"/>
      <w:lvlText w:val="%5."/>
      <w:lvlJc w:val="left"/>
      <w:pPr>
        <w:ind w:left="3600" w:hanging="360"/>
      </w:pPr>
    </w:lvl>
    <w:lvl w:ilvl="5" w:tplc="EC42670E">
      <w:start w:val="1"/>
      <w:numFmt w:val="lowerRoman"/>
      <w:lvlText w:val="%6."/>
      <w:lvlJc w:val="right"/>
      <w:pPr>
        <w:ind w:left="4320" w:hanging="180"/>
      </w:pPr>
    </w:lvl>
    <w:lvl w:ilvl="6" w:tplc="DFDCA1D6">
      <w:start w:val="1"/>
      <w:numFmt w:val="decimal"/>
      <w:lvlText w:val="%7."/>
      <w:lvlJc w:val="left"/>
      <w:pPr>
        <w:ind w:left="5040" w:hanging="360"/>
      </w:pPr>
    </w:lvl>
    <w:lvl w:ilvl="7" w:tplc="042ED704">
      <w:start w:val="1"/>
      <w:numFmt w:val="lowerLetter"/>
      <w:lvlText w:val="%8."/>
      <w:lvlJc w:val="left"/>
      <w:pPr>
        <w:ind w:left="5760" w:hanging="360"/>
      </w:pPr>
    </w:lvl>
    <w:lvl w:ilvl="8" w:tplc="51B2B11A">
      <w:start w:val="1"/>
      <w:numFmt w:val="lowerRoman"/>
      <w:lvlText w:val="%9."/>
      <w:lvlJc w:val="right"/>
      <w:pPr>
        <w:ind w:left="6480" w:hanging="180"/>
      </w:pPr>
    </w:lvl>
  </w:abstractNum>
  <w:abstractNum w:abstractNumId="7" w15:restartNumberingAfterBreak="0">
    <w:nsid w:val="54D240DB"/>
    <w:multiLevelType w:val="hybridMultilevel"/>
    <w:tmpl w:val="BA8033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567175F"/>
    <w:multiLevelType w:val="hybridMultilevel"/>
    <w:tmpl w:val="1166C0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79C42DB"/>
    <w:multiLevelType w:val="hybridMultilevel"/>
    <w:tmpl w:val="46B2AC2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44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E110349"/>
    <w:multiLevelType w:val="hybridMultilevel"/>
    <w:tmpl w:val="5F549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D158BD"/>
    <w:multiLevelType w:val="hybridMultilevel"/>
    <w:tmpl w:val="1BA4EAD8"/>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3401F60"/>
    <w:multiLevelType w:val="hybridMultilevel"/>
    <w:tmpl w:val="B5A27B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5C558E3"/>
    <w:multiLevelType w:val="hybridMultilevel"/>
    <w:tmpl w:val="A7226A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83337430">
    <w:abstractNumId w:val="13"/>
  </w:num>
  <w:num w:numId="2" w16cid:durableId="61606828">
    <w:abstractNumId w:val="3"/>
  </w:num>
  <w:num w:numId="3" w16cid:durableId="1806463221">
    <w:abstractNumId w:val="2"/>
  </w:num>
  <w:num w:numId="4" w16cid:durableId="936909990">
    <w:abstractNumId w:val="0"/>
  </w:num>
  <w:num w:numId="5" w16cid:durableId="1441798640">
    <w:abstractNumId w:val="11"/>
  </w:num>
  <w:num w:numId="6" w16cid:durableId="245262643">
    <w:abstractNumId w:val="7"/>
  </w:num>
  <w:num w:numId="7" w16cid:durableId="1382023992">
    <w:abstractNumId w:val="5"/>
  </w:num>
  <w:num w:numId="8" w16cid:durableId="236595706">
    <w:abstractNumId w:val="8"/>
  </w:num>
  <w:num w:numId="9" w16cid:durableId="521557495">
    <w:abstractNumId w:val="4"/>
  </w:num>
  <w:num w:numId="10" w16cid:durableId="997466486">
    <w:abstractNumId w:val="10"/>
  </w:num>
  <w:num w:numId="11" w16cid:durableId="1496843850">
    <w:abstractNumId w:val="12"/>
  </w:num>
  <w:num w:numId="12" w16cid:durableId="291332384">
    <w:abstractNumId w:val="6"/>
  </w:num>
  <w:num w:numId="13" w16cid:durableId="1095708592">
    <w:abstractNumId w:val="1"/>
  </w:num>
  <w:num w:numId="14" w16cid:durableId="1011762989">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671"/>
    <w:rsid w:val="00000D50"/>
    <w:rsid w:val="00002F91"/>
    <w:rsid w:val="00004B2A"/>
    <w:rsid w:val="00005B62"/>
    <w:rsid w:val="0001189D"/>
    <w:rsid w:val="00011A01"/>
    <w:rsid w:val="0001384C"/>
    <w:rsid w:val="00013859"/>
    <w:rsid w:val="00016549"/>
    <w:rsid w:val="00017030"/>
    <w:rsid w:val="000173BF"/>
    <w:rsid w:val="000208BF"/>
    <w:rsid w:val="00024F01"/>
    <w:rsid w:val="000325FE"/>
    <w:rsid w:val="00032EB5"/>
    <w:rsid w:val="00033993"/>
    <w:rsid w:val="0003581F"/>
    <w:rsid w:val="00035D73"/>
    <w:rsid w:val="00036D6D"/>
    <w:rsid w:val="00040062"/>
    <w:rsid w:val="00040ED6"/>
    <w:rsid w:val="00041F66"/>
    <w:rsid w:val="00043B29"/>
    <w:rsid w:val="000454D6"/>
    <w:rsid w:val="00046C7B"/>
    <w:rsid w:val="00047478"/>
    <w:rsid w:val="00047513"/>
    <w:rsid w:val="00050A3A"/>
    <w:rsid w:val="0005623C"/>
    <w:rsid w:val="00056310"/>
    <w:rsid w:val="00057674"/>
    <w:rsid w:val="00060059"/>
    <w:rsid w:val="00062574"/>
    <w:rsid w:val="00062CF8"/>
    <w:rsid w:val="00063C7E"/>
    <w:rsid w:val="000641F1"/>
    <w:rsid w:val="0006601B"/>
    <w:rsid w:val="00066246"/>
    <w:rsid w:val="00066973"/>
    <w:rsid w:val="00067961"/>
    <w:rsid w:val="00071489"/>
    <w:rsid w:val="00071A17"/>
    <w:rsid w:val="00076C81"/>
    <w:rsid w:val="00076FBC"/>
    <w:rsid w:val="000775A2"/>
    <w:rsid w:val="00082F3B"/>
    <w:rsid w:val="000831D8"/>
    <w:rsid w:val="0008371D"/>
    <w:rsid w:val="000844BC"/>
    <w:rsid w:val="00084C68"/>
    <w:rsid w:val="000901FC"/>
    <w:rsid w:val="0009066A"/>
    <w:rsid w:val="00091809"/>
    <w:rsid w:val="00093059"/>
    <w:rsid w:val="000968AB"/>
    <w:rsid w:val="00096E2C"/>
    <w:rsid w:val="00097BE0"/>
    <w:rsid w:val="00097C15"/>
    <w:rsid w:val="00097CC1"/>
    <w:rsid w:val="000A1340"/>
    <w:rsid w:val="000A1F97"/>
    <w:rsid w:val="000A2D3C"/>
    <w:rsid w:val="000A5D24"/>
    <w:rsid w:val="000A5D87"/>
    <w:rsid w:val="000A7503"/>
    <w:rsid w:val="000B0D1A"/>
    <w:rsid w:val="000B0DC7"/>
    <w:rsid w:val="000B14FE"/>
    <w:rsid w:val="000B3D50"/>
    <w:rsid w:val="000B446D"/>
    <w:rsid w:val="000B5D27"/>
    <w:rsid w:val="000B791A"/>
    <w:rsid w:val="000C0647"/>
    <w:rsid w:val="000C305F"/>
    <w:rsid w:val="000C5F22"/>
    <w:rsid w:val="000C7140"/>
    <w:rsid w:val="000D0E88"/>
    <w:rsid w:val="000D1161"/>
    <w:rsid w:val="000D48AA"/>
    <w:rsid w:val="000D6FDB"/>
    <w:rsid w:val="000D7FC6"/>
    <w:rsid w:val="000E00FD"/>
    <w:rsid w:val="000E1212"/>
    <w:rsid w:val="000E1528"/>
    <w:rsid w:val="000E495C"/>
    <w:rsid w:val="000E69B0"/>
    <w:rsid w:val="000E7D1B"/>
    <w:rsid w:val="000E7E02"/>
    <w:rsid w:val="000F0F70"/>
    <w:rsid w:val="000F1918"/>
    <w:rsid w:val="000F2F0C"/>
    <w:rsid w:val="000F2FAC"/>
    <w:rsid w:val="000F3F55"/>
    <w:rsid w:val="000F5186"/>
    <w:rsid w:val="000F7F55"/>
    <w:rsid w:val="001002AD"/>
    <w:rsid w:val="0010103D"/>
    <w:rsid w:val="00101782"/>
    <w:rsid w:val="001030D8"/>
    <w:rsid w:val="0010344C"/>
    <w:rsid w:val="00105562"/>
    <w:rsid w:val="001055DE"/>
    <w:rsid w:val="00106026"/>
    <w:rsid w:val="00107369"/>
    <w:rsid w:val="00107BAD"/>
    <w:rsid w:val="00112412"/>
    <w:rsid w:val="00112442"/>
    <w:rsid w:val="001145F8"/>
    <w:rsid w:val="00114E20"/>
    <w:rsid w:val="00116498"/>
    <w:rsid w:val="001227A4"/>
    <w:rsid w:val="00122EBD"/>
    <w:rsid w:val="00124503"/>
    <w:rsid w:val="00126522"/>
    <w:rsid w:val="00126C6D"/>
    <w:rsid w:val="00126DDB"/>
    <w:rsid w:val="00126FA7"/>
    <w:rsid w:val="001313C9"/>
    <w:rsid w:val="00132A24"/>
    <w:rsid w:val="00133DDE"/>
    <w:rsid w:val="00134B27"/>
    <w:rsid w:val="00134B3A"/>
    <w:rsid w:val="00135033"/>
    <w:rsid w:val="00137187"/>
    <w:rsid w:val="001410DD"/>
    <w:rsid w:val="0014259F"/>
    <w:rsid w:val="0014785D"/>
    <w:rsid w:val="00151371"/>
    <w:rsid w:val="001529E2"/>
    <w:rsid w:val="0015395D"/>
    <w:rsid w:val="00153A6B"/>
    <w:rsid w:val="00153C36"/>
    <w:rsid w:val="00155EAA"/>
    <w:rsid w:val="0015626A"/>
    <w:rsid w:val="0016069D"/>
    <w:rsid w:val="00160AB0"/>
    <w:rsid w:val="001626F0"/>
    <w:rsid w:val="001658C1"/>
    <w:rsid w:val="0017011D"/>
    <w:rsid w:val="001703BC"/>
    <w:rsid w:val="00171435"/>
    <w:rsid w:val="0017200E"/>
    <w:rsid w:val="00172591"/>
    <w:rsid w:val="00174EF8"/>
    <w:rsid w:val="001752D9"/>
    <w:rsid w:val="00175C8A"/>
    <w:rsid w:val="0017637D"/>
    <w:rsid w:val="00181C32"/>
    <w:rsid w:val="00183163"/>
    <w:rsid w:val="001834EC"/>
    <w:rsid w:val="00184B85"/>
    <w:rsid w:val="00186F0C"/>
    <w:rsid w:val="00187D11"/>
    <w:rsid w:val="00187FC0"/>
    <w:rsid w:val="0019010E"/>
    <w:rsid w:val="001901E8"/>
    <w:rsid w:val="00193129"/>
    <w:rsid w:val="00193EB0"/>
    <w:rsid w:val="001947F1"/>
    <w:rsid w:val="00194AA3"/>
    <w:rsid w:val="00196030"/>
    <w:rsid w:val="001972BF"/>
    <w:rsid w:val="001977EC"/>
    <w:rsid w:val="00197B3E"/>
    <w:rsid w:val="001A0A20"/>
    <w:rsid w:val="001A57D6"/>
    <w:rsid w:val="001A6E48"/>
    <w:rsid w:val="001A6EB3"/>
    <w:rsid w:val="001A6FED"/>
    <w:rsid w:val="001B248B"/>
    <w:rsid w:val="001B71E8"/>
    <w:rsid w:val="001C02C6"/>
    <w:rsid w:val="001C0A38"/>
    <w:rsid w:val="001C0C4E"/>
    <w:rsid w:val="001C2816"/>
    <w:rsid w:val="001C6CAB"/>
    <w:rsid w:val="001D0BE3"/>
    <w:rsid w:val="001D1C8A"/>
    <w:rsid w:val="001D3427"/>
    <w:rsid w:val="001D42A3"/>
    <w:rsid w:val="001D47E9"/>
    <w:rsid w:val="001E00BE"/>
    <w:rsid w:val="001E03D8"/>
    <w:rsid w:val="001E0EFD"/>
    <w:rsid w:val="001E2279"/>
    <w:rsid w:val="001E28BB"/>
    <w:rsid w:val="001E525E"/>
    <w:rsid w:val="001E54B3"/>
    <w:rsid w:val="001F09AD"/>
    <w:rsid w:val="001F16DE"/>
    <w:rsid w:val="001F18E2"/>
    <w:rsid w:val="001F213D"/>
    <w:rsid w:val="001F56D0"/>
    <w:rsid w:val="001F6344"/>
    <w:rsid w:val="00200E14"/>
    <w:rsid w:val="00211EE2"/>
    <w:rsid w:val="00211F53"/>
    <w:rsid w:val="0021249E"/>
    <w:rsid w:val="00214CC9"/>
    <w:rsid w:val="002159E5"/>
    <w:rsid w:val="002170DF"/>
    <w:rsid w:val="002201DF"/>
    <w:rsid w:val="0022028B"/>
    <w:rsid w:val="00220821"/>
    <w:rsid w:val="00220BCB"/>
    <w:rsid w:val="002223E8"/>
    <w:rsid w:val="002237F0"/>
    <w:rsid w:val="00224EE0"/>
    <w:rsid w:val="00225E37"/>
    <w:rsid w:val="00227182"/>
    <w:rsid w:val="00230729"/>
    <w:rsid w:val="002327CA"/>
    <w:rsid w:val="0023423D"/>
    <w:rsid w:val="002349CB"/>
    <w:rsid w:val="002355BC"/>
    <w:rsid w:val="00237F02"/>
    <w:rsid w:val="002400EB"/>
    <w:rsid w:val="0024256A"/>
    <w:rsid w:val="0024289A"/>
    <w:rsid w:val="00243E4A"/>
    <w:rsid w:val="002442B8"/>
    <w:rsid w:val="00244CC8"/>
    <w:rsid w:val="002475FD"/>
    <w:rsid w:val="00250142"/>
    <w:rsid w:val="00250BAA"/>
    <w:rsid w:val="0025118B"/>
    <w:rsid w:val="00252886"/>
    <w:rsid w:val="00254A3F"/>
    <w:rsid w:val="002610FF"/>
    <w:rsid w:val="00261234"/>
    <w:rsid w:val="00263FB5"/>
    <w:rsid w:val="00264FB7"/>
    <w:rsid w:val="00265584"/>
    <w:rsid w:val="0026575E"/>
    <w:rsid w:val="00265CE4"/>
    <w:rsid w:val="0026798D"/>
    <w:rsid w:val="00271905"/>
    <w:rsid w:val="00272CB1"/>
    <w:rsid w:val="0027605B"/>
    <w:rsid w:val="00276466"/>
    <w:rsid w:val="00277797"/>
    <w:rsid w:val="00280B16"/>
    <w:rsid w:val="00281A92"/>
    <w:rsid w:val="00281F95"/>
    <w:rsid w:val="00282E2B"/>
    <w:rsid w:val="00283F07"/>
    <w:rsid w:val="00284E66"/>
    <w:rsid w:val="00287B15"/>
    <w:rsid w:val="00290BA5"/>
    <w:rsid w:val="00290E5C"/>
    <w:rsid w:val="00293A73"/>
    <w:rsid w:val="00294C50"/>
    <w:rsid w:val="0029502B"/>
    <w:rsid w:val="00296C0D"/>
    <w:rsid w:val="002A09FF"/>
    <w:rsid w:val="002A23BC"/>
    <w:rsid w:val="002A27AA"/>
    <w:rsid w:val="002A3EBC"/>
    <w:rsid w:val="002A4AAB"/>
    <w:rsid w:val="002A5813"/>
    <w:rsid w:val="002A61F4"/>
    <w:rsid w:val="002B00C6"/>
    <w:rsid w:val="002B05B4"/>
    <w:rsid w:val="002B1086"/>
    <w:rsid w:val="002B1DC4"/>
    <w:rsid w:val="002B2E11"/>
    <w:rsid w:val="002B30FC"/>
    <w:rsid w:val="002B32FB"/>
    <w:rsid w:val="002B46FA"/>
    <w:rsid w:val="002B56B7"/>
    <w:rsid w:val="002B697A"/>
    <w:rsid w:val="002C1914"/>
    <w:rsid w:val="002C262F"/>
    <w:rsid w:val="002C29FF"/>
    <w:rsid w:val="002C37FC"/>
    <w:rsid w:val="002C3BAF"/>
    <w:rsid w:val="002C5E1E"/>
    <w:rsid w:val="002C6249"/>
    <w:rsid w:val="002C62E8"/>
    <w:rsid w:val="002C6F5E"/>
    <w:rsid w:val="002C71E7"/>
    <w:rsid w:val="002C76D7"/>
    <w:rsid w:val="002D4138"/>
    <w:rsid w:val="002D66E1"/>
    <w:rsid w:val="002D6E33"/>
    <w:rsid w:val="002D7438"/>
    <w:rsid w:val="002D7BB9"/>
    <w:rsid w:val="002E39EF"/>
    <w:rsid w:val="002E433B"/>
    <w:rsid w:val="002E6C77"/>
    <w:rsid w:val="002F055F"/>
    <w:rsid w:val="002F2DF7"/>
    <w:rsid w:val="002F2E5C"/>
    <w:rsid w:val="002F6868"/>
    <w:rsid w:val="002F7433"/>
    <w:rsid w:val="002F7BF7"/>
    <w:rsid w:val="00300294"/>
    <w:rsid w:val="00300AEA"/>
    <w:rsid w:val="003024EC"/>
    <w:rsid w:val="00302591"/>
    <w:rsid w:val="00304DFB"/>
    <w:rsid w:val="0030556B"/>
    <w:rsid w:val="003061C6"/>
    <w:rsid w:val="00307C51"/>
    <w:rsid w:val="00314617"/>
    <w:rsid w:val="003211FA"/>
    <w:rsid w:val="00326202"/>
    <w:rsid w:val="003266D5"/>
    <w:rsid w:val="00327F4A"/>
    <w:rsid w:val="0033231E"/>
    <w:rsid w:val="00332A24"/>
    <w:rsid w:val="00336007"/>
    <w:rsid w:val="003368A5"/>
    <w:rsid w:val="00337585"/>
    <w:rsid w:val="00337B85"/>
    <w:rsid w:val="003401AF"/>
    <w:rsid w:val="0034154F"/>
    <w:rsid w:val="00341818"/>
    <w:rsid w:val="003418A2"/>
    <w:rsid w:val="003419B2"/>
    <w:rsid w:val="003457FF"/>
    <w:rsid w:val="00346488"/>
    <w:rsid w:val="00346A32"/>
    <w:rsid w:val="00347796"/>
    <w:rsid w:val="003478E4"/>
    <w:rsid w:val="00347FB9"/>
    <w:rsid w:val="00350632"/>
    <w:rsid w:val="0035170A"/>
    <w:rsid w:val="003520D5"/>
    <w:rsid w:val="003527C8"/>
    <w:rsid w:val="003532C7"/>
    <w:rsid w:val="003533B7"/>
    <w:rsid w:val="00357342"/>
    <w:rsid w:val="00357899"/>
    <w:rsid w:val="00361814"/>
    <w:rsid w:val="00361DBF"/>
    <w:rsid w:val="00362267"/>
    <w:rsid w:val="00362B39"/>
    <w:rsid w:val="00362FB6"/>
    <w:rsid w:val="003634E3"/>
    <w:rsid w:val="00365A1F"/>
    <w:rsid w:val="00373F67"/>
    <w:rsid w:val="00374033"/>
    <w:rsid w:val="003742DC"/>
    <w:rsid w:val="00376AD5"/>
    <w:rsid w:val="00383FA5"/>
    <w:rsid w:val="003860B2"/>
    <w:rsid w:val="00387906"/>
    <w:rsid w:val="00391503"/>
    <w:rsid w:val="0039177C"/>
    <w:rsid w:val="003923F3"/>
    <w:rsid w:val="00392BCA"/>
    <w:rsid w:val="0039302C"/>
    <w:rsid w:val="00394182"/>
    <w:rsid w:val="0039705E"/>
    <w:rsid w:val="003A0277"/>
    <w:rsid w:val="003A0C72"/>
    <w:rsid w:val="003A18FD"/>
    <w:rsid w:val="003A360B"/>
    <w:rsid w:val="003A3FC2"/>
    <w:rsid w:val="003A5696"/>
    <w:rsid w:val="003A5CBA"/>
    <w:rsid w:val="003A78FE"/>
    <w:rsid w:val="003B118F"/>
    <w:rsid w:val="003B14E2"/>
    <w:rsid w:val="003B2FD6"/>
    <w:rsid w:val="003B3F46"/>
    <w:rsid w:val="003B48BB"/>
    <w:rsid w:val="003B521C"/>
    <w:rsid w:val="003C243E"/>
    <w:rsid w:val="003C337C"/>
    <w:rsid w:val="003C3CA7"/>
    <w:rsid w:val="003C5D3C"/>
    <w:rsid w:val="003D35D8"/>
    <w:rsid w:val="003E1CDA"/>
    <w:rsid w:val="003E2A91"/>
    <w:rsid w:val="003E2E88"/>
    <w:rsid w:val="003E494B"/>
    <w:rsid w:val="003E5301"/>
    <w:rsid w:val="003E6023"/>
    <w:rsid w:val="003E66E7"/>
    <w:rsid w:val="003E6AB1"/>
    <w:rsid w:val="003E7F00"/>
    <w:rsid w:val="003F126B"/>
    <w:rsid w:val="003F2E8C"/>
    <w:rsid w:val="003F71DF"/>
    <w:rsid w:val="00401553"/>
    <w:rsid w:val="004045FB"/>
    <w:rsid w:val="00405707"/>
    <w:rsid w:val="00405DC3"/>
    <w:rsid w:val="00406CED"/>
    <w:rsid w:val="00407C83"/>
    <w:rsid w:val="004112A7"/>
    <w:rsid w:val="0041216B"/>
    <w:rsid w:val="00412B53"/>
    <w:rsid w:val="00412FEB"/>
    <w:rsid w:val="00417174"/>
    <w:rsid w:val="00421B65"/>
    <w:rsid w:val="00422911"/>
    <w:rsid w:val="004246C7"/>
    <w:rsid w:val="00425E59"/>
    <w:rsid w:val="00426563"/>
    <w:rsid w:val="00426D34"/>
    <w:rsid w:val="0042725F"/>
    <w:rsid w:val="0042733A"/>
    <w:rsid w:val="00427457"/>
    <w:rsid w:val="004324E1"/>
    <w:rsid w:val="00432F15"/>
    <w:rsid w:val="00435061"/>
    <w:rsid w:val="00437C8D"/>
    <w:rsid w:val="00437CE8"/>
    <w:rsid w:val="004410D3"/>
    <w:rsid w:val="0044144C"/>
    <w:rsid w:val="00441799"/>
    <w:rsid w:val="00445E2E"/>
    <w:rsid w:val="0044784C"/>
    <w:rsid w:val="00450274"/>
    <w:rsid w:val="0045158C"/>
    <w:rsid w:val="00451BFD"/>
    <w:rsid w:val="00451CBB"/>
    <w:rsid w:val="004522F1"/>
    <w:rsid w:val="00452D33"/>
    <w:rsid w:val="00454E8E"/>
    <w:rsid w:val="00456D25"/>
    <w:rsid w:val="00460FCF"/>
    <w:rsid w:val="00461DC3"/>
    <w:rsid w:val="00463188"/>
    <w:rsid w:val="00464520"/>
    <w:rsid w:val="00464A47"/>
    <w:rsid w:val="00465C7F"/>
    <w:rsid w:val="00466934"/>
    <w:rsid w:val="00466A89"/>
    <w:rsid w:val="00467374"/>
    <w:rsid w:val="00473189"/>
    <w:rsid w:val="004802A7"/>
    <w:rsid w:val="004825ED"/>
    <w:rsid w:val="004900E3"/>
    <w:rsid w:val="004901EF"/>
    <w:rsid w:val="00490B5C"/>
    <w:rsid w:val="00491664"/>
    <w:rsid w:val="00491F29"/>
    <w:rsid w:val="004924CC"/>
    <w:rsid w:val="0049259A"/>
    <w:rsid w:val="00493E40"/>
    <w:rsid w:val="00494346"/>
    <w:rsid w:val="00495712"/>
    <w:rsid w:val="00495872"/>
    <w:rsid w:val="0049665E"/>
    <w:rsid w:val="00497916"/>
    <w:rsid w:val="004A08B0"/>
    <w:rsid w:val="004A1062"/>
    <w:rsid w:val="004A2A08"/>
    <w:rsid w:val="004A3035"/>
    <w:rsid w:val="004A4242"/>
    <w:rsid w:val="004A4488"/>
    <w:rsid w:val="004A461A"/>
    <w:rsid w:val="004A7F8D"/>
    <w:rsid w:val="004B01AC"/>
    <w:rsid w:val="004B0781"/>
    <w:rsid w:val="004B12B4"/>
    <w:rsid w:val="004B165B"/>
    <w:rsid w:val="004B2E16"/>
    <w:rsid w:val="004B4BAE"/>
    <w:rsid w:val="004B7B9D"/>
    <w:rsid w:val="004C08F3"/>
    <w:rsid w:val="004C288C"/>
    <w:rsid w:val="004C2EF5"/>
    <w:rsid w:val="004C3BEA"/>
    <w:rsid w:val="004C68BB"/>
    <w:rsid w:val="004C6AFC"/>
    <w:rsid w:val="004C6B15"/>
    <w:rsid w:val="004D1182"/>
    <w:rsid w:val="004D14CA"/>
    <w:rsid w:val="004D197B"/>
    <w:rsid w:val="004D441C"/>
    <w:rsid w:val="004D6685"/>
    <w:rsid w:val="004D7C4A"/>
    <w:rsid w:val="004E019C"/>
    <w:rsid w:val="004E0BC3"/>
    <w:rsid w:val="004E1741"/>
    <w:rsid w:val="004E18D0"/>
    <w:rsid w:val="004E1A62"/>
    <w:rsid w:val="004E5357"/>
    <w:rsid w:val="004E656E"/>
    <w:rsid w:val="004E6BEB"/>
    <w:rsid w:val="004E7701"/>
    <w:rsid w:val="004E7A21"/>
    <w:rsid w:val="004F023E"/>
    <w:rsid w:val="004F45A2"/>
    <w:rsid w:val="00500AE2"/>
    <w:rsid w:val="0050158A"/>
    <w:rsid w:val="00502F83"/>
    <w:rsid w:val="00503C10"/>
    <w:rsid w:val="005044E5"/>
    <w:rsid w:val="00504504"/>
    <w:rsid w:val="005053C8"/>
    <w:rsid w:val="00506F69"/>
    <w:rsid w:val="00512A41"/>
    <w:rsid w:val="00512AA2"/>
    <w:rsid w:val="00513147"/>
    <w:rsid w:val="00513316"/>
    <w:rsid w:val="005173A4"/>
    <w:rsid w:val="0051793F"/>
    <w:rsid w:val="00517BD3"/>
    <w:rsid w:val="0052171F"/>
    <w:rsid w:val="00521D6E"/>
    <w:rsid w:val="00521F3C"/>
    <w:rsid w:val="00522FAD"/>
    <w:rsid w:val="0052365A"/>
    <w:rsid w:val="00523D7F"/>
    <w:rsid w:val="005259F8"/>
    <w:rsid w:val="00525B4D"/>
    <w:rsid w:val="005269BB"/>
    <w:rsid w:val="005309E7"/>
    <w:rsid w:val="00531C83"/>
    <w:rsid w:val="00532F96"/>
    <w:rsid w:val="00533A88"/>
    <w:rsid w:val="00535187"/>
    <w:rsid w:val="00535637"/>
    <w:rsid w:val="00536EB4"/>
    <w:rsid w:val="00537EB4"/>
    <w:rsid w:val="005433EF"/>
    <w:rsid w:val="0054392F"/>
    <w:rsid w:val="005454EA"/>
    <w:rsid w:val="00545DDB"/>
    <w:rsid w:val="00550671"/>
    <w:rsid w:val="00552255"/>
    <w:rsid w:val="00553725"/>
    <w:rsid w:val="005549A2"/>
    <w:rsid w:val="005557F2"/>
    <w:rsid w:val="00557634"/>
    <w:rsid w:val="005576CB"/>
    <w:rsid w:val="00561278"/>
    <w:rsid w:val="00563AE0"/>
    <w:rsid w:val="00563B11"/>
    <w:rsid w:val="0056543C"/>
    <w:rsid w:val="0056598A"/>
    <w:rsid w:val="00567D21"/>
    <w:rsid w:val="0057409D"/>
    <w:rsid w:val="005749AC"/>
    <w:rsid w:val="0057791C"/>
    <w:rsid w:val="00577D2F"/>
    <w:rsid w:val="00580AAE"/>
    <w:rsid w:val="00580CAC"/>
    <w:rsid w:val="00582059"/>
    <w:rsid w:val="005848E1"/>
    <w:rsid w:val="005861EA"/>
    <w:rsid w:val="00587AA5"/>
    <w:rsid w:val="00590098"/>
    <w:rsid w:val="005907FF"/>
    <w:rsid w:val="00593179"/>
    <w:rsid w:val="00594625"/>
    <w:rsid w:val="0059582B"/>
    <w:rsid w:val="005960A2"/>
    <w:rsid w:val="0059690C"/>
    <w:rsid w:val="00596951"/>
    <w:rsid w:val="00596CD0"/>
    <w:rsid w:val="00596F3C"/>
    <w:rsid w:val="005A0DB5"/>
    <w:rsid w:val="005A1F59"/>
    <w:rsid w:val="005A3D08"/>
    <w:rsid w:val="005A3E90"/>
    <w:rsid w:val="005A4234"/>
    <w:rsid w:val="005A4450"/>
    <w:rsid w:val="005B17FA"/>
    <w:rsid w:val="005B3CA7"/>
    <w:rsid w:val="005B48BE"/>
    <w:rsid w:val="005B4A09"/>
    <w:rsid w:val="005B56A9"/>
    <w:rsid w:val="005B68F6"/>
    <w:rsid w:val="005B732C"/>
    <w:rsid w:val="005C0498"/>
    <w:rsid w:val="005C1EB6"/>
    <w:rsid w:val="005C2EAF"/>
    <w:rsid w:val="005C3EED"/>
    <w:rsid w:val="005C43DE"/>
    <w:rsid w:val="005C4EF5"/>
    <w:rsid w:val="005C78ED"/>
    <w:rsid w:val="005C7EE8"/>
    <w:rsid w:val="005D41B7"/>
    <w:rsid w:val="005D41E3"/>
    <w:rsid w:val="005D6CD8"/>
    <w:rsid w:val="005E0292"/>
    <w:rsid w:val="005E1AA4"/>
    <w:rsid w:val="005E20BB"/>
    <w:rsid w:val="005E7005"/>
    <w:rsid w:val="005F0A08"/>
    <w:rsid w:val="005F2DE7"/>
    <w:rsid w:val="005F3DA0"/>
    <w:rsid w:val="005F446C"/>
    <w:rsid w:val="005F4A9E"/>
    <w:rsid w:val="005F4B9F"/>
    <w:rsid w:val="005F5229"/>
    <w:rsid w:val="005F62A7"/>
    <w:rsid w:val="00600415"/>
    <w:rsid w:val="0060059D"/>
    <w:rsid w:val="00600AA5"/>
    <w:rsid w:val="006035B6"/>
    <w:rsid w:val="00604330"/>
    <w:rsid w:val="00604D21"/>
    <w:rsid w:val="0060524B"/>
    <w:rsid w:val="00605968"/>
    <w:rsid w:val="00607025"/>
    <w:rsid w:val="0060761E"/>
    <w:rsid w:val="00610EBD"/>
    <w:rsid w:val="006117AA"/>
    <w:rsid w:val="006121FA"/>
    <w:rsid w:val="006137AB"/>
    <w:rsid w:val="00614EC5"/>
    <w:rsid w:val="0061656A"/>
    <w:rsid w:val="006208CB"/>
    <w:rsid w:val="00621297"/>
    <w:rsid w:val="006227A6"/>
    <w:rsid w:val="00623306"/>
    <w:rsid w:val="00623E73"/>
    <w:rsid w:val="00625248"/>
    <w:rsid w:val="00625877"/>
    <w:rsid w:val="006301A9"/>
    <w:rsid w:val="00633AC9"/>
    <w:rsid w:val="00634515"/>
    <w:rsid w:val="0063485A"/>
    <w:rsid w:val="0063502C"/>
    <w:rsid w:val="00635C5A"/>
    <w:rsid w:val="00635F72"/>
    <w:rsid w:val="00640036"/>
    <w:rsid w:val="00644467"/>
    <w:rsid w:val="006445E8"/>
    <w:rsid w:val="00645FA1"/>
    <w:rsid w:val="00647A1C"/>
    <w:rsid w:val="00647CA3"/>
    <w:rsid w:val="00650A7F"/>
    <w:rsid w:val="00650B64"/>
    <w:rsid w:val="00655AC6"/>
    <w:rsid w:val="00656582"/>
    <w:rsid w:val="00656A79"/>
    <w:rsid w:val="00657169"/>
    <w:rsid w:val="006578AD"/>
    <w:rsid w:val="006601B7"/>
    <w:rsid w:val="006607D0"/>
    <w:rsid w:val="006608F5"/>
    <w:rsid w:val="00661D37"/>
    <w:rsid w:val="00664607"/>
    <w:rsid w:val="006647FB"/>
    <w:rsid w:val="006654C7"/>
    <w:rsid w:val="006673B2"/>
    <w:rsid w:val="00667E9B"/>
    <w:rsid w:val="00670D34"/>
    <w:rsid w:val="00671438"/>
    <w:rsid w:val="0067479F"/>
    <w:rsid w:val="00677745"/>
    <w:rsid w:val="00680325"/>
    <w:rsid w:val="006815F3"/>
    <w:rsid w:val="00683ACF"/>
    <w:rsid w:val="00684D63"/>
    <w:rsid w:val="00684DC9"/>
    <w:rsid w:val="00685994"/>
    <w:rsid w:val="00687E6C"/>
    <w:rsid w:val="006907DC"/>
    <w:rsid w:val="00695633"/>
    <w:rsid w:val="006A229F"/>
    <w:rsid w:val="006A2549"/>
    <w:rsid w:val="006A2997"/>
    <w:rsid w:val="006B0E0B"/>
    <w:rsid w:val="006B18D9"/>
    <w:rsid w:val="006B3CBE"/>
    <w:rsid w:val="006B3F31"/>
    <w:rsid w:val="006B4ED9"/>
    <w:rsid w:val="006B5C2A"/>
    <w:rsid w:val="006B66D0"/>
    <w:rsid w:val="006C0DE7"/>
    <w:rsid w:val="006C2ABB"/>
    <w:rsid w:val="006C3591"/>
    <w:rsid w:val="006C3F77"/>
    <w:rsid w:val="006C4537"/>
    <w:rsid w:val="006C6374"/>
    <w:rsid w:val="006C6EE1"/>
    <w:rsid w:val="006D1101"/>
    <w:rsid w:val="006D3413"/>
    <w:rsid w:val="006D5187"/>
    <w:rsid w:val="006D7788"/>
    <w:rsid w:val="006E24FE"/>
    <w:rsid w:val="006E3C48"/>
    <w:rsid w:val="006E5249"/>
    <w:rsid w:val="006F12E9"/>
    <w:rsid w:val="006F42DD"/>
    <w:rsid w:val="006F5976"/>
    <w:rsid w:val="006F660C"/>
    <w:rsid w:val="006F70CA"/>
    <w:rsid w:val="006F74B4"/>
    <w:rsid w:val="00701842"/>
    <w:rsid w:val="0070406C"/>
    <w:rsid w:val="00704BF1"/>
    <w:rsid w:val="00705718"/>
    <w:rsid w:val="007058C9"/>
    <w:rsid w:val="00707B6B"/>
    <w:rsid w:val="00707FEE"/>
    <w:rsid w:val="00710454"/>
    <w:rsid w:val="00712082"/>
    <w:rsid w:val="00714B64"/>
    <w:rsid w:val="00714DF7"/>
    <w:rsid w:val="00717133"/>
    <w:rsid w:val="007171FD"/>
    <w:rsid w:val="00717F5F"/>
    <w:rsid w:val="00721DCD"/>
    <w:rsid w:val="00722734"/>
    <w:rsid w:val="00724588"/>
    <w:rsid w:val="00724995"/>
    <w:rsid w:val="00724DE7"/>
    <w:rsid w:val="00725BB6"/>
    <w:rsid w:val="00726DFA"/>
    <w:rsid w:val="00727512"/>
    <w:rsid w:val="00735882"/>
    <w:rsid w:val="007369A3"/>
    <w:rsid w:val="00741C3F"/>
    <w:rsid w:val="00743CE5"/>
    <w:rsid w:val="00744B8D"/>
    <w:rsid w:val="00744C7C"/>
    <w:rsid w:val="00745383"/>
    <w:rsid w:val="00746450"/>
    <w:rsid w:val="00750FA4"/>
    <w:rsid w:val="00751C87"/>
    <w:rsid w:val="00752062"/>
    <w:rsid w:val="0075421F"/>
    <w:rsid w:val="00756C2B"/>
    <w:rsid w:val="00757990"/>
    <w:rsid w:val="0076136D"/>
    <w:rsid w:val="007618A7"/>
    <w:rsid w:val="00762952"/>
    <w:rsid w:val="00765377"/>
    <w:rsid w:val="00765850"/>
    <w:rsid w:val="00771D31"/>
    <w:rsid w:val="00774117"/>
    <w:rsid w:val="007752AC"/>
    <w:rsid w:val="00775B19"/>
    <w:rsid w:val="00775F9D"/>
    <w:rsid w:val="0077670B"/>
    <w:rsid w:val="007767DD"/>
    <w:rsid w:val="007774EA"/>
    <w:rsid w:val="007777C4"/>
    <w:rsid w:val="00777FC4"/>
    <w:rsid w:val="007852A9"/>
    <w:rsid w:val="00786646"/>
    <w:rsid w:val="0079082E"/>
    <w:rsid w:val="00792A7F"/>
    <w:rsid w:val="007947D7"/>
    <w:rsid w:val="007955DC"/>
    <w:rsid w:val="0079665D"/>
    <w:rsid w:val="00797F39"/>
    <w:rsid w:val="007A1378"/>
    <w:rsid w:val="007A1DA1"/>
    <w:rsid w:val="007A5366"/>
    <w:rsid w:val="007A5E9D"/>
    <w:rsid w:val="007A74E8"/>
    <w:rsid w:val="007B226B"/>
    <w:rsid w:val="007B3403"/>
    <w:rsid w:val="007B4494"/>
    <w:rsid w:val="007C0E02"/>
    <w:rsid w:val="007C190B"/>
    <w:rsid w:val="007C4192"/>
    <w:rsid w:val="007C664E"/>
    <w:rsid w:val="007D08E7"/>
    <w:rsid w:val="007D0939"/>
    <w:rsid w:val="007D31EE"/>
    <w:rsid w:val="007D4482"/>
    <w:rsid w:val="007D48F4"/>
    <w:rsid w:val="007D5ADD"/>
    <w:rsid w:val="007D602B"/>
    <w:rsid w:val="007D631E"/>
    <w:rsid w:val="007D6615"/>
    <w:rsid w:val="007D7847"/>
    <w:rsid w:val="007E2F1C"/>
    <w:rsid w:val="007E39BB"/>
    <w:rsid w:val="007E45D4"/>
    <w:rsid w:val="007F22F6"/>
    <w:rsid w:val="007F345F"/>
    <w:rsid w:val="007F5A9D"/>
    <w:rsid w:val="007F6042"/>
    <w:rsid w:val="007F78F0"/>
    <w:rsid w:val="008009EF"/>
    <w:rsid w:val="008029C9"/>
    <w:rsid w:val="00802F21"/>
    <w:rsid w:val="00803C4A"/>
    <w:rsid w:val="00805068"/>
    <w:rsid w:val="00806019"/>
    <w:rsid w:val="0080672A"/>
    <w:rsid w:val="008101B1"/>
    <w:rsid w:val="00810961"/>
    <w:rsid w:val="0081160C"/>
    <w:rsid w:val="00812D2D"/>
    <w:rsid w:val="00812D44"/>
    <w:rsid w:val="00813C36"/>
    <w:rsid w:val="00813CE3"/>
    <w:rsid w:val="0081416B"/>
    <w:rsid w:val="00814A13"/>
    <w:rsid w:val="00815AD2"/>
    <w:rsid w:val="00816600"/>
    <w:rsid w:val="008166FA"/>
    <w:rsid w:val="0081713B"/>
    <w:rsid w:val="00817685"/>
    <w:rsid w:val="008213E7"/>
    <w:rsid w:val="008231FE"/>
    <w:rsid w:val="00824733"/>
    <w:rsid w:val="0082480B"/>
    <w:rsid w:val="00824CBE"/>
    <w:rsid w:val="008252E3"/>
    <w:rsid w:val="00826C7D"/>
    <w:rsid w:val="00830E6D"/>
    <w:rsid w:val="00832CA5"/>
    <w:rsid w:val="00834207"/>
    <w:rsid w:val="008360DE"/>
    <w:rsid w:val="00837441"/>
    <w:rsid w:val="00840622"/>
    <w:rsid w:val="008425F8"/>
    <w:rsid w:val="00842A2F"/>
    <w:rsid w:val="00844959"/>
    <w:rsid w:val="008454E1"/>
    <w:rsid w:val="008475FC"/>
    <w:rsid w:val="00847A5F"/>
    <w:rsid w:val="00850CBC"/>
    <w:rsid w:val="008518C0"/>
    <w:rsid w:val="00852254"/>
    <w:rsid w:val="00853D23"/>
    <w:rsid w:val="00856566"/>
    <w:rsid w:val="00856D8F"/>
    <w:rsid w:val="008574FD"/>
    <w:rsid w:val="008614B7"/>
    <w:rsid w:val="008648B4"/>
    <w:rsid w:val="008667FF"/>
    <w:rsid w:val="008712EE"/>
    <w:rsid w:val="0087154B"/>
    <w:rsid w:val="0087367C"/>
    <w:rsid w:val="00874532"/>
    <w:rsid w:val="00876003"/>
    <w:rsid w:val="0087685B"/>
    <w:rsid w:val="00876E83"/>
    <w:rsid w:val="00883277"/>
    <w:rsid w:val="008837E7"/>
    <w:rsid w:val="0088429E"/>
    <w:rsid w:val="008844EF"/>
    <w:rsid w:val="008847AB"/>
    <w:rsid w:val="00884D33"/>
    <w:rsid w:val="008863D1"/>
    <w:rsid w:val="0089315A"/>
    <w:rsid w:val="00897353"/>
    <w:rsid w:val="008A1723"/>
    <w:rsid w:val="008A2D5E"/>
    <w:rsid w:val="008A2FBF"/>
    <w:rsid w:val="008A4468"/>
    <w:rsid w:val="008A5176"/>
    <w:rsid w:val="008A5186"/>
    <w:rsid w:val="008A67F6"/>
    <w:rsid w:val="008A6C9D"/>
    <w:rsid w:val="008A7D55"/>
    <w:rsid w:val="008B0855"/>
    <w:rsid w:val="008B17DD"/>
    <w:rsid w:val="008B1871"/>
    <w:rsid w:val="008B2FCB"/>
    <w:rsid w:val="008B55A7"/>
    <w:rsid w:val="008B7CB9"/>
    <w:rsid w:val="008C0B5A"/>
    <w:rsid w:val="008C1ACC"/>
    <w:rsid w:val="008C2CF0"/>
    <w:rsid w:val="008C3446"/>
    <w:rsid w:val="008C5D18"/>
    <w:rsid w:val="008C606A"/>
    <w:rsid w:val="008C671A"/>
    <w:rsid w:val="008C75C2"/>
    <w:rsid w:val="008C767F"/>
    <w:rsid w:val="008D333B"/>
    <w:rsid w:val="008D38A9"/>
    <w:rsid w:val="008D3D6E"/>
    <w:rsid w:val="008D4553"/>
    <w:rsid w:val="008D5E0C"/>
    <w:rsid w:val="008D6345"/>
    <w:rsid w:val="008D6923"/>
    <w:rsid w:val="008D7589"/>
    <w:rsid w:val="008E1FAD"/>
    <w:rsid w:val="008E458E"/>
    <w:rsid w:val="008E4CF7"/>
    <w:rsid w:val="008E57EB"/>
    <w:rsid w:val="008E6504"/>
    <w:rsid w:val="008F0920"/>
    <w:rsid w:val="008F39AD"/>
    <w:rsid w:val="008F5DF8"/>
    <w:rsid w:val="008F6795"/>
    <w:rsid w:val="0090069E"/>
    <w:rsid w:val="00900C3E"/>
    <w:rsid w:val="00901E1D"/>
    <w:rsid w:val="00904172"/>
    <w:rsid w:val="00904F92"/>
    <w:rsid w:val="00905E6A"/>
    <w:rsid w:val="0091092D"/>
    <w:rsid w:val="009111BF"/>
    <w:rsid w:val="009126C8"/>
    <w:rsid w:val="00913287"/>
    <w:rsid w:val="0091368A"/>
    <w:rsid w:val="009158F1"/>
    <w:rsid w:val="00916FC1"/>
    <w:rsid w:val="009217A3"/>
    <w:rsid w:val="00926274"/>
    <w:rsid w:val="009301D6"/>
    <w:rsid w:val="00930EC1"/>
    <w:rsid w:val="009337F3"/>
    <w:rsid w:val="00934392"/>
    <w:rsid w:val="009351FD"/>
    <w:rsid w:val="0093651C"/>
    <w:rsid w:val="00940201"/>
    <w:rsid w:val="00940AB0"/>
    <w:rsid w:val="00942C25"/>
    <w:rsid w:val="00945233"/>
    <w:rsid w:val="009464F3"/>
    <w:rsid w:val="00947E4C"/>
    <w:rsid w:val="00952543"/>
    <w:rsid w:val="009527AE"/>
    <w:rsid w:val="00953865"/>
    <w:rsid w:val="009547A5"/>
    <w:rsid w:val="009550C7"/>
    <w:rsid w:val="00957953"/>
    <w:rsid w:val="00960A15"/>
    <w:rsid w:val="0096164F"/>
    <w:rsid w:val="009627C8"/>
    <w:rsid w:val="00962EAC"/>
    <w:rsid w:val="009668CA"/>
    <w:rsid w:val="009668E1"/>
    <w:rsid w:val="00966C0D"/>
    <w:rsid w:val="009673E9"/>
    <w:rsid w:val="00972D91"/>
    <w:rsid w:val="00972EA8"/>
    <w:rsid w:val="00973B6C"/>
    <w:rsid w:val="00973F1C"/>
    <w:rsid w:val="00973F76"/>
    <w:rsid w:val="00976C09"/>
    <w:rsid w:val="0098143C"/>
    <w:rsid w:val="0098316A"/>
    <w:rsid w:val="009832A7"/>
    <w:rsid w:val="00983B95"/>
    <w:rsid w:val="00985969"/>
    <w:rsid w:val="00985AF8"/>
    <w:rsid w:val="00987A71"/>
    <w:rsid w:val="009908A3"/>
    <w:rsid w:val="0099279E"/>
    <w:rsid w:val="009A3463"/>
    <w:rsid w:val="009A4266"/>
    <w:rsid w:val="009A4EE9"/>
    <w:rsid w:val="009A5596"/>
    <w:rsid w:val="009A5744"/>
    <w:rsid w:val="009A5AC8"/>
    <w:rsid w:val="009B08E7"/>
    <w:rsid w:val="009B4104"/>
    <w:rsid w:val="009C026F"/>
    <w:rsid w:val="009C099B"/>
    <w:rsid w:val="009C150F"/>
    <w:rsid w:val="009C202F"/>
    <w:rsid w:val="009C273C"/>
    <w:rsid w:val="009C4C14"/>
    <w:rsid w:val="009C5B56"/>
    <w:rsid w:val="009C6041"/>
    <w:rsid w:val="009C6302"/>
    <w:rsid w:val="009C654B"/>
    <w:rsid w:val="009D012F"/>
    <w:rsid w:val="009D16FA"/>
    <w:rsid w:val="009D1701"/>
    <w:rsid w:val="009D2797"/>
    <w:rsid w:val="009D2A6B"/>
    <w:rsid w:val="009D2D05"/>
    <w:rsid w:val="009D31AB"/>
    <w:rsid w:val="009D392B"/>
    <w:rsid w:val="009D39D5"/>
    <w:rsid w:val="009D5C51"/>
    <w:rsid w:val="009D7FC4"/>
    <w:rsid w:val="009E1DD5"/>
    <w:rsid w:val="009E279F"/>
    <w:rsid w:val="009E62AF"/>
    <w:rsid w:val="009E7CA4"/>
    <w:rsid w:val="009F0522"/>
    <w:rsid w:val="009F2DFF"/>
    <w:rsid w:val="009F3023"/>
    <w:rsid w:val="009F37E1"/>
    <w:rsid w:val="009F3914"/>
    <w:rsid w:val="009F53A4"/>
    <w:rsid w:val="00A00200"/>
    <w:rsid w:val="00A04DAC"/>
    <w:rsid w:val="00A06E31"/>
    <w:rsid w:val="00A07A4C"/>
    <w:rsid w:val="00A07FCA"/>
    <w:rsid w:val="00A11C81"/>
    <w:rsid w:val="00A12343"/>
    <w:rsid w:val="00A146A7"/>
    <w:rsid w:val="00A155B4"/>
    <w:rsid w:val="00A15936"/>
    <w:rsid w:val="00A15E4E"/>
    <w:rsid w:val="00A20DF6"/>
    <w:rsid w:val="00A21A6C"/>
    <w:rsid w:val="00A22F8B"/>
    <w:rsid w:val="00A247AB"/>
    <w:rsid w:val="00A24A31"/>
    <w:rsid w:val="00A26AA7"/>
    <w:rsid w:val="00A271D9"/>
    <w:rsid w:val="00A275C2"/>
    <w:rsid w:val="00A36703"/>
    <w:rsid w:val="00A3798D"/>
    <w:rsid w:val="00A40793"/>
    <w:rsid w:val="00A4310F"/>
    <w:rsid w:val="00A459BD"/>
    <w:rsid w:val="00A47BD7"/>
    <w:rsid w:val="00A505FE"/>
    <w:rsid w:val="00A52450"/>
    <w:rsid w:val="00A5372B"/>
    <w:rsid w:val="00A56F71"/>
    <w:rsid w:val="00A62447"/>
    <w:rsid w:val="00A62534"/>
    <w:rsid w:val="00A6590E"/>
    <w:rsid w:val="00A67E16"/>
    <w:rsid w:val="00A712F0"/>
    <w:rsid w:val="00A7157A"/>
    <w:rsid w:val="00A71FFC"/>
    <w:rsid w:val="00A721D4"/>
    <w:rsid w:val="00A740A7"/>
    <w:rsid w:val="00A75258"/>
    <w:rsid w:val="00A76131"/>
    <w:rsid w:val="00A92C85"/>
    <w:rsid w:val="00A97FCC"/>
    <w:rsid w:val="00AA450E"/>
    <w:rsid w:val="00AA4C56"/>
    <w:rsid w:val="00AA5629"/>
    <w:rsid w:val="00AA6754"/>
    <w:rsid w:val="00AA738A"/>
    <w:rsid w:val="00AA79FD"/>
    <w:rsid w:val="00AA7C01"/>
    <w:rsid w:val="00AB1624"/>
    <w:rsid w:val="00AB1733"/>
    <w:rsid w:val="00AB24DC"/>
    <w:rsid w:val="00AB257E"/>
    <w:rsid w:val="00AB2D69"/>
    <w:rsid w:val="00AB3733"/>
    <w:rsid w:val="00AB43CF"/>
    <w:rsid w:val="00AB4A6D"/>
    <w:rsid w:val="00AB7F00"/>
    <w:rsid w:val="00AC07A1"/>
    <w:rsid w:val="00AC5570"/>
    <w:rsid w:val="00AC6B7A"/>
    <w:rsid w:val="00AD09DB"/>
    <w:rsid w:val="00AD25D8"/>
    <w:rsid w:val="00AD2639"/>
    <w:rsid w:val="00AD380E"/>
    <w:rsid w:val="00AD3D32"/>
    <w:rsid w:val="00AD62AC"/>
    <w:rsid w:val="00AE007D"/>
    <w:rsid w:val="00AE0A4F"/>
    <w:rsid w:val="00AE25AA"/>
    <w:rsid w:val="00AE38C5"/>
    <w:rsid w:val="00AE4001"/>
    <w:rsid w:val="00AE56F1"/>
    <w:rsid w:val="00AE5D14"/>
    <w:rsid w:val="00AE6422"/>
    <w:rsid w:val="00AE65B9"/>
    <w:rsid w:val="00AF1025"/>
    <w:rsid w:val="00AF13E9"/>
    <w:rsid w:val="00AF25BB"/>
    <w:rsid w:val="00AF31A0"/>
    <w:rsid w:val="00AF5769"/>
    <w:rsid w:val="00AF58B2"/>
    <w:rsid w:val="00AF58D5"/>
    <w:rsid w:val="00B021B1"/>
    <w:rsid w:val="00B050A3"/>
    <w:rsid w:val="00B05710"/>
    <w:rsid w:val="00B05DF7"/>
    <w:rsid w:val="00B10A15"/>
    <w:rsid w:val="00B134DF"/>
    <w:rsid w:val="00B1595F"/>
    <w:rsid w:val="00B16936"/>
    <w:rsid w:val="00B16F77"/>
    <w:rsid w:val="00B1729E"/>
    <w:rsid w:val="00B20D30"/>
    <w:rsid w:val="00B21758"/>
    <w:rsid w:val="00B21DDB"/>
    <w:rsid w:val="00B224D3"/>
    <w:rsid w:val="00B22DF9"/>
    <w:rsid w:val="00B23C9B"/>
    <w:rsid w:val="00B269B1"/>
    <w:rsid w:val="00B27A18"/>
    <w:rsid w:val="00B27E26"/>
    <w:rsid w:val="00B307A7"/>
    <w:rsid w:val="00B309F0"/>
    <w:rsid w:val="00B30C38"/>
    <w:rsid w:val="00B311E0"/>
    <w:rsid w:val="00B324EE"/>
    <w:rsid w:val="00B32A7F"/>
    <w:rsid w:val="00B371E0"/>
    <w:rsid w:val="00B43610"/>
    <w:rsid w:val="00B43BB6"/>
    <w:rsid w:val="00B4411E"/>
    <w:rsid w:val="00B4582F"/>
    <w:rsid w:val="00B46C3E"/>
    <w:rsid w:val="00B47B72"/>
    <w:rsid w:val="00B47D5E"/>
    <w:rsid w:val="00B524B5"/>
    <w:rsid w:val="00B52786"/>
    <w:rsid w:val="00B53DB2"/>
    <w:rsid w:val="00B549DF"/>
    <w:rsid w:val="00B54DF6"/>
    <w:rsid w:val="00B5694F"/>
    <w:rsid w:val="00B60D2C"/>
    <w:rsid w:val="00B630AD"/>
    <w:rsid w:val="00B65178"/>
    <w:rsid w:val="00B655A5"/>
    <w:rsid w:val="00B675A1"/>
    <w:rsid w:val="00B700D1"/>
    <w:rsid w:val="00B71C41"/>
    <w:rsid w:val="00B71F50"/>
    <w:rsid w:val="00B72E77"/>
    <w:rsid w:val="00B73649"/>
    <w:rsid w:val="00B7645B"/>
    <w:rsid w:val="00B82A66"/>
    <w:rsid w:val="00B83098"/>
    <w:rsid w:val="00B843BA"/>
    <w:rsid w:val="00B85ED7"/>
    <w:rsid w:val="00B902FD"/>
    <w:rsid w:val="00B91ADB"/>
    <w:rsid w:val="00B9288A"/>
    <w:rsid w:val="00B928D8"/>
    <w:rsid w:val="00B936E7"/>
    <w:rsid w:val="00B94F86"/>
    <w:rsid w:val="00B950F4"/>
    <w:rsid w:val="00B977AB"/>
    <w:rsid w:val="00BA2928"/>
    <w:rsid w:val="00BA304D"/>
    <w:rsid w:val="00BA45CA"/>
    <w:rsid w:val="00BA4700"/>
    <w:rsid w:val="00BA4907"/>
    <w:rsid w:val="00BA5456"/>
    <w:rsid w:val="00BA5910"/>
    <w:rsid w:val="00BA5AD6"/>
    <w:rsid w:val="00BA5C5F"/>
    <w:rsid w:val="00BA6885"/>
    <w:rsid w:val="00BA6B62"/>
    <w:rsid w:val="00BB1015"/>
    <w:rsid w:val="00BB3474"/>
    <w:rsid w:val="00BB4393"/>
    <w:rsid w:val="00BB5A32"/>
    <w:rsid w:val="00BB673F"/>
    <w:rsid w:val="00BB69FD"/>
    <w:rsid w:val="00BB7632"/>
    <w:rsid w:val="00BC0558"/>
    <w:rsid w:val="00BC18C8"/>
    <w:rsid w:val="00BC3503"/>
    <w:rsid w:val="00BC3563"/>
    <w:rsid w:val="00BC6BC7"/>
    <w:rsid w:val="00BC6CF6"/>
    <w:rsid w:val="00BC6E27"/>
    <w:rsid w:val="00BC6E52"/>
    <w:rsid w:val="00BD178D"/>
    <w:rsid w:val="00BD2DBF"/>
    <w:rsid w:val="00BD39AC"/>
    <w:rsid w:val="00BD3C3E"/>
    <w:rsid w:val="00BD435F"/>
    <w:rsid w:val="00BD4A4B"/>
    <w:rsid w:val="00BD4A8B"/>
    <w:rsid w:val="00BD53F4"/>
    <w:rsid w:val="00BD6929"/>
    <w:rsid w:val="00BD6D3D"/>
    <w:rsid w:val="00BE3D09"/>
    <w:rsid w:val="00BF2530"/>
    <w:rsid w:val="00BF2B16"/>
    <w:rsid w:val="00BF41B8"/>
    <w:rsid w:val="00BF4FFC"/>
    <w:rsid w:val="00BF75C4"/>
    <w:rsid w:val="00BF75F5"/>
    <w:rsid w:val="00BF7B8A"/>
    <w:rsid w:val="00C01441"/>
    <w:rsid w:val="00C02029"/>
    <w:rsid w:val="00C02E38"/>
    <w:rsid w:val="00C043D7"/>
    <w:rsid w:val="00C043F4"/>
    <w:rsid w:val="00C049FF"/>
    <w:rsid w:val="00C06623"/>
    <w:rsid w:val="00C1026B"/>
    <w:rsid w:val="00C12878"/>
    <w:rsid w:val="00C13671"/>
    <w:rsid w:val="00C1471E"/>
    <w:rsid w:val="00C22CAA"/>
    <w:rsid w:val="00C24BFA"/>
    <w:rsid w:val="00C24D1C"/>
    <w:rsid w:val="00C270A4"/>
    <w:rsid w:val="00C274AC"/>
    <w:rsid w:val="00C2787A"/>
    <w:rsid w:val="00C30ED8"/>
    <w:rsid w:val="00C33404"/>
    <w:rsid w:val="00C34E2B"/>
    <w:rsid w:val="00C36459"/>
    <w:rsid w:val="00C365AE"/>
    <w:rsid w:val="00C3689E"/>
    <w:rsid w:val="00C36F27"/>
    <w:rsid w:val="00C375A0"/>
    <w:rsid w:val="00C3771F"/>
    <w:rsid w:val="00C40266"/>
    <w:rsid w:val="00C408C2"/>
    <w:rsid w:val="00C41090"/>
    <w:rsid w:val="00C41559"/>
    <w:rsid w:val="00C41901"/>
    <w:rsid w:val="00C419F2"/>
    <w:rsid w:val="00C442CE"/>
    <w:rsid w:val="00C464EA"/>
    <w:rsid w:val="00C4656E"/>
    <w:rsid w:val="00C50C45"/>
    <w:rsid w:val="00C52D16"/>
    <w:rsid w:val="00C5394A"/>
    <w:rsid w:val="00C53D7E"/>
    <w:rsid w:val="00C53DA0"/>
    <w:rsid w:val="00C61040"/>
    <w:rsid w:val="00C61E86"/>
    <w:rsid w:val="00C62459"/>
    <w:rsid w:val="00C62E39"/>
    <w:rsid w:val="00C64B33"/>
    <w:rsid w:val="00C64F3D"/>
    <w:rsid w:val="00C67247"/>
    <w:rsid w:val="00C67E7D"/>
    <w:rsid w:val="00C700CC"/>
    <w:rsid w:val="00C70A16"/>
    <w:rsid w:val="00C71D4C"/>
    <w:rsid w:val="00C72009"/>
    <w:rsid w:val="00C72688"/>
    <w:rsid w:val="00C75273"/>
    <w:rsid w:val="00C75F8F"/>
    <w:rsid w:val="00C76F9C"/>
    <w:rsid w:val="00C81A54"/>
    <w:rsid w:val="00C845BF"/>
    <w:rsid w:val="00C849E6"/>
    <w:rsid w:val="00C9583A"/>
    <w:rsid w:val="00C96247"/>
    <w:rsid w:val="00CA042E"/>
    <w:rsid w:val="00CA0E97"/>
    <w:rsid w:val="00CA109F"/>
    <w:rsid w:val="00CA2251"/>
    <w:rsid w:val="00CA28A2"/>
    <w:rsid w:val="00CA28B3"/>
    <w:rsid w:val="00CA397C"/>
    <w:rsid w:val="00CB0207"/>
    <w:rsid w:val="00CB08A5"/>
    <w:rsid w:val="00CB09D9"/>
    <w:rsid w:val="00CB0ABC"/>
    <w:rsid w:val="00CB29D8"/>
    <w:rsid w:val="00CB2DA0"/>
    <w:rsid w:val="00CB351C"/>
    <w:rsid w:val="00CB4796"/>
    <w:rsid w:val="00CB66DD"/>
    <w:rsid w:val="00CC020C"/>
    <w:rsid w:val="00CC0A9E"/>
    <w:rsid w:val="00CC2D4F"/>
    <w:rsid w:val="00CC3BAC"/>
    <w:rsid w:val="00CC4218"/>
    <w:rsid w:val="00CC45C8"/>
    <w:rsid w:val="00CC46A2"/>
    <w:rsid w:val="00CC6ADB"/>
    <w:rsid w:val="00CC76F1"/>
    <w:rsid w:val="00CD511D"/>
    <w:rsid w:val="00CD52B0"/>
    <w:rsid w:val="00CD774A"/>
    <w:rsid w:val="00CE154C"/>
    <w:rsid w:val="00CE1926"/>
    <w:rsid w:val="00CE2415"/>
    <w:rsid w:val="00CE2533"/>
    <w:rsid w:val="00CE30E4"/>
    <w:rsid w:val="00CE3415"/>
    <w:rsid w:val="00CE349A"/>
    <w:rsid w:val="00CE3670"/>
    <w:rsid w:val="00CE5A79"/>
    <w:rsid w:val="00CE7AFB"/>
    <w:rsid w:val="00CF0300"/>
    <w:rsid w:val="00CF3551"/>
    <w:rsid w:val="00CF582E"/>
    <w:rsid w:val="00CF5B96"/>
    <w:rsid w:val="00CF6137"/>
    <w:rsid w:val="00D00B6F"/>
    <w:rsid w:val="00D01CE1"/>
    <w:rsid w:val="00D02DF7"/>
    <w:rsid w:val="00D11AC1"/>
    <w:rsid w:val="00D12013"/>
    <w:rsid w:val="00D1219D"/>
    <w:rsid w:val="00D1663C"/>
    <w:rsid w:val="00D169C8"/>
    <w:rsid w:val="00D16AD8"/>
    <w:rsid w:val="00D22194"/>
    <w:rsid w:val="00D224B5"/>
    <w:rsid w:val="00D24E40"/>
    <w:rsid w:val="00D270D6"/>
    <w:rsid w:val="00D276EB"/>
    <w:rsid w:val="00D30389"/>
    <w:rsid w:val="00D30A0F"/>
    <w:rsid w:val="00D30E62"/>
    <w:rsid w:val="00D32614"/>
    <w:rsid w:val="00D33699"/>
    <w:rsid w:val="00D33C1E"/>
    <w:rsid w:val="00D34417"/>
    <w:rsid w:val="00D408CF"/>
    <w:rsid w:val="00D40C69"/>
    <w:rsid w:val="00D42D33"/>
    <w:rsid w:val="00D4696F"/>
    <w:rsid w:val="00D50C9B"/>
    <w:rsid w:val="00D53551"/>
    <w:rsid w:val="00D53DDC"/>
    <w:rsid w:val="00D54707"/>
    <w:rsid w:val="00D54E53"/>
    <w:rsid w:val="00D55E38"/>
    <w:rsid w:val="00D56F42"/>
    <w:rsid w:val="00D57998"/>
    <w:rsid w:val="00D6157F"/>
    <w:rsid w:val="00D61F12"/>
    <w:rsid w:val="00D63342"/>
    <w:rsid w:val="00D64420"/>
    <w:rsid w:val="00D65F11"/>
    <w:rsid w:val="00D6784E"/>
    <w:rsid w:val="00D70215"/>
    <w:rsid w:val="00D70878"/>
    <w:rsid w:val="00D75499"/>
    <w:rsid w:val="00D8149F"/>
    <w:rsid w:val="00D8289D"/>
    <w:rsid w:val="00D84503"/>
    <w:rsid w:val="00D84FE4"/>
    <w:rsid w:val="00D8553F"/>
    <w:rsid w:val="00D8596C"/>
    <w:rsid w:val="00D85A32"/>
    <w:rsid w:val="00D8605E"/>
    <w:rsid w:val="00D86AAD"/>
    <w:rsid w:val="00D908BD"/>
    <w:rsid w:val="00D90D0E"/>
    <w:rsid w:val="00D92130"/>
    <w:rsid w:val="00D964DD"/>
    <w:rsid w:val="00D967A0"/>
    <w:rsid w:val="00DA1D76"/>
    <w:rsid w:val="00DA20DF"/>
    <w:rsid w:val="00DA2157"/>
    <w:rsid w:val="00DA40E9"/>
    <w:rsid w:val="00DA6175"/>
    <w:rsid w:val="00DA6E61"/>
    <w:rsid w:val="00DA78DB"/>
    <w:rsid w:val="00DB1ED0"/>
    <w:rsid w:val="00DB394D"/>
    <w:rsid w:val="00DB58E9"/>
    <w:rsid w:val="00DC011A"/>
    <w:rsid w:val="00DC01DB"/>
    <w:rsid w:val="00DC1DC6"/>
    <w:rsid w:val="00DC1F86"/>
    <w:rsid w:val="00DC35E5"/>
    <w:rsid w:val="00DC5631"/>
    <w:rsid w:val="00DC5A43"/>
    <w:rsid w:val="00DC5C1B"/>
    <w:rsid w:val="00DC6012"/>
    <w:rsid w:val="00DC7CFE"/>
    <w:rsid w:val="00DD17F8"/>
    <w:rsid w:val="00DD2BBB"/>
    <w:rsid w:val="00DD3154"/>
    <w:rsid w:val="00DD3F5C"/>
    <w:rsid w:val="00DD50DA"/>
    <w:rsid w:val="00DD59B4"/>
    <w:rsid w:val="00DD7FC6"/>
    <w:rsid w:val="00DE0077"/>
    <w:rsid w:val="00DE04D0"/>
    <w:rsid w:val="00DE08B6"/>
    <w:rsid w:val="00DE0AF1"/>
    <w:rsid w:val="00DE2156"/>
    <w:rsid w:val="00DE404E"/>
    <w:rsid w:val="00DE4C72"/>
    <w:rsid w:val="00DE4E1C"/>
    <w:rsid w:val="00DE5276"/>
    <w:rsid w:val="00DE575A"/>
    <w:rsid w:val="00DE5B63"/>
    <w:rsid w:val="00DE6178"/>
    <w:rsid w:val="00DF052B"/>
    <w:rsid w:val="00DF2709"/>
    <w:rsid w:val="00DF2B61"/>
    <w:rsid w:val="00DF3D6F"/>
    <w:rsid w:val="00DF6160"/>
    <w:rsid w:val="00E0165D"/>
    <w:rsid w:val="00E02D49"/>
    <w:rsid w:val="00E03F71"/>
    <w:rsid w:val="00E043DC"/>
    <w:rsid w:val="00E04A1E"/>
    <w:rsid w:val="00E04F72"/>
    <w:rsid w:val="00E0666F"/>
    <w:rsid w:val="00E06AEB"/>
    <w:rsid w:val="00E075C7"/>
    <w:rsid w:val="00E13070"/>
    <w:rsid w:val="00E13F24"/>
    <w:rsid w:val="00E14AD4"/>
    <w:rsid w:val="00E15DD3"/>
    <w:rsid w:val="00E173FB"/>
    <w:rsid w:val="00E1745C"/>
    <w:rsid w:val="00E20705"/>
    <w:rsid w:val="00E21B16"/>
    <w:rsid w:val="00E23B5C"/>
    <w:rsid w:val="00E26825"/>
    <w:rsid w:val="00E27194"/>
    <w:rsid w:val="00E27548"/>
    <w:rsid w:val="00E316F1"/>
    <w:rsid w:val="00E31E9D"/>
    <w:rsid w:val="00E406AE"/>
    <w:rsid w:val="00E44B88"/>
    <w:rsid w:val="00E44BF1"/>
    <w:rsid w:val="00E5049A"/>
    <w:rsid w:val="00E52613"/>
    <w:rsid w:val="00E52FE2"/>
    <w:rsid w:val="00E54CFE"/>
    <w:rsid w:val="00E56877"/>
    <w:rsid w:val="00E572B6"/>
    <w:rsid w:val="00E57384"/>
    <w:rsid w:val="00E579C1"/>
    <w:rsid w:val="00E601E2"/>
    <w:rsid w:val="00E61D4B"/>
    <w:rsid w:val="00E644AD"/>
    <w:rsid w:val="00E65B11"/>
    <w:rsid w:val="00E67279"/>
    <w:rsid w:val="00E724AC"/>
    <w:rsid w:val="00E726C7"/>
    <w:rsid w:val="00E72B07"/>
    <w:rsid w:val="00E72FE7"/>
    <w:rsid w:val="00E73F3F"/>
    <w:rsid w:val="00E7478E"/>
    <w:rsid w:val="00E748CA"/>
    <w:rsid w:val="00E74F08"/>
    <w:rsid w:val="00E74FC8"/>
    <w:rsid w:val="00E76908"/>
    <w:rsid w:val="00E84F3A"/>
    <w:rsid w:val="00E863D3"/>
    <w:rsid w:val="00E90234"/>
    <w:rsid w:val="00E9105A"/>
    <w:rsid w:val="00E91DDD"/>
    <w:rsid w:val="00E91E3D"/>
    <w:rsid w:val="00E92072"/>
    <w:rsid w:val="00E93D1E"/>
    <w:rsid w:val="00E9431D"/>
    <w:rsid w:val="00EA0F04"/>
    <w:rsid w:val="00EA175A"/>
    <w:rsid w:val="00EB00C5"/>
    <w:rsid w:val="00EB318F"/>
    <w:rsid w:val="00EB3A8F"/>
    <w:rsid w:val="00EB4FCF"/>
    <w:rsid w:val="00EB6BB2"/>
    <w:rsid w:val="00EB7033"/>
    <w:rsid w:val="00EB7DCB"/>
    <w:rsid w:val="00EC0091"/>
    <w:rsid w:val="00EC0C82"/>
    <w:rsid w:val="00EC13E6"/>
    <w:rsid w:val="00EC1BBA"/>
    <w:rsid w:val="00EC3A53"/>
    <w:rsid w:val="00EC4749"/>
    <w:rsid w:val="00EC5E06"/>
    <w:rsid w:val="00EC6419"/>
    <w:rsid w:val="00EC7363"/>
    <w:rsid w:val="00ED0ED1"/>
    <w:rsid w:val="00ED3BCC"/>
    <w:rsid w:val="00ED3D13"/>
    <w:rsid w:val="00ED522E"/>
    <w:rsid w:val="00ED6E19"/>
    <w:rsid w:val="00ED73D4"/>
    <w:rsid w:val="00EE7BC9"/>
    <w:rsid w:val="00EF1CF7"/>
    <w:rsid w:val="00EF1D35"/>
    <w:rsid w:val="00EF2458"/>
    <w:rsid w:val="00EF2F33"/>
    <w:rsid w:val="00EF3053"/>
    <w:rsid w:val="00EF30F8"/>
    <w:rsid w:val="00EF6F94"/>
    <w:rsid w:val="00EF7FF4"/>
    <w:rsid w:val="00F02060"/>
    <w:rsid w:val="00F03990"/>
    <w:rsid w:val="00F07E1E"/>
    <w:rsid w:val="00F116FC"/>
    <w:rsid w:val="00F126E5"/>
    <w:rsid w:val="00F133AF"/>
    <w:rsid w:val="00F14FCE"/>
    <w:rsid w:val="00F1591A"/>
    <w:rsid w:val="00F16DDD"/>
    <w:rsid w:val="00F173F1"/>
    <w:rsid w:val="00F2020A"/>
    <w:rsid w:val="00F22CCA"/>
    <w:rsid w:val="00F244D9"/>
    <w:rsid w:val="00F244E1"/>
    <w:rsid w:val="00F25626"/>
    <w:rsid w:val="00F25A5D"/>
    <w:rsid w:val="00F27223"/>
    <w:rsid w:val="00F306C9"/>
    <w:rsid w:val="00F30AEB"/>
    <w:rsid w:val="00F3352D"/>
    <w:rsid w:val="00F34F16"/>
    <w:rsid w:val="00F3518F"/>
    <w:rsid w:val="00F3575B"/>
    <w:rsid w:val="00F36FAB"/>
    <w:rsid w:val="00F4250E"/>
    <w:rsid w:val="00F4438F"/>
    <w:rsid w:val="00F4442A"/>
    <w:rsid w:val="00F44501"/>
    <w:rsid w:val="00F45D5A"/>
    <w:rsid w:val="00F51013"/>
    <w:rsid w:val="00F51588"/>
    <w:rsid w:val="00F51ADD"/>
    <w:rsid w:val="00F534F7"/>
    <w:rsid w:val="00F559EB"/>
    <w:rsid w:val="00F56096"/>
    <w:rsid w:val="00F56D36"/>
    <w:rsid w:val="00F56FD2"/>
    <w:rsid w:val="00F600ED"/>
    <w:rsid w:val="00F60839"/>
    <w:rsid w:val="00F61B75"/>
    <w:rsid w:val="00F644BD"/>
    <w:rsid w:val="00F66715"/>
    <w:rsid w:val="00F67509"/>
    <w:rsid w:val="00F67C18"/>
    <w:rsid w:val="00F70041"/>
    <w:rsid w:val="00F73339"/>
    <w:rsid w:val="00F75511"/>
    <w:rsid w:val="00F76747"/>
    <w:rsid w:val="00F802CD"/>
    <w:rsid w:val="00F83141"/>
    <w:rsid w:val="00F83833"/>
    <w:rsid w:val="00F84FDD"/>
    <w:rsid w:val="00F90401"/>
    <w:rsid w:val="00F930A6"/>
    <w:rsid w:val="00F93F39"/>
    <w:rsid w:val="00F94DD8"/>
    <w:rsid w:val="00F951A3"/>
    <w:rsid w:val="00F95843"/>
    <w:rsid w:val="00F962C6"/>
    <w:rsid w:val="00F9691C"/>
    <w:rsid w:val="00F975AA"/>
    <w:rsid w:val="00FA0BFE"/>
    <w:rsid w:val="00FA2B34"/>
    <w:rsid w:val="00FA3333"/>
    <w:rsid w:val="00FA530A"/>
    <w:rsid w:val="00FA6789"/>
    <w:rsid w:val="00FA6CD1"/>
    <w:rsid w:val="00FA74CC"/>
    <w:rsid w:val="00FB0D32"/>
    <w:rsid w:val="00FB1617"/>
    <w:rsid w:val="00FB16E5"/>
    <w:rsid w:val="00FB2600"/>
    <w:rsid w:val="00FB30FD"/>
    <w:rsid w:val="00FB3209"/>
    <w:rsid w:val="00FB7558"/>
    <w:rsid w:val="00FC078C"/>
    <w:rsid w:val="00FC2771"/>
    <w:rsid w:val="00FC3C19"/>
    <w:rsid w:val="00FC575D"/>
    <w:rsid w:val="00FC6BE0"/>
    <w:rsid w:val="00FD3401"/>
    <w:rsid w:val="00FD5BDB"/>
    <w:rsid w:val="00FD6D0E"/>
    <w:rsid w:val="00FE0737"/>
    <w:rsid w:val="00FE347B"/>
    <w:rsid w:val="00FE362C"/>
    <w:rsid w:val="00FE6CBD"/>
    <w:rsid w:val="00FF0B58"/>
    <w:rsid w:val="00FF31D8"/>
    <w:rsid w:val="00FF373C"/>
    <w:rsid w:val="00FF3A58"/>
    <w:rsid w:val="00FF43B2"/>
    <w:rsid w:val="00FF63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6F14F"/>
  <w15:docId w15:val="{278AD2D1-3986-4360-8CD1-80C60DCE7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0AB0"/>
  </w:style>
  <w:style w:type="paragraph" w:styleId="Heading1">
    <w:name w:val="heading 1"/>
    <w:basedOn w:val="Normal"/>
    <w:next w:val="Normal"/>
    <w:link w:val="Heading1Char"/>
    <w:uiPriority w:val="9"/>
    <w:qFormat/>
    <w:rsid w:val="0093651C"/>
    <w:pPr>
      <w:keepNext/>
      <w:keepLines/>
      <w:spacing w:before="240" w:after="0"/>
      <w:outlineLvl w:val="0"/>
    </w:pPr>
    <w:rPr>
      <w:rFonts w:eastAsiaTheme="majorEastAsia" w:cstheme="majorBidi"/>
      <w:b/>
      <w:color w:val="1F4E79" w:themeColor="accent5" w:themeShade="80"/>
      <w:sz w:val="28"/>
      <w:szCs w:val="32"/>
    </w:rPr>
  </w:style>
  <w:style w:type="paragraph" w:styleId="Heading2">
    <w:name w:val="heading 2"/>
    <w:basedOn w:val="Normal"/>
    <w:next w:val="Normal"/>
    <w:link w:val="Heading2Char"/>
    <w:uiPriority w:val="9"/>
    <w:unhideWhenUsed/>
    <w:qFormat/>
    <w:rsid w:val="002B05B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60A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60A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0AB0"/>
  </w:style>
  <w:style w:type="paragraph" w:styleId="NoSpacing">
    <w:name w:val="No Spacing"/>
    <w:uiPriority w:val="1"/>
    <w:qFormat/>
    <w:rsid w:val="00160AB0"/>
    <w:pPr>
      <w:spacing w:after="0" w:line="240" w:lineRule="auto"/>
    </w:pPr>
  </w:style>
  <w:style w:type="paragraph" w:styleId="FootnoteText">
    <w:name w:val="footnote text"/>
    <w:basedOn w:val="Normal"/>
    <w:link w:val="FootnoteTextChar"/>
    <w:uiPriority w:val="99"/>
    <w:unhideWhenUsed/>
    <w:rsid w:val="0017637D"/>
    <w:pPr>
      <w:spacing w:after="0" w:line="240" w:lineRule="auto"/>
    </w:pPr>
    <w:rPr>
      <w:sz w:val="20"/>
      <w:szCs w:val="20"/>
    </w:rPr>
  </w:style>
  <w:style w:type="character" w:customStyle="1" w:styleId="FootnoteTextChar">
    <w:name w:val="Footnote Text Char"/>
    <w:basedOn w:val="DefaultParagraphFont"/>
    <w:link w:val="FootnoteText"/>
    <w:uiPriority w:val="99"/>
    <w:rsid w:val="0017637D"/>
    <w:rPr>
      <w:sz w:val="20"/>
      <w:szCs w:val="20"/>
    </w:rPr>
  </w:style>
  <w:style w:type="character" w:styleId="FootnoteReference">
    <w:name w:val="footnote reference"/>
    <w:basedOn w:val="DefaultParagraphFont"/>
    <w:uiPriority w:val="99"/>
    <w:unhideWhenUsed/>
    <w:rsid w:val="0017637D"/>
    <w:rPr>
      <w:vertAlign w:val="superscript"/>
    </w:rPr>
  </w:style>
  <w:style w:type="paragraph" w:styleId="ListParagraph">
    <w:name w:val="List Paragraph"/>
    <w:basedOn w:val="Normal"/>
    <w:uiPriority w:val="1"/>
    <w:qFormat/>
    <w:rsid w:val="005C0498"/>
    <w:pPr>
      <w:ind w:left="720"/>
      <w:contextualSpacing/>
    </w:pPr>
  </w:style>
  <w:style w:type="table" w:customStyle="1" w:styleId="GridTable4-Accent11">
    <w:name w:val="Grid Table 4 - Accent 11"/>
    <w:basedOn w:val="TableNormal"/>
    <w:uiPriority w:val="49"/>
    <w:rsid w:val="00897353"/>
    <w:pPr>
      <w:spacing w:after="0" w:line="240" w:lineRule="auto"/>
    </w:pPr>
    <w:tblPr>
      <w:tblStyleRowBandSize w:val="1"/>
      <w:tblStyleColBandSize w:val="1"/>
      <w:tblBorders>
        <w:top w:val="single" w:sz="4" w:space="0" w:color="9FACD2"/>
        <w:left w:val="single" w:sz="4" w:space="0" w:color="9FACD2"/>
        <w:bottom w:val="single" w:sz="4" w:space="0" w:color="9FACD2"/>
        <w:right w:val="single" w:sz="4" w:space="0" w:color="9FACD2"/>
        <w:insideH w:val="single" w:sz="4" w:space="0" w:color="9FACD2"/>
        <w:insideV w:val="single" w:sz="4" w:space="0" w:color="9FACD2"/>
      </w:tblBorders>
    </w:tblPr>
    <w:tblStylePr w:type="firstRow">
      <w:rPr>
        <w:b/>
        <w:bCs/>
        <w:color w:val="FFFFFF"/>
      </w:rPr>
      <w:tblPr/>
      <w:tcPr>
        <w:tcBorders>
          <w:top w:val="single" w:sz="4" w:space="0" w:color="6076B4"/>
          <w:left w:val="single" w:sz="4" w:space="0" w:color="6076B4"/>
          <w:bottom w:val="single" w:sz="4" w:space="0" w:color="6076B4"/>
          <w:right w:val="single" w:sz="4" w:space="0" w:color="6076B4"/>
          <w:insideH w:val="nil"/>
          <w:insideV w:val="nil"/>
        </w:tcBorders>
        <w:shd w:val="clear" w:color="auto" w:fill="6076B4"/>
      </w:tcPr>
    </w:tblStylePr>
    <w:tblStylePr w:type="lastRow">
      <w:rPr>
        <w:b/>
        <w:bCs/>
      </w:rPr>
      <w:tblPr/>
      <w:tcPr>
        <w:tcBorders>
          <w:top w:val="double" w:sz="4" w:space="0" w:color="6076B4"/>
        </w:tcBorders>
      </w:tcPr>
    </w:tblStylePr>
    <w:tblStylePr w:type="firstCol">
      <w:rPr>
        <w:b/>
        <w:bCs/>
      </w:rPr>
    </w:tblStylePr>
    <w:tblStylePr w:type="lastCol">
      <w:rPr>
        <w:b/>
        <w:bCs/>
      </w:rPr>
    </w:tblStylePr>
    <w:tblStylePr w:type="band1Vert">
      <w:tblPr/>
      <w:tcPr>
        <w:shd w:val="clear" w:color="auto" w:fill="DFE3F0"/>
      </w:tcPr>
    </w:tblStylePr>
    <w:tblStylePr w:type="band1Horz">
      <w:tblPr/>
      <w:tcPr>
        <w:shd w:val="clear" w:color="auto" w:fill="DFE3F0"/>
      </w:tcPr>
    </w:tblStylePr>
  </w:style>
  <w:style w:type="paragraph" w:styleId="Footer">
    <w:name w:val="footer"/>
    <w:basedOn w:val="Normal"/>
    <w:link w:val="FooterChar"/>
    <w:uiPriority w:val="99"/>
    <w:unhideWhenUsed/>
    <w:rsid w:val="003E1C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1CDA"/>
  </w:style>
  <w:style w:type="character" w:styleId="Hyperlink">
    <w:name w:val="Hyperlink"/>
    <w:basedOn w:val="DefaultParagraphFont"/>
    <w:uiPriority w:val="99"/>
    <w:unhideWhenUsed/>
    <w:rsid w:val="003E1CDA"/>
    <w:rPr>
      <w:color w:val="0563C1" w:themeColor="hyperlink"/>
      <w:u w:val="single"/>
    </w:rPr>
  </w:style>
  <w:style w:type="character" w:customStyle="1" w:styleId="UnresolvedMention1">
    <w:name w:val="Unresolved Mention1"/>
    <w:basedOn w:val="DefaultParagraphFont"/>
    <w:uiPriority w:val="99"/>
    <w:semiHidden/>
    <w:unhideWhenUsed/>
    <w:rsid w:val="008252E3"/>
    <w:rPr>
      <w:color w:val="605E5C"/>
      <w:shd w:val="clear" w:color="auto" w:fill="E1DFDD"/>
    </w:rPr>
  </w:style>
  <w:style w:type="character" w:styleId="CommentReference">
    <w:name w:val="annotation reference"/>
    <w:basedOn w:val="DefaultParagraphFont"/>
    <w:uiPriority w:val="99"/>
    <w:semiHidden/>
    <w:unhideWhenUsed/>
    <w:rsid w:val="00B71F50"/>
    <w:rPr>
      <w:sz w:val="16"/>
      <w:szCs w:val="16"/>
    </w:rPr>
  </w:style>
  <w:style w:type="paragraph" w:styleId="CommentText">
    <w:name w:val="annotation text"/>
    <w:basedOn w:val="Normal"/>
    <w:link w:val="CommentTextChar"/>
    <w:uiPriority w:val="99"/>
    <w:unhideWhenUsed/>
    <w:rsid w:val="00B71F50"/>
    <w:pPr>
      <w:spacing w:line="240" w:lineRule="auto"/>
    </w:pPr>
    <w:rPr>
      <w:sz w:val="20"/>
      <w:szCs w:val="20"/>
    </w:rPr>
  </w:style>
  <w:style w:type="character" w:customStyle="1" w:styleId="CommentTextChar">
    <w:name w:val="Comment Text Char"/>
    <w:basedOn w:val="DefaultParagraphFont"/>
    <w:link w:val="CommentText"/>
    <w:uiPriority w:val="99"/>
    <w:rsid w:val="00B71F50"/>
    <w:rPr>
      <w:sz w:val="20"/>
      <w:szCs w:val="20"/>
    </w:rPr>
  </w:style>
  <w:style w:type="paragraph" w:styleId="CommentSubject">
    <w:name w:val="annotation subject"/>
    <w:basedOn w:val="CommentText"/>
    <w:next w:val="CommentText"/>
    <w:link w:val="CommentSubjectChar"/>
    <w:uiPriority w:val="99"/>
    <w:semiHidden/>
    <w:unhideWhenUsed/>
    <w:rsid w:val="00B71F50"/>
    <w:rPr>
      <w:b/>
      <w:bCs/>
    </w:rPr>
  </w:style>
  <w:style w:type="character" w:customStyle="1" w:styleId="CommentSubjectChar">
    <w:name w:val="Comment Subject Char"/>
    <w:basedOn w:val="CommentTextChar"/>
    <w:link w:val="CommentSubject"/>
    <w:uiPriority w:val="99"/>
    <w:semiHidden/>
    <w:rsid w:val="00B71F50"/>
    <w:rPr>
      <w:b/>
      <w:bCs/>
      <w:sz w:val="20"/>
      <w:szCs w:val="20"/>
    </w:rPr>
  </w:style>
  <w:style w:type="paragraph" w:styleId="EndnoteText">
    <w:name w:val="endnote text"/>
    <w:basedOn w:val="Normal"/>
    <w:link w:val="EndnoteTextChar"/>
    <w:uiPriority w:val="99"/>
    <w:semiHidden/>
    <w:unhideWhenUsed/>
    <w:rsid w:val="00656A7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56A79"/>
    <w:rPr>
      <w:sz w:val="20"/>
      <w:szCs w:val="20"/>
    </w:rPr>
  </w:style>
  <w:style w:type="character" w:styleId="EndnoteReference">
    <w:name w:val="endnote reference"/>
    <w:basedOn w:val="DefaultParagraphFont"/>
    <w:uiPriority w:val="99"/>
    <w:semiHidden/>
    <w:unhideWhenUsed/>
    <w:rsid w:val="00656A79"/>
    <w:rPr>
      <w:vertAlign w:val="superscript"/>
    </w:rPr>
  </w:style>
  <w:style w:type="paragraph" w:styleId="PlainText">
    <w:name w:val="Plain Text"/>
    <w:basedOn w:val="Normal"/>
    <w:link w:val="PlainTextChar"/>
    <w:uiPriority w:val="99"/>
    <w:unhideWhenUsed/>
    <w:rsid w:val="00FA6CD1"/>
    <w:pPr>
      <w:spacing w:after="0" w:line="240" w:lineRule="auto"/>
    </w:pPr>
    <w:rPr>
      <w:rFonts w:ascii="Calibri" w:hAnsi="Calibri" w:cs="Calibri"/>
    </w:rPr>
  </w:style>
  <w:style w:type="character" w:customStyle="1" w:styleId="PlainTextChar">
    <w:name w:val="Plain Text Char"/>
    <w:basedOn w:val="DefaultParagraphFont"/>
    <w:link w:val="PlainText"/>
    <w:uiPriority w:val="99"/>
    <w:rsid w:val="00FA6CD1"/>
    <w:rPr>
      <w:rFonts w:ascii="Calibri" w:hAnsi="Calibri" w:cs="Calibri"/>
    </w:rPr>
  </w:style>
  <w:style w:type="paragraph" w:styleId="BalloonText">
    <w:name w:val="Balloon Text"/>
    <w:basedOn w:val="Normal"/>
    <w:link w:val="BalloonTextChar"/>
    <w:uiPriority w:val="99"/>
    <w:semiHidden/>
    <w:unhideWhenUsed/>
    <w:rsid w:val="00C408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08C2"/>
    <w:rPr>
      <w:rFonts w:ascii="Segoe UI" w:hAnsi="Segoe UI" w:cs="Segoe UI"/>
      <w:sz w:val="18"/>
      <w:szCs w:val="18"/>
    </w:rPr>
  </w:style>
  <w:style w:type="paragraph" w:styleId="Revision">
    <w:name w:val="Revision"/>
    <w:hidden/>
    <w:uiPriority w:val="99"/>
    <w:semiHidden/>
    <w:rsid w:val="006F5976"/>
    <w:pPr>
      <w:spacing w:after="0" w:line="240" w:lineRule="auto"/>
    </w:pPr>
  </w:style>
  <w:style w:type="character" w:customStyle="1" w:styleId="Heading1Char">
    <w:name w:val="Heading 1 Char"/>
    <w:basedOn w:val="DefaultParagraphFont"/>
    <w:link w:val="Heading1"/>
    <w:uiPriority w:val="9"/>
    <w:rsid w:val="0093651C"/>
    <w:rPr>
      <w:rFonts w:eastAsiaTheme="majorEastAsia" w:cstheme="majorBidi"/>
      <w:b/>
      <w:color w:val="1F4E79" w:themeColor="accent5" w:themeShade="80"/>
      <w:sz w:val="28"/>
      <w:szCs w:val="32"/>
    </w:rPr>
  </w:style>
  <w:style w:type="paragraph" w:styleId="TOCHeading">
    <w:name w:val="TOC Heading"/>
    <w:basedOn w:val="Heading1"/>
    <w:next w:val="Normal"/>
    <w:uiPriority w:val="39"/>
    <w:unhideWhenUsed/>
    <w:qFormat/>
    <w:rsid w:val="002B05B4"/>
    <w:pPr>
      <w:outlineLvl w:val="9"/>
    </w:pPr>
  </w:style>
  <w:style w:type="paragraph" w:styleId="TOC1">
    <w:name w:val="toc 1"/>
    <w:basedOn w:val="Normal"/>
    <w:next w:val="Normal"/>
    <w:autoRedefine/>
    <w:uiPriority w:val="39"/>
    <w:unhideWhenUsed/>
    <w:rsid w:val="0093651C"/>
    <w:pPr>
      <w:spacing w:after="100"/>
    </w:pPr>
  </w:style>
  <w:style w:type="character" w:customStyle="1" w:styleId="Heading2Char">
    <w:name w:val="Heading 2 Char"/>
    <w:basedOn w:val="DefaultParagraphFont"/>
    <w:link w:val="Heading2"/>
    <w:uiPriority w:val="9"/>
    <w:rsid w:val="002B05B4"/>
    <w:rPr>
      <w:rFonts w:asciiTheme="majorHAnsi" w:eastAsiaTheme="majorEastAsia" w:hAnsiTheme="majorHAnsi" w:cstheme="majorBidi"/>
      <w:color w:val="2F5496" w:themeColor="accent1" w:themeShade="BF"/>
      <w:sz w:val="26"/>
      <w:szCs w:val="26"/>
    </w:rPr>
  </w:style>
  <w:style w:type="paragraph" w:styleId="TOC2">
    <w:name w:val="toc 2"/>
    <w:basedOn w:val="Normal"/>
    <w:next w:val="Normal"/>
    <w:autoRedefine/>
    <w:uiPriority w:val="39"/>
    <w:unhideWhenUsed/>
    <w:rsid w:val="002B05B4"/>
    <w:pPr>
      <w:spacing w:after="100"/>
      <w:ind w:left="220"/>
    </w:pPr>
  </w:style>
  <w:style w:type="character" w:styleId="Emphasis">
    <w:name w:val="Emphasis"/>
    <w:basedOn w:val="DefaultParagraphFont"/>
    <w:uiPriority w:val="20"/>
    <w:qFormat/>
    <w:rsid w:val="001626F0"/>
    <w:rPr>
      <w:i/>
      <w:iCs/>
    </w:rPr>
  </w:style>
  <w:style w:type="character" w:customStyle="1" w:styleId="FootnoteTextChar1">
    <w:name w:val="Footnote Text Char1"/>
    <w:basedOn w:val="DefaultParagraphFont"/>
    <w:uiPriority w:val="99"/>
    <w:rsid w:val="00BD39AC"/>
    <w:rPr>
      <w:sz w:val="20"/>
      <w:szCs w:val="20"/>
    </w:rPr>
  </w:style>
  <w:style w:type="character" w:styleId="UnresolvedMention">
    <w:name w:val="Unresolved Mention"/>
    <w:basedOn w:val="DefaultParagraphFont"/>
    <w:uiPriority w:val="99"/>
    <w:semiHidden/>
    <w:unhideWhenUsed/>
    <w:rsid w:val="004015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2896811">
      <w:bodyDiv w:val="1"/>
      <w:marLeft w:val="0"/>
      <w:marRight w:val="0"/>
      <w:marTop w:val="0"/>
      <w:marBottom w:val="0"/>
      <w:divBdr>
        <w:top w:val="none" w:sz="0" w:space="0" w:color="auto"/>
        <w:left w:val="none" w:sz="0" w:space="0" w:color="auto"/>
        <w:bottom w:val="none" w:sz="0" w:space="0" w:color="auto"/>
        <w:right w:val="none" w:sz="0" w:space="0" w:color="auto"/>
      </w:divBdr>
    </w:div>
    <w:div w:id="439960433">
      <w:bodyDiv w:val="1"/>
      <w:marLeft w:val="0"/>
      <w:marRight w:val="0"/>
      <w:marTop w:val="0"/>
      <w:marBottom w:val="0"/>
      <w:divBdr>
        <w:top w:val="none" w:sz="0" w:space="0" w:color="auto"/>
        <w:left w:val="none" w:sz="0" w:space="0" w:color="auto"/>
        <w:bottom w:val="none" w:sz="0" w:space="0" w:color="auto"/>
        <w:right w:val="none" w:sz="0" w:space="0" w:color="auto"/>
      </w:divBdr>
    </w:div>
    <w:div w:id="592931682">
      <w:bodyDiv w:val="1"/>
      <w:marLeft w:val="0"/>
      <w:marRight w:val="0"/>
      <w:marTop w:val="0"/>
      <w:marBottom w:val="0"/>
      <w:divBdr>
        <w:top w:val="none" w:sz="0" w:space="0" w:color="auto"/>
        <w:left w:val="none" w:sz="0" w:space="0" w:color="auto"/>
        <w:bottom w:val="none" w:sz="0" w:space="0" w:color="auto"/>
        <w:right w:val="none" w:sz="0" w:space="0" w:color="auto"/>
      </w:divBdr>
    </w:div>
    <w:div w:id="636107005">
      <w:bodyDiv w:val="1"/>
      <w:marLeft w:val="0"/>
      <w:marRight w:val="0"/>
      <w:marTop w:val="0"/>
      <w:marBottom w:val="0"/>
      <w:divBdr>
        <w:top w:val="none" w:sz="0" w:space="0" w:color="auto"/>
        <w:left w:val="none" w:sz="0" w:space="0" w:color="auto"/>
        <w:bottom w:val="none" w:sz="0" w:space="0" w:color="auto"/>
        <w:right w:val="none" w:sz="0" w:space="0" w:color="auto"/>
      </w:divBdr>
    </w:div>
    <w:div w:id="697659231">
      <w:bodyDiv w:val="1"/>
      <w:marLeft w:val="0"/>
      <w:marRight w:val="0"/>
      <w:marTop w:val="0"/>
      <w:marBottom w:val="0"/>
      <w:divBdr>
        <w:top w:val="none" w:sz="0" w:space="0" w:color="auto"/>
        <w:left w:val="none" w:sz="0" w:space="0" w:color="auto"/>
        <w:bottom w:val="none" w:sz="0" w:space="0" w:color="auto"/>
        <w:right w:val="none" w:sz="0" w:space="0" w:color="auto"/>
      </w:divBdr>
    </w:div>
    <w:div w:id="1176387979">
      <w:bodyDiv w:val="1"/>
      <w:marLeft w:val="0"/>
      <w:marRight w:val="0"/>
      <w:marTop w:val="0"/>
      <w:marBottom w:val="0"/>
      <w:divBdr>
        <w:top w:val="none" w:sz="0" w:space="0" w:color="auto"/>
        <w:left w:val="none" w:sz="0" w:space="0" w:color="auto"/>
        <w:bottom w:val="none" w:sz="0" w:space="0" w:color="auto"/>
        <w:right w:val="none" w:sz="0" w:space="0" w:color="auto"/>
      </w:divBdr>
    </w:div>
    <w:div w:id="1300767002">
      <w:bodyDiv w:val="1"/>
      <w:marLeft w:val="0"/>
      <w:marRight w:val="0"/>
      <w:marTop w:val="0"/>
      <w:marBottom w:val="0"/>
      <w:divBdr>
        <w:top w:val="none" w:sz="0" w:space="0" w:color="auto"/>
        <w:left w:val="none" w:sz="0" w:space="0" w:color="auto"/>
        <w:bottom w:val="none" w:sz="0" w:space="0" w:color="auto"/>
        <w:right w:val="none" w:sz="0" w:space="0" w:color="auto"/>
      </w:divBdr>
    </w:div>
    <w:div w:id="16583396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endnotes.xml.rels><?xml version="1.0" encoding="UTF-8" standalone="yes"?>
<Relationships xmlns="http://schemas.openxmlformats.org/package/2006/relationships"><Relationship Id="rId13" Type="http://schemas.openxmlformats.org/officeDocument/2006/relationships/hyperlink" Target="https://www.itnonline.com/content/increases-imaging-procedures-chronic-diseases-spur-growth-medical-imaging-informatics" TargetMode="External"/><Relationship Id="rId18" Type="http://schemas.openxmlformats.org/officeDocument/2006/relationships/hyperlink" Target="https://www.nibib.nih.gov/science-education/science-topics/computed-tomography-ct" TargetMode="External"/><Relationship Id="rId26" Type="http://schemas.openxmlformats.org/officeDocument/2006/relationships/hyperlink" Target="https://www.radiologyinfo.org/en/submenu.cfm?pg=ctscan" TargetMode="External"/><Relationship Id="rId39" Type="http://schemas.openxmlformats.org/officeDocument/2006/relationships/hyperlink" Target="https://www.radiologyinfo.org/en/info/angiocoroct" TargetMode="External"/><Relationship Id="rId21" Type="http://schemas.openxmlformats.org/officeDocument/2006/relationships/hyperlink" Target="https://www.medicalnewstoday.com/articles/153201" TargetMode="External"/><Relationship Id="rId34" Type="http://schemas.openxmlformats.org/officeDocument/2006/relationships/hyperlink" Target="https://www.siemens-healthineers.com/en-us/computed-tomography/dual-energy/dual-source-dual-energy" TargetMode="External"/><Relationship Id="rId42" Type="http://schemas.openxmlformats.org/officeDocument/2006/relationships/hyperlink" Target="https://www.cdc.gov/nchs/pressroom/states/massachusetts/massachusetts.htm" TargetMode="External"/><Relationship Id="rId47" Type="http://schemas.openxmlformats.org/officeDocument/2006/relationships/hyperlink" Target="https://www.healthit.gov/topic/health-it-basics/improve-care-coordination" TargetMode="External"/><Relationship Id="rId50" Type="http://schemas.openxmlformats.org/officeDocument/2006/relationships/hyperlink" Target="https://www.mass.gov/files/documents/2019/02/20/2018%20Cost%20Trends%20Report.pdf" TargetMode="External"/><Relationship Id="rId7" Type="http://schemas.openxmlformats.org/officeDocument/2006/relationships/hyperlink" Target="https://www.ncbi.nlm.nih.gov/pmc/articles/PMC2765780/pdf/nihms-137739.pdf" TargetMode="External"/><Relationship Id="rId2" Type="http://schemas.openxmlformats.org/officeDocument/2006/relationships/hyperlink" Target="https://www.chiamass.gov/assets/docs/r/hospital-profiles/2019/FY19-Massachusetts-Hospital-Profiles-Technical-Appendix.pdf" TargetMode="External"/><Relationship Id="rId16" Type="http://schemas.openxmlformats.org/officeDocument/2006/relationships/hyperlink" Target="https://pubmed.ncbi.nlm.nih.gov/24279724/" TargetMode="External"/><Relationship Id="rId29" Type="http://schemas.openxmlformats.org/officeDocument/2006/relationships/hyperlink" Target="https://jamanetwork.com/journals/jama/fullarticle/1697967" TargetMode="External"/><Relationship Id="rId11" Type="http://schemas.openxmlformats.org/officeDocument/2006/relationships/hyperlink" Target="https://radiologybusiness.com/topics/medical-imaging/magnetic-resonance-imaging-mri/feeling-overworked-rise-ct-mri-images-adds" TargetMode="External"/><Relationship Id="rId24" Type="http://schemas.openxmlformats.org/officeDocument/2006/relationships/hyperlink" Target="https://www.ncbi.nlm.nih.gov/pmclarticles/PMC4467659/" TargetMode="External"/><Relationship Id="rId32" Type="http://schemas.openxmlformats.org/officeDocument/2006/relationships/hyperlink" Target="https://www.dignityhealth.org/articles/what-is-interventional-radiology" TargetMode="External"/><Relationship Id="rId37" Type="http://schemas.openxmlformats.org/officeDocument/2006/relationships/hyperlink" Target="https://www.ncbi.nlm.nih.gov/pmc/articles/PMC5447632/" TargetMode="External"/><Relationship Id="rId40" Type="http://schemas.openxmlformats.org/officeDocument/2006/relationships/hyperlink" Target="https://www.ncbi.nlm.nih.gov/pmc/articles/PMC3047732/" TargetMode="External"/><Relationship Id="rId45" Type="http://schemas.openxmlformats.org/officeDocument/2006/relationships/hyperlink" Target="https://www.annfammed.org/content/7/2/100" TargetMode="External"/><Relationship Id="rId5" Type="http://schemas.openxmlformats.org/officeDocument/2006/relationships/hyperlink" Target="https://www.mass.gov/doc/accountable-care-organizations-in-massachusetts-profiles-of-the-2019-and-2020-hpc-certified-acos/download" TargetMode="External"/><Relationship Id="rId15" Type="http://schemas.openxmlformats.org/officeDocument/2006/relationships/hyperlink" Target="https://pubmed.ncbi.nlm.nih.gov/24279724/" TargetMode="External"/><Relationship Id="rId23" Type="http://schemas.openxmlformats.org/officeDocument/2006/relationships/hyperlink" Target="https://www.ncbi.nlm.nih.gov/pmclarticles/PMC4467659/" TargetMode="External"/><Relationship Id="rId28" Type="http://schemas.openxmlformats.org/officeDocument/2006/relationships/hyperlink" Target="https://www.fda.gov/radiation-emitting-products/medical-x-ray-imaging/computed-tomography-ct" TargetMode="External"/><Relationship Id="rId36" Type="http://schemas.openxmlformats.org/officeDocument/2006/relationships/hyperlink" Target="https://www.ncbi.nlm.nih.gov/pmc/articles/PMC5447632/" TargetMode="External"/><Relationship Id="rId49" Type="http://schemas.openxmlformats.org/officeDocument/2006/relationships/hyperlink" Target="https://www.healthit.gov/topic/health-it-and-health-information-exchange-basics/improved-diagnostics-patientoutcomes" TargetMode="External"/><Relationship Id="rId10" Type="http://schemas.openxmlformats.org/officeDocument/2006/relationships/hyperlink" Target="https://jamanetwork.com/journals/jama/fullarticle/1182858" TargetMode="External"/><Relationship Id="rId19" Type="http://schemas.openxmlformats.org/officeDocument/2006/relationships/hyperlink" Target="https://www.mayoclinic.org/tests-procedures/ct-scan/about/pac-20393675" TargetMode="External"/><Relationship Id="rId31" Type="http://schemas.openxmlformats.org/officeDocument/2006/relationships/hyperlink" Target="https://www.dignityhealth.org/articles/what-is-interventional-radiology" TargetMode="External"/><Relationship Id="rId44" Type="http://schemas.openxmlformats.org/officeDocument/2006/relationships/hyperlink" Target="https://www.annfammed.org/content/7/2/100" TargetMode="External"/><Relationship Id="rId4" Type="http://schemas.openxmlformats.org/officeDocument/2006/relationships/hyperlink" Target="https://www.mass.gov/service-details/full-list-of-masshealth-acos-and-mcos" TargetMode="External"/><Relationship Id="rId9" Type="http://schemas.openxmlformats.org/officeDocument/2006/relationships/hyperlink" Target="https://jamanetwork.com/journals/jama/fullarticle/1182858" TargetMode="External"/><Relationship Id="rId14" Type="http://schemas.openxmlformats.org/officeDocument/2006/relationships/hyperlink" Target="https://www.itnonline.com/content/increases-imaging-procedures-chronic-diseases-spur-growth-medical-imaging-informatics" TargetMode="External"/><Relationship Id="rId22" Type="http://schemas.openxmlformats.org/officeDocument/2006/relationships/hyperlink" Target="https://www.medicalnewstoday.com/articles/153201#procedure" TargetMode="External"/><Relationship Id="rId27" Type="http://schemas.openxmlformats.org/officeDocument/2006/relationships/hyperlink" Target="https://www.fda.gov/radiation-emitting-products/medical-x-ray-imaging/computed-tomography-ct" TargetMode="External"/><Relationship Id="rId30" Type="http://schemas.openxmlformats.org/officeDocument/2006/relationships/hyperlink" Target="https://jamanetwork.com/journals/jama/fullarticle/1697967" TargetMode="External"/><Relationship Id="rId35" Type="http://schemas.openxmlformats.org/officeDocument/2006/relationships/hyperlink" Target="https://www.ncbi.nlm.nih.gov/pmc/articles/PMC5447632/" TargetMode="External"/><Relationship Id="rId43" Type="http://schemas.openxmlformats.org/officeDocument/2006/relationships/hyperlink" Target="https://www.cdc.gov/nchs/pressroom/states/massachusetts/massachusetts.htm" TargetMode="External"/><Relationship Id="rId48" Type="http://schemas.openxmlformats.org/officeDocument/2006/relationships/hyperlink" Target="https://www.healthit.gov/topic/health-it-and-health-information-exchange-basics/improved-diagnostics-patientoutcomes" TargetMode="External"/><Relationship Id="rId8" Type="http://schemas.openxmlformats.org/officeDocument/2006/relationships/hyperlink" Target="https://www.ncbi.nlm.nih.gov/pmc/articles/PMC2765780/pdf/nihms-137739.pdf" TargetMode="External"/><Relationship Id="rId51" Type="http://schemas.openxmlformats.org/officeDocument/2006/relationships/hyperlink" Target="https://www.mass.gov/files/documents/2019/02/20/2018%20Cost%20Trends%20Report.pdf" TargetMode="External"/><Relationship Id="rId3" Type="http://schemas.openxmlformats.org/officeDocument/2006/relationships/hyperlink" Target="https://www.mass.gov/service-details/full-list-of-masshealth-acos-and-mcos" TargetMode="External"/><Relationship Id="rId12" Type="http://schemas.openxmlformats.org/officeDocument/2006/relationships/hyperlink" Target="https://radiologybusiness.com/topics/medical-imaging/magnetic-resonance-imaging-mri/feeling-overworked-rise-ct-mri-images-adds" TargetMode="External"/><Relationship Id="rId17" Type="http://schemas.openxmlformats.org/officeDocument/2006/relationships/hyperlink" Target="https://www.nibib.nih.gov/science-education/science-topics/computed-tomography-ct" TargetMode="External"/><Relationship Id="rId25" Type="http://schemas.openxmlformats.org/officeDocument/2006/relationships/hyperlink" Target="https://www.radiologyinfo.org/en/submenu.cfm?pg=ctscan" TargetMode="External"/><Relationship Id="rId33" Type="http://schemas.openxmlformats.org/officeDocument/2006/relationships/hyperlink" Target="https://www.siemens-healthineers.com/en-us/computed-tomography/dual-energy/dual-source-dual-energy" TargetMode="External"/><Relationship Id="rId38" Type="http://schemas.openxmlformats.org/officeDocument/2006/relationships/hyperlink" Target="https://www.radiologyinfo.org/en/info/angiocoroct" TargetMode="External"/><Relationship Id="rId46" Type="http://schemas.openxmlformats.org/officeDocument/2006/relationships/hyperlink" Target="https://www.healthit.gov/topic/health-it-basics/improve-care-coordination" TargetMode="External"/><Relationship Id="rId20" Type="http://schemas.openxmlformats.org/officeDocument/2006/relationships/hyperlink" Target="https://www.mayoclinic.org/tests-procedures/ct-scan/about/pac-20393675" TargetMode="External"/><Relationship Id="rId41" Type="http://schemas.openxmlformats.org/officeDocument/2006/relationships/hyperlink" Target="https://www.ncbi.nlm.nih.gov/pmc/articles/PMC3047732/" TargetMode="External"/><Relationship Id="rId1" Type="http://schemas.openxmlformats.org/officeDocument/2006/relationships/hyperlink" Target="https://www.chiamass.gov/assets/docs/r/hospital-profiles/2019/FY19-Massachusetts-Hospital-Profiles-Technical-Appendix.pdf" TargetMode="External"/><Relationship Id="rId6" Type="http://schemas.openxmlformats.org/officeDocument/2006/relationships/hyperlink" Target="https://www.mass.gov/doc/accountable-care-organizations-in-massachusetts-profiles-of-the-2019-and-2020-hpc-certified-acos/download"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pep.donahue-institute.org/" TargetMode="External"/><Relationship Id="rId3" Type="http://schemas.openxmlformats.org/officeDocument/2006/relationships/hyperlink" Target="https://www.mass.gov/info-details/designated-primary-stroke-services-hospitals" TargetMode="External"/><Relationship Id="rId7" Type="http://schemas.openxmlformats.org/officeDocument/2006/relationships/hyperlink" Target="http://www.pep.donahue-institute.org/" TargetMode="External"/><Relationship Id="rId12" Type="http://schemas.openxmlformats.org/officeDocument/2006/relationships/hyperlink" Target="https://www.mass.gov/doc/cpa-report-pdf-mass-general-brigham-incorporated/download" TargetMode="External"/><Relationship Id="rId2" Type="http://schemas.openxmlformats.org/officeDocument/2006/relationships/hyperlink" Target="https://www.mass.gov/info-details/primary-stroke-service-pss-validation" TargetMode="External"/><Relationship Id="rId1" Type="http://schemas.openxmlformats.org/officeDocument/2006/relationships/hyperlink" Target="https://www.mass.gov/info-details/primary-stroke-service-pss-validation" TargetMode="External"/><Relationship Id="rId6" Type="http://schemas.openxmlformats.org/officeDocument/2006/relationships/hyperlink" Target="https://www.ninds.nih.gov/about-ninds/impact/ninds-contributions-approved-therapies/tissue-plasminogen-activator-acute-ischemic-stroke-alteplase-activaser#:~:text=When%20administered%20quickly%20after%20stroke,of%20damage%20and%20functional%20impairment" TargetMode="External"/><Relationship Id="rId11" Type="http://schemas.openxmlformats.org/officeDocument/2006/relationships/hyperlink" Target="https://www.mass.gov/doc/cpa-report-pdf-mass-general-brigham-incorporated/download" TargetMode="External"/><Relationship Id="rId5" Type="http://schemas.openxmlformats.org/officeDocument/2006/relationships/hyperlink" Target="https://www.ninds.nih.gov/about-ninds/impact/ninds-contributions-approved-therapies/tissue-plasminogen-activator-acute-ischemic-stroke-alteplase-activaser" TargetMode="External"/><Relationship Id="rId10" Type="http://schemas.openxmlformats.org/officeDocument/2006/relationships/hyperlink" Target="https://www.mass.gov/files/documents/2018/12/31/jud-lib-105cmr100.pdf" TargetMode="External"/><Relationship Id="rId4" Type="http://schemas.openxmlformats.org/officeDocument/2006/relationships/hyperlink" Target="https://www.mass.gov/info-details/designated-primary-stroke-services-hospitals" TargetMode="External"/><Relationship Id="rId9" Type="http://schemas.openxmlformats.org/officeDocument/2006/relationships/hyperlink" Target="https://www.mass.gov/files/documents/2018/12/31/jud-lib-105cmr10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FBDD0A-058F-4FBE-A24A-6B3D3584C1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27</Pages>
  <Words>8848</Words>
  <Characters>50437</Characters>
  <Application>Microsoft Office Word</Application>
  <DocSecurity>0</DocSecurity>
  <Lines>420</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dc:creator>
  <cp:keywords/>
  <dc:description/>
  <cp:lastModifiedBy>Marks, Brett (DPH)</cp:lastModifiedBy>
  <cp:revision>25</cp:revision>
  <cp:lastPrinted>2023-09-25T20:46:00Z</cp:lastPrinted>
  <dcterms:created xsi:type="dcterms:W3CDTF">2023-09-25T20:08:00Z</dcterms:created>
  <dcterms:modified xsi:type="dcterms:W3CDTF">2023-09-26T16:17:00Z</dcterms:modified>
  <cp:contentStatus/>
</cp:coreProperties>
</file>