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5195"/>
        <w:gridCol w:w="5195"/>
      </w:tblGrid>
      <w:tr w:rsidR="00024FA3" w:rsidRPr="00C85257" w14:paraId="675745CE" w14:textId="77777777" w:rsidTr="007C5A7B">
        <w:tc>
          <w:tcPr>
            <w:tcW w:w="10390" w:type="dxa"/>
            <w:gridSpan w:val="2"/>
            <w:shd w:val="clear" w:color="auto" w:fill="DBE5F1" w:themeFill="accent1" w:themeFillTint="33"/>
          </w:tcPr>
          <w:p w14:paraId="69876703" w14:textId="1D4ABEA5" w:rsidR="00A837D5" w:rsidRPr="00C85257" w:rsidRDefault="00490113" w:rsidP="007C5A7B">
            <w:pPr>
              <w:spacing w:line="251" w:lineRule="exact"/>
              <w:jc w:val="center"/>
              <w:rPr>
                <w:rFonts w:asciiTheme="minorHAnsi" w:hAnsiTheme="minorHAnsi"/>
                <w:b/>
                <w:bCs/>
              </w:rPr>
            </w:pPr>
            <w:r>
              <w:rPr>
                <w:rFonts w:asciiTheme="minorHAnsi" w:hAnsiTheme="minorHAnsi"/>
                <w:b/>
                <w:bCs/>
              </w:rPr>
              <w:t xml:space="preserve"> </w:t>
            </w:r>
            <w:r w:rsidR="00A837D5" w:rsidRPr="00C85257">
              <w:rPr>
                <w:rFonts w:asciiTheme="minorHAnsi" w:hAnsiTheme="minorHAnsi"/>
                <w:b/>
                <w:bCs/>
              </w:rPr>
              <w:t>STAFF REPORT TO THE PUBLIC HEALTH COUNCIL</w:t>
            </w:r>
          </w:p>
          <w:p w14:paraId="1AF941A0" w14:textId="0A87C126" w:rsidR="00024FA3" w:rsidRPr="00C85257" w:rsidRDefault="00A837D5" w:rsidP="007C5A7B">
            <w:pPr>
              <w:spacing w:line="251" w:lineRule="exact"/>
              <w:jc w:val="center"/>
              <w:rPr>
                <w:rFonts w:asciiTheme="minorHAnsi" w:hAnsiTheme="minorHAnsi"/>
                <w:b/>
                <w:bCs/>
                <w:highlight w:val="yellow"/>
              </w:rPr>
            </w:pPr>
            <w:r w:rsidRPr="00C85257">
              <w:rPr>
                <w:rFonts w:asciiTheme="minorHAnsi" w:hAnsiTheme="minorHAnsi"/>
                <w:b/>
                <w:bCs/>
              </w:rPr>
              <w:t>FOR A DETERMINATION OF NEED</w:t>
            </w:r>
          </w:p>
        </w:tc>
      </w:tr>
      <w:tr w:rsidR="00024FA3" w:rsidRPr="00C85257" w14:paraId="6F03F3A1" w14:textId="77777777" w:rsidTr="009A52CA">
        <w:tc>
          <w:tcPr>
            <w:tcW w:w="5195" w:type="dxa"/>
          </w:tcPr>
          <w:p w14:paraId="1A1DCFE6" w14:textId="7F18FE96" w:rsidR="00024FA3" w:rsidRPr="00C85257" w:rsidRDefault="00280620" w:rsidP="009A52CA">
            <w:pPr>
              <w:spacing w:line="251" w:lineRule="exact"/>
              <w:rPr>
                <w:rFonts w:asciiTheme="minorHAnsi" w:hAnsiTheme="minorHAnsi"/>
              </w:rPr>
            </w:pPr>
            <w:r w:rsidRPr="00C85257">
              <w:rPr>
                <w:rFonts w:asciiTheme="minorHAnsi" w:hAnsiTheme="minorHAnsi"/>
              </w:rPr>
              <w:t>Applicant Name</w:t>
            </w:r>
          </w:p>
        </w:tc>
        <w:tc>
          <w:tcPr>
            <w:tcW w:w="5195" w:type="dxa"/>
          </w:tcPr>
          <w:p w14:paraId="04BD58CA" w14:textId="0BA2EFE2" w:rsidR="00024FA3" w:rsidRPr="00C85257" w:rsidRDefault="00527399" w:rsidP="009A52CA">
            <w:pPr>
              <w:spacing w:line="251" w:lineRule="exact"/>
              <w:rPr>
                <w:rFonts w:asciiTheme="minorHAnsi" w:hAnsiTheme="minorHAnsi"/>
                <w:highlight w:val="yellow"/>
              </w:rPr>
            </w:pPr>
            <w:r w:rsidRPr="00527399">
              <w:rPr>
                <w:rFonts w:asciiTheme="minorHAnsi" w:hAnsiTheme="minorHAnsi"/>
              </w:rPr>
              <w:t>Mass General Brigham Ambulatory Surgery - Cambridge, LLC</w:t>
            </w:r>
          </w:p>
        </w:tc>
      </w:tr>
      <w:tr w:rsidR="00024FA3" w:rsidRPr="00C85257" w14:paraId="64CB4745" w14:textId="77777777" w:rsidTr="009A52CA">
        <w:tc>
          <w:tcPr>
            <w:tcW w:w="5195" w:type="dxa"/>
          </w:tcPr>
          <w:p w14:paraId="05A654D0" w14:textId="7C6BDE1B" w:rsidR="00024FA3" w:rsidRPr="008E2052" w:rsidRDefault="00280620" w:rsidP="009A52CA">
            <w:pPr>
              <w:spacing w:line="251" w:lineRule="exact"/>
              <w:rPr>
                <w:rFonts w:asciiTheme="minorHAnsi" w:hAnsiTheme="minorHAnsi"/>
              </w:rPr>
            </w:pPr>
            <w:r w:rsidRPr="008E2052">
              <w:rPr>
                <w:rFonts w:asciiTheme="minorHAnsi" w:hAnsiTheme="minorHAnsi"/>
              </w:rPr>
              <w:t>Applicant Address</w:t>
            </w:r>
          </w:p>
        </w:tc>
        <w:tc>
          <w:tcPr>
            <w:tcW w:w="5195" w:type="dxa"/>
          </w:tcPr>
          <w:p w14:paraId="3AC0B51B" w14:textId="77777777" w:rsidR="005D413E" w:rsidRPr="008E2052" w:rsidRDefault="008E2052" w:rsidP="009A52CA">
            <w:pPr>
              <w:spacing w:line="251" w:lineRule="exact"/>
              <w:rPr>
                <w:rFonts w:asciiTheme="minorHAnsi" w:hAnsiTheme="minorHAnsi"/>
              </w:rPr>
            </w:pPr>
            <w:r w:rsidRPr="008E2052">
              <w:rPr>
                <w:rFonts w:asciiTheme="minorHAnsi" w:hAnsiTheme="minorHAnsi"/>
              </w:rPr>
              <w:t>399 Revolution Dr</w:t>
            </w:r>
          </w:p>
          <w:p w14:paraId="591063A3" w14:textId="634C86A4" w:rsidR="008E2052" w:rsidRPr="008E2052" w:rsidRDefault="008E2052" w:rsidP="009A52CA">
            <w:pPr>
              <w:spacing w:line="251" w:lineRule="exact"/>
              <w:rPr>
                <w:rFonts w:asciiTheme="minorHAnsi" w:hAnsiTheme="minorHAnsi"/>
              </w:rPr>
            </w:pPr>
            <w:r w:rsidRPr="008E2052">
              <w:rPr>
                <w:rFonts w:asciiTheme="minorHAnsi" w:hAnsiTheme="minorHAnsi"/>
              </w:rPr>
              <w:t>Somerville, MA 02145</w:t>
            </w:r>
          </w:p>
        </w:tc>
      </w:tr>
      <w:tr w:rsidR="00024FA3" w:rsidRPr="00C85257" w14:paraId="79D4EAD0" w14:textId="77777777" w:rsidTr="009D4763">
        <w:tc>
          <w:tcPr>
            <w:tcW w:w="5195" w:type="dxa"/>
          </w:tcPr>
          <w:p w14:paraId="657A00D9" w14:textId="13CA27AF" w:rsidR="00024FA3" w:rsidRPr="00C85257" w:rsidRDefault="00280620" w:rsidP="009A52CA">
            <w:pPr>
              <w:spacing w:line="251" w:lineRule="exact"/>
              <w:rPr>
                <w:rFonts w:asciiTheme="minorHAnsi" w:hAnsiTheme="minorHAnsi"/>
              </w:rPr>
            </w:pPr>
            <w:r w:rsidRPr="00C85257">
              <w:rPr>
                <w:rFonts w:asciiTheme="minorHAnsi" w:hAnsiTheme="minorHAnsi"/>
              </w:rPr>
              <w:t>Filing Date</w:t>
            </w:r>
          </w:p>
        </w:tc>
        <w:tc>
          <w:tcPr>
            <w:tcW w:w="5195" w:type="dxa"/>
          </w:tcPr>
          <w:p w14:paraId="147F7C6C" w14:textId="799D7A84" w:rsidR="00024FA3" w:rsidRPr="00C85257" w:rsidRDefault="00DB5AA0" w:rsidP="009A52CA">
            <w:pPr>
              <w:spacing w:line="251" w:lineRule="exact"/>
              <w:rPr>
                <w:rFonts w:asciiTheme="minorHAnsi" w:hAnsiTheme="minorHAnsi"/>
                <w:highlight w:val="yellow"/>
              </w:rPr>
            </w:pPr>
            <w:r w:rsidRPr="00DB5AA0">
              <w:rPr>
                <w:rFonts w:asciiTheme="minorHAnsi" w:hAnsiTheme="minorHAnsi"/>
              </w:rPr>
              <w:t>October 1, 2025</w:t>
            </w:r>
          </w:p>
        </w:tc>
      </w:tr>
      <w:tr w:rsidR="00024FA3" w:rsidRPr="00C85257" w14:paraId="2E5B8A6E" w14:textId="77777777" w:rsidTr="009A52CA">
        <w:tc>
          <w:tcPr>
            <w:tcW w:w="5195" w:type="dxa"/>
          </w:tcPr>
          <w:p w14:paraId="78411483" w14:textId="1C356BD6" w:rsidR="00024FA3" w:rsidRPr="00C85257" w:rsidRDefault="00280620" w:rsidP="009A52CA">
            <w:pPr>
              <w:spacing w:line="251" w:lineRule="exact"/>
              <w:rPr>
                <w:rFonts w:asciiTheme="minorHAnsi" w:hAnsiTheme="minorHAnsi"/>
              </w:rPr>
            </w:pPr>
            <w:r w:rsidRPr="00C85257">
              <w:rPr>
                <w:rFonts w:asciiTheme="minorHAnsi" w:hAnsiTheme="minorHAnsi"/>
              </w:rPr>
              <w:t>Type of DoN Application</w:t>
            </w:r>
          </w:p>
        </w:tc>
        <w:tc>
          <w:tcPr>
            <w:tcW w:w="5195" w:type="dxa"/>
          </w:tcPr>
          <w:p w14:paraId="73BCD59B" w14:textId="45698605" w:rsidR="00024FA3" w:rsidRPr="00C85257" w:rsidRDefault="005D413E" w:rsidP="009A52CA">
            <w:pPr>
              <w:spacing w:line="251" w:lineRule="exact"/>
              <w:rPr>
                <w:rFonts w:asciiTheme="minorHAnsi" w:hAnsiTheme="minorHAnsi"/>
                <w:highlight w:val="yellow"/>
              </w:rPr>
            </w:pPr>
            <w:r w:rsidRPr="00AC7C6B">
              <w:rPr>
                <w:rFonts w:asciiTheme="minorHAnsi" w:hAnsiTheme="minorHAnsi"/>
              </w:rPr>
              <w:t>Ambulatory Surgery</w:t>
            </w:r>
          </w:p>
        </w:tc>
      </w:tr>
      <w:tr w:rsidR="00024FA3" w:rsidRPr="00C85257" w14:paraId="1EBD98D2" w14:textId="77777777" w:rsidTr="009A52CA">
        <w:tc>
          <w:tcPr>
            <w:tcW w:w="5195" w:type="dxa"/>
          </w:tcPr>
          <w:p w14:paraId="08DA5FD4" w14:textId="50E2D856" w:rsidR="00024FA3" w:rsidRPr="00C85257" w:rsidRDefault="00280620" w:rsidP="009A52CA">
            <w:pPr>
              <w:spacing w:line="251" w:lineRule="exact"/>
              <w:rPr>
                <w:rFonts w:asciiTheme="minorHAnsi" w:hAnsiTheme="minorHAnsi"/>
              </w:rPr>
            </w:pPr>
            <w:r w:rsidRPr="00C85257">
              <w:rPr>
                <w:rFonts w:asciiTheme="minorHAnsi" w:hAnsiTheme="minorHAnsi"/>
              </w:rPr>
              <w:t>Total Value</w:t>
            </w:r>
          </w:p>
        </w:tc>
        <w:tc>
          <w:tcPr>
            <w:tcW w:w="5195" w:type="dxa"/>
          </w:tcPr>
          <w:p w14:paraId="3C9AEE88" w14:textId="0A43CAA5" w:rsidR="00024FA3" w:rsidRPr="00C85257" w:rsidRDefault="00AC7C6B" w:rsidP="009A52CA">
            <w:pPr>
              <w:spacing w:line="251" w:lineRule="exact"/>
              <w:rPr>
                <w:rFonts w:asciiTheme="minorHAnsi" w:hAnsiTheme="minorHAnsi"/>
                <w:highlight w:val="yellow"/>
              </w:rPr>
            </w:pPr>
            <w:r w:rsidRPr="00AC7C6B">
              <w:rPr>
                <w:rFonts w:asciiTheme="minorHAnsi" w:hAnsiTheme="minorHAnsi"/>
              </w:rPr>
              <w:t>$7,349,450.00</w:t>
            </w:r>
          </w:p>
        </w:tc>
      </w:tr>
      <w:tr w:rsidR="00024FA3" w:rsidRPr="00C85257" w14:paraId="7A19C7BA" w14:textId="77777777" w:rsidTr="009A52CA">
        <w:tc>
          <w:tcPr>
            <w:tcW w:w="5195" w:type="dxa"/>
          </w:tcPr>
          <w:p w14:paraId="6A9C79B7" w14:textId="32862E63" w:rsidR="00024FA3" w:rsidRPr="00C85257" w:rsidRDefault="00280620" w:rsidP="009A52CA">
            <w:pPr>
              <w:spacing w:line="251" w:lineRule="exact"/>
              <w:rPr>
                <w:rFonts w:asciiTheme="minorHAnsi" w:hAnsiTheme="minorHAnsi"/>
              </w:rPr>
            </w:pPr>
            <w:r w:rsidRPr="00C85257">
              <w:rPr>
                <w:rFonts w:asciiTheme="minorHAnsi" w:hAnsiTheme="minorHAnsi"/>
              </w:rPr>
              <w:t xml:space="preserve">Project Number </w:t>
            </w:r>
          </w:p>
        </w:tc>
        <w:tc>
          <w:tcPr>
            <w:tcW w:w="5195" w:type="dxa"/>
          </w:tcPr>
          <w:p w14:paraId="0FF661FC" w14:textId="2DDFAEC0" w:rsidR="00024FA3" w:rsidRPr="002F3506" w:rsidRDefault="002F3506" w:rsidP="009A52CA">
            <w:pPr>
              <w:spacing w:line="251" w:lineRule="exact"/>
              <w:rPr>
                <w:rFonts w:asciiTheme="minorHAnsi" w:hAnsiTheme="minorHAnsi"/>
                <w:highlight w:val="yellow"/>
              </w:rPr>
            </w:pPr>
            <w:r w:rsidRPr="002F3506">
              <w:rPr>
                <w:rFonts w:asciiTheme="minorHAnsi" w:hAnsiTheme="minorHAnsi"/>
              </w:rPr>
              <w:t>MGB-C-25070908-AS</w:t>
            </w:r>
          </w:p>
        </w:tc>
      </w:tr>
      <w:tr w:rsidR="00024FA3" w:rsidRPr="00C85257" w14:paraId="59ADB4EA" w14:textId="77777777" w:rsidTr="009A52CA">
        <w:tc>
          <w:tcPr>
            <w:tcW w:w="5195" w:type="dxa"/>
          </w:tcPr>
          <w:p w14:paraId="4A1019D7" w14:textId="1C9A3B84" w:rsidR="00024FA3" w:rsidRPr="000D5310" w:rsidRDefault="007C5A7B" w:rsidP="009A52CA">
            <w:pPr>
              <w:spacing w:line="251" w:lineRule="exact"/>
              <w:rPr>
                <w:rFonts w:asciiTheme="minorHAnsi" w:hAnsiTheme="minorHAnsi"/>
              </w:rPr>
            </w:pPr>
            <w:r w:rsidRPr="000D5310">
              <w:rPr>
                <w:rFonts w:asciiTheme="minorHAnsi" w:hAnsiTheme="minorHAnsi"/>
              </w:rPr>
              <w:t>Ten Taxpayer Groups</w:t>
            </w:r>
          </w:p>
        </w:tc>
        <w:tc>
          <w:tcPr>
            <w:tcW w:w="5195" w:type="dxa"/>
          </w:tcPr>
          <w:p w14:paraId="66BC1CE7" w14:textId="10ADC1E6" w:rsidR="00024FA3" w:rsidRPr="000D5310" w:rsidRDefault="000D5310" w:rsidP="009A52CA">
            <w:pPr>
              <w:spacing w:line="251" w:lineRule="exact"/>
              <w:rPr>
                <w:rFonts w:asciiTheme="minorHAnsi" w:hAnsiTheme="minorHAnsi"/>
              </w:rPr>
            </w:pPr>
            <w:r w:rsidRPr="000D5310">
              <w:rPr>
                <w:rFonts w:asciiTheme="minorHAnsi" w:hAnsiTheme="minorHAnsi"/>
              </w:rPr>
              <w:t>One Formed</w:t>
            </w:r>
            <w:r w:rsidR="00347486" w:rsidRPr="000D5310">
              <w:rPr>
                <w:rFonts w:asciiTheme="minorHAnsi" w:hAnsiTheme="minorHAnsi"/>
              </w:rPr>
              <w:t xml:space="preserve"> </w:t>
            </w:r>
          </w:p>
        </w:tc>
      </w:tr>
      <w:tr w:rsidR="00024FA3" w:rsidRPr="00C85257" w14:paraId="42AABCF9" w14:textId="77777777" w:rsidTr="009A52CA">
        <w:tc>
          <w:tcPr>
            <w:tcW w:w="5195" w:type="dxa"/>
          </w:tcPr>
          <w:p w14:paraId="78025D88" w14:textId="16111209" w:rsidR="00024FA3" w:rsidRPr="00C85257" w:rsidRDefault="007C5A7B" w:rsidP="009A52CA">
            <w:pPr>
              <w:spacing w:line="251" w:lineRule="exact"/>
              <w:rPr>
                <w:rFonts w:asciiTheme="minorHAnsi" w:hAnsiTheme="minorHAnsi"/>
              </w:rPr>
            </w:pPr>
            <w:r w:rsidRPr="00C85257">
              <w:rPr>
                <w:rFonts w:asciiTheme="minorHAnsi" w:hAnsiTheme="minorHAnsi"/>
              </w:rPr>
              <w:t>Community Health Initiative (CHI)</w:t>
            </w:r>
          </w:p>
        </w:tc>
        <w:tc>
          <w:tcPr>
            <w:tcW w:w="5195" w:type="dxa"/>
          </w:tcPr>
          <w:p w14:paraId="0DCB1329" w14:textId="02A90AF7" w:rsidR="00024FA3" w:rsidRPr="00C85257" w:rsidRDefault="002B73A1" w:rsidP="009A52CA">
            <w:pPr>
              <w:spacing w:line="251" w:lineRule="exact"/>
              <w:rPr>
                <w:rFonts w:asciiTheme="minorHAnsi" w:hAnsiTheme="minorHAnsi"/>
                <w:highlight w:val="yellow"/>
              </w:rPr>
            </w:pPr>
            <w:r w:rsidRPr="002B73A1">
              <w:rPr>
                <w:rFonts w:asciiTheme="minorHAnsi" w:hAnsiTheme="minorHAnsi"/>
              </w:rPr>
              <w:t>$367,472.50</w:t>
            </w:r>
          </w:p>
        </w:tc>
      </w:tr>
      <w:tr w:rsidR="00024FA3" w:rsidRPr="00C85257" w14:paraId="4EC829F7" w14:textId="77777777" w:rsidTr="009A52CA">
        <w:tc>
          <w:tcPr>
            <w:tcW w:w="5195" w:type="dxa"/>
          </w:tcPr>
          <w:p w14:paraId="2B207553" w14:textId="3853035B" w:rsidR="00024FA3" w:rsidRPr="00C85257" w:rsidRDefault="007C5A7B" w:rsidP="009A52CA">
            <w:pPr>
              <w:spacing w:line="251" w:lineRule="exact"/>
              <w:rPr>
                <w:rFonts w:asciiTheme="minorHAnsi" w:hAnsiTheme="minorHAnsi"/>
              </w:rPr>
            </w:pPr>
            <w:r w:rsidRPr="00C85257">
              <w:rPr>
                <w:rFonts w:asciiTheme="minorHAnsi" w:hAnsiTheme="minorHAnsi"/>
              </w:rPr>
              <w:t>Staff Recommendation</w:t>
            </w:r>
          </w:p>
        </w:tc>
        <w:tc>
          <w:tcPr>
            <w:tcW w:w="5195" w:type="dxa"/>
          </w:tcPr>
          <w:p w14:paraId="1741B4F7" w14:textId="59D75719" w:rsidR="00024FA3" w:rsidRPr="00402E2A" w:rsidRDefault="000F51E1" w:rsidP="009A52CA">
            <w:pPr>
              <w:spacing w:line="251" w:lineRule="exact"/>
              <w:rPr>
                <w:rFonts w:asciiTheme="minorHAnsi" w:hAnsiTheme="minorHAnsi"/>
              </w:rPr>
            </w:pPr>
            <w:r w:rsidRPr="00402E2A">
              <w:rPr>
                <w:rFonts w:asciiTheme="minorHAnsi" w:hAnsiTheme="minorHAnsi"/>
              </w:rPr>
              <w:t xml:space="preserve">Approval </w:t>
            </w:r>
          </w:p>
        </w:tc>
      </w:tr>
      <w:tr w:rsidR="00024FA3" w:rsidRPr="00C85257" w14:paraId="27BFE3BB" w14:textId="77777777" w:rsidTr="005656E3">
        <w:tc>
          <w:tcPr>
            <w:tcW w:w="5195" w:type="dxa"/>
          </w:tcPr>
          <w:p w14:paraId="6FFED872" w14:textId="7E532A81" w:rsidR="00024FA3" w:rsidRPr="00C85257" w:rsidRDefault="007C5A7B" w:rsidP="009A52CA">
            <w:pPr>
              <w:spacing w:line="251" w:lineRule="exact"/>
              <w:rPr>
                <w:rFonts w:asciiTheme="minorHAnsi" w:hAnsiTheme="minorHAnsi"/>
              </w:rPr>
            </w:pPr>
            <w:r w:rsidRPr="00C85257">
              <w:rPr>
                <w:rFonts w:asciiTheme="minorHAnsi" w:hAnsiTheme="minorHAnsi"/>
              </w:rPr>
              <w:t xml:space="preserve">Public Health Council Meeting </w:t>
            </w:r>
          </w:p>
        </w:tc>
        <w:tc>
          <w:tcPr>
            <w:tcW w:w="5195" w:type="dxa"/>
            <w:shd w:val="clear" w:color="auto" w:fill="FFFFFF" w:themeFill="background1"/>
          </w:tcPr>
          <w:p w14:paraId="1EC286F3" w14:textId="28011C67" w:rsidR="00024FA3" w:rsidRPr="00C85257" w:rsidRDefault="00D302E9" w:rsidP="009A52CA">
            <w:pPr>
              <w:spacing w:line="251" w:lineRule="exact"/>
              <w:rPr>
                <w:rFonts w:asciiTheme="minorHAnsi" w:hAnsiTheme="minorHAnsi"/>
                <w:highlight w:val="yellow"/>
              </w:rPr>
            </w:pPr>
            <w:r w:rsidRPr="000670EA">
              <w:rPr>
                <w:rFonts w:asciiTheme="minorHAnsi" w:hAnsiTheme="minorHAnsi"/>
              </w:rPr>
              <w:t xml:space="preserve">February </w:t>
            </w:r>
            <w:r w:rsidR="000670EA" w:rsidRPr="000670EA">
              <w:rPr>
                <w:rFonts w:asciiTheme="minorHAnsi" w:hAnsiTheme="minorHAnsi"/>
              </w:rPr>
              <w:t>11, 2026</w:t>
            </w:r>
          </w:p>
        </w:tc>
      </w:tr>
      <w:tr w:rsidR="00024FA3" w:rsidRPr="00C85257" w14:paraId="46DC616C" w14:textId="77777777" w:rsidTr="00FC54A0">
        <w:trPr>
          <w:trHeight w:val="4050"/>
        </w:trPr>
        <w:tc>
          <w:tcPr>
            <w:tcW w:w="10390" w:type="dxa"/>
            <w:gridSpan w:val="2"/>
          </w:tcPr>
          <w:p w14:paraId="2D0520FF" w14:textId="77777777" w:rsidR="00024FA3" w:rsidRPr="00C85257" w:rsidRDefault="00024FA3" w:rsidP="009A52CA">
            <w:pPr>
              <w:spacing w:line="251" w:lineRule="exact"/>
              <w:rPr>
                <w:rFonts w:asciiTheme="minorHAnsi" w:hAnsiTheme="minorHAnsi"/>
                <w:highlight w:val="yellow"/>
              </w:rPr>
            </w:pPr>
          </w:p>
          <w:p w14:paraId="650A5DFE" w14:textId="77777777" w:rsidR="007C5A7B" w:rsidRPr="002B73A1" w:rsidRDefault="007C5A7B" w:rsidP="007C5A7B">
            <w:pPr>
              <w:spacing w:line="251" w:lineRule="exact"/>
              <w:jc w:val="center"/>
              <w:rPr>
                <w:rFonts w:asciiTheme="minorHAnsi" w:hAnsiTheme="minorHAnsi"/>
                <w:u w:val="single"/>
              </w:rPr>
            </w:pPr>
            <w:r w:rsidRPr="002B73A1">
              <w:rPr>
                <w:rFonts w:asciiTheme="minorHAnsi" w:hAnsiTheme="minorHAnsi"/>
                <w:u w:val="single"/>
              </w:rPr>
              <w:t>Project Summary and Regulatory Review</w:t>
            </w:r>
          </w:p>
          <w:p w14:paraId="615A727B" w14:textId="18F2DD20" w:rsidR="00BB31F7" w:rsidRPr="00C85257" w:rsidRDefault="002B73A1" w:rsidP="00C316C3">
            <w:pPr>
              <w:rPr>
                <w:rFonts w:asciiTheme="minorHAnsi" w:hAnsiTheme="minorHAnsi"/>
                <w:highlight w:val="yellow"/>
              </w:rPr>
            </w:pPr>
            <w:r w:rsidRPr="00527399">
              <w:rPr>
                <w:rFonts w:asciiTheme="minorHAnsi" w:hAnsiTheme="minorHAnsi"/>
              </w:rPr>
              <w:t>Mass General Brigham Ambulatory Surgery - Cam</w:t>
            </w:r>
            <w:r w:rsidRPr="002B73A1">
              <w:rPr>
                <w:rFonts w:asciiTheme="minorHAnsi" w:hAnsiTheme="minorHAnsi"/>
              </w:rPr>
              <w:t xml:space="preserve">bridge, LLC </w:t>
            </w:r>
            <w:r w:rsidR="006F6D19" w:rsidRPr="002B73A1">
              <w:rPr>
                <w:rFonts w:asciiTheme="minorHAnsi" w:hAnsiTheme="minorHAnsi"/>
              </w:rPr>
              <w:t xml:space="preserve">filed a Determination of Need (DoN) application to </w:t>
            </w:r>
            <w:r w:rsidRPr="002B73A1">
              <w:rPr>
                <w:rFonts w:asciiTheme="minorHAnsi" w:hAnsiTheme="minorHAnsi"/>
              </w:rPr>
              <w:t xml:space="preserve">establish </w:t>
            </w:r>
            <w:r w:rsidR="00164CF2" w:rsidRPr="00164CF2">
              <w:rPr>
                <w:rFonts w:asciiTheme="minorHAnsi" w:hAnsiTheme="minorHAnsi"/>
              </w:rPr>
              <w:t xml:space="preserve">a freestanding single-specialty </w:t>
            </w:r>
            <w:r w:rsidR="006F6D19" w:rsidRPr="002B73A1">
              <w:rPr>
                <w:rFonts w:asciiTheme="minorHAnsi" w:hAnsiTheme="minorHAnsi"/>
              </w:rPr>
              <w:t xml:space="preserve">ambulatory surgery </w:t>
            </w:r>
            <w:r w:rsidR="006F6D19" w:rsidRPr="00F30ECC">
              <w:rPr>
                <w:rFonts w:asciiTheme="minorHAnsi" w:hAnsiTheme="minorHAnsi"/>
              </w:rPr>
              <w:t>center</w:t>
            </w:r>
            <w:r w:rsidR="00E60FA8" w:rsidRPr="00F30ECC">
              <w:rPr>
                <w:rFonts w:asciiTheme="minorHAnsi" w:hAnsiTheme="minorHAnsi"/>
              </w:rPr>
              <w:t>,</w:t>
            </w:r>
            <w:r w:rsidR="00956800" w:rsidRPr="00F30ECC">
              <w:rPr>
                <w:rFonts w:asciiTheme="minorHAnsi" w:hAnsiTheme="minorHAnsi"/>
              </w:rPr>
              <w:t xml:space="preserve"> located at </w:t>
            </w:r>
            <w:r w:rsidR="00F30ECC" w:rsidRPr="00F30ECC">
              <w:rPr>
                <w:rFonts w:asciiTheme="minorHAnsi" w:hAnsiTheme="minorHAnsi"/>
              </w:rPr>
              <w:t>799 Conc</w:t>
            </w:r>
            <w:r w:rsidR="00303EDE">
              <w:rPr>
                <w:rFonts w:asciiTheme="minorHAnsi" w:hAnsiTheme="minorHAnsi"/>
              </w:rPr>
              <w:t>or</w:t>
            </w:r>
            <w:r w:rsidR="00F30ECC" w:rsidRPr="00F30ECC">
              <w:rPr>
                <w:rFonts w:asciiTheme="minorHAnsi" w:hAnsiTheme="minorHAnsi"/>
              </w:rPr>
              <w:t>d</w:t>
            </w:r>
            <w:r w:rsidR="002C41B0" w:rsidRPr="00F30ECC">
              <w:rPr>
                <w:rFonts w:asciiTheme="minorHAnsi" w:hAnsiTheme="minorHAnsi"/>
              </w:rPr>
              <w:t xml:space="preserve"> Avenue, </w:t>
            </w:r>
            <w:r w:rsidR="00F30ECC" w:rsidRPr="00F30ECC">
              <w:rPr>
                <w:rFonts w:asciiTheme="minorHAnsi" w:hAnsiTheme="minorHAnsi"/>
              </w:rPr>
              <w:t>Cambridge</w:t>
            </w:r>
            <w:r w:rsidR="002C41B0" w:rsidRPr="00F30ECC">
              <w:rPr>
                <w:rFonts w:asciiTheme="minorHAnsi" w:hAnsiTheme="minorHAnsi"/>
              </w:rPr>
              <w:t>, MA</w:t>
            </w:r>
            <w:r w:rsidR="00045409" w:rsidRPr="00F30ECC">
              <w:rPr>
                <w:rFonts w:asciiTheme="minorHAnsi" w:hAnsiTheme="minorHAnsi"/>
              </w:rPr>
              <w:t xml:space="preserve">. </w:t>
            </w:r>
            <w:r w:rsidR="003E76C0" w:rsidRPr="003E76C0">
              <w:rPr>
                <w:rFonts w:asciiTheme="minorHAnsi" w:hAnsiTheme="minorHAnsi"/>
              </w:rPr>
              <w:t>The proposed ASC will operate three procedure rooms and ten pre/post-operative bays.</w:t>
            </w:r>
            <w:r w:rsidR="003E76C0" w:rsidRPr="009555DC">
              <w:rPr>
                <w:rFonts w:asciiTheme="minorHAnsi" w:hAnsiTheme="minorHAnsi"/>
                <w:sz w:val="21"/>
                <w:szCs w:val="21"/>
              </w:rPr>
              <w:t xml:space="preserve"> </w:t>
            </w:r>
            <w:r w:rsidR="006F6D19" w:rsidRPr="003E76C0">
              <w:rPr>
                <w:rFonts w:asciiTheme="minorHAnsi" w:hAnsiTheme="minorHAnsi"/>
              </w:rPr>
              <w:t xml:space="preserve">The total value for the Proposed Project is </w:t>
            </w:r>
            <w:r w:rsidR="00D10D88" w:rsidRPr="003E76C0">
              <w:rPr>
                <w:rFonts w:asciiTheme="minorHAnsi" w:hAnsiTheme="minorHAnsi"/>
              </w:rPr>
              <w:t>$</w:t>
            </w:r>
            <w:r w:rsidR="003E76C0" w:rsidRPr="003E76C0">
              <w:rPr>
                <w:rFonts w:asciiTheme="minorHAnsi" w:hAnsiTheme="minorHAnsi"/>
              </w:rPr>
              <w:t>7,349,450.00</w:t>
            </w:r>
            <w:r w:rsidR="006F6D19" w:rsidRPr="003E76C0">
              <w:rPr>
                <w:rFonts w:asciiTheme="minorHAnsi" w:hAnsiTheme="minorHAnsi"/>
              </w:rPr>
              <w:t xml:space="preserve">. The Community Health Initiative (CHI) contribution is </w:t>
            </w:r>
            <w:r w:rsidR="00F95ADD" w:rsidRPr="003E76C0">
              <w:rPr>
                <w:rFonts w:asciiTheme="minorHAnsi" w:hAnsiTheme="minorHAnsi"/>
              </w:rPr>
              <w:t>$</w:t>
            </w:r>
            <w:r w:rsidR="003E76C0" w:rsidRPr="003E76C0">
              <w:rPr>
                <w:rFonts w:asciiTheme="minorHAnsi" w:hAnsiTheme="minorHAnsi"/>
              </w:rPr>
              <w:t>367,472.50</w:t>
            </w:r>
            <w:r w:rsidR="006F6D19" w:rsidRPr="003E76C0">
              <w:rPr>
                <w:rFonts w:asciiTheme="minorHAnsi" w:hAnsiTheme="minorHAnsi"/>
              </w:rPr>
              <w:t>.</w:t>
            </w:r>
          </w:p>
          <w:p w14:paraId="5541808B" w14:textId="77777777" w:rsidR="00E636D8" w:rsidRPr="00C85257" w:rsidRDefault="00E636D8" w:rsidP="00C316C3">
            <w:pPr>
              <w:rPr>
                <w:rFonts w:asciiTheme="minorHAnsi" w:hAnsiTheme="minorHAnsi"/>
                <w:highlight w:val="yellow"/>
              </w:rPr>
            </w:pPr>
          </w:p>
          <w:p w14:paraId="79F3DD6D" w14:textId="1FB90141" w:rsidR="009B744E" w:rsidRPr="0035389B" w:rsidRDefault="00E636D8" w:rsidP="009B744E">
            <w:pPr>
              <w:rPr>
                <w:rFonts w:asciiTheme="minorHAnsi" w:hAnsiTheme="minorHAnsi"/>
              </w:rPr>
            </w:pPr>
            <w:r w:rsidRPr="0035389B">
              <w:rPr>
                <w:rFonts w:asciiTheme="minorHAnsi" w:hAnsiTheme="minorHAnsi"/>
              </w:rPr>
              <w:t>Review of Applications for Ambulatory Surgery is under the DoN regulation 105 CMR 100.000. The Department must determine that need exists for a Proposed Project, on the basis of material in the record, where the Applicant makes a clear and convincing demonstration that the Proposed Project meets each Determination of Need Factor set forth within 105 CMR 100.210. This staff report addresses each of the six factors set forth in the regulation.</w:t>
            </w:r>
          </w:p>
          <w:p w14:paraId="7D6EEC14" w14:textId="77777777" w:rsidR="00B108C8" w:rsidRPr="00C85257" w:rsidRDefault="00B108C8" w:rsidP="009B744E">
            <w:pPr>
              <w:rPr>
                <w:rFonts w:asciiTheme="minorHAnsi" w:hAnsiTheme="minorHAnsi"/>
                <w:highlight w:val="yellow"/>
              </w:rPr>
            </w:pPr>
          </w:p>
          <w:p w14:paraId="07905368" w14:textId="6421FDC7" w:rsidR="00B108C8" w:rsidRPr="00C85257" w:rsidRDefault="00B108C8" w:rsidP="009B744E">
            <w:pPr>
              <w:rPr>
                <w:rFonts w:asciiTheme="minorHAnsi" w:hAnsiTheme="minorHAnsi"/>
                <w:highlight w:val="yellow"/>
              </w:rPr>
            </w:pPr>
            <w:r w:rsidRPr="00FC54A0">
              <w:rPr>
                <w:rFonts w:asciiTheme="minorHAnsi" w:hAnsiTheme="minorHAnsi"/>
              </w:rPr>
              <w:t>The Department did not receive any public comments on this DoN application</w:t>
            </w:r>
            <w:r w:rsidR="000D5310" w:rsidRPr="00FC54A0">
              <w:rPr>
                <w:rFonts w:asciiTheme="minorHAnsi" w:hAnsiTheme="minorHAnsi"/>
              </w:rPr>
              <w:t>.</w:t>
            </w:r>
            <w:r w:rsidRPr="00FC54A0">
              <w:rPr>
                <w:rFonts w:asciiTheme="minorHAnsi" w:hAnsiTheme="minorHAnsi"/>
              </w:rPr>
              <w:t xml:space="preserve"> </w:t>
            </w:r>
            <w:r w:rsidR="000D5310" w:rsidRPr="00FC54A0">
              <w:rPr>
                <w:rFonts w:asciiTheme="minorHAnsi" w:hAnsiTheme="minorHAnsi"/>
              </w:rPr>
              <w:t>One</w:t>
            </w:r>
            <w:r w:rsidRPr="00FC54A0">
              <w:rPr>
                <w:rFonts w:asciiTheme="minorHAnsi" w:hAnsiTheme="minorHAnsi"/>
              </w:rPr>
              <w:t xml:space="preserve"> Ten Taxpayer Group (TTG) form</w:t>
            </w:r>
            <w:r w:rsidR="00F9282E">
              <w:rPr>
                <w:rFonts w:asciiTheme="minorHAnsi" w:hAnsiTheme="minorHAnsi"/>
              </w:rPr>
              <w:t>ed</w:t>
            </w:r>
            <w:r w:rsidRPr="00FC54A0">
              <w:rPr>
                <w:rFonts w:asciiTheme="minorHAnsi" w:hAnsiTheme="minorHAnsi"/>
              </w:rPr>
              <w:t xml:space="preserve"> in connection with this DoN application. </w:t>
            </w:r>
          </w:p>
        </w:tc>
      </w:tr>
    </w:tbl>
    <w:p w14:paraId="4AF4C98A" w14:textId="77777777" w:rsidR="00024FA3" w:rsidRPr="00C85257" w:rsidRDefault="00024FA3">
      <w:pPr>
        <w:spacing w:line="251" w:lineRule="exact"/>
        <w:rPr>
          <w:rFonts w:asciiTheme="minorHAnsi" w:hAnsiTheme="minorHAnsi"/>
          <w:highlight w:val="yellow"/>
        </w:rPr>
        <w:sectPr w:rsidR="00024FA3" w:rsidRPr="00C85257" w:rsidSect="004C1B7F">
          <w:headerReference w:type="default" r:id="rId8"/>
          <w:footerReference w:type="default" r:id="rId9"/>
          <w:type w:val="continuous"/>
          <w:pgSz w:w="12240" w:h="15840"/>
          <w:pgMar w:top="1440" w:right="980" w:bottom="1120" w:left="860" w:header="720" w:footer="937" w:gutter="0"/>
          <w:pgNumType w:start="1"/>
          <w:cols w:space="720"/>
        </w:sectPr>
      </w:pPr>
    </w:p>
    <w:sdt>
      <w:sdtPr>
        <w:rPr>
          <w:rFonts w:ascii="Garamond" w:eastAsia="Garamond" w:hAnsi="Garamond" w:cs="Garamond"/>
          <w:color w:val="auto"/>
          <w:sz w:val="22"/>
          <w:szCs w:val="22"/>
          <w:highlight w:val="yellow"/>
          <w:lang w:bidi="en-US"/>
        </w:rPr>
        <w:id w:val="1248538820"/>
        <w:docPartObj>
          <w:docPartGallery w:val="Table of Contents"/>
          <w:docPartUnique/>
        </w:docPartObj>
      </w:sdtPr>
      <w:sdtEndPr>
        <w:rPr>
          <w:rFonts w:asciiTheme="minorHAnsi" w:eastAsiaTheme="minorEastAsia" w:hAnsiTheme="minorHAnsi" w:cstheme="minorBidi"/>
          <w:b/>
          <w:bCs/>
          <w:sz w:val="24"/>
          <w:szCs w:val="24"/>
          <w:lang w:bidi="ar-SA"/>
        </w:rPr>
      </w:sdtEndPr>
      <w:sdtContent>
        <w:p w14:paraId="7AAE295D" w14:textId="53B6C1CD" w:rsidR="008650F2" w:rsidRPr="00A539B4" w:rsidRDefault="008650F2">
          <w:pPr>
            <w:pStyle w:val="TOCHeading"/>
            <w:rPr>
              <w:rFonts w:asciiTheme="minorHAnsi" w:hAnsiTheme="minorHAnsi" w:cstheme="minorHAnsi"/>
            </w:rPr>
          </w:pPr>
          <w:r w:rsidRPr="00A539B4">
            <w:rPr>
              <w:rFonts w:asciiTheme="minorHAnsi" w:hAnsiTheme="minorHAnsi" w:cstheme="minorHAnsi"/>
            </w:rPr>
            <w:t>Contents</w:t>
          </w:r>
        </w:p>
        <w:p w14:paraId="535E1CAA" w14:textId="25C09718" w:rsidR="00944E7F" w:rsidRDefault="008650F2">
          <w:pPr>
            <w:pStyle w:val="TOC1"/>
            <w:tabs>
              <w:tab w:val="right" w:leader="dot" w:pos="10390"/>
            </w:tabs>
            <w:rPr>
              <w:rFonts w:asciiTheme="minorHAnsi" w:eastAsiaTheme="minorEastAsia" w:hAnsiTheme="minorHAnsi" w:cstheme="minorBidi"/>
              <w:noProof/>
              <w:kern w:val="2"/>
              <w:szCs w:val="24"/>
              <w14:ligatures w14:val="standardContextual"/>
            </w:rPr>
          </w:pPr>
          <w:r w:rsidRPr="00C85257">
            <w:rPr>
              <w:rFonts w:asciiTheme="minorHAnsi" w:hAnsiTheme="minorHAnsi"/>
              <w:szCs w:val="24"/>
              <w:highlight w:val="yellow"/>
            </w:rPr>
            <w:fldChar w:fldCharType="begin"/>
          </w:r>
          <w:r w:rsidRPr="00C85257">
            <w:rPr>
              <w:rFonts w:asciiTheme="minorHAnsi" w:hAnsiTheme="minorHAnsi"/>
              <w:szCs w:val="24"/>
              <w:highlight w:val="yellow"/>
            </w:rPr>
            <w:instrText xml:space="preserve"> TOC \o "1-3" \h \z \u </w:instrText>
          </w:r>
          <w:r w:rsidRPr="00C85257">
            <w:rPr>
              <w:rFonts w:asciiTheme="minorHAnsi" w:hAnsiTheme="minorHAnsi"/>
              <w:szCs w:val="24"/>
              <w:highlight w:val="yellow"/>
            </w:rPr>
            <w:fldChar w:fldCharType="separate"/>
          </w:r>
          <w:hyperlink w:anchor="_Toc218863247" w:history="1">
            <w:r w:rsidR="00944E7F" w:rsidRPr="003776F9">
              <w:rPr>
                <w:rStyle w:val="Hyperlink"/>
                <w:noProof/>
              </w:rPr>
              <w:t>Background and Application Overview</w:t>
            </w:r>
            <w:r w:rsidR="00944E7F">
              <w:rPr>
                <w:noProof/>
                <w:webHidden/>
              </w:rPr>
              <w:tab/>
            </w:r>
            <w:r w:rsidR="00944E7F">
              <w:rPr>
                <w:noProof/>
                <w:webHidden/>
              </w:rPr>
              <w:fldChar w:fldCharType="begin"/>
            </w:r>
            <w:r w:rsidR="00944E7F">
              <w:rPr>
                <w:noProof/>
                <w:webHidden/>
              </w:rPr>
              <w:instrText xml:space="preserve"> PAGEREF _Toc218863247 \h </w:instrText>
            </w:r>
            <w:r w:rsidR="00944E7F">
              <w:rPr>
                <w:noProof/>
                <w:webHidden/>
              </w:rPr>
            </w:r>
            <w:r w:rsidR="00944E7F">
              <w:rPr>
                <w:noProof/>
                <w:webHidden/>
              </w:rPr>
              <w:fldChar w:fldCharType="separate"/>
            </w:r>
            <w:r w:rsidR="00944E7F">
              <w:rPr>
                <w:noProof/>
                <w:webHidden/>
              </w:rPr>
              <w:t>3</w:t>
            </w:r>
            <w:r w:rsidR="00944E7F">
              <w:rPr>
                <w:noProof/>
                <w:webHidden/>
              </w:rPr>
              <w:fldChar w:fldCharType="end"/>
            </w:r>
          </w:hyperlink>
        </w:p>
        <w:p w14:paraId="5C7E758E" w14:textId="5D435DEC" w:rsidR="00944E7F" w:rsidRDefault="00944E7F">
          <w:pPr>
            <w:pStyle w:val="TOC1"/>
            <w:tabs>
              <w:tab w:val="right" w:leader="dot" w:pos="10390"/>
            </w:tabs>
            <w:rPr>
              <w:rFonts w:asciiTheme="minorHAnsi" w:eastAsiaTheme="minorEastAsia" w:hAnsiTheme="minorHAnsi" w:cstheme="minorBidi"/>
              <w:noProof/>
              <w:kern w:val="2"/>
              <w:szCs w:val="24"/>
              <w14:ligatures w14:val="standardContextual"/>
            </w:rPr>
          </w:pPr>
          <w:hyperlink w:anchor="_Toc218863248" w:history="1">
            <w:r w:rsidRPr="003776F9">
              <w:rPr>
                <w:rStyle w:val="Hyperlink"/>
                <w:noProof/>
              </w:rPr>
              <w:t>Patient Panel</w:t>
            </w:r>
            <w:r>
              <w:rPr>
                <w:noProof/>
                <w:webHidden/>
              </w:rPr>
              <w:tab/>
            </w:r>
            <w:r>
              <w:rPr>
                <w:noProof/>
                <w:webHidden/>
              </w:rPr>
              <w:fldChar w:fldCharType="begin"/>
            </w:r>
            <w:r>
              <w:rPr>
                <w:noProof/>
                <w:webHidden/>
              </w:rPr>
              <w:instrText xml:space="preserve"> PAGEREF _Toc218863248 \h </w:instrText>
            </w:r>
            <w:r>
              <w:rPr>
                <w:noProof/>
                <w:webHidden/>
              </w:rPr>
            </w:r>
            <w:r>
              <w:rPr>
                <w:noProof/>
                <w:webHidden/>
              </w:rPr>
              <w:fldChar w:fldCharType="separate"/>
            </w:r>
            <w:r>
              <w:rPr>
                <w:noProof/>
                <w:webHidden/>
              </w:rPr>
              <w:t>4</w:t>
            </w:r>
            <w:r>
              <w:rPr>
                <w:noProof/>
                <w:webHidden/>
              </w:rPr>
              <w:fldChar w:fldCharType="end"/>
            </w:r>
          </w:hyperlink>
        </w:p>
        <w:p w14:paraId="7A70B395" w14:textId="7E9F9F14" w:rsidR="00944E7F" w:rsidRDefault="00944E7F">
          <w:pPr>
            <w:pStyle w:val="TOC1"/>
            <w:tabs>
              <w:tab w:val="right" w:leader="dot" w:pos="10390"/>
            </w:tabs>
            <w:rPr>
              <w:rFonts w:asciiTheme="minorHAnsi" w:eastAsiaTheme="minorEastAsia" w:hAnsiTheme="minorHAnsi" w:cstheme="minorBidi"/>
              <w:noProof/>
              <w:kern w:val="2"/>
              <w:szCs w:val="24"/>
              <w14:ligatures w14:val="standardContextual"/>
            </w:rPr>
          </w:pPr>
          <w:hyperlink w:anchor="_Toc218863249" w:history="1">
            <w:r w:rsidRPr="003776F9">
              <w:rPr>
                <w:rStyle w:val="Hyperlink"/>
                <w:noProof/>
              </w:rPr>
              <w:t>Factor 1: a) Patient Panel Need</w:t>
            </w:r>
            <w:r>
              <w:rPr>
                <w:noProof/>
                <w:webHidden/>
              </w:rPr>
              <w:tab/>
            </w:r>
            <w:r>
              <w:rPr>
                <w:noProof/>
                <w:webHidden/>
              </w:rPr>
              <w:fldChar w:fldCharType="begin"/>
            </w:r>
            <w:r>
              <w:rPr>
                <w:noProof/>
                <w:webHidden/>
              </w:rPr>
              <w:instrText xml:space="preserve"> PAGEREF _Toc218863249 \h </w:instrText>
            </w:r>
            <w:r>
              <w:rPr>
                <w:noProof/>
                <w:webHidden/>
              </w:rPr>
            </w:r>
            <w:r>
              <w:rPr>
                <w:noProof/>
                <w:webHidden/>
              </w:rPr>
              <w:fldChar w:fldCharType="separate"/>
            </w:r>
            <w:r>
              <w:rPr>
                <w:noProof/>
                <w:webHidden/>
              </w:rPr>
              <w:t>6</w:t>
            </w:r>
            <w:r>
              <w:rPr>
                <w:noProof/>
                <w:webHidden/>
              </w:rPr>
              <w:fldChar w:fldCharType="end"/>
            </w:r>
          </w:hyperlink>
        </w:p>
        <w:p w14:paraId="50A643A7" w14:textId="3109EF2D" w:rsidR="00944E7F" w:rsidRDefault="00944E7F">
          <w:pPr>
            <w:pStyle w:val="TOC1"/>
            <w:tabs>
              <w:tab w:val="right" w:leader="dot" w:pos="10390"/>
            </w:tabs>
            <w:rPr>
              <w:rFonts w:asciiTheme="minorHAnsi" w:eastAsiaTheme="minorEastAsia" w:hAnsiTheme="minorHAnsi" w:cstheme="minorBidi"/>
              <w:noProof/>
              <w:kern w:val="2"/>
              <w:szCs w:val="24"/>
              <w14:ligatures w14:val="standardContextual"/>
            </w:rPr>
          </w:pPr>
          <w:hyperlink w:anchor="_Toc218863250" w:history="1">
            <w:r w:rsidRPr="003776F9">
              <w:rPr>
                <w:rStyle w:val="Hyperlink"/>
                <w:noProof/>
              </w:rPr>
              <w:t>Factor 1: b) Public health value, improved health outcomes and quality of life; assurances of health equity</w:t>
            </w:r>
            <w:r>
              <w:rPr>
                <w:noProof/>
                <w:webHidden/>
              </w:rPr>
              <w:tab/>
            </w:r>
            <w:r>
              <w:rPr>
                <w:noProof/>
                <w:webHidden/>
              </w:rPr>
              <w:fldChar w:fldCharType="begin"/>
            </w:r>
            <w:r>
              <w:rPr>
                <w:noProof/>
                <w:webHidden/>
              </w:rPr>
              <w:instrText xml:space="preserve"> PAGEREF _Toc218863250 \h </w:instrText>
            </w:r>
            <w:r>
              <w:rPr>
                <w:noProof/>
                <w:webHidden/>
              </w:rPr>
            </w:r>
            <w:r>
              <w:rPr>
                <w:noProof/>
                <w:webHidden/>
              </w:rPr>
              <w:fldChar w:fldCharType="separate"/>
            </w:r>
            <w:r>
              <w:rPr>
                <w:noProof/>
                <w:webHidden/>
              </w:rPr>
              <w:t>13</w:t>
            </w:r>
            <w:r>
              <w:rPr>
                <w:noProof/>
                <w:webHidden/>
              </w:rPr>
              <w:fldChar w:fldCharType="end"/>
            </w:r>
          </w:hyperlink>
        </w:p>
        <w:p w14:paraId="157E467F" w14:textId="7CBAB361" w:rsidR="00944E7F" w:rsidRDefault="00944E7F">
          <w:pPr>
            <w:pStyle w:val="TOC1"/>
            <w:tabs>
              <w:tab w:val="right" w:leader="dot" w:pos="10390"/>
            </w:tabs>
            <w:rPr>
              <w:rFonts w:asciiTheme="minorHAnsi" w:eastAsiaTheme="minorEastAsia" w:hAnsiTheme="minorHAnsi" w:cstheme="minorBidi"/>
              <w:noProof/>
              <w:kern w:val="2"/>
              <w:szCs w:val="24"/>
              <w14:ligatures w14:val="standardContextual"/>
            </w:rPr>
          </w:pPr>
          <w:hyperlink w:anchor="_Toc218863251" w:history="1">
            <w:r w:rsidRPr="003776F9">
              <w:rPr>
                <w:rStyle w:val="Hyperlink"/>
                <w:noProof/>
              </w:rPr>
              <w:t>Factor 1: c) Efficiency, Continuity of Care, Coordination of Care</w:t>
            </w:r>
            <w:r>
              <w:rPr>
                <w:noProof/>
                <w:webHidden/>
              </w:rPr>
              <w:tab/>
            </w:r>
            <w:r>
              <w:rPr>
                <w:noProof/>
                <w:webHidden/>
              </w:rPr>
              <w:fldChar w:fldCharType="begin"/>
            </w:r>
            <w:r>
              <w:rPr>
                <w:noProof/>
                <w:webHidden/>
              </w:rPr>
              <w:instrText xml:space="preserve"> PAGEREF _Toc218863251 \h </w:instrText>
            </w:r>
            <w:r>
              <w:rPr>
                <w:noProof/>
                <w:webHidden/>
              </w:rPr>
            </w:r>
            <w:r>
              <w:rPr>
                <w:noProof/>
                <w:webHidden/>
              </w:rPr>
              <w:fldChar w:fldCharType="separate"/>
            </w:r>
            <w:r>
              <w:rPr>
                <w:noProof/>
                <w:webHidden/>
              </w:rPr>
              <w:t>16</w:t>
            </w:r>
            <w:r>
              <w:rPr>
                <w:noProof/>
                <w:webHidden/>
              </w:rPr>
              <w:fldChar w:fldCharType="end"/>
            </w:r>
          </w:hyperlink>
        </w:p>
        <w:p w14:paraId="28632E09" w14:textId="5BB67648" w:rsidR="00944E7F" w:rsidRDefault="00944E7F">
          <w:pPr>
            <w:pStyle w:val="TOC1"/>
            <w:tabs>
              <w:tab w:val="right" w:leader="dot" w:pos="10390"/>
            </w:tabs>
            <w:rPr>
              <w:rFonts w:asciiTheme="minorHAnsi" w:eastAsiaTheme="minorEastAsia" w:hAnsiTheme="minorHAnsi" w:cstheme="minorBidi"/>
              <w:noProof/>
              <w:kern w:val="2"/>
              <w:szCs w:val="24"/>
              <w14:ligatures w14:val="standardContextual"/>
            </w:rPr>
          </w:pPr>
          <w:hyperlink w:anchor="_Toc218863252" w:history="1">
            <w:r w:rsidRPr="003776F9">
              <w:rPr>
                <w:rStyle w:val="Hyperlink"/>
                <w:noProof/>
              </w:rPr>
              <w:t>Factor 1: d) Consultation</w:t>
            </w:r>
            <w:r>
              <w:rPr>
                <w:noProof/>
                <w:webHidden/>
              </w:rPr>
              <w:tab/>
            </w:r>
            <w:r>
              <w:rPr>
                <w:noProof/>
                <w:webHidden/>
              </w:rPr>
              <w:fldChar w:fldCharType="begin"/>
            </w:r>
            <w:r>
              <w:rPr>
                <w:noProof/>
                <w:webHidden/>
              </w:rPr>
              <w:instrText xml:space="preserve"> PAGEREF _Toc218863252 \h </w:instrText>
            </w:r>
            <w:r>
              <w:rPr>
                <w:noProof/>
                <w:webHidden/>
              </w:rPr>
            </w:r>
            <w:r>
              <w:rPr>
                <w:noProof/>
                <w:webHidden/>
              </w:rPr>
              <w:fldChar w:fldCharType="separate"/>
            </w:r>
            <w:r>
              <w:rPr>
                <w:noProof/>
                <w:webHidden/>
              </w:rPr>
              <w:t>17</w:t>
            </w:r>
            <w:r>
              <w:rPr>
                <w:noProof/>
                <w:webHidden/>
              </w:rPr>
              <w:fldChar w:fldCharType="end"/>
            </w:r>
          </w:hyperlink>
        </w:p>
        <w:p w14:paraId="7FE9D613" w14:textId="39D9DD17" w:rsidR="00944E7F" w:rsidRDefault="00944E7F">
          <w:pPr>
            <w:pStyle w:val="TOC1"/>
            <w:tabs>
              <w:tab w:val="right" w:leader="dot" w:pos="10390"/>
            </w:tabs>
            <w:rPr>
              <w:rFonts w:asciiTheme="minorHAnsi" w:eastAsiaTheme="minorEastAsia" w:hAnsiTheme="minorHAnsi" w:cstheme="minorBidi"/>
              <w:noProof/>
              <w:kern w:val="2"/>
              <w:szCs w:val="24"/>
              <w14:ligatures w14:val="standardContextual"/>
            </w:rPr>
          </w:pPr>
          <w:hyperlink w:anchor="_Toc218863253" w:history="1">
            <w:r w:rsidRPr="003776F9">
              <w:rPr>
                <w:rStyle w:val="Hyperlink"/>
                <w:noProof/>
              </w:rPr>
              <w:t>Factor 1: e) Evidence of Sound Community Engagement through the Patient Panel</w:t>
            </w:r>
            <w:r>
              <w:rPr>
                <w:noProof/>
                <w:webHidden/>
              </w:rPr>
              <w:tab/>
            </w:r>
            <w:r>
              <w:rPr>
                <w:noProof/>
                <w:webHidden/>
              </w:rPr>
              <w:fldChar w:fldCharType="begin"/>
            </w:r>
            <w:r>
              <w:rPr>
                <w:noProof/>
                <w:webHidden/>
              </w:rPr>
              <w:instrText xml:space="preserve"> PAGEREF _Toc218863253 \h </w:instrText>
            </w:r>
            <w:r>
              <w:rPr>
                <w:noProof/>
                <w:webHidden/>
              </w:rPr>
            </w:r>
            <w:r>
              <w:rPr>
                <w:noProof/>
                <w:webHidden/>
              </w:rPr>
              <w:fldChar w:fldCharType="separate"/>
            </w:r>
            <w:r>
              <w:rPr>
                <w:noProof/>
                <w:webHidden/>
              </w:rPr>
              <w:t>17</w:t>
            </w:r>
            <w:r>
              <w:rPr>
                <w:noProof/>
                <w:webHidden/>
              </w:rPr>
              <w:fldChar w:fldCharType="end"/>
            </w:r>
          </w:hyperlink>
        </w:p>
        <w:p w14:paraId="48C689B1" w14:textId="001583A6" w:rsidR="00944E7F" w:rsidRDefault="00944E7F">
          <w:pPr>
            <w:pStyle w:val="TOC1"/>
            <w:tabs>
              <w:tab w:val="right" w:leader="dot" w:pos="10390"/>
            </w:tabs>
            <w:rPr>
              <w:rFonts w:asciiTheme="minorHAnsi" w:eastAsiaTheme="minorEastAsia" w:hAnsiTheme="minorHAnsi" w:cstheme="minorBidi"/>
              <w:noProof/>
              <w:kern w:val="2"/>
              <w:szCs w:val="24"/>
              <w14:ligatures w14:val="standardContextual"/>
            </w:rPr>
          </w:pPr>
          <w:hyperlink w:anchor="_Toc218863254" w:history="1">
            <w:r w:rsidRPr="003776F9">
              <w:rPr>
                <w:rStyle w:val="Hyperlink"/>
                <w:noProof/>
              </w:rPr>
              <w:t>Factor 1: f) Competition on price, total medical expenses (TME), costs and other measures of health care spending</w:t>
            </w:r>
            <w:r>
              <w:rPr>
                <w:noProof/>
                <w:webHidden/>
              </w:rPr>
              <w:tab/>
            </w:r>
            <w:r>
              <w:rPr>
                <w:noProof/>
                <w:webHidden/>
              </w:rPr>
              <w:fldChar w:fldCharType="begin"/>
            </w:r>
            <w:r>
              <w:rPr>
                <w:noProof/>
                <w:webHidden/>
              </w:rPr>
              <w:instrText xml:space="preserve"> PAGEREF _Toc218863254 \h </w:instrText>
            </w:r>
            <w:r>
              <w:rPr>
                <w:noProof/>
                <w:webHidden/>
              </w:rPr>
            </w:r>
            <w:r>
              <w:rPr>
                <w:noProof/>
                <w:webHidden/>
              </w:rPr>
              <w:fldChar w:fldCharType="separate"/>
            </w:r>
            <w:r>
              <w:rPr>
                <w:noProof/>
                <w:webHidden/>
              </w:rPr>
              <w:t>17</w:t>
            </w:r>
            <w:r>
              <w:rPr>
                <w:noProof/>
                <w:webHidden/>
              </w:rPr>
              <w:fldChar w:fldCharType="end"/>
            </w:r>
          </w:hyperlink>
        </w:p>
        <w:p w14:paraId="039D2FA2" w14:textId="3A639629" w:rsidR="00944E7F" w:rsidRDefault="00944E7F">
          <w:pPr>
            <w:pStyle w:val="TOC1"/>
            <w:tabs>
              <w:tab w:val="right" w:leader="dot" w:pos="10390"/>
            </w:tabs>
            <w:rPr>
              <w:rFonts w:asciiTheme="minorHAnsi" w:eastAsiaTheme="minorEastAsia" w:hAnsiTheme="minorHAnsi" w:cstheme="minorBidi"/>
              <w:noProof/>
              <w:kern w:val="2"/>
              <w:szCs w:val="24"/>
              <w14:ligatures w14:val="standardContextual"/>
            </w:rPr>
          </w:pPr>
          <w:hyperlink w:anchor="_Toc218863255" w:history="1">
            <w:r w:rsidRPr="003776F9">
              <w:rPr>
                <w:rStyle w:val="Hyperlink"/>
                <w:noProof/>
              </w:rPr>
              <w:t>Summary, Factor 1</w:t>
            </w:r>
            <w:r>
              <w:rPr>
                <w:noProof/>
                <w:webHidden/>
              </w:rPr>
              <w:tab/>
            </w:r>
            <w:r>
              <w:rPr>
                <w:noProof/>
                <w:webHidden/>
              </w:rPr>
              <w:fldChar w:fldCharType="begin"/>
            </w:r>
            <w:r>
              <w:rPr>
                <w:noProof/>
                <w:webHidden/>
              </w:rPr>
              <w:instrText xml:space="preserve"> PAGEREF _Toc218863255 \h </w:instrText>
            </w:r>
            <w:r>
              <w:rPr>
                <w:noProof/>
                <w:webHidden/>
              </w:rPr>
            </w:r>
            <w:r>
              <w:rPr>
                <w:noProof/>
                <w:webHidden/>
              </w:rPr>
              <w:fldChar w:fldCharType="separate"/>
            </w:r>
            <w:r>
              <w:rPr>
                <w:noProof/>
                <w:webHidden/>
              </w:rPr>
              <w:t>19</w:t>
            </w:r>
            <w:r>
              <w:rPr>
                <w:noProof/>
                <w:webHidden/>
              </w:rPr>
              <w:fldChar w:fldCharType="end"/>
            </w:r>
          </w:hyperlink>
        </w:p>
        <w:p w14:paraId="403915A5" w14:textId="07DDAA90" w:rsidR="00944E7F" w:rsidRDefault="00944E7F">
          <w:pPr>
            <w:pStyle w:val="TOC1"/>
            <w:tabs>
              <w:tab w:val="right" w:leader="dot" w:pos="10390"/>
            </w:tabs>
            <w:rPr>
              <w:rFonts w:asciiTheme="minorHAnsi" w:eastAsiaTheme="minorEastAsia" w:hAnsiTheme="minorHAnsi" w:cstheme="minorBidi"/>
              <w:noProof/>
              <w:kern w:val="2"/>
              <w:szCs w:val="24"/>
              <w14:ligatures w14:val="standardContextual"/>
            </w:rPr>
          </w:pPr>
          <w:hyperlink w:anchor="_Toc218863256" w:history="1">
            <w:r w:rsidRPr="003776F9">
              <w:rPr>
                <w:rStyle w:val="Hyperlink"/>
                <w:noProof/>
              </w:rPr>
              <w:t>Factor 2: Cost containment, Improved Public Health Outcomes and Delivery System Transformation</w:t>
            </w:r>
            <w:r>
              <w:rPr>
                <w:noProof/>
                <w:webHidden/>
              </w:rPr>
              <w:tab/>
            </w:r>
            <w:r>
              <w:rPr>
                <w:noProof/>
                <w:webHidden/>
              </w:rPr>
              <w:fldChar w:fldCharType="begin"/>
            </w:r>
            <w:r>
              <w:rPr>
                <w:noProof/>
                <w:webHidden/>
              </w:rPr>
              <w:instrText xml:space="preserve"> PAGEREF _Toc218863256 \h </w:instrText>
            </w:r>
            <w:r>
              <w:rPr>
                <w:noProof/>
                <w:webHidden/>
              </w:rPr>
            </w:r>
            <w:r>
              <w:rPr>
                <w:noProof/>
                <w:webHidden/>
              </w:rPr>
              <w:fldChar w:fldCharType="separate"/>
            </w:r>
            <w:r>
              <w:rPr>
                <w:noProof/>
                <w:webHidden/>
              </w:rPr>
              <w:t>19</w:t>
            </w:r>
            <w:r>
              <w:rPr>
                <w:noProof/>
                <w:webHidden/>
              </w:rPr>
              <w:fldChar w:fldCharType="end"/>
            </w:r>
          </w:hyperlink>
        </w:p>
        <w:p w14:paraId="690032D5" w14:textId="370B982D" w:rsidR="00944E7F" w:rsidRDefault="00944E7F">
          <w:pPr>
            <w:pStyle w:val="TOC1"/>
            <w:tabs>
              <w:tab w:val="right" w:leader="dot" w:pos="10390"/>
            </w:tabs>
            <w:rPr>
              <w:rFonts w:asciiTheme="minorHAnsi" w:eastAsiaTheme="minorEastAsia" w:hAnsiTheme="minorHAnsi" w:cstheme="minorBidi"/>
              <w:noProof/>
              <w:kern w:val="2"/>
              <w:szCs w:val="24"/>
              <w14:ligatures w14:val="standardContextual"/>
            </w:rPr>
          </w:pPr>
          <w:hyperlink w:anchor="_Toc218863257" w:history="1">
            <w:r w:rsidRPr="003776F9">
              <w:rPr>
                <w:rStyle w:val="Hyperlink"/>
                <w:noProof/>
              </w:rPr>
              <w:t>Summary, Factor 2</w:t>
            </w:r>
            <w:r>
              <w:rPr>
                <w:noProof/>
                <w:webHidden/>
              </w:rPr>
              <w:tab/>
            </w:r>
            <w:r>
              <w:rPr>
                <w:noProof/>
                <w:webHidden/>
              </w:rPr>
              <w:fldChar w:fldCharType="begin"/>
            </w:r>
            <w:r>
              <w:rPr>
                <w:noProof/>
                <w:webHidden/>
              </w:rPr>
              <w:instrText xml:space="preserve"> PAGEREF _Toc218863257 \h </w:instrText>
            </w:r>
            <w:r>
              <w:rPr>
                <w:noProof/>
                <w:webHidden/>
              </w:rPr>
            </w:r>
            <w:r>
              <w:rPr>
                <w:noProof/>
                <w:webHidden/>
              </w:rPr>
              <w:fldChar w:fldCharType="separate"/>
            </w:r>
            <w:r>
              <w:rPr>
                <w:noProof/>
                <w:webHidden/>
              </w:rPr>
              <w:t>21</w:t>
            </w:r>
            <w:r>
              <w:rPr>
                <w:noProof/>
                <w:webHidden/>
              </w:rPr>
              <w:fldChar w:fldCharType="end"/>
            </w:r>
          </w:hyperlink>
        </w:p>
        <w:p w14:paraId="47AAF1B1" w14:textId="07BBA2A2" w:rsidR="00944E7F" w:rsidRDefault="00944E7F">
          <w:pPr>
            <w:pStyle w:val="TOC1"/>
            <w:tabs>
              <w:tab w:val="right" w:leader="dot" w:pos="10390"/>
            </w:tabs>
            <w:rPr>
              <w:rFonts w:asciiTheme="minorHAnsi" w:eastAsiaTheme="minorEastAsia" w:hAnsiTheme="minorHAnsi" w:cstheme="minorBidi"/>
              <w:noProof/>
              <w:kern w:val="2"/>
              <w:szCs w:val="24"/>
              <w14:ligatures w14:val="standardContextual"/>
            </w:rPr>
          </w:pPr>
          <w:hyperlink w:anchor="_Toc218863258" w:history="1">
            <w:r w:rsidRPr="003776F9">
              <w:rPr>
                <w:rStyle w:val="Hyperlink"/>
                <w:noProof/>
              </w:rPr>
              <w:t>Factor 3: Relevant Licensure/Oversight Compliance</w:t>
            </w:r>
            <w:r>
              <w:rPr>
                <w:noProof/>
                <w:webHidden/>
              </w:rPr>
              <w:tab/>
            </w:r>
            <w:r>
              <w:rPr>
                <w:noProof/>
                <w:webHidden/>
              </w:rPr>
              <w:fldChar w:fldCharType="begin"/>
            </w:r>
            <w:r>
              <w:rPr>
                <w:noProof/>
                <w:webHidden/>
              </w:rPr>
              <w:instrText xml:space="preserve"> PAGEREF _Toc218863258 \h </w:instrText>
            </w:r>
            <w:r>
              <w:rPr>
                <w:noProof/>
                <w:webHidden/>
              </w:rPr>
            </w:r>
            <w:r>
              <w:rPr>
                <w:noProof/>
                <w:webHidden/>
              </w:rPr>
              <w:fldChar w:fldCharType="separate"/>
            </w:r>
            <w:r>
              <w:rPr>
                <w:noProof/>
                <w:webHidden/>
              </w:rPr>
              <w:t>21</w:t>
            </w:r>
            <w:r>
              <w:rPr>
                <w:noProof/>
                <w:webHidden/>
              </w:rPr>
              <w:fldChar w:fldCharType="end"/>
            </w:r>
          </w:hyperlink>
        </w:p>
        <w:p w14:paraId="0406E4C0" w14:textId="6ADE3434" w:rsidR="00944E7F" w:rsidRDefault="00944E7F">
          <w:pPr>
            <w:pStyle w:val="TOC1"/>
            <w:tabs>
              <w:tab w:val="right" w:leader="dot" w:pos="10390"/>
            </w:tabs>
            <w:rPr>
              <w:rFonts w:asciiTheme="minorHAnsi" w:eastAsiaTheme="minorEastAsia" w:hAnsiTheme="minorHAnsi" w:cstheme="minorBidi"/>
              <w:noProof/>
              <w:kern w:val="2"/>
              <w:szCs w:val="24"/>
              <w14:ligatures w14:val="standardContextual"/>
            </w:rPr>
          </w:pPr>
          <w:hyperlink w:anchor="_Toc218863259" w:history="1">
            <w:r w:rsidRPr="003776F9">
              <w:rPr>
                <w:rStyle w:val="Hyperlink"/>
                <w:noProof/>
              </w:rPr>
              <w:t>Factor 4: Financial Feasibility</w:t>
            </w:r>
            <w:r>
              <w:rPr>
                <w:noProof/>
                <w:webHidden/>
              </w:rPr>
              <w:tab/>
            </w:r>
            <w:r>
              <w:rPr>
                <w:noProof/>
                <w:webHidden/>
              </w:rPr>
              <w:fldChar w:fldCharType="begin"/>
            </w:r>
            <w:r>
              <w:rPr>
                <w:noProof/>
                <w:webHidden/>
              </w:rPr>
              <w:instrText xml:space="preserve"> PAGEREF _Toc218863259 \h </w:instrText>
            </w:r>
            <w:r>
              <w:rPr>
                <w:noProof/>
                <w:webHidden/>
              </w:rPr>
            </w:r>
            <w:r>
              <w:rPr>
                <w:noProof/>
                <w:webHidden/>
              </w:rPr>
              <w:fldChar w:fldCharType="separate"/>
            </w:r>
            <w:r>
              <w:rPr>
                <w:noProof/>
                <w:webHidden/>
              </w:rPr>
              <w:t>22</w:t>
            </w:r>
            <w:r>
              <w:rPr>
                <w:noProof/>
                <w:webHidden/>
              </w:rPr>
              <w:fldChar w:fldCharType="end"/>
            </w:r>
          </w:hyperlink>
        </w:p>
        <w:p w14:paraId="17825E3D" w14:textId="469594BE" w:rsidR="00944E7F" w:rsidRDefault="00944E7F">
          <w:pPr>
            <w:pStyle w:val="TOC1"/>
            <w:tabs>
              <w:tab w:val="right" w:leader="dot" w:pos="10390"/>
            </w:tabs>
            <w:rPr>
              <w:rFonts w:asciiTheme="minorHAnsi" w:eastAsiaTheme="minorEastAsia" w:hAnsiTheme="minorHAnsi" w:cstheme="minorBidi"/>
              <w:noProof/>
              <w:kern w:val="2"/>
              <w:szCs w:val="24"/>
              <w14:ligatures w14:val="standardContextual"/>
            </w:rPr>
          </w:pPr>
          <w:hyperlink w:anchor="_Toc218863260" w:history="1">
            <w:r w:rsidRPr="003776F9">
              <w:rPr>
                <w:rStyle w:val="Hyperlink"/>
                <w:noProof/>
              </w:rPr>
              <w:t>Factor 5: Assessment of the Proposed Project’s Relative Merit</w:t>
            </w:r>
            <w:r>
              <w:rPr>
                <w:noProof/>
                <w:webHidden/>
              </w:rPr>
              <w:tab/>
            </w:r>
            <w:r>
              <w:rPr>
                <w:noProof/>
                <w:webHidden/>
              </w:rPr>
              <w:fldChar w:fldCharType="begin"/>
            </w:r>
            <w:r>
              <w:rPr>
                <w:noProof/>
                <w:webHidden/>
              </w:rPr>
              <w:instrText xml:space="preserve"> PAGEREF _Toc218863260 \h </w:instrText>
            </w:r>
            <w:r>
              <w:rPr>
                <w:noProof/>
                <w:webHidden/>
              </w:rPr>
            </w:r>
            <w:r>
              <w:rPr>
                <w:noProof/>
                <w:webHidden/>
              </w:rPr>
              <w:fldChar w:fldCharType="separate"/>
            </w:r>
            <w:r>
              <w:rPr>
                <w:noProof/>
                <w:webHidden/>
              </w:rPr>
              <w:t>23</w:t>
            </w:r>
            <w:r>
              <w:rPr>
                <w:noProof/>
                <w:webHidden/>
              </w:rPr>
              <w:fldChar w:fldCharType="end"/>
            </w:r>
          </w:hyperlink>
        </w:p>
        <w:p w14:paraId="7F65FE62" w14:textId="63FA6C76" w:rsidR="00944E7F" w:rsidRDefault="00944E7F">
          <w:pPr>
            <w:pStyle w:val="TOC1"/>
            <w:tabs>
              <w:tab w:val="right" w:leader="dot" w:pos="10390"/>
            </w:tabs>
            <w:rPr>
              <w:rFonts w:asciiTheme="minorHAnsi" w:eastAsiaTheme="minorEastAsia" w:hAnsiTheme="minorHAnsi" w:cstheme="minorBidi"/>
              <w:noProof/>
              <w:kern w:val="2"/>
              <w:szCs w:val="24"/>
              <w14:ligatures w14:val="standardContextual"/>
            </w:rPr>
          </w:pPr>
          <w:hyperlink w:anchor="_Toc218863261" w:history="1">
            <w:r w:rsidRPr="003776F9">
              <w:rPr>
                <w:rStyle w:val="Hyperlink"/>
                <w:noProof/>
              </w:rPr>
              <w:t>Factor 6: Fulfillment of DPH Community-based Health Initiatives Guideline</w:t>
            </w:r>
            <w:r>
              <w:rPr>
                <w:noProof/>
                <w:webHidden/>
              </w:rPr>
              <w:tab/>
            </w:r>
            <w:r>
              <w:rPr>
                <w:noProof/>
                <w:webHidden/>
              </w:rPr>
              <w:fldChar w:fldCharType="begin"/>
            </w:r>
            <w:r>
              <w:rPr>
                <w:noProof/>
                <w:webHidden/>
              </w:rPr>
              <w:instrText xml:space="preserve"> PAGEREF _Toc218863261 \h </w:instrText>
            </w:r>
            <w:r>
              <w:rPr>
                <w:noProof/>
                <w:webHidden/>
              </w:rPr>
            </w:r>
            <w:r>
              <w:rPr>
                <w:noProof/>
                <w:webHidden/>
              </w:rPr>
              <w:fldChar w:fldCharType="separate"/>
            </w:r>
            <w:r>
              <w:rPr>
                <w:noProof/>
                <w:webHidden/>
              </w:rPr>
              <w:t>25</w:t>
            </w:r>
            <w:r>
              <w:rPr>
                <w:noProof/>
                <w:webHidden/>
              </w:rPr>
              <w:fldChar w:fldCharType="end"/>
            </w:r>
          </w:hyperlink>
        </w:p>
        <w:p w14:paraId="06DCE699" w14:textId="73C15A4D" w:rsidR="00944E7F" w:rsidRDefault="00944E7F">
          <w:pPr>
            <w:pStyle w:val="TOC1"/>
            <w:tabs>
              <w:tab w:val="right" w:leader="dot" w:pos="10390"/>
            </w:tabs>
            <w:rPr>
              <w:rFonts w:asciiTheme="minorHAnsi" w:eastAsiaTheme="minorEastAsia" w:hAnsiTheme="minorHAnsi" w:cstheme="minorBidi"/>
              <w:noProof/>
              <w:kern w:val="2"/>
              <w:szCs w:val="24"/>
              <w14:ligatures w14:val="standardContextual"/>
            </w:rPr>
          </w:pPr>
          <w:hyperlink w:anchor="_Toc218863262" w:history="1">
            <w:r w:rsidRPr="003776F9">
              <w:rPr>
                <w:rStyle w:val="Hyperlink"/>
                <w:noProof/>
              </w:rPr>
              <w:t>Findings and Recommendations</w:t>
            </w:r>
            <w:r>
              <w:rPr>
                <w:noProof/>
                <w:webHidden/>
              </w:rPr>
              <w:tab/>
            </w:r>
            <w:r>
              <w:rPr>
                <w:noProof/>
                <w:webHidden/>
              </w:rPr>
              <w:fldChar w:fldCharType="begin"/>
            </w:r>
            <w:r>
              <w:rPr>
                <w:noProof/>
                <w:webHidden/>
              </w:rPr>
              <w:instrText xml:space="preserve"> PAGEREF _Toc218863262 \h </w:instrText>
            </w:r>
            <w:r>
              <w:rPr>
                <w:noProof/>
                <w:webHidden/>
              </w:rPr>
            </w:r>
            <w:r>
              <w:rPr>
                <w:noProof/>
                <w:webHidden/>
              </w:rPr>
              <w:fldChar w:fldCharType="separate"/>
            </w:r>
            <w:r>
              <w:rPr>
                <w:noProof/>
                <w:webHidden/>
              </w:rPr>
              <w:t>26</w:t>
            </w:r>
            <w:r>
              <w:rPr>
                <w:noProof/>
                <w:webHidden/>
              </w:rPr>
              <w:fldChar w:fldCharType="end"/>
            </w:r>
          </w:hyperlink>
        </w:p>
        <w:p w14:paraId="63872BC2" w14:textId="5E4B6CA6" w:rsidR="00944E7F" w:rsidRDefault="00944E7F">
          <w:pPr>
            <w:pStyle w:val="TOC1"/>
            <w:tabs>
              <w:tab w:val="right" w:leader="dot" w:pos="10390"/>
            </w:tabs>
            <w:rPr>
              <w:rFonts w:asciiTheme="minorHAnsi" w:eastAsiaTheme="minorEastAsia" w:hAnsiTheme="minorHAnsi" w:cstheme="minorBidi"/>
              <w:noProof/>
              <w:kern w:val="2"/>
              <w:szCs w:val="24"/>
              <w14:ligatures w14:val="standardContextual"/>
            </w:rPr>
          </w:pPr>
          <w:hyperlink w:anchor="_Toc218863263" w:history="1">
            <w:r w:rsidRPr="003776F9">
              <w:rPr>
                <w:rStyle w:val="Hyperlink"/>
                <w:noProof/>
              </w:rPr>
              <w:t>Other Conditions</w:t>
            </w:r>
            <w:r>
              <w:rPr>
                <w:noProof/>
                <w:webHidden/>
              </w:rPr>
              <w:tab/>
            </w:r>
            <w:r>
              <w:rPr>
                <w:noProof/>
                <w:webHidden/>
              </w:rPr>
              <w:fldChar w:fldCharType="begin"/>
            </w:r>
            <w:r>
              <w:rPr>
                <w:noProof/>
                <w:webHidden/>
              </w:rPr>
              <w:instrText xml:space="preserve"> PAGEREF _Toc218863263 \h </w:instrText>
            </w:r>
            <w:r>
              <w:rPr>
                <w:noProof/>
                <w:webHidden/>
              </w:rPr>
            </w:r>
            <w:r>
              <w:rPr>
                <w:noProof/>
                <w:webHidden/>
              </w:rPr>
              <w:fldChar w:fldCharType="separate"/>
            </w:r>
            <w:r>
              <w:rPr>
                <w:noProof/>
                <w:webHidden/>
              </w:rPr>
              <w:t>26</w:t>
            </w:r>
            <w:r>
              <w:rPr>
                <w:noProof/>
                <w:webHidden/>
              </w:rPr>
              <w:fldChar w:fldCharType="end"/>
            </w:r>
          </w:hyperlink>
        </w:p>
        <w:p w14:paraId="53A6A9CF" w14:textId="5CE0E06A" w:rsidR="00944E7F" w:rsidRDefault="00944E7F">
          <w:pPr>
            <w:pStyle w:val="TOC1"/>
            <w:tabs>
              <w:tab w:val="right" w:leader="dot" w:pos="10390"/>
            </w:tabs>
            <w:rPr>
              <w:rFonts w:asciiTheme="minorHAnsi" w:eastAsiaTheme="minorEastAsia" w:hAnsiTheme="minorHAnsi" w:cstheme="minorBidi"/>
              <w:noProof/>
              <w:kern w:val="2"/>
              <w:szCs w:val="24"/>
              <w14:ligatures w14:val="standardContextual"/>
            </w:rPr>
          </w:pPr>
          <w:hyperlink w:anchor="_Toc218863264" w:history="1">
            <w:r w:rsidRPr="003776F9">
              <w:rPr>
                <w:rStyle w:val="Hyperlink"/>
                <w:noProof/>
                <w:bdr w:val="none" w:sz="0" w:space="0" w:color="auto" w:frame="1"/>
              </w:rPr>
              <w:t>Appendix I: Required Measures for Annual Reporting</w:t>
            </w:r>
            <w:r>
              <w:rPr>
                <w:noProof/>
                <w:webHidden/>
              </w:rPr>
              <w:tab/>
            </w:r>
            <w:r>
              <w:rPr>
                <w:noProof/>
                <w:webHidden/>
              </w:rPr>
              <w:fldChar w:fldCharType="begin"/>
            </w:r>
            <w:r>
              <w:rPr>
                <w:noProof/>
                <w:webHidden/>
              </w:rPr>
              <w:instrText xml:space="preserve"> PAGEREF _Toc218863264 \h </w:instrText>
            </w:r>
            <w:r>
              <w:rPr>
                <w:noProof/>
                <w:webHidden/>
              </w:rPr>
            </w:r>
            <w:r>
              <w:rPr>
                <w:noProof/>
                <w:webHidden/>
              </w:rPr>
              <w:fldChar w:fldCharType="separate"/>
            </w:r>
            <w:r>
              <w:rPr>
                <w:noProof/>
                <w:webHidden/>
              </w:rPr>
              <w:t>28</w:t>
            </w:r>
            <w:r>
              <w:rPr>
                <w:noProof/>
                <w:webHidden/>
              </w:rPr>
              <w:fldChar w:fldCharType="end"/>
            </w:r>
          </w:hyperlink>
        </w:p>
        <w:p w14:paraId="3BCD5F76" w14:textId="4CA41A02" w:rsidR="00944E7F" w:rsidRDefault="00944E7F">
          <w:pPr>
            <w:pStyle w:val="TOC1"/>
            <w:tabs>
              <w:tab w:val="right" w:leader="dot" w:pos="10390"/>
            </w:tabs>
            <w:rPr>
              <w:rFonts w:asciiTheme="minorHAnsi" w:eastAsiaTheme="minorEastAsia" w:hAnsiTheme="minorHAnsi" w:cstheme="minorBidi"/>
              <w:noProof/>
              <w:kern w:val="2"/>
              <w:szCs w:val="24"/>
              <w14:ligatures w14:val="standardContextual"/>
            </w:rPr>
          </w:pPr>
          <w:hyperlink w:anchor="_Toc218863265" w:history="1">
            <w:r w:rsidRPr="003776F9">
              <w:rPr>
                <w:rStyle w:val="Hyperlink"/>
                <w:noProof/>
              </w:rPr>
              <w:t>REFERENCES</w:t>
            </w:r>
            <w:r>
              <w:rPr>
                <w:noProof/>
                <w:webHidden/>
              </w:rPr>
              <w:tab/>
            </w:r>
            <w:r>
              <w:rPr>
                <w:noProof/>
                <w:webHidden/>
              </w:rPr>
              <w:fldChar w:fldCharType="begin"/>
            </w:r>
            <w:r>
              <w:rPr>
                <w:noProof/>
                <w:webHidden/>
              </w:rPr>
              <w:instrText xml:space="preserve"> PAGEREF _Toc218863265 \h </w:instrText>
            </w:r>
            <w:r>
              <w:rPr>
                <w:noProof/>
                <w:webHidden/>
              </w:rPr>
            </w:r>
            <w:r>
              <w:rPr>
                <w:noProof/>
                <w:webHidden/>
              </w:rPr>
              <w:fldChar w:fldCharType="separate"/>
            </w:r>
            <w:r>
              <w:rPr>
                <w:noProof/>
                <w:webHidden/>
              </w:rPr>
              <w:t>29</w:t>
            </w:r>
            <w:r>
              <w:rPr>
                <w:noProof/>
                <w:webHidden/>
              </w:rPr>
              <w:fldChar w:fldCharType="end"/>
            </w:r>
          </w:hyperlink>
        </w:p>
        <w:p w14:paraId="0675CDB9" w14:textId="50D415F8" w:rsidR="008650F2" w:rsidRPr="00C85257" w:rsidRDefault="008650F2">
          <w:pPr>
            <w:rPr>
              <w:rFonts w:asciiTheme="minorHAnsi" w:hAnsiTheme="minorHAnsi"/>
              <w:szCs w:val="24"/>
              <w:highlight w:val="yellow"/>
            </w:rPr>
          </w:pPr>
          <w:r w:rsidRPr="00C85257">
            <w:rPr>
              <w:rFonts w:asciiTheme="minorHAnsi" w:hAnsiTheme="minorHAnsi"/>
              <w:b/>
              <w:bCs/>
              <w:noProof/>
              <w:szCs w:val="24"/>
              <w:highlight w:val="yellow"/>
            </w:rPr>
            <w:fldChar w:fldCharType="end"/>
          </w:r>
        </w:p>
      </w:sdtContent>
    </w:sdt>
    <w:p w14:paraId="71FF1976" w14:textId="77777777" w:rsidR="00B447F3" w:rsidRPr="00C85257" w:rsidRDefault="00B447F3">
      <w:pPr>
        <w:rPr>
          <w:rFonts w:asciiTheme="minorHAnsi" w:hAnsiTheme="minorHAnsi"/>
          <w:highlight w:val="yellow"/>
        </w:rPr>
        <w:sectPr w:rsidR="00B447F3" w:rsidRPr="00C85257" w:rsidSect="004C1B7F">
          <w:headerReference w:type="even" r:id="rId10"/>
          <w:headerReference w:type="default" r:id="rId11"/>
          <w:headerReference w:type="first" r:id="rId12"/>
          <w:pgSz w:w="12240" w:h="15840"/>
          <w:pgMar w:top="1360" w:right="980" w:bottom="1120" w:left="860" w:header="0" w:footer="937" w:gutter="0"/>
          <w:cols w:space="720"/>
        </w:sectPr>
      </w:pPr>
    </w:p>
    <w:p w14:paraId="6280C006" w14:textId="489DB84B" w:rsidR="00B447F3" w:rsidRPr="0015217E" w:rsidRDefault="00A4110F" w:rsidP="00B928A9">
      <w:pPr>
        <w:pStyle w:val="Heading1"/>
        <w:ind w:left="0"/>
        <w:rPr>
          <w:rFonts w:asciiTheme="minorHAnsi" w:hAnsiTheme="minorHAnsi"/>
          <w:color w:val="1F497D" w:themeColor="text2"/>
        </w:rPr>
      </w:pPr>
      <w:bookmarkStart w:id="0" w:name="Background:_Emerson_Endoscopy_and_Digest"/>
      <w:bookmarkStart w:id="1" w:name="_Toc218863247"/>
      <w:bookmarkEnd w:id="0"/>
      <w:r w:rsidRPr="0015217E">
        <w:rPr>
          <w:rFonts w:asciiTheme="minorHAnsi" w:hAnsiTheme="minorHAnsi"/>
          <w:color w:val="1F497D" w:themeColor="text2"/>
        </w:rPr>
        <w:lastRenderedPageBreak/>
        <w:t>Background</w:t>
      </w:r>
      <w:r w:rsidR="0015217E" w:rsidRPr="0015217E">
        <w:rPr>
          <w:rFonts w:asciiTheme="minorHAnsi" w:hAnsiTheme="minorHAnsi"/>
          <w:color w:val="1F497D" w:themeColor="text2"/>
        </w:rPr>
        <w:t xml:space="preserve"> </w:t>
      </w:r>
      <w:r w:rsidRPr="0015217E">
        <w:rPr>
          <w:rFonts w:asciiTheme="minorHAnsi" w:hAnsiTheme="minorHAnsi"/>
          <w:color w:val="1F497D" w:themeColor="text2"/>
        </w:rPr>
        <w:t>and Application Overview</w:t>
      </w:r>
      <w:bookmarkEnd w:id="1"/>
    </w:p>
    <w:p w14:paraId="32F6900F" w14:textId="068CEB48" w:rsidR="00B447F3" w:rsidRPr="001735C7" w:rsidRDefault="00917391">
      <w:pPr>
        <w:pStyle w:val="BodyText"/>
        <w:spacing w:before="1"/>
        <w:rPr>
          <w:rFonts w:asciiTheme="minorHAnsi" w:hAnsiTheme="minorHAnsi"/>
          <w:b/>
          <w:bCs/>
          <w:i/>
          <w:iCs/>
          <w:highlight w:val="yellow"/>
        </w:rPr>
      </w:pPr>
      <w:r w:rsidRPr="001735C7">
        <w:rPr>
          <w:rFonts w:asciiTheme="minorHAnsi" w:hAnsiTheme="minorHAnsi"/>
          <w:b/>
          <w:bCs/>
          <w:i/>
          <w:iCs/>
          <w:kern w:val="2"/>
        </w:rPr>
        <w:t>Mass General Brigham Ambulatory Surgery – Cambridge, LLC</w:t>
      </w:r>
    </w:p>
    <w:p w14:paraId="2B5EF296" w14:textId="239C63CA" w:rsidR="00707422" w:rsidRPr="00707422" w:rsidRDefault="00917391" w:rsidP="00707422">
      <w:pPr>
        <w:spacing w:after="120"/>
        <w:rPr>
          <w:rFonts w:asciiTheme="minorHAnsi" w:hAnsiTheme="minorHAnsi"/>
          <w:szCs w:val="24"/>
        </w:rPr>
      </w:pPr>
      <w:r w:rsidRPr="007A5040">
        <w:rPr>
          <w:rFonts w:asciiTheme="minorHAnsi" w:hAnsiTheme="minorHAnsi"/>
          <w:kern w:val="2"/>
          <w:szCs w:val="24"/>
        </w:rPr>
        <w:t xml:space="preserve">Mass General Brigham Ambulatory Surgery – Cambridge, LLC (Applicant) </w:t>
      </w:r>
      <w:r w:rsidR="007A5040" w:rsidRPr="007A5040">
        <w:rPr>
          <w:rFonts w:asciiTheme="minorHAnsi" w:hAnsiTheme="minorHAnsi"/>
          <w:szCs w:val="24"/>
        </w:rPr>
        <w:t xml:space="preserve">seeks </w:t>
      </w:r>
      <w:r w:rsidR="007A5040" w:rsidRPr="007A5040">
        <w:rPr>
          <w:rFonts w:asciiTheme="minorHAnsi" w:hAnsiTheme="minorHAnsi"/>
          <w:kern w:val="2"/>
          <w:szCs w:val="24"/>
        </w:rPr>
        <w:t xml:space="preserve">to establish a freestanding single-specialty ASC </w:t>
      </w:r>
      <w:r w:rsidR="007A5040">
        <w:rPr>
          <w:rFonts w:asciiTheme="minorHAnsi" w:hAnsiTheme="minorHAnsi"/>
          <w:kern w:val="2"/>
          <w:szCs w:val="24"/>
        </w:rPr>
        <w:t xml:space="preserve">in </w:t>
      </w:r>
      <w:r w:rsidR="007A5040" w:rsidRPr="007A5040">
        <w:rPr>
          <w:rFonts w:asciiTheme="minorHAnsi" w:hAnsiTheme="minorHAnsi"/>
          <w:kern w:val="2"/>
          <w:szCs w:val="24"/>
        </w:rPr>
        <w:t>Cambridge, MA (Proposed Projec</w:t>
      </w:r>
      <w:r w:rsidR="00881417">
        <w:rPr>
          <w:rFonts w:asciiTheme="minorHAnsi" w:hAnsiTheme="minorHAnsi"/>
          <w:kern w:val="2"/>
          <w:szCs w:val="24"/>
        </w:rPr>
        <w:t>t</w:t>
      </w:r>
      <w:r w:rsidR="007A5040" w:rsidRPr="007A5040">
        <w:rPr>
          <w:rFonts w:asciiTheme="minorHAnsi" w:hAnsiTheme="minorHAnsi"/>
          <w:kern w:val="2"/>
          <w:szCs w:val="24"/>
        </w:rPr>
        <w:t>). The Applicant is owned by New England Surgery Center Holdings, LLC, a joint venture between Mass General Brigham</w:t>
      </w:r>
      <w:r w:rsidR="00C23A60">
        <w:rPr>
          <w:rFonts w:asciiTheme="minorHAnsi" w:hAnsiTheme="minorHAnsi"/>
          <w:kern w:val="2"/>
          <w:szCs w:val="24"/>
        </w:rPr>
        <w:t>, Inc</w:t>
      </w:r>
      <w:r w:rsidR="007A5040" w:rsidRPr="007A5040">
        <w:rPr>
          <w:rFonts w:asciiTheme="minorHAnsi" w:hAnsiTheme="minorHAnsi"/>
          <w:kern w:val="2"/>
          <w:szCs w:val="24"/>
        </w:rPr>
        <w:t xml:space="preserve"> and Regent Surgical Health, LLC</w:t>
      </w:r>
      <w:r w:rsidR="00881417">
        <w:rPr>
          <w:rFonts w:asciiTheme="minorHAnsi" w:hAnsiTheme="minorHAnsi"/>
          <w:kern w:val="2"/>
          <w:szCs w:val="24"/>
        </w:rPr>
        <w:t xml:space="preserve">. </w:t>
      </w:r>
      <w:r w:rsidR="00707422">
        <w:rPr>
          <w:rFonts w:asciiTheme="minorHAnsi" w:hAnsiTheme="minorHAnsi"/>
        </w:rPr>
        <w:t>Staff notes that t</w:t>
      </w:r>
      <w:r w:rsidR="001D4247" w:rsidRPr="00881417">
        <w:rPr>
          <w:rFonts w:asciiTheme="minorHAnsi" w:hAnsiTheme="minorHAnsi"/>
        </w:rPr>
        <w:t xml:space="preserve">he </w:t>
      </w:r>
      <w:r w:rsidR="002D32FC" w:rsidRPr="00881417">
        <w:rPr>
          <w:rFonts w:asciiTheme="minorHAnsi" w:hAnsiTheme="minorHAnsi"/>
        </w:rPr>
        <w:t>proposed ASC</w:t>
      </w:r>
      <w:r w:rsidR="001D4247" w:rsidRPr="00881417">
        <w:rPr>
          <w:rFonts w:asciiTheme="minorHAnsi" w:hAnsiTheme="minorHAnsi"/>
        </w:rPr>
        <w:t xml:space="preserve"> </w:t>
      </w:r>
      <w:r w:rsidR="00881417" w:rsidRPr="00881417">
        <w:rPr>
          <w:rFonts w:asciiTheme="minorHAnsi" w:hAnsiTheme="minorHAnsi"/>
        </w:rPr>
        <w:t>does not fall</w:t>
      </w:r>
      <w:r w:rsidR="00EA752E" w:rsidRPr="00881417">
        <w:rPr>
          <w:rFonts w:asciiTheme="minorHAnsi" w:hAnsiTheme="minorHAnsi"/>
        </w:rPr>
        <w:t xml:space="preserve"> </w:t>
      </w:r>
      <w:r w:rsidR="00492702">
        <w:rPr>
          <w:rFonts w:asciiTheme="minorHAnsi" w:hAnsiTheme="minorHAnsi"/>
        </w:rPr>
        <w:t>with</w:t>
      </w:r>
      <w:r w:rsidR="00EA752E" w:rsidRPr="00881417">
        <w:rPr>
          <w:rFonts w:asciiTheme="minorHAnsi" w:hAnsiTheme="minorHAnsi"/>
        </w:rPr>
        <w:t>in the primary service area (PSA) of an independent community hospital</w:t>
      </w:r>
      <w:r w:rsidR="00881417" w:rsidRPr="00881417">
        <w:rPr>
          <w:rFonts w:asciiTheme="minorHAnsi" w:hAnsiTheme="minorHAnsi"/>
        </w:rPr>
        <w:t>.</w:t>
      </w:r>
      <w:r w:rsidR="00EA752E" w:rsidRPr="00881417">
        <w:rPr>
          <w:rFonts w:asciiTheme="minorHAnsi" w:hAnsiTheme="minorHAnsi"/>
        </w:rPr>
        <w:t xml:space="preserve"> </w:t>
      </w:r>
    </w:p>
    <w:p w14:paraId="163713CF" w14:textId="775B6B0B" w:rsidR="000224BA" w:rsidRPr="00681571" w:rsidRDefault="00681571" w:rsidP="00681571">
      <w:pPr>
        <w:pStyle w:val="BodyText"/>
        <w:spacing w:before="1"/>
        <w:rPr>
          <w:rFonts w:asciiTheme="minorHAnsi" w:hAnsiTheme="minorHAnsi"/>
          <w:b/>
          <w:bCs/>
          <w:i/>
          <w:iCs/>
          <w:kern w:val="2"/>
        </w:rPr>
      </w:pPr>
      <w:r w:rsidRPr="00681571">
        <w:rPr>
          <w:rFonts w:asciiTheme="minorHAnsi" w:hAnsiTheme="minorHAnsi"/>
          <w:b/>
          <w:bCs/>
          <w:i/>
          <w:iCs/>
          <w:kern w:val="2"/>
        </w:rPr>
        <w:t>Mass General Brigham, Inc</w:t>
      </w:r>
    </w:p>
    <w:p w14:paraId="41C3E1D6" w14:textId="713E02F8" w:rsidR="00EA5883" w:rsidRPr="002A3EEE" w:rsidRDefault="00EA5883" w:rsidP="00EA5883">
      <w:pPr>
        <w:rPr>
          <w:rFonts w:asciiTheme="minorHAnsi" w:hAnsiTheme="minorHAnsi"/>
          <w:color w:val="000000" w:themeColor="text1"/>
        </w:rPr>
      </w:pPr>
      <w:r w:rsidRPr="002A3EEE">
        <w:rPr>
          <w:rFonts w:asciiTheme="minorHAnsi" w:hAnsiTheme="minorHAnsi"/>
          <w:color w:val="000000" w:themeColor="text1"/>
        </w:rPr>
        <w:t>Mass General Brigham, Inc (MGB), is a Massachusetts not-for-profit corporation. Table 1 shows acute and non-acute care hospitals in Massachusetts that comprise the MGB system.</w:t>
      </w:r>
      <w:r w:rsidRPr="002A3EEE">
        <w:rPr>
          <w:rStyle w:val="FootnoteReference"/>
          <w:rFonts w:asciiTheme="minorHAnsi" w:hAnsiTheme="minorHAnsi"/>
          <w:color w:val="000000" w:themeColor="text1"/>
        </w:rPr>
        <w:footnoteReference w:id="2"/>
      </w:r>
      <w:r w:rsidRPr="002A3EEE">
        <w:rPr>
          <w:rFonts w:asciiTheme="minorHAnsi" w:hAnsiTheme="minorHAnsi"/>
          <w:color w:val="000000" w:themeColor="text1"/>
        </w:rPr>
        <w:t xml:space="preserve"> </w:t>
      </w:r>
    </w:p>
    <w:p w14:paraId="12BB9E65" w14:textId="77777777" w:rsidR="00EA5883" w:rsidRPr="002A3EEE" w:rsidRDefault="00EA5883" w:rsidP="00EA5883">
      <w:pPr>
        <w:rPr>
          <w:rFonts w:asciiTheme="minorHAnsi" w:hAnsiTheme="minorHAnsi"/>
          <w:color w:val="000000" w:themeColor="text1"/>
        </w:rPr>
      </w:pPr>
    </w:p>
    <w:p w14:paraId="42B83F64" w14:textId="77777777" w:rsidR="00EA5883" w:rsidRPr="002A3EEE" w:rsidRDefault="00EA5883" w:rsidP="00EA5883">
      <w:pPr>
        <w:jc w:val="center"/>
        <w:rPr>
          <w:rFonts w:asciiTheme="minorHAnsi" w:hAnsiTheme="minorHAnsi"/>
          <w:b/>
          <w:bCs/>
          <w:color w:val="000000" w:themeColor="text1"/>
        </w:rPr>
      </w:pPr>
      <w:r w:rsidRPr="002A3EEE">
        <w:rPr>
          <w:rFonts w:asciiTheme="minorHAnsi" w:hAnsiTheme="minorHAnsi"/>
          <w:b/>
          <w:bCs/>
          <w:color w:val="000000" w:themeColor="text1"/>
          <w:u w:val="single"/>
        </w:rPr>
        <w:t>Table 1:</w:t>
      </w:r>
      <w:r w:rsidRPr="002A3EEE">
        <w:rPr>
          <w:rFonts w:asciiTheme="minorHAnsi" w:hAnsiTheme="minorHAnsi"/>
          <w:b/>
          <w:bCs/>
          <w:color w:val="000000" w:themeColor="text1"/>
        </w:rPr>
        <w:t xml:space="preserve"> The Hospitals that Comprise the Mass General Brigham, Inc. System</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4402"/>
        <w:gridCol w:w="3960"/>
      </w:tblGrid>
      <w:tr w:rsidR="00EA5883" w:rsidRPr="002A3EEE" w14:paraId="3C0A7929" w14:textId="77777777" w:rsidTr="00672A6C">
        <w:trPr>
          <w:cantSplit/>
          <w:trHeight w:val="300"/>
          <w:tblHeader/>
          <w:jc w:val="center"/>
        </w:trPr>
        <w:tc>
          <w:tcPr>
            <w:tcW w:w="4402" w:type="dxa"/>
            <w:shd w:val="clear" w:color="auto" w:fill="E5FFFF"/>
            <w:noWrap/>
            <w:hideMark/>
          </w:tcPr>
          <w:p w14:paraId="3164A9BC" w14:textId="77777777" w:rsidR="00EA5883" w:rsidRPr="002A3EEE" w:rsidRDefault="00EA5883">
            <w:pPr>
              <w:rPr>
                <w:rFonts w:asciiTheme="minorHAnsi" w:hAnsiTheme="minorHAnsi"/>
                <w:b/>
                <w:color w:val="000000" w:themeColor="text1"/>
              </w:rPr>
            </w:pPr>
            <w:r w:rsidRPr="002A3EEE">
              <w:rPr>
                <w:rFonts w:asciiTheme="minorHAnsi" w:hAnsiTheme="minorHAnsi"/>
                <w:b/>
                <w:color w:val="000000" w:themeColor="text1"/>
              </w:rPr>
              <w:t>Acute Hospital</w:t>
            </w:r>
          </w:p>
        </w:tc>
        <w:tc>
          <w:tcPr>
            <w:tcW w:w="3960" w:type="dxa"/>
            <w:shd w:val="clear" w:color="auto" w:fill="E5FFFF"/>
            <w:noWrap/>
            <w:hideMark/>
          </w:tcPr>
          <w:p w14:paraId="7DD052EE" w14:textId="77777777" w:rsidR="00EA5883" w:rsidRPr="002A3EEE" w:rsidRDefault="00EA5883">
            <w:pPr>
              <w:rPr>
                <w:rFonts w:asciiTheme="minorHAnsi" w:hAnsiTheme="minorHAnsi"/>
                <w:b/>
                <w:color w:val="000000" w:themeColor="text1"/>
              </w:rPr>
            </w:pPr>
            <w:r w:rsidRPr="002A3EEE">
              <w:rPr>
                <w:rFonts w:asciiTheme="minorHAnsi" w:hAnsiTheme="minorHAnsi"/>
                <w:b/>
                <w:color w:val="000000" w:themeColor="text1"/>
              </w:rPr>
              <w:t>Type (Per CHIA Category</w:t>
            </w:r>
            <w:r w:rsidRPr="002A3EEE">
              <w:rPr>
                <w:rFonts w:asciiTheme="minorHAnsi" w:hAnsiTheme="minorHAnsi"/>
                <w:b/>
                <w:color w:val="000000" w:themeColor="text1"/>
                <w:vertAlign w:val="superscript"/>
              </w:rPr>
              <w:endnoteReference w:id="2"/>
            </w:r>
            <w:r w:rsidRPr="002A3EEE">
              <w:rPr>
                <w:rFonts w:asciiTheme="minorHAnsi" w:hAnsiTheme="minorHAnsi"/>
                <w:b/>
                <w:color w:val="000000" w:themeColor="text1"/>
              </w:rPr>
              <w:t>)</w:t>
            </w:r>
          </w:p>
        </w:tc>
      </w:tr>
      <w:tr w:rsidR="00EA5883" w:rsidRPr="002A3EEE" w14:paraId="01CD8922" w14:textId="77777777" w:rsidTr="00203CE7">
        <w:trPr>
          <w:cantSplit/>
          <w:trHeight w:val="300"/>
          <w:jc w:val="center"/>
        </w:trPr>
        <w:tc>
          <w:tcPr>
            <w:tcW w:w="4402" w:type="dxa"/>
            <w:noWrap/>
            <w:hideMark/>
          </w:tcPr>
          <w:p w14:paraId="78D6E7BE" w14:textId="53BF8EE0" w:rsidR="00EA5883" w:rsidRPr="002A3EEE" w:rsidRDefault="00EA5883">
            <w:pPr>
              <w:rPr>
                <w:rFonts w:asciiTheme="minorHAnsi" w:hAnsiTheme="minorHAnsi"/>
                <w:color w:val="000000" w:themeColor="text1"/>
              </w:rPr>
            </w:pPr>
            <w:r w:rsidRPr="002A3EEE">
              <w:rPr>
                <w:rFonts w:asciiTheme="minorHAnsi" w:hAnsiTheme="minorHAnsi"/>
                <w:color w:val="000000" w:themeColor="text1"/>
              </w:rPr>
              <w:t>1. Brigham and Women’s Hospital</w:t>
            </w:r>
            <w:r w:rsidR="00DA4ACA">
              <w:rPr>
                <w:rFonts w:asciiTheme="minorHAnsi" w:hAnsiTheme="minorHAnsi"/>
                <w:color w:val="000000" w:themeColor="text1"/>
              </w:rPr>
              <w:t xml:space="preserve"> (BWH)</w:t>
            </w:r>
          </w:p>
        </w:tc>
        <w:tc>
          <w:tcPr>
            <w:tcW w:w="3960" w:type="dxa"/>
            <w:noWrap/>
            <w:hideMark/>
          </w:tcPr>
          <w:p w14:paraId="678559A9" w14:textId="77777777" w:rsidR="00EA5883" w:rsidRPr="002A3EEE" w:rsidRDefault="00EA5883">
            <w:pPr>
              <w:rPr>
                <w:rFonts w:asciiTheme="minorHAnsi" w:hAnsiTheme="minorHAnsi"/>
                <w:color w:val="000000" w:themeColor="text1"/>
              </w:rPr>
            </w:pPr>
            <w:r w:rsidRPr="002A3EEE">
              <w:rPr>
                <w:rFonts w:asciiTheme="minorHAnsi" w:hAnsiTheme="minorHAnsi"/>
                <w:color w:val="000000" w:themeColor="text1"/>
              </w:rPr>
              <w:t>Academic Medical Center (AMC)</w:t>
            </w:r>
          </w:p>
        </w:tc>
      </w:tr>
      <w:tr w:rsidR="00EA5883" w:rsidRPr="002A3EEE" w14:paraId="43D0906E" w14:textId="77777777" w:rsidTr="00203CE7">
        <w:trPr>
          <w:cantSplit/>
          <w:trHeight w:val="300"/>
          <w:jc w:val="center"/>
        </w:trPr>
        <w:tc>
          <w:tcPr>
            <w:tcW w:w="4402" w:type="dxa"/>
            <w:noWrap/>
            <w:hideMark/>
          </w:tcPr>
          <w:p w14:paraId="45127D92" w14:textId="7EF3826F" w:rsidR="00EA5883" w:rsidRPr="002A3EEE" w:rsidRDefault="00EA5883">
            <w:pPr>
              <w:rPr>
                <w:rFonts w:asciiTheme="minorHAnsi" w:hAnsiTheme="minorHAnsi"/>
                <w:color w:val="000000" w:themeColor="text1"/>
              </w:rPr>
            </w:pPr>
            <w:r w:rsidRPr="002A3EEE">
              <w:rPr>
                <w:rFonts w:asciiTheme="minorHAnsi" w:hAnsiTheme="minorHAnsi"/>
                <w:color w:val="000000" w:themeColor="text1"/>
              </w:rPr>
              <w:t xml:space="preserve">2. Massachusetts General Hospital </w:t>
            </w:r>
            <w:r w:rsidR="00DA4ACA">
              <w:rPr>
                <w:rFonts w:asciiTheme="minorHAnsi" w:hAnsiTheme="minorHAnsi"/>
                <w:color w:val="000000" w:themeColor="text1"/>
              </w:rPr>
              <w:t>(MGH)</w:t>
            </w:r>
          </w:p>
        </w:tc>
        <w:tc>
          <w:tcPr>
            <w:tcW w:w="3960" w:type="dxa"/>
            <w:noWrap/>
            <w:hideMark/>
          </w:tcPr>
          <w:p w14:paraId="716827ED" w14:textId="77777777" w:rsidR="00EA5883" w:rsidRPr="002A3EEE" w:rsidRDefault="00EA5883">
            <w:pPr>
              <w:rPr>
                <w:rFonts w:asciiTheme="minorHAnsi" w:hAnsiTheme="minorHAnsi"/>
                <w:color w:val="000000" w:themeColor="text1"/>
              </w:rPr>
            </w:pPr>
            <w:r w:rsidRPr="002A3EEE">
              <w:rPr>
                <w:rFonts w:asciiTheme="minorHAnsi" w:hAnsiTheme="minorHAnsi"/>
                <w:color w:val="000000" w:themeColor="text1"/>
              </w:rPr>
              <w:t xml:space="preserve">Academic Medical Center </w:t>
            </w:r>
          </w:p>
        </w:tc>
      </w:tr>
      <w:tr w:rsidR="00EA5883" w:rsidRPr="002A3EEE" w14:paraId="6A212674" w14:textId="77777777" w:rsidTr="00203CE7">
        <w:trPr>
          <w:cantSplit/>
          <w:trHeight w:val="300"/>
          <w:jc w:val="center"/>
        </w:trPr>
        <w:tc>
          <w:tcPr>
            <w:tcW w:w="4402" w:type="dxa"/>
            <w:noWrap/>
            <w:hideMark/>
          </w:tcPr>
          <w:p w14:paraId="3341A401" w14:textId="77777777" w:rsidR="00EA5883" w:rsidRPr="002A3EEE" w:rsidRDefault="00EA5883">
            <w:pPr>
              <w:rPr>
                <w:rFonts w:asciiTheme="minorHAnsi" w:hAnsiTheme="minorHAnsi"/>
                <w:color w:val="000000" w:themeColor="text1"/>
              </w:rPr>
            </w:pPr>
            <w:r w:rsidRPr="002A3EEE">
              <w:rPr>
                <w:rFonts w:asciiTheme="minorHAnsi" w:hAnsiTheme="minorHAnsi"/>
                <w:color w:val="000000" w:themeColor="text1"/>
              </w:rPr>
              <w:t>3. Massachusetts Eye and Ear Infirmary</w:t>
            </w:r>
          </w:p>
        </w:tc>
        <w:tc>
          <w:tcPr>
            <w:tcW w:w="3960" w:type="dxa"/>
            <w:noWrap/>
            <w:hideMark/>
          </w:tcPr>
          <w:p w14:paraId="783D7E3F" w14:textId="77777777" w:rsidR="00EA5883" w:rsidRPr="002A3EEE" w:rsidRDefault="00EA5883">
            <w:pPr>
              <w:rPr>
                <w:rFonts w:asciiTheme="minorHAnsi" w:hAnsiTheme="minorHAnsi"/>
                <w:color w:val="000000" w:themeColor="text1"/>
              </w:rPr>
            </w:pPr>
            <w:r w:rsidRPr="002A3EEE">
              <w:rPr>
                <w:rFonts w:asciiTheme="minorHAnsi" w:hAnsiTheme="minorHAnsi"/>
                <w:color w:val="000000" w:themeColor="text1"/>
              </w:rPr>
              <w:t>Specialty Hospital</w:t>
            </w:r>
          </w:p>
        </w:tc>
      </w:tr>
      <w:tr w:rsidR="00EA5883" w:rsidRPr="002A3EEE" w14:paraId="69EB23EC" w14:textId="77777777" w:rsidTr="00203CE7">
        <w:trPr>
          <w:cantSplit/>
          <w:trHeight w:val="300"/>
          <w:jc w:val="center"/>
        </w:trPr>
        <w:tc>
          <w:tcPr>
            <w:tcW w:w="4402" w:type="dxa"/>
            <w:noWrap/>
            <w:hideMark/>
          </w:tcPr>
          <w:p w14:paraId="14CD1BD1" w14:textId="77777777" w:rsidR="00EA5883" w:rsidRPr="002A3EEE" w:rsidRDefault="00EA5883">
            <w:pPr>
              <w:rPr>
                <w:rFonts w:asciiTheme="minorHAnsi" w:hAnsiTheme="minorHAnsi"/>
                <w:color w:val="000000" w:themeColor="text1"/>
              </w:rPr>
            </w:pPr>
            <w:r w:rsidRPr="002A3EEE">
              <w:rPr>
                <w:rFonts w:asciiTheme="minorHAnsi" w:hAnsiTheme="minorHAnsi"/>
                <w:color w:val="000000" w:themeColor="text1"/>
              </w:rPr>
              <w:t>4. Brigham and Women’s Faulkner Hospital</w:t>
            </w:r>
          </w:p>
        </w:tc>
        <w:tc>
          <w:tcPr>
            <w:tcW w:w="3960" w:type="dxa"/>
            <w:noWrap/>
            <w:hideMark/>
          </w:tcPr>
          <w:p w14:paraId="1BB0D514" w14:textId="77777777" w:rsidR="00EA5883" w:rsidRPr="002A3EEE" w:rsidRDefault="00EA5883">
            <w:pPr>
              <w:rPr>
                <w:rFonts w:asciiTheme="minorHAnsi" w:hAnsiTheme="minorHAnsi"/>
                <w:color w:val="000000" w:themeColor="text1"/>
              </w:rPr>
            </w:pPr>
            <w:r w:rsidRPr="002A3EEE">
              <w:rPr>
                <w:rFonts w:asciiTheme="minorHAnsi" w:hAnsiTheme="minorHAnsi"/>
                <w:color w:val="000000" w:themeColor="text1"/>
              </w:rPr>
              <w:t>Community Hospital</w:t>
            </w:r>
          </w:p>
        </w:tc>
      </w:tr>
      <w:tr w:rsidR="00EA5883" w:rsidRPr="002A3EEE" w14:paraId="052EBA30" w14:textId="77777777" w:rsidTr="00203CE7">
        <w:trPr>
          <w:cantSplit/>
          <w:trHeight w:val="300"/>
          <w:jc w:val="center"/>
        </w:trPr>
        <w:tc>
          <w:tcPr>
            <w:tcW w:w="4402" w:type="dxa"/>
            <w:noWrap/>
            <w:hideMark/>
          </w:tcPr>
          <w:p w14:paraId="7CCE15C2" w14:textId="77777777" w:rsidR="00EA5883" w:rsidRPr="002A3EEE" w:rsidRDefault="00EA5883">
            <w:pPr>
              <w:rPr>
                <w:rFonts w:asciiTheme="minorHAnsi" w:hAnsiTheme="minorHAnsi"/>
                <w:color w:val="000000" w:themeColor="text1"/>
              </w:rPr>
            </w:pPr>
            <w:r w:rsidRPr="002A3EEE">
              <w:rPr>
                <w:rFonts w:asciiTheme="minorHAnsi" w:hAnsiTheme="minorHAnsi"/>
                <w:color w:val="000000" w:themeColor="text1"/>
              </w:rPr>
              <w:t>5. Newton-Wellesley Hospital</w:t>
            </w:r>
          </w:p>
        </w:tc>
        <w:tc>
          <w:tcPr>
            <w:tcW w:w="3960" w:type="dxa"/>
            <w:noWrap/>
            <w:hideMark/>
          </w:tcPr>
          <w:p w14:paraId="0925AB71" w14:textId="77777777" w:rsidR="00EA5883" w:rsidRPr="002A3EEE" w:rsidRDefault="00EA5883">
            <w:pPr>
              <w:rPr>
                <w:rFonts w:asciiTheme="minorHAnsi" w:hAnsiTheme="minorHAnsi"/>
                <w:color w:val="000000" w:themeColor="text1"/>
              </w:rPr>
            </w:pPr>
            <w:r w:rsidRPr="002A3EEE">
              <w:rPr>
                <w:rFonts w:asciiTheme="minorHAnsi" w:hAnsiTheme="minorHAnsi"/>
                <w:color w:val="000000" w:themeColor="text1"/>
              </w:rPr>
              <w:t>Community Hospital</w:t>
            </w:r>
          </w:p>
        </w:tc>
      </w:tr>
      <w:tr w:rsidR="00EA5883" w:rsidRPr="002A3EEE" w14:paraId="0A56C772" w14:textId="77777777" w:rsidTr="00203CE7">
        <w:trPr>
          <w:cantSplit/>
          <w:trHeight w:val="300"/>
          <w:jc w:val="center"/>
        </w:trPr>
        <w:tc>
          <w:tcPr>
            <w:tcW w:w="4402" w:type="dxa"/>
            <w:noWrap/>
            <w:hideMark/>
          </w:tcPr>
          <w:p w14:paraId="6CA97663" w14:textId="77777777" w:rsidR="00EA5883" w:rsidRPr="002A3EEE" w:rsidRDefault="00EA5883">
            <w:pPr>
              <w:rPr>
                <w:rFonts w:asciiTheme="minorHAnsi" w:hAnsiTheme="minorHAnsi"/>
                <w:color w:val="000000" w:themeColor="text1"/>
              </w:rPr>
            </w:pPr>
            <w:r w:rsidRPr="002A3EEE">
              <w:rPr>
                <w:rFonts w:asciiTheme="minorHAnsi" w:hAnsiTheme="minorHAnsi"/>
                <w:color w:val="000000" w:themeColor="text1"/>
              </w:rPr>
              <w:t>6. Cooley Dickinson Hospital</w:t>
            </w:r>
          </w:p>
        </w:tc>
        <w:tc>
          <w:tcPr>
            <w:tcW w:w="3960" w:type="dxa"/>
            <w:noWrap/>
            <w:hideMark/>
          </w:tcPr>
          <w:p w14:paraId="3C2FA196" w14:textId="77777777" w:rsidR="00EA5883" w:rsidRPr="002A3EEE" w:rsidRDefault="00EA5883">
            <w:pPr>
              <w:rPr>
                <w:rFonts w:asciiTheme="minorHAnsi" w:hAnsiTheme="minorHAnsi"/>
                <w:color w:val="000000" w:themeColor="text1"/>
              </w:rPr>
            </w:pPr>
            <w:r w:rsidRPr="002A3EEE">
              <w:rPr>
                <w:rFonts w:asciiTheme="minorHAnsi" w:hAnsiTheme="minorHAnsi"/>
                <w:color w:val="000000" w:themeColor="text1"/>
              </w:rPr>
              <w:t>Community High Public Payer Hospital</w:t>
            </w:r>
          </w:p>
        </w:tc>
      </w:tr>
      <w:tr w:rsidR="00EA5883" w:rsidRPr="002A3EEE" w14:paraId="2F1F5F7F" w14:textId="77777777" w:rsidTr="00203CE7">
        <w:trPr>
          <w:cantSplit/>
          <w:trHeight w:val="300"/>
          <w:jc w:val="center"/>
        </w:trPr>
        <w:tc>
          <w:tcPr>
            <w:tcW w:w="4402" w:type="dxa"/>
            <w:noWrap/>
            <w:hideMark/>
          </w:tcPr>
          <w:p w14:paraId="3E2E0C9F" w14:textId="77777777" w:rsidR="00EA5883" w:rsidRPr="002A3EEE" w:rsidRDefault="00EA5883">
            <w:pPr>
              <w:rPr>
                <w:rFonts w:asciiTheme="minorHAnsi" w:hAnsiTheme="minorHAnsi"/>
                <w:color w:val="000000" w:themeColor="text1"/>
              </w:rPr>
            </w:pPr>
            <w:r w:rsidRPr="002A3EEE">
              <w:rPr>
                <w:rFonts w:asciiTheme="minorHAnsi" w:hAnsiTheme="minorHAnsi"/>
                <w:color w:val="000000" w:themeColor="text1"/>
              </w:rPr>
              <w:t>7. Martha’s Vineyard Hospital</w:t>
            </w:r>
          </w:p>
        </w:tc>
        <w:tc>
          <w:tcPr>
            <w:tcW w:w="3960" w:type="dxa"/>
            <w:noWrap/>
            <w:hideMark/>
          </w:tcPr>
          <w:p w14:paraId="07A7100C" w14:textId="77777777" w:rsidR="00EA5883" w:rsidRPr="002A3EEE" w:rsidRDefault="00EA5883">
            <w:pPr>
              <w:rPr>
                <w:rFonts w:asciiTheme="minorHAnsi" w:hAnsiTheme="minorHAnsi"/>
                <w:color w:val="000000" w:themeColor="text1"/>
              </w:rPr>
            </w:pPr>
            <w:r w:rsidRPr="002A3EEE">
              <w:rPr>
                <w:rFonts w:asciiTheme="minorHAnsi" w:hAnsiTheme="minorHAnsi"/>
                <w:color w:val="000000" w:themeColor="text1"/>
              </w:rPr>
              <w:t>Community Hospital</w:t>
            </w:r>
          </w:p>
        </w:tc>
      </w:tr>
      <w:tr w:rsidR="00EA5883" w:rsidRPr="002A3EEE" w14:paraId="3ED87529" w14:textId="77777777" w:rsidTr="00203CE7">
        <w:trPr>
          <w:cantSplit/>
          <w:trHeight w:val="300"/>
          <w:jc w:val="center"/>
        </w:trPr>
        <w:tc>
          <w:tcPr>
            <w:tcW w:w="4402" w:type="dxa"/>
            <w:noWrap/>
            <w:hideMark/>
          </w:tcPr>
          <w:p w14:paraId="619F5B62" w14:textId="77777777" w:rsidR="00EA5883" w:rsidRPr="002A3EEE" w:rsidRDefault="00EA5883">
            <w:pPr>
              <w:rPr>
                <w:rFonts w:asciiTheme="minorHAnsi" w:hAnsiTheme="minorHAnsi"/>
                <w:color w:val="000000" w:themeColor="text1"/>
              </w:rPr>
            </w:pPr>
            <w:r w:rsidRPr="002A3EEE">
              <w:rPr>
                <w:rFonts w:asciiTheme="minorHAnsi" w:hAnsiTheme="minorHAnsi"/>
                <w:color w:val="000000" w:themeColor="text1"/>
              </w:rPr>
              <w:t>8. Nantucket Cottage Hospital</w:t>
            </w:r>
          </w:p>
        </w:tc>
        <w:tc>
          <w:tcPr>
            <w:tcW w:w="3960" w:type="dxa"/>
            <w:noWrap/>
            <w:hideMark/>
          </w:tcPr>
          <w:p w14:paraId="3981AD0C" w14:textId="77777777" w:rsidR="00EA5883" w:rsidRPr="002A3EEE" w:rsidRDefault="00EA5883">
            <w:pPr>
              <w:rPr>
                <w:rFonts w:asciiTheme="minorHAnsi" w:hAnsiTheme="minorHAnsi"/>
                <w:color w:val="000000" w:themeColor="text1"/>
              </w:rPr>
            </w:pPr>
            <w:r w:rsidRPr="002A3EEE">
              <w:rPr>
                <w:rFonts w:asciiTheme="minorHAnsi" w:hAnsiTheme="minorHAnsi"/>
                <w:color w:val="000000" w:themeColor="text1"/>
              </w:rPr>
              <w:t>Community Hospital</w:t>
            </w:r>
          </w:p>
        </w:tc>
      </w:tr>
      <w:tr w:rsidR="00EA5883" w:rsidRPr="002A3EEE" w14:paraId="34DE946D" w14:textId="77777777" w:rsidTr="00203CE7">
        <w:trPr>
          <w:cantSplit/>
          <w:trHeight w:val="300"/>
          <w:jc w:val="center"/>
        </w:trPr>
        <w:tc>
          <w:tcPr>
            <w:tcW w:w="4402" w:type="dxa"/>
            <w:noWrap/>
            <w:hideMark/>
          </w:tcPr>
          <w:p w14:paraId="11136A88" w14:textId="77777777" w:rsidR="00EA5883" w:rsidRPr="002A3EEE" w:rsidRDefault="00EA5883">
            <w:pPr>
              <w:rPr>
                <w:rFonts w:asciiTheme="minorHAnsi" w:hAnsiTheme="minorHAnsi"/>
                <w:color w:val="000000" w:themeColor="text1"/>
              </w:rPr>
            </w:pPr>
            <w:r w:rsidRPr="002A3EEE">
              <w:rPr>
                <w:rFonts w:asciiTheme="minorHAnsi" w:hAnsiTheme="minorHAnsi"/>
                <w:color w:val="000000" w:themeColor="text1"/>
              </w:rPr>
              <w:t>9. Salem Hospital</w:t>
            </w:r>
          </w:p>
        </w:tc>
        <w:tc>
          <w:tcPr>
            <w:tcW w:w="3960" w:type="dxa"/>
            <w:noWrap/>
            <w:hideMark/>
          </w:tcPr>
          <w:p w14:paraId="30EAA592" w14:textId="77777777" w:rsidR="00EA5883" w:rsidRPr="002A3EEE" w:rsidRDefault="00EA5883">
            <w:pPr>
              <w:rPr>
                <w:rFonts w:asciiTheme="minorHAnsi" w:hAnsiTheme="minorHAnsi"/>
                <w:color w:val="000000" w:themeColor="text1"/>
              </w:rPr>
            </w:pPr>
            <w:r w:rsidRPr="002A3EEE">
              <w:rPr>
                <w:rFonts w:asciiTheme="minorHAnsi" w:hAnsiTheme="minorHAnsi"/>
                <w:color w:val="000000" w:themeColor="text1"/>
              </w:rPr>
              <w:t>Community High Public Payer Hospital</w:t>
            </w:r>
          </w:p>
        </w:tc>
      </w:tr>
    </w:tbl>
    <w:p w14:paraId="2FE4A574" w14:textId="77777777" w:rsidR="00672A6C" w:rsidRDefault="00672A6C"/>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4402"/>
        <w:gridCol w:w="3960"/>
      </w:tblGrid>
      <w:tr w:rsidR="00EA5883" w:rsidRPr="002A3EEE" w14:paraId="02F34F88" w14:textId="77777777" w:rsidTr="00672A6C">
        <w:trPr>
          <w:cantSplit/>
          <w:trHeight w:val="300"/>
          <w:tblHeader/>
          <w:jc w:val="center"/>
        </w:trPr>
        <w:tc>
          <w:tcPr>
            <w:tcW w:w="4402" w:type="dxa"/>
            <w:shd w:val="clear" w:color="auto" w:fill="E5FFFF"/>
            <w:noWrap/>
            <w:hideMark/>
          </w:tcPr>
          <w:p w14:paraId="59F0F0E3" w14:textId="77777777" w:rsidR="00EA5883" w:rsidRPr="002A3EEE" w:rsidRDefault="00EA5883">
            <w:pPr>
              <w:rPr>
                <w:rFonts w:asciiTheme="minorHAnsi" w:hAnsiTheme="minorHAnsi"/>
                <w:b/>
                <w:color w:val="000000" w:themeColor="text1"/>
              </w:rPr>
            </w:pPr>
            <w:r w:rsidRPr="002A3EEE">
              <w:rPr>
                <w:rFonts w:asciiTheme="minorHAnsi" w:hAnsiTheme="minorHAnsi"/>
                <w:b/>
                <w:color w:val="000000" w:themeColor="text1"/>
              </w:rPr>
              <w:t xml:space="preserve">Non-Acute Hospital </w:t>
            </w:r>
          </w:p>
        </w:tc>
        <w:tc>
          <w:tcPr>
            <w:tcW w:w="3960" w:type="dxa"/>
            <w:shd w:val="clear" w:color="auto" w:fill="E5FFFF"/>
            <w:noWrap/>
            <w:hideMark/>
          </w:tcPr>
          <w:p w14:paraId="0B5625C3" w14:textId="77777777" w:rsidR="00EA5883" w:rsidRPr="002A3EEE" w:rsidRDefault="00EA5883">
            <w:pPr>
              <w:rPr>
                <w:rFonts w:asciiTheme="minorHAnsi" w:hAnsiTheme="minorHAnsi"/>
                <w:b/>
                <w:color w:val="000000" w:themeColor="text1"/>
              </w:rPr>
            </w:pPr>
            <w:r w:rsidRPr="002A3EEE">
              <w:rPr>
                <w:rFonts w:asciiTheme="minorHAnsi" w:hAnsiTheme="minorHAnsi"/>
                <w:b/>
                <w:color w:val="000000" w:themeColor="text1"/>
              </w:rPr>
              <w:t> </w:t>
            </w:r>
          </w:p>
        </w:tc>
      </w:tr>
      <w:tr w:rsidR="00EA5883" w:rsidRPr="002A3EEE" w14:paraId="5CBEC7E0" w14:textId="77777777" w:rsidTr="00203CE7">
        <w:trPr>
          <w:cantSplit/>
          <w:trHeight w:val="300"/>
          <w:jc w:val="center"/>
        </w:trPr>
        <w:tc>
          <w:tcPr>
            <w:tcW w:w="4402" w:type="dxa"/>
            <w:noWrap/>
            <w:hideMark/>
          </w:tcPr>
          <w:p w14:paraId="4B3ED5E5" w14:textId="77777777" w:rsidR="00EA5883" w:rsidRPr="002A3EEE" w:rsidRDefault="00EA5883">
            <w:pPr>
              <w:rPr>
                <w:rFonts w:asciiTheme="minorHAnsi" w:hAnsiTheme="minorHAnsi"/>
                <w:color w:val="000000" w:themeColor="text1"/>
              </w:rPr>
            </w:pPr>
            <w:r w:rsidRPr="002A3EEE">
              <w:rPr>
                <w:rFonts w:asciiTheme="minorHAnsi" w:hAnsiTheme="minorHAnsi"/>
                <w:color w:val="000000" w:themeColor="text1"/>
              </w:rPr>
              <w:t>1. McLean Hospital</w:t>
            </w:r>
          </w:p>
        </w:tc>
        <w:tc>
          <w:tcPr>
            <w:tcW w:w="3960" w:type="dxa"/>
            <w:noWrap/>
            <w:hideMark/>
          </w:tcPr>
          <w:p w14:paraId="44A08298" w14:textId="77777777" w:rsidR="00EA5883" w:rsidRPr="002A3EEE" w:rsidRDefault="00EA5883">
            <w:pPr>
              <w:rPr>
                <w:rFonts w:asciiTheme="minorHAnsi" w:hAnsiTheme="minorHAnsi"/>
                <w:color w:val="000000" w:themeColor="text1"/>
              </w:rPr>
            </w:pPr>
            <w:r w:rsidRPr="002A3EEE">
              <w:rPr>
                <w:rFonts w:asciiTheme="minorHAnsi" w:hAnsiTheme="minorHAnsi"/>
                <w:color w:val="000000" w:themeColor="text1"/>
              </w:rPr>
              <w:t>Psychiatric Hospital</w:t>
            </w:r>
          </w:p>
        </w:tc>
      </w:tr>
      <w:tr w:rsidR="00EA5883" w:rsidRPr="002A3EEE" w14:paraId="361806FC" w14:textId="77777777" w:rsidTr="00203CE7">
        <w:trPr>
          <w:cantSplit/>
          <w:trHeight w:val="300"/>
          <w:jc w:val="center"/>
        </w:trPr>
        <w:tc>
          <w:tcPr>
            <w:tcW w:w="4402" w:type="dxa"/>
            <w:noWrap/>
            <w:hideMark/>
          </w:tcPr>
          <w:p w14:paraId="1E06C13B" w14:textId="77777777" w:rsidR="00EA5883" w:rsidRPr="002A3EEE" w:rsidRDefault="00EA5883">
            <w:pPr>
              <w:rPr>
                <w:rFonts w:asciiTheme="minorHAnsi" w:hAnsiTheme="minorHAnsi"/>
                <w:color w:val="000000" w:themeColor="text1"/>
              </w:rPr>
            </w:pPr>
            <w:r w:rsidRPr="002A3EEE">
              <w:rPr>
                <w:rFonts w:asciiTheme="minorHAnsi" w:hAnsiTheme="minorHAnsi"/>
                <w:color w:val="000000" w:themeColor="text1"/>
              </w:rPr>
              <w:t xml:space="preserve">2. Spaulding Rehabilitation Hospital </w:t>
            </w:r>
          </w:p>
        </w:tc>
        <w:tc>
          <w:tcPr>
            <w:tcW w:w="3960" w:type="dxa"/>
            <w:noWrap/>
            <w:hideMark/>
          </w:tcPr>
          <w:p w14:paraId="042FBAA5" w14:textId="77777777" w:rsidR="00EA5883" w:rsidRPr="002A3EEE" w:rsidRDefault="00EA5883">
            <w:pPr>
              <w:rPr>
                <w:rFonts w:asciiTheme="minorHAnsi" w:hAnsiTheme="minorHAnsi"/>
                <w:color w:val="000000" w:themeColor="text1"/>
              </w:rPr>
            </w:pPr>
            <w:r w:rsidRPr="002A3EEE">
              <w:rPr>
                <w:rFonts w:asciiTheme="minorHAnsi" w:hAnsiTheme="minorHAnsi"/>
                <w:color w:val="000000" w:themeColor="text1"/>
              </w:rPr>
              <w:t>Rehabilitation Hospital</w:t>
            </w:r>
          </w:p>
        </w:tc>
      </w:tr>
    </w:tbl>
    <w:p w14:paraId="52D0D07B" w14:textId="77777777" w:rsidR="00EA5883" w:rsidRPr="002A3EEE" w:rsidRDefault="00EA5883" w:rsidP="00EA5883">
      <w:pPr>
        <w:rPr>
          <w:rFonts w:asciiTheme="minorHAnsi" w:hAnsiTheme="minorHAnsi"/>
          <w:color w:val="000000" w:themeColor="text1"/>
        </w:rPr>
      </w:pPr>
    </w:p>
    <w:p w14:paraId="7A7D752B" w14:textId="6AC3A283" w:rsidR="00EA5883" w:rsidRPr="002A3EEE" w:rsidRDefault="00EA5883" w:rsidP="00EA5883">
      <w:pPr>
        <w:rPr>
          <w:rFonts w:asciiTheme="minorHAnsi" w:hAnsiTheme="minorHAnsi"/>
          <w:color w:val="000000" w:themeColor="text1"/>
        </w:rPr>
      </w:pPr>
      <w:r>
        <w:rPr>
          <w:rFonts w:asciiTheme="minorHAnsi" w:hAnsiTheme="minorHAnsi"/>
          <w:color w:val="000000" w:themeColor="text1"/>
        </w:rPr>
        <w:t>MGB</w:t>
      </w:r>
      <w:r w:rsidRPr="002A3EEE">
        <w:rPr>
          <w:rFonts w:asciiTheme="minorHAnsi" w:hAnsiTheme="minorHAnsi"/>
          <w:color w:val="000000" w:themeColor="text1"/>
        </w:rPr>
        <w:t xml:space="preserve"> also operates a home health agency, Mass General Brigham Home Care,</w:t>
      </w:r>
      <w:r w:rsidR="00F72DBB">
        <w:rPr>
          <w:rFonts w:asciiTheme="minorHAnsi" w:hAnsiTheme="minorHAnsi"/>
          <w:color w:val="000000" w:themeColor="text1"/>
        </w:rPr>
        <w:t xml:space="preserve"> </w:t>
      </w:r>
      <w:r w:rsidRPr="002A3EEE">
        <w:rPr>
          <w:rFonts w:asciiTheme="minorHAnsi" w:hAnsiTheme="minorHAnsi"/>
          <w:color w:val="000000" w:themeColor="text1"/>
        </w:rPr>
        <w:t xml:space="preserve">and its physician network comprises approximately 7,500 employed and affiliated primary care and specialty care physicians. </w:t>
      </w:r>
      <w:r w:rsidR="00172237">
        <w:rPr>
          <w:rFonts w:asciiTheme="minorHAnsi" w:hAnsiTheme="minorHAnsi"/>
          <w:color w:val="000000" w:themeColor="text1"/>
        </w:rPr>
        <w:t>MGB</w:t>
      </w:r>
      <w:r w:rsidRPr="002A3EEE">
        <w:rPr>
          <w:rFonts w:asciiTheme="minorHAnsi" w:hAnsiTheme="minorHAnsi"/>
          <w:color w:val="000000" w:themeColor="text1"/>
        </w:rPr>
        <w:t xml:space="preserve"> also operates health insurance and administrative services products.</w:t>
      </w:r>
      <w:r w:rsidRPr="002A3EEE">
        <w:rPr>
          <w:rStyle w:val="FootnoteReference"/>
          <w:rFonts w:asciiTheme="minorHAnsi" w:hAnsiTheme="minorHAnsi"/>
          <w:color w:val="000000" w:themeColor="text1"/>
        </w:rPr>
        <w:footnoteReference w:id="3"/>
      </w:r>
      <w:r w:rsidRPr="002A3EEE" w:rsidDel="004B1635">
        <w:rPr>
          <w:rFonts w:asciiTheme="minorHAnsi" w:hAnsiTheme="minorHAnsi"/>
          <w:color w:val="000000" w:themeColor="text1"/>
        </w:rPr>
        <w:t xml:space="preserve"> </w:t>
      </w:r>
      <w:r w:rsidR="00E2069E">
        <w:rPr>
          <w:rFonts w:asciiTheme="minorHAnsi" w:hAnsiTheme="minorHAnsi"/>
          <w:color w:val="000000" w:themeColor="text1"/>
        </w:rPr>
        <w:t xml:space="preserve">MGB’s </w:t>
      </w:r>
      <w:r w:rsidR="00E2069E" w:rsidRPr="00E2069E">
        <w:rPr>
          <w:rFonts w:asciiTheme="minorHAnsi" w:hAnsiTheme="minorHAnsi"/>
          <w:szCs w:val="24"/>
        </w:rPr>
        <w:t xml:space="preserve">ownership interest in the joint venture is </w:t>
      </w:r>
      <w:r w:rsidR="00E2069E">
        <w:rPr>
          <w:rFonts w:asciiTheme="minorHAnsi" w:hAnsiTheme="minorHAnsi"/>
          <w:szCs w:val="24"/>
        </w:rPr>
        <w:t>7</w:t>
      </w:r>
      <w:r w:rsidR="00E2069E" w:rsidRPr="00E2069E">
        <w:rPr>
          <w:rFonts w:asciiTheme="minorHAnsi" w:hAnsiTheme="minorHAnsi"/>
          <w:szCs w:val="24"/>
        </w:rPr>
        <w:t>0%.</w:t>
      </w:r>
    </w:p>
    <w:p w14:paraId="3A04DA53" w14:textId="77777777" w:rsidR="00EA5883" w:rsidRDefault="00EA5883" w:rsidP="00EA5883">
      <w:pPr>
        <w:pStyle w:val="BodyText"/>
        <w:ind w:right="133"/>
        <w:rPr>
          <w:b/>
          <w:bCs/>
          <w:color w:val="000000" w:themeColor="text1"/>
          <w:highlight w:val="yellow"/>
        </w:rPr>
      </w:pPr>
    </w:p>
    <w:p w14:paraId="04C7D6C5" w14:textId="0186F9AB" w:rsidR="00EA5883" w:rsidRPr="00FA2282" w:rsidRDefault="00EA5883" w:rsidP="00FA2282">
      <w:pPr>
        <w:pStyle w:val="BodyText"/>
        <w:spacing w:before="1"/>
        <w:rPr>
          <w:rFonts w:asciiTheme="minorHAnsi" w:hAnsiTheme="minorHAnsi"/>
          <w:b/>
          <w:bCs/>
          <w:i/>
          <w:iCs/>
          <w:kern w:val="2"/>
        </w:rPr>
      </w:pPr>
      <w:r w:rsidRPr="00FA2282">
        <w:rPr>
          <w:rFonts w:asciiTheme="minorHAnsi" w:hAnsiTheme="minorHAnsi"/>
          <w:b/>
          <w:bCs/>
          <w:i/>
          <w:iCs/>
          <w:kern w:val="2"/>
        </w:rPr>
        <w:t>Regent Surgical Health, L.L.C.</w:t>
      </w:r>
    </w:p>
    <w:p w14:paraId="49051DAF" w14:textId="6740C27E" w:rsidR="00EA5883" w:rsidRPr="00E2069E" w:rsidRDefault="6F5C21EA" w:rsidP="6D717258">
      <w:pPr>
        <w:pStyle w:val="pf0"/>
        <w:spacing w:before="0" w:beforeAutospacing="0" w:after="120" w:afterAutospacing="0"/>
        <w:rPr>
          <w:rFonts w:asciiTheme="minorHAnsi" w:hAnsiTheme="minorHAnsi" w:cstheme="minorBidi"/>
        </w:rPr>
      </w:pPr>
      <w:r w:rsidRPr="6D717258">
        <w:rPr>
          <w:rFonts w:asciiTheme="minorHAnsi" w:hAnsiTheme="minorHAnsi" w:cstheme="minorBidi"/>
        </w:rPr>
        <w:t xml:space="preserve">Regent Surgical Health, LLC (Regent) </w:t>
      </w:r>
      <w:r w:rsidR="0A8CB607" w:rsidRPr="6D717258">
        <w:rPr>
          <w:rFonts w:asciiTheme="minorHAnsi" w:hAnsiTheme="minorHAnsi" w:cstheme="minorBidi"/>
        </w:rPr>
        <w:t xml:space="preserve">is a for-profit entity </w:t>
      </w:r>
      <w:r w:rsidRPr="6D717258">
        <w:rPr>
          <w:rFonts w:asciiTheme="minorHAnsi" w:hAnsiTheme="minorHAnsi" w:cstheme="minorBidi"/>
        </w:rPr>
        <w:t>founded in 2001. It currently operates or manages ambulatory surgery centers in 13 states.</w:t>
      </w:r>
      <w:r w:rsidR="005D7479" w:rsidRPr="6D717258">
        <w:rPr>
          <w:rStyle w:val="FootnoteReference"/>
          <w:rFonts w:asciiTheme="minorHAnsi" w:hAnsiTheme="minorHAnsi" w:cstheme="minorBidi"/>
        </w:rPr>
        <w:footnoteReference w:id="4"/>
      </w:r>
      <w:r w:rsidRPr="6D717258">
        <w:rPr>
          <w:rFonts w:asciiTheme="minorHAnsi" w:hAnsiTheme="minorHAnsi" w:cstheme="minorBidi"/>
        </w:rPr>
        <w:t xml:space="preserve"> </w:t>
      </w:r>
      <w:r w:rsidR="114A111F" w:rsidRPr="6D717258">
        <w:rPr>
          <w:rFonts w:asciiTheme="minorHAnsi" w:hAnsiTheme="minorHAnsi" w:cstheme="minorBidi"/>
        </w:rPr>
        <w:t xml:space="preserve">Services include gastroenterology, </w:t>
      </w:r>
      <w:r w:rsidR="114A111F" w:rsidRPr="6D717258">
        <w:rPr>
          <w:rFonts w:asciiTheme="minorHAnsi" w:hAnsiTheme="minorHAnsi" w:cstheme="minorBidi"/>
        </w:rPr>
        <w:lastRenderedPageBreak/>
        <w:t>ophthalmology, orthopedics (including total joint replacement), otolaryngology, pain management and general surgery. </w:t>
      </w:r>
      <w:r w:rsidR="27C63F53" w:rsidRPr="6D717258">
        <w:rPr>
          <w:rFonts w:asciiTheme="minorHAnsi" w:hAnsiTheme="minorHAnsi" w:cstheme="minorBidi"/>
        </w:rPr>
        <w:t>Regent’s ownership interest in the joint venture is 30%.</w:t>
      </w:r>
    </w:p>
    <w:p w14:paraId="563F07B2" w14:textId="77777777" w:rsidR="00D76DC2" w:rsidRPr="00C85257" w:rsidRDefault="00D76DC2" w:rsidP="00C316C3">
      <w:pPr>
        <w:pStyle w:val="BodyText"/>
        <w:rPr>
          <w:rFonts w:asciiTheme="minorHAnsi" w:hAnsiTheme="minorHAnsi"/>
          <w:highlight w:val="yellow"/>
        </w:rPr>
      </w:pPr>
    </w:p>
    <w:p w14:paraId="38015343" w14:textId="6D41CDB9" w:rsidR="00B447F3" w:rsidRPr="006274EB" w:rsidRDefault="006274EB" w:rsidP="00C316C3">
      <w:pPr>
        <w:pStyle w:val="BodyText"/>
        <w:rPr>
          <w:b/>
          <w:bCs/>
        </w:rPr>
      </w:pPr>
      <w:r w:rsidRPr="006274EB">
        <w:rPr>
          <w:b/>
          <w:bCs/>
        </w:rPr>
        <w:t>Proposed Project</w:t>
      </w:r>
    </w:p>
    <w:p w14:paraId="7E303CA2" w14:textId="3464D8E4" w:rsidR="00A87F8B" w:rsidRDefault="00CE5698" w:rsidP="008856B4">
      <w:pPr>
        <w:pStyle w:val="BodyText"/>
        <w:rPr>
          <w:rFonts w:asciiTheme="minorHAnsi" w:hAnsiTheme="minorHAnsi"/>
          <w:sz w:val="21"/>
          <w:szCs w:val="21"/>
        </w:rPr>
      </w:pPr>
      <w:r w:rsidRPr="00573FF8">
        <w:t xml:space="preserve">The Applicant </w:t>
      </w:r>
      <w:r w:rsidR="00915E67" w:rsidRPr="00573FF8">
        <w:t>seeks to establish a</w:t>
      </w:r>
      <w:r w:rsidR="001420FF" w:rsidRPr="00573FF8">
        <w:t xml:space="preserve"> </w:t>
      </w:r>
      <w:r w:rsidR="001420FF" w:rsidRPr="0506BC97">
        <w:rPr>
          <w:rFonts w:asciiTheme="minorHAnsi" w:hAnsiTheme="minorHAnsi"/>
          <w:kern w:val="2"/>
        </w:rPr>
        <w:t xml:space="preserve">freestanding single-specialty ASC </w:t>
      </w:r>
      <w:r w:rsidR="00573FF8" w:rsidRPr="0506BC97">
        <w:rPr>
          <w:rFonts w:asciiTheme="minorHAnsi" w:hAnsiTheme="minorHAnsi"/>
          <w:kern w:val="2"/>
        </w:rPr>
        <w:t xml:space="preserve">in Cambridge focusing on endoscopy. </w:t>
      </w:r>
      <w:r w:rsidR="00915E67" w:rsidRPr="0506BC97">
        <w:rPr>
          <w:rFonts w:asciiTheme="minorHAnsi" w:hAnsiTheme="minorHAnsi"/>
        </w:rPr>
        <w:t>The proposed ASC will operate three procedure rooms and ten pre/post-operative bays in 6,095 square feet of leased space.</w:t>
      </w:r>
      <w:r w:rsidR="00BE550E">
        <w:rPr>
          <w:rFonts w:asciiTheme="minorHAnsi" w:hAnsiTheme="minorHAnsi"/>
        </w:rPr>
        <w:t xml:space="preserve"> </w:t>
      </w:r>
      <w:r w:rsidR="00BE550E" w:rsidRPr="004D1982">
        <w:rPr>
          <w:rFonts w:asciiTheme="minorHAnsi" w:hAnsiTheme="minorHAnsi"/>
        </w:rPr>
        <w:t xml:space="preserve">The ASC will be open five days per week (Monday – Friday), </w:t>
      </w:r>
      <w:r w:rsidR="00EF744C">
        <w:rPr>
          <w:rFonts w:asciiTheme="minorHAnsi" w:hAnsiTheme="minorHAnsi"/>
        </w:rPr>
        <w:t xml:space="preserve">with </w:t>
      </w:r>
      <w:r w:rsidR="00BE550E" w:rsidRPr="004D1982">
        <w:rPr>
          <w:rFonts w:asciiTheme="minorHAnsi" w:hAnsiTheme="minorHAnsi"/>
        </w:rPr>
        <w:t>an annual maximum capacity for the ASC of 9,000</w:t>
      </w:r>
      <w:r w:rsidR="00EF744C">
        <w:rPr>
          <w:rFonts w:asciiTheme="minorHAnsi" w:hAnsiTheme="minorHAnsi"/>
        </w:rPr>
        <w:t xml:space="preserve"> procedures</w:t>
      </w:r>
      <w:r w:rsidR="00BE550E" w:rsidRPr="004D1982">
        <w:rPr>
          <w:rFonts w:asciiTheme="minorHAnsi" w:hAnsiTheme="minorHAnsi"/>
        </w:rPr>
        <w:t xml:space="preserve">. </w:t>
      </w:r>
      <w:r w:rsidR="00915E67" w:rsidRPr="0506BC97">
        <w:rPr>
          <w:rFonts w:asciiTheme="minorHAnsi" w:hAnsiTheme="minorHAnsi"/>
        </w:rPr>
        <w:t xml:space="preserve"> </w:t>
      </w:r>
      <w:r w:rsidR="00B60EFE" w:rsidRPr="0506BC97">
        <w:rPr>
          <w:rFonts w:asciiTheme="minorHAnsi" w:hAnsiTheme="minorHAnsi"/>
        </w:rPr>
        <w:t xml:space="preserve">The </w:t>
      </w:r>
      <w:r w:rsidR="00F5280D" w:rsidRPr="0506BC97">
        <w:rPr>
          <w:rFonts w:asciiTheme="minorHAnsi" w:hAnsiTheme="minorHAnsi"/>
        </w:rPr>
        <w:t>Proposed Project aims to</w:t>
      </w:r>
      <w:r w:rsidR="00C75877" w:rsidRPr="0506BC97">
        <w:rPr>
          <w:rFonts w:asciiTheme="minorHAnsi" w:hAnsiTheme="minorHAnsi"/>
        </w:rPr>
        <w:t xml:space="preserve"> reduce endoscopy volume at the MGB</w:t>
      </w:r>
      <w:r w:rsidR="00B9205B" w:rsidRPr="0506BC97">
        <w:rPr>
          <w:rFonts w:asciiTheme="minorHAnsi" w:hAnsiTheme="minorHAnsi"/>
        </w:rPr>
        <w:t xml:space="preserve"> Brigham and Women’s Hospital (BWH) and Massachusetts General Hospital (MGH) Academic Medical Centers</w:t>
      </w:r>
      <w:r w:rsidR="00C75877" w:rsidRPr="0506BC97">
        <w:rPr>
          <w:rFonts w:asciiTheme="minorHAnsi" w:hAnsiTheme="minorHAnsi"/>
        </w:rPr>
        <w:t xml:space="preserve"> </w:t>
      </w:r>
      <w:r w:rsidR="00B9205B" w:rsidRPr="0506BC97">
        <w:rPr>
          <w:rFonts w:asciiTheme="minorHAnsi" w:hAnsiTheme="minorHAnsi"/>
        </w:rPr>
        <w:t>(</w:t>
      </w:r>
      <w:r w:rsidR="00C75877" w:rsidRPr="0506BC97">
        <w:rPr>
          <w:rFonts w:asciiTheme="minorHAnsi" w:hAnsiTheme="minorHAnsi"/>
        </w:rPr>
        <w:t>AMCs</w:t>
      </w:r>
      <w:r w:rsidR="00B9205B" w:rsidRPr="0506BC97">
        <w:rPr>
          <w:rFonts w:asciiTheme="minorHAnsi" w:hAnsiTheme="minorHAnsi"/>
        </w:rPr>
        <w:t>)</w:t>
      </w:r>
      <w:r w:rsidR="00033D2B" w:rsidRPr="0506BC97">
        <w:rPr>
          <w:rFonts w:asciiTheme="minorHAnsi" w:hAnsiTheme="minorHAnsi"/>
        </w:rPr>
        <w:t xml:space="preserve">, </w:t>
      </w:r>
      <w:r w:rsidR="006E101B" w:rsidRPr="0506BC97">
        <w:rPr>
          <w:rFonts w:asciiTheme="minorHAnsi" w:hAnsiTheme="minorHAnsi"/>
        </w:rPr>
        <w:t>which</w:t>
      </w:r>
      <w:r w:rsidR="00D216AC" w:rsidRPr="0506BC97">
        <w:rPr>
          <w:rFonts w:asciiTheme="minorHAnsi" w:hAnsiTheme="minorHAnsi"/>
        </w:rPr>
        <w:t xml:space="preserve"> the Applicant asserts</w:t>
      </w:r>
      <w:r w:rsidR="006E101B" w:rsidRPr="0506BC97">
        <w:rPr>
          <w:rFonts w:asciiTheme="minorHAnsi" w:hAnsiTheme="minorHAnsi"/>
        </w:rPr>
        <w:t xml:space="preserve"> </w:t>
      </w:r>
      <w:r w:rsidR="008856B4" w:rsidRPr="0506BC97">
        <w:rPr>
          <w:rFonts w:asciiTheme="minorHAnsi" w:hAnsiTheme="minorHAnsi"/>
        </w:rPr>
        <w:t>will alleviate the growing backlog of patients who are overdue for screening colonoscopies and achieve significant cost savings compared to the AMC setting.</w:t>
      </w:r>
      <w:r w:rsidR="00325BBB" w:rsidRPr="0506BC97">
        <w:rPr>
          <w:rFonts w:asciiTheme="minorHAnsi" w:hAnsiTheme="minorHAnsi"/>
        </w:rPr>
        <w:t xml:space="preserve"> The Proposed Project is part of a system-wide initiative to </w:t>
      </w:r>
      <w:r w:rsidR="002B1E73" w:rsidRPr="0506BC97">
        <w:rPr>
          <w:rFonts w:asciiTheme="minorHAnsi" w:hAnsiTheme="minorHAnsi"/>
        </w:rPr>
        <w:t>address the backlog of endoscopy patients</w:t>
      </w:r>
      <w:r w:rsidR="0035727E" w:rsidRPr="0506BC97">
        <w:rPr>
          <w:rFonts w:asciiTheme="minorHAnsi" w:hAnsiTheme="minorHAnsi"/>
        </w:rPr>
        <w:t xml:space="preserve"> and notes that </w:t>
      </w:r>
      <w:r w:rsidR="0035727E" w:rsidRPr="00FC54A0">
        <w:rPr>
          <w:rFonts w:asciiTheme="minorHAnsi" w:hAnsiTheme="minorHAnsi"/>
        </w:rPr>
        <w:t>capacity constraints at all MGB locations prevent the AMCs from shifting volume</w:t>
      </w:r>
      <w:r w:rsidR="0048263E" w:rsidRPr="00FC54A0">
        <w:rPr>
          <w:rFonts w:asciiTheme="minorHAnsi" w:hAnsiTheme="minorHAnsi"/>
        </w:rPr>
        <w:t xml:space="preserve"> to other </w:t>
      </w:r>
      <w:r w:rsidR="007B4295" w:rsidRPr="00FC54A0">
        <w:rPr>
          <w:rFonts w:asciiTheme="minorHAnsi" w:hAnsiTheme="minorHAnsi"/>
        </w:rPr>
        <w:t>facilities</w:t>
      </w:r>
      <w:r w:rsidR="00DA0351">
        <w:rPr>
          <w:rFonts w:asciiTheme="minorHAnsi" w:hAnsiTheme="minorHAnsi"/>
        </w:rPr>
        <w:t>, as detailed in</w:t>
      </w:r>
      <w:r w:rsidR="00534439">
        <w:rPr>
          <w:rFonts w:asciiTheme="minorHAnsi" w:hAnsiTheme="minorHAnsi"/>
        </w:rPr>
        <w:t xml:space="preserve"> Factor 1a</w:t>
      </w:r>
      <w:r w:rsidR="007B4295" w:rsidRPr="00FC54A0">
        <w:rPr>
          <w:rFonts w:asciiTheme="minorHAnsi" w:hAnsiTheme="minorHAnsi"/>
        </w:rPr>
        <w:t>.</w:t>
      </w:r>
    </w:p>
    <w:p w14:paraId="70988088" w14:textId="77777777" w:rsidR="008856B4" w:rsidRPr="00C85257" w:rsidRDefault="008856B4" w:rsidP="008856B4">
      <w:pPr>
        <w:pStyle w:val="BodyText"/>
        <w:rPr>
          <w:b/>
          <w:bCs/>
          <w:highlight w:val="yellow"/>
        </w:rPr>
      </w:pPr>
    </w:p>
    <w:p w14:paraId="13A627BA" w14:textId="78D628CF" w:rsidR="00B95EA4" w:rsidRPr="00095BA9" w:rsidRDefault="00A4110F" w:rsidP="00C776B7">
      <w:pPr>
        <w:pStyle w:val="Heading1"/>
        <w:ind w:left="0"/>
        <w:rPr>
          <w:color w:val="1F497D" w:themeColor="text2"/>
        </w:rPr>
      </w:pPr>
      <w:bookmarkStart w:id="2" w:name="_Toc218863248"/>
      <w:r w:rsidRPr="00095BA9">
        <w:rPr>
          <w:color w:val="1F497D" w:themeColor="text2"/>
        </w:rPr>
        <w:t>Patient Panel</w:t>
      </w:r>
      <w:r w:rsidR="00B95EA4" w:rsidRPr="00095BA9">
        <w:rPr>
          <w:rStyle w:val="FootnoteReference"/>
          <w:rFonts w:asciiTheme="minorHAnsi" w:hAnsiTheme="minorHAnsi"/>
          <w:color w:val="42558C"/>
        </w:rPr>
        <w:footnoteReference w:id="5"/>
      </w:r>
      <w:bookmarkEnd w:id="2"/>
    </w:p>
    <w:p w14:paraId="224EA4C6" w14:textId="4F311F7E" w:rsidR="00D33805" w:rsidRDefault="009B54A5" w:rsidP="006E0A3C">
      <w:pPr>
        <w:pStyle w:val="BodyText"/>
        <w:widowControl/>
        <w:spacing w:after="120"/>
        <w:ind w:right="116"/>
        <w:rPr>
          <w:rFonts w:asciiTheme="minorHAnsi" w:hAnsiTheme="minorHAnsi"/>
        </w:rPr>
      </w:pPr>
      <w:r>
        <w:rPr>
          <w:rFonts w:asciiTheme="minorHAnsi" w:hAnsiTheme="minorHAnsi"/>
        </w:rPr>
        <w:t>As a</w:t>
      </w:r>
      <w:r w:rsidR="00093668" w:rsidRPr="0506BC97">
        <w:rPr>
          <w:rFonts w:asciiTheme="minorHAnsi" w:hAnsiTheme="minorHAnsi"/>
        </w:rPr>
        <w:t xml:space="preserve"> new entity, </w:t>
      </w:r>
      <w:r w:rsidR="0003078F">
        <w:rPr>
          <w:rFonts w:asciiTheme="minorHAnsi" w:hAnsiTheme="minorHAnsi"/>
        </w:rPr>
        <w:t>the facility has no</w:t>
      </w:r>
      <w:r w:rsidR="008246F2">
        <w:rPr>
          <w:rFonts w:asciiTheme="minorHAnsi" w:hAnsiTheme="minorHAnsi"/>
        </w:rPr>
        <w:t xml:space="preserve"> </w:t>
      </w:r>
      <w:r w:rsidR="00C02A6A">
        <w:rPr>
          <w:rFonts w:asciiTheme="minorHAnsi" w:hAnsiTheme="minorHAnsi"/>
        </w:rPr>
        <w:t>current</w:t>
      </w:r>
      <w:r w:rsidR="00C02A6A" w:rsidRPr="0506BC97">
        <w:rPr>
          <w:rFonts w:asciiTheme="minorHAnsi" w:hAnsiTheme="minorHAnsi"/>
        </w:rPr>
        <w:t xml:space="preserve"> </w:t>
      </w:r>
      <w:r w:rsidR="00093668" w:rsidRPr="0506BC97">
        <w:rPr>
          <w:rFonts w:asciiTheme="minorHAnsi" w:hAnsiTheme="minorHAnsi"/>
        </w:rPr>
        <w:t xml:space="preserve">Patient Panel. </w:t>
      </w:r>
      <w:r w:rsidR="002C3173">
        <w:rPr>
          <w:rFonts w:asciiTheme="minorHAnsi" w:hAnsiTheme="minorHAnsi"/>
        </w:rPr>
        <w:t>However,</w:t>
      </w:r>
      <w:r w:rsidR="006341A8">
        <w:rPr>
          <w:rFonts w:asciiTheme="minorHAnsi" w:hAnsiTheme="minorHAnsi"/>
        </w:rPr>
        <w:t xml:space="preserve"> the </w:t>
      </w:r>
      <w:r w:rsidR="0003078F">
        <w:rPr>
          <w:rFonts w:asciiTheme="minorHAnsi" w:hAnsiTheme="minorHAnsi"/>
        </w:rPr>
        <w:t xml:space="preserve">Proposed Project is meant to decant </w:t>
      </w:r>
      <w:r w:rsidR="00CE6283">
        <w:rPr>
          <w:rFonts w:asciiTheme="minorHAnsi" w:hAnsiTheme="minorHAnsi"/>
        </w:rPr>
        <w:t xml:space="preserve">a population of </w:t>
      </w:r>
      <w:r w:rsidR="00BF15F6">
        <w:rPr>
          <w:rFonts w:asciiTheme="minorHAnsi" w:hAnsiTheme="minorHAnsi"/>
        </w:rPr>
        <w:t>endoscopy patients</w:t>
      </w:r>
      <w:r w:rsidR="00DD08A1">
        <w:rPr>
          <w:rFonts w:asciiTheme="minorHAnsi" w:hAnsiTheme="minorHAnsi"/>
        </w:rPr>
        <w:t xml:space="preserve"> from BWH and MGH</w:t>
      </w:r>
      <w:r w:rsidR="00CE6283">
        <w:rPr>
          <w:rFonts w:asciiTheme="minorHAnsi" w:hAnsiTheme="minorHAnsi"/>
        </w:rPr>
        <w:t xml:space="preserve"> with the intention of </w:t>
      </w:r>
      <w:r w:rsidR="006276AB">
        <w:rPr>
          <w:rFonts w:asciiTheme="minorHAnsi" w:hAnsiTheme="minorHAnsi"/>
        </w:rPr>
        <w:t>performing their procedures at the new facility</w:t>
      </w:r>
      <w:r w:rsidR="002F0A42">
        <w:rPr>
          <w:rFonts w:asciiTheme="minorHAnsi" w:hAnsiTheme="minorHAnsi"/>
        </w:rPr>
        <w:t xml:space="preserve">. </w:t>
      </w:r>
      <w:r w:rsidR="00093668" w:rsidRPr="0506BC97">
        <w:rPr>
          <w:rFonts w:asciiTheme="minorHAnsi" w:hAnsiTheme="minorHAnsi"/>
        </w:rPr>
        <w:t>T</w:t>
      </w:r>
      <w:r w:rsidR="00D33805" w:rsidRPr="0506BC97">
        <w:rPr>
          <w:rFonts w:asciiTheme="minorHAnsi" w:hAnsiTheme="minorHAnsi"/>
        </w:rPr>
        <w:t>herefore, t</w:t>
      </w:r>
      <w:r w:rsidR="00093668" w:rsidRPr="0506BC97">
        <w:rPr>
          <w:rFonts w:asciiTheme="minorHAnsi" w:hAnsiTheme="minorHAnsi"/>
        </w:rPr>
        <w:t xml:space="preserve">he discussion of Patient Panel </w:t>
      </w:r>
      <w:r w:rsidR="00093668" w:rsidRPr="00FC54A0">
        <w:rPr>
          <w:rFonts w:asciiTheme="minorHAnsi" w:hAnsiTheme="minorHAnsi"/>
        </w:rPr>
        <w:t xml:space="preserve">in this analysis refers to </w:t>
      </w:r>
      <w:r w:rsidR="00093668" w:rsidRPr="0506BC97">
        <w:rPr>
          <w:rFonts w:asciiTheme="minorHAnsi" w:hAnsiTheme="minorHAnsi"/>
        </w:rPr>
        <w:t xml:space="preserve">the patients of the health care facilities affiliated with </w:t>
      </w:r>
      <w:r w:rsidR="00D33805" w:rsidRPr="0506BC97">
        <w:rPr>
          <w:rFonts w:asciiTheme="minorHAnsi" w:hAnsiTheme="minorHAnsi"/>
        </w:rPr>
        <w:t>MGB</w:t>
      </w:r>
      <w:r w:rsidR="00093668" w:rsidRPr="0506BC97">
        <w:rPr>
          <w:rFonts w:asciiTheme="minorHAnsi" w:hAnsiTheme="minorHAnsi"/>
        </w:rPr>
        <w:t xml:space="preserve">, as directed by the regulation. </w:t>
      </w:r>
      <w:r w:rsidR="00F603F8" w:rsidRPr="0506BC97">
        <w:rPr>
          <w:rFonts w:asciiTheme="minorHAnsi" w:hAnsiTheme="minorHAnsi"/>
        </w:rPr>
        <w:t>The Applicant states that</w:t>
      </w:r>
      <w:r w:rsidR="003E6014">
        <w:rPr>
          <w:rFonts w:asciiTheme="minorHAnsi" w:hAnsiTheme="minorHAnsi"/>
        </w:rPr>
        <w:t>,</w:t>
      </w:r>
      <w:r w:rsidR="00F603F8" w:rsidRPr="0506BC97">
        <w:rPr>
          <w:rFonts w:asciiTheme="minorHAnsi" w:hAnsiTheme="minorHAnsi"/>
        </w:rPr>
        <w:t xml:space="preserve"> w</w:t>
      </w:r>
      <w:r w:rsidR="00F603F8" w:rsidRPr="00FC54A0">
        <w:rPr>
          <w:rFonts w:asciiTheme="minorHAnsi" w:hAnsiTheme="minorHAnsi"/>
        </w:rPr>
        <w:t>hile the current need for endoscopy by MGB patients extends across the region because the current capacity is insufficient to meet patient need, the</w:t>
      </w:r>
      <w:r w:rsidR="000D1AFD" w:rsidRPr="00FC54A0">
        <w:rPr>
          <w:rFonts w:asciiTheme="minorHAnsi" w:hAnsiTheme="minorHAnsi"/>
        </w:rPr>
        <w:t xml:space="preserve">y </w:t>
      </w:r>
      <w:r w:rsidR="00FF2B32" w:rsidRPr="0506BC97">
        <w:rPr>
          <w:rFonts w:asciiTheme="minorHAnsi" w:hAnsiTheme="minorHAnsi" w:cs="Times New Roman"/>
          <w:kern w:val="2"/>
        </w:rPr>
        <w:t>relied on historical data from MGH and BWH to determine the need for the Proposed Project</w:t>
      </w:r>
      <w:r w:rsidR="00273856" w:rsidRPr="0506BC97">
        <w:rPr>
          <w:rFonts w:asciiTheme="minorHAnsi" w:hAnsiTheme="minorHAnsi" w:cs="Times New Roman"/>
          <w:kern w:val="2"/>
        </w:rPr>
        <w:t xml:space="preserve">, focusing </w:t>
      </w:r>
      <w:r w:rsidR="000E2A50" w:rsidRPr="0506BC97">
        <w:rPr>
          <w:rFonts w:asciiTheme="minorHAnsi" w:hAnsiTheme="minorHAnsi" w:cs="Times New Roman"/>
          <w:kern w:val="2"/>
        </w:rPr>
        <w:t xml:space="preserve">on </w:t>
      </w:r>
      <w:r w:rsidR="00FF2B32" w:rsidRPr="0506BC97">
        <w:rPr>
          <w:rFonts w:asciiTheme="minorHAnsi" w:hAnsiTheme="minorHAnsi" w:cs="Times New Roman"/>
          <w:kern w:val="2"/>
        </w:rPr>
        <w:t xml:space="preserve">historical outpatient endoscopy volume that would have been appropriate for treatment in an ASC. </w:t>
      </w:r>
      <w:r w:rsidR="00082585">
        <w:rPr>
          <w:rFonts w:asciiTheme="minorHAnsi" w:hAnsiTheme="minorHAnsi" w:cs="Times New Roman"/>
          <w:kern w:val="2"/>
        </w:rPr>
        <w:t>These</w:t>
      </w:r>
      <w:r w:rsidR="00082585" w:rsidRPr="0506BC97">
        <w:rPr>
          <w:rFonts w:asciiTheme="minorHAnsi" w:hAnsiTheme="minorHAnsi" w:cs="Times New Roman"/>
          <w:kern w:val="2"/>
        </w:rPr>
        <w:t xml:space="preserve"> </w:t>
      </w:r>
      <w:r w:rsidR="00FF2B32" w:rsidRPr="0506BC97">
        <w:rPr>
          <w:rFonts w:asciiTheme="minorHAnsi" w:hAnsiTheme="minorHAnsi" w:cs="Times New Roman"/>
          <w:kern w:val="2"/>
        </w:rPr>
        <w:t>data w</w:t>
      </w:r>
      <w:r w:rsidR="00082585">
        <w:rPr>
          <w:rFonts w:asciiTheme="minorHAnsi" w:hAnsiTheme="minorHAnsi" w:cs="Times New Roman"/>
          <w:kern w:val="2"/>
        </w:rPr>
        <w:t>ere</w:t>
      </w:r>
      <w:r w:rsidR="00FF2B32" w:rsidRPr="0506BC97">
        <w:rPr>
          <w:rFonts w:asciiTheme="minorHAnsi" w:hAnsiTheme="minorHAnsi" w:cs="Times New Roman"/>
          <w:kern w:val="2"/>
        </w:rPr>
        <w:t xml:space="preserve"> further narrowed by patient zip codes </w:t>
      </w:r>
      <w:r w:rsidR="00336E5E">
        <w:rPr>
          <w:rFonts w:asciiTheme="minorHAnsi" w:hAnsiTheme="minorHAnsi" w:cs="Times New Roman"/>
          <w:kern w:val="2"/>
        </w:rPr>
        <w:t xml:space="preserve">in the </w:t>
      </w:r>
      <w:r w:rsidR="00262B02">
        <w:rPr>
          <w:rFonts w:asciiTheme="minorHAnsi" w:hAnsiTheme="minorHAnsi" w:cs="Times New Roman"/>
          <w:kern w:val="2"/>
        </w:rPr>
        <w:t xml:space="preserve">Primary Service Area (PSA) </w:t>
      </w:r>
      <w:r w:rsidR="00FF2B32" w:rsidRPr="0506BC97">
        <w:rPr>
          <w:rFonts w:asciiTheme="minorHAnsi" w:hAnsiTheme="minorHAnsi" w:cs="Times New Roman"/>
          <w:kern w:val="2"/>
        </w:rPr>
        <w:t>to better illustrate the need for endoscopy by the MGB AMC patients.</w:t>
      </w:r>
      <w:r w:rsidR="00E80AE3" w:rsidRPr="0506BC97">
        <w:rPr>
          <w:rFonts w:asciiTheme="minorHAnsi" w:hAnsiTheme="minorHAnsi" w:cs="Times New Roman"/>
          <w:kern w:val="2"/>
        </w:rPr>
        <w:t xml:space="preserve"> </w:t>
      </w:r>
      <w:r w:rsidR="00E80AE3" w:rsidRPr="0506BC97">
        <w:rPr>
          <w:rFonts w:asciiTheme="minorHAnsi" w:hAnsiTheme="minorHAnsi"/>
        </w:rPr>
        <w:t xml:space="preserve">Staff finds this is an acceptable way to define Patient Panel. </w:t>
      </w:r>
      <w:bookmarkStart w:id="3" w:name="Patient_Information_(2019)"/>
      <w:bookmarkEnd w:id="3"/>
    </w:p>
    <w:p w14:paraId="22ABA891" w14:textId="77777777" w:rsidR="009208CF" w:rsidRPr="006E0A3C" w:rsidRDefault="009208CF" w:rsidP="006E0A3C">
      <w:pPr>
        <w:pStyle w:val="BodyText"/>
        <w:widowControl/>
        <w:spacing w:after="120"/>
        <w:ind w:right="116"/>
        <w:rPr>
          <w:rFonts w:asciiTheme="minorHAnsi" w:hAnsiTheme="minorHAnsi"/>
        </w:rPr>
      </w:pPr>
    </w:p>
    <w:p w14:paraId="70722FCD" w14:textId="6DC30D44" w:rsidR="00D9487F" w:rsidRPr="00D9487F" w:rsidRDefault="006E0A3C" w:rsidP="00D9487F">
      <w:pPr>
        <w:pStyle w:val="pf0"/>
        <w:spacing w:before="0" w:beforeAutospacing="0" w:after="0" w:afterAutospacing="0"/>
        <w:rPr>
          <w:rFonts w:asciiTheme="minorHAnsi" w:hAnsiTheme="minorHAnsi" w:cstheme="minorHAnsi"/>
        </w:rPr>
      </w:pPr>
      <w:r w:rsidRPr="00D9487F">
        <w:rPr>
          <w:rFonts w:asciiTheme="minorHAnsi" w:hAnsiTheme="minorHAnsi" w:cstheme="minorHAnsi"/>
          <w:kern w:val="2"/>
        </w:rPr>
        <w:t xml:space="preserve">The Patient Panel data in </w:t>
      </w:r>
      <w:r w:rsidR="00607B95" w:rsidRPr="00D9487F">
        <w:rPr>
          <w:rFonts w:asciiTheme="minorHAnsi" w:hAnsiTheme="minorHAnsi" w:cstheme="minorHAnsi"/>
          <w:kern w:val="2"/>
        </w:rPr>
        <w:t>Table</w:t>
      </w:r>
      <w:r w:rsidRPr="00D9487F">
        <w:rPr>
          <w:rFonts w:asciiTheme="minorHAnsi" w:hAnsiTheme="minorHAnsi" w:cstheme="minorHAnsi"/>
          <w:kern w:val="2"/>
        </w:rPr>
        <w:t>s</w:t>
      </w:r>
      <w:r w:rsidR="00607B95" w:rsidRPr="00D9487F">
        <w:rPr>
          <w:rFonts w:asciiTheme="minorHAnsi" w:hAnsiTheme="minorHAnsi" w:cstheme="minorHAnsi"/>
          <w:kern w:val="2"/>
        </w:rPr>
        <w:t xml:space="preserve"> 2 </w:t>
      </w:r>
      <w:r w:rsidRPr="00D9487F">
        <w:rPr>
          <w:rFonts w:asciiTheme="minorHAnsi" w:hAnsiTheme="minorHAnsi" w:cstheme="minorHAnsi"/>
          <w:kern w:val="2"/>
        </w:rPr>
        <w:t xml:space="preserve">and 3 </w:t>
      </w:r>
      <w:r w:rsidR="00607B95" w:rsidRPr="00D9487F">
        <w:rPr>
          <w:rFonts w:asciiTheme="minorHAnsi" w:hAnsiTheme="minorHAnsi" w:cstheme="minorHAnsi"/>
          <w:kern w:val="2"/>
        </w:rPr>
        <w:t>reflect historical BWH and MGH patients who would have been eligible to have their endoscopy procedures</w:t>
      </w:r>
      <w:r w:rsidR="00607B95" w:rsidRPr="00D9487F">
        <w:rPr>
          <w:rFonts w:asciiTheme="minorHAnsi" w:hAnsiTheme="minorHAnsi" w:cstheme="minorHAnsi"/>
          <w:vertAlign w:val="superscript"/>
        </w:rPr>
        <w:footnoteReference w:id="6"/>
      </w:r>
      <w:r w:rsidR="00607B95" w:rsidRPr="00D9487F">
        <w:rPr>
          <w:rFonts w:asciiTheme="minorHAnsi" w:hAnsiTheme="minorHAnsi" w:cstheme="minorHAnsi"/>
          <w:kern w:val="2"/>
          <w:vertAlign w:val="superscript"/>
        </w:rPr>
        <w:t xml:space="preserve"> </w:t>
      </w:r>
      <w:r w:rsidR="00607B95" w:rsidRPr="00D9487F">
        <w:rPr>
          <w:rFonts w:asciiTheme="minorHAnsi" w:hAnsiTheme="minorHAnsi" w:cstheme="minorHAnsi"/>
          <w:kern w:val="2"/>
        </w:rPr>
        <w:t>performed in an ASC</w:t>
      </w:r>
      <w:r w:rsidR="004F06AC">
        <w:rPr>
          <w:rFonts w:asciiTheme="minorHAnsi" w:hAnsiTheme="minorHAnsi" w:cstheme="minorHAnsi"/>
          <w:kern w:val="2"/>
        </w:rPr>
        <w:t xml:space="preserve"> in the PSA</w:t>
      </w:r>
      <w:r w:rsidR="00607B95" w:rsidRPr="00D9487F">
        <w:rPr>
          <w:rFonts w:asciiTheme="minorHAnsi" w:hAnsiTheme="minorHAnsi" w:cstheme="minorHAnsi"/>
          <w:kern w:val="2"/>
        </w:rPr>
        <w:t xml:space="preserve">. </w:t>
      </w:r>
      <w:r w:rsidR="00D9487F" w:rsidRPr="00D9487F">
        <w:rPr>
          <w:rFonts w:asciiTheme="minorHAnsi" w:hAnsiTheme="minorHAnsi" w:cstheme="minorHAnsi"/>
        </w:rPr>
        <w:t xml:space="preserve">The Applicant attributes the decline in outpatients within the </w:t>
      </w:r>
      <w:r w:rsidR="00646D93">
        <w:rPr>
          <w:rFonts w:asciiTheme="minorHAnsi" w:hAnsiTheme="minorHAnsi" w:cstheme="minorHAnsi"/>
        </w:rPr>
        <w:t>PSA</w:t>
      </w:r>
      <w:r w:rsidR="00D9487F" w:rsidRPr="00D9487F">
        <w:rPr>
          <w:rFonts w:asciiTheme="minorHAnsi" w:hAnsiTheme="minorHAnsi" w:cstheme="minorHAnsi"/>
        </w:rPr>
        <w:t xml:space="preserve"> in FY2024 to the departure of several providers who previously were performing</w:t>
      </w:r>
      <w:r w:rsidR="00BE153B">
        <w:rPr>
          <w:rFonts w:asciiTheme="minorHAnsi" w:hAnsiTheme="minorHAnsi" w:cstheme="minorHAnsi"/>
        </w:rPr>
        <w:t xml:space="preserve"> endoscopy services</w:t>
      </w:r>
      <w:r w:rsidR="00D9487F" w:rsidRPr="00D9487F">
        <w:rPr>
          <w:rFonts w:asciiTheme="minorHAnsi" w:hAnsiTheme="minorHAnsi" w:cstheme="minorHAnsi"/>
        </w:rPr>
        <w:t xml:space="preserve"> at MGH and BWH main campuses as well as an increase in inpatient procedures. However,</w:t>
      </w:r>
      <w:r w:rsidR="00D9487F">
        <w:rPr>
          <w:rFonts w:asciiTheme="minorHAnsi" w:hAnsiTheme="minorHAnsi" w:cstheme="minorHAnsi"/>
        </w:rPr>
        <w:t xml:space="preserve"> the Applicant notes that </w:t>
      </w:r>
      <w:r w:rsidR="00D9487F" w:rsidRPr="00D9487F">
        <w:rPr>
          <w:rFonts w:asciiTheme="minorHAnsi" w:hAnsiTheme="minorHAnsi" w:cstheme="minorHAnsi"/>
        </w:rPr>
        <w:t>unique patients increased in FY2025</w:t>
      </w:r>
      <w:r w:rsidR="00BA7A9E">
        <w:rPr>
          <w:rFonts w:asciiTheme="minorHAnsi" w:hAnsiTheme="minorHAnsi" w:cstheme="minorHAnsi"/>
        </w:rPr>
        <w:t>.</w:t>
      </w:r>
      <w:r w:rsidR="00BC1D15">
        <w:rPr>
          <w:rStyle w:val="FootnoteReference"/>
          <w:rFonts w:asciiTheme="minorHAnsi" w:hAnsiTheme="minorHAnsi" w:cstheme="minorHAnsi"/>
        </w:rPr>
        <w:footnoteReference w:id="7"/>
      </w:r>
      <w:r w:rsidR="00D9487F" w:rsidRPr="00D9487F">
        <w:rPr>
          <w:rFonts w:asciiTheme="minorHAnsi" w:hAnsiTheme="minorHAnsi" w:cstheme="minorHAnsi"/>
        </w:rPr>
        <w:t>.</w:t>
      </w:r>
    </w:p>
    <w:p w14:paraId="234DC1BB" w14:textId="67A0D171" w:rsidR="00DF1C8C" w:rsidRPr="00D901E5" w:rsidRDefault="00DF1C8C" w:rsidP="00FF2B32">
      <w:pPr>
        <w:pStyle w:val="BodyText"/>
        <w:widowControl/>
        <w:spacing w:after="120"/>
        <w:ind w:right="116"/>
        <w:rPr>
          <w:rFonts w:asciiTheme="minorHAnsi" w:hAnsiTheme="minorHAnsi" w:cs="Times New Roman"/>
          <w:kern w:val="2"/>
        </w:rPr>
      </w:pPr>
    </w:p>
    <w:p w14:paraId="7BC41D26" w14:textId="41DC4C04" w:rsidR="00FD0171" w:rsidRPr="00D901E5" w:rsidRDefault="00FD0171" w:rsidP="00D901E5">
      <w:pPr>
        <w:jc w:val="center"/>
        <w:rPr>
          <w:b/>
          <w:bCs/>
        </w:rPr>
      </w:pPr>
      <w:r w:rsidRPr="00D901E5">
        <w:rPr>
          <w:b/>
          <w:bCs/>
          <w:u w:val="single"/>
        </w:rPr>
        <w:t>Table 2</w:t>
      </w:r>
      <w:r w:rsidRPr="00D901E5">
        <w:rPr>
          <w:b/>
          <w:bCs/>
        </w:rPr>
        <w:t>:</w:t>
      </w:r>
      <w:r w:rsidR="00C42800" w:rsidRPr="00D901E5">
        <w:rPr>
          <w:b/>
          <w:bCs/>
        </w:rPr>
        <w:t xml:space="preserve"> </w:t>
      </w:r>
      <w:r w:rsidRPr="00D901E5">
        <w:rPr>
          <w:b/>
          <w:bCs/>
        </w:rPr>
        <w:t>Patient Panel</w:t>
      </w:r>
      <w:r w:rsidR="001572C5">
        <w:rPr>
          <w:b/>
          <w:bCs/>
        </w:rPr>
        <w:t xml:space="preserve"> </w:t>
      </w:r>
      <w:r w:rsidR="00B91748">
        <w:rPr>
          <w:b/>
          <w:bCs/>
        </w:rPr>
        <w:t xml:space="preserve">From MGB AMCs in </w:t>
      </w:r>
      <w:r w:rsidR="00646D93">
        <w:rPr>
          <w:b/>
          <w:bCs/>
        </w:rPr>
        <w:t>P</w:t>
      </w:r>
      <w:r w:rsidR="002C37E5">
        <w:rPr>
          <w:b/>
          <w:bCs/>
        </w:rPr>
        <w:t>SA</w:t>
      </w:r>
    </w:p>
    <w:tbl>
      <w:tblPr>
        <w:tblStyle w:val="TableGrid"/>
        <w:tblW w:w="5434" w:type="dxa"/>
        <w:jc w:val="center"/>
        <w:tblLook w:val="04A0" w:firstRow="1" w:lastRow="0" w:firstColumn="1" w:lastColumn="0" w:noHBand="0" w:noVBand="1"/>
      </w:tblPr>
      <w:tblGrid>
        <w:gridCol w:w="1641"/>
        <w:gridCol w:w="870"/>
        <w:gridCol w:w="835"/>
        <w:gridCol w:w="1044"/>
        <w:gridCol w:w="1044"/>
      </w:tblGrid>
      <w:tr w:rsidR="000D25BB" w:rsidRPr="00D901E5" w14:paraId="140D699F" w14:textId="4879190F" w:rsidTr="00D9487F">
        <w:trPr>
          <w:jc w:val="center"/>
        </w:trPr>
        <w:tc>
          <w:tcPr>
            <w:tcW w:w="1641" w:type="dxa"/>
          </w:tcPr>
          <w:p w14:paraId="428E5D42" w14:textId="77777777" w:rsidR="000D25BB" w:rsidRPr="00D901E5" w:rsidRDefault="000D25BB" w:rsidP="00283665"/>
        </w:tc>
        <w:tc>
          <w:tcPr>
            <w:tcW w:w="870" w:type="dxa"/>
            <w:shd w:val="clear" w:color="auto" w:fill="D9D9D9" w:themeFill="background1" w:themeFillShade="D9"/>
          </w:tcPr>
          <w:p w14:paraId="6A9C7CEC" w14:textId="61E0FE29" w:rsidR="000D25BB" w:rsidRPr="00D901E5" w:rsidRDefault="000D25BB" w:rsidP="00A965B5">
            <w:pPr>
              <w:jc w:val="center"/>
              <w:rPr>
                <w:b/>
                <w:bCs/>
              </w:rPr>
            </w:pPr>
            <w:r w:rsidRPr="00D901E5">
              <w:rPr>
                <w:b/>
                <w:bCs/>
              </w:rPr>
              <w:t>2022</w:t>
            </w:r>
          </w:p>
        </w:tc>
        <w:tc>
          <w:tcPr>
            <w:tcW w:w="835" w:type="dxa"/>
            <w:shd w:val="clear" w:color="auto" w:fill="D9D9D9" w:themeFill="background1" w:themeFillShade="D9"/>
          </w:tcPr>
          <w:p w14:paraId="107162AC" w14:textId="1C73A247" w:rsidR="000D25BB" w:rsidRPr="00D901E5" w:rsidRDefault="000D25BB" w:rsidP="00A965B5">
            <w:pPr>
              <w:jc w:val="center"/>
              <w:rPr>
                <w:b/>
                <w:bCs/>
              </w:rPr>
            </w:pPr>
            <w:r w:rsidRPr="00D901E5">
              <w:rPr>
                <w:b/>
                <w:bCs/>
              </w:rPr>
              <w:t>2023</w:t>
            </w:r>
          </w:p>
        </w:tc>
        <w:tc>
          <w:tcPr>
            <w:tcW w:w="1044" w:type="dxa"/>
            <w:shd w:val="clear" w:color="auto" w:fill="D9D9D9" w:themeFill="background1" w:themeFillShade="D9"/>
          </w:tcPr>
          <w:p w14:paraId="68E31A67" w14:textId="4E72D124" w:rsidR="000D25BB" w:rsidRPr="00D901E5" w:rsidRDefault="000D25BB" w:rsidP="00A965B5">
            <w:pPr>
              <w:jc w:val="center"/>
              <w:rPr>
                <w:b/>
                <w:bCs/>
              </w:rPr>
            </w:pPr>
            <w:r w:rsidRPr="00D901E5">
              <w:rPr>
                <w:b/>
                <w:bCs/>
              </w:rPr>
              <w:t>2024</w:t>
            </w:r>
          </w:p>
        </w:tc>
        <w:tc>
          <w:tcPr>
            <w:tcW w:w="1044" w:type="dxa"/>
            <w:shd w:val="clear" w:color="auto" w:fill="D9D9D9" w:themeFill="background1" w:themeFillShade="D9"/>
          </w:tcPr>
          <w:p w14:paraId="68C33781" w14:textId="0800C097" w:rsidR="000D25BB" w:rsidRPr="00D901E5" w:rsidRDefault="000D25BB" w:rsidP="00A965B5">
            <w:pPr>
              <w:jc w:val="center"/>
              <w:rPr>
                <w:b/>
                <w:bCs/>
              </w:rPr>
            </w:pPr>
            <w:r>
              <w:rPr>
                <w:b/>
                <w:bCs/>
              </w:rPr>
              <w:t>2025</w:t>
            </w:r>
          </w:p>
        </w:tc>
      </w:tr>
      <w:tr w:rsidR="000D25BB" w:rsidRPr="00D901E5" w14:paraId="2FD36EA9" w14:textId="7AE4C541" w:rsidTr="000D25BB">
        <w:trPr>
          <w:jc w:val="center"/>
        </w:trPr>
        <w:tc>
          <w:tcPr>
            <w:tcW w:w="1641" w:type="dxa"/>
          </w:tcPr>
          <w:p w14:paraId="6199C0EA" w14:textId="210DBE6B" w:rsidR="000D25BB" w:rsidRPr="00D901E5" w:rsidRDefault="000D25BB" w:rsidP="00820D83">
            <w:pPr>
              <w:rPr>
                <w:b/>
                <w:bCs/>
              </w:rPr>
            </w:pPr>
            <w:r w:rsidRPr="00D901E5">
              <w:rPr>
                <w:b/>
                <w:bCs/>
              </w:rPr>
              <w:t>Unique Patients</w:t>
            </w:r>
          </w:p>
        </w:tc>
        <w:tc>
          <w:tcPr>
            <w:tcW w:w="870" w:type="dxa"/>
          </w:tcPr>
          <w:p w14:paraId="628ACE23" w14:textId="2B8B49F8" w:rsidR="000D25BB" w:rsidRPr="00D901E5" w:rsidRDefault="000D25BB" w:rsidP="00A965B5">
            <w:pPr>
              <w:jc w:val="center"/>
            </w:pPr>
            <w:r w:rsidRPr="00D901E5">
              <w:t>8,184</w:t>
            </w:r>
          </w:p>
        </w:tc>
        <w:tc>
          <w:tcPr>
            <w:tcW w:w="835" w:type="dxa"/>
          </w:tcPr>
          <w:p w14:paraId="0212FB98" w14:textId="197D6395" w:rsidR="000D25BB" w:rsidRPr="00D901E5" w:rsidRDefault="000D25BB" w:rsidP="00A965B5">
            <w:pPr>
              <w:jc w:val="center"/>
            </w:pPr>
            <w:r w:rsidRPr="00D901E5">
              <w:t>8,422</w:t>
            </w:r>
          </w:p>
        </w:tc>
        <w:tc>
          <w:tcPr>
            <w:tcW w:w="1044" w:type="dxa"/>
          </w:tcPr>
          <w:p w14:paraId="2D4AB8C2" w14:textId="35936573" w:rsidR="000D25BB" w:rsidRPr="00D901E5" w:rsidRDefault="000D25BB" w:rsidP="00A965B5">
            <w:pPr>
              <w:jc w:val="center"/>
            </w:pPr>
            <w:r w:rsidRPr="00D901E5">
              <w:t>7,716</w:t>
            </w:r>
          </w:p>
        </w:tc>
        <w:tc>
          <w:tcPr>
            <w:tcW w:w="1044" w:type="dxa"/>
          </w:tcPr>
          <w:p w14:paraId="35704886" w14:textId="7C7583CB" w:rsidR="000D25BB" w:rsidRPr="00D901E5" w:rsidRDefault="00DD3B9B" w:rsidP="00A965B5">
            <w:pPr>
              <w:jc w:val="center"/>
            </w:pPr>
            <w:r>
              <w:t>9,160</w:t>
            </w:r>
          </w:p>
        </w:tc>
      </w:tr>
    </w:tbl>
    <w:p w14:paraId="54161E94" w14:textId="77777777" w:rsidR="00D51251" w:rsidRPr="00C85257" w:rsidRDefault="00D51251" w:rsidP="006734CF">
      <w:pPr>
        <w:rPr>
          <w:highlight w:val="yellow"/>
        </w:rPr>
      </w:pPr>
    </w:p>
    <w:p w14:paraId="1F0678D0" w14:textId="0415D693" w:rsidR="00FD0171" w:rsidRPr="009746C9" w:rsidRDefault="00EF413E" w:rsidP="006734CF">
      <w:r w:rsidRPr="009746C9">
        <w:t xml:space="preserve">Table 3 shows the </w:t>
      </w:r>
      <w:r w:rsidR="001572C5" w:rsidRPr="009746C9">
        <w:t>demographics</w:t>
      </w:r>
      <w:r w:rsidRPr="009746C9">
        <w:t xml:space="preserve"> of the Applicant’s Patient Panel. </w:t>
      </w:r>
      <w:r w:rsidR="00FD5579" w:rsidRPr="008440BF">
        <w:rPr>
          <w:rFonts w:asciiTheme="minorHAnsi" w:hAnsiTheme="minorHAnsi"/>
        </w:rPr>
        <w:t>Staff notes the following observations about the data below:</w:t>
      </w:r>
    </w:p>
    <w:p w14:paraId="72844D8B" w14:textId="11570E8F" w:rsidR="00FD0171" w:rsidRPr="003F255A" w:rsidRDefault="00EB2E92" w:rsidP="0000234D">
      <w:pPr>
        <w:pStyle w:val="BodyText"/>
        <w:widowControl/>
        <w:numPr>
          <w:ilvl w:val="0"/>
          <w:numId w:val="9"/>
        </w:numPr>
        <w:ind w:right="116"/>
        <w:rPr>
          <w:rFonts w:asciiTheme="minorHAnsi" w:hAnsiTheme="minorHAnsi" w:cs="Times New Roman"/>
          <w:color w:val="000000" w:themeColor="text1"/>
          <w:kern w:val="2"/>
          <w:sz w:val="21"/>
          <w:szCs w:val="21"/>
        </w:rPr>
      </w:pPr>
      <w:r>
        <w:rPr>
          <w:rFonts w:asciiTheme="minorHAnsi" w:hAnsiTheme="minorHAnsi"/>
          <w:b/>
          <w:bCs/>
        </w:rPr>
        <w:t>Age</w:t>
      </w:r>
      <w:r w:rsidR="00D83481" w:rsidRPr="00D83481">
        <w:rPr>
          <w:rFonts w:asciiTheme="minorHAnsi" w:hAnsiTheme="minorHAnsi"/>
          <w:b/>
          <w:bCs/>
        </w:rPr>
        <w:t>:</w:t>
      </w:r>
      <w:r w:rsidR="00D83481" w:rsidRPr="00D83481">
        <w:rPr>
          <w:rFonts w:asciiTheme="minorHAnsi" w:hAnsiTheme="minorHAnsi"/>
        </w:rPr>
        <w:t xml:space="preserve"> </w:t>
      </w:r>
      <w:r w:rsidR="003F255A" w:rsidRPr="003F255A">
        <w:rPr>
          <w:rFonts w:asciiTheme="minorHAnsi" w:hAnsiTheme="minorHAnsi"/>
          <w:szCs w:val="20"/>
        </w:rPr>
        <w:t>More than 75% of the Patient Panel was between the ages of 40 and 80 in FY2024, with 37% of the Patient Panel between the ages of 40 and 60.</w:t>
      </w:r>
      <w:r w:rsidR="003F255A" w:rsidRPr="009555DC">
        <w:rPr>
          <w:rFonts w:asciiTheme="minorHAnsi" w:hAnsiTheme="minorHAnsi" w:cs="Times New Roman"/>
          <w:color w:val="000000" w:themeColor="text1"/>
          <w:kern w:val="2"/>
          <w:sz w:val="21"/>
          <w:szCs w:val="21"/>
        </w:rPr>
        <w:t xml:space="preserve"> </w:t>
      </w:r>
    </w:p>
    <w:p w14:paraId="79EF1D03" w14:textId="74A1A0B0" w:rsidR="003F255A" w:rsidRPr="003A509B" w:rsidRDefault="00EB2E92" w:rsidP="0000234D">
      <w:pPr>
        <w:pStyle w:val="ListParagraph"/>
        <w:numPr>
          <w:ilvl w:val="0"/>
          <w:numId w:val="2"/>
        </w:numPr>
        <w:rPr>
          <w:rFonts w:asciiTheme="minorHAnsi" w:hAnsiTheme="minorHAnsi"/>
          <w:b/>
          <w:bCs/>
        </w:rPr>
      </w:pPr>
      <w:r w:rsidRPr="003F255A">
        <w:rPr>
          <w:rFonts w:asciiTheme="minorHAnsi" w:hAnsiTheme="minorHAnsi"/>
          <w:b/>
          <w:bCs/>
        </w:rPr>
        <w:t xml:space="preserve">Race/ </w:t>
      </w:r>
      <w:r w:rsidR="00E00BD0" w:rsidRPr="003F255A">
        <w:rPr>
          <w:rFonts w:asciiTheme="minorHAnsi" w:hAnsiTheme="minorHAnsi"/>
          <w:b/>
          <w:bCs/>
        </w:rPr>
        <w:t>Ethnicity</w:t>
      </w:r>
      <w:r w:rsidRPr="003F255A">
        <w:rPr>
          <w:rFonts w:asciiTheme="minorHAnsi" w:hAnsiTheme="minorHAnsi"/>
          <w:b/>
          <w:bCs/>
        </w:rPr>
        <w:t>:</w:t>
      </w:r>
      <w:r w:rsidRPr="003F255A">
        <w:rPr>
          <w:rFonts w:asciiTheme="minorHAnsi" w:hAnsiTheme="minorHAnsi"/>
        </w:rPr>
        <w:t xml:space="preserve"> The majority of patients (67%) self-identified as White, 16% of patients identified as Hispanic/ Latino, 10% of patients identified as African American, and 7% identified as Asian. These statistics generally align with the demographics of Middlesex and Suffolk counties.</w:t>
      </w:r>
      <w:r>
        <w:rPr>
          <w:rStyle w:val="EndnoteReference"/>
          <w:rFonts w:asciiTheme="minorHAnsi" w:hAnsiTheme="minorHAnsi"/>
        </w:rPr>
        <w:endnoteReference w:id="3"/>
      </w:r>
      <w:r w:rsidRPr="003F255A">
        <w:rPr>
          <w:rFonts w:asciiTheme="minorHAnsi" w:hAnsiTheme="minorHAnsi"/>
        </w:rPr>
        <w:t xml:space="preserve"> </w:t>
      </w:r>
    </w:p>
    <w:p w14:paraId="1CBAE18B" w14:textId="2C49B7B4" w:rsidR="003A509B" w:rsidRPr="003F255A" w:rsidRDefault="473109F5" w:rsidP="6D717258">
      <w:pPr>
        <w:pStyle w:val="ListParagraph"/>
        <w:numPr>
          <w:ilvl w:val="0"/>
          <w:numId w:val="2"/>
        </w:numPr>
        <w:rPr>
          <w:rFonts w:asciiTheme="minorHAnsi" w:hAnsiTheme="minorHAnsi"/>
          <w:b/>
          <w:bCs/>
        </w:rPr>
      </w:pPr>
      <w:r w:rsidRPr="462BE3EA">
        <w:rPr>
          <w:rFonts w:asciiTheme="minorHAnsi" w:hAnsiTheme="minorHAnsi"/>
          <w:b/>
          <w:bCs/>
        </w:rPr>
        <w:t xml:space="preserve">Payer Mix: </w:t>
      </w:r>
      <w:r w:rsidR="260F0428" w:rsidRPr="462BE3EA">
        <w:rPr>
          <w:rFonts w:asciiTheme="minorHAnsi" w:hAnsiTheme="minorHAnsi"/>
        </w:rPr>
        <w:t>Public payers represent roughly 40% of the Patient Panel payer mix, with almost 30% Medicare (Medicare Fee for Service and Managed Medicare) and 10% Medicaid (MassHealth primary and Managed Medicaid).</w:t>
      </w:r>
    </w:p>
    <w:p w14:paraId="7659A102" w14:textId="77777777" w:rsidR="003A509B" w:rsidRDefault="003A509B" w:rsidP="003A509B">
      <w:pPr>
        <w:jc w:val="center"/>
        <w:rPr>
          <w:rFonts w:asciiTheme="minorHAnsi" w:hAnsiTheme="minorHAnsi"/>
          <w:b/>
          <w:bCs/>
          <w:u w:val="single"/>
        </w:rPr>
      </w:pPr>
    </w:p>
    <w:p w14:paraId="63263E0F" w14:textId="6B28962D" w:rsidR="00E970EE" w:rsidRPr="003A509B" w:rsidRDefault="00E970EE" w:rsidP="003A509B">
      <w:pPr>
        <w:jc w:val="center"/>
        <w:rPr>
          <w:rFonts w:asciiTheme="minorHAnsi" w:hAnsiTheme="minorHAnsi"/>
          <w:b/>
          <w:bCs/>
        </w:rPr>
      </w:pPr>
      <w:r w:rsidRPr="003A509B">
        <w:rPr>
          <w:rFonts w:asciiTheme="minorHAnsi" w:hAnsiTheme="minorHAnsi"/>
          <w:b/>
          <w:bCs/>
          <w:u w:val="single"/>
        </w:rPr>
        <w:t>Table 3:</w:t>
      </w:r>
      <w:r w:rsidRPr="003A509B">
        <w:rPr>
          <w:rFonts w:asciiTheme="minorHAnsi" w:hAnsiTheme="minorHAnsi"/>
          <w:b/>
          <w:bCs/>
        </w:rPr>
        <w:t xml:space="preserve"> Overview </w:t>
      </w:r>
      <w:r w:rsidR="00B91748" w:rsidRPr="003A509B">
        <w:rPr>
          <w:rFonts w:asciiTheme="minorHAnsi" w:hAnsiTheme="minorHAnsi"/>
          <w:b/>
          <w:bCs/>
        </w:rPr>
        <w:t xml:space="preserve">of </w:t>
      </w:r>
      <w:r w:rsidR="00B91748" w:rsidRPr="003A509B">
        <w:rPr>
          <w:b/>
          <w:bCs/>
        </w:rPr>
        <w:t xml:space="preserve">Patient Panel From MGB AMCs in </w:t>
      </w:r>
      <w:r w:rsidR="002C37E5">
        <w:rPr>
          <w:b/>
          <w:bCs/>
        </w:rPr>
        <w:t>PSA</w:t>
      </w:r>
      <w:r w:rsidR="00B91748" w:rsidRPr="003A509B">
        <w:rPr>
          <w:rFonts w:asciiTheme="minorHAnsi" w:hAnsiTheme="minorHAnsi"/>
          <w:b/>
          <w:bCs/>
        </w:rPr>
        <w:t xml:space="preserve"> </w:t>
      </w:r>
      <w:r w:rsidRPr="003A509B">
        <w:rPr>
          <w:rFonts w:asciiTheme="minorHAnsi" w:hAnsiTheme="minorHAnsi"/>
          <w:b/>
          <w:bCs/>
        </w:rPr>
        <w:t>(FY202</w:t>
      </w:r>
      <w:r w:rsidR="0040333C">
        <w:rPr>
          <w:rFonts w:asciiTheme="minorHAnsi" w:hAnsiTheme="minorHAnsi"/>
          <w:b/>
          <w:bCs/>
        </w:rPr>
        <w:t>4</w:t>
      </w:r>
      <w:r w:rsidRPr="003A509B">
        <w:rPr>
          <w:rFonts w:asciiTheme="minorHAnsi" w:hAnsiTheme="minorHAnsi"/>
          <w:b/>
          <w:bCs/>
        </w:rPr>
        <w:t>)</w:t>
      </w:r>
    </w:p>
    <w:tbl>
      <w:tblPr>
        <w:tblStyle w:val="TableGrid"/>
        <w:tblW w:w="0" w:type="auto"/>
        <w:jc w:val="center"/>
        <w:tblLook w:val="04A0" w:firstRow="1" w:lastRow="0" w:firstColumn="1" w:lastColumn="0" w:noHBand="0" w:noVBand="1"/>
      </w:tblPr>
      <w:tblGrid>
        <w:gridCol w:w="4315"/>
        <w:gridCol w:w="1800"/>
      </w:tblGrid>
      <w:tr w:rsidR="00E970EE" w:rsidRPr="008440BF" w14:paraId="6451FC65" w14:textId="77777777">
        <w:trPr>
          <w:cantSplit/>
          <w:trHeight w:val="300"/>
          <w:tblHeader/>
          <w:jc w:val="center"/>
        </w:trPr>
        <w:tc>
          <w:tcPr>
            <w:tcW w:w="4315" w:type="dxa"/>
          </w:tcPr>
          <w:p w14:paraId="4D27BA69" w14:textId="77777777" w:rsidR="00E970EE" w:rsidRPr="008440BF" w:rsidRDefault="00E970EE">
            <w:pPr>
              <w:pStyle w:val="BodyText"/>
              <w:rPr>
                <w:rFonts w:asciiTheme="minorHAnsi" w:hAnsiTheme="minorHAnsi"/>
                <w:b/>
                <w:sz w:val="22"/>
                <w:szCs w:val="22"/>
              </w:rPr>
            </w:pPr>
          </w:p>
        </w:tc>
        <w:tc>
          <w:tcPr>
            <w:tcW w:w="1800" w:type="dxa"/>
            <w:shd w:val="clear" w:color="auto" w:fill="F2F2F2" w:themeFill="background1" w:themeFillShade="F2"/>
          </w:tcPr>
          <w:p w14:paraId="08273CBE" w14:textId="77777777" w:rsidR="00E970EE" w:rsidRPr="008440BF" w:rsidRDefault="00E970EE">
            <w:pPr>
              <w:pStyle w:val="BodyText"/>
              <w:rPr>
                <w:rFonts w:asciiTheme="minorHAnsi" w:hAnsiTheme="minorHAnsi"/>
                <w:b/>
                <w:sz w:val="22"/>
                <w:szCs w:val="22"/>
              </w:rPr>
            </w:pPr>
            <w:r w:rsidRPr="008440BF">
              <w:rPr>
                <w:rFonts w:asciiTheme="minorHAnsi" w:hAnsiTheme="minorHAnsi"/>
                <w:b/>
                <w:sz w:val="22"/>
                <w:szCs w:val="22"/>
              </w:rPr>
              <w:t>Totals</w:t>
            </w:r>
          </w:p>
        </w:tc>
      </w:tr>
      <w:tr w:rsidR="00E970EE" w:rsidRPr="008440BF" w14:paraId="52EB60A5" w14:textId="77777777">
        <w:trPr>
          <w:cantSplit/>
          <w:trHeight w:val="300"/>
          <w:jc w:val="center"/>
        </w:trPr>
        <w:tc>
          <w:tcPr>
            <w:tcW w:w="4315" w:type="dxa"/>
          </w:tcPr>
          <w:p w14:paraId="384C9173" w14:textId="77777777" w:rsidR="00E970EE" w:rsidRPr="008440BF" w:rsidRDefault="00E970EE">
            <w:pPr>
              <w:pStyle w:val="BodyText"/>
              <w:rPr>
                <w:rFonts w:asciiTheme="minorHAnsi" w:hAnsiTheme="minorHAnsi"/>
                <w:b/>
                <w:sz w:val="22"/>
                <w:szCs w:val="22"/>
              </w:rPr>
            </w:pPr>
            <w:r w:rsidRPr="008440BF">
              <w:rPr>
                <w:rFonts w:asciiTheme="minorHAnsi" w:hAnsiTheme="minorHAnsi"/>
                <w:b/>
                <w:sz w:val="22"/>
                <w:szCs w:val="22"/>
              </w:rPr>
              <w:t>Total Patients</w:t>
            </w:r>
          </w:p>
        </w:tc>
        <w:tc>
          <w:tcPr>
            <w:tcW w:w="1800" w:type="dxa"/>
          </w:tcPr>
          <w:p w14:paraId="6C74ABB0" w14:textId="7F5D62E7" w:rsidR="00E970EE" w:rsidRPr="008440BF" w:rsidRDefault="003E29BA" w:rsidP="00980F77">
            <w:pPr>
              <w:pStyle w:val="BodyText"/>
              <w:jc w:val="right"/>
              <w:rPr>
                <w:rFonts w:asciiTheme="minorHAnsi" w:hAnsiTheme="minorHAnsi"/>
                <w:bCs/>
                <w:sz w:val="22"/>
                <w:szCs w:val="22"/>
                <w:highlight w:val="yellow"/>
              </w:rPr>
            </w:pPr>
            <w:r>
              <w:rPr>
                <w:rFonts w:asciiTheme="minorHAnsi" w:hAnsiTheme="minorHAnsi"/>
              </w:rPr>
              <w:t>9,160</w:t>
            </w:r>
          </w:p>
        </w:tc>
      </w:tr>
      <w:tr w:rsidR="00E970EE" w:rsidRPr="008440BF" w14:paraId="2C7354C7" w14:textId="77777777">
        <w:trPr>
          <w:cantSplit/>
          <w:trHeight w:val="300"/>
          <w:jc w:val="center"/>
        </w:trPr>
        <w:tc>
          <w:tcPr>
            <w:tcW w:w="4315" w:type="dxa"/>
            <w:shd w:val="clear" w:color="auto" w:fill="F2F2F2" w:themeFill="background1" w:themeFillShade="F2"/>
          </w:tcPr>
          <w:p w14:paraId="2AE76E63" w14:textId="77777777" w:rsidR="00E970EE" w:rsidRPr="008440BF" w:rsidRDefault="00E970EE">
            <w:pPr>
              <w:pStyle w:val="BodyText"/>
              <w:rPr>
                <w:rFonts w:asciiTheme="minorHAnsi" w:hAnsiTheme="minorHAnsi"/>
                <w:b/>
                <w:sz w:val="22"/>
                <w:szCs w:val="22"/>
              </w:rPr>
            </w:pPr>
            <w:r w:rsidRPr="008440BF">
              <w:rPr>
                <w:rFonts w:asciiTheme="minorHAnsi" w:hAnsiTheme="minorHAnsi"/>
                <w:b/>
                <w:sz w:val="22"/>
                <w:szCs w:val="22"/>
              </w:rPr>
              <w:t>Gender</w:t>
            </w:r>
          </w:p>
        </w:tc>
        <w:tc>
          <w:tcPr>
            <w:tcW w:w="1800" w:type="dxa"/>
            <w:shd w:val="clear" w:color="auto" w:fill="F2F2F2" w:themeFill="background1" w:themeFillShade="F2"/>
          </w:tcPr>
          <w:p w14:paraId="0B829AA5" w14:textId="77777777" w:rsidR="00E970EE" w:rsidRPr="008440BF" w:rsidRDefault="00E970EE" w:rsidP="00980F77">
            <w:pPr>
              <w:pStyle w:val="BodyText"/>
              <w:jc w:val="right"/>
              <w:rPr>
                <w:rFonts w:asciiTheme="minorHAnsi" w:hAnsiTheme="minorHAnsi"/>
                <w:bCs/>
                <w:sz w:val="22"/>
                <w:szCs w:val="22"/>
                <w:highlight w:val="yellow"/>
              </w:rPr>
            </w:pPr>
          </w:p>
        </w:tc>
      </w:tr>
      <w:tr w:rsidR="00E970EE" w:rsidRPr="008440BF" w14:paraId="2BD633E6" w14:textId="77777777">
        <w:trPr>
          <w:cantSplit/>
          <w:trHeight w:val="300"/>
          <w:jc w:val="center"/>
        </w:trPr>
        <w:tc>
          <w:tcPr>
            <w:tcW w:w="4315" w:type="dxa"/>
          </w:tcPr>
          <w:p w14:paraId="5F882FE8" w14:textId="5209C6B4" w:rsidR="00E970EE" w:rsidRPr="008440BF" w:rsidRDefault="00E970EE">
            <w:pPr>
              <w:pStyle w:val="BodyText"/>
              <w:ind w:left="144"/>
              <w:rPr>
                <w:rFonts w:asciiTheme="minorHAnsi" w:hAnsiTheme="minorHAnsi"/>
                <w:bCs/>
                <w:sz w:val="22"/>
                <w:szCs w:val="22"/>
              </w:rPr>
            </w:pPr>
            <w:r w:rsidRPr="008440BF">
              <w:rPr>
                <w:rFonts w:asciiTheme="minorHAnsi" w:hAnsiTheme="minorHAnsi"/>
                <w:bCs/>
                <w:sz w:val="22"/>
                <w:szCs w:val="22"/>
              </w:rPr>
              <w:t>Male</w:t>
            </w:r>
            <w:r w:rsidR="006F17D7">
              <w:rPr>
                <w:rFonts w:asciiTheme="minorHAnsi" w:hAnsiTheme="minorHAnsi"/>
                <w:bCs/>
                <w:sz w:val="22"/>
                <w:szCs w:val="22"/>
              </w:rPr>
              <w:t xml:space="preserve"> and </w:t>
            </w:r>
            <w:r w:rsidR="00CF234A">
              <w:rPr>
                <w:rFonts w:asciiTheme="minorHAnsi" w:hAnsiTheme="minorHAnsi"/>
                <w:bCs/>
                <w:sz w:val="22"/>
                <w:szCs w:val="22"/>
              </w:rPr>
              <w:t>Other/</w:t>
            </w:r>
            <w:r w:rsidR="006F17D7">
              <w:rPr>
                <w:rFonts w:asciiTheme="minorHAnsi" w:hAnsiTheme="minorHAnsi"/>
                <w:bCs/>
                <w:sz w:val="22"/>
                <w:szCs w:val="22"/>
              </w:rPr>
              <w:t>Unknown</w:t>
            </w:r>
          </w:p>
        </w:tc>
        <w:tc>
          <w:tcPr>
            <w:tcW w:w="1800" w:type="dxa"/>
          </w:tcPr>
          <w:p w14:paraId="06A2BA6A" w14:textId="76A7930A" w:rsidR="00E970EE" w:rsidRPr="008440BF" w:rsidRDefault="006F17D7" w:rsidP="00980F77">
            <w:pPr>
              <w:pStyle w:val="BodyText"/>
              <w:jc w:val="right"/>
              <w:rPr>
                <w:rFonts w:asciiTheme="minorHAnsi" w:hAnsiTheme="minorHAnsi"/>
                <w:bCs/>
                <w:highlight w:val="yellow"/>
              </w:rPr>
            </w:pPr>
            <w:r>
              <w:rPr>
                <w:rFonts w:asciiTheme="minorHAnsi" w:hAnsiTheme="minorHAnsi"/>
                <w:color w:val="000000"/>
              </w:rPr>
              <w:t>44</w:t>
            </w:r>
            <w:r w:rsidR="00E970EE" w:rsidRPr="008440BF">
              <w:rPr>
                <w:rFonts w:asciiTheme="minorHAnsi" w:hAnsiTheme="minorHAnsi"/>
                <w:color w:val="000000"/>
              </w:rPr>
              <w:t>%</w:t>
            </w:r>
          </w:p>
        </w:tc>
      </w:tr>
      <w:tr w:rsidR="00E970EE" w:rsidRPr="008440BF" w14:paraId="51B2B3C3" w14:textId="77777777">
        <w:trPr>
          <w:cantSplit/>
          <w:trHeight w:val="300"/>
          <w:jc w:val="center"/>
        </w:trPr>
        <w:tc>
          <w:tcPr>
            <w:tcW w:w="4315" w:type="dxa"/>
          </w:tcPr>
          <w:p w14:paraId="5391CBA8" w14:textId="6F31B04A" w:rsidR="00E970EE" w:rsidRPr="008440BF" w:rsidRDefault="00E970EE">
            <w:pPr>
              <w:pStyle w:val="BodyText"/>
              <w:ind w:left="144"/>
              <w:rPr>
                <w:rFonts w:asciiTheme="minorHAnsi" w:hAnsiTheme="minorHAnsi"/>
                <w:bCs/>
                <w:sz w:val="22"/>
                <w:szCs w:val="22"/>
              </w:rPr>
            </w:pPr>
            <w:r w:rsidRPr="008440BF">
              <w:rPr>
                <w:rFonts w:asciiTheme="minorHAnsi" w:hAnsiTheme="minorHAnsi"/>
                <w:bCs/>
                <w:sz w:val="22"/>
                <w:szCs w:val="22"/>
              </w:rPr>
              <w:t>Female</w:t>
            </w:r>
          </w:p>
        </w:tc>
        <w:tc>
          <w:tcPr>
            <w:tcW w:w="1800" w:type="dxa"/>
          </w:tcPr>
          <w:p w14:paraId="1B3EC25A" w14:textId="6B595E92" w:rsidR="00E970EE" w:rsidRPr="008440BF" w:rsidRDefault="00E970EE" w:rsidP="00980F77">
            <w:pPr>
              <w:pStyle w:val="BodyText"/>
              <w:jc w:val="right"/>
              <w:rPr>
                <w:rFonts w:asciiTheme="minorHAnsi" w:hAnsiTheme="minorHAnsi"/>
                <w:bCs/>
                <w:highlight w:val="yellow"/>
              </w:rPr>
            </w:pPr>
            <w:r w:rsidRPr="008440BF">
              <w:rPr>
                <w:rFonts w:asciiTheme="minorHAnsi" w:hAnsiTheme="minorHAnsi"/>
                <w:color w:val="000000"/>
              </w:rPr>
              <w:t>5</w:t>
            </w:r>
            <w:r w:rsidR="006A7AA5">
              <w:rPr>
                <w:rFonts w:asciiTheme="minorHAnsi" w:hAnsiTheme="minorHAnsi"/>
                <w:color w:val="000000"/>
              </w:rPr>
              <w:t>6</w:t>
            </w:r>
            <w:r w:rsidRPr="008440BF">
              <w:rPr>
                <w:rFonts w:asciiTheme="minorHAnsi" w:hAnsiTheme="minorHAnsi"/>
                <w:color w:val="000000"/>
              </w:rPr>
              <w:t>%</w:t>
            </w:r>
          </w:p>
        </w:tc>
      </w:tr>
      <w:tr w:rsidR="00E970EE" w:rsidRPr="008440BF" w14:paraId="7C090869" w14:textId="77777777">
        <w:trPr>
          <w:cantSplit/>
          <w:trHeight w:val="300"/>
          <w:jc w:val="center"/>
        </w:trPr>
        <w:tc>
          <w:tcPr>
            <w:tcW w:w="4315" w:type="dxa"/>
          </w:tcPr>
          <w:p w14:paraId="4FA71B1A" w14:textId="77777777" w:rsidR="00E970EE" w:rsidRPr="008440BF" w:rsidRDefault="00E970EE">
            <w:pPr>
              <w:pStyle w:val="BodyText"/>
              <w:ind w:left="144"/>
              <w:rPr>
                <w:rFonts w:asciiTheme="minorHAnsi" w:hAnsiTheme="minorHAnsi"/>
                <w:bCs/>
                <w:sz w:val="22"/>
                <w:szCs w:val="22"/>
              </w:rPr>
            </w:pPr>
            <w:r w:rsidRPr="008440BF">
              <w:rPr>
                <w:rFonts w:asciiTheme="minorHAnsi" w:hAnsiTheme="minorHAnsi"/>
                <w:bCs/>
                <w:sz w:val="22"/>
                <w:szCs w:val="22"/>
              </w:rPr>
              <w:t>Total</w:t>
            </w:r>
          </w:p>
        </w:tc>
        <w:tc>
          <w:tcPr>
            <w:tcW w:w="1800" w:type="dxa"/>
          </w:tcPr>
          <w:p w14:paraId="58C7976D" w14:textId="0911EEC6" w:rsidR="00E970EE" w:rsidRPr="008440BF" w:rsidRDefault="00E970EE" w:rsidP="00980F77">
            <w:pPr>
              <w:pStyle w:val="BodyText"/>
              <w:jc w:val="right"/>
              <w:rPr>
                <w:rFonts w:asciiTheme="minorHAnsi" w:hAnsiTheme="minorHAnsi"/>
                <w:bCs/>
                <w:highlight w:val="yellow"/>
              </w:rPr>
            </w:pPr>
            <w:r w:rsidRPr="008440BF">
              <w:rPr>
                <w:rFonts w:asciiTheme="minorHAnsi" w:hAnsiTheme="minorHAnsi"/>
                <w:bCs/>
              </w:rPr>
              <w:t>100%</w:t>
            </w:r>
          </w:p>
        </w:tc>
      </w:tr>
      <w:tr w:rsidR="00E970EE" w:rsidRPr="008440BF" w14:paraId="53C85A2F" w14:textId="77777777" w:rsidTr="00A57ABE">
        <w:trPr>
          <w:cantSplit/>
          <w:trHeight w:val="300"/>
          <w:jc w:val="center"/>
        </w:trPr>
        <w:tc>
          <w:tcPr>
            <w:tcW w:w="4315" w:type="dxa"/>
            <w:shd w:val="clear" w:color="auto" w:fill="F2F2F2" w:themeFill="background1" w:themeFillShade="F2"/>
          </w:tcPr>
          <w:p w14:paraId="01949FDB" w14:textId="77777777" w:rsidR="00E970EE" w:rsidRPr="008440BF" w:rsidRDefault="00E970EE">
            <w:pPr>
              <w:pStyle w:val="BodyText"/>
              <w:rPr>
                <w:rFonts w:asciiTheme="minorHAnsi" w:hAnsiTheme="minorHAnsi"/>
                <w:b/>
                <w:sz w:val="22"/>
                <w:szCs w:val="22"/>
              </w:rPr>
            </w:pPr>
            <w:r w:rsidRPr="008440BF">
              <w:rPr>
                <w:rFonts w:asciiTheme="minorHAnsi" w:hAnsiTheme="minorHAnsi"/>
                <w:b/>
                <w:sz w:val="22"/>
                <w:szCs w:val="22"/>
              </w:rPr>
              <w:t>Age</w:t>
            </w:r>
          </w:p>
        </w:tc>
        <w:tc>
          <w:tcPr>
            <w:tcW w:w="1800" w:type="dxa"/>
            <w:shd w:val="clear" w:color="auto" w:fill="F2F2F2" w:themeFill="background1" w:themeFillShade="F2"/>
          </w:tcPr>
          <w:p w14:paraId="3DC543D7" w14:textId="77777777" w:rsidR="00E970EE" w:rsidRPr="00A57ABE" w:rsidRDefault="00E970EE" w:rsidP="00980F77">
            <w:pPr>
              <w:pStyle w:val="BodyText"/>
              <w:jc w:val="right"/>
              <w:rPr>
                <w:rFonts w:asciiTheme="minorHAnsi" w:hAnsiTheme="minorHAnsi"/>
                <w:b/>
                <w:sz w:val="22"/>
                <w:szCs w:val="22"/>
              </w:rPr>
            </w:pPr>
          </w:p>
        </w:tc>
      </w:tr>
      <w:tr w:rsidR="00770EC8" w:rsidRPr="008440BF" w14:paraId="40E5E9A7" w14:textId="77777777">
        <w:trPr>
          <w:cantSplit/>
          <w:trHeight w:val="300"/>
          <w:jc w:val="center"/>
        </w:trPr>
        <w:tc>
          <w:tcPr>
            <w:tcW w:w="4315" w:type="dxa"/>
          </w:tcPr>
          <w:p w14:paraId="4838A287" w14:textId="213B75F5" w:rsidR="00770EC8" w:rsidRPr="008440BF" w:rsidRDefault="00770EC8" w:rsidP="00770EC8">
            <w:pPr>
              <w:pStyle w:val="BodyText"/>
              <w:ind w:left="144"/>
              <w:rPr>
                <w:rFonts w:asciiTheme="minorHAnsi" w:hAnsiTheme="minorHAnsi"/>
                <w:bCs/>
                <w:sz w:val="22"/>
                <w:szCs w:val="22"/>
              </w:rPr>
            </w:pPr>
            <w:r w:rsidRPr="008440BF">
              <w:rPr>
                <w:rFonts w:asciiTheme="minorHAnsi" w:hAnsiTheme="minorHAnsi"/>
                <w:bCs/>
                <w:sz w:val="22"/>
                <w:szCs w:val="22"/>
              </w:rPr>
              <w:t>0-</w:t>
            </w:r>
            <w:r w:rsidR="007C65E4">
              <w:rPr>
                <w:rFonts w:asciiTheme="minorHAnsi" w:hAnsiTheme="minorHAnsi"/>
                <w:bCs/>
                <w:sz w:val="22"/>
                <w:szCs w:val="22"/>
              </w:rPr>
              <w:t>19</w:t>
            </w:r>
          </w:p>
        </w:tc>
        <w:tc>
          <w:tcPr>
            <w:tcW w:w="1800" w:type="dxa"/>
            <w:vAlign w:val="bottom"/>
          </w:tcPr>
          <w:p w14:paraId="3FBFECA2" w14:textId="5AC9E6E8" w:rsidR="00770EC8" w:rsidRPr="00770EC8" w:rsidRDefault="00770EC8" w:rsidP="00980F77">
            <w:pPr>
              <w:pStyle w:val="BodyText"/>
              <w:jc w:val="right"/>
              <w:rPr>
                <w:rFonts w:asciiTheme="minorHAnsi" w:hAnsiTheme="minorHAnsi"/>
                <w:bCs/>
                <w:highlight w:val="yellow"/>
              </w:rPr>
            </w:pPr>
            <w:r w:rsidRPr="00770EC8">
              <w:rPr>
                <w:rFonts w:asciiTheme="minorHAnsi" w:hAnsiTheme="minorHAnsi"/>
                <w:color w:val="000000"/>
              </w:rPr>
              <w:t>2%</w:t>
            </w:r>
          </w:p>
        </w:tc>
      </w:tr>
      <w:tr w:rsidR="00770EC8" w:rsidRPr="008440BF" w14:paraId="1B8A0623" w14:textId="77777777">
        <w:trPr>
          <w:cantSplit/>
          <w:trHeight w:val="300"/>
          <w:jc w:val="center"/>
        </w:trPr>
        <w:tc>
          <w:tcPr>
            <w:tcW w:w="4315" w:type="dxa"/>
          </w:tcPr>
          <w:p w14:paraId="4F418D99" w14:textId="5D1F9340" w:rsidR="00770EC8" w:rsidRPr="008440BF" w:rsidRDefault="00770EC8" w:rsidP="00770EC8">
            <w:pPr>
              <w:pStyle w:val="BodyText"/>
              <w:ind w:left="144"/>
              <w:rPr>
                <w:rFonts w:asciiTheme="minorHAnsi" w:hAnsiTheme="minorHAnsi"/>
                <w:bCs/>
                <w:sz w:val="22"/>
                <w:szCs w:val="22"/>
              </w:rPr>
            </w:pPr>
            <w:r>
              <w:rPr>
                <w:rFonts w:asciiTheme="minorHAnsi" w:hAnsiTheme="minorHAnsi"/>
                <w:bCs/>
                <w:sz w:val="22"/>
                <w:szCs w:val="22"/>
              </w:rPr>
              <w:t>20-</w:t>
            </w:r>
            <w:r w:rsidR="007C65E4">
              <w:rPr>
                <w:rFonts w:asciiTheme="minorHAnsi" w:hAnsiTheme="minorHAnsi"/>
                <w:bCs/>
                <w:sz w:val="22"/>
                <w:szCs w:val="22"/>
              </w:rPr>
              <w:t>39</w:t>
            </w:r>
          </w:p>
        </w:tc>
        <w:tc>
          <w:tcPr>
            <w:tcW w:w="1800" w:type="dxa"/>
            <w:vAlign w:val="bottom"/>
          </w:tcPr>
          <w:p w14:paraId="20E20FEF" w14:textId="02E27C5D" w:rsidR="00770EC8" w:rsidRPr="00770EC8" w:rsidRDefault="00770EC8" w:rsidP="00980F77">
            <w:pPr>
              <w:pStyle w:val="BodyText"/>
              <w:jc w:val="right"/>
              <w:rPr>
                <w:rFonts w:asciiTheme="minorHAnsi" w:hAnsiTheme="minorHAnsi"/>
                <w:bCs/>
                <w:highlight w:val="yellow"/>
              </w:rPr>
            </w:pPr>
            <w:r w:rsidRPr="00770EC8">
              <w:rPr>
                <w:rFonts w:asciiTheme="minorHAnsi" w:hAnsiTheme="minorHAnsi"/>
                <w:color w:val="000000"/>
              </w:rPr>
              <w:t>15%</w:t>
            </w:r>
          </w:p>
        </w:tc>
      </w:tr>
      <w:tr w:rsidR="00770EC8" w:rsidRPr="008440BF" w14:paraId="26904041" w14:textId="77777777">
        <w:trPr>
          <w:cantSplit/>
          <w:trHeight w:val="300"/>
          <w:jc w:val="center"/>
        </w:trPr>
        <w:tc>
          <w:tcPr>
            <w:tcW w:w="4315" w:type="dxa"/>
          </w:tcPr>
          <w:p w14:paraId="191A3D0A" w14:textId="0C531B9C" w:rsidR="00770EC8" w:rsidRPr="008440BF" w:rsidRDefault="00770EC8" w:rsidP="00770EC8">
            <w:pPr>
              <w:pStyle w:val="BodyText"/>
              <w:ind w:left="144"/>
              <w:rPr>
                <w:rFonts w:asciiTheme="minorHAnsi" w:hAnsiTheme="minorHAnsi"/>
                <w:bCs/>
                <w:sz w:val="22"/>
                <w:szCs w:val="22"/>
              </w:rPr>
            </w:pPr>
            <w:r>
              <w:rPr>
                <w:rFonts w:asciiTheme="minorHAnsi" w:hAnsiTheme="minorHAnsi"/>
                <w:bCs/>
                <w:sz w:val="22"/>
                <w:szCs w:val="22"/>
              </w:rPr>
              <w:t>40-</w:t>
            </w:r>
            <w:r w:rsidR="00FA45FE">
              <w:rPr>
                <w:rFonts w:asciiTheme="minorHAnsi" w:hAnsiTheme="minorHAnsi"/>
                <w:bCs/>
                <w:sz w:val="22"/>
                <w:szCs w:val="22"/>
              </w:rPr>
              <w:t>59</w:t>
            </w:r>
          </w:p>
        </w:tc>
        <w:tc>
          <w:tcPr>
            <w:tcW w:w="1800" w:type="dxa"/>
            <w:vAlign w:val="bottom"/>
          </w:tcPr>
          <w:p w14:paraId="1EA477AF" w14:textId="635B85C6" w:rsidR="00770EC8" w:rsidRPr="00770EC8" w:rsidRDefault="00770EC8" w:rsidP="00980F77">
            <w:pPr>
              <w:pStyle w:val="BodyText"/>
              <w:jc w:val="right"/>
              <w:rPr>
                <w:rFonts w:asciiTheme="minorHAnsi" w:hAnsiTheme="minorHAnsi"/>
                <w:bCs/>
                <w:highlight w:val="yellow"/>
              </w:rPr>
            </w:pPr>
            <w:r w:rsidRPr="00770EC8">
              <w:rPr>
                <w:rFonts w:asciiTheme="minorHAnsi" w:hAnsiTheme="minorHAnsi"/>
                <w:color w:val="000000"/>
              </w:rPr>
              <w:t>37%</w:t>
            </w:r>
          </w:p>
        </w:tc>
      </w:tr>
      <w:tr w:rsidR="00770EC8" w:rsidRPr="008440BF" w14:paraId="7E485D58" w14:textId="77777777">
        <w:trPr>
          <w:cantSplit/>
          <w:trHeight w:val="300"/>
          <w:jc w:val="center"/>
        </w:trPr>
        <w:tc>
          <w:tcPr>
            <w:tcW w:w="4315" w:type="dxa"/>
          </w:tcPr>
          <w:p w14:paraId="06FDC2A0" w14:textId="3801BA0E" w:rsidR="00770EC8" w:rsidRPr="008440BF" w:rsidRDefault="00770EC8" w:rsidP="00770EC8">
            <w:pPr>
              <w:pStyle w:val="BodyText"/>
              <w:ind w:left="144"/>
              <w:rPr>
                <w:rFonts w:asciiTheme="minorHAnsi" w:hAnsiTheme="minorHAnsi"/>
                <w:bCs/>
                <w:sz w:val="22"/>
                <w:szCs w:val="22"/>
              </w:rPr>
            </w:pPr>
            <w:r>
              <w:rPr>
                <w:rFonts w:asciiTheme="minorHAnsi" w:hAnsiTheme="minorHAnsi"/>
                <w:bCs/>
                <w:sz w:val="22"/>
                <w:szCs w:val="22"/>
              </w:rPr>
              <w:t>60-</w:t>
            </w:r>
            <w:r w:rsidR="00A76501">
              <w:rPr>
                <w:rFonts w:asciiTheme="minorHAnsi" w:hAnsiTheme="minorHAnsi"/>
                <w:bCs/>
                <w:sz w:val="22"/>
                <w:szCs w:val="22"/>
              </w:rPr>
              <w:t>79</w:t>
            </w:r>
          </w:p>
        </w:tc>
        <w:tc>
          <w:tcPr>
            <w:tcW w:w="1800" w:type="dxa"/>
            <w:vAlign w:val="bottom"/>
          </w:tcPr>
          <w:p w14:paraId="502032C4" w14:textId="1B3E5485" w:rsidR="00770EC8" w:rsidRPr="00770EC8" w:rsidRDefault="00770EC8" w:rsidP="00980F77">
            <w:pPr>
              <w:pStyle w:val="BodyText"/>
              <w:jc w:val="right"/>
              <w:rPr>
                <w:rFonts w:asciiTheme="minorHAnsi" w:hAnsiTheme="minorHAnsi"/>
                <w:bCs/>
                <w:highlight w:val="yellow"/>
              </w:rPr>
            </w:pPr>
            <w:r w:rsidRPr="00770EC8">
              <w:rPr>
                <w:rFonts w:asciiTheme="minorHAnsi" w:hAnsiTheme="minorHAnsi"/>
                <w:color w:val="000000"/>
              </w:rPr>
              <w:t>41%</w:t>
            </w:r>
          </w:p>
        </w:tc>
      </w:tr>
      <w:tr w:rsidR="00770EC8" w:rsidRPr="008440BF" w14:paraId="0666B326" w14:textId="77777777">
        <w:trPr>
          <w:cantSplit/>
          <w:trHeight w:val="300"/>
          <w:jc w:val="center"/>
        </w:trPr>
        <w:tc>
          <w:tcPr>
            <w:tcW w:w="4315" w:type="dxa"/>
          </w:tcPr>
          <w:p w14:paraId="3931F87F" w14:textId="3B20FBCE" w:rsidR="00770EC8" w:rsidRPr="008440BF" w:rsidRDefault="00770EC8" w:rsidP="00770EC8">
            <w:pPr>
              <w:pStyle w:val="BodyText"/>
              <w:ind w:left="144"/>
              <w:rPr>
                <w:rFonts w:asciiTheme="minorHAnsi" w:hAnsiTheme="minorHAnsi"/>
                <w:bCs/>
                <w:sz w:val="22"/>
                <w:szCs w:val="22"/>
              </w:rPr>
            </w:pPr>
            <w:r>
              <w:rPr>
                <w:rFonts w:asciiTheme="minorHAnsi" w:hAnsiTheme="minorHAnsi"/>
                <w:bCs/>
                <w:sz w:val="22"/>
                <w:szCs w:val="22"/>
              </w:rPr>
              <w:t>80-100</w:t>
            </w:r>
          </w:p>
        </w:tc>
        <w:tc>
          <w:tcPr>
            <w:tcW w:w="1800" w:type="dxa"/>
            <w:vAlign w:val="bottom"/>
          </w:tcPr>
          <w:p w14:paraId="4D16FFF8" w14:textId="668898BF" w:rsidR="00770EC8" w:rsidRPr="00770EC8" w:rsidRDefault="00770EC8" w:rsidP="00980F77">
            <w:pPr>
              <w:pStyle w:val="BodyText"/>
              <w:jc w:val="right"/>
              <w:rPr>
                <w:rFonts w:asciiTheme="minorHAnsi" w:hAnsiTheme="minorHAnsi"/>
                <w:bCs/>
                <w:highlight w:val="yellow"/>
              </w:rPr>
            </w:pPr>
            <w:r w:rsidRPr="00770EC8">
              <w:rPr>
                <w:rFonts w:asciiTheme="minorHAnsi" w:hAnsiTheme="minorHAnsi"/>
                <w:color w:val="000000"/>
              </w:rPr>
              <w:t>5%</w:t>
            </w:r>
          </w:p>
        </w:tc>
      </w:tr>
      <w:tr w:rsidR="00E970EE" w:rsidRPr="008440BF" w14:paraId="0D2D4753" w14:textId="77777777">
        <w:trPr>
          <w:cantSplit/>
          <w:trHeight w:val="300"/>
          <w:jc w:val="center"/>
        </w:trPr>
        <w:tc>
          <w:tcPr>
            <w:tcW w:w="4315" w:type="dxa"/>
          </w:tcPr>
          <w:p w14:paraId="2CF37B6B" w14:textId="77777777" w:rsidR="00E970EE" w:rsidRPr="008440BF" w:rsidRDefault="00E970EE">
            <w:pPr>
              <w:pStyle w:val="BodyText"/>
              <w:ind w:left="144"/>
              <w:rPr>
                <w:rFonts w:asciiTheme="minorHAnsi" w:hAnsiTheme="minorHAnsi"/>
                <w:bCs/>
                <w:sz w:val="22"/>
                <w:szCs w:val="22"/>
              </w:rPr>
            </w:pPr>
            <w:r w:rsidRPr="008440BF">
              <w:rPr>
                <w:rFonts w:asciiTheme="minorHAnsi" w:hAnsiTheme="minorHAnsi"/>
                <w:bCs/>
                <w:sz w:val="22"/>
                <w:szCs w:val="22"/>
              </w:rPr>
              <w:t>Total</w:t>
            </w:r>
          </w:p>
        </w:tc>
        <w:tc>
          <w:tcPr>
            <w:tcW w:w="1800" w:type="dxa"/>
          </w:tcPr>
          <w:p w14:paraId="13D27DB5" w14:textId="74C96F2C" w:rsidR="00E970EE" w:rsidRPr="008440BF" w:rsidRDefault="00E970EE" w:rsidP="00980F77">
            <w:pPr>
              <w:pStyle w:val="BodyText"/>
              <w:jc w:val="right"/>
              <w:rPr>
                <w:rFonts w:asciiTheme="minorHAnsi" w:hAnsiTheme="minorHAnsi"/>
                <w:bCs/>
                <w:highlight w:val="yellow"/>
              </w:rPr>
            </w:pPr>
            <w:r w:rsidRPr="008440BF">
              <w:rPr>
                <w:rFonts w:asciiTheme="minorHAnsi" w:hAnsiTheme="minorHAnsi"/>
                <w:bCs/>
              </w:rPr>
              <w:t>100%</w:t>
            </w:r>
          </w:p>
        </w:tc>
      </w:tr>
      <w:tr w:rsidR="00E970EE" w:rsidRPr="008440BF" w14:paraId="3FDCDEC3" w14:textId="77777777">
        <w:trPr>
          <w:cantSplit/>
          <w:trHeight w:val="300"/>
          <w:jc w:val="center"/>
        </w:trPr>
        <w:tc>
          <w:tcPr>
            <w:tcW w:w="4315" w:type="dxa"/>
            <w:shd w:val="clear" w:color="auto" w:fill="F2F2F2" w:themeFill="background1" w:themeFillShade="F2"/>
          </w:tcPr>
          <w:p w14:paraId="1D15E1F8" w14:textId="77777777" w:rsidR="00E970EE" w:rsidRPr="008440BF" w:rsidRDefault="00E970EE">
            <w:pPr>
              <w:pStyle w:val="BodyText"/>
              <w:rPr>
                <w:rFonts w:asciiTheme="minorHAnsi" w:hAnsiTheme="minorHAnsi"/>
                <w:b/>
                <w:highlight w:val="yellow"/>
              </w:rPr>
            </w:pPr>
            <w:r w:rsidRPr="008440BF">
              <w:rPr>
                <w:rFonts w:asciiTheme="minorHAnsi" w:hAnsiTheme="minorHAnsi"/>
                <w:b/>
              </w:rPr>
              <w:t>Race</w:t>
            </w:r>
          </w:p>
        </w:tc>
        <w:tc>
          <w:tcPr>
            <w:tcW w:w="1800" w:type="dxa"/>
            <w:shd w:val="clear" w:color="auto" w:fill="F2F2F2" w:themeFill="background1" w:themeFillShade="F2"/>
          </w:tcPr>
          <w:p w14:paraId="6B8A9E04" w14:textId="77777777" w:rsidR="00E970EE" w:rsidRPr="008440BF" w:rsidRDefault="00E970EE" w:rsidP="00980F77">
            <w:pPr>
              <w:pStyle w:val="BodyText"/>
              <w:jc w:val="right"/>
              <w:rPr>
                <w:rFonts w:asciiTheme="minorHAnsi" w:hAnsiTheme="minorHAnsi"/>
                <w:bCs/>
                <w:sz w:val="22"/>
                <w:szCs w:val="22"/>
                <w:highlight w:val="yellow"/>
              </w:rPr>
            </w:pPr>
          </w:p>
        </w:tc>
      </w:tr>
      <w:tr w:rsidR="00BB733F" w:rsidRPr="008440BF" w14:paraId="2CD3F0DE" w14:textId="77777777">
        <w:trPr>
          <w:cantSplit/>
          <w:trHeight w:val="300"/>
          <w:jc w:val="center"/>
        </w:trPr>
        <w:tc>
          <w:tcPr>
            <w:tcW w:w="4315" w:type="dxa"/>
            <w:vAlign w:val="center"/>
          </w:tcPr>
          <w:p w14:paraId="175ABA7B" w14:textId="77777777" w:rsidR="00BB733F" w:rsidRPr="00BB733F" w:rsidRDefault="00BB733F" w:rsidP="00BB733F">
            <w:pPr>
              <w:pStyle w:val="BodyText"/>
              <w:ind w:left="144"/>
              <w:rPr>
                <w:rFonts w:asciiTheme="minorHAnsi" w:hAnsiTheme="minorHAnsi"/>
                <w:bCs/>
              </w:rPr>
            </w:pPr>
            <w:r w:rsidRPr="00BB733F">
              <w:rPr>
                <w:rFonts w:asciiTheme="minorHAnsi" w:hAnsiTheme="minorHAnsi"/>
                <w:color w:val="000000"/>
              </w:rPr>
              <w:t>White</w:t>
            </w:r>
          </w:p>
        </w:tc>
        <w:tc>
          <w:tcPr>
            <w:tcW w:w="1800" w:type="dxa"/>
            <w:vAlign w:val="bottom"/>
          </w:tcPr>
          <w:p w14:paraId="0EB0B9C8" w14:textId="0DD5A1E7" w:rsidR="00BB733F" w:rsidRPr="00BB733F" w:rsidRDefault="00BB733F" w:rsidP="00980F77">
            <w:pPr>
              <w:pStyle w:val="BodyText"/>
              <w:jc w:val="right"/>
              <w:rPr>
                <w:rFonts w:asciiTheme="minorHAnsi" w:hAnsiTheme="minorHAnsi"/>
                <w:bCs/>
                <w:highlight w:val="yellow"/>
              </w:rPr>
            </w:pPr>
            <w:r w:rsidRPr="00BB733F">
              <w:rPr>
                <w:rFonts w:asciiTheme="minorHAnsi" w:hAnsiTheme="minorHAnsi"/>
                <w:color w:val="000000"/>
              </w:rPr>
              <w:t>67%</w:t>
            </w:r>
          </w:p>
        </w:tc>
      </w:tr>
      <w:tr w:rsidR="00BB733F" w:rsidRPr="008440BF" w14:paraId="19D2FBD9" w14:textId="77777777">
        <w:trPr>
          <w:cantSplit/>
          <w:trHeight w:val="300"/>
          <w:jc w:val="center"/>
        </w:trPr>
        <w:tc>
          <w:tcPr>
            <w:tcW w:w="4315" w:type="dxa"/>
            <w:vAlign w:val="center"/>
          </w:tcPr>
          <w:p w14:paraId="59CC4BDD" w14:textId="77777777" w:rsidR="00BB733F" w:rsidRPr="00BB733F" w:rsidRDefault="00BB733F" w:rsidP="00BB733F">
            <w:pPr>
              <w:pStyle w:val="BodyText"/>
              <w:ind w:left="144"/>
              <w:rPr>
                <w:rFonts w:asciiTheme="minorHAnsi" w:hAnsiTheme="minorHAnsi"/>
                <w:bCs/>
              </w:rPr>
            </w:pPr>
            <w:r w:rsidRPr="00BB733F">
              <w:rPr>
                <w:rFonts w:asciiTheme="minorHAnsi" w:hAnsiTheme="minorHAnsi"/>
                <w:color w:val="000000"/>
              </w:rPr>
              <w:t>Black or African American</w:t>
            </w:r>
          </w:p>
        </w:tc>
        <w:tc>
          <w:tcPr>
            <w:tcW w:w="1800" w:type="dxa"/>
            <w:vAlign w:val="bottom"/>
          </w:tcPr>
          <w:p w14:paraId="0D87479D" w14:textId="57B0E2C6" w:rsidR="00BB733F" w:rsidRPr="00BB733F" w:rsidRDefault="00BB733F" w:rsidP="00980F77">
            <w:pPr>
              <w:pStyle w:val="BodyText"/>
              <w:jc w:val="right"/>
              <w:rPr>
                <w:rFonts w:asciiTheme="minorHAnsi" w:hAnsiTheme="minorHAnsi"/>
                <w:bCs/>
                <w:highlight w:val="yellow"/>
              </w:rPr>
            </w:pPr>
            <w:r w:rsidRPr="00BB733F">
              <w:rPr>
                <w:rFonts w:asciiTheme="minorHAnsi" w:hAnsiTheme="minorHAnsi"/>
                <w:color w:val="000000"/>
              </w:rPr>
              <w:t>10%</w:t>
            </w:r>
          </w:p>
        </w:tc>
      </w:tr>
      <w:tr w:rsidR="00BB733F" w:rsidRPr="008440BF" w14:paraId="64F5A669" w14:textId="77777777">
        <w:trPr>
          <w:cantSplit/>
          <w:trHeight w:val="300"/>
          <w:jc w:val="center"/>
        </w:trPr>
        <w:tc>
          <w:tcPr>
            <w:tcW w:w="4315" w:type="dxa"/>
            <w:vAlign w:val="center"/>
          </w:tcPr>
          <w:p w14:paraId="7FA6FD0C" w14:textId="77777777" w:rsidR="00BB733F" w:rsidRPr="00BB733F" w:rsidRDefault="00BB733F" w:rsidP="00BB733F">
            <w:pPr>
              <w:pStyle w:val="BodyText"/>
              <w:ind w:left="144"/>
              <w:rPr>
                <w:rFonts w:asciiTheme="minorHAnsi" w:hAnsiTheme="minorHAnsi"/>
                <w:b/>
              </w:rPr>
            </w:pPr>
            <w:r w:rsidRPr="00BB733F">
              <w:rPr>
                <w:rFonts w:asciiTheme="minorHAnsi" w:hAnsiTheme="minorHAnsi"/>
                <w:color w:val="000000"/>
              </w:rPr>
              <w:t>Asian</w:t>
            </w:r>
          </w:p>
        </w:tc>
        <w:tc>
          <w:tcPr>
            <w:tcW w:w="1800" w:type="dxa"/>
            <w:vAlign w:val="bottom"/>
          </w:tcPr>
          <w:p w14:paraId="4446A35B" w14:textId="37F8A730" w:rsidR="00BB733F" w:rsidRPr="00BB733F" w:rsidRDefault="00BB733F" w:rsidP="00980F77">
            <w:pPr>
              <w:pStyle w:val="BodyText"/>
              <w:jc w:val="right"/>
              <w:rPr>
                <w:rFonts w:asciiTheme="minorHAnsi" w:hAnsiTheme="minorHAnsi"/>
                <w:bCs/>
                <w:highlight w:val="yellow"/>
              </w:rPr>
            </w:pPr>
            <w:r w:rsidRPr="00BB733F">
              <w:rPr>
                <w:rFonts w:asciiTheme="minorHAnsi" w:hAnsiTheme="minorHAnsi"/>
                <w:color w:val="000000"/>
              </w:rPr>
              <w:t>7%</w:t>
            </w:r>
          </w:p>
        </w:tc>
      </w:tr>
      <w:tr w:rsidR="00BB733F" w:rsidRPr="008440BF" w14:paraId="5DE3695E" w14:textId="77777777">
        <w:trPr>
          <w:cantSplit/>
          <w:trHeight w:val="300"/>
          <w:jc w:val="center"/>
        </w:trPr>
        <w:tc>
          <w:tcPr>
            <w:tcW w:w="4315" w:type="dxa"/>
            <w:vAlign w:val="center"/>
          </w:tcPr>
          <w:p w14:paraId="3EF6490D" w14:textId="36DCC024" w:rsidR="00BB733F" w:rsidRPr="00BB733F" w:rsidRDefault="00BB733F" w:rsidP="00BB733F">
            <w:pPr>
              <w:pStyle w:val="BodyText"/>
              <w:ind w:left="144"/>
              <w:rPr>
                <w:rFonts w:asciiTheme="minorHAnsi" w:hAnsiTheme="minorHAnsi"/>
                <w:bCs/>
              </w:rPr>
            </w:pPr>
            <w:r w:rsidRPr="00BB733F">
              <w:rPr>
                <w:rFonts w:asciiTheme="minorHAnsi" w:hAnsiTheme="minorHAnsi"/>
                <w:color w:val="000000"/>
              </w:rPr>
              <w:t>Other</w:t>
            </w:r>
            <w:r w:rsidRPr="00BB733F">
              <w:rPr>
                <w:rFonts w:asciiTheme="minorHAnsi" w:hAnsiTheme="minorHAnsi"/>
              </w:rPr>
              <w:t xml:space="preserve">/ </w:t>
            </w:r>
            <w:r w:rsidRPr="00BB733F">
              <w:rPr>
                <w:rFonts w:asciiTheme="minorHAnsi" w:hAnsiTheme="minorHAnsi"/>
                <w:color w:val="000000"/>
              </w:rPr>
              <w:t>Unknown</w:t>
            </w:r>
            <w:r w:rsidRPr="00BB733F">
              <w:rPr>
                <w:rStyle w:val="FootnoteReference"/>
                <w:rFonts w:asciiTheme="minorHAnsi" w:hAnsiTheme="minorHAnsi"/>
                <w:color w:val="000000"/>
              </w:rPr>
              <w:footnoteReference w:id="8"/>
            </w:r>
          </w:p>
        </w:tc>
        <w:tc>
          <w:tcPr>
            <w:tcW w:w="1800" w:type="dxa"/>
            <w:vAlign w:val="bottom"/>
          </w:tcPr>
          <w:p w14:paraId="095D5DC8" w14:textId="5932AD6F" w:rsidR="00BB733F" w:rsidRPr="00BB733F" w:rsidRDefault="00BB733F" w:rsidP="00980F77">
            <w:pPr>
              <w:pStyle w:val="BodyText"/>
              <w:jc w:val="right"/>
              <w:rPr>
                <w:rFonts w:asciiTheme="minorHAnsi" w:hAnsiTheme="minorHAnsi"/>
                <w:bCs/>
                <w:highlight w:val="yellow"/>
              </w:rPr>
            </w:pPr>
            <w:r w:rsidRPr="00BB733F">
              <w:rPr>
                <w:rFonts w:asciiTheme="minorHAnsi" w:hAnsiTheme="minorHAnsi"/>
                <w:color w:val="000000"/>
              </w:rPr>
              <w:t>16%</w:t>
            </w:r>
          </w:p>
        </w:tc>
      </w:tr>
      <w:tr w:rsidR="00BB733F" w:rsidRPr="008440BF" w14:paraId="1D2B000F" w14:textId="77777777">
        <w:trPr>
          <w:cantSplit/>
          <w:trHeight w:val="300"/>
          <w:jc w:val="center"/>
        </w:trPr>
        <w:tc>
          <w:tcPr>
            <w:tcW w:w="4315" w:type="dxa"/>
          </w:tcPr>
          <w:p w14:paraId="1FC38887" w14:textId="77777777" w:rsidR="00BB733F" w:rsidRPr="00BB733F" w:rsidRDefault="00BB733F" w:rsidP="00BB733F">
            <w:pPr>
              <w:pStyle w:val="BodyText"/>
              <w:ind w:left="144"/>
              <w:rPr>
                <w:rFonts w:asciiTheme="minorHAnsi" w:hAnsiTheme="minorHAnsi"/>
                <w:bCs/>
              </w:rPr>
            </w:pPr>
            <w:r w:rsidRPr="00BB733F">
              <w:rPr>
                <w:rFonts w:asciiTheme="minorHAnsi" w:hAnsiTheme="minorHAnsi"/>
                <w:bCs/>
              </w:rPr>
              <w:t>Total</w:t>
            </w:r>
          </w:p>
        </w:tc>
        <w:tc>
          <w:tcPr>
            <w:tcW w:w="1800" w:type="dxa"/>
          </w:tcPr>
          <w:p w14:paraId="2B595552" w14:textId="25324867" w:rsidR="00BB733F" w:rsidRPr="00BB733F" w:rsidRDefault="00BB733F" w:rsidP="00980F77">
            <w:pPr>
              <w:pStyle w:val="BodyText"/>
              <w:jc w:val="right"/>
              <w:rPr>
                <w:rFonts w:asciiTheme="minorHAnsi" w:hAnsiTheme="minorHAnsi"/>
                <w:bCs/>
              </w:rPr>
            </w:pPr>
            <w:r w:rsidRPr="00BB733F">
              <w:rPr>
                <w:rFonts w:asciiTheme="minorHAnsi" w:hAnsiTheme="minorHAnsi"/>
                <w:bCs/>
              </w:rPr>
              <w:t>100%</w:t>
            </w:r>
          </w:p>
        </w:tc>
      </w:tr>
      <w:tr w:rsidR="00BB733F" w:rsidRPr="008440BF" w14:paraId="1725FE61" w14:textId="77777777">
        <w:trPr>
          <w:cantSplit/>
          <w:trHeight w:val="300"/>
          <w:jc w:val="center"/>
        </w:trPr>
        <w:tc>
          <w:tcPr>
            <w:tcW w:w="4315" w:type="dxa"/>
            <w:tcBorders>
              <w:bottom w:val="single" w:sz="4" w:space="0" w:color="auto"/>
            </w:tcBorders>
            <w:shd w:val="clear" w:color="auto" w:fill="F2F2F2" w:themeFill="background1" w:themeFillShade="F2"/>
          </w:tcPr>
          <w:p w14:paraId="15AE0E0D" w14:textId="77777777" w:rsidR="00BB733F" w:rsidRPr="008440BF" w:rsidRDefault="00BB733F" w:rsidP="00BB733F">
            <w:pPr>
              <w:pStyle w:val="BodyText"/>
              <w:rPr>
                <w:rFonts w:asciiTheme="minorHAnsi" w:hAnsiTheme="minorHAnsi"/>
                <w:b/>
                <w:highlight w:val="yellow"/>
              </w:rPr>
            </w:pPr>
            <w:r w:rsidRPr="008440BF">
              <w:rPr>
                <w:rFonts w:asciiTheme="minorHAnsi" w:hAnsiTheme="minorHAnsi"/>
                <w:b/>
              </w:rPr>
              <w:t>Ethnicity</w:t>
            </w:r>
          </w:p>
        </w:tc>
        <w:tc>
          <w:tcPr>
            <w:tcW w:w="1800" w:type="dxa"/>
            <w:tcBorders>
              <w:bottom w:val="single" w:sz="4" w:space="0" w:color="auto"/>
            </w:tcBorders>
            <w:shd w:val="clear" w:color="auto" w:fill="F2F2F2" w:themeFill="background1" w:themeFillShade="F2"/>
          </w:tcPr>
          <w:p w14:paraId="515DD0F4" w14:textId="77777777" w:rsidR="00BB733F" w:rsidRPr="008440BF" w:rsidRDefault="00BB733F" w:rsidP="00980F77">
            <w:pPr>
              <w:pStyle w:val="BodyText"/>
              <w:jc w:val="right"/>
              <w:rPr>
                <w:rFonts w:asciiTheme="minorHAnsi" w:hAnsiTheme="minorHAnsi"/>
                <w:b/>
                <w:sz w:val="22"/>
                <w:szCs w:val="22"/>
                <w:highlight w:val="yellow"/>
              </w:rPr>
            </w:pPr>
          </w:p>
        </w:tc>
      </w:tr>
      <w:tr w:rsidR="0039203B" w:rsidRPr="008440BF" w14:paraId="587C828C" w14:textId="77777777">
        <w:trPr>
          <w:cantSplit/>
          <w:trHeight w:val="300"/>
          <w:jc w:val="center"/>
        </w:trPr>
        <w:tc>
          <w:tcPr>
            <w:tcW w:w="4315" w:type="dxa"/>
            <w:vAlign w:val="center"/>
          </w:tcPr>
          <w:p w14:paraId="279C8BA2" w14:textId="455CE3FB" w:rsidR="0039203B" w:rsidRPr="008440BF" w:rsidRDefault="0039203B" w:rsidP="0039203B">
            <w:pPr>
              <w:pStyle w:val="BodyText"/>
              <w:ind w:left="144"/>
              <w:rPr>
                <w:rFonts w:asciiTheme="minorHAnsi" w:hAnsiTheme="minorHAnsi"/>
                <w:bCs/>
              </w:rPr>
            </w:pPr>
            <w:r w:rsidRPr="008440BF">
              <w:rPr>
                <w:rFonts w:asciiTheme="minorHAnsi" w:hAnsiTheme="minorHAnsi"/>
                <w:bCs/>
              </w:rPr>
              <w:t>Hispanic</w:t>
            </w:r>
          </w:p>
        </w:tc>
        <w:tc>
          <w:tcPr>
            <w:tcW w:w="1800" w:type="dxa"/>
            <w:vAlign w:val="bottom"/>
          </w:tcPr>
          <w:p w14:paraId="3BA588C3" w14:textId="4DF2C8DC" w:rsidR="0039203B" w:rsidRPr="0039203B" w:rsidRDefault="0039203B" w:rsidP="00980F77">
            <w:pPr>
              <w:pStyle w:val="BodyText"/>
              <w:jc w:val="right"/>
              <w:rPr>
                <w:rFonts w:asciiTheme="minorHAnsi" w:hAnsiTheme="minorHAnsi"/>
                <w:bCs/>
              </w:rPr>
            </w:pPr>
            <w:r w:rsidRPr="0039203B">
              <w:rPr>
                <w:rFonts w:asciiTheme="minorHAnsi" w:hAnsiTheme="minorHAnsi"/>
                <w:bCs/>
              </w:rPr>
              <w:t>16%</w:t>
            </w:r>
          </w:p>
        </w:tc>
      </w:tr>
      <w:tr w:rsidR="0039203B" w:rsidRPr="008440BF" w14:paraId="702A7649" w14:textId="77777777">
        <w:trPr>
          <w:cantSplit/>
          <w:trHeight w:val="300"/>
          <w:jc w:val="center"/>
        </w:trPr>
        <w:tc>
          <w:tcPr>
            <w:tcW w:w="4315" w:type="dxa"/>
            <w:vAlign w:val="center"/>
          </w:tcPr>
          <w:p w14:paraId="3BA9094E" w14:textId="6EBC0159" w:rsidR="0039203B" w:rsidRPr="008440BF" w:rsidRDefault="0039203B" w:rsidP="0039203B">
            <w:pPr>
              <w:pStyle w:val="BodyText"/>
              <w:ind w:left="144"/>
              <w:rPr>
                <w:rFonts w:asciiTheme="minorHAnsi" w:hAnsiTheme="minorHAnsi"/>
                <w:bCs/>
              </w:rPr>
            </w:pPr>
            <w:r w:rsidRPr="008440BF">
              <w:rPr>
                <w:rFonts w:asciiTheme="minorHAnsi" w:hAnsiTheme="minorHAnsi"/>
                <w:bCs/>
              </w:rPr>
              <w:lastRenderedPageBreak/>
              <w:t>Not Hispanic</w:t>
            </w:r>
          </w:p>
        </w:tc>
        <w:tc>
          <w:tcPr>
            <w:tcW w:w="1800" w:type="dxa"/>
            <w:vAlign w:val="bottom"/>
          </w:tcPr>
          <w:p w14:paraId="5ED6C402" w14:textId="71A8D92C" w:rsidR="0039203B" w:rsidRPr="0039203B" w:rsidRDefault="0039203B" w:rsidP="00980F77">
            <w:pPr>
              <w:pStyle w:val="BodyText"/>
              <w:jc w:val="right"/>
              <w:rPr>
                <w:rFonts w:asciiTheme="minorHAnsi" w:hAnsiTheme="minorHAnsi"/>
                <w:bCs/>
              </w:rPr>
            </w:pPr>
            <w:r w:rsidRPr="0039203B">
              <w:rPr>
                <w:rFonts w:asciiTheme="minorHAnsi" w:hAnsiTheme="minorHAnsi"/>
                <w:bCs/>
              </w:rPr>
              <w:t>78%</w:t>
            </w:r>
          </w:p>
        </w:tc>
      </w:tr>
      <w:tr w:rsidR="0039203B" w:rsidRPr="008440BF" w14:paraId="53913374" w14:textId="77777777">
        <w:trPr>
          <w:cantSplit/>
          <w:trHeight w:val="300"/>
          <w:jc w:val="center"/>
        </w:trPr>
        <w:tc>
          <w:tcPr>
            <w:tcW w:w="4315" w:type="dxa"/>
            <w:vAlign w:val="center"/>
          </w:tcPr>
          <w:p w14:paraId="2808CE80" w14:textId="561B2DA4" w:rsidR="0039203B" w:rsidRPr="00B22909" w:rsidRDefault="0039203B" w:rsidP="0039203B">
            <w:pPr>
              <w:pStyle w:val="BodyText"/>
              <w:rPr>
                <w:rFonts w:asciiTheme="minorHAnsi" w:hAnsiTheme="minorHAnsi"/>
                <w:bCs/>
              </w:rPr>
            </w:pPr>
            <w:r>
              <w:rPr>
                <w:rFonts w:asciiTheme="minorHAnsi" w:hAnsiTheme="minorHAnsi"/>
                <w:b/>
              </w:rPr>
              <w:t xml:space="preserve">  </w:t>
            </w:r>
            <w:r w:rsidRPr="00B22909">
              <w:rPr>
                <w:rFonts w:asciiTheme="minorHAnsi" w:hAnsiTheme="minorHAnsi"/>
                <w:bCs/>
              </w:rPr>
              <w:t>Other</w:t>
            </w:r>
          </w:p>
        </w:tc>
        <w:tc>
          <w:tcPr>
            <w:tcW w:w="1800" w:type="dxa"/>
            <w:vAlign w:val="bottom"/>
          </w:tcPr>
          <w:p w14:paraId="74E6C144" w14:textId="24F72E4B" w:rsidR="0039203B" w:rsidRPr="0039203B" w:rsidRDefault="0039203B" w:rsidP="00980F77">
            <w:pPr>
              <w:pStyle w:val="BodyText"/>
              <w:jc w:val="right"/>
              <w:rPr>
                <w:rFonts w:asciiTheme="minorHAnsi" w:hAnsiTheme="minorHAnsi"/>
                <w:bCs/>
              </w:rPr>
            </w:pPr>
            <w:r w:rsidRPr="0039203B">
              <w:rPr>
                <w:rFonts w:asciiTheme="minorHAnsi" w:hAnsiTheme="minorHAnsi"/>
                <w:bCs/>
              </w:rPr>
              <w:t>6%</w:t>
            </w:r>
          </w:p>
        </w:tc>
      </w:tr>
      <w:tr w:rsidR="00BB733F" w:rsidRPr="008440BF" w14:paraId="636B3D56" w14:textId="77777777">
        <w:trPr>
          <w:cantSplit/>
          <w:trHeight w:val="300"/>
          <w:jc w:val="center"/>
        </w:trPr>
        <w:tc>
          <w:tcPr>
            <w:tcW w:w="4315" w:type="dxa"/>
          </w:tcPr>
          <w:p w14:paraId="046FDCC2" w14:textId="77777777" w:rsidR="00BB733F" w:rsidRPr="008440BF" w:rsidRDefault="00BB733F" w:rsidP="00BB733F">
            <w:pPr>
              <w:pStyle w:val="BodyText"/>
              <w:ind w:left="144"/>
              <w:rPr>
                <w:rFonts w:asciiTheme="minorHAnsi" w:hAnsiTheme="minorHAnsi"/>
                <w:bCs/>
              </w:rPr>
            </w:pPr>
            <w:r w:rsidRPr="008440BF">
              <w:rPr>
                <w:rFonts w:asciiTheme="minorHAnsi" w:hAnsiTheme="minorHAnsi"/>
                <w:bCs/>
              </w:rPr>
              <w:t>Total</w:t>
            </w:r>
          </w:p>
        </w:tc>
        <w:tc>
          <w:tcPr>
            <w:tcW w:w="1800" w:type="dxa"/>
          </w:tcPr>
          <w:p w14:paraId="5274BC5E" w14:textId="37AC316D" w:rsidR="00BB733F" w:rsidRPr="008440BF" w:rsidRDefault="00BB733F" w:rsidP="00980F77">
            <w:pPr>
              <w:pStyle w:val="BodyText"/>
              <w:jc w:val="right"/>
              <w:rPr>
                <w:rFonts w:asciiTheme="minorHAnsi" w:hAnsiTheme="minorHAnsi"/>
                <w:bCs/>
                <w:highlight w:val="yellow"/>
              </w:rPr>
            </w:pPr>
            <w:r w:rsidRPr="008440BF">
              <w:rPr>
                <w:rFonts w:asciiTheme="minorHAnsi" w:hAnsiTheme="minorHAnsi"/>
                <w:bCs/>
              </w:rPr>
              <w:t>100%</w:t>
            </w:r>
          </w:p>
        </w:tc>
      </w:tr>
      <w:tr w:rsidR="00BB733F" w:rsidRPr="008440BF" w14:paraId="1707B332" w14:textId="77777777">
        <w:trPr>
          <w:cantSplit/>
          <w:trHeight w:val="300"/>
          <w:jc w:val="center"/>
        </w:trPr>
        <w:tc>
          <w:tcPr>
            <w:tcW w:w="4315" w:type="dxa"/>
            <w:tcBorders>
              <w:bottom w:val="single" w:sz="4" w:space="0" w:color="auto"/>
            </w:tcBorders>
            <w:shd w:val="clear" w:color="auto" w:fill="F2F2F2" w:themeFill="background1" w:themeFillShade="F2"/>
          </w:tcPr>
          <w:p w14:paraId="241CE842" w14:textId="77777777" w:rsidR="00BB733F" w:rsidRPr="008440BF" w:rsidRDefault="00BB733F" w:rsidP="00BB733F">
            <w:pPr>
              <w:pStyle w:val="BodyText"/>
              <w:rPr>
                <w:rFonts w:asciiTheme="minorHAnsi" w:hAnsiTheme="minorHAnsi"/>
                <w:b/>
                <w:sz w:val="22"/>
                <w:szCs w:val="22"/>
              </w:rPr>
            </w:pPr>
            <w:r w:rsidRPr="008440BF">
              <w:rPr>
                <w:rFonts w:asciiTheme="minorHAnsi" w:hAnsiTheme="minorHAnsi"/>
                <w:b/>
                <w:sz w:val="22"/>
                <w:szCs w:val="22"/>
              </w:rPr>
              <w:t>Patient Origin</w:t>
            </w:r>
            <w:r w:rsidRPr="008440BF">
              <w:rPr>
                <w:rFonts w:asciiTheme="minorHAnsi" w:hAnsiTheme="minorHAnsi"/>
              </w:rPr>
              <w:t xml:space="preserve"> - </w:t>
            </w:r>
            <w:r w:rsidRPr="008440BF">
              <w:rPr>
                <w:rFonts w:asciiTheme="minorHAnsi" w:hAnsiTheme="minorHAnsi"/>
                <w:b/>
                <w:sz w:val="22"/>
                <w:szCs w:val="22"/>
              </w:rPr>
              <w:t>Top 75% Cities/Towns</w:t>
            </w:r>
          </w:p>
        </w:tc>
        <w:tc>
          <w:tcPr>
            <w:tcW w:w="1800" w:type="dxa"/>
            <w:tcBorders>
              <w:bottom w:val="single" w:sz="4" w:space="0" w:color="auto"/>
            </w:tcBorders>
            <w:shd w:val="clear" w:color="auto" w:fill="F2F2F2" w:themeFill="background1" w:themeFillShade="F2"/>
          </w:tcPr>
          <w:p w14:paraId="0406E18E" w14:textId="77777777" w:rsidR="00BB733F" w:rsidRPr="008440BF" w:rsidRDefault="00BB733F" w:rsidP="00980F77">
            <w:pPr>
              <w:pStyle w:val="BodyText"/>
              <w:jc w:val="right"/>
              <w:rPr>
                <w:rFonts w:asciiTheme="minorHAnsi" w:hAnsiTheme="minorHAnsi"/>
                <w:b/>
                <w:sz w:val="22"/>
                <w:szCs w:val="22"/>
                <w:highlight w:val="yellow"/>
              </w:rPr>
            </w:pPr>
          </w:p>
        </w:tc>
      </w:tr>
      <w:tr w:rsidR="0049267D" w:rsidRPr="008440BF" w14:paraId="6FEFF6BB" w14:textId="77777777">
        <w:trPr>
          <w:cantSplit/>
          <w:trHeight w:val="300"/>
          <w:jc w:val="center"/>
        </w:trPr>
        <w:tc>
          <w:tcPr>
            <w:tcW w:w="4315" w:type="dxa"/>
            <w:tcBorders>
              <w:top w:val="single" w:sz="4" w:space="0" w:color="auto"/>
              <w:left w:val="single" w:sz="4" w:space="0" w:color="auto"/>
              <w:bottom w:val="single" w:sz="4" w:space="0" w:color="auto"/>
              <w:right w:val="single" w:sz="4" w:space="0" w:color="auto"/>
            </w:tcBorders>
            <w:vAlign w:val="bottom"/>
          </w:tcPr>
          <w:p w14:paraId="1D7237E5" w14:textId="2E361C43" w:rsidR="0049267D" w:rsidRPr="009670BD" w:rsidRDefault="0049267D" w:rsidP="0049267D">
            <w:pPr>
              <w:pStyle w:val="BodyText"/>
              <w:ind w:left="144"/>
              <w:rPr>
                <w:rFonts w:asciiTheme="minorHAnsi" w:hAnsiTheme="minorHAnsi"/>
              </w:rPr>
            </w:pPr>
            <w:r w:rsidRPr="009670BD">
              <w:rPr>
                <w:rFonts w:asciiTheme="minorHAnsi" w:hAnsiTheme="minorHAnsi"/>
              </w:rPr>
              <w:t>Boston</w:t>
            </w:r>
            <w:r w:rsidRPr="009670BD">
              <w:rPr>
                <w:rStyle w:val="FootnoteReference"/>
                <w:rFonts w:asciiTheme="minorHAnsi" w:hAnsiTheme="minorHAnsi"/>
              </w:rPr>
              <w:footnoteReference w:id="9"/>
            </w:r>
          </w:p>
        </w:tc>
        <w:tc>
          <w:tcPr>
            <w:tcW w:w="1800" w:type="dxa"/>
            <w:tcBorders>
              <w:top w:val="single" w:sz="4" w:space="0" w:color="auto"/>
              <w:left w:val="single" w:sz="4" w:space="0" w:color="auto"/>
              <w:bottom w:val="single" w:sz="4" w:space="0" w:color="auto"/>
              <w:right w:val="single" w:sz="4" w:space="0" w:color="auto"/>
            </w:tcBorders>
            <w:vAlign w:val="bottom"/>
          </w:tcPr>
          <w:p w14:paraId="41D6FE8B" w14:textId="7AE057C3" w:rsidR="0049267D" w:rsidRPr="0049267D" w:rsidRDefault="0049267D" w:rsidP="00980F77">
            <w:pPr>
              <w:pStyle w:val="BodyText"/>
              <w:jc w:val="right"/>
              <w:rPr>
                <w:rFonts w:asciiTheme="minorHAnsi" w:hAnsiTheme="minorHAnsi"/>
                <w:bCs/>
              </w:rPr>
            </w:pPr>
            <w:r w:rsidRPr="0049267D">
              <w:rPr>
                <w:rFonts w:asciiTheme="minorHAnsi" w:hAnsiTheme="minorHAnsi"/>
                <w:bCs/>
              </w:rPr>
              <w:t>43%</w:t>
            </w:r>
          </w:p>
        </w:tc>
      </w:tr>
      <w:tr w:rsidR="0049267D" w:rsidRPr="008440BF" w14:paraId="5131F782" w14:textId="77777777">
        <w:trPr>
          <w:cantSplit/>
          <w:trHeight w:val="300"/>
          <w:jc w:val="center"/>
        </w:trPr>
        <w:tc>
          <w:tcPr>
            <w:tcW w:w="4315" w:type="dxa"/>
            <w:tcBorders>
              <w:top w:val="single" w:sz="4" w:space="0" w:color="auto"/>
              <w:left w:val="single" w:sz="4" w:space="0" w:color="auto"/>
              <w:bottom w:val="single" w:sz="4" w:space="0" w:color="auto"/>
              <w:right w:val="single" w:sz="4" w:space="0" w:color="auto"/>
            </w:tcBorders>
            <w:vAlign w:val="bottom"/>
          </w:tcPr>
          <w:p w14:paraId="63D954C6" w14:textId="4E32751C" w:rsidR="0049267D" w:rsidRPr="009670BD" w:rsidRDefault="0049267D" w:rsidP="0049267D">
            <w:pPr>
              <w:pStyle w:val="BodyText"/>
              <w:ind w:left="144"/>
              <w:rPr>
                <w:rFonts w:asciiTheme="minorHAnsi" w:hAnsiTheme="minorHAnsi"/>
              </w:rPr>
            </w:pPr>
            <w:r w:rsidRPr="009670BD">
              <w:rPr>
                <w:rFonts w:asciiTheme="minorHAnsi" w:hAnsiTheme="minorHAnsi"/>
              </w:rPr>
              <w:t>Cambridge</w:t>
            </w:r>
            <w:r w:rsidR="0012381F" w:rsidRPr="009670BD">
              <w:rPr>
                <w:rStyle w:val="FootnoteReference"/>
                <w:rFonts w:asciiTheme="minorHAnsi" w:hAnsiTheme="minorHAnsi"/>
              </w:rPr>
              <w:footnoteReference w:id="10"/>
            </w:r>
          </w:p>
        </w:tc>
        <w:tc>
          <w:tcPr>
            <w:tcW w:w="1800" w:type="dxa"/>
            <w:tcBorders>
              <w:top w:val="single" w:sz="4" w:space="0" w:color="auto"/>
              <w:left w:val="single" w:sz="4" w:space="0" w:color="auto"/>
              <w:bottom w:val="single" w:sz="4" w:space="0" w:color="auto"/>
              <w:right w:val="single" w:sz="4" w:space="0" w:color="auto"/>
            </w:tcBorders>
            <w:vAlign w:val="bottom"/>
          </w:tcPr>
          <w:p w14:paraId="23961F0D" w14:textId="4051A64B" w:rsidR="0049267D" w:rsidRPr="0049267D" w:rsidRDefault="0049267D" w:rsidP="00980F77">
            <w:pPr>
              <w:pStyle w:val="BodyText"/>
              <w:jc w:val="right"/>
              <w:rPr>
                <w:rFonts w:asciiTheme="minorHAnsi" w:hAnsiTheme="minorHAnsi"/>
                <w:bCs/>
              </w:rPr>
            </w:pPr>
            <w:r w:rsidRPr="0049267D">
              <w:rPr>
                <w:rFonts w:asciiTheme="minorHAnsi" w:hAnsiTheme="minorHAnsi"/>
                <w:bCs/>
              </w:rPr>
              <w:t>9%</w:t>
            </w:r>
          </w:p>
        </w:tc>
      </w:tr>
      <w:tr w:rsidR="0049267D" w:rsidRPr="008440BF" w14:paraId="794F7852" w14:textId="77777777">
        <w:trPr>
          <w:cantSplit/>
          <w:trHeight w:val="300"/>
          <w:jc w:val="center"/>
        </w:trPr>
        <w:tc>
          <w:tcPr>
            <w:tcW w:w="4315" w:type="dxa"/>
            <w:tcBorders>
              <w:top w:val="single" w:sz="4" w:space="0" w:color="auto"/>
              <w:left w:val="single" w:sz="4" w:space="0" w:color="auto"/>
              <w:bottom w:val="single" w:sz="4" w:space="0" w:color="auto"/>
              <w:right w:val="single" w:sz="4" w:space="0" w:color="auto"/>
            </w:tcBorders>
            <w:vAlign w:val="bottom"/>
          </w:tcPr>
          <w:p w14:paraId="04F12280" w14:textId="5486CCAE" w:rsidR="0049267D" w:rsidRPr="009670BD" w:rsidRDefault="0049267D" w:rsidP="0049267D">
            <w:pPr>
              <w:pStyle w:val="BodyText"/>
              <w:ind w:left="144"/>
              <w:rPr>
                <w:rFonts w:asciiTheme="minorHAnsi" w:hAnsiTheme="minorHAnsi"/>
              </w:rPr>
            </w:pPr>
            <w:r w:rsidRPr="009670BD">
              <w:rPr>
                <w:rFonts w:asciiTheme="minorHAnsi" w:hAnsiTheme="minorHAnsi"/>
              </w:rPr>
              <w:t>Revere</w:t>
            </w:r>
          </w:p>
        </w:tc>
        <w:tc>
          <w:tcPr>
            <w:tcW w:w="1800" w:type="dxa"/>
            <w:tcBorders>
              <w:top w:val="single" w:sz="4" w:space="0" w:color="auto"/>
              <w:left w:val="single" w:sz="4" w:space="0" w:color="auto"/>
              <w:bottom w:val="single" w:sz="4" w:space="0" w:color="auto"/>
              <w:right w:val="single" w:sz="4" w:space="0" w:color="auto"/>
            </w:tcBorders>
            <w:vAlign w:val="bottom"/>
          </w:tcPr>
          <w:p w14:paraId="31C54E09" w14:textId="28316B2D" w:rsidR="0049267D" w:rsidRPr="0049267D" w:rsidRDefault="0049267D" w:rsidP="00980F77">
            <w:pPr>
              <w:pStyle w:val="BodyText"/>
              <w:jc w:val="right"/>
              <w:rPr>
                <w:rFonts w:asciiTheme="minorHAnsi" w:hAnsiTheme="minorHAnsi"/>
                <w:bCs/>
              </w:rPr>
            </w:pPr>
            <w:r w:rsidRPr="0049267D">
              <w:rPr>
                <w:rFonts w:asciiTheme="minorHAnsi" w:hAnsiTheme="minorHAnsi"/>
                <w:bCs/>
              </w:rPr>
              <w:t>8%</w:t>
            </w:r>
          </w:p>
        </w:tc>
      </w:tr>
      <w:tr w:rsidR="0049267D" w:rsidRPr="008440BF" w14:paraId="472C5B8B" w14:textId="77777777">
        <w:trPr>
          <w:cantSplit/>
          <w:trHeight w:val="300"/>
          <w:jc w:val="center"/>
        </w:trPr>
        <w:tc>
          <w:tcPr>
            <w:tcW w:w="4315" w:type="dxa"/>
            <w:tcBorders>
              <w:top w:val="single" w:sz="4" w:space="0" w:color="auto"/>
              <w:left w:val="single" w:sz="4" w:space="0" w:color="auto"/>
              <w:bottom w:val="single" w:sz="4" w:space="0" w:color="auto"/>
              <w:right w:val="single" w:sz="4" w:space="0" w:color="auto"/>
            </w:tcBorders>
            <w:vAlign w:val="bottom"/>
          </w:tcPr>
          <w:p w14:paraId="78C7E5CF" w14:textId="58B5C828" w:rsidR="0049267D" w:rsidRPr="009670BD" w:rsidRDefault="0049267D" w:rsidP="0049267D">
            <w:pPr>
              <w:pStyle w:val="BodyText"/>
              <w:ind w:left="144"/>
              <w:rPr>
                <w:rFonts w:asciiTheme="minorHAnsi" w:hAnsiTheme="minorHAnsi"/>
              </w:rPr>
            </w:pPr>
            <w:r w:rsidRPr="009670BD">
              <w:rPr>
                <w:rFonts w:asciiTheme="minorHAnsi" w:hAnsiTheme="minorHAnsi"/>
              </w:rPr>
              <w:t>Chelsea</w:t>
            </w:r>
          </w:p>
        </w:tc>
        <w:tc>
          <w:tcPr>
            <w:tcW w:w="1800" w:type="dxa"/>
            <w:tcBorders>
              <w:top w:val="single" w:sz="4" w:space="0" w:color="auto"/>
              <w:left w:val="single" w:sz="4" w:space="0" w:color="auto"/>
              <w:bottom w:val="single" w:sz="4" w:space="0" w:color="auto"/>
              <w:right w:val="single" w:sz="4" w:space="0" w:color="auto"/>
            </w:tcBorders>
            <w:vAlign w:val="bottom"/>
          </w:tcPr>
          <w:p w14:paraId="27C83880" w14:textId="344FDA81" w:rsidR="0049267D" w:rsidRPr="0049267D" w:rsidRDefault="0049267D" w:rsidP="00980F77">
            <w:pPr>
              <w:pStyle w:val="BodyText"/>
              <w:jc w:val="right"/>
              <w:rPr>
                <w:rFonts w:asciiTheme="minorHAnsi" w:hAnsiTheme="minorHAnsi"/>
                <w:bCs/>
              </w:rPr>
            </w:pPr>
            <w:r w:rsidRPr="0049267D">
              <w:rPr>
                <w:rFonts w:asciiTheme="minorHAnsi" w:hAnsiTheme="minorHAnsi"/>
                <w:bCs/>
              </w:rPr>
              <w:t>5%</w:t>
            </w:r>
          </w:p>
        </w:tc>
      </w:tr>
      <w:tr w:rsidR="0049267D" w:rsidRPr="008440BF" w14:paraId="0DF00853" w14:textId="77777777">
        <w:trPr>
          <w:cantSplit/>
          <w:trHeight w:val="300"/>
          <w:jc w:val="center"/>
        </w:trPr>
        <w:tc>
          <w:tcPr>
            <w:tcW w:w="4315" w:type="dxa"/>
            <w:tcBorders>
              <w:top w:val="single" w:sz="4" w:space="0" w:color="auto"/>
              <w:left w:val="single" w:sz="4" w:space="0" w:color="auto"/>
              <w:bottom w:val="single" w:sz="4" w:space="0" w:color="auto"/>
              <w:right w:val="single" w:sz="4" w:space="0" w:color="auto"/>
            </w:tcBorders>
            <w:vAlign w:val="bottom"/>
          </w:tcPr>
          <w:p w14:paraId="0BC0C38F" w14:textId="62802470" w:rsidR="0049267D" w:rsidRPr="009670BD" w:rsidRDefault="0049267D" w:rsidP="0049267D">
            <w:pPr>
              <w:pStyle w:val="BodyText"/>
              <w:ind w:left="144"/>
              <w:rPr>
                <w:rFonts w:asciiTheme="minorHAnsi" w:hAnsiTheme="minorHAnsi"/>
              </w:rPr>
            </w:pPr>
            <w:r w:rsidRPr="009670BD">
              <w:rPr>
                <w:rFonts w:asciiTheme="minorHAnsi" w:hAnsiTheme="minorHAnsi"/>
              </w:rPr>
              <w:t>Somerville</w:t>
            </w:r>
            <w:r w:rsidR="002B03B1" w:rsidRPr="009670BD">
              <w:rPr>
                <w:rStyle w:val="FootnoteReference"/>
                <w:rFonts w:asciiTheme="minorHAnsi" w:hAnsiTheme="minorHAnsi"/>
              </w:rPr>
              <w:footnoteReference w:id="11"/>
            </w:r>
          </w:p>
        </w:tc>
        <w:tc>
          <w:tcPr>
            <w:tcW w:w="1800" w:type="dxa"/>
            <w:tcBorders>
              <w:top w:val="single" w:sz="4" w:space="0" w:color="auto"/>
              <w:left w:val="single" w:sz="4" w:space="0" w:color="auto"/>
              <w:bottom w:val="single" w:sz="4" w:space="0" w:color="auto"/>
              <w:right w:val="single" w:sz="4" w:space="0" w:color="auto"/>
            </w:tcBorders>
            <w:vAlign w:val="bottom"/>
          </w:tcPr>
          <w:p w14:paraId="7D1AF32D" w14:textId="6A33C0D8" w:rsidR="0049267D" w:rsidRPr="0049267D" w:rsidRDefault="0049267D" w:rsidP="00980F77">
            <w:pPr>
              <w:pStyle w:val="BodyText"/>
              <w:jc w:val="right"/>
              <w:rPr>
                <w:rFonts w:asciiTheme="minorHAnsi" w:hAnsiTheme="minorHAnsi"/>
                <w:bCs/>
              </w:rPr>
            </w:pPr>
            <w:r w:rsidRPr="0049267D">
              <w:rPr>
                <w:rFonts w:asciiTheme="minorHAnsi" w:hAnsiTheme="minorHAnsi"/>
                <w:bCs/>
              </w:rPr>
              <w:t>5%</w:t>
            </w:r>
          </w:p>
        </w:tc>
      </w:tr>
      <w:tr w:rsidR="0049267D" w:rsidRPr="008440BF" w14:paraId="497216DB" w14:textId="77777777">
        <w:trPr>
          <w:cantSplit/>
          <w:trHeight w:val="300"/>
          <w:jc w:val="center"/>
        </w:trPr>
        <w:tc>
          <w:tcPr>
            <w:tcW w:w="4315" w:type="dxa"/>
            <w:tcBorders>
              <w:top w:val="single" w:sz="4" w:space="0" w:color="auto"/>
              <w:left w:val="single" w:sz="4" w:space="0" w:color="auto"/>
              <w:bottom w:val="single" w:sz="4" w:space="0" w:color="auto"/>
              <w:right w:val="single" w:sz="4" w:space="0" w:color="auto"/>
            </w:tcBorders>
            <w:vAlign w:val="bottom"/>
          </w:tcPr>
          <w:p w14:paraId="4C7C1F1C" w14:textId="0FF718E7" w:rsidR="0049267D" w:rsidRPr="009670BD" w:rsidRDefault="0049267D" w:rsidP="0049267D">
            <w:pPr>
              <w:pStyle w:val="BodyText"/>
              <w:ind w:left="144"/>
              <w:rPr>
                <w:rFonts w:asciiTheme="minorHAnsi" w:hAnsiTheme="minorHAnsi"/>
              </w:rPr>
            </w:pPr>
            <w:r w:rsidRPr="009670BD">
              <w:rPr>
                <w:rFonts w:asciiTheme="minorHAnsi" w:hAnsiTheme="minorHAnsi"/>
              </w:rPr>
              <w:t>Brookline</w:t>
            </w:r>
            <w:r w:rsidR="00B87561" w:rsidRPr="009670BD">
              <w:rPr>
                <w:rStyle w:val="FootnoteReference"/>
                <w:rFonts w:asciiTheme="minorHAnsi" w:hAnsiTheme="minorHAnsi"/>
              </w:rPr>
              <w:footnoteReference w:id="12"/>
            </w:r>
          </w:p>
        </w:tc>
        <w:tc>
          <w:tcPr>
            <w:tcW w:w="1800" w:type="dxa"/>
            <w:tcBorders>
              <w:top w:val="single" w:sz="4" w:space="0" w:color="auto"/>
              <w:left w:val="single" w:sz="4" w:space="0" w:color="auto"/>
              <w:bottom w:val="single" w:sz="4" w:space="0" w:color="auto"/>
              <w:right w:val="single" w:sz="4" w:space="0" w:color="auto"/>
            </w:tcBorders>
            <w:vAlign w:val="bottom"/>
          </w:tcPr>
          <w:p w14:paraId="50C24F89" w14:textId="0B1D5F02" w:rsidR="0049267D" w:rsidRPr="0049267D" w:rsidRDefault="0049267D" w:rsidP="00980F77">
            <w:pPr>
              <w:pStyle w:val="BodyText"/>
              <w:jc w:val="right"/>
              <w:rPr>
                <w:rFonts w:asciiTheme="minorHAnsi" w:hAnsiTheme="minorHAnsi"/>
                <w:bCs/>
              </w:rPr>
            </w:pPr>
            <w:r w:rsidRPr="0049267D">
              <w:rPr>
                <w:rFonts w:asciiTheme="minorHAnsi" w:hAnsiTheme="minorHAnsi"/>
                <w:bCs/>
              </w:rPr>
              <w:t>5%</w:t>
            </w:r>
          </w:p>
        </w:tc>
      </w:tr>
      <w:tr w:rsidR="0049267D" w:rsidRPr="008440BF" w14:paraId="1506E8BC" w14:textId="77777777">
        <w:trPr>
          <w:cantSplit/>
          <w:trHeight w:val="300"/>
          <w:jc w:val="center"/>
        </w:trPr>
        <w:tc>
          <w:tcPr>
            <w:tcW w:w="4315" w:type="dxa"/>
            <w:tcBorders>
              <w:top w:val="single" w:sz="4" w:space="0" w:color="auto"/>
              <w:left w:val="single" w:sz="4" w:space="0" w:color="auto"/>
              <w:bottom w:val="single" w:sz="4" w:space="0" w:color="auto"/>
              <w:right w:val="single" w:sz="4" w:space="0" w:color="auto"/>
            </w:tcBorders>
            <w:vAlign w:val="bottom"/>
          </w:tcPr>
          <w:p w14:paraId="38E3B277" w14:textId="5E6B87DC" w:rsidR="0049267D" w:rsidRPr="009670BD" w:rsidRDefault="0049267D" w:rsidP="0049267D">
            <w:pPr>
              <w:pStyle w:val="BodyText"/>
              <w:ind w:left="144"/>
              <w:rPr>
                <w:rFonts w:asciiTheme="minorHAnsi" w:hAnsiTheme="minorHAnsi"/>
              </w:rPr>
            </w:pPr>
            <w:r w:rsidRPr="009670BD">
              <w:rPr>
                <w:rFonts w:asciiTheme="minorHAnsi" w:hAnsiTheme="minorHAnsi"/>
              </w:rPr>
              <w:t>Medford</w:t>
            </w:r>
          </w:p>
        </w:tc>
        <w:tc>
          <w:tcPr>
            <w:tcW w:w="1800" w:type="dxa"/>
            <w:tcBorders>
              <w:top w:val="single" w:sz="4" w:space="0" w:color="auto"/>
              <w:left w:val="single" w:sz="4" w:space="0" w:color="auto"/>
              <w:bottom w:val="single" w:sz="4" w:space="0" w:color="auto"/>
              <w:right w:val="single" w:sz="4" w:space="0" w:color="auto"/>
            </w:tcBorders>
            <w:vAlign w:val="bottom"/>
          </w:tcPr>
          <w:p w14:paraId="12425015" w14:textId="2892A175" w:rsidR="0049267D" w:rsidRPr="0049267D" w:rsidRDefault="0049267D" w:rsidP="00980F77">
            <w:pPr>
              <w:pStyle w:val="BodyText"/>
              <w:jc w:val="right"/>
              <w:rPr>
                <w:rFonts w:asciiTheme="minorHAnsi" w:hAnsiTheme="minorHAnsi"/>
                <w:bCs/>
              </w:rPr>
            </w:pPr>
            <w:r w:rsidRPr="0049267D">
              <w:rPr>
                <w:rFonts w:asciiTheme="minorHAnsi" w:hAnsiTheme="minorHAnsi"/>
                <w:bCs/>
              </w:rPr>
              <w:t>5%</w:t>
            </w:r>
          </w:p>
        </w:tc>
      </w:tr>
      <w:tr w:rsidR="0049267D" w:rsidRPr="008440BF" w14:paraId="7A30501C" w14:textId="77777777">
        <w:trPr>
          <w:cantSplit/>
          <w:trHeight w:val="300"/>
          <w:jc w:val="center"/>
        </w:trPr>
        <w:tc>
          <w:tcPr>
            <w:tcW w:w="4315" w:type="dxa"/>
            <w:tcBorders>
              <w:top w:val="single" w:sz="4" w:space="0" w:color="auto"/>
              <w:left w:val="single" w:sz="4" w:space="0" w:color="auto"/>
              <w:bottom w:val="single" w:sz="4" w:space="0" w:color="auto"/>
              <w:right w:val="single" w:sz="4" w:space="0" w:color="auto"/>
            </w:tcBorders>
            <w:vAlign w:val="bottom"/>
          </w:tcPr>
          <w:p w14:paraId="451B2321" w14:textId="065191FD" w:rsidR="0049267D" w:rsidRPr="009670BD" w:rsidRDefault="0049267D" w:rsidP="0049267D">
            <w:pPr>
              <w:pStyle w:val="BodyText"/>
              <w:ind w:left="144"/>
              <w:rPr>
                <w:rFonts w:asciiTheme="minorHAnsi" w:hAnsiTheme="minorHAnsi"/>
              </w:rPr>
            </w:pPr>
            <w:r w:rsidRPr="009670BD">
              <w:rPr>
                <w:rFonts w:asciiTheme="minorHAnsi" w:hAnsiTheme="minorHAnsi"/>
              </w:rPr>
              <w:t>Everett</w:t>
            </w:r>
          </w:p>
        </w:tc>
        <w:tc>
          <w:tcPr>
            <w:tcW w:w="1800" w:type="dxa"/>
            <w:tcBorders>
              <w:top w:val="single" w:sz="4" w:space="0" w:color="auto"/>
              <w:left w:val="single" w:sz="4" w:space="0" w:color="auto"/>
              <w:bottom w:val="single" w:sz="4" w:space="0" w:color="auto"/>
              <w:right w:val="single" w:sz="4" w:space="0" w:color="auto"/>
            </w:tcBorders>
            <w:vAlign w:val="bottom"/>
          </w:tcPr>
          <w:p w14:paraId="3D1F709F" w14:textId="32625381" w:rsidR="0049267D" w:rsidRPr="0049267D" w:rsidRDefault="0049267D" w:rsidP="00980F77">
            <w:pPr>
              <w:pStyle w:val="BodyText"/>
              <w:jc w:val="right"/>
              <w:rPr>
                <w:rFonts w:asciiTheme="minorHAnsi" w:hAnsiTheme="minorHAnsi"/>
                <w:bCs/>
              </w:rPr>
            </w:pPr>
            <w:r w:rsidRPr="0049267D">
              <w:rPr>
                <w:rFonts w:asciiTheme="minorHAnsi" w:hAnsiTheme="minorHAnsi"/>
                <w:bCs/>
              </w:rPr>
              <w:t>4%</w:t>
            </w:r>
          </w:p>
        </w:tc>
      </w:tr>
      <w:tr w:rsidR="0049267D" w:rsidRPr="008440BF" w14:paraId="0E8ABADB" w14:textId="77777777">
        <w:trPr>
          <w:cantSplit/>
          <w:trHeight w:val="300"/>
          <w:jc w:val="center"/>
        </w:trPr>
        <w:tc>
          <w:tcPr>
            <w:tcW w:w="4315" w:type="dxa"/>
            <w:tcBorders>
              <w:top w:val="single" w:sz="4" w:space="0" w:color="auto"/>
              <w:left w:val="single" w:sz="4" w:space="0" w:color="auto"/>
              <w:bottom w:val="single" w:sz="4" w:space="0" w:color="auto"/>
              <w:right w:val="single" w:sz="4" w:space="0" w:color="auto"/>
            </w:tcBorders>
            <w:vAlign w:val="bottom"/>
          </w:tcPr>
          <w:p w14:paraId="2A7E45E6" w14:textId="5E34DA81" w:rsidR="0049267D" w:rsidRPr="009670BD" w:rsidRDefault="0049267D" w:rsidP="0049267D">
            <w:pPr>
              <w:pStyle w:val="BodyText"/>
              <w:ind w:left="144"/>
              <w:rPr>
                <w:rFonts w:asciiTheme="minorHAnsi" w:hAnsiTheme="minorHAnsi"/>
              </w:rPr>
            </w:pPr>
            <w:r w:rsidRPr="009670BD">
              <w:rPr>
                <w:rFonts w:asciiTheme="minorHAnsi" w:hAnsiTheme="minorHAnsi"/>
              </w:rPr>
              <w:t>Winthrop</w:t>
            </w:r>
          </w:p>
        </w:tc>
        <w:tc>
          <w:tcPr>
            <w:tcW w:w="1800" w:type="dxa"/>
            <w:tcBorders>
              <w:top w:val="single" w:sz="4" w:space="0" w:color="auto"/>
              <w:left w:val="single" w:sz="4" w:space="0" w:color="auto"/>
              <w:bottom w:val="single" w:sz="4" w:space="0" w:color="auto"/>
              <w:right w:val="single" w:sz="4" w:space="0" w:color="auto"/>
            </w:tcBorders>
            <w:vAlign w:val="bottom"/>
          </w:tcPr>
          <w:p w14:paraId="494C489E" w14:textId="5116B143" w:rsidR="0049267D" w:rsidRPr="0049267D" w:rsidRDefault="0049267D" w:rsidP="00980F77">
            <w:pPr>
              <w:pStyle w:val="BodyText"/>
              <w:jc w:val="right"/>
              <w:rPr>
                <w:rFonts w:asciiTheme="minorHAnsi" w:hAnsiTheme="minorHAnsi"/>
                <w:bCs/>
              </w:rPr>
            </w:pPr>
            <w:r w:rsidRPr="0049267D">
              <w:rPr>
                <w:rFonts w:asciiTheme="minorHAnsi" w:hAnsiTheme="minorHAnsi"/>
                <w:bCs/>
              </w:rPr>
              <w:t>4%</w:t>
            </w:r>
          </w:p>
        </w:tc>
      </w:tr>
      <w:tr w:rsidR="0049267D" w:rsidRPr="008440BF" w14:paraId="4245DF38" w14:textId="77777777">
        <w:trPr>
          <w:cantSplit/>
          <w:trHeight w:val="300"/>
          <w:jc w:val="center"/>
        </w:trPr>
        <w:tc>
          <w:tcPr>
            <w:tcW w:w="4315" w:type="dxa"/>
            <w:tcBorders>
              <w:top w:val="single" w:sz="4" w:space="0" w:color="auto"/>
              <w:left w:val="single" w:sz="4" w:space="0" w:color="auto"/>
              <w:bottom w:val="single" w:sz="4" w:space="0" w:color="auto"/>
              <w:right w:val="single" w:sz="4" w:space="0" w:color="auto"/>
            </w:tcBorders>
            <w:vAlign w:val="bottom"/>
          </w:tcPr>
          <w:p w14:paraId="7B2F14C8" w14:textId="6187C642" w:rsidR="0049267D" w:rsidRPr="009670BD" w:rsidRDefault="0049267D" w:rsidP="0049267D">
            <w:pPr>
              <w:pStyle w:val="BodyText"/>
              <w:ind w:left="144"/>
              <w:rPr>
                <w:rFonts w:asciiTheme="minorHAnsi" w:eastAsia="Times New Roman" w:hAnsiTheme="minorHAnsi"/>
              </w:rPr>
            </w:pPr>
            <w:r w:rsidRPr="009670BD">
              <w:rPr>
                <w:rFonts w:asciiTheme="minorHAnsi" w:hAnsiTheme="minorHAnsi"/>
              </w:rPr>
              <w:t>Malden</w:t>
            </w:r>
          </w:p>
        </w:tc>
        <w:tc>
          <w:tcPr>
            <w:tcW w:w="1800" w:type="dxa"/>
            <w:tcBorders>
              <w:top w:val="single" w:sz="4" w:space="0" w:color="auto"/>
              <w:left w:val="single" w:sz="4" w:space="0" w:color="auto"/>
              <w:bottom w:val="single" w:sz="4" w:space="0" w:color="auto"/>
              <w:right w:val="single" w:sz="4" w:space="0" w:color="auto"/>
            </w:tcBorders>
            <w:vAlign w:val="bottom"/>
          </w:tcPr>
          <w:p w14:paraId="583D49D2" w14:textId="55B5BC8C" w:rsidR="0049267D" w:rsidRPr="0049267D" w:rsidRDefault="0049267D" w:rsidP="00980F77">
            <w:pPr>
              <w:pStyle w:val="BodyText"/>
              <w:jc w:val="right"/>
              <w:rPr>
                <w:rFonts w:asciiTheme="minorHAnsi" w:hAnsiTheme="minorHAnsi"/>
                <w:bCs/>
              </w:rPr>
            </w:pPr>
            <w:r w:rsidRPr="0049267D">
              <w:rPr>
                <w:rFonts w:asciiTheme="minorHAnsi" w:hAnsiTheme="minorHAnsi"/>
                <w:bCs/>
              </w:rPr>
              <w:t>4%</w:t>
            </w:r>
          </w:p>
        </w:tc>
      </w:tr>
      <w:tr w:rsidR="0049267D" w:rsidRPr="008440BF" w14:paraId="72010D24" w14:textId="77777777">
        <w:trPr>
          <w:cantSplit/>
          <w:trHeight w:val="300"/>
          <w:jc w:val="center"/>
        </w:trPr>
        <w:tc>
          <w:tcPr>
            <w:tcW w:w="4315" w:type="dxa"/>
            <w:tcBorders>
              <w:top w:val="single" w:sz="4" w:space="0" w:color="auto"/>
              <w:left w:val="single" w:sz="4" w:space="0" w:color="auto"/>
              <w:bottom w:val="single" w:sz="4" w:space="0" w:color="auto"/>
              <w:right w:val="single" w:sz="4" w:space="0" w:color="auto"/>
            </w:tcBorders>
            <w:vAlign w:val="bottom"/>
          </w:tcPr>
          <w:p w14:paraId="0D9150B2" w14:textId="4148388E" w:rsidR="0049267D" w:rsidRPr="009670BD" w:rsidRDefault="0049267D" w:rsidP="0049267D">
            <w:pPr>
              <w:pStyle w:val="BodyText"/>
              <w:ind w:left="144"/>
              <w:rPr>
                <w:rFonts w:asciiTheme="minorHAnsi" w:hAnsiTheme="minorHAnsi"/>
              </w:rPr>
            </w:pPr>
            <w:r w:rsidRPr="009670BD">
              <w:rPr>
                <w:rFonts w:asciiTheme="minorHAnsi" w:hAnsiTheme="minorHAnsi"/>
              </w:rPr>
              <w:t>Arlington</w:t>
            </w:r>
            <w:r w:rsidR="00852495" w:rsidRPr="009670BD">
              <w:rPr>
                <w:rStyle w:val="FootnoteReference"/>
                <w:rFonts w:asciiTheme="minorHAnsi" w:hAnsiTheme="minorHAnsi"/>
              </w:rPr>
              <w:footnoteReference w:id="13"/>
            </w:r>
          </w:p>
        </w:tc>
        <w:tc>
          <w:tcPr>
            <w:tcW w:w="1800" w:type="dxa"/>
            <w:tcBorders>
              <w:top w:val="single" w:sz="4" w:space="0" w:color="auto"/>
              <w:left w:val="single" w:sz="4" w:space="0" w:color="auto"/>
              <w:bottom w:val="single" w:sz="4" w:space="0" w:color="auto"/>
              <w:right w:val="single" w:sz="4" w:space="0" w:color="auto"/>
            </w:tcBorders>
            <w:vAlign w:val="bottom"/>
          </w:tcPr>
          <w:p w14:paraId="1AD17EFA" w14:textId="396BAD6C" w:rsidR="0049267D" w:rsidRPr="0049267D" w:rsidRDefault="0049267D" w:rsidP="00980F77">
            <w:pPr>
              <w:pStyle w:val="BodyText"/>
              <w:jc w:val="right"/>
              <w:rPr>
                <w:rFonts w:asciiTheme="minorHAnsi" w:hAnsiTheme="minorHAnsi"/>
                <w:bCs/>
              </w:rPr>
            </w:pPr>
            <w:r w:rsidRPr="0049267D">
              <w:rPr>
                <w:rFonts w:asciiTheme="minorHAnsi" w:hAnsiTheme="minorHAnsi"/>
                <w:bCs/>
              </w:rPr>
              <w:t>3%</w:t>
            </w:r>
          </w:p>
        </w:tc>
      </w:tr>
      <w:tr w:rsidR="0049267D" w:rsidRPr="008440BF" w14:paraId="6058CB05" w14:textId="77777777">
        <w:trPr>
          <w:cantSplit/>
          <w:trHeight w:val="300"/>
          <w:jc w:val="center"/>
        </w:trPr>
        <w:tc>
          <w:tcPr>
            <w:tcW w:w="4315" w:type="dxa"/>
            <w:tcBorders>
              <w:top w:val="single" w:sz="4" w:space="0" w:color="auto"/>
              <w:left w:val="single" w:sz="4" w:space="0" w:color="auto"/>
              <w:bottom w:val="single" w:sz="4" w:space="0" w:color="auto"/>
              <w:right w:val="single" w:sz="4" w:space="0" w:color="auto"/>
            </w:tcBorders>
            <w:vAlign w:val="bottom"/>
          </w:tcPr>
          <w:p w14:paraId="2D62137E" w14:textId="35D922D0" w:rsidR="0049267D" w:rsidRPr="009670BD" w:rsidRDefault="0049267D" w:rsidP="0049267D">
            <w:pPr>
              <w:pStyle w:val="BodyText"/>
              <w:ind w:left="144"/>
              <w:rPr>
                <w:rFonts w:asciiTheme="minorHAnsi" w:hAnsiTheme="minorHAnsi"/>
              </w:rPr>
            </w:pPr>
            <w:r w:rsidRPr="009670BD">
              <w:rPr>
                <w:rFonts w:asciiTheme="minorHAnsi" w:hAnsiTheme="minorHAnsi"/>
              </w:rPr>
              <w:t>Belmont</w:t>
            </w:r>
          </w:p>
        </w:tc>
        <w:tc>
          <w:tcPr>
            <w:tcW w:w="1800" w:type="dxa"/>
            <w:tcBorders>
              <w:top w:val="single" w:sz="4" w:space="0" w:color="auto"/>
              <w:left w:val="single" w:sz="4" w:space="0" w:color="auto"/>
              <w:bottom w:val="single" w:sz="4" w:space="0" w:color="auto"/>
              <w:right w:val="single" w:sz="4" w:space="0" w:color="auto"/>
            </w:tcBorders>
            <w:vAlign w:val="bottom"/>
          </w:tcPr>
          <w:p w14:paraId="26929487" w14:textId="69361B98" w:rsidR="0049267D" w:rsidRPr="0049267D" w:rsidRDefault="0049267D" w:rsidP="00980F77">
            <w:pPr>
              <w:pStyle w:val="BodyText"/>
              <w:jc w:val="right"/>
              <w:rPr>
                <w:rFonts w:asciiTheme="minorHAnsi" w:hAnsiTheme="minorHAnsi"/>
                <w:bCs/>
              </w:rPr>
            </w:pPr>
            <w:r w:rsidRPr="0049267D">
              <w:rPr>
                <w:rFonts w:asciiTheme="minorHAnsi" w:hAnsiTheme="minorHAnsi"/>
                <w:bCs/>
              </w:rPr>
              <w:t>2%</w:t>
            </w:r>
          </w:p>
        </w:tc>
      </w:tr>
      <w:tr w:rsidR="0049267D" w:rsidRPr="008440BF" w14:paraId="197A1281" w14:textId="77777777">
        <w:trPr>
          <w:cantSplit/>
          <w:trHeight w:val="300"/>
          <w:jc w:val="center"/>
        </w:trPr>
        <w:tc>
          <w:tcPr>
            <w:tcW w:w="4315" w:type="dxa"/>
            <w:tcBorders>
              <w:top w:val="single" w:sz="4" w:space="0" w:color="auto"/>
              <w:left w:val="single" w:sz="4" w:space="0" w:color="auto"/>
              <w:bottom w:val="single" w:sz="4" w:space="0" w:color="auto"/>
              <w:right w:val="single" w:sz="4" w:space="0" w:color="auto"/>
            </w:tcBorders>
            <w:vAlign w:val="bottom"/>
          </w:tcPr>
          <w:p w14:paraId="49715FB3" w14:textId="75375D85" w:rsidR="0049267D" w:rsidRPr="009670BD" w:rsidRDefault="0049267D" w:rsidP="0049267D">
            <w:pPr>
              <w:pStyle w:val="BodyText"/>
              <w:ind w:left="144"/>
              <w:rPr>
                <w:rFonts w:asciiTheme="minorHAnsi" w:hAnsiTheme="minorHAnsi"/>
              </w:rPr>
            </w:pPr>
            <w:r w:rsidRPr="009670BD">
              <w:rPr>
                <w:rFonts w:asciiTheme="minorHAnsi" w:hAnsiTheme="minorHAnsi"/>
              </w:rPr>
              <w:t>Newton</w:t>
            </w:r>
          </w:p>
        </w:tc>
        <w:tc>
          <w:tcPr>
            <w:tcW w:w="1800" w:type="dxa"/>
            <w:tcBorders>
              <w:top w:val="single" w:sz="4" w:space="0" w:color="auto"/>
              <w:left w:val="single" w:sz="4" w:space="0" w:color="auto"/>
              <w:bottom w:val="single" w:sz="4" w:space="0" w:color="auto"/>
              <w:right w:val="single" w:sz="4" w:space="0" w:color="auto"/>
            </w:tcBorders>
            <w:vAlign w:val="bottom"/>
          </w:tcPr>
          <w:p w14:paraId="1D712A8D" w14:textId="73F1B9E0" w:rsidR="0049267D" w:rsidRPr="0049267D" w:rsidRDefault="0049267D" w:rsidP="00980F77">
            <w:pPr>
              <w:pStyle w:val="BodyText"/>
              <w:jc w:val="right"/>
              <w:rPr>
                <w:rFonts w:asciiTheme="minorHAnsi" w:hAnsiTheme="minorHAnsi"/>
                <w:bCs/>
              </w:rPr>
            </w:pPr>
            <w:r w:rsidRPr="0049267D">
              <w:rPr>
                <w:rFonts w:asciiTheme="minorHAnsi" w:hAnsiTheme="minorHAnsi"/>
                <w:bCs/>
              </w:rPr>
              <w:t>2%</w:t>
            </w:r>
          </w:p>
        </w:tc>
      </w:tr>
      <w:tr w:rsidR="0049267D" w:rsidRPr="008440BF" w14:paraId="1822F9D2" w14:textId="77777777">
        <w:trPr>
          <w:cantSplit/>
          <w:trHeight w:val="300"/>
          <w:jc w:val="center"/>
        </w:trPr>
        <w:tc>
          <w:tcPr>
            <w:tcW w:w="4315" w:type="dxa"/>
            <w:tcBorders>
              <w:top w:val="single" w:sz="4" w:space="0" w:color="auto"/>
              <w:left w:val="single" w:sz="4" w:space="0" w:color="auto"/>
              <w:bottom w:val="single" w:sz="4" w:space="0" w:color="auto"/>
              <w:right w:val="single" w:sz="4" w:space="0" w:color="auto"/>
            </w:tcBorders>
            <w:vAlign w:val="bottom"/>
          </w:tcPr>
          <w:p w14:paraId="7B24A9F0" w14:textId="43284F52" w:rsidR="0049267D" w:rsidRPr="009670BD" w:rsidRDefault="0049267D" w:rsidP="0049267D">
            <w:pPr>
              <w:pStyle w:val="BodyText"/>
              <w:ind w:left="144"/>
              <w:rPr>
                <w:rFonts w:asciiTheme="minorHAnsi" w:hAnsiTheme="minorHAnsi"/>
              </w:rPr>
            </w:pPr>
            <w:r w:rsidRPr="009670BD">
              <w:rPr>
                <w:rFonts w:asciiTheme="minorHAnsi" w:hAnsiTheme="minorHAnsi"/>
              </w:rPr>
              <w:t>Watertown</w:t>
            </w:r>
          </w:p>
        </w:tc>
        <w:tc>
          <w:tcPr>
            <w:tcW w:w="1800" w:type="dxa"/>
            <w:tcBorders>
              <w:top w:val="single" w:sz="4" w:space="0" w:color="auto"/>
              <w:left w:val="single" w:sz="4" w:space="0" w:color="auto"/>
              <w:bottom w:val="single" w:sz="4" w:space="0" w:color="auto"/>
              <w:right w:val="single" w:sz="4" w:space="0" w:color="auto"/>
            </w:tcBorders>
            <w:vAlign w:val="bottom"/>
          </w:tcPr>
          <w:p w14:paraId="48985C8A" w14:textId="69CAAF52" w:rsidR="0049267D" w:rsidRPr="0049267D" w:rsidRDefault="0049267D" w:rsidP="00980F77">
            <w:pPr>
              <w:pStyle w:val="BodyText"/>
              <w:jc w:val="right"/>
              <w:rPr>
                <w:rFonts w:asciiTheme="minorHAnsi" w:hAnsiTheme="minorHAnsi"/>
                <w:bCs/>
              </w:rPr>
            </w:pPr>
            <w:r w:rsidRPr="0049267D">
              <w:rPr>
                <w:rFonts w:asciiTheme="minorHAnsi" w:hAnsiTheme="minorHAnsi"/>
                <w:bCs/>
              </w:rPr>
              <w:t>1%</w:t>
            </w:r>
          </w:p>
        </w:tc>
      </w:tr>
      <w:tr w:rsidR="00BB733F" w:rsidRPr="008440BF" w14:paraId="7EF047C3" w14:textId="77777777">
        <w:trPr>
          <w:cantSplit/>
          <w:trHeight w:val="300"/>
          <w:jc w:val="center"/>
        </w:trPr>
        <w:tc>
          <w:tcPr>
            <w:tcW w:w="4315" w:type="dxa"/>
            <w:tcBorders>
              <w:top w:val="single" w:sz="4" w:space="0" w:color="auto"/>
              <w:left w:val="single" w:sz="4" w:space="0" w:color="auto"/>
              <w:bottom w:val="single" w:sz="4" w:space="0" w:color="auto"/>
              <w:right w:val="single" w:sz="4" w:space="0" w:color="auto"/>
            </w:tcBorders>
          </w:tcPr>
          <w:p w14:paraId="77C6F112" w14:textId="60AAF86F" w:rsidR="00BB733F" w:rsidRPr="008440BF" w:rsidRDefault="00852495" w:rsidP="00852495">
            <w:pPr>
              <w:pStyle w:val="BodyText"/>
              <w:rPr>
                <w:rFonts w:asciiTheme="minorHAnsi" w:hAnsiTheme="minorHAnsi"/>
                <w:bCs/>
              </w:rPr>
            </w:pPr>
            <w:r>
              <w:rPr>
                <w:rFonts w:asciiTheme="minorHAnsi" w:hAnsiTheme="minorHAnsi"/>
                <w:bCs/>
              </w:rPr>
              <w:t xml:space="preserve">   </w:t>
            </w:r>
            <w:r w:rsidR="00BB733F" w:rsidRPr="008440BF">
              <w:rPr>
                <w:rFonts w:asciiTheme="minorHAnsi" w:hAnsiTheme="minorHAnsi"/>
                <w:bCs/>
              </w:rPr>
              <w:t>Total</w:t>
            </w:r>
          </w:p>
        </w:tc>
        <w:tc>
          <w:tcPr>
            <w:tcW w:w="1800" w:type="dxa"/>
            <w:tcBorders>
              <w:top w:val="single" w:sz="4" w:space="0" w:color="auto"/>
              <w:left w:val="single" w:sz="4" w:space="0" w:color="auto"/>
              <w:bottom w:val="single" w:sz="4" w:space="0" w:color="auto"/>
              <w:right w:val="single" w:sz="4" w:space="0" w:color="auto"/>
            </w:tcBorders>
          </w:tcPr>
          <w:p w14:paraId="261B4344" w14:textId="652E0C67" w:rsidR="00BB733F" w:rsidRPr="00852495" w:rsidRDefault="00BB733F" w:rsidP="00980F77">
            <w:pPr>
              <w:pStyle w:val="BodyText"/>
              <w:jc w:val="right"/>
              <w:rPr>
                <w:rFonts w:asciiTheme="minorHAnsi" w:hAnsiTheme="minorHAnsi"/>
                <w:bCs/>
              </w:rPr>
            </w:pPr>
            <w:r w:rsidRPr="00852495">
              <w:rPr>
                <w:rFonts w:asciiTheme="minorHAnsi" w:hAnsiTheme="minorHAnsi"/>
                <w:bCs/>
              </w:rPr>
              <w:t>100%</w:t>
            </w:r>
          </w:p>
        </w:tc>
      </w:tr>
      <w:tr w:rsidR="00BB733F" w:rsidRPr="008440BF" w14:paraId="181EB54F" w14:textId="77777777">
        <w:trPr>
          <w:cantSplit/>
          <w:trHeight w:val="300"/>
          <w:jc w:val="center"/>
        </w:trPr>
        <w:tc>
          <w:tcPr>
            <w:tcW w:w="4315" w:type="dxa"/>
            <w:tcBorders>
              <w:top w:val="single" w:sz="4" w:space="0" w:color="auto"/>
            </w:tcBorders>
            <w:shd w:val="clear" w:color="auto" w:fill="F2F2F2" w:themeFill="background1" w:themeFillShade="F2"/>
          </w:tcPr>
          <w:p w14:paraId="62FE0FA7" w14:textId="77777777" w:rsidR="00BB733F" w:rsidRPr="008440BF" w:rsidRDefault="00BB733F" w:rsidP="00BB733F">
            <w:pPr>
              <w:pStyle w:val="BodyText"/>
              <w:rPr>
                <w:rFonts w:asciiTheme="minorHAnsi" w:hAnsiTheme="minorHAnsi"/>
                <w:b/>
              </w:rPr>
            </w:pPr>
            <w:r w:rsidRPr="008440BF">
              <w:rPr>
                <w:rFonts w:asciiTheme="minorHAnsi" w:hAnsiTheme="minorHAnsi"/>
                <w:b/>
              </w:rPr>
              <w:t>Payer Mix</w:t>
            </w:r>
          </w:p>
        </w:tc>
        <w:tc>
          <w:tcPr>
            <w:tcW w:w="1800" w:type="dxa"/>
            <w:tcBorders>
              <w:top w:val="single" w:sz="4" w:space="0" w:color="auto"/>
            </w:tcBorders>
            <w:shd w:val="clear" w:color="auto" w:fill="F2F2F2" w:themeFill="background1" w:themeFillShade="F2"/>
          </w:tcPr>
          <w:p w14:paraId="47AB77C6" w14:textId="77777777" w:rsidR="00BB733F" w:rsidRPr="008440BF" w:rsidRDefault="00BB733F" w:rsidP="00980F77">
            <w:pPr>
              <w:pStyle w:val="BodyText"/>
              <w:jc w:val="right"/>
              <w:rPr>
                <w:rFonts w:asciiTheme="minorHAnsi" w:hAnsiTheme="minorHAnsi"/>
                <w:bCs/>
                <w:highlight w:val="yellow"/>
              </w:rPr>
            </w:pPr>
          </w:p>
        </w:tc>
      </w:tr>
      <w:tr w:rsidR="00737040" w:rsidRPr="008440BF" w14:paraId="7B23F86C" w14:textId="77777777">
        <w:trPr>
          <w:cantSplit/>
          <w:trHeight w:val="300"/>
          <w:jc w:val="center"/>
        </w:trPr>
        <w:tc>
          <w:tcPr>
            <w:tcW w:w="4315" w:type="dxa"/>
            <w:vAlign w:val="center"/>
          </w:tcPr>
          <w:p w14:paraId="6D1E4B06" w14:textId="7815B721" w:rsidR="00737040" w:rsidRPr="00F73C97" w:rsidRDefault="00737040" w:rsidP="00737040">
            <w:pPr>
              <w:pStyle w:val="BodyText"/>
              <w:ind w:left="144"/>
              <w:rPr>
                <w:rFonts w:asciiTheme="minorHAnsi" w:hAnsiTheme="minorHAnsi"/>
                <w:b/>
              </w:rPr>
            </w:pPr>
            <w:r w:rsidRPr="00F73C97">
              <w:rPr>
                <w:rFonts w:asciiTheme="minorHAnsi" w:hAnsiTheme="minorHAnsi" w:cs="Calibri"/>
                <w:color w:val="000000"/>
              </w:rPr>
              <w:t>Commercial</w:t>
            </w:r>
          </w:p>
        </w:tc>
        <w:tc>
          <w:tcPr>
            <w:tcW w:w="1800" w:type="dxa"/>
            <w:vAlign w:val="center"/>
          </w:tcPr>
          <w:p w14:paraId="3E310F47" w14:textId="6BFE37DD" w:rsidR="00737040" w:rsidRPr="00737040" w:rsidRDefault="00737040" w:rsidP="00980F77">
            <w:pPr>
              <w:pStyle w:val="BodyText"/>
              <w:jc w:val="right"/>
              <w:rPr>
                <w:rFonts w:asciiTheme="minorHAnsi" w:hAnsiTheme="minorHAnsi"/>
                <w:bCs/>
                <w:highlight w:val="yellow"/>
              </w:rPr>
            </w:pPr>
            <w:r w:rsidRPr="00737040">
              <w:rPr>
                <w:rFonts w:asciiTheme="minorHAnsi" w:hAnsiTheme="minorHAnsi" w:cs="Calibri"/>
                <w:color w:val="000000"/>
              </w:rPr>
              <w:t>60%</w:t>
            </w:r>
          </w:p>
        </w:tc>
      </w:tr>
      <w:tr w:rsidR="00737040" w:rsidRPr="008440BF" w14:paraId="166BD399" w14:textId="77777777">
        <w:trPr>
          <w:cantSplit/>
          <w:trHeight w:val="300"/>
          <w:jc w:val="center"/>
        </w:trPr>
        <w:tc>
          <w:tcPr>
            <w:tcW w:w="4315" w:type="dxa"/>
            <w:vAlign w:val="center"/>
          </w:tcPr>
          <w:p w14:paraId="2DFE3B13" w14:textId="3814C0CB" w:rsidR="00737040" w:rsidRPr="00F73C97" w:rsidRDefault="00737040" w:rsidP="00737040">
            <w:pPr>
              <w:pStyle w:val="BodyText"/>
              <w:rPr>
                <w:rFonts w:asciiTheme="minorHAnsi" w:hAnsiTheme="minorHAnsi"/>
                <w:b/>
              </w:rPr>
            </w:pPr>
            <w:r w:rsidRPr="00F73C97">
              <w:rPr>
                <w:rFonts w:asciiTheme="minorHAnsi" w:hAnsiTheme="minorHAnsi" w:cs="Calibri"/>
                <w:color w:val="000000"/>
              </w:rPr>
              <w:t xml:space="preserve">   Medicare</w:t>
            </w:r>
          </w:p>
        </w:tc>
        <w:tc>
          <w:tcPr>
            <w:tcW w:w="1800" w:type="dxa"/>
            <w:vAlign w:val="center"/>
          </w:tcPr>
          <w:p w14:paraId="0D2D1ADA" w14:textId="549FCCB5" w:rsidR="00737040" w:rsidRPr="00737040" w:rsidRDefault="00737040" w:rsidP="00980F77">
            <w:pPr>
              <w:pStyle w:val="BodyText"/>
              <w:jc w:val="right"/>
              <w:rPr>
                <w:rFonts w:asciiTheme="minorHAnsi" w:hAnsiTheme="minorHAnsi"/>
                <w:bCs/>
                <w:highlight w:val="yellow"/>
              </w:rPr>
            </w:pPr>
            <w:r w:rsidRPr="00737040">
              <w:rPr>
                <w:rFonts w:asciiTheme="minorHAnsi" w:hAnsiTheme="minorHAnsi" w:cs="Calibri"/>
                <w:color w:val="000000"/>
              </w:rPr>
              <w:t>19%</w:t>
            </w:r>
          </w:p>
        </w:tc>
      </w:tr>
      <w:tr w:rsidR="00737040" w:rsidRPr="008440BF" w14:paraId="0FB2E6DF" w14:textId="77777777">
        <w:trPr>
          <w:cantSplit/>
          <w:trHeight w:val="300"/>
          <w:jc w:val="center"/>
        </w:trPr>
        <w:tc>
          <w:tcPr>
            <w:tcW w:w="4315" w:type="dxa"/>
            <w:vAlign w:val="center"/>
          </w:tcPr>
          <w:p w14:paraId="41A1431D" w14:textId="20514FB2" w:rsidR="00737040" w:rsidRPr="00F73C97" w:rsidRDefault="00737040" w:rsidP="00737040">
            <w:pPr>
              <w:pStyle w:val="BodyText"/>
              <w:ind w:left="144"/>
              <w:rPr>
                <w:rFonts w:asciiTheme="minorHAnsi" w:hAnsiTheme="minorHAnsi"/>
                <w:b/>
              </w:rPr>
            </w:pPr>
            <w:r w:rsidRPr="00F73C97">
              <w:rPr>
                <w:rFonts w:asciiTheme="minorHAnsi" w:hAnsiTheme="minorHAnsi" w:cs="Calibri"/>
                <w:color w:val="000000"/>
              </w:rPr>
              <w:t>Medicare Managed</w:t>
            </w:r>
          </w:p>
        </w:tc>
        <w:tc>
          <w:tcPr>
            <w:tcW w:w="1800" w:type="dxa"/>
            <w:vAlign w:val="center"/>
          </w:tcPr>
          <w:p w14:paraId="629881A8" w14:textId="06FFD667" w:rsidR="00737040" w:rsidRPr="00737040" w:rsidRDefault="00737040" w:rsidP="00980F77">
            <w:pPr>
              <w:pStyle w:val="BodyText"/>
              <w:jc w:val="right"/>
              <w:rPr>
                <w:rFonts w:asciiTheme="minorHAnsi" w:hAnsiTheme="minorHAnsi"/>
                <w:bCs/>
                <w:highlight w:val="yellow"/>
              </w:rPr>
            </w:pPr>
            <w:r w:rsidRPr="00737040">
              <w:rPr>
                <w:rFonts w:asciiTheme="minorHAnsi" w:hAnsiTheme="minorHAnsi" w:cs="Calibri"/>
                <w:color w:val="000000"/>
              </w:rPr>
              <w:t>9%</w:t>
            </w:r>
          </w:p>
        </w:tc>
      </w:tr>
      <w:tr w:rsidR="00737040" w:rsidRPr="008440BF" w14:paraId="2F6B6F11" w14:textId="77777777">
        <w:trPr>
          <w:cantSplit/>
          <w:trHeight w:val="300"/>
          <w:jc w:val="center"/>
        </w:trPr>
        <w:tc>
          <w:tcPr>
            <w:tcW w:w="4315" w:type="dxa"/>
            <w:vAlign w:val="center"/>
          </w:tcPr>
          <w:p w14:paraId="5D4FAE82" w14:textId="329C4EEC" w:rsidR="00737040" w:rsidRPr="00F73C97" w:rsidRDefault="00737040" w:rsidP="00737040">
            <w:pPr>
              <w:pStyle w:val="BodyText"/>
              <w:ind w:left="144"/>
              <w:rPr>
                <w:rFonts w:asciiTheme="minorHAnsi" w:hAnsiTheme="minorHAnsi"/>
                <w:b/>
              </w:rPr>
            </w:pPr>
            <w:r w:rsidRPr="00F73C97">
              <w:rPr>
                <w:rFonts w:asciiTheme="minorHAnsi" w:hAnsiTheme="minorHAnsi" w:cs="Calibri"/>
                <w:color w:val="000000"/>
              </w:rPr>
              <w:t>Medicaid</w:t>
            </w:r>
          </w:p>
        </w:tc>
        <w:tc>
          <w:tcPr>
            <w:tcW w:w="1800" w:type="dxa"/>
            <w:vAlign w:val="center"/>
          </w:tcPr>
          <w:p w14:paraId="54E6A597" w14:textId="2BD1DD0C" w:rsidR="00737040" w:rsidRPr="00737040" w:rsidRDefault="00737040" w:rsidP="00980F77">
            <w:pPr>
              <w:pStyle w:val="BodyText"/>
              <w:jc w:val="right"/>
              <w:rPr>
                <w:rFonts w:asciiTheme="minorHAnsi" w:hAnsiTheme="minorHAnsi"/>
                <w:bCs/>
                <w:highlight w:val="yellow"/>
              </w:rPr>
            </w:pPr>
            <w:r w:rsidRPr="00737040">
              <w:rPr>
                <w:rFonts w:asciiTheme="minorHAnsi" w:hAnsiTheme="minorHAnsi" w:cs="Calibri"/>
                <w:color w:val="000000"/>
              </w:rPr>
              <w:t>3%</w:t>
            </w:r>
          </w:p>
        </w:tc>
      </w:tr>
      <w:tr w:rsidR="00737040" w:rsidRPr="008440BF" w14:paraId="21911405" w14:textId="77777777">
        <w:trPr>
          <w:cantSplit/>
          <w:trHeight w:val="300"/>
          <w:jc w:val="center"/>
        </w:trPr>
        <w:tc>
          <w:tcPr>
            <w:tcW w:w="4315" w:type="dxa"/>
            <w:vAlign w:val="center"/>
          </w:tcPr>
          <w:p w14:paraId="20110594" w14:textId="18D9867A" w:rsidR="00737040" w:rsidRPr="00F73C97" w:rsidRDefault="00737040" w:rsidP="00737040">
            <w:pPr>
              <w:pStyle w:val="BodyText"/>
              <w:ind w:left="144"/>
              <w:rPr>
                <w:rFonts w:asciiTheme="minorHAnsi" w:hAnsiTheme="minorHAnsi"/>
                <w:color w:val="000000"/>
              </w:rPr>
            </w:pPr>
            <w:r w:rsidRPr="00F73C97">
              <w:rPr>
                <w:rFonts w:asciiTheme="minorHAnsi" w:hAnsiTheme="minorHAnsi" w:cs="Calibri"/>
                <w:color w:val="000000"/>
              </w:rPr>
              <w:t>Medicaid Managed</w:t>
            </w:r>
          </w:p>
        </w:tc>
        <w:tc>
          <w:tcPr>
            <w:tcW w:w="1800" w:type="dxa"/>
            <w:vAlign w:val="center"/>
          </w:tcPr>
          <w:p w14:paraId="480FCF50" w14:textId="2D19CEC2" w:rsidR="00737040" w:rsidRPr="00737040" w:rsidRDefault="00737040" w:rsidP="00980F77">
            <w:pPr>
              <w:pStyle w:val="BodyText"/>
              <w:jc w:val="right"/>
              <w:rPr>
                <w:rFonts w:asciiTheme="minorHAnsi" w:hAnsiTheme="minorHAnsi"/>
                <w:color w:val="000000"/>
              </w:rPr>
            </w:pPr>
            <w:r w:rsidRPr="00737040">
              <w:rPr>
                <w:rFonts w:asciiTheme="minorHAnsi" w:hAnsiTheme="minorHAnsi" w:cs="Calibri"/>
                <w:color w:val="000000"/>
              </w:rPr>
              <w:t>7%</w:t>
            </w:r>
          </w:p>
        </w:tc>
      </w:tr>
      <w:tr w:rsidR="00737040" w:rsidRPr="008440BF" w14:paraId="5F897F33" w14:textId="77777777">
        <w:trPr>
          <w:cantSplit/>
          <w:trHeight w:val="300"/>
          <w:jc w:val="center"/>
        </w:trPr>
        <w:tc>
          <w:tcPr>
            <w:tcW w:w="4315" w:type="dxa"/>
            <w:vAlign w:val="center"/>
          </w:tcPr>
          <w:p w14:paraId="4790B784" w14:textId="03A01C97" w:rsidR="00737040" w:rsidRPr="00F73C97" w:rsidRDefault="00737040" w:rsidP="00737040">
            <w:pPr>
              <w:pStyle w:val="BodyText"/>
              <w:ind w:left="144"/>
              <w:rPr>
                <w:rFonts w:asciiTheme="minorHAnsi" w:hAnsiTheme="minorHAnsi"/>
                <w:b/>
              </w:rPr>
            </w:pPr>
            <w:r w:rsidRPr="00F73C97">
              <w:rPr>
                <w:rFonts w:asciiTheme="minorHAnsi" w:hAnsiTheme="minorHAnsi" w:cs="Calibri"/>
                <w:color w:val="000000"/>
              </w:rPr>
              <w:t>Other</w:t>
            </w:r>
          </w:p>
        </w:tc>
        <w:tc>
          <w:tcPr>
            <w:tcW w:w="1800" w:type="dxa"/>
            <w:vAlign w:val="center"/>
          </w:tcPr>
          <w:p w14:paraId="15DD22B7" w14:textId="55BDE842" w:rsidR="00737040" w:rsidRPr="00737040" w:rsidRDefault="00737040" w:rsidP="00980F77">
            <w:pPr>
              <w:pStyle w:val="BodyText"/>
              <w:jc w:val="right"/>
              <w:rPr>
                <w:rFonts w:asciiTheme="minorHAnsi" w:hAnsiTheme="minorHAnsi"/>
                <w:bCs/>
                <w:highlight w:val="yellow"/>
              </w:rPr>
            </w:pPr>
            <w:r w:rsidRPr="00737040">
              <w:rPr>
                <w:rFonts w:asciiTheme="minorHAnsi" w:hAnsiTheme="minorHAnsi" w:cs="Calibri"/>
                <w:color w:val="000000"/>
              </w:rPr>
              <w:t>2%</w:t>
            </w:r>
          </w:p>
        </w:tc>
      </w:tr>
      <w:tr w:rsidR="00BB733F" w:rsidRPr="008440BF" w14:paraId="02F0F395" w14:textId="77777777">
        <w:trPr>
          <w:cantSplit/>
          <w:trHeight w:val="300"/>
          <w:jc w:val="center"/>
        </w:trPr>
        <w:tc>
          <w:tcPr>
            <w:tcW w:w="4315" w:type="dxa"/>
          </w:tcPr>
          <w:p w14:paraId="38E1B4A0" w14:textId="77777777" w:rsidR="00BB733F" w:rsidRPr="008440BF" w:rsidRDefault="00BB733F" w:rsidP="00BB733F">
            <w:pPr>
              <w:pStyle w:val="BodyText"/>
              <w:ind w:left="144"/>
              <w:rPr>
                <w:rFonts w:asciiTheme="minorHAnsi" w:hAnsiTheme="minorHAnsi"/>
                <w:b/>
              </w:rPr>
            </w:pPr>
            <w:r w:rsidRPr="008440BF">
              <w:rPr>
                <w:rFonts w:asciiTheme="minorHAnsi" w:hAnsiTheme="minorHAnsi"/>
              </w:rPr>
              <w:t>Total</w:t>
            </w:r>
          </w:p>
        </w:tc>
        <w:tc>
          <w:tcPr>
            <w:tcW w:w="1800" w:type="dxa"/>
          </w:tcPr>
          <w:p w14:paraId="45DB2395" w14:textId="0E47E615" w:rsidR="00BB733F" w:rsidRPr="008440BF" w:rsidRDefault="00BB733F" w:rsidP="00980F77">
            <w:pPr>
              <w:pStyle w:val="BodyText"/>
              <w:jc w:val="right"/>
              <w:rPr>
                <w:rFonts w:asciiTheme="minorHAnsi" w:hAnsiTheme="minorHAnsi"/>
                <w:bCs/>
                <w:highlight w:val="yellow"/>
              </w:rPr>
            </w:pPr>
            <w:r w:rsidRPr="008440BF">
              <w:rPr>
                <w:rFonts w:asciiTheme="minorHAnsi" w:hAnsiTheme="minorHAnsi"/>
              </w:rPr>
              <w:t>100%</w:t>
            </w:r>
          </w:p>
        </w:tc>
      </w:tr>
    </w:tbl>
    <w:p w14:paraId="78444292" w14:textId="77777777" w:rsidR="00E70E1B" w:rsidRPr="00C85257" w:rsidRDefault="00E70E1B" w:rsidP="00F50B7B">
      <w:pPr>
        <w:rPr>
          <w:highlight w:val="yellow"/>
        </w:rPr>
      </w:pPr>
    </w:p>
    <w:p w14:paraId="4DCEC9EA" w14:textId="23D4926A" w:rsidR="00FD0171" w:rsidRPr="00991656" w:rsidRDefault="00FD0171" w:rsidP="008917DC">
      <w:pPr>
        <w:pStyle w:val="Heading1"/>
        <w:spacing w:before="268"/>
        <w:ind w:left="0"/>
        <w:rPr>
          <w:rFonts w:asciiTheme="minorHAnsi" w:hAnsiTheme="minorHAnsi"/>
        </w:rPr>
      </w:pPr>
      <w:bookmarkStart w:id="5" w:name="Factor_1a:_Patient_Panel_Need"/>
      <w:bookmarkStart w:id="6" w:name="_Toc218863249"/>
      <w:bookmarkEnd w:id="5"/>
      <w:r w:rsidRPr="00991656">
        <w:rPr>
          <w:rFonts w:asciiTheme="minorHAnsi" w:hAnsiTheme="minorHAnsi"/>
          <w:color w:val="42558C"/>
        </w:rPr>
        <w:t>Factor 1</w:t>
      </w:r>
      <w:r w:rsidR="00460BAC" w:rsidRPr="00991656">
        <w:rPr>
          <w:rFonts w:asciiTheme="minorHAnsi" w:hAnsiTheme="minorHAnsi"/>
          <w:color w:val="42558C"/>
        </w:rPr>
        <w:t xml:space="preserve">: </w:t>
      </w:r>
      <w:r w:rsidRPr="00991656">
        <w:rPr>
          <w:rFonts w:asciiTheme="minorHAnsi" w:hAnsiTheme="minorHAnsi"/>
          <w:color w:val="42558C"/>
        </w:rPr>
        <w:t>a</w:t>
      </w:r>
      <w:r w:rsidR="00460BAC" w:rsidRPr="00991656">
        <w:rPr>
          <w:rFonts w:asciiTheme="minorHAnsi" w:hAnsiTheme="minorHAnsi"/>
          <w:color w:val="42558C"/>
        </w:rPr>
        <w:t>)</w:t>
      </w:r>
      <w:r w:rsidRPr="00991656">
        <w:rPr>
          <w:rFonts w:asciiTheme="minorHAnsi" w:hAnsiTheme="minorHAnsi"/>
          <w:color w:val="42558C"/>
        </w:rPr>
        <w:t xml:space="preserve"> Patient Panel Need</w:t>
      </w:r>
      <w:bookmarkEnd w:id="6"/>
    </w:p>
    <w:p w14:paraId="2418FFD0" w14:textId="67587A6D" w:rsidR="00FD0171" w:rsidRPr="00855106" w:rsidRDefault="00855106" w:rsidP="002760B1">
      <w:pPr>
        <w:pStyle w:val="BodyText"/>
        <w:spacing w:line="269" w:lineRule="exact"/>
        <w:rPr>
          <w:rFonts w:asciiTheme="minorHAnsi" w:hAnsiTheme="minorHAnsi"/>
          <w:highlight w:val="yellow"/>
        </w:rPr>
      </w:pPr>
      <w:r w:rsidRPr="00855106">
        <w:rPr>
          <w:rFonts w:asciiTheme="minorHAnsi" w:hAnsiTheme="minorHAnsi"/>
        </w:rPr>
        <w:t xml:space="preserve">In this section, staff assesses whether the Applicant has sufficiently addressed Patient Panel need for the Proposed Project. </w:t>
      </w:r>
      <w:r w:rsidR="00FD0171" w:rsidRPr="00855106">
        <w:rPr>
          <w:rFonts w:asciiTheme="minorHAnsi" w:hAnsiTheme="minorHAnsi"/>
        </w:rPr>
        <w:t xml:space="preserve">The Applicant attributes Patient Panel need for </w:t>
      </w:r>
      <w:r w:rsidR="007230DD" w:rsidRPr="00855106">
        <w:rPr>
          <w:rFonts w:asciiTheme="minorHAnsi" w:hAnsiTheme="minorHAnsi"/>
        </w:rPr>
        <w:t xml:space="preserve">a freestanding ASC </w:t>
      </w:r>
      <w:r w:rsidR="00FD0171" w:rsidRPr="00855106">
        <w:rPr>
          <w:rFonts w:asciiTheme="minorHAnsi" w:hAnsiTheme="minorHAnsi"/>
        </w:rPr>
        <w:t>to the following:</w:t>
      </w:r>
    </w:p>
    <w:p w14:paraId="0703C380" w14:textId="667CA73F" w:rsidR="007230DD" w:rsidRPr="007230DD" w:rsidRDefault="00C60FEF" w:rsidP="0000234D">
      <w:pPr>
        <w:pStyle w:val="BodyText"/>
        <w:numPr>
          <w:ilvl w:val="0"/>
          <w:numId w:val="1"/>
        </w:numPr>
        <w:rPr>
          <w:rFonts w:asciiTheme="minorHAnsi" w:hAnsiTheme="minorHAnsi"/>
        </w:rPr>
      </w:pPr>
      <w:r>
        <w:rPr>
          <w:rFonts w:asciiTheme="minorHAnsi" w:hAnsiTheme="minorHAnsi"/>
        </w:rPr>
        <w:t>The need to address a</w:t>
      </w:r>
      <w:r w:rsidR="00236702" w:rsidRPr="007230DD">
        <w:rPr>
          <w:rFonts w:asciiTheme="minorHAnsi" w:hAnsiTheme="minorHAnsi"/>
        </w:rPr>
        <w:t xml:space="preserve"> growing backlog of MGB’s outpatient endoscopy cases</w:t>
      </w:r>
      <w:r w:rsidR="003B05C1">
        <w:rPr>
          <w:rFonts w:asciiTheme="minorHAnsi" w:hAnsiTheme="minorHAnsi"/>
        </w:rPr>
        <w:t>; and</w:t>
      </w:r>
    </w:p>
    <w:p w14:paraId="5976C975" w14:textId="71C8B957" w:rsidR="00A102A7" w:rsidRDefault="00C60FEF" w:rsidP="0000234D">
      <w:pPr>
        <w:pStyle w:val="BodyText"/>
        <w:numPr>
          <w:ilvl w:val="0"/>
          <w:numId w:val="1"/>
        </w:numPr>
        <w:rPr>
          <w:rFonts w:asciiTheme="minorHAnsi" w:hAnsiTheme="minorHAnsi"/>
        </w:rPr>
      </w:pPr>
      <w:r>
        <w:rPr>
          <w:rFonts w:asciiTheme="minorHAnsi" w:hAnsiTheme="minorHAnsi"/>
        </w:rPr>
        <w:t>The need t</w:t>
      </w:r>
      <w:r w:rsidR="007230DD">
        <w:rPr>
          <w:rFonts w:asciiTheme="minorHAnsi" w:hAnsiTheme="minorHAnsi"/>
        </w:rPr>
        <w:t xml:space="preserve">o </w:t>
      </w:r>
      <w:r w:rsidR="0086401F" w:rsidRPr="007230DD">
        <w:rPr>
          <w:rFonts w:asciiTheme="minorHAnsi" w:hAnsiTheme="minorHAnsi"/>
        </w:rPr>
        <w:t xml:space="preserve">alleviate capacity constraints </w:t>
      </w:r>
      <w:r w:rsidR="00D22F89">
        <w:rPr>
          <w:rFonts w:asciiTheme="minorHAnsi" w:hAnsiTheme="minorHAnsi"/>
        </w:rPr>
        <w:t>at the MGB AMCs</w:t>
      </w:r>
      <w:r w:rsidR="003B05C1">
        <w:rPr>
          <w:rFonts w:asciiTheme="minorHAnsi" w:hAnsiTheme="minorHAnsi"/>
        </w:rPr>
        <w:t>, including:</w:t>
      </w:r>
    </w:p>
    <w:p w14:paraId="2E81B653" w14:textId="4F76A9DA" w:rsidR="00902FE7" w:rsidRDefault="00902FE7" w:rsidP="0000234D">
      <w:pPr>
        <w:pStyle w:val="BodyText"/>
        <w:numPr>
          <w:ilvl w:val="1"/>
          <w:numId w:val="10"/>
        </w:numPr>
        <w:rPr>
          <w:rFonts w:asciiTheme="minorHAnsi" w:hAnsiTheme="minorHAnsi"/>
        </w:rPr>
      </w:pPr>
      <w:r>
        <w:rPr>
          <w:rFonts w:asciiTheme="minorHAnsi" w:hAnsiTheme="minorHAnsi"/>
        </w:rPr>
        <w:t xml:space="preserve">Historical </w:t>
      </w:r>
      <w:r w:rsidR="00701AAB">
        <w:rPr>
          <w:rFonts w:asciiTheme="minorHAnsi" w:hAnsiTheme="minorHAnsi"/>
        </w:rPr>
        <w:t>Utilization</w:t>
      </w:r>
    </w:p>
    <w:p w14:paraId="40707CC1" w14:textId="0EA8A1F3" w:rsidR="00902FE7" w:rsidRDefault="00EC53EE" w:rsidP="0000234D">
      <w:pPr>
        <w:pStyle w:val="BodyText"/>
        <w:numPr>
          <w:ilvl w:val="1"/>
          <w:numId w:val="10"/>
        </w:numPr>
        <w:rPr>
          <w:rFonts w:asciiTheme="minorHAnsi" w:hAnsiTheme="minorHAnsi"/>
        </w:rPr>
      </w:pPr>
      <w:r>
        <w:rPr>
          <w:rFonts w:asciiTheme="minorHAnsi" w:hAnsiTheme="minorHAnsi"/>
        </w:rPr>
        <w:t xml:space="preserve">Anticipated Population Growth </w:t>
      </w:r>
    </w:p>
    <w:p w14:paraId="08E77C49" w14:textId="03CD923D" w:rsidR="00EC53EE" w:rsidRPr="00A102A7" w:rsidRDefault="00701AAB" w:rsidP="0000234D">
      <w:pPr>
        <w:pStyle w:val="BodyText"/>
        <w:numPr>
          <w:ilvl w:val="1"/>
          <w:numId w:val="10"/>
        </w:numPr>
        <w:rPr>
          <w:rFonts w:asciiTheme="minorHAnsi" w:hAnsiTheme="minorHAnsi"/>
        </w:rPr>
      </w:pPr>
      <w:r>
        <w:rPr>
          <w:rFonts w:asciiTheme="minorHAnsi" w:hAnsiTheme="minorHAnsi"/>
        </w:rPr>
        <w:lastRenderedPageBreak/>
        <w:t>Projected Utilization</w:t>
      </w:r>
    </w:p>
    <w:p w14:paraId="795862D8" w14:textId="77777777" w:rsidR="00FD0171" w:rsidRDefault="00FD0171" w:rsidP="000B63C8">
      <w:pPr>
        <w:pStyle w:val="BodyText"/>
        <w:spacing w:line="269" w:lineRule="exact"/>
        <w:rPr>
          <w:rFonts w:asciiTheme="minorHAnsi" w:hAnsiTheme="minorHAnsi"/>
          <w:highlight w:val="yellow"/>
        </w:rPr>
      </w:pPr>
    </w:p>
    <w:p w14:paraId="10B5F09E" w14:textId="77777777" w:rsidR="00D22F89" w:rsidRDefault="00D22F89" w:rsidP="000B63C8">
      <w:pPr>
        <w:pStyle w:val="BodyText"/>
        <w:spacing w:line="269" w:lineRule="exact"/>
        <w:rPr>
          <w:rFonts w:asciiTheme="minorHAnsi" w:hAnsiTheme="minorHAnsi"/>
          <w:highlight w:val="yellow"/>
        </w:rPr>
      </w:pPr>
    </w:p>
    <w:p w14:paraId="5B614C61" w14:textId="77777777" w:rsidR="00C70F16" w:rsidRPr="00C70F16" w:rsidRDefault="03589AC1" w:rsidP="6D717258">
      <w:pPr>
        <w:pStyle w:val="BodyText"/>
        <w:numPr>
          <w:ilvl w:val="0"/>
          <w:numId w:val="8"/>
        </w:numPr>
        <w:rPr>
          <w:rFonts w:asciiTheme="minorHAnsi" w:hAnsiTheme="minorHAnsi"/>
          <w:b/>
          <w:bCs/>
        </w:rPr>
      </w:pPr>
      <w:r w:rsidRPr="2118CD5A">
        <w:rPr>
          <w:rFonts w:asciiTheme="minorHAnsi" w:hAnsiTheme="minorHAnsi"/>
          <w:b/>
          <w:bCs/>
        </w:rPr>
        <w:t>The need to address a growing backlog of MGB’s outpatient endoscopy cases.</w:t>
      </w:r>
    </w:p>
    <w:p w14:paraId="72FFCE98" w14:textId="77777777" w:rsidR="00BE3A30" w:rsidRDefault="00BE3A30" w:rsidP="6D717258">
      <w:pPr>
        <w:spacing w:after="120"/>
        <w:rPr>
          <w:rFonts w:asciiTheme="minorHAnsi" w:hAnsiTheme="minorHAnsi"/>
        </w:rPr>
      </w:pPr>
      <w:bookmarkStart w:id="7" w:name="_Hlk206590349"/>
    </w:p>
    <w:p w14:paraId="1EBD482C" w14:textId="4CADD2F7" w:rsidR="00BE3A30" w:rsidRDefault="002F6423" w:rsidP="6D717258">
      <w:pPr>
        <w:spacing w:after="120"/>
        <w:rPr>
          <w:rFonts w:asciiTheme="minorHAnsi" w:hAnsiTheme="minorHAnsi"/>
        </w:rPr>
      </w:pPr>
      <w:r>
        <w:rPr>
          <w:rFonts w:asciiTheme="minorHAnsi" w:hAnsiTheme="minorHAnsi"/>
        </w:rPr>
        <w:t>In FY2024, the MGB AMCs performed 35,195 endoscopy procedures, including 29</w:t>
      </w:r>
      <w:r w:rsidR="00344173">
        <w:rPr>
          <w:rFonts w:asciiTheme="minorHAnsi" w:hAnsiTheme="minorHAnsi"/>
        </w:rPr>
        <w:t>,</w:t>
      </w:r>
      <w:r>
        <w:rPr>
          <w:rFonts w:asciiTheme="minorHAnsi" w:hAnsiTheme="minorHAnsi"/>
        </w:rPr>
        <w:t xml:space="preserve">723 outpatient procedures. Of those outpatient procedures, </w:t>
      </w:r>
      <w:r w:rsidR="00362289">
        <w:rPr>
          <w:rFonts w:asciiTheme="minorHAnsi" w:hAnsiTheme="minorHAnsi"/>
        </w:rPr>
        <w:t>20,117</w:t>
      </w:r>
      <w:r>
        <w:rPr>
          <w:rFonts w:asciiTheme="minorHAnsi" w:hAnsiTheme="minorHAnsi"/>
        </w:rPr>
        <w:t xml:space="preserve"> were eligible to be performed in an ASC. </w:t>
      </w:r>
      <w:r w:rsidR="000633DC" w:rsidRPr="6D717258">
        <w:rPr>
          <w:rFonts w:asciiTheme="minorHAnsi" w:hAnsiTheme="minorHAnsi"/>
        </w:rPr>
        <w:t>The Applicant notes that at the time of this Application, there is only one dedicated endoscopy ASC in Boston</w:t>
      </w:r>
      <w:r w:rsidR="000633DC">
        <w:rPr>
          <w:rFonts w:asciiTheme="minorHAnsi" w:hAnsiTheme="minorHAnsi"/>
        </w:rPr>
        <w:t>.</w:t>
      </w:r>
      <w:r w:rsidR="005969F5">
        <w:rPr>
          <w:rFonts w:asciiTheme="minorHAnsi" w:hAnsiTheme="minorHAnsi"/>
        </w:rPr>
        <w:t xml:space="preserve"> </w:t>
      </w:r>
    </w:p>
    <w:p w14:paraId="62DEAD4A" w14:textId="77777777" w:rsidR="00440E98" w:rsidRDefault="00440E98" w:rsidP="6D717258">
      <w:pPr>
        <w:spacing w:after="120"/>
        <w:rPr>
          <w:rFonts w:asciiTheme="minorHAnsi" w:hAnsiTheme="minorHAnsi"/>
        </w:rPr>
      </w:pPr>
    </w:p>
    <w:p w14:paraId="123D3B2F" w14:textId="1594729F" w:rsidR="008D12A2" w:rsidRDefault="00EE5D80">
      <w:pPr>
        <w:pStyle w:val="ListParagraph"/>
        <w:spacing w:after="120" w:line="259" w:lineRule="auto"/>
        <w:ind w:left="0" w:firstLine="0"/>
        <w:rPr>
          <w:rFonts w:asciiTheme="minorHAnsi" w:hAnsiTheme="minorHAnsi"/>
        </w:rPr>
      </w:pPr>
      <w:r w:rsidRPr="0506BC97">
        <w:rPr>
          <w:rFonts w:asciiTheme="minorHAnsi" w:hAnsiTheme="minorHAnsi"/>
        </w:rPr>
        <w:t xml:space="preserve">The Applicant states </w:t>
      </w:r>
      <w:r w:rsidR="569598A3" w:rsidRPr="0506BC97">
        <w:rPr>
          <w:rFonts w:asciiTheme="minorHAnsi" w:hAnsiTheme="minorHAnsi"/>
        </w:rPr>
        <w:t>as of</w:t>
      </w:r>
      <w:r w:rsidRPr="0506BC97">
        <w:rPr>
          <w:rFonts w:asciiTheme="minorHAnsi" w:hAnsiTheme="minorHAnsi"/>
        </w:rPr>
        <w:t xml:space="preserve"> July 2025,</w:t>
      </w:r>
      <w:r w:rsidR="00440E98" w:rsidRPr="0506BC97">
        <w:rPr>
          <w:rFonts w:asciiTheme="minorHAnsi" w:hAnsiTheme="minorHAnsi"/>
        </w:rPr>
        <w:t xml:space="preserve"> 26,586 MGB patients </w:t>
      </w:r>
      <w:r w:rsidR="5455099D" w:rsidRPr="0506BC97">
        <w:rPr>
          <w:rFonts w:asciiTheme="minorHAnsi" w:hAnsiTheme="minorHAnsi"/>
        </w:rPr>
        <w:t>we</w:t>
      </w:r>
      <w:r w:rsidR="00440E98" w:rsidRPr="0506BC97">
        <w:rPr>
          <w:rFonts w:asciiTheme="minorHAnsi" w:hAnsiTheme="minorHAnsi"/>
        </w:rPr>
        <w:t xml:space="preserve">re waiting for their endoscopy procedure to be scheduled at </w:t>
      </w:r>
      <w:r w:rsidR="00647E2C" w:rsidRPr="0506BC97">
        <w:rPr>
          <w:rFonts w:asciiTheme="minorHAnsi" w:hAnsiTheme="minorHAnsi"/>
        </w:rPr>
        <w:t>an MGB AMC</w:t>
      </w:r>
      <w:r w:rsidR="00440E98" w:rsidRPr="0506BC97">
        <w:rPr>
          <w:rFonts w:asciiTheme="minorHAnsi" w:hAnsiTheme="minorHAnsi"/>
        </w:rPr>
        <w:t xml:space="preserve">. </w:t>
      </w:r>
      <w:r w:rsidR="00AC41DE" w:rsidRPr="0506BC97">
        <w:rPr>
          <w:rFonts w:asciiTheme="minorHAnsi" w:hAnsiTheme="minorHAnsi"/>
        </w:rPr>
        <w:t>Staff inquired about historical backlog data</w:t>
      </w:r>
      <w:r w:rsidR="007E3FC0" w:rsidRPr="0506BC97">
        <w:rPr>
          <w:rFonts w:asciiTheme="minorHAnsi" w:hAnsiTheme="minorHAnsi"/>
        </w:rPr>
        <w:t xml:space="preserve"> and the Applicant explained that </w:t>
      </w:r>
      <w:r w:rsidR="000405A7" w:rsidRPr="00FC54A0">
        <w:rPr>
          <w:rFonts w:asciiTheme="minorHAnsi" w:hAnsiTheme="minorHAnsi"/>
        </w:rPr>
        <w:t xml:space="preserve">backlog reports can only be run to provide a snapshot of the data as it currently exists therefore a report cannot be run for the backlog that existed historically. </w:t>
      </w:r>
      <w:r w:rsidR="000405A7" w:rsidRPr="0506BC97">
        <w:rPr>
          <w:rFonts w:asciiTheme="minorHAnsi" w:hAnsiTheme="minorHAnsi"/>
        </w:rPr>
        <w:t xml:space="preserve">The Applicant </w:t>
      </w:r>
      <w:r w:rsidR="00D1068F" w:rsidRPr="0506BC97">
        <w:rPr>
          <w:rFonts w:asciiTheme="minorHAnsi" w:hAnsiTheme="minorHAnsi"/>
        </w:rPr>
        <w:t>explained that o</w:t>
      </w:r>
      <w:r w:rsidR="000405A7" w:rsidRPr="00FC54A0">
        <w:rPr>
          <w:rFonts w:asciiTheme="minorHAnsi" w:hAnsiTheme="minorHAnsi"/>
        </w:rPr>
        <w:t xml:space="preserve">rders are added to the endoscopy queue daily and exceed the number of procedures performed each day. As a result, MGB has continued to see the backlog grow even as endoscopy volume has increased. </w:t>
      </w:r>
    </w:p>
    <w:p w14:paraId="6EE74091" w14:textId="77777777" w:rsidR="008D12A2" w:rsidRDefault="008D12A2">
      <w:pPr>
        <w:pStyle w:val="ListParagraph"/>
        <w:spacing w:after="120" w:line="259" w:lineRule="auto"/>
        <w:ind w:left="0" w:firstLine="0"/>
        <w:rPr>
          <w:rFonts w:asciiTheme="minorHAnsi" w:hAnsiTheme="minorHAnsi"/>
        </w:rPr>
      </w:pPr>
    </w:p>
    <w:p w14:paraId="7B852B90" w14:textId="79AD8363" w:rsidR="008A57D2" w:rsidRDefault="008A6956">
      <w:pPr>
        <w:pStyle w:val="ListParagraph"/>
        <w:spacing w:after="120" w:line="259" w:lineRule="auto"/>
        <w:ind w:left="0" w:firstLine="0"/>
        <w:rPr>
          <w:rFonts w:asciiTheme="minorHAnsi" w:hAnsiTheme="minorHAnsi"/>
        </w:rPr>
      </w:pPr>
      <w:r w:rsidRPr="00FC54A0">
        <w:rPr>
          <w:rFonts w:asciiTheme="minorHAnsi" w:hAnsiTheme="minorHAnsi"/>
        </w:rPr>
        <w:t>As previously noted,</w:t>
      </w:r>
      <w:r w:rsidR="00C652DB" w:rsidRPr="00FC54A0">
        <w:rPr>
          <w:rFonts w:asciiTheme="minorHAnsi" w:hAnsiTheme="minorHAnsi"/>
        </w:rPr>
        <w:t xml:space="preserve"> there are capacity constraints at all MGB locations</w:t>
      </w:r>
      <w:r w:rsidR="00C652DB" w:rsidRPr="0506BC97">
        <w:rPr>
          <w:rFonts w:asciiTheme="minorHAnsi" w:hAnsiTheme="minorHAnsi"/>
        </w:rPr>
        <w:t xml:space="preserve">, </w:t>
      </w:r>
      <w:r w:rsidR="00C652DB" w:rsidRPr="00FC54A0">
        <w:rPr>
          <w:rFonts w:asciiTheme="minorHAnsi" w:hAnsiTheme="minorHAnsi"/>
        </w:rPr>
        <w:t>which prevents the AMCs from shifting volume</w:t>
      </w:r>
      <w:r w:rsidR="00C652DB" w:rsidRPr="0506BC97">
        <w:rPr>
          <w:rFonts w:asciiTheme="minorHAnsi" w:hAnsiTheme="minorHAnsi"/>
        </w:rPr>
        <w:t xml:space="preserve"> to alternate locations within the MGB system</w:t>
      </w:r>
      <w:r w:rsidR="00C652DB" w:rsidRPr="00FC54A0">
        <w:rPr>
          <w:rFonts w:asciiTheme="minorHAnsi" w:hAnsiTheme="minorHAnsi"/>
        </w:rPr>
        <w:t>.</w:t>
      </w:r>
      <w:r w:rsidR="000B2E1D">
        <w:rPr>
          <w:rFonts w:asciiTheme="minorHAnsi" w:hAnsiTheme="minorHAnsi"/>
        </w:rPr>
        <w:t xml:space="preserve"> </w:t>
      </w:r>
      <w:r w:rsidR="000F6CF1">
        <w:rPr>
          <w:rFonts w:asciiTheme="minorHAnsi" w:hAnsiTheme="minorHAnsi"/>
        </w:rPr>
        <w:t>Table</w:t>
      </w:r>
      <w:r w:rsidR="006E1CF3">
        <w:rPr>
          <w:rFonts w:asciiTheme="minorHAnsi" w:hAnsiTheme="minorHAnsi"/>
        </w:rPr>
        <w:t xml:space="preserve"> </w:t>
      </w:r>
      <w:r w:rsidR="00B34C8B">
        <w:rPr>
          <w:rFonts w:asciiTheme="minorHAnsi" w:hAnsiTheme="minorHAnsi"/>
        </w:rPr>
        <w:t>4</w:t>
      </w:r>
      <w:r w:rsidR="006E1CF3">
        <w:rPr>
          <w:rFonts w:asciiTheme="minorHAnsi" w:hAnsiTheme="minorHAnsi"/>
        </w:rPr>
        <w:t xml:space="preserve"> shows the capacit</w:t>
      </w:r>
      <w:r w:rsidR="00712CF9">
        <w:rPr>
          <w:rFonts w:asciiTheme="minorHAnsi" w:hAnsiTheme="minorHAnsi"/>
        </w:rPr>
        <w:t>y</w:t>
      </w:r>
      <w:r w:rsidR="006E1CF3">
        <w:rPr>
          <w:rFonts w:asciiTheme="minorHAnsi" w:hAnsiTheme="minorHAnsi"/>
        </w:rPr>
        <w:t xml:space="preserve"> </w:t>
      </w:r>
      <w:r w:rsidR="003F7E8E">
        <w:rPr>
          <w:rFonts w:asciiTheme="minorHAnsi" w:hAnsiTheme="minorHAnsi"/>
        </w:rPr>
        <w:t>for endoscopy at</w:t>
      </w:r>
      <w:r w:rsidR="006E1CF3">
        <w:rPr>
          <w:rFonts w:asciiTheme="minorHAnsi" w:hAnsiTheme="minorHAnsi"/>
        </w:rPr>
        <w:t xml:space="preserve"> Newton </w:t>
      </w:r>
      <w:r w:rsidR="008A57D2">
        <w:rPr>
          <w:rFonts w:asciiTheme="minorHAnsi" w:hAnsiTheme="minorHAnsi"/>
        </w:rPr>
        <w:t>Wellesley</w:t>
      </w:r>
      <w:r w:rsidR="006E1CF3">
        <w:rPr>
          <w:rFonts w:asciiTheme="minorHAnsi" w:hAnsiTheme="minorHAnsi"/>
        </w:rPr>
        <w:t xml:space="preserve"> Hospital</w:t>
      </w:r>
      <w:r w:rsidR="00712CF9">
        <w:rPr>
          <w:rFonts w:asciiTheme="minorHAnsi" w:hAnsiTheme="minorHAnsi"/>
        </w:rPr>
        <w:t>,</w:t>
      </w:r>
      <w:r w:rsidR="00D55706">
        <w:rPr>
          <w:rFonts w:asciiTheme="minorHAnsi" w:hAnsiTheme="minorHAnsi"/>
        </w:rPr>
        <w:t xml:space="preserve"> which serve</w:t>
      </w:r>
      <w:r w:rsidR="00712CF9">
        <w:rPr>
          <w:rFonts w:asciiTheme="minorHAnsi" w:hAnsiTheme="minorHAnsi"/>
        </w:rPr>
        <w:t>s</w:t>
      </w:r>
      <w:r w:rsidR="00D55706">
        <w:rPr>
          <w:rFonts w:asciiTheme="minorHAnsi" w:hAnsiTheme="minorHAnsi"/>
        </w:rPr>
        <w:t xml:space="preserve"> ambulatory surgery patients</w:t>
      </w:r>
      <w:r w:rsidR="003F7E8E">
        <w:rPr>
          <w:rFonts w:asciiTheme="minorHAnsi" w:hAnsiTheme="minorHAnsi"/>
        </w:rPr>
        <w:t xml:space="preserve">. </w:t>
      </w:r>
      <w:r w:rsidR="00712CF9">
        <w:rPr>
          <w:rFonts w:asciiTheme="minorHAnsi" w:hAnsiTheme="minorHAnsi"/>
        </w:rPr>
        <w:t>The data demonstrates that Newton Wellesley’s capacity</w:t>
      </w:r>
      <w:r w:rsidR="001E045B">
        <w:rPr>
          <w:rFonts w:asciiTheme="minorHAnsi" w:hAnsiTheme="minorHAnsi"/>
        </w:rPr>
        <w:t xml:space="preserve"> has been increasing over time, limiting the hospital’s ability to </w:t>
      </w:r>
      <w:r w:rsidR="00EB09D9">
        <w:rPr>
          <w:rFonts w:asciiTheme="minorHAnsi" w:hAnsiTheme="minorHAnsi"/>
        </w:rPr>
        <w:t>serve the backlog of endoscopy patients at the AMCs.</w:t>
      </w:r>
    </w:p>
    <w:p w14:paraId="3A943E32" w14:textId="7AB3F303" w:rsidR="00EB09D9" w:rsidRPr="00FC54A0" w:rsidRDefault="00B34C8B" w:rsidP="00FC54A0">
      <w:pPr>
        <w:pStyle w:val="BodyText"/>
        <w:ind w:left="360"/>
        <w:jc w:val="center"/>
        <w:rPr>
          <w:rFonts w:asciiTheme="minorHAnsi" w:hAnsiTheme="minorHAnsi"/>
          <w:b/>
          <w:bCs/>
        </w:rPr>
      </w:pPr>
      <w:r w:rsidRPr="00FC54A0">
        <w:rPr>
          <w:rFonts w:asciiTheme="minorHAnsi" w:hAnsiTheme="minorHAnsi"/>
          <w:b/>
          <w:bCs/>
          <w:u w:val="single"/>
        </w:rPr>
        <w:t xml:space="preserve">Table </w:t>
      </w:r>
      <w:r w:rsidRPr="003F7E8E">
        <w:rPr>
          <w:rFonts w:asciiTheme="minorHAnsi" w:hAnsiTheme="minorHAnsi"/>
          <w:b/>
          <w:bCs/>
          <w:u w:val="single"/>
        </w:rPr>
        <w:t>4</w:t>
      </w:r>
      <w:r w:rsidRPr="00FC54A0">
        <w:rPr>
          <w:rFonts w:asciiTheme="minorHAnsi" w:hAnsiTheme="minorHAnsi"/>
          <w:b/>
          <w:bCs/>
          <w:u w:val="single"/>
        </w:rPr>
        <w:t>:</w:t>
      </w:r>
      <w:r w:rsidRPr="003F7E8E">
        <w:rPr>
          <w:rFonts w:asciiTheme="minorHAnsi" w:hAnsiTheme="minorHAnsi"/>
          <w:b/>
          <w:bCs/>
        </w:rPr>
        <w:t xml:space="preserve"> Newton Wellesley Endoscopy Operating Capacity, 2022 to 2025</w:t>
      </w:r>
      <w:r w:rsidRPr="003F7E8E">
        <w:rPr>
          <w:rStyle w:val="FootnoteReference"/>
          <w:rFonts w:asciiTheme="minorHAnsi" w:hAnsiTheme="minorHAnsi"/>
          <w:b/>
          <w:bCs/>
        </w:rPr>
        <w:footnoteReference w:id="14"/>
      </w: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5"/>
        <w:gridCol w:w="1675"/>
        <w:gridCol w:w="1573"/>
        <w:gridCol w:w="1644"/>
        <w:gridCol w:w="1579"/>
        <w:gridCol w:w="1669"/>
      </w:tblGrid>
      <w:tr w:rsidR="00C81109" w:rsidRPr="003F7E8E" w14:paraId="05659A81" w14:textId="77777777" w:rsidTr="001169FC">
        <w:trPr>
          <w:cantSplit/>
          <w:trHeight w:val="182"/>
          <w:tblHeader/>
        </w:trPr>
        <w:tc>
          <w:tcPr>
            <w:tcW w:w="1350" w:type="dxa"/>
          </w:tcPr>
          <w:p w14:paraId="083A243F" w14:textId="77777777" w:rsidR="00C81109" w:rsidRPr="00FC54A0" w:rsidRDefault="00C81109" w:rsidP="00685A56">
            <w:pPr>
              <w:jc w:val="both"/>
              <w:rPr>
                <w:rFonts w:asciiTheme="minorHAnsi" w:eastAsia="Times New Roman" w:hAnsiTheme="minorHAnsi"/>
                <w:b/>
                <w:bCs/>
                <w:color w:val="000000" w:themeColor="text1"/>
                <w:szCs w:val="24"/>
              </w:rPr>
            </w:pPr>
            <w:bookmarkStart w:id="8" w:name="_Hlk217938145"/>
            <w:r w:rsidRPr="00FC54A0">
              <w:rPr>
                <w:rFonts w:asciiTheme="minorHAnsi" w:eastAsia="Times New Roman" w:hAnsiTheme="minorHAnsi"/>
                <w:b/>
                <w:bCs/>
                <w:color w:val="000000" w:themeColor="text1"/>
                <w:szCs w:val="24"/>
              </w:rPr>
              <w:t>Fiscal Year</w:t>
            </w:r>
          </w:p>
        </w:tc>
        <w:tc>
          <w:tcPr>
            <w:tcW w:w="1710" w:type="dxa"/>
          </w:tcPr>
          <w:p w14:paraId="398D4494" w14:textId="77777777" w:rsidR="00C81109" w:rsidRPr="00FC54A0" w:rsidRDefault="00C81109" w:rsidP="00685A56">
            <w:pPr>
              <w:jc w:val="center"/>
              <w:rPr>
                <w:rFonts w:asciiTheme="minorHAnsi" w:hAnsiTheme="minorHAnsi"/>
                <w:b/>
                <w:bCs/>
                <w:szCs w:val="24"/>
              </w:rPr>
            </w:pPr>
            <w:r w:rsidRPr="00FC54A0">
              <w:rPr>
                <w:rFonts w:asciiTheme="minorHAnsi" w:hAnsiTheme="minorHAnsi"/>
                <w:b/>
                <w:bCs/>
                <w:i/>
                <w:iCs/>
                <w:szCs w:val="24"/>
              </w:rPr>
              <w:t xml:space="preserve">Number of Dedicated Rooms </w:t>
            </w:r>
          </w:p>
        </w:tc>
        <w:tc>
          <w:tcPr>
            <w:tcW w:w="1620" w:type="dxa"/>
          </w:tcPr>
          <w:p w14:paraId="7B8CA460" w14:textId="77777777" w:rsidR="00C81109" w:rsidRPr="00FC54A0" w:rsidRDefault="00C81109" w:rsidP="00685A56">
            <w:pPr>
              <w:jc w:val="center"/>
              <w:rPr>
                <w:rFonts w:asciiTheme="minorHAnsi" w:hAnsiTheme="minorHAnsi"/>
                <w:b/>
                <w:bCs/>
                <w:szCs w:val="24"/>
              </w:rPr>
            </w:pPr>
            <w:r w:rsidRPr="00FC54A0">
              <w:rPr>
                <w:rFonts w:asciiTheme="minorHAnsi" w:hAnsiTheme="minorHAnsi"/>
                <w:b/>
                <w:bCs/>
                <w:i/>
                <w:iCs/>
                <w:szCs w:val="24"/>
              </w:rPr>
              <w:t>Total Volume</w:t>
            </w:r>
          </w:p>
        </w:tc>
        <w:tc>
          <w:tcPr>
            <w:tcW w:w="1710" w:type="dxa"/>
          </w:tcPr>
          <w:p w14:paraId="5D8AE312" w14:textId="69D6F917" w:rsidR="00C81109" w:rsidRPr="00FC54A0" w:rsidRDefault="00322A62" w:rsidP="00685A56">
            <w:pPr>
              <w:jc w:val="center"/>
              <w:rPr>
                <w:rFonts w:asciiTheme="minorHAnsi" w:eastAsia="Times New Roman" w:hAnsiTheme="minorHAnsi"/>
                <w:b/>
                <w:bCs/>
                <w:color w:val="000000" w:themeColor="text1"/>
                <w:szCs w:val="24"/>
              </w:rPr>
            </w:pPr>
            <w:r w:rsidRPr="00322A62">
              <w:rPr>
                <w:rFonts w:asciiTheme="minorHAnsi" w:eastAsia="Times New Roman" w:hAnsiTheme="minorHAnsi"/>
                <w:b/>
                <w:bCs/>
                <w:color w:val="000000" w:themeColor="text1"/>
                <w:szCs w:val="24"/>
              </w:rPr>
              <w:t>Cases Per Room</w:t>
            </w:r>
          </w:p>
        </w:tc>
        <w:tc>
          <w:tcPr>
            <w:tcW w:w="1620" w:type="dxa"/>
          </w:tcPr>
          <w:p w14:paraId="34360E78" w14:textId="77777777" w:rsidR="00C81109" w:rsidRPr="00FC54A0" w:rsidRDefault="00C81109" w:rsidP="00685A56">
            <w:pPr>
              <w:jc w:val="center"/>
              <w:rPr>
                <w:rFonts w:asciiTheme="minorHAnsi" w:eastAsia="Times New Roman" w:hAnsiTheme="minorHAnsi"/>
                <w:b/>
                <w:bCs/>
                <w:color w:val="000000" w:themeColor="text1"/>
                <w:szCs w:val="24"/>
              </w:rPr>
            </w:pPr>
            <w:r w:rsidRPr="00FC54A0">
              <w:rPr>
                <w:rFonts w:asciiTheme="minorHAnsi" w:eastAsia="Times New Roman" w:hAnsiTheme="minorHAnsi"/>
                <w:b/>
                <w:bCs/>
                <w:color w:val="000000" w:themeColor="text1"/>
                <w:szCs w:val="24"/>
              </w:rPr>
              <w:t xml:space="preserve">Case Capacity </w:t>
            </w:r>
          </w:p>
          <w:p w14:paraId="18D5DEC6" w14:textId="77777777" w:rsidR="00C81109" w:rsidRPr="00FC54A0" w:rsidRDefault="00C81109" w:rsidP="00685A56">
            <w:pPr>
              <w:jc w:val="center"/>
              <w:rPr>
                <w:rFonts w:asciiTheme="minorHAnsi" w:eastAsia="Times New Roman" w:hAnsiTheme="minorHAnsi"/>
                <w:b/>
                <w:bCs/>
                <w:color w:val="000000" w:themeColor="text1"/>
                <w:szCs w:val="24"/>
              </w:rPr>
            </w:pPr>
            <w:r w:rsidRPr="00FC54A0">
              <w:rPr>
                <w:rFonts w:asciiTheme="minorHAnsi" w:eastAsia="Times New Roman" w:hAnsiTheme="minorHAnsi"/>
                <w:b/>
                <w:bCs/>
                <w:color w:val="000000" w:themeColor="text1"/>
                <w:szCs w:val="24"/>
              </w:rPr>
              <w:t>Per Room</w:t>
            </w:r>
            <w:r w:rsidRPr="00FC54A0">
              <w:rPr>
                <w:rStyle w:val="FootnoteReference"/>
                <w:rFonts w:asciiTheme="minorHAnsi" w:eastAsia="Times New Roman" w:hAnsiTheme="minorHAnsi"/>
                <w:b/>
                <w:bCs/>
                <w:color w:val="000000" w:themeColor="text1"/>
                <w:szCs w:val="24"/>
              </w:rPr>
              <w:footnoteReference w:id="15"/>
            </w:r>
          </w:p>
        </w:tc>
        <w:tc>
          <w:tcPr>
            <w:tcW w:w="1705" w:type="dxa"/>
          </w:tcPr>
          <w:p w14:paraId="5FD008DA" w14:textId="77777777" w:rsidR="00C81109" w:rsidRPr="00FC54A0" w:rsidRDefault="00C81109" w:rsidP="00685A56">
            <w:pPr>
              <w:jc w:val="center"/>
              <w:rPr>
                <w:rFonts w:asciiTheme="minorHAnsi" w:eastAsia="Times New Roman" w:hAnsiTheme="minorHAnsi"/>
                <w:b/>
                <w:bCs/>
                <w:color w:val="000000" w:themeColor="text1"/>
                <w:szCs w:val="24"/>
              </w:rPr>
            </w:pPr>
            <w:r w:rsidRPr="00FC54A0">
              <w:rPr>
                <w:rFonts w:asciiTheme="minorHAnsi" w:eastAsia="Times New Roman" w:hAnsiTheme="minorHAnsi"/>
                <w:b/>
                <w:bCs/>
                <w:color w:val="000000" w:themeColor="text1"/>
                <w:szCs w:val="24"/>
              </w:rPr>
              <w:t xml:space="preserve">Operating </w:t>
            </w:r>
          </w:p>
          <w:p w14:paraId="4AF07281" w14:textId="77777777" w:rsidR="00C81109" w:rsidRPr="00FC54A0" w:rsidRDefault="00C81109" w:rsidP="00685A56">
            <w:pPr>
              <w:jc w:val="center"/>
              <w:rPr>
                <w:rFonts w:asciiTheme="minorHAnsi" w:eastAsia="Times New Roman" w:hAnsiTheme="minorHAnsi"/>
                <w:b/>
                <w:bCs/>
                <w:color w:val="000000" w:themeColor="text1"/>
                <w:szCs w:val="24"/>
              </w:rPr>
            </w:pPr>
            <w:r w:rsidRPr="00FC54A0">
              <w:rPr>
                <w:rFonts w:asciiTheme="minorHAnsi" w:eastAsia="Times New Roman" w:hAnsiTheme="minorHAnsi"/>
                <w:b/>
                <w:bCs/>
                <w:color w:val="000000" w:themeColor="text1"/>
                <w:szCs w:val="24"/>
              </w:rPr>
              <w:t>Capacity</w:t>
            </w:r>
          </w:p>
        </w:tc>
      </w:tr>
      <w:tr w:rsidR="00C81109" w:rsidRPr="003F7E8E" w14:paraId="4B23E037" w14:textId="77777777" w:rsidTr="001169FC">
        <w:trPr>
          <w:cantSplit/>
          <w:trHeight w:val="300"/>
        </w:trPr>
        <w:tc>
          <w:tcPr>
            <w:tcW w:w="1350" w:type="dxa"/>
            <w:vAlign w:val="center"/>
          </w:tcPr>
          <w:p w14:paraId="25E4FFF6" w14:textId="77777777" w:rsidR="00C81109" w:rsidRPr="00FC54A0" w:rsidRDefault="00C81109" w:rsidP="00685A56">
            <w:pPr>
              <w:jc w:val="both"/>
              <w:rPr>
                <w:rFonts w:asciiTheme="minorHAnsi" w:eastAsia="Times New Roman" w:hAnsiTheme="minorHAnsi"/>
                <w:color w:val="000000" w:themeColor="text1"/>
                <w:szCs w:val="24"/>
              </w:rPr>
            </w:pPr>
            <w:r w:rsidRPr="00FC54A0">
              <w:rPr>
                <w:rFonts w:asciiTheme="minorHAnsi" w:eastAsia="Times New Roman" w:hAnsiTheme="minorHAnsi"/>
                <w:color w:val="000000" w:themeColor="text1"/>
                <w:szCs w:val="24"/>
              </w:rPr>
              <w:t>2022</w:t>
            </w:r>
          </w:p>
        </w:tc>
        <w:tc>
          <w:tcPr>
            <w:tcW w:w="1710" w:type="dxa"/>
            <w:vAlign w:val="center"/>
          </w:tcPr>
          <w:p w14:paraId="5D3C4394" w14:textId="77777777" w:rsidR="00C81109" w:rsidRPr="00FC54A0" w:rsidRDefault="00C81109" w:rsidP="00685A56">
            <w:pPr>
              <w:jc w:val="center"/>
              <w:rPr>
                <w:rFonts w:asciiTheme="minorHAnsi" w:eastAsia="Times New Roman" w:hAnsiTheme="minorHAnsi"/>
                <w:color w:val="000000" w:themeColor="text1"/>
                <w:szCs w:val="24"/>
              </w:rPr>
            </w:pPr>
            <w:r w:rsidRPr="00FC54A0">
              <w:rPr>
                <w:rFonts w:asciiTheme="minorHAnsi" w:hAnsiTheme="minorHAnsi"/>
                <w:color w:val="000000"/>
                <w:szCs w:val="24"/>
              </w:rPr>
              <w:t>8</w:t>
            </w:r>
          </w:p>
        </w:tc>
        <w:tc>
          <w:tcPr>
            <w:tcW w:w="1620" w:type="dxa"/>
            <w:vAlign w:val="center"/>
          </w:tcPr>
          <w:p w14:paraId="6BF95BFB" w14:textId="77777777" w:rsidR="00C81109" w:rsidRPr="00FC54A0" w:rsidRDefault="00C81109" w:rsidP="00685A56">
            <w:pPr>
              <w:jc w:val="center"/>
              <w:rPr>
                <w:rFonts w:asciiTheme="minorHAnsi" w:eastAsia="Times New Roman" w:hAnsiTheme="minorHAnsi"/>
                <w:color w:val="000000" w:themeColor="text1"/>
                <w:szCs w:val="24"/>
              </w:rPr>
            </w:pPr>
            <w:r w:rsidRPr="00FC54A0">
              <w:rPr>
                <w:rFonts w:asciiTheme="minorHAnsi" w:hAnsiTheme="minorHAnsi"/>
                <w:color w:val="000000"/>
                <w:szCs w:val="24"/>
              </w:rPr>
              <w:t>13,651</w:t>
            </w:r>
          </w:p>
        </w:tc>
        <w:tc>
          <w:tcPr>
            <w:tcW w:w="1710" w:type="dxa"/>
            <w:vAlign w:val="center"/>
          </w:tcPr>
          <w:p w14:paraId="584A9681" w14:textId="77777777" w:rsidR="00C81109" w:rsidRPr="00FC54A0" w:rsidRDefault="00C81109" w:rsidP="00685A56">
            <w:pPr>
              <w:jc w:val="center"/>
              <w:rPr>
                <w:rFonts w:asciiTheme="minorHAnsi" w:eastAsia="Times New Roman" w:hAnsiTheme="minorHAnsi"/>
                <w:color w:val="000000" w:themeColor="text1"/>
                <w:szCs w:val="24"/>
              </w:rPr>
            </w:pPr>
            <w:r w:rsidRPr="00FC54A0">
              <w:rPr>
                <w:rFonts w:asciiTheme="minorHAnsi" w:hAnsiTheme="minorHAnsi"/>
                <w:color w:val="000000"/>
                <w:szCs w:val="24"/>
              </w:rPr>
              <w:t>1,706</w:t>
            </w:r>
          </w:p>
        </w:tc>
        <w:tc>
          <w:tcPr>
            <w:tcW w:w="1620" w:type="dxa"/>
            <w:vAlign w:val="center"/>
          </w:tcPr>
          <w:p w14:paraId="407CC97A" w14:textId="77777777" w:rsidR="00C81109" w:rsidRPr="00FC54A0" w:rsidRDefault="00C81109" w:rsidP="00685A56">
            <w:pPr>
              <w:jc w:val="center"/>
              <w:rPr>
                <w:rFonts w:asciiTheme="minorHAnsi" w:eastAsia="Times New Roman" w:hAnsiTheme="minorHAnsi"/>
                <w:color w:val="000000" w:themeColor="text1"/>
                <w:szCs w:val="24"/>
              </w:rPr>
            </w:pPr>
            <w:r w:rsidRPr="00FC54A0">
              <w:rPr>
                <w:rFonts w:asciiTheme="minorHAnsi" w:hAnsiTheme="minorHAnsi"/>
                <w:color w:val="000000"/>
                <w:szCs w:val="24"/>
              </w:rPr>
              <w:t>2,564</w:t>
            </w:r>
          </w:p>
        </w:tc>
        <w:tc>
          <w:tcPr>
            <w:tcW w:w="1705" w:type="dxa"/>
            <w:vAlign w:val="center"/>
          </w:tcPr>
          <w:p w14:paraId="0E4A1568" w14:textId="77777777" w:rsidR="00C81109" w:rsidRPr="00FC54A0" w:rsidRDefault="00C81109" w:rsidP="00685A56">
            <w:pPr>
              <w:jc w:val="center"/>
              <w:rPr>
                <w:rFonts w:asciiTheme="minorHAnsi" w:eastAsia="Times New Roman" w:hAnsiTheme="minorHAnsi"/>
                <w:color w:val="000000" w:themeColor="text1"/>
                <w:szCs w:val="24"/>
              </w:rPr>
            </w:pPr>
            <w:r w:rsidRPr="00FC54A0">
              <w:rPr>
                <w:rFonts w:asciiTheme="minorHAnsi" w:hAnsiTheme="minorHAnsi"/>
                <w:color w:val="000000"/>
                <w:szCs w:val="24"/>
              </w:rPr>
              <w:t>67%</w:t>
            </w:r>
          </w:p>
        </w:tc>
      </w:tr>
      <w:tr w:rsidR="00C81109" w:rsidRPr="003F7E8E" w14:paraId="01F83F21" w14:textId="77777777" w:rsidTr="001169FC">
        <w:trPr>
          <w:cantSplit/>
          <w:trHeight w:val="300"/>
        </w:trPr>
        <w:tc>
          <w:tcPr>
            <w:tcW w:w="1350" w:type="dxa"/>
            <w:vAlign w:val="center"/>
          </w:tcPr>
          <w:p w14:paraId="3A5D88FB" w14:textId="77777777" w:rsidR="00C81109" w:rsidRPr="00FC54A0" w:rsidRDefault="00C81109" w:rsidP="00685A56">
            <w:pPr>
              <w:jc w:val="both"/>
              <w:rPr>
                <w:rFonts w:asciiTheme="minorHAnsi" w:eastAsia="Times New Roman" w:hAnsiTheme="minorHAnsi"/>
                <w:color w:val="000000" w:themeColor="text1"/>
                <w:szCs w:val="24"/>
              </w:rPr>
            </w:pPr>
            <w:r w:rsidRPr="00FC54A0">
              <w:rPr>
                <w:rFonts w:asciiTheme="minorHAnsi" w:eastAsia="Times New Roman" w:hAnsiTheme="minorHAnsi"/>
                <w:color w:val="000000" w:themeColor="text1"/>
                <w:szCs w:val="24"/>
              </w:rPr>
              <w:t>2023</w:t>
            </w:r>
          </w:p>
        </w:tc>
        <w:tc>
          <w:tcPr>
            <w:tcW w:w="1710" w:type="dxa"/>
            <w:vAlign w:val="center"/>
          </w:tcPr>
          <w:p w14:paraId="315CC759" w14:textId="77777777" w:rsidR="00C81109" w:rsidRPr="00FC54A0" w:rsidRDefault="00C81109" w:rsidP="00685A56">
            <w:pPr>
              <w:jc w:val="center"/>
              <w:rPr>
                <w:rFonts w:asciiTheme="minorHAnsi" w:eastAsia="Times New Roman" w:hAnsiTheme="minorHAnsi"/>
                <w:color w:val="000000" w:themeColor="text1"/>
                <w:szCs w:val="24"/>
              </w:rPr>
            </w:pPr>
            <w:r w:rsidRPr="00FC54A0">
              <w:rPr>
                <w:rFonts w:asciiTheme="minorHAnsi" w:hAnsiTheme="minorHAnsi"/>
                <w:color w:val="000000"/>
                <w:szCs w:val="24"/>
              </w:rPr>
              <w:t>9</w:t>
            </w:r>
          </w:p>
        </w:tc>
        <w:tc>
          <w:tcPr>
            <w:tcW w:w="1620" w:type="dxa"/>
            <w:vAlign w:val="center"/>
          </w:tcPr>
          <w:p w14:paraId="4F5863B8" w14:textId="77777777" w:rsidR="00C81109" w:rsidRPr="00FC54A0" w:rsidRDefault="00C81109" w:rsidP="00685A56">
            <w:pPr>
              <w:jc w:val="center"/>
              <w:rPr>
                <w:rFonts w:asciiTheme="minorHAnsi" w:eastAsia="Times New Roman" w:hAnsiTheme="minorHAnsi"/>
                <w:color w:val="000000" w:themeColor="text1"/>
                <w:szCs w:val="24"/>
              </w:rPr>
            </w:pPr>
            <w:r w:rsidRPr="00FC54A0">
              <w:rPr>
                <w:rFonts w:asciiTheme="minorHAnsi" w:hAnsiTheme="minorHAnsi"/>
                <w:color w:val="000000"/>
                <w:szCs w:val="24"/>
              </w:rPr>
              <w:t>16,822</w:t>
            </w:r>
          </w:p>
        </w:tc>
        <w:tc>
          <w:tcPr>
            <w:tcW w:w="1710" w:type="dxa"/>
            <w:vAlign w:val="center"/>
          </w:tcPr>
          <w:p w14:paraId="0CF66123" w14:textId="77777777" w:rsidR="00C81109" w:rsidRPr="00FC54A0" w:rsidRDefault="00C81109" w:rsidP="00685A56">
            <w:pPr>
              <w:jc w:val="center"/>
              <w:rPr>
                <w:rFonts w:asciiTheme="minorHAnsi" w:eastAsia="Times New Roman" w:hAnsiTheme="minorHAnsi"/>
                <w:color w:val="000000" w:themeColor="text1"/>
                <w:szCs w:val="24"/>
              </w:rPr>
            </w:pPr>
            <w:r w:rsidRPr="00FC54A0">
              <w:rPr>
                <w:rFonts w:asciiTheme="minorHAnsi" w:hAnsiTheme="minorHAnsi"/>
                <w:color w:val="000000"/>
                <w:szCs w:val="24"/>
              </w:rPr>
              <w:t>1,869</w:t>
            </w:r>
          </w:p>
        </w:tc>
        <w:tc>
          <w:tcPr>
            <w:tcW w:w="1620" w:type="dxa"/>
            <w:vAlign w:val="center"/>
          </w:tcPr>
          <w:p w14:paraId="62F946A4" w14:textId="77777777" w:rsidR="00C81109" w:rsidRPr="00FC54A0" w:rsidRDefault="00C81109" w:rsidP="00685A56">
            <w:pPr>
              <w:jc w:val="center"/>
              <w:rPr>
                <w:rFonts w:asciiTheme="minorHAnsi" w:eastAsia="Times New Roman" w:hAnsiTheme="minorHAnsi"/>
                <w:color w:val="000000" w:themeColor="text1"/>
                <w:szCs w:val="24"/>
              </w:rPr>
            </w:pPr>
            <w:r w:rsidRPr="00FC54A0">
              <w:rPr>
                <w:rFonts w:asciiTheme="minorHAnsi" w:hAnsiTheme="minorHAnsi"/>
                <w:color w:val="000000"/>
                <w:szCs w:val="24"/>
              </w:rPr>
              <w:t>2,564</w:t>
            </w:r>
          </w:p>
        </w:tc>
        <w:tc>
          <w:tcPr>
            <w:tcW w:w="1705" w:type="dxa"/>
            <w:vAlign w:val="center"/>
          </w:tcPr>
          <w:p w14:paraId="1017F3FF" w14:textId="77777777" w:rsidR="00C81109" w:rsidRPr="00FC54A0" w:rsidRDefault="00C81109" w:rsidP="00685A56">
            <w:pPr>
              <w:jc w:val="center"/>
              <w:rPr>
                <w:rFonts w:asciiTheme="minorHAnsi" w:eastAsia="Times New Roman" w:hAnsiTheme="minorHAnsi"/>
                <w:color w:val="000000" w:themeColor="text1"/>
                <w:szCs w:val="24"/>
              </w:rPr>
            </w:pPr>
            <w:r w:rsidRPr="00FC54A0">
              <w:rPr>
                <w:rFonts w:asciiTheme="minorHAnsi" w:hAnsiTheme="minorHAnsi"/>
                <w:color w:val="000000"/>
                <w:szCs w:val="24"/>
              </w:rPr>
              <w:t>73%</w:t>
            </w:r>
          </w:p>
        </w:tc>
      </w:tr>
      <w:tr w:rsidR="00C81109" w:rsidRPr="003F7E8E" w14:paraId="1549BEB1" w14:textId="77777777" w:rsidTr="001169FC">
        <w:trPr>
          <w:cantSplit/>
          <w:trHeight w:val="300"/>
        </w:trPr>
        <w:tc>
          <w:tcPr>
            <w:tcW w:w="1350" w:type="dxa"/>
            <w:vAlign w:val="center"/>
          </w:tcPr>
          <w:p w14:paraId="2B9A7F06" w14:textId="77777777" w:rsidR="00C81109" w:rsidRPr="00FC54A0" w:rsidRDefault="00C81109" w:rsidP="00685A56">
            <w:pPr>
              <w:jc w:val="both"/>
              <w:rPr>
                <w:rFonts w:asciiTheme="minorHAnsi" w:eastAsia="Times New Roman" w:hAnsiTheme="minorHAnsi"/>
                <w:color w:val="000000" w:themeColor="text1"/>
                <w:szCs w:val="24"/>
              </w:rPr>
            </w:pPr>
            <w:r w:rsidRPr="00FC54A0">
              <w:rPr>
                <w:rFonts w:asciiTheme="minorHAnsi" w:eastAsia="Times New Roman" w:hAnsiTheme="minorHAnsi"/>
                <w:color w:val="000000" w:themeColor="text1"/>
                <w:szCs w:val="24"/>
              </w:rPr>
              <w:t>2024</w:t>
            </w:r>
          </w:p>
        </w:tc>
        <w:tc>
          <w:tcPr>
            <w:tcW w:w="1710" w:type="dxa"/>
            <w:vAlign w:val="center"/>
          </w:tcPr>
          <w:p w14:paraId="6107DF33" w14:textId="77777777" w:rsidR="00C81109" w:rsidRPr="00FC54A0" w:rsidRDefault="00C81109" w:rsidP="00685A56">
            <w:pPr>
              <w:jc w:val="center"/>
              <w:rPr>
                <w:rFonts w:asciiTheme="minorHAnsi" w:eastAsia="Times New Roman" w:hAnsiTheme="minorHAnsi"/>
                <w:color w:val="000000" w:themeColor="text1"/>
                <w:szCs w:val="24"/>
              </w:rPr>
            </w:pPr>
            <w:r w:rsidRPr="00FC54A0">
              <w:rPr>
                <w:rFonts w:asciiTheme="minorHAnsi" w:hAnsiTheme="minorHAnsi"/>
                <w:color w:val="000000"/>
                <w:szCs w:val="24"/>
              </w:rPr>
              <w:t>9</w:t>
            </w:r>
          </w:p>
        </w:tc>
        <w:tc>
          <w:tcPr>
            <w:tcW w:w="1620" w:type="dxa"/>
            <w:vAlign w:val="center"/>
          </w:tcPr>
          <w:p w14:paraId="060A8617" w14:textId="77777777" w:rsidR="00C81109" w:rsidRPr="00FC54A0" w:rsidRDefault="00C81109" w:rsidP="00685A56">
            <w:pPr>
              <w:jc w:val="center"/>
              <w:rPr>
                <w:rFonts w:asciiTheme="minorHAnsi" w:eastAsia="Times New Roman" w:hAnsiTheme="minorHAnsi"/>
                <w:color w:val="000000" w:themeColor="text1"/>
                <w:szCs w:val="24"/>
              </w:rPr>
            </w:pPr>
            <w:r w:rsidRPr="00FC54A0">
              <w:rPr>
                <w:rFonts w:asciiTheme="minorHAnsi" w:hAnsiTheme="minorHAnsi"/>
                <w:color w:val="000000"/>
                <w:szCs w:val="24"/>
              </w:rPr>
              <w:t>16,633</w:t>
            </w:r>
          </w:p>
        </w:tc>
        <w:tc>
          <w:tcPr>
            <w:tcW w:w="1710" w:type="dxa"/>
            <w:vAlign w:val="center"/>
          </w:tcPr>
          <w:p w14:paraId="5CC6DCAC" w14:textId="77777777" w:rsidR="00C81109" w:rsidRPr="00FC54A0" w:rsidRDefault="00C81109" w:rsidP="00685A56">
            <w:pPr>
              <w:jc w:val="center"/>
              <w:rPr>
                <w:rFonts w:asciiTheme="minorHAnsi" w:eastAsia="Times New Roman" w:hAnsiTheme="minorHAnsi"/>
                <w:color w:val="000000" w:themeColor="text1"/>
                <w:szCs w:val="24"/>
              </w:rPr>
            </w:pPr>
            <w:r w:rsidRPr="00FC54A0">
              <w:rPr>
                <w:rFonts w:asciiTheme="minorHAnsi" w:hAnsiTheme="minorHAnsi"/>
                <w:color w:val="000000"/>
                <w:szCs w:val="24"/>
              </w:rPr>
              <w:t>1,848</w:t>
            </w:r>
          </w:p>
        </w:tc>
        <w:tc>
          <w:tcPr>
            <w:tcW w:w="1620" w:type="dxa"/>
            <w:vAlign w:val="center"/>
          </w:tcPr>
          <w:p w14:paraId="540C94CA" w14:textId="77777777" w:rsidR="00C81109" w:rsidRPr="00FC54A0" w:rsidRDefault="00C81109" w:rsidP="00685A56">
            <w:pPr>
              <w:jc w:val="center"/>
              <w:rPr>
                <w:rFonts w:asciiTheme="minorHAnsi" w:eastAsia="Times New Roman" w:hAnsiTheme="minorHAnsi"/>
                <w:color w:val="000000" w:themeColor="text1"/>
                <w:szCs w:val="24"/>
              </w:rPr>
            </w:pPr>
            <w:r w:rsidRPr="00FC54A0">
              <w:rPr>
                <w:rFonts w:asciiTheme="minorHAnsi" w:hAnsiTheme="minorHAnsi"/>
                <w:color w:val="000000"/>
                <w:szCs w:val="24"/>
              </w:rPr>
              <w:t>2,564</w:t>
            </w:r>
          </w:p>
        </w:tc>
        <w:tc>
          <w:tcPr>
            <w:tcW w:w="1705" w:type="dxa"/>
            <w:vAlign w:val="center"/>
          </w:tcPr>
          <w:p w14:paraId="01B4EF37" w14:textId="77777777" w:rsidR="00C81109" w:rsidRPr="00FC54A0" w:rsidRDefault="00C81109" w:rsidP="00685A56">
            <w:pPr>
              <w:jc w:val="center"/>
              <w:rPr>
                <w:rFonts w:asciiTheme="minorHAnsi" w:eastAsia="Times New Roman" w:hAnsiTheme="minorHAnsi"/>
                <w:color w:val="000000" w:themeColor="text1"/>
                <w:szCs w:val="24"/>
              </w:rPr>
            </w:pPr>
            <w:r w:rsidRPr="00FC54A0">
              <w:rPr>
                <w:rFonts w:asciiTheme="minorHAnsi" w:hAnsiTheme="minorHAnsi"/>
                <w:color w:val="000000"/>
                <w:szCs w:val="24"/>
              </w:rPr>
              <w:t>72%</w:t>
            </w:r>
          </w:p>
        </w:tc>
      </w:tr>
      <w:tr w:rsidR="00C81109" w:rsidRPr="003F7E8E" w14:paraId="13089F34" w14:textId="77777777" w:rsidTr="001169FC">
        <w:trPr>
          <w:cantSplit/>
          <w:trHeight w:val="300"/>
        </w:trPr>
        <w:tc>
          <w:tcPr>
            <w:tcW w:w="1350" w:type="dxa"/>
            <w:vAlign w:val="center"/>
          </w:tcPr>
          <w:p w14:paraId="49253823" w14:textId="77777777" w:rsidR="00C81109" w:rsidRPr="00FC54A0" w:rsidRDefault="00C81109" w:rsidP="00685A56">
            <w:pPr>
              <w:jc w:val="both"/>
              <w:rPr>
                <w:rFonts w:asciiTheme="minorHAnsi" w:eastAsia="Times New Roman" w:hAnsiTheme="minorHAnsi"/>
                <w:color w:val="000000" w:themeColor="text1"/>
                <w:szCs w:val="24"/>
              </w:rPr>
            </w:pPr>
            <w:r w:rsidRPr="00FC54A0">
              <w:rPr>
                <w:rFonts w:asciiTheme="minorHAnsi" w:eastAsia="Times New Roman" w:hAnsiTheme="minorHAnsi"/>
                <w:color w:val="000000" w:themeColor="text1"/>
                <w:szCs w:val="24"/>
              </w:rPr>
              <w:t>2025</w:t>
            </w:r>
          </w:p>
        </w:tc>
        <w:tc>
          <w:tcPr>
            <w:tcW w:w="1710" w:type="dxa"/>
            <w:vAlign w:val="center"/>
          </w:tcPr>
          <w:p w14:paraId="33E76B29" w14:textId="77777777" w:rsidR="00C81109" w:rsidRPr="00FC54A0" w:rsidRDefault="00C81109" w:rsidP="00685A56">
            <w:pPr>
              <w:jc w:val="center"/>
              <w:rPr>
                <w:rFonts w:asciiTheme="minorHAnsi" w:eastAsia="Times New Roman" w:hAnsiTheme="minorHAnsi"/>
                <w:color w:val="000000" w:themeColor="text1"/>
                <w:szCs w:val="24"/>
              </w:rPr>
            </w:pPr>
            <w:r w:rsidRPr="00FC54A0">
              <w:rPr>
                <w:rFonts w:asciiTheme="minorHAnsi" w:hAnsiTheme="minorHAnsi"/>
                <w:color w:val="000000"/>
                <w:szCs w:val="24"/>
              </w:rPr>
              <w:t>9</w:t>
            </w:r>
          </w:p>
        </w:tc>
        <w:tc>
          <w:tcPr>
            <w:tcW w:w="1620" w:type="dxa"/>
            <w:vAlign w:val="center"/>
          </w:tcPr>
          <w:p w14:paraId="5006D292" w14:textId="77777777" w:rsidR="00C81109" w:rsidRPr="00FC54A0" w:rsidRDefault="00C81109" w:rsidP="00685A56">
            <w:pPr>
              <w:jc w:val="center"/>
              <w:rPr>
                <w:rFonts w:asciiTheme="minorHAnsi" w:eastAsia="Times New Roman" w:hAnsiTheme="minorHAnsi"/>
                <w:color w:val="000000" w:themeColor="text1"/>
                <w:szCs w:val="24"/>
              </w:rPr>
            </w:pPr>
            <w:r w:rsidRPr="00FC54A0">
              <w:rPr>
                <w:rFonts w:asciiTheme="minorHAnsi" w:hAnsiTheme="minorHAnsi"/>
                <w:color w:val="000000"/>
                <w:szCs w:val="24"/>
              </w:rPr>
              <w:t>17,794</w:t>
            </w:r>
          </w:p>
        </w:tc>
        <w:tc>
          <w:tcPr>
            <w:tcW w:w="1710" w:type="dxa"/>
            <w:vAlign w:val="center"/>
          </w:tcPr>
          <w:p w14:paraId="30C8FA3D" w14:textId="77777777" w:rsidR="00C81109" w:rsidRPr="00FC54A0" w:rsidRDefault="00C81109" w:rsidP="00685A56">
            <w:pPr>
              <w:jc w:val="center"/>
              <w:rPr>
                <w:rFonts w:asciiTheme="minorHAnsi" w:eastAsia="Times New Roman" w:hAnsiTheme="minorHAnsi"/>
                <w:color w:val="000000" w:themeColor="text1"/>
                <w:szCs w:val="24"/>
              </w:rPr>
            </w:pPr>
            <w:r w:rsidRPr="00FC54A0">
              <w:rPr>
                <w:rFonts w:asciiTheme="minorHAnsi" w:hAnsiTheme="minorHAnsi"/>
                <w:color w:val="000000"/>
                <w:szCs w:val="24"/>
              </w:rPr>
              <w:t>1,977</w:t>
            </w:r>
          </w:p>
        </w:tc>
        <w:tc>
          <w:tcPr>
            <w:tcW w:w="1620" w:type="dxa"/>
            <w:vAlign w:val="center"/>
          </w:tcPr>
          <w:p w14:paraId="2934CFC7" w14:textId="77777777" w:rsidR="00C81109" w:rsidRPr="00FC54A0" w:rsidRDefault="00C81109" w:rsidP="00685A56">
            <w:pPr>
              <w:jc w:val="center"/>
              <w:rPr>
                <w:rFonts w:asciiTheme="minorHAnsi" w:eastAsia="Times New Roman" w:hAnsiTheme="minorHAnsi"/>
                <w:color w:val="000000" w:themeColor="text1"/>
                <w:szCs w:val="24"/>
              </w:rPr>
            </w:pPr>
            <w:r w:rsidRPr="00FC54A0">
              <w:rPr>
                <w:rFonts w:asciiTheme="minorHAnsi" w:hAnsiTheme="minorHAnsi"/>
                <w:color w:val="000000"/>
                <w:szCs w:val="24"/>
              </w:rPr>
              <w:t>2,564</w:t>
            </w:r>
          </w:p>
        </w:tc>
        <w:tc>
          <w:tcPr>
            <w:tcW w:w="1705" w:type="dxa"/>
            <w:vAlign w:val="center"/>
          </w:tcPr>
          <w:p w14:paraId="6A13C20F" w14:textId="77777777" w:rsidR="00C81109" w:rsidRPr="00FC54A0" w:rsidRDefault="00C81109" w:rsidP="00685A56">
            <w:pPr>
              <w:jc w:val="center"/>
              <w:rPr>
                <w:rFonts w:asciiTheme="minorHAnsi" w:eastAsia="Times New Roman" w:hAnsiTheme="minorHAnsi"/>
                <w:color w:val="000000" w:themeColor="text1"/>
                <w:szCs w:val="24"/>
              </w:rPr>
            </w:pPr>
            <w:r w:rsidRPr="00FC54A0">
              <w:rPr>
                <w:rFonts w:asciiTheme="minorHAnsi" w:hAnsiTheme="minorHAnsi"/>
                <w:color w:val="000000"/>
                <w:szCs w:val="24"/>
              </w:rPr>
              <w:t>77%</w:t>
            </w:r>
          </w:p>
        </w:tc>
      </w:tr>
      <w:tr w:rsidR="00C81109" w:rsidRPr="003F7E8E" w14:paraId="3020CF74" w14:textId="77777777" w:rsidTr="001169FC">
        <w:trPr>
          <w:cantSplit/>
          <w:trHeight w:val="300"/>
        </w:trPr>
        <w:tc>
          <w:tcPr>
            <w:tcW w:w="1350" w:type="dxa"/>
            <w:vAlign w:val="center"/>
          </w:tcPr>
          <w:p w14:paraId="4CD05AFE" w14:textId="77777777" w:rsidR="00C81109" w:rsidRPr="00FC54A0" w:rsidRDefault="00C81109" w:rsidP="00685A56">
            <w:pPr>
              <w:jc w:val="both"/>
              <w:rPr>
                <w:rFonts w:asciiTheme="minorHAnsi" w:eastAsia="Times New Roman" w:hAnsiTheme="minorHAnsi"/>
                <w:color w:val="000000" w:themeColor="text1"/>
                <w:szCs w:val="24"/>
              </w:rPr>
            </w:pPr>
            <w:r w:rsidRPr="00FC54A0">
              <w:rPr>
                <w:rFonts w:asciiTheme="minorHAnsi" w:eastAsia="Times New Roman" w:hAnsiTheme="minorHAnsi"/>
                <w:color w:val="000000" w:themeColor="text1"/>
                <w:szCs w:val="24"/>
              </w:rPr>
              <w:t>2026</w:t>
            </w:r>
            <w:r w:rsidRPr="00FC54A0">
              <w:rPr>
                <w:rStyle w:val="FootnoteReference"/>
                <w:rFonts w:asciiTheme="minorHAnsi" w:eastAsia="Times New Roman" w:hAnsiTheme="minorHAnsi"/>
                <w:color w:val="000000" w:themeColor="text1"/>
                <w:szCs w:val="24"/>
              </w:rPr>
              <w:footnoteReference w:id="16"/>
            </w:r>
          </w:p>
        </w:tc>
        <w:tc>
          <w:tcPr>
            <w:tcW w:w="1710" w:type="dxa"/>
            <w:vAlign w:val="center"/>
          </w:tcPr>
          <w:p w14:paraId="703F9897" w14:textId="77777777" w:rsidR="00C81109" w:rsidRPr="00FC54A0" w:rsidRDefault="00C81109" w:rsidP="00685A56">
            <w:pPr>
              <w:jc w:val="center"/>
              <w:rPr>
                <w:rFonts w:asciiTheme="minorHAnsi" w:eastAsia="Times New Roman" w:hAnsiTheme="minorHAnsi"/>
                <w:color w:val="000000" w:themeColor="text1"/>
                <w:szCs w:val="24"/>
              </w:rPr>
            </w:pPr>
            <w:r w:rsidRPr="00FC54A0">
              <w:rPr>
                <w:rFonts w:asciiTheme="minorHAnsi" w:hAnsiTheme="minorHAnsi"/>
                <w:color w:val="000000"/>
                <w:szCs w:val="24"/>
              </w:rPr>
              <w:t>9</w:t>
            </w:r>
          </w:p>
        </w:tc>
        <w:tc>
          <w:tcPr>
            <w:tcW w:w="1620" w:type="dxa"/>
            <w:vAlign w:val="center"/>
          </w:tcPr>
          <w:p w14:paraId="52CDBC49" w14:textId="77777777" w:rsidR="00C81109" w:rsidRPr="00FC54A0" w:rsidRDefault="00C81109" w:rsidP="00685A56">
            <w:pPr>
              <w:jc w:val="center"/>
              <w:rPr>
                <w:rFonts w:asciiTheme="minorHAnsi" w:eastAsia="Times New Roman" w:hAnsiTheme="minorHAnsi"/>
                <w:color w:val="000000" w:themeColor="text1"/>
                <w:szCs w:val="24"/>
              </w:rPr>
            </w:pPr>
            <w:r w:rsidRPr="00FC54A0">
              <w:rPr>
                <w:rFonts w:asciiTheme="minorHAnsi" w:hAnsiTheme="minorHAnsi"/>
                <w:color w:val="000000"/>
                <w:szCs w:val="24"/>
              </w:rPr>
              <w:t>20,275</w:t>
            </w:r>
          </w:p>
        </w:tc>
        <w:tc>
          <w:tcPr>
            <w:tcW w:w="1710" w:type="dxa"/>
            <w:vAlign w:val="center"/>
          </w:tcPr>
          <w:p w14:paraId="39BD17DC" w14:textId="77777777" w:rsidR="00C81109" w:rsidRPr="00FC54A0" w:rsidRDefault="00C81109" w:rsidP="00685A56">
            <w:pPr>
              <w:jc w:val="center"/>
              <w:rPr>
                <w:rFonts w:asciiTheme="minorHAnsi" w:eastAsia="Times New Roman" w:hAnsiTheme="minorHAnsi"/>
                <w:color w:val="000000" w:themeColor="text1"/>
                <w:szCs w:val="24"/>
              </w:rPr>
            </w:pPr>
            <w:r w:rsidRPr="00FC54A0">
              <w:rPr>
                <w:rFonts w:asciiTheme="minorHAnsi" w:hAnsiTheme="minorHAnsi"/>
                <w:color w:val="000000"/>
                <w:szCs w:val="24"/>
              </w:rPr>
              <w:t>2,253</w:t>
            </w:r>
          </w:p>
        </w:tc>
        <w:tc>
          <w:tcPr>
            <w:tcW w:w="1620" w:type="dxa"/>
            <w:vAlign w:val="center"/>
          </w:tcPr>
          <w:p w14:paraId="26491682" w14:textId="77777777" w:rsidR="00C81109" w:rsidRPr="00FC54A0" w:rsidRDefault="00C81109" w:rsidP="00685A56">
            <w:pPr>
              <w:jc w:val="center"/>
              <w:rPr>
                <w:rFonts w:asciiTheme="minorHAnsi" w:eastAsia="Times New Roman" w:hAnsiTheme="minorHAnsi"/>
                <w:color w:val="000000" w:themeColor="text1"/>
                <w:szCs w:val="24"/>
              </w:rPr>
            </w:pPr>
            <w:r w:rsidRPr="00FC54A0">
              <w:rPr>
                <w:rFonts w:asciiTheme="minorHAnsi" w:hAnsiTheme="minorHAnsi"/>
                <w:color w:val="000000"/>
                <w:szCs w:val="24"/>
              </w:rPr>
              <w:t>2,564</w:t>
            </w:r>
          </w:p>
        </w:tc>
        <w:tc>
          <w:tcPr>
            <w:tcW w:w="1705" w:type="dxa"/>
            <w:vAlign w:val="center"/>
          </w:tcPr>
          <w:p w14:paraId="5CF14CEC" w14:textId="77777777" w:rsidR="00C81109" w:rsidRPr="00FC54A0" w:rsidRDefault="00C81109" w:rsidP="00685A56">
            <w:pPr>
              <w:jc w:val="center"/>
              <w:rPr>
                <w:rFonts w:asciiTheme="minorHAnsi" w:eastAsia="Times New Roman" w:hAnsiTheme="minorHAnsi"/>
                <w:color w:val="000000" w:themeColor="text1"/>
                <w:szCs w:val="24"/>
              </w:rPr>
            </w:pPr>
            <w:r w:rsidRPr="00FC54A0">
              <w:rPr>
                <w:rFonts w:asciiTheme="minorHAnsi" w:hAnsiTheme="minorHAnsi"/>
                <w:color w:val="000000"/>
                <w:szCs w:val="24"/>
              </w:rPr>
              <w:t>93%</w:t>
            </w:r>
          </w:p>
        </w:tc>
      </w:tr>
      <w:bookmarkEnd w:id="8"/>
    </w:tbl>
    <w:p w14:paraId="75E28E31" w14:textId="77777777" w:rsidR="008A57D2" w:rsidRDefault="008A57D2">
      <w:pPr>
        <w:pStyle w:val="ListParagraph"/>
        <w:spacing w:after="120" w:line="259" w:lineRule="auto"/>
        <w:ind w:left="0" w:firstLine="0"/>
        <w:rPr>
          <w:rFonts w:asciiTheme="minorHAnsi" w:hAnsiTheme="minorHAnsi"/>
        </w:rPr>
      </w:pPr>
    </w:p>
    <w:p w14:paraId="0C1167C0" w14:textId="5F09EBB0" w:rsidR="00B34C8B" w:rsidRDefault="00360C3F">
      <w:pPr>
        <w:pStyle w:val="ListParagraph"/>
        <w:spacing w:after="120" w:line="259" w:lineRule="auto"/>
        <w:ind w:left="0" w:firstLine="0"/>
        <w:rPr>
          <w:rFonts w:asciiTheme="minorHAnsi" w:hAnsiTheme="minorHAnsi"/>
        </w:rPr>
      </w:pPr>
      <w:r>
        <w:rPr>
          <w:rFonts w:asciiTheme="minorHAnsi" w:hAnsiTheme="minorHAnsi"/>
        </w:rPr>
        <w:t xml:space="preserve">Table </w:t>
      </w:r>
      <w:r w:rsidR="00B34C8B">
        <w:rPr>
          <w:rFonts w:asciiTheme="minorHAnsi" w:hAnsiTheme="minorHAnsi"/>
        </w:rPr>
        <w:t>5</w:t>
      </w:r>
      <w:r>
        <w:rPr>
          <w:rFonts w:asciiTheme="minorHAnsi" w:hAnsiTheme="minorHAnsi"/>
        </w:rPr>
        <w:t xml:space="preserve"> details </w:t>
      </w:r>
      <w:r w:rsidR="00B34C8B">
        <w:rPr>
          <w:rFonts w:asciiTheme="minorHAnsi" w:hAnsiTheme="minorHAnsi"/>
        </w:rPr>
        <w:t xml:space="preserve">the capacity </w:t>
      </w:r>
      <w:r w:rsidR="00D8752C">
        <w:rPr>
          <w:rFonts w:asciiTheme="minorHAnsi" w:hAnsiTheme="minorHAnsi"/>
        </w:rPr>
        <w:t xml:space="preserve">for </w:t>
      </w:r>
      <w:r w:rsidR="003F7E8E">
        <w:rPr>
          <w:rFonts w:asciiTheme="minorHAnsi" w:hAnsiTheme="minorHAnsi"/>
        </w:rPr>
        <w:t xml:space="preserve">endoscopy </w:t>
      </w:r>
      <w:r w:rsidR="00B34C8B">
        <w:rPr>
          <w:rFonts w:asciiTheme="minorHAnsi" w:hAnsiTheme="minorHAnsi"/>
        </w:rPr>
        <w:t xml:space="preserve">at MG Waltham, a Hospital Outpatient Department (HOPD) which serves ambulatory surgery patients. </w:t>
      </w:r>
      <w:r w:rsidR="002924C2">
        <w:rPr>
          <w:rFonts w:asciiTheme="minorHAnsi" w:hAnsiTheme="minorHAnsi"/>
        </w:rPr>
        <w:t xml:space="preserve">MG Waltham recently increased the number of Operating Rooms with the intent of shifting </w:t>
      </w:r>
      <w:r w:rsidR="0037566C">
        <w:rPr>
          <w:rFonts w:asciiTheme="minorHAnsi" w:hAnsiTheme="minorHAnsi"/>
        </w:rPr>
        <w:t xml:space="preserve">eligible cases from MGH Main Campus to the facility. </w:t>
      </w:r>
      <w:r w:rsidR="00B34C8B">
        <w:rPr>
          <w:rFonts w:asciiTheme="minorHAnsi" w:hAnsiTheme="minorHAnsi"/>
        </w:rPr>
        <w:t xml:space="preserve">The data demonstrates that </w:t>
      </w:r>
      <w:r w:rsidR="0037566C">
        <w:rPr>
          <w:rFonts w:asciiTheme="minorHAnsi" w:hAnsiTheme="minorHAnsi"/>
        </w:rPr>
        <w:t>MG Waltham’s</w:t>
      </w:r>
      <w:r w:rsidR="003F7E8E">
        <w:rPr>
          <w:rFonts w:asciiTheme="minorHAnsi" w:hAnsiTheme="minorHAnsi"/>
        </w:rPr>
        <w:t xml:space="preserve"> </w:t>
      </w:r>
      <w:r w:rsidR="00B34C8B">
        <w:rPr>
          <w:rFonts w:asciiTheme="minorHAnsi" w:hAnsiTheme="minorHAnsi"/>
        </w:rPr>
        <w:t>capacity</w:t>
      </w:r>
      <w:r w:rsidR="00711A66">
        <w:rPr>
          <w:rFonts w:asciiTheme="minorHAnsi" w:hAnsiTheme="minorHAnsi"/>
        </w:rPr>
        <w:t xml:space="preserve"> did see improvement as a result of the </w:t>
      </w:r>
      <w:r w:rsidR="003F7E8E">
        <w:rPr>
          <w:rFonts w:asciiTheme="minorHAnsi" w:hAnsiTheme="minorHAnsi"/>
        </w:rPr>
        <w:lastRenderedPageBreak/>
        <w:t>additional</w:t>
      </w:r>
      <w:r w:rsidR="00711A66">
        <w:rPr>
          <w:rFonts w:asciiTheme="minorHAnsi" w:hAnsiTheme="minorHAnsi"/>
        </w:rPr>
        <w:t xml:space="preserve"> operating rooms</w:t>
      </w:r>
      <w:r w:rsidR="003F7E8E">
        <w:rPr>
          <w:rFonts w:asciiTheme="minorHAnsi" w:hAnsiTheme="minorHAnsi"/>
        </w:rPr>
        <w:t>,</w:t>
      </w:r>
      <w:r w:rsidR="00711A66">
        <w:rPr>
          <w:rFonts w:asciiTheme="minorHAnsi" w:hAnsiTheme="minorHAnsi"/>
        </w:rPr>
        <w:t xml:space="preserve"> but continues to </w:t>
      </w:r>
      <w:r w:rsidR="003F7E8E">
        <w:rPr>
          <w:rFonts w:asciiTheme="minorHAnsi" w:hAnsiTheme="minorHAnsi"/>
        </w:rPr>
        <w:t>increase</w:t>
      </w:r>
      <w:r w:rsidR="00711A66">
        <w:rPr>
          <w:rFonts w:asciiTheme="minorHAnsi" w:hAnsiTheme="minorHAnsi"/>
        </w:rPr>
        <w:t>.</w:t>
      </w:r>
    </w:p>
    <w:p w14:paraId="051E3B1D" w14:textId="0A2DC48E" w:rsidR="00E03B15" w:rsidRPr="003F7E8E" w:rsidRDefault="00E03B15" w:rsidP="00FC54A0">
      <w:pPr>
        <w:pStyle w:val="BodyText"/>
        <w:ind w:left="360"/>
        <w:jc w:val="center"/>
        <w:rPr>
          <w:rFonts w:asciiTheme="minorHAnsi" w:hAnsiTheme="minorHAnsi"/>
          <w:b/>
          <w:bCs/>
        </w:rPr>
      </w:pPr>
      <w:r w:rsidRPr="00FC54A0">
        <w:rPr>
          <w:rFonts w:asciiTheme="minorHAnsi" w:hAnsiTheme="minorHAnsi"/>
          <w:b/>
          <w:bCs/>
          <w:u w:val="single"/>
        </w:rPr>
        <w:t>Table 5:</w:t>
      </w:r>
      <w:r w:rsidRPr="003F7E8E">
        <w:rPr>
          <w:rFonts w:asciiTheme="minorHAnsi" w:hAnsiTheme="minorHAnsi"/>
          <w:b/>
          <w:bCs/>
        </w:rPr>
        <w:t xml:space="preserve"> MG Waltham Endoscopy Operating Capacity, 2022 to 2025</w:t>
      </w:r>
      <w:r w:rsidRPr="003F7E8E">
        <w:rPr>
          <w:rStyle w:val="FootnoteReference"/>
          <w:rFonts w:asciiTheme="minorHAnsi" w:hAnsiTheme="minorHAnsi"/>
          <w:b/>
          <w:bCs/>
        </w:rPr>
        <w:footnoteReference w:id="17"/>
      </w: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8"/>
        <w:gridCol w:w="1643"/>
        <w:gridCol w:w="1626"/>
        <w:gridCol w:w="1613"/>
        <w:gridCol w:w="1632"/>
        <w:gridCol w:w="1643"/>
      </w:tblGrid>
      <w:tr w:rsidR="00E03B15" w:rsidRPr="003F7E8E" w14:paraId="77A7BEC9" w14:textId="77777777" w:rsidTr="00602623">
        <w:trPr>
          <w:cantSplit/>
          <w:trHeight w:val="182"/>
          <w:tblHeader/>
        </w:trPr>
        <w:tc>
          <w:tcPr>
            <w:tcW w:w="1339" w:type="dxa"/>
            <w:hideMark/>
          </w:tcPr>
          <w:p w14:paraId="73CE723E" w14:textId="77777777" w:rsidR="00E03B15" w:rsidRPr="00FC54A0" w:rsidRDefault="00E03B15" w:rsidP="00685A56">
            <w:pPr>
              <w:jc w:val="both"/>
              <w:rPr>
                <w:rFonts w:asciiTheme="minorHAnsi" w:eastAsia="Times New Roman" w:hAnsiTheme="minorHAnsi"/>
                <w:b/>
                <w:bCs/>
                <w:color w:val="000000" w:themeColor="text1"/>
                <w:szCs w:val="24"/>
              </w:rPr>
            </w:pPr>
            <w:r w:rsidRPr="00FC54A0">
              <w:rPr>
                <w:rFonts w:asciiTheme="minorHAnsi" w:eastAsia="Times New Roman" w:hAnsiTheme="minorHAnsi"/>
                <w:b/>
                <w:bCs/>
                <w:color w:val="000000" w:themeColor="text1"/>
                <w:szCs w:val="24"/>
              </w:rPr>
              <w:t>Fiscal Year</w:t>
            </w:r>
          </w:p>
        </w:tc>
        <w:tc>
          <w:tcPr>
            <w:tcW w:w="1675" w:type="dxa"/>
          </w:tcPr>
          <w:p w14:paraId="5201A2E4" w14:textId="77777777" w:rsidR="00E03B15" w:rsidRPr="00FC54A0" w:rsidRDefault="00E03B15" w:rsidP="00685A56">
            <w:pPr>
              <w:jc w:val="center"/>
              <w:rPr>
                <w:rFonts w:asciiTheme="minorHAnsi" w:hAnsiTheme="minorHAnsi"/>
                <w:b/>
                <w:bCs/>
                <w:i/>
                <w:iCs/>
                <w:szCs w:val="24"/>
              </w:rPr>
            </w:pPr>
            <w:r w:rsidRPr="00FC54A0">
              <w:rPr>
                <w:rFonts w:asciiTheme="minorHAnsi" w:hAnsiTheme="minorHAnsi"/>
                <w:b/>
                <w:bCs/>
                <w:i/>
                <w:iCs/>
                <w:szCs w:val="24"/>
              </w:rPr>
              <w:t xml:space="preserve">Number of Dedicated Rooms </w:t>
            </w:r>
          </w:p>
        </w:tc>
        <w:tc>
          <w:tcPr>
            <w:tcW w:w="1675" w:type="dxa"/>
          </w:tcPr>
          <w:p w14:paraId="23D2F419" w14:textId="77777777" w:rsidR="00E03B15" w:rsidRPr="00FC54A0" w:rsidRDefault="00E03B15" w:rsidP="00685A56">
            <w:pPr>
              <w:jc w:val="center"/>
              <w:rPr>
                <w:rFonts w:asciiTheme="minorHAnsi" w:hAnsiTheme="minorHAnsi"/>
                <w:b/>
                <w:bCs/>
                <w:i/>
                <w:iCs/>
                <w:szCs w:val="24"/>
              </w:rPr>
            </w:pPr>
            <w:r w:rsidRPr="00FC54A0">
              <w:rPr>
                <w:rFonts w:asciiTheme="minorHAnsi" w:hAnsiTheme="minorHAnsi"/>
                <w:b/>
                <w:bCs/>
                <w:i/>
                <w:iCs/>
                <w:szCs w:val="24"/>
              </w:rPr>
              <w:t>Total Volume</w:t>
            </w:r>
          </w:p>
        </w:tc>
        <w:tc>
          <w:tcPr>
            <w:tcW w:w="1675" w:type="dxa"/>
            <w:hideMark/>
          </w:tcPr>
          <w:p w14:paraId="6EEB32CE" w14:textId="77777777" w:rsidR="00E03B15" w:rsidRPr="00FC54A0" w:rsidRDefault="00E03B15" w:rsidP="00685A56">
            <w:pPr>
              <w:jc w:val="center"/>
              <w:rPr>
                <w:rFonts w:asciiTheme="minorHAnsi" w:eastAsia="Times New Roman" w:hAnsiTheme="minorHAnsi"/>
                <w:b/>
                <w:bCs/>
                <w:color w:val="000000" w:themeColor="text1"/>
                <w:szCs w:val="24"/>
              </w:rPr>
            </w:pPr>
            <w:hyperlink r:id="rId13" w:anchor="RANGE!_ftn1" w:history="1">
              <w:r w:rsidRPr="00FC54A0">
                <w:rPr>
                  <w:rFonts w:asciiTheme="minorHAnsi" w:eastAsia="Times New Roman" w:hAnsiTheme="minorHAnsi"/>
                  <w:b/>
                  <w:bCs/>
                  <w:color w:val="000000" w:themeColor="text1"/>
                  <w:szCs w:val="24"/>
                </w:rPr>
                <w:t xml:space="preserve">Cases per Room </w:t>
              </w:r>
            </w:hyperlink>
          </w:p>
        </w:tc>
        <w:tc>
          <w:tcPr>
            <w:tcW w:w="1675" w:type="dxa"/>
          </w:tcPr>
          <w:p w14:paraId="5008ECDD" w14:textId="77777777" w:rsidR="00E03B15" w:rsidRPr="00FC54A0" w:rsidRDefault="00E03B15" w:rsidP="00685A56">
            <w:pPr>
              <w:jc w:val="center"/>
              <w:rPr>
                <w:rFonts w:asciiTheme="minorHAnsi" w:eastAsia="Times New Roman" w:hAnsiTheme="minorHAnsi"/>
                <w:b/>
                <w:bCs/>
                <w:color w:val="000000" w:themeColor="text1"/>
                <w:szCs w:val="24"/>
              </w:rPr>
            </w:pPr>
            <w:r w:rsidRPr="00FC54A0">
              <w:rPr>
                <w:rFonts w:asciiTheme="minorHAnsi" w:eastAsia="Times New Roman" w:hAnsiTheme="minorHAnsi"/>
                <w:b/>
                <w:bCs/>
                <w:color w:val="000000" w:themeColor="text1"/>
                <w:szCs w:val="24"/>
              </w:rPr>
              <w:t xml:space="preserve">Case Capacity </w:t>
            </w:r>
          </w:p>
          <w:p w14:paraId="0173C703" w14:textId="77777777" w:rsidR="00E03B15" w:rsidRPr="00FC54A0" w:rsidRDefault="00E03B15" w:rsidP="00685A56">
            <w:pPr>
              <w:jc w:val="center"/>
              <w:rPr>
                <w:rFonts w:asciiTheme="minorHAnsi" w:eastAsia="Times New Roman" w:hAnsiTheme="minorHAnsi"/>
                <w:b/>
                <w:bCs/>
                <w:color w:val="000000" w:themeColor="text1"/>
                <w:szCs w:val="24"/>
              </w:rPr>
            </w:pPr>
            <w:r w:rsidRPr="00FC54A0">
              <w:rPr>
                <w:rFonts w:asciiTheme="minorHAnsi" w:eastAsia="Times New Roman" w:hAnsiTheme="minorHAnsi"/>
                <w:b/>
                <w:bCs/>
                <w:color w:val="000000" w:themeColor="text1"/>
                <w:szCs w:val="24"/>
              </w:rPr>
              <w:t>Per Room</w:t>
            </w:r>
            <w:r w:rsidRPr="00FC54A0">
              <w:rPr>
                <w:rStyle w:val="FootnoteReference"/>
                <w:rFonts w:asciiTheme="minorHAnsi" w:eastAsia="Times New Roman" w:hAnsiTheme="minorHAnsi"/>
                <w:b/>
                <w:bCs/>
                <w:color w:val="000000" w:themeColor="text1"/>
                <w:szCs w:val="24"/>
              </w:rPr>
              <w:footnoteReference w:id="18"/>
            </w:r>
          </w:p>
        </w:tc>
        <w:tc>
          <w:tcPr>
            <w:tcW w:w="1676" w:type="dxa"/>
            <w:hideMark/>
          </w:tcPr>
          <w:p w14:paraId="51A660B5" w14:textId="77777777" w:rsidR="00E03B15" w:rsidRPr="00FC54A0" w:rsidRDefault="00E03B15" w:rsidP="00685A56">
            <w:pPr>
              <w:jc w:val="center"/>
              <w:rPr>
                <w:rFonts w:asciiTheme="minorHAnsi" w:eastAsia="Times New Roman" w:hAnsiTheme="minorHAnsi"/>
                <w:b/>
                <w:bCs/>
                <w:color w:val="000000" w:themeColor="text1"/>
                <w:szCs w:val="24"/>
              </w:rPr>
            </w:pPr>
            <w:r w:rsidRPr="00FC54A0">
              <w:rPr>
                <w:rFonts w:asciiTheme="minorHAnsi" w:eastAsia="Times New Roman" w:hAnsiTheme="minorHAnsi"/>
                <w:b/>
                <w:bCs/>
                <w:color w:val="000000" w:themeColor="text1"/>
                <w:szCs w:val="24"/>
              </w:rPr>
              <w:t xml:space="preserve">Operating </w:t>
            </w:r>
          </w:p>
          <w:p w14:paraId="76D8D672" w14:textId="77777777" w:rsidR="00E03B15" w:rsidRPr="00FC54A0" w:rsidRDefault="00E03B15" w:rsidP="00685A56">
            <w:pPr>
              <w:jc w:val="center"/>
              <w:rPr>
                <w:rFonts w:asciiTheme="minorHAnsi" w:eastAsia="Times New Roman" w:hAnsiTheme="minorHAnsi"/>
                <w:b/>
                <w:bCs/>
                <w:color w:val="000000" w:themeColor="text1"/>
                <w:szCs w:val="24"/>
              </w:rPr>
            </w:pPr>
            <w:r w:rsidRPr="00FC54A0">
              <w:rPr>
                <w:rFonts w:asciiTheme="minorHAnsi" w:eastAsia="Times New Roman" w:hAnsiTheme="minorHAnsi"/>
                <w:b/>
                <w:bCs/>
                <w:color w:val="000000" w:themeColor="text1"/>
                <w:szCs w:val="24"/>
              </w:rPr>
              <w:t>Capacity</w:t>
            </w:r>
          </w:p>
        </w:tc>
      </w:tr>
      <w:tr w:rsidR="00E03B15" w:rsidRPr="003F7E8E" w14:paraId="59185D2C" w14:textId="77777777" w:rsidTr="00602623">
        <w:trPr>
          <w:cantSplit/>
          <w:trHeight w:val="300"/>
        </w:trPr>
        <w:tc>
          <w:tcPr>
            <w:tcW w:w="1339" w:type="dxa"/>
            <w:vAlign w:val="center"/>
            <w:hideMark/>
          </w:tcPr>
          <w:p w14:paraId="794F0A18" w14:textId="77777777" w:rsidR="00E03B15" w:rsidRPr="00FC54A0" w:rsidRDefault="00E03B15" w:rsidP="00685A56">
            <w:pPr>
              <w:jc w:val="both"/>
              <w:rPr>
                <w:rFonts w:asciiTheme="minorHAnsi" w:eastAsia="Times New Roman" w:hAnsiTheme="minorHAnsi"/>
                <w:color w:val="000000" w:themeColor="text1"/>
                <w:szCs w:val="24"/>
              </w:rPr>
            </w:pPr>
            <w:bookmarkStart w:id="10" w:name="RANGE!B4"/>
            <w:r w:rsidRPr="00FC54A0">
              <w:rPr>
                <w:rFonts w:asciiTheme="minorHAnsi" w:eastAsia="Times New Roman" w:hAnsiTheme="minorHAnsi"/>
                <w:color w:val="000000" w:themeColor="text1"/>
                <w:szCs w:val="24"/>
              </w:rPr>
              <w:t>2022</w:t>
            </w:r>
            <w:bookmarkEnd w:id="10"/>
          </w:p>
        </w:tc>
        <w:tc>
          <w:tcPr>
            <w:tcW w:w="1675" w:type="dxa"/>
          </w:tcPr>
          <w:p w14:paraId="68433C45" w14:textId="77777777" w:rsidR="00E03B15" w:rsidRPr="00FC54A0" w:rsidRDefault="00E03B15" w:rsidP="00685A56">
            <w:pPr>
              <w:jc w:val="center"/>
              <w:rPr>
                <w:rFonts w:asciiTheme="minorHAnsi" w:eastAsia="Times New Roman" w:hAnsiTheme="minorHAnsi"/>
                <w:color w:val="000000" w:themeColor="text1"/>
                <w:szCs w:val="24"/>
              </w:rPr>
            </w:pPr>
            <w:r w:rsidRPr="00FC54A0">
              <w:rPr>
                <w:rFonts w:asciiTheme="minorHAnsi" w:eastAsia="Times New Roman" w:hAnsiTheme="minorHAnsi"/>
                <w:color w:val="000000" w:themeColor="text1"/>
                <w:szCs w:val="24"/>
              </w:rPr>
              <w:t>0.4</w:t>
            </w:r>
          </w:p>
        </w:tc>
        <w:tc>
          <w:tcPr>
            <w:tcW w:w="1675" w:type="dxa"/>
          </w:tcPr>
          <w:p w14:paraId="766BFF26" w14:textId="77777777" w:rsidR="00E03B15" w:rsidRPr="00FC54A0" w:rsidRDefault="00E03B15" w:rsidP="00685A56">
            <w:pPr>
              <w:jc w:val="center"/>
              <w:rPr>
                <w:rFonts w:asciiTheme="minorHAnsi" w:eastAsia="Times New Roman" w:hAnsiTheme="minorHAnsi"/>
                <w:color w:val="000000" w:themeColor="text1"/>
                <w:szCs w:val="24"/>
              </w:rPr>
            </w:pPr>
            <w:r w:rsidRPr="00FC54A0">
              <w:rPr>
                <w:rFonts w:asciiTheme="minorHAnsi" w:eastAsia="Times New Roman" w:hAnsiTheme="minorHAnsi"/>
                <w:color w:val="000000" w:themeColor="text1"/>
                <w:szCs w:val="24"/>
              </w:rPr>
              <w:t>1,274</w:t>
            </w:r>
          </w:p>
        </w:tc>
        <w:tc>
          <w:tcPr>
            <w:tcW w:w="1675" w:type="dxa"/>
            <w:vAlign w:val="center"/>
          </w:tcPr>
          <w:p w14:paraId="28285E13" w14:textId="77777777" w:rsidR="00E03B15" w:rsidRPr="00FC54A0" w:rsidRDefault="00E03B15" w:rsidP="00685A56">
            <w:pPr>
              <w:jc w:val="center"/>
              <w:rPr>
                <w:rFonts w:asciiTheme="minorHAnsi" w:eastAsia="Times New Roman" w:hAnsiTheme="minorHAnsi"/>
                <w:color w:val="000000" w:themeColor="text1"/>
                <w:szCs w:val="24"/>
              </w:rPr>
            </w:pPr>
            <w:r w:rsidRPr="00FC54A0">
              <w:rPr>
                <w:rFonts w:asciiTheme="minorHAnsi" w:hAnsiTheme="minorHAnsi"/>
                <w:color w:val="000000"/>
                <w:szCs w:val="24"/>
              </w:rPr>
              <w:t>1,274</w:t>
            </w:r>
          </w:p>
        </w:tc>
        <w:tc>
          <w:tcPr>
            <w:tcW w:w="1675" w:type="dxa"/>
            <w:vAlign w:val="center"/>
          </w:tcPr>
          <w:p w14:paraId="2FADCFC0" w14:textId="77777777" w:rsidR="00E03B15" w:rsidRPr="00FC54A0" w:rsidRDefault="00E03B15" w:rsidP="00685A56">
            <w:pPr>
              <w:jc w:val="center"/>
              <w:rPr>
                <w:rFonts w:asciiTheme="minorHAnsi" w:eastAsia="Times New Roman" w:hAnsiTheme="minorHAnsi"/>
                <w:color w:val="000000" w:themeColor="text1"/>
                <w:szCs w:val="24"/>
              </w:rPr>
            </w:pPr>
            <w:r w:rsidRPr="00FC54A0">
              <w:rPr>
                <w:rFonts w:asciiTheme="minorHAnsi" w:hAnsiTheme="minorHAnsi"/>
                <w:color w:val="000000"/>
                <w:szCs w:val="24"/>
              </w:rPr>
              <w:t>1,134</w:t>
            </w:r>
          </w:p>
        </w:tc>
        <w:tc>
          <w:tcPr>
            <w:tcW w:w="1676" w:type="dxa"/>
            <w:vAlign w:val="center"/>
          </w:tcPr>
          <w:p w14:paraId="3A07D237" w14:textId="77777777" w:rsidR="00E03B15" w:rsidRPr="00FC54A0" w:rsidRDefault="00E03B15" w:rsidP="00685A56">
            <w:pPr>
              <w:jc w:val="center"/>
              <w:rPr>
                <w:rFonts w:asciiTheme="minorHAnsi" w:eastAsia="Times New Roman" w:hAnsiTheme="minorHAnsi"/>
                <w:color w:val="000000" w:themeColor="text1"/>
                <w:szCs w:val="24"/>
              </w:rPr>
            </w:pPr>
            <w:r w:rsidRPr="00FC54A0">
              <w:rPr>
                <w:rFonts w:asciiTheme="minorHAnsi" w:hAnsiTheme="minorHAnsi"/>
                <w:color w:val="000000"/>
                <w:szCs w:val="24"/>
              </w:rPr>
              <w:t>112%</w:t>
            </w:r>
          </w:p>
        </w:tc>
      </w:tr>
      <w:tr w:rsidR="00E03B15" w:rsidRPr="003F7E8E" w14:paraId="0C542067" w14:textId="77777777" w:rsidTr="00602623">
        <w:trPr>
          <w:cantSplit/>
          <w:trHeight w:val="300"/>
        </w:trPr>
        <w:tc>
          <w:tcPr>
            <w:tcW w:w="1339" w:type="dxa"/>
            <w:vAlign w:val="center"/>
            <w:hideMark/>
          </w:tcPr>
          <w:p w14:paraId="16BB4EFB" w14:textId="77777777" w:rsidR="00E03B15" w:rsidRPr="00FC54A0" w:rsidRDefault="00E03B15" w:rsidP="00685A56">
            <w:pPr>
              <w:jc w:val="both"/>
              <w:rPr>
                <w:rFonts w:asciiTheme="minorHAnsi" w:eastAsia="Times New Roman" w:hAnsiTheme="minorHAnsi"/>
                <w:color w:val="000000" w:themeColor="text1"/>
                <w:szCs w:val="24"/>
              </w:rPr>
            </w:pPr>
            <w:r w:rsidRPr="00FC54A0">
              <w:rPr>
                <w:rFonts w:asciiTheme="minorHAnsi" w:eastAsia="Times New Roman" w:hAnsiTheme="minorHAnsi"/>
                <w:color w:val="000000" w:themeColor="text1"/>
                <w:szCs w:val="24"/>
              </w:rPr>
              <w:t>2023</w:t>
            </w:r>
          </w:p>
        </w:tc>
        <w:tc>
          <w:tcPr>
            <w:tcW w:w="1675" w:type="dxa"/>
          </w:tcPr>
          <w:p w14:paraId="2AD1BF8A" w14:textId="77777777" w:rsidR="00E03B15" w:rsidRPr="00FC54A0" w:rsidRDefault="00E03B15" w:rsidP="00685A56">
            <w:pPr>
              <w:jc w:val="center"/>
              <w:rPr>
                <w:rFonts w:asciiTheme="minorHAnsi" w:eastAsia="Times New Roman" w:hAnsiTheme="minorHAnsi"/>
                <w:color w:val="000000" w:themeColor="text1"/>
                <w:szCs w:val="24"/>
              </w:rPr>
            </w:pPr>
            <w:r w:rsidRPr="00FC54A0">
              <w:rPr>
                <w:rFonts w:asciiTheme="minorHAnsi" w:eastAsia="Times New Roman" w:hAnsiTheme="minorHAnsi"/>
                <w:color w:val="000000" w:themeColor="text1"/>
                <w:szCs w:val="24"/>
              </w:rPr>
              <w:t>0.4</w:t>
            </w:r>
          </w:p>
        </w:tc>
        <w:tc>
          <w:tcPr>
            <w:tcW w:w="1675" w:type="dxa"/>
          </w:tcPr>
          <w:p w14:paraId="4BADC821" w14:textId="77777777" w:rsidR="00E03B15" w:rsidRPr="00FC54A0" w:rsidRDefault="00E03B15" w:rsidP="00685A56">
            <w:pPr>
              <w:jc w:val="center"/>
              <w:rPr>
                <w:rFonts w:asciiTheme="minorHAnsi" w:eastAsia="Times New Roman" w:hAnsiTheme="minorHAnsi"/>
                <w:color w:val="000000" w:themeColor="text1"/>
                <w:szCs w:val="24"/>
              </w:rPr>
            </w:pPr>
            <w:r w:rsidRPr="00FC54A0">
              <w:rPr>
                <w:rFonts w:asciiTheme="minorHAnsi" w:eastAsia="Times New Roman" w:hAnsiTheme="minorHAnsi"/>
                <w:color w:val="000000" w:themeColor="text1"/>
                <w:szCs w:val="24"/>
              </w:rPr>
              <w:t>1,324</w:t>
            </w:r>
          </w:p>
        </w:tc>
        <w:tc>
          <w:tcPr>
            <w:tcW w:w="1675" w:type="dxa"/>
            <w:vAlign w:val="center"/>
          </w:tcPr>
          <w:p w14:paraId="64E38043" w14:textId="77777777" w:rsidR="00E03B15" w:rsidRPr="00FC54A0" w:rsidRDefault="00E03B15" w:rsidP="00685A56">
            <w:pPr>
              <w:jc w:val="center"/>
              <w:rPr>
                <w:rFonts w:asciiTheme="minorHAnsi" w:eastAsia="Times New Roman" w:hAnsiTheme="minorHAnsi"/>
                <w:color w:val="000000" w:themeColor="text1"/>
                <w:szCs w:val="24"/>
              </w:rPr>
            </w:pPr>
            <w:r w:rsidRPr="00FC54A0">
              <w:rPr>
                <w:rFonts w:asciiTheme="minorHAnsi" w:hAnsiTheme="minorHAnsi"/>
                <w:color w:val="000000"/>
                <w:szCs w:val="24"/>
              </w:rPr>
              <w:t>1,324</w:t>
            </w:r>
          </w:p>
        </w:tc>
        <w:tc>
          <w:tcPr>
            <w:tcW w:w="1675" w:type="dxa"/>
            <w:vAlign w:val="center"/>
          </w:tcPr>
          <w:p w14:paraId="06BC8839" w14:textId="77777777" w:rsidR="00E03B15" w:rsidRPr="00FC54A0" w:rsidRDefault="00E03B15" w:rsidP="00685A56">
            <w:pPr>
              <w:jc w:val="center"/>
              <w:rPr>
                <w:rFonts w:asciiTheme="minorHAnsi" w:eastAsia="Times New Roman" w:hAnsiTheme="minorHAnsi"/>
                <w:color w:val="000000" w:themeColor="text1"/>
                <w:szCs w:val="24"/>
              </w:rPr>
            </w:pPr>
            <w:r w:rsidRPr="00FC54A0">
              <w:rPr>
                <w:rFonts w:asciiTheme="minorHAnsi" w:hAnsiTheme="minorHAnsi"/>
                <w:color w:val="000000"/>
                <w:szCs w:val="24"/>
              </w:rPr>
              <w:t>1,184</w:t>
            </w:r>
          </w:p>
        </w:tc>
        <w:tc>
          <w:tcPr>
            <w:tcW w:w="1676" w:type="dxa"/>
            <w:vAlign w:val="center"/>
          </w:tcPr>
          <w:p w14:paraId="09C2AC2E" w14:textId="77777777" w:rsidR="00E03B15" w:rsidRPr="00FC54A0" w:rsidRDefault="00E03B15" w:rsidP="00685A56">
            <w:pPr>
              <w:jc w:val="center"/>
              <w:rPr>
                <w:rFonts w:asciiTheme="minorHAnsi" w:eastAsia="Times New Roman" w:hAnsiTheme="minorHAnsi"/>
                <w:color w:val="000000" w:themeColor="text1"/>
                <w:szCs w:val="24"/>
              </w:rPr>
            </w:pPr>
            <w:r w:rsidRPr="00FC54A0">
              <w:rPr>
                <w:rFonts w:asciiTheme="minorHAnsi" w:hAnsiTheme="minorHAnsi"/>
                <w:color w:val="000000"/>
                <w:szCs w:val="24"/>
              </w:rPr>
              <w:t>112%</w:t>
            </w:r>
          </w:p>
        </w:tc>
      </w:tr>
      <w:tr w:rsidR="00E03B15" w:rsidRPr="003F7E8E" w14:paraId="620BBFCF" w14:textId="77777777" w:rsidTr="00602623">
        <w:trPr>
          <w:cantSplit/>
          <w:trHeight w:val="300"/>
        </w:trPr>
        <w:tc>
          <w:tcPr>
            <w:tcW w:w="1339" w:type="dxa"/>
            <w:vAlign w:val="center"/>
            <w:hideMark/>
          </w:tcPr>
          <w:p w14:paraId="126BD208" w14:textId="77777777" w:rsidR="00E03B15" w:rsidRPr="00FC54A0" w:rsidRDefault="00E03B15" w:rsidP="00685A56">
            <w:pPr>
              <w:jc w:val="both"/>
              <w:rPr>
                <w:rFonts w:asciiTheme="minorHAnsi" w:eastAsia="Times New Roman" w:hAnsiTheme="minorHAnsi"/>
                <w:color w:val="000000" w:themeColor="text1"/>
                <w:szCs w:val="24"/>
              </w:rPr>
            </w:pPr>
            <w:r w:rsidRPr="00FC54A0">
              <w:rPr>
                <w:rFonts w:asciiTheme="minorHAnsi" w:eastAsia="Times New Roman" w:hAnsiTheme="minorHAnsi"/>
                <w:color w:val="000000" w:themeColor="text1"/>
                <w:szCs w:val="24"/>
              </w:rPr>
              <w:t>2024</w:t>
            </w:r>
          </w:p>
        </w:tc>
        <w:tc>
          <w:tcPr>
            <w:tcW w:w="1675" w:type="dxa"/>
          </w:tcPr>
          <w:p w14:paraId="4D6542BD" w14:textId="77777777" w:rsidR="00E03B15" w:rsidRPr="00FC54A0" w:rsidRDefault="00E03B15" w:rsidP="00685A56">
            <w:pPr>
              <w:jc w:val="center"/>
              <w:rPr>
                <w:rFonts w:asciiTheme="minorHAnsi" w:eastAsia="Times New Roman" w:hAnsiTheme="minorHAnsi"/>
                <w:color w:val="000000" w:themeColor="text1"/>
                <w:szCs w:val="24"/>
              </w:rPr>
            </w:pPr>
            <w:r w:rsidRPr="00FC54A0">
              <w:rPr>
                <w:rFonts w:asciiTheme="minorHAnsi" w:eastAsia="Times New Roman" w:hAnsiTheme="minorHAnsi"/>
                <w:color w:val="000000" w:themeColor="text1"/>
                <w:szCs w:val="24"/>
              </w:rPr>
              <w:t>2</w:t>
            </w:r>
          </w:p>
        </w:tc>
        <w:tc>
          <w:tcPr>
            <w:tcW w:w="1675" w:type="dxa"/>
          </w:tcPr>
          <w:p w14:paraId="40BE3197" w14:textId="77777777" w:rsidR="00E03B15" w:rsidRPr="00FC54A0" w:rsidRDefault="00E03B15" w:rsidP="00685A56">
            <w:pPr>
              <w:jc w:val="center"/>
              <w:rPr>
                <w:rFonts w:asciiTheme="minorHAnsi" w:eastAsia="Times New Roman" w:hAnsiTheme="minorHAnsi"/>
                <w:color w:val="000000" w:themeColor="text1"/>
                <w:szCs w:val="24"/>
              </w:rPr>
            </w:pPr>
            <w:r w:rsidRPr="00FC54A0">
              <w:rPr>
                <w:rFonts w:asciiTheme="minorHAnsi" w:eastAsia="Times New Roman" w:hAnsiTheme="minorHAnsi"/>
                <w:color w:val="000000" w:themeColor="text1"/>
                <w:szCs w:val="24"/>
              </w:rPr>
              <w:t>4,823</w:t>
            </w:r>
          </w:p>
        </w:tc>
        <w:tc>
          <w:tcPr>
            <w:tcW w:w="1675" w:type="dxa"/>
            <w:vAlign w:val="center"/>
          </w:tcPr>
          <w:p w14:paraId="5B813B08" w14:textId="77777777" w:rsidR="00E03B15" w:rsidRPr="00FC54A0" w:rsidRDefault="00E03B15" w:rsidP="00685A56">
            <w:pPr>
              <w:jc w:val="center"/>
              <w:rPr>
                <w:rFonts w:asciiTheme="minorHAnsi" w:eastAsia="Times New Roman" w:hAnsiTheme="minorHAnsi"/>
                <w:color w:val="000000" w:themeColor="text1"/>
                <w:szCs w:val="24"/>
              </w:rPr>
            </w:pPr>
            <w:r w:rsidRPr="00FC54A0">
              <w:rPr>
                <w:rFonts w:asciiTheme="minorHAnsi" w:hAnsiTheme="minorHAnsi"/>
                <w:color w:val="000000"/>
                <w:szCs w:val="24"/>
              </w:rPr>
              <w:t>2,412</w:t>
            </w:r>
          </w:p>
        </w:tc>
        <w:tc>
          <w:tcPr>
            <w:tcW w:w="1675" w:type="dxa"/>
            <w:vAlign w:val="center"/>
          </w:tcPr>
          <w:p w14:paraId="07C27F32" w14:textId="77777777" w:rsidR="00E03B15" w:rsidRPr="00FC54A0" w:rsidRDefault="00E03B15" w:rsidP="00685A56">
            <w:pPr>
              <w:jc w:val="center"/>
              <w:rPr>
                <w:rFonts w:asciiTheme="minorHAnsi" w:eastAsia="Times New Roman" w:hAnsiTheme="minorHAnsi"/>
                <w:color w:val="000000" w:themeColor="text1"/>
                <w:szCs w:val="24"/>
              </w:rPr>
            </w:pPr>
            <w:r w:rsidRPr="00FC54A0">
              <w:rPr>
                <w:rFonts w:asciiTheme="minorHAnsi" w:hAnsiTheme="minorHAnsi"/>
                <w:color w:val="000000"/>
                <w:szCs w:val="24"/>
              </w:rPr>
              <w:t>3,138</w:t>
            </w:r>
          </w:p>
        </w:tc>
        <w:tc>
          <w:tcPr>
            <w:tcW w:w="1676" w:type="dxa"/>
            <w:vAlign w:val="center"/>
          </w:tcPr>
          <w:p w14:paraId="4B965A1C" w14:textId="77777777" w:rsidR="00E03B15" w:rsidRPr="00FC54A0" w:rsidRDefault="00E03B15" w:rsidP="00685A56">
            <w:pPr>
              <w:jc w:val="center"/>
              <w:rPr>
                <w:rFonts w:asciiTheme="minorHAnsi" w:eastAsia="Times New Roman" w:hAnsiTheme="minorHAnsi"/>
                <w:color w:val="000000" w:themeColor="text1"/>
                <w:szCs w:val="24"/>
              </w:rPr>
            </w:pPr>
            <w:r w:rsidRPr="00FC54A0">
              <w:rPr>
                <w:rFonts w:asciiTheme="minorHAnsi" w:hAnsiTheme="minorHAnsi"/>
                <w:color w:val="000000"/>
                <w:szCs w:val="24"/>
              </w:rPr>
              <w:t>77%</w:t>
            </w:r>
          </w:p>
        </w:tc>
      </w:tr>
      <w:tr w:rsidR="00E03B15" w:rsidRPr="003F7E8E" w14:paraId="1122BE2E" w14:textId="77777777" w:rsidTr="00602623">
        <w:trPr>
          <w:cantSplit/>
          <w:trHeight w:val="300"/>
        </w:trPr>
        <w:tc>
          <w:tcPr>
            <w:tcW w:w="1339" w:type="dxa"/>
            <w:vAlign w:val="center"/>
          </w:tcPr>
          <w:p w14:paraId="77CA47A8" w14:textId="77777777" w:rsidR="00E03B15" w:rsidRPr="00FC54A0" w:rsidRDefault="00E03B15" w:rsidP="00685A56">
            <w:pPr>
              <w:jc w:val="both"/>
              <w:rPr>
                <w:rFonts w:asciiTheme="minorHAnsi" w:eastAsia="Times New Roman" w:hAnsiTheme="minorHAnsi"/>
                <w:color w:val="000000" w:themeColor="text1"/>
                <w:szCs w:val="24"/>
              </w:rPr>
            </w:pPr>
            <w:r w:rsidRPr="00FC54A0">
              <w:rPr>
                <w:rFonts w:asciiTheme="minorHAnsi" w:eastAsia="Times New Roman" w:hAnsiTheme="minorHAnsi"/>
                <w:color w:val="000000" w:themeColor="text1"/>
                <w:szCs w:val="24"/>
              </w:rPr>
              <w:t>2025</w:t>
            </w:r>
          </w:p>
        </w:tc>
        <w:tc>
          <w:tcPr>
            <w:tcW w:w="1675" w:type="dxa"/>
          </w:tcPr>
          <w:p w14:paraId="262BE19B" w14:textId="77777777" w:rsidR="00E03B15" w:rsidRPr="00FC54A0" w:rsidRDefault="00E03B15" w:rsidP="00685A56">
            <w:pPr>
              <w:jc w:val="center"/>
              <w:rPr>
                <w:rFonts w:asciiTheme="minorHAnsi" w:eastAsia="Times New Roman" w:hAnsiTheme="minorHAnsi"/>
                <w:color w:val="000000" w:themeColor="text1"/>
                <w:szCs w:val="24"/>
              </w:rPr>
            </w:pPr>
            <w:r w:rsidRPr="00FC54A0">
              <w:rPr>
                <w:rFonts w:asciiTheme="minorHAnsi" w:eastAsia="Times New Roman" w:hAnsiTheme="minorHAnsi"/>
                <w:color w:val="000000" w:themeColor="text1"/>
                <w:szCs w:val="24"/>
              </w:rPr>
              <w:t>2</w:t>
            </w:r>
          </w:p>
        </w:tc>
        <w:tc>
          <w:tcPr>
            <w:tcW w:w="1675" w:type="dxa"/>
          </w:tcPr>
          <w:p w14:paraId="7C7ACE99" w14:textId="77777777" w:rsidR="00E03B15" w:rsidRPr="00FC54A0" w:rsidRDefault="00E03B15" w:rsidP="00685A56">
            <w:pPr>
              <w:jc w:val="center"/>
              <w:rPr>
                <w:rFonts w:asciiTheme="minorHAnsi" w:eastAsia="Times New Roman" w:hAnsiTheme="minorHAnsi"/>
                <w:color w:val="000000" w:themeColor="text1"/>
                <w:szCs w:val="24"/>
              </w:rPr>
            </w:pPr>
            <w:r w:rsidRPr="00FC54A0">
              <w:rPr>
                <w:rFonts w:asciiTheme="minorHAnsi" w:eastAsia="Times New Roman" w:hAnsiTheme="minorHAnsi"/>
                <w:color w:val="000000" w:themeColor="text1"/>
                <w:szCs w:val="24"/>
              </w:rPr>
              <w:t>5,095</w:t>
            </w:r>
          </w:p>
        </w:tc>
        <w:tc>
          <w:tcPr>
            <w:tcW w:w="1675" w:type="dxa"/>
            <w:vAlign w:val="center"/>
          </w:tcPr>
          <w:p w14:paraId="0E54B4E1" w14:textId="77777777" w:rsidR="00E03B15" w:rsidRPr="00FC54A0" w:rsidRDefault="00E03B15" w:rsidP="00685A56">
            <w:pPr>
              <w:jc w:val="center"/>
              <w:rPr>
                <w:rFonts w:asciiTheme="minorHAnsi" w:eastAsia="Times New Roman" w:hAnsiTheme="minorHAnsi"/>
                <w:color w:val="000000" w:themeColor="text1"/>
                <w:szCs w:val="24"/>
              </w:rPr>
            </w:pPr>
            <w:r w:rsidRPr="00FC54A0">
              <w:rPr>
                <w:rFonts w:asciiTheme="minorHAnsi" w:hAnsiTheme="minorHAnsi"/>
                <w:color w:val="000000"/>
                <w:szCs w:val="24"/>
              </w:rPr>
              <w:t>2,548</w:t>
            </w:r>
          </w:p>
        </w:tc>
        <w:tc>
          <w:tcPr>
            <w:tcW w:w="1675" w:type="dxa"/>
            <w:vAlign w:val="center"/>
          </w:tcPr>
          <w:p w14:paraId="62ABC16D" w14:textId="77777777" w:rsidR="00E03B15" w:rsidRPr="00FC54A0" w:rsidRDefault="00E03B15" w:rsidP="00685A56">
            <w:pPr>
              <w:jc w:val="center"/>
              <w:rPr>
                <w:rFonts w:asciiTheme="minorHAnsi" w:eastAsia="Times New Roman" w:hAnsiTheme="minorHAnsi"/>
                <w:color w:val="000000" w:themeColor="text1"/>
                <w:szCs w:val="24"/>
                <w:highlight w:val="yellow"/>
              </w:rPr>
            </w:pPr>
            <w:r w:rsidRPr="00FC54A0">
              <w:rPr>
                <w:rFonts w:asciiTheme="minorHAnsi" w:hAnsiTheme="minorHAnsi"/>
                <w:color w:val="000000"/>
                <w:szCs w:val="24"/>
              </w:rPr>
              <w:t>3,138</w:t>
            </w:r>
          </w:p>
        </w:tc>
        <w:tc>
          <w:tcPr>
            <w:tcW w:w="1676" w:type="dxa"/>
            <w:vAlign w:val="center"/>
          </w:tcPr>
          <w:p w14:paraId="72285A72" w14:textId="77777777" w:rsidR="00E03B15" w:rsidRPr="00FC54A0" w:rsidRDefault="00E03B15" w:rsidP="00685A56">
            <w:pPr>
              <w:jc w:val="center"/>
              <w:rPr>
                <w:rFonts w:asciiTheme="minorHAnsi" w:eastAsia="Times New Roman" w:hAnsiTheme="minorHAnsi"/>
                <w:color w:val="000000" w:themeColor="text1"/>
                <w:szCs w:val="24"/>
              </w:rPr>
            </w:pPr>
            <w:r w:rsidRPr="00FC54A0">
              <w:rPr>
                <w:rFonts w:asciiTheme="minorHAnsi" w:hAnsiTheme="minorHAnsi"/>
                <w:color w:val="000000"/>
                <w:szCs w:val="24"/>
              </w:rPr>
              <w:t>81%</w:t>
            </w:r>
          </w:p>
        </w:tc>
      </w:tr>
    </w:tbl>
    <w:p w14:paraId="4E3B8672" w14:textId="77777777" w:rsidR="00B34C8B" w:rsidRDefault="00B34C8B">
      <w:pPr>
        <w:pStyle w:val="ListParagraph"/>
        <w:spacing w:after="120" w:line="259" w:lineRule="auto"/>
        <w:ind w:left="0" w:firstLine="0"/>
        <w:rPr>
          <w:rFonts w:asciiTheme="minorHAnsi" w:hAnsiTheme="minorHAnsi"/>
        </w:rPr>
      </w:pPr>
    </w:p>
    <w:p w14:paraId="55ABDBE9" w14:textId="4153B386" w:rsidR="008A57D2" w:rsidRPr="001E4ED5" w:rsidRDefault="0054013A" w:rsidP="00D23A03">
      <w:pPr>
        <w:pStyle w:val="ListParagraph"/>
        <w:tabs>
          <w:tab w:val="left" w:pos="270"/>
        </w:tabs>
        <w:spacing w:after="120" w:line="259" w:lineRule="auto"/>
        <w:ind w:left="0" w:firstLine="0"/>
        <w:rPr>
          <w:rFonts w:asciiTheme="minorHAnsi" w:hAnsiTheme="minorHAnsi"/>
          <w:b/>
        </w:rPr>
      </w:pPr>
      <w:r w:rsidRPr="001E4ED5">
        <w:rPr>
          <w:rFonts w:asciiTheme="minorHAnsi" w:hAnsiTheme="minorHAnsi"/>
        </w:rPr>
        <w:t>Table 6 illustrate</w:t>
      </w:r>
      <w:r w:rsidR="003B62A9" w:rsidRPr="001E4ED5">
        <w:rPr>
          <w:rFonts w:asciiTheme="minorHAnsi" w:hAnsiTheme="minorHAnsi"/>
        </w:rPr>
        <w:t>s</w:t>
      </w:r>
      <w:r w:rsidRPr="001E4ED5">
        <w:rPr>
          <w:rFonts w:asciiTheme="minorHAnsi" w:hAnsiTheme="minorHAnsi"/>
        </w:rPr>
        <w:t xml:space="preserve"> the shift of cases from MGH Main Campus to MG Waltham, limited to cases that can be performed at both facilities, including endoscopy. All cases performed at MG Waltham represent a shift of cases because all surgeries completed at MG Waltham would otherwise have been performed at the Main Campus. The percentage shift was calculated by dividing the number of cases performed at MG Waltham by the total number of cases that could have been performed at both facilities (cases performed at MG Waltham plus cases performed at MGH).</w:t>
      </w:r>
      <w:r w:rsidR="001E4ED5" w:rsidRPr="001E4ED5">
        <w:rPr>
          <w:rFonts w:asciiTheme="minorHAnsi" w:hAnsiTheme="minorHAnsi"/>
          <w:b/>
          <w:bCs/>
        </w:rPr>
        <w:t xml:space="preserve"> </w:t>
      </w:r>
      <w:r w:rsidR="001E4ED5" w:rsidRPr="00FC54A0">
        <w:rPr>
          <w:rFonts w:asciiTheme="minorHAnsi" w:hAnsiTheme="minorHAnsi"/>
        </w:rPr>
        <w:t xml:space="preserve">The percentage of cases shifted from the main campus initially increased </w:t>
      </w:r>
      <w:r w:rsidR="001E4ED5">
        <w:rPr>
          <w:rFonts w:asciiTheme="minorHAnsi" w:hAnsiTheme="minorHAnsi"/>
        </w:rPr>
        <w:t xml:space="preserve">but </w:t>
      </w:r>
      <w:r w:rsidR="001E4ED5" w:rsidRPr="00FC54A0">
        <w:rPr>
          <w:rFonts w:asciiTheme="minorHAnsi" w:hAnsiTheme="minorHAnsi"/>
        </w:rPr>
        <w:t>is reaching a plateau because there is not available capacity to take more cases. This utilization</w:t>
      </w:r>
      <w:r w:rsidR="00B82432">
        <w:rPr>
          <w:rFonts w:asciiTheme="minorHAnsi" w:hAnsiTheme="minorHAnsi"/>
        </w:rPr>
        <w:t xml:space="preserve"> demonstrates that</w:t>
      </w:r>
      <w:r w:rsidR="0077547C">
        <w:rPr>
          <w:rFonts w:asciiTheme="minorHAnsi" w:hAnsiTheme="minorHAnsi"/>
        </w:rPr>
        <w:t xml:space="preserve"> the </w:t>
      </w:r>
      <w:r w:rsidR="001E4ED5" w:rsidRPr="00FC54A0">
        <w:rPr>
          <w:rFonts w:asciiTheme="minorHAnsi" w:hAnsiTheme="minorHAnsi"/>
        </w:rPr>
        <w:t xml:space="preserve">MG Waltham expansion </w:t>
      </w:r>
      <w:r w:rsidR="0077547C">
        <w:rPr>
          <w:rFonts w:asciiTheme="minorHAnsi" w:hAnsiTheme="minorHAnsi"/>
        </w:rPr>
        <w:t xml:space="preserve">has </w:t>
      </w:r>
      <w:r w:rsidR="001E4ED5" w:rsidRPr="00FC54A0">
        <w:rPr>
          <w:rFonts w:asciiTheme="minorHAnsi" w:hAnsiTheme="minorHAnsi"/>
        </w:rPr>
        <w:t>met</w:t>
      </w:r>
      <w:r w:rsidR="0077547C">
        <w:rPr>
          <w:rFonts w:asciiTheme="minorHAnsi" w:hAnsiTheme="minorHAnsi"/>
        </w:rPr>
        <w:t xml:space="preserve"> its objective</w:t>
      </w:r>
      <w:r w:rsidR="001E4ED5" w:rsidRPr="00FC54A0">
        <w:rPr>
          <w:rFonts w:asciiTheme="minorHAnsi" w:hAnsiTheme="minorHAnsi"/>
        </w:rPr>
        <w:t>.</w:t>
      </w:r>
      <w:r w:rsidR="00396CAB">
        <w:rPr>
          <w:rFonts w:asciiTheme="minorHAnsi" w:hAnsiTheme="minorHAnsi"/>
        </w:rPr>
        <w:t xml:space="preserve"> Th</w:t>
      </w:r>
      <w:r w:rsidR="003E274D">
        <w:rPr>
          <w:rFonts w:asciiTheme="minorHAnsi" w:hAnsiTheme="minorHAnsi"/>
        </w:rPr>
        <w:t xml:space="preserve">e </w:t>
      </w:r>
      <w:r w:rsidR="00923923">
        <w:rPr>
          <w:rFonts w:asciiTheme="minorHAnsi" w:hAnsiTheme="minorHAnsi"/>
        </w:rPr>
        <w:t xml:space="preserve">Proposed Project seeks to </w:t>
      </w:r>
      <w:r w:rsidR="00A831E6">
        <w:rPr>
          <w:rFonts w:asciiTheme="minorHAnsi" w:hAnsiTheme="minorHAnsi"/>
        </w:rPr>
        <w:t>continue this success</w:t>
      </w:r>
      <w:r w:rsidR="00A17026">
        <w:rPr>
          <w:rFonts w:asciiTheme="minorHAnsi" w:hAnsiTheme="minorHAnsi"/>
        </w:rPr>
        <w:t xml:space="preserve"> by focusing on the backlog of endoscopy </w:t>
      </w:r>
      <w:r w:rsidR="006109C4">
        <w:rPr>
          <w:rFonts w:asciiTheme="minorHAnsi" w:hAnsiTheme="minorHAnsi"/>
        </w:rPr>
        <w:t xml:space="preserve">patients not </w:t>
      </w:r>
      <w:r w:rsidR="004A0FFB">
        <w:rPr>
          <w:rFonts w:asciiTheme="minorHAnsi" w:hAnsiTheme="minorHAnsi"/>
        </w:rPr>
        <w:t>easily served by MG Waltham.</w:t>
      </w:r>
    </w:p>
    <w:p w14:paraId="254157BD" w14:textId="0CD512F2" w:rsidR="004A0FFB" w:rsidRPr="00FC54A0" w:rsidRDefault="009A0AC7" w:rsidP="00FC54A0">
      <w:pPr>
        <w:pStyle w:val="ListParagraph"/>
        <w:spacing w:after="120" w:line="259" w:lineRule="auto"/>
        <w:ind w:left="0" w:firstLine="0"/>
        <w:jc w:val="center"/>
        <w:rPr>
          <w:rFonts w:asciiTheme="minorHAnsi" w:hAnsiTheme="minorHAnsi"/>
          <w:b/>
          <w:bCs/>
        </w:rPr>
      </w:pPr>
      <w:r w:rsidRPr="00FC54A0">
        <w:rPr>
          <w:rFonts w:asciiTheme="minorHAnsi" w:hAnsiTheme="minorHAnsi"/>
          <w:b/>
          <w:bCs/>
          <w:u w:val="single"/>
        </w:rPr>
        <w:t>Table 6:</w:t>
      </w:r>
      <w:r w:rsidRPr="00FC54A0">
        <w:rPr>
          <w:rFonts w:asciiTheme="minorHAnsi" w:hAnsiTheme="minorHAnsi"/>
          <w:b/>
          <w:bCs/>
        </w:rPr>
        <w:t xml:space="preserve"> Shift of Eligibl</w:t>
      </w:r>
      <w:r w:rsidR="005265EF" w:rsidRPr="00FC54A0">
        <w:rPr>
          <w:rFonts w:asciiTheme="minorHAnsi" w:hAnsiTheme="minorHAnsi"/>
          <w:b/>
          <w:bCs/>
        </w:rPr>
        <w:t>e MGH Patients to MG Waltham</w:t>
      </w:r>
    </w:p>
    <w:tbl>
      <w:tblPr>
        <w:tblW w:w="92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8"/>
        <w:gridCol w:w="1097"/>
        <w:gridCol w:w="1097"/>
        <w:gridCol w:w="998"/>
        <w:gridCol w:w="991"/>
        <w:gridCol w:w="990"/>
      </w:tblGrid>
      <w:tr w:rsidR="00ED4CBA" w:rsidRPr="00AD5703" w14:paraId="1178B06B" w14:textId="77777777" w:rsidTr="00602623">
        <w:trPr>
          <w:cantSplit/>
          <w:trHeight w:val="930"/>
          <w:tblHeader/>
        </w:trPr>
        <w:tc>
          <w:tcPr>
            <w:tcW w:w="4078" w:type="dxa"/>
            <w:shd w:val="clear" w:color="000000" w:fill="F2F2F2"/>
            <w:vAlign w:val="bottom"/>
            <w:hideMark/>
          </w:tcPr>
          <w:p w14:paraId="4257D5E5" w14:textId="77777777" w:rsidR="00AD5703" w:rsidRPr="00AD5703" w:rsidRDefault="00AD5703" w:rsidP="00AD5703">
            <w:pPr>
              <w:widowControl/>
              <w:autoSpaceDE/>
              <w:autoSpaceDN/>
              <w:rPr>
                <w:rFonts w:eastAsia="Times New Roman" w:cs="Calibri"/>
                <w:color w:val="000000"/>
                <w:szCs w:val="24"/>
              </w:rPr>
            </w:pPr>
            <w:r w:rsidRPr="00AD5703">
              <w:rPr>
                <w:rFonts w:eastAsia="Times New Roman" w:cs="Calibri"/>
                <w:color w:val="000000"/>
                <w:szCs w:val="24"/>
              </w:rPr>
              <w:t> </w:t>
            </w:r>
          </w:p>
        </w:tc>
        <w:tc>
          <w:tcPr>
            <w:tcW w:w="1097" w:type="dxa"/>
            <w:shd w:val="clear" w:color="auto" w:fill="F2F2F2" w:themeFill="background1" w:themeFillShade="F2"/>
            <w:vAlign w:val="bottom"/>
          </w:tcPr>
          <w:p w14:paraId="3920FB94" w14:textId="1AA1FF8F" w:rsidR="001058FC" w:rsidRDefault="001058FC" w:rsidP="001058FC">
            <w:pPr>
              <w:widowControl/>
              <w:autoSpaceDE/>
              <w:autoSpaceDN/>
              <w:jc w:val="center"/>
              <w:rPr>
                <w:rFonts w:eastAsia="Times New Roman" w:cs="Calibri"/>
                <w:b/>
                <w:bCs/>
                <w:color w:val="000000"/>
                <w:szCs w:val="24"/>
              </w:rPr>
            </w:pPr>
            <w:r>
              <w:rPr>
                <w:rFonts w:eastAsia="Times New Roman" w:cs="Calibri"/>
                <w:b/>
                <w:bCs/>
                <w:color w:val="000000"/>
                <w:szCs w:val="24"/>
              </w:rPr>
              <w:t xml:space="preserve">FY2021 </w:t>
            </w:r>
            <w:r w:rsidRPr="00AD5703">
              <w:rPr>
                <w:rFonts w:eastAsia="Times New Roman" w:cs="Calibri"/>
                <w:b/>
                <w:bCs/>
                <w:color w:val="000000"/>
                <w:szCs w:val="24"/>
              </w:rPr>
              <w:t>Shift</w:t>
            </w:r>
          </w:p>
        </w:tc>
        <w:tc>
          <w:tcPr>
            <w:tcW w:w="1097" w:type="dxa"/>
            <w:shd w:val="clear" w:color="000000" w:fill="F2F2F2"/>
            <w:vAlign w:val="bottom"/>
            <w:hideMark/>
          </w:tcPr>
          <w:p w14:paraId="55FD9E40" w14:textId="5EBDF9B2" w:rsidR="00AD5703" w:rsidRPr="00AD5703" w:rsidRDefault="00AD5703" w:rsidP="00AD5703">
            <w:pPr>
              <w:widowControl/>
              <w:autoSpaceDE/>
              <w:autoSpaceDN/>
              <w:jc w:val="center"/>
              <w:rPr>
                <w:rFonts w:eastAsia="Times New Roman" w:cs="Calibri"/>
                <w:b/>
                <w:bCs/>
                <w:color w:val="000000"/>
                <w:szCs w:val="24"/>
              </w:rPr>
            </w:pPr>
            <w:r>
              <w:rPr>
                <w:rFonts w:eastAsia="Times New Roman" w:cs="Calibri"/>
                <w:b/>
                <w:bCs/>
                <w:color w:val="000000"/>
                <w:szCs w:val="24"/>
              </w:rPr>
              <w:t xml:space="preserve">FY2022 </w:t>
            </w:r>
            <w:r w:rsidRPr="00AD5703">
              <w:rPr>
                <w:rFonts w:eastAsia="Times New Roman" w:cs="Calibri"/>
                <w:b/>
                <w:bCs/>
                <w:color w:val="000000"/>
                <w:szCs w:val="24"/>
              </w:rPr>
              <w:t>Shift</w:t>
            </w:r>
          </w:p>
        </w:tc>
        <w:tc>
          <w:tcPr>
            <w:tcW w:w="998" w:type="dxa"/>
            <w:shd w:val="clear" w:color="000000" w:fill="F2F2F2"/>
            <w:vAlign w:val="bottom"/>
            <w:hideMark/>
          </w:tcPr>
          <w:p w14:paraId="7DACD92F" w14:textId="173D2DFC" w:rsidR="00AD5703" w:rsidRPr="00AD5703" w:rsidRDefault="00AD5703" w:rsidP="00AD5703">
            <w:pPr>
              <w:widowControl/>
              <w:autoSpaceDE/>
              <w:autoSpaceDN/>
              <w:jc w:val="center"/>
              <w:rPr>
                <w:rFonts w:eastAsia="Times New Roman" w:cs="Calibri"/>
                <w:b/>
                <w:bCs/>
                <w:color w:val="000000"/>
                <w:szCs w:val="24"/>
              </w:rPr>
            </w:pPr>
            <w:r>
              <w:rPr>
                <w:rFonts w:eastAsia="Times New Roman" w:cs="Calibri"/>
                <w:b/>
                <w:bCs/>
                <w:color w:val="000000"/>
                <w:szCs w:val="24"/>
              </w:rPr>
              <w:t xml:space="preserve">FY2023 </w:t>
            </w:r>
            <w:r w:rsidRPr="00AD5703">
              <w:rPr>
                <w:rFonts w:eastAsia="Times New Roman" w:cs="Calibri"/>
                <w:b/>
                <w:bCs/>
                <w:color w:val="000000"/>
                <w:szCs w:val="24"/>
              </w:rPr>
              <w:t>Shift</w:t>
            </w:r>
          </w:p>
        </w:tc>
        <w:tc>
          <w:tcPr>
            <w:tcW w:w="991" w:type="dxa"/>
            <w:shd w:val="clear" w:color="000000" w:fill="F2F2F2"/>
            <w:vAlign w:val="bottom"/>
            <w:hideMark/>
          </w:tcPr>
          <w:p w14:paraId="6B14DB67" w14:textId="320B80DE" w:rsidR="00AD5703" w:rsidRPr="00AD5703" w:rsidRDefault="00AD5703" w:rsidP="00AD5703">
            <w:pPr>
              <w:widowControl/>
              <w:autoSpaceDE/>
              <w:autoSpaceDN/>
              <w:jc w:val="center"/>
              <w:rPr>
                <w:rFonts w:eastAsia="Times New Roman" w:cs="Calibri"/>
                <w:b/>
                <w:bCs/>
                <w:color w:val="000000"/>
                <w:szCs w:val="24"/>
              </w:rPr>
            </w:pPr>
            <w:r>
              <w:rPr>
                <w:rFonts w:eastAsia="Times New Roman" w:cs="Calibri"/>
                <w:b/>
                <w:bCs/>
                <w:color w:val="000000"/>
                <w:szCs w:val="24"/>
              </w:rPr>
              <w:t xml:space="preserve">FY2024 </w:t>
            </w:r>
            <w:r w:rsidRPr="00AD5703">
              <w:rPr>
                <w:rFonts w:eastAsia="Times New Roman" w:cs="Calibri"/>
                <w:b/>
                <w:bCs/>
                <w:color w:val="000000"/>
                <w:szCs w:val="24"/>
              </w:rPr>
              <w:t xml:space="preserve">Shift </w:t>
            </w:r>
          </w:p>
        </w:tc>
        <w:tc>
          <w:tcPr>
            <w:tcW w:w="990" w:type="dxa"/>
            <w:shd w:val="clear" w:color="000000" w:fill="F2F2F2"/>
            <w:vAlign w:val="bottom"/>
            <w:hideMark/>
          </w:tcPr>
          <w:p w14:paraId="1A31FE06" w14:textId="557D2EF0" w:rsidR="00AD5703" w:rsidRPr="00AD5703" w:rsidRDefault="00ED4CBA" w:rsidP="00AD5703">
            <w:pPr>
              <w:widowControl/>
              <w:autoSpaceDE/>
              <w:autoSpaceDN/>
              <w:jc w:val="center"/>
              <w:rPr>
                <w:rFonts w:eastAsia="Times New Roman" w:cs="Calibri"/>
                <w:b/>
                <w:bCs/>
                <w:color w:val="000000"/>
                <w:szCs w:val="24"/>
              </w:rPr>
            </w:pPr>
            <w:r>
              <w:rPr>
                <w:rFonts w:eastAsia="Times New Roman" w:cs="Calibri"/>
                <w:b/>
                <w:bCs/>
                <w:color w:val="000000"/>
                <w:szCs w:val="24"/>
              </w:rPr>
              <w:t xml:space="preserve">FY2025 </w:t>
            </w:r>
            <w:r w:rsidR="00AD5703" w:rsidRPr="00AD5703">
              <w:rPr>
                <w:rFonts w:eastAsia="Times New Roman" w:cs="Calibri"/>
                <w:b/>
                <w:bCs/>
                <w:color w:val="000000"/>
                <w:szCs w:val="24"/>
              </w:rPr>
              <w:t>Shift</w:t>
            </w:r>
          </w:p>
        </w:tc>
      </w:tr>
      <w:tr w:rsidR="00ED4CBA" w:rsidRPr="00AD5703" w14:paraId="70201A33" w14:textId="77777777" w:rsidTr="00602623">
        <w:trPr>
          <w:cantSplit/>
          <w:trHeight w:val="310"/>
        </w:trPr>
        <w:tc>
          <w:tcPr>
            <w:tcW w:w="4078" w:type="dxa"/>
            <w:noWrap/>
            <w:vAlign w:val="center"/>
            <w:hideMark/>
          </w:tcPr>
          <w:p w14:paraId="04868828" w14:textId="77777777" w:rsidR="00AD5703" w:rsidRPr="00AD5703" w:rsidRDefault="00AD5703" w:rsidP="00AD5703">
            <w:pPr>
              <w:widowControl/>
              <w:autoSpaceDE/>
              <w:autoSpaceDN/>
              <w:jc w:val="right"/>
              <w:rPr>
                <w:rFonts w:eastAsia="Times New Roman" w:cs="Calibri"/>
                <w:color w:val="000000"/>
                <w:szCs w:val="24"/>
              </w:rPr>
            </w:pPr>
            <w:r w:rsidRPr="00AD5703">
              <w:rPr>
                <w:rFonts w:eastAsia="Times New Roman" w:cs="Calibri"/>
                <w:color w:val="000000"/>
                <w:szCs w:val="24"/>
              </w:rPr>
              <w:t>OR Cases (Inclusive of procedure types available at Waltham and Main Campus)</w:t>
            </w:r>
          </w:p>
        </w:tc>
        <w:tc>
          <w:tcPr>
            <w:tcW w:w="1097" w:type="dxa"/>
            <w:vAlign w:val="bottom"/>
          </w:tcPr>
          <w:p w14:paraId="58B36162" w14:textId="3886D488" w:rsidR="001058FC" w:rsidRDefault="001058FC" w:rsidP="001058FC">
            <w:pPr>
              <w:widowControl/>
              <w:autoSpaceDE/>
              <w:autoSpaceDN/>
              <w:rPr>
                <w:rFonts w:eastAsia="Times New Roman" w:cs="Calibri"/>
                <w:color w:val="000000"/>
                <w:szCs w:val="24"/>
              </w:rPr>
            </w:pPr>
            <w:r>
              <w:rPr>
                <w:rFonts w:eastAsia="Times New Roman" w:cs="Calibri"/>
                <w:color w:val="000000"/>
                <w:szCs w:val="24"/>
              </w:rPr>
              <w:t>24.90</w:t>
            </w:r>
            <w:r w:rsidRPr="00AD5703">
              <w:rPr>
                <w:rFonts w:eastAsia="Times New Roman" w:cs="Calibri"/>
                <w:color w:val="000000"/>
                <w:szCs w:val="24"/>
              </w:rPr>
              <w:t>%</w:t>
            </w:r>
          </w:p>
        </w:tc>
        <w:tc>
          <w:tcPr>
            <w:tcW w:w="1097" w:type="dxa"/>
            <w:noWrap/>
            <w:vAlign w:val="bottom"/>
            <w:hideMark/>
          </w:tcPr>
          <w:p w14:paraId="0E2D1D56" w14:textId="12EE3D53" w:rsidR="00AD5703" w:rsidRPr="00AD5703" w:rsidRDefault="00AD5703" w:rsidP="00FC54A0">
            <w:pPr>
              <w:widowControl/>
              <w:autoSpaceDE/>
              <w:autoSpaceDN/>
              <w:rPr>
                <w:rFonts w:eastAsia="Times New Roman" w:cs="Calibri"/>
                <w:color w:val="000000"/>
                <w:szCs w:val="24"/>
              </w:rPr>
            </w:pPr>
            <w:r w:rsidRPr="00AD5703">
              <w:rPr>
                <w:rFonts w:eastAsia="Times New Roman" w:cs="Calibri"/>
                <w:color w:val="000000"/>
                <w:szCs w:val="24"/>
              </w:rPr>
              <w:t>34.50%</w:t>
            </w:r>
          </w:p>
        </w:tc>
        <w:tc>
          <w:tcPr>
            <w:tcW w:w="998" w:type="dxa"/>
            <w:noWrap/>
            <w:vAlign w:val="bottom"/>
            <w:hideMark/>
          </w:tcPr>
          <w:p w14:paraId="73CB1560" w14:textId="77777777" w:rsidR="00AD5703" w:rsidRPr="00AD5703" w:rsidRDefault="00AD5703" w:rsidP="00FC54A0">
            <w:pPr>
              <w:widowControl/>
              <w:autoSpaceDE/>
              <w:autoSpaceDN/>
              <w:rPr>
                <w:rFonts w:eastAsia="Times New Roman" w:cs="Calibri"/>
                <w:color w:val="000000"/>
                <w:szCs w:val="24"/>
              </w:rPr>
            </w:pPr>
            <w:r w:rsidRPr="00AD5703">
              <w:rPr>
                <w:rFonts w:eastAsia="Times New Roman" w:cs="Calibri"/>
                <w:color w:val="000000"/>
                <w:szCs w:val="24"/>
              </w:rPr>
              <w:t>35.40%</w:t>
            </w:r>
          </w:p>
        </w:tc>
        <w:tc>
          <w:tcPr>
            <w:tcW w:w="991" w:type="dxa"/>
            <w:noWrap/>
            <w:vAlign w:val="bottom"/>
            <w:hideMark/>
          </w:tcPr>
          <w:p w14:paraId="50FFF95D" w14:textId="77777777" w:rsidR="00AD5703" w:rsidRPr="00AD5703" w:rsidRDefault="00AD5703" w:rsidP="00FC54A0">
            <w:pPr>
              <w:widowControl/>
              <w:autoSpaceDE/>
              <w:autoSpaceDN/>
              <w:rPr>
                <w:rFonts w:eastAsia="Times New Roman" w:cs="Calibri"/>
                <w:color w:val="000000"/>
                <w:szCs w:val="24"/>
              </w:rPr>
            </w:pPr>
            <w:r w:rsidRPr="00AD5703">
              <w:rPr>
                <w:rFonts w:eastAsia="Times New Roman" w:cs="Calibri"/>
                <w:color w:val="000000"/>
                <w:szCs w:val="24"/>
              </w:rPr>
              <w:t>35.10%</w:t>
            </w:r>
          </w:p>
        </w:tc>
        <w:tc>
          <w:tcPr>
            <w:tcW w:w="990" w:type="dxa"/>
            <w:noWrap/>
            <w:vAlign w:val="bottom"/>
            <w:hideMark/>
          </w:tcPr>
          <w:p w14:paraId="070E376F" w14:textId="77777777" w:rsidR="00AD5703" w:rsidRPr="00AD5703" w:rsidRDefault="00AD5703" w:rsidP="00FC54A0">
            <w:pPr>
              <w:widowControl/>
              <w:autoSpaceDE/>
              <w:autoSpaceDN/>
              <w:rPr>
                <w:rFonts w:eastAsia="Times New Roman" w:cs="Calibri"/>
                <w:color w:val="000000"/>
                <w:szCs w:val="24"/>
              </w:rPr>
            </w:pPr>
            <w:r w:rsidRPr="00AD5703">
              <w:rPr>
                <w:rFonts w:eastAsia="Times New Roman" w:cs="Calibri"/>
                <w:color w:val="000000"/>
                <w:szCs w:val="24"/>
              </w:rPr>
              <w:t>34.40%</w:t>
            </w:r>
          </w:p>
        </w:tc>
      </w:tr>
      <w:tr w:rsidR="00ED4CBA" w:rsidRPr="00AD5703" w14:paraId="0A1DE275" w14:textId="77777777" w:rsidTr="00602623">
        <w:trPr>
          <w:cantSplit/>
          <w:trHeight w:val="310"/>
        </w:trPr>
        <w:tc>
          <w:tcPr>
            <w:tcW w:w="4078" w:type="dxa"/>
            <w:noWrap/>
            <w:vAlign w:val="center"/>
            <w:hideMark/>
          </w:tcPr>
          <w:p w14:paraId="633822FE" w14:textId="77777777" w:rsidR="00AD5703" w:rsidRPr="00AD5703" w:rsidRDefault="00AD5703" w:rsidP="00AD5703">
            <w:pPr>
              <w:widowControl/>
              <w:autoSpaceDE/>
              <w:autoSpaceDN/>
              <w:jc w:val="right"/>
              <w:rPr>
                <w:rFonts w:eastAsia="Times New Roman" w:cs="Calibri"/>
                <w:color w:val="000000"/>
                <w:szCs w:val="24"/>
              </w:rPr>
            </w:pPr>
            <w:r w:rsidRPr="00AD5703">
              <w:rPr>
                <w:rFonts w:eastAsia="Times New Roman" w:cs="Calibri"/>
                <w:color w:val="000000"/>
                <w:szCs w:val="24"/>
              </w:rPr>
              <w:t>Total Outpatient Endoscopy (ORs and Suites)</w:t>
            </w:r>
          </w:p>
        </w:tc>
        <w:tc>
          <w:tcPr>
            <w:tcW w:w="1097" w:type="dxa"/>
            <w:vAlign w:val="bottom"/>
          </w:tcPr>
          <w:p w14:paraId="57396E2B" w14:textId="6EED7065" w:rsidR="001058FC" w:rsidRDefault="001058FC" w:rsidP="001058FC">
            <w:pPr>
              <w:widowControl/>
              <w:autoSpaceDE/>
              <w:autoSpaceDN/>
              <w:rPr>
                <w:rFonts w:eastAsia="Times New Roman" w:cs="Calibri"/>
                <w:color w:val="000000"/>
                <w:szCs w:val="24"/>
              </w:rPr>
            </w:pPr>
            <w:r>
              <w:rPr>
                <w:rFonts w:eastAsia="Times New Roman" w:cs="Calibri"/>
                <w:color w:val="000000"/>
                <w:szCs w:val="24"/>
              </w:rPr>
              <w:t>1.20</w:t>
            </w:r>
            <w:r w:rsidRPr="00AD5703">
              <w:rPr>
                <w:rFonts w:eastAsia="Times New Roman" w:cs="Calibri"/>
                <w:color w:val="000000"/>
                <w:szCs w:val="24"/>
              </w:rPr>
              <w:t>%</w:t>
            </w:r>
          </w:p>
        </w:tc>
        <w:tc>
          <w:tcPr>
            <w:tcW w:w="1097" w:type="dxa"/>
            <w:noWrap/>
            <w:vAlign w:val="bottom"/>
            <w:hideMark/>
          </w:tcPr>
          <w:p w14:paraId="45D70BE6" w14:textId="6BD14B0F" w:rsidR="00AD5703" w:rsidRPr="00AD5703" w:rsidRDefault="00AD5703" w:rsidP="00FC54A0">
            <w:pPr>
              <w:widowControl/>
              <w:autoSpaceDE/>
              <w:autoSpaceDN/>
              <w:rPr>
                <w:rFonts w:eastAsia="Times New Roman" w:cs="Calibri"/>
                <w:color w:val="000000"/>
                <w:szCs w:val="24"/>
              </w:rPr>
            </w:pPr>
            <w:r w:rsidRPr="00AD5703">
              <w:rPr>
                <w:rFonts w:eastAsia="Times New Roman" w:cs="Calibri"/>
                <w:color w:val="000000"/>
                <w:szCs w:val="24"/>
              </w:rPr>
              <w:t>5.30%</w:t>
            </w:r>
          </w:p>
        </w:tc>
        <w:tc>
          <w:tcPr>
            <w:tcW w:w="998" w:type="dxa"/>
            <w:noWrap/>
            <w:vAlign w:val="bottom"/>
            <w:hideMark/>
          </w:tcPr>
          <w:p w14:paraId="65F0582F" w14:textId="77777777" w:rsidR="00AD5703" w:rsidRPr="00AD5703" w:rsidRDefault="00AD5703" w:rsidP="00FC54A0">
            <w:pPr>
              <w:widowControl/>
              <w:autoSpaceDE/>
              <w:autoSpaceDN/>
              <w:rPr>
                <w:rFonts w:eastAsia="Times New Roman" w:cs="Calibri"/>
                <w:color w:val="000000"/>
                <w:szCs w:val="24"/>
              </w:rPr>
            </w:pPr>
            <w:r w:rsidRPr="00AD5703">
              <w:rPr>
                <w:rFonts w:eastAsia="Times New Roman" w:cs="Calibri"/>
                <w:color w:val="000000"/>
                <w:szCs w:val="24"/>
              </w:rPr>
              <w:t>5.10%</w:t>
            </w:r>
          </w:p>
        </w:tc>
        <w:tc>
          <w:tcPr>
            <w:tcW w:w="991" w:type="dxa"/>
            <w:noWrap/>
            <w:vAlign w:val="bottom"/>
            <w:hideMark/>
          </w:tcPr>
          <w:p w14:paraId="5073F6EA" w14:textId="77777777" w:rsidR="00AD5703" w:rsidRPr="00AD5703" w:rsidRDefault="00AD5703" w:rsidP="00FC54A0">
            <w:pPr>
              <w:widowControl/>
              <w:autoSpaceDE/>
              <w:autoSpaceDN/>
              <w:rPr>
                <w:rFonts w:eastAsia="Times New Roman" w:cs="Calibri"/>
                <w:color w:val="000000"/>
                <w:szCs w:val="24"/>
              </w:rPr>
            </w:pPr>
            <w:r w:rsidRPr="00AD5703">
              <w:rPr>
                <w:rFonts w:eastAsia="Times New Roman" w:cs="Calibri"/>
                <w:color w:val="000000"/>
                <w:szCs w:val="24"/>
              </w:rPr>
              <w:t>19.00%</w:t>
            </w:r>
          </w:p>
        </w:tc>
        <w:tc>
          <w:tcPr>
            <w:tcW w:w="990" w:type="dxa"/>
            <w:noWrap/>
            <w:vAlign w:val="bottom"/>
            <w:hideMark/>
          </w:tcPr>
          <w:p w14:paraId="0BD441CF" w14:textId="77777777" w:rsidR="00AD5703" w:rsidRPr="00AD5703" w:rsidRDefault="00AD5703" w:rsidP="00FC54A0">
            <w:pPr>
              <w:widowControl/>
              <w:autoSpaceDE/>
              <w:autoSpaceDN/>
              <w:rPr>
                <w:rFonts w:eastAsia="Times New Roman" w:cs="Calibri"/>
                <w:color w:val="000000"/>
                <w:szCs w:val="24"/>
              </w:rPr>
            </w:pPr>
            <w:r w:rsidRPr="00AD5703">
              <w:rPr>
                <w:rFonts w:eastAsia="Times New Roman" w:cs="Calibri"/>
                <w:color w:val="000000"/>
                <w:szCs w:val="24"/>
              </w:rPr>
              <w:t>17.70%</w:t>
            </w:r>
          </w:p>
        </w:tc>
      </w:tr>
      <w:tr w:rsidR="00ED4CBA" w:rsidRPr="00AD5703" w14:paraId="716065BF" w14:textId="77777777" w:rsidTr="00602623">
        <w:trPr>
          <w:cantSplit/>
          <w:trHeight w:val="310"/>
        </w:trPr>
        <w:tc>
          <w:tcPr>
            <w:tcW w:w="4078" w:type="dxa"/>
            <w:noWrap/>
            <w:vAlign w:val="center"/>
            <w:hideMark/>
          </w:tcPr>
          <w:p w14:paraId="72561287" w14:textId="77777777" w:rsidR="00AD5703" w:rsidRPr="00AD5703" w:rsidRDefault="00AD5703" w:rsidP="00AD5703">
            <w:pPr>
              <w:widowControl/>
              <w:autoSpaceDE/>
              <w:autoSpaceDN/>
              <w:jc w:val="right"/>
              <w:rPr>
                <w:rFonts w:eastAsia="Times New Roman" w:cs="Calibri"/>
                <w:color w:val="000000"/>
                <w:szCs w:val="24"/>
              </w:rPr>
            </w:pPr>
            <w:r w:rsidRPr="00AD5703">
              <w:rPr>
                <w:rFonts w:eastAsia="Times New Roman" w:cs="Calibri"/>
                <w:color w:val="000000"/>
                <w:szCs w:val="24"/>
              </w:rPr>
              <w:t>Total Outpatient Procedures (outpatient endoscopy and surgery)</w:t>
            </w:r>
          </w:p>
        </w:tc>
        <w:tc>
          <w:tcPr>
            <w:tcW w:w="1097" w:type="dxa"/>
            <w:vAlign w:val="bottom"/>
          </w:tcPr>
          <w:p w14:paraId="19AD2110" w14:textId="53085EC1" w:rsidR="001058FC" w:rsidRDefault="001058FC" w:rsidP="001058FC">
            <w:pPr>
              <w:widowControl/>
              <w:autoSpaceDE/>
              <w:autoSpaceDN/>
              <w:rPr>
                <w:rFonts w:eastAsia="Times New Roman" w:cs="Calibri"/>
                <w:color w:val="000000"/>
                <w:szCs w:val="24"/>
              </w:rPr>
            </w:pPr>
            <w:r>
              <w:rPr>
                <w:rFonts w:eastAsia="Times New Roman" w:cs="Calibri"/>
                <w:color w:val="000000"/>
                <w:szCs w:val="24"/>
              </w:rPr>
              <w:t>10.70</w:t>
            </w:r>
            <w:r w:rsidRPr="00AD5703">
              <w:rPr>
                <w:rFonts w:eastAsia="Times New Roman" w:cs="Calibri"/>
                <w:color w:val="000000"/>
                <w:szCs w:val="24"/>
              </w:rPr>
              <w:t>%</w:t>
            </w:r>
          </w:p>
        </w:tc>
        <w:tc>
          <w:tcPr>
            <w:tcW w:w="1097" w:type="dxa"/>
            <w:noWrap/>
            <w:vAlign w:val="bottom"/>
            <w:hideMark/>
          </w:tcPr>
          <w:p w14:paraId="22840253" w14:textId="4595AA25" w:rsidR="00AD5703" w:rsidRPr="00AD5703" w:rsidRDefault="00AD5703" w:rsidP="00FC54A0">
            <w:pPr>
              <w:widowControl/>
              <w:autoSpaceDE/>
              <w:autoSpaceDN/>
              <w:rPr>
                <w:rFonts w:eastAsia="Times New Roman" w:cs="Calibri"/>
                <w:color w:val="000000"/>
                <w:szCs w:val="24"/>
              </w:rPr>
            </w:pPr>
            <w:r w:rsidRPr="00AD5703">
              <w:rPr>
                <w:rFonts w:eastAsia="Times New Roman" w:cs="Calibri"/>
                <w:color w:val="000000"/>
                <w:szCs w:val="24"/>
              </w:rPr>
              <w:t>18.70%</w:t>
            </w:r>
          </w:p>
        </w:tc>
        <w:tc>
          <w:tcPr>
            <w:tcW w:w="998" w:type="dxa"/>
            <w:noWrap/>
            <w:vAlign w:val="bottom"/>
            <w:hideMark/>
          </w:tcPr>
          <w:p w14:paraId="3D59F083" w14:textId="77777777" w:rsidR="00AD5703" w:rsidRPr="00AD5703" w:rsidRDefault="00AD5703" w:rsidP="00FC54A0">
            <w:pPr>
              <w:widowControl/>
              <w:autoSpaceDE/>
              <w:autoSpaceDN/>
              <w:rPr>
                <w:rFonts w:eastAsia="Times New Roman" w:cs="Calibri"/>
                <w:color w:val="000000"/>
                <w:szCs w:val="24"/>
              </w:rPr>
            </w:pPr>
            <w:r w:rsidRPr="00AD5703">
              <w:rPr>
                <w:rFonts w:eastAsia="Times New Roman" w:cs="Calibri"/>
                <w:color w:val="000000"/>
                <w:szCs w:val="24"/>
              </w:rPr>
              <w:t>19.30%</w:t>
            </w:r>
          </w:p>
        </w:tc>
        <w:tc>
          <w:tcPr>
            <w:tcW w:w="991" w:type="dxa"/>
            <w:noWrap/>
            <w:vAlign w:val="bottom"/>
            <w:hideMark/>
          </w:tcPr>
          <w:p w14:paraId="3E6C9A92" w14:textId="77777777" w:rsidR="00AD5703" w:rsidRPr="00AD5703" w:rsidRDefault="00AD5703" w:rsidP="00FC54A0">
            <w:pPr>
              <w:widowControl/>
              <w:autoSpaceDE/>
              <w:autoSpaceDN/>
              <w:rPr>
                <w:rFonts w:eastAsia="Times New Roman" w:cs="Calibri"/>
                <w:color w:val="000000"/>
                <w:szCs w:val="24"/>
              </w:rPr>
            </w:pPr>
            <w:r w:rsidRPr="00AD5703">
              <w:rPr>
                <w:rFonts w:eastAsia="Times New Roman" w:cs="Calibri"/>
                <w:color w:val="000000"/>
                <w:szCs w:val="24"/>
              </w:rPr>
              <w:t>26.50%</w:t>
            </w:r>
          </w:p>
        </w:tc>
        <w:tc>
          <w:tcPr>
            <w:tcW w:w="990" w:type="dxa"/>
            <w:noWrap/>
            <w:vAlign w:val="bottom"/>
            <w:hideMark/>
          </w:tcPr>
          <w:p w14:paraId="6772A9BB" w14:textId="77777777" w:rsidR="00AD5703" w:rsidRPr="00AD5703" w:rsidRDefault="00AD5703" w:rsidP="00FC54A0">
            <w:pPr>
              <w:widowControl/>
              <w:autoSpaceDE/>
              <w:autoSpaceDN/>
              <w:rPr>
                <w:rFonts w:eastAsia="Times New Roman" w:cs="Calibri"/>
                <w:color w:val="000000"/>
                <w:szCs w:val="24"/>
              </w:rPr>
            </w:pPr>
            <w:r w:rsidRPr="00AD5703">
              <w:rPr>
                <w:rFonts w:eastAsia="Times New Roman" w:cs="Calibri"/>
                <w:color w:val="000000"/>
                <w:szCs w:val="24"/>
              </w:rPr>
              <w:t>25.50%</w:t>
            </w:r>
          </w:p>
        </w:tc>
      </w:tr>
    </w:tbl>
    <w:p w14:paraId="3627C6C6" w14:textId="77777777" w:rsidR="008A57D2" w:rsidRDefault="008A57D2">
      <w:pPr>
        <w:pStyle w:val="ListParagraph"/>
        <w:spacing w:after="120" w:line="259" w:lineRule="auto"/>
        <w:ind w:left="0" w:firstLine="0"/>
        <w:rPr>
          <w:rFonts w:asciiTheme="minorHAnsi" w:hAnsiTheme="minorHAnsi"/>
        </w:rPr>
      </w:pPr>
    </w:p>
    <w:p w14:paraId="4333A0DA" w14:textId="032A10A7" w:rsidR="00440E98" w:rsidRDefault="008A6956" w:rsidP="00FC54A0">
      <w:pPr>
        <w:pStyle w:val="ListParagraph"/>
        <w:spacing w:after="120" w:line="259" w:lineRule="auto"/>
        <w:ind w:left="0" w:firstLine="0"/>
        <w:rPr>
          <w:rFonts w:asciiTheme="minorHAnsi" w:hAnsiTheme="minorHAnsi"/>
        </w:rPr>
      </w:pPr>
      <w:r w:rsidRPr="0506BC97">
        <w:rPr>
          <w:rFonts w:ascii="Aptos" w:hAnsi="Aptos"/>
        </w:rPr>
        <w:t xml:space="preserve"> </w:t>
      </w:r>
      <w:r w:rsidR="00440E98" w:rsidRPr="0506BC97">
        <w:rPr>
          <w:rFonts w:asciiTheme="minorHAnsi" w:hAnsiTheme="minorHAnsi"/>
        </w:rPr>
        <w:t>The Applicant states that the Proposed Project would establish additional capacity needed to address this growing backlog of</w:t>
      </w:r>
      <w:r w:rsidR="00C91957" w:rsidRPr="0506BC97">
        <w:rPr>
          <w:rFonts w:asciiTheme="minorHAnsi" w:hAnsiTheme="minorHAnsi"/>
        </w:rPr>
        <w:t xml:space="preserve"> patients waiting for </w:t>
      </w:r>
      <w:r w:rsidR="00440E98" w:rsidRPr="0506BC97">
        <w:rPr>
          <w:rFonts w:asciiTheme="minorHAnsi" w:hAnsiTheme="minorHAnsi"/>
        </w:rPr>
        <w:t xml:space="preserve">endoscopy </w:t>
      </w:r>
      <w:r w:rsidR="00B14DA7" w:rsidRPr="0506BC97">
        <w:rPr>
          <w:rFonts w:asciiTheme="minorHAnsi" w:hAnsiTheme="minorHAnsi"/>
        </w:rPr>
        <w:t xml:space="preserve">services while offering those services in </w:t>
      </w:r>
      <w:r w:rsidR="00E2759A" w:rsidRPr="0506BC97">
        <w:rPr>
          <w:rFonts w:asciiTheme="minorHAnsi" w:hAnsiTheme="minorHAnsi"/>
        </w:rPr>
        <w:t>a less</w:t>
      </w:r>
      <w:r w:rsidR="009E1EEA" w:rsidRPr="0506BC97">
        <w:rPr>
          <w:rFonts w:asciiTheme="minorHAnsi" w:hAnsiTheme="minorHAnsi"/>
        </w:rPr>
        <w:t xml:space="preserve"> costly setting</w:t>
      </w:r>
      <w:r w:rsidR="00440E98" w:rsidRPr="0506BC97">
        <w:rPr>
          <w:rFonts w:asciiTheme="minorHAnsi" w:hAnsiTheme="minorHAnsi"/>
        </w:rPr>
        <w:t xml:space="preserve">. </w:t>
      </w:r>
    </w:p>
    <w:p w14:paraId="530F9FA5" w14:textId="77777777" w:rsidR="00B6682E" w:rsidRDefault="00B6682E" w:rsidP="00FC54A0">
      <w:pPr>
        <w:pStyle w:val="ListParagraph"/>
        <w:spacing w:after="120"/>
        <w:ind w:left="0" w:firstLine="0"/>
        <w:rPr>
          <w:rFonts w:asciiTheme="minorHAnsi" w:hAnsiTheme="minorHAnsi"/>
        </w:rPr>
      </w:pPr>
    </w:p>
    <w:p w14:paraId="7EA35F2D" w14:textId="0C5AD325" w:rsidR="00CF47C8" w:rsidRDefault="009E1EEA" w:rsidP="6D717258">
      <w:pPr>
        <w:spacing w:after="120"/>
        <w:rPr>
          <w:rFonts w:asciiTheme="minorHAnsi" w:hAnsiTheme="minorHAnsi"/>
        </w:rPr>
      </w:pPr>
      <w:r>
        <w:rPr>
          <w:rFonts w:asciiTheme="minorHAnsi" w:hAnsiTheme="minorHAnsi"/>
        </w:rPr>
        <w:lastRenderedPageBreak/>
        <w:t xml:space="preserve">Additionally, the Applicant asserts that </w:t>
      </w:r>
      <w:r w:rsidR="00834072">
        <w:rPr>
          <w:rFonts w:asciiTheme="minorHAnsi" w:hAnsiTheme="minorHAnsi"/>
        </w:rPr>
        <w:t>78%</w:t>
      </w:r>
      <w:r>
        <w:rPr>
          <w:rFonts w:asciiTheme="minorHAnsi" w:hAnsiTheme="minorHAnsi"/>
        </w:rPr>
        <w:t xml:space="preserve"> of </w:t>
      </w:r>
      <w:r w:rsidR="002B5E13">
        <w:rPr>
          <w:rFonts w:asciiTheme="minorHAnsi" w:hAnsiTheme="minorHAnsi"/>
        </w:rPr>
        <w:t>the outpatient endoscopy services provided by the MGB A</w:t>
      </w:r>
      <w:r w:rsidR="000633DC">
        <w:rPr>
          <w:rFonts w:asciiTheme="minorHAnsi" w:hAnsiTheme="minorHAnsi"/>
        </w:rPr>
        <w:t>M</w:t>
      </w:r>
      <w:r w:rsidR="002B5E13">
        <w:rPr>
          <w:rFonts w:asciiTheme="minorHAnsi" w:hAnsiTheme="minorHAnsi"/>
        </w:rPr>
        <w:t xml:space="preserve">Cs are comprised of colonoscopy screens. </w:t>
      </w:r>
      <w:r w:rsidR="7762A470" w:rsidRPr="6D717258">
        <w:rPr>
          <w:rFonts w:asciiTheme="minorHAnsi" w:hAnsiTheme="minorHAnsi"/>
        </w:rPr>
        <w:t xml:space="preserve">Colonoscopy is a highly effective screening tool </w:t>
      </w:r>
      <w:r w:rsidR="16B70AEB" w:rsidRPr="6D717258">
        <w:rPr>
          <w:rFonts w:asciiTheme="minorHAnsi" w:hAnsiTheme="minorHAnsi"/>
        </w:rPr>
        <w:t>for colorectal cancer, and</w:t>
      </w:r>
      <w:r w:rsidR="7762A470" w:rsidRPr="6D717258">
        <w:rPr>
          <w:rFonts w:asciiTheme="minorHAnsi" w:hAnsiTheme="minorHAnsi"/>
        </w:rPr>
        <w:t xml:space="preserve"> is associated with as much as a 69% decrease in new cases of colorectal cancer and an 88% decrease in the risk of death from it.</w:t>
      </w:r>
      <w:r w:rsidR="0066181D" w:rsidRPr="6D717258">
        <w:rPr>
          <w:rStyle w:val="EndnoteReference"/>
          <w:rFonts w:asciiTheme="minorHAnsi" w:hAnsiTheme="minorHAnsi"/>
        </w:rPr>
        <w:endnoteReference w:id="4"/>
      </w:r>
      <w:r w:rsidR="7762A470" w:rsidRPr="6D717258">
        <w:rPr>
          <w:rFonts w:asciiTheme="minorHAnsi" w:hAnsiTheme="minorHAnsi"/>
        </w:rPr>
        <w:t xml:space="preserve"> </w:t>
      </w:r>
      <w:bookmarkEnd w:id="7"/>
      <w:r w:rsidR="29EF6A6F" w:rsidRPr="6D717258">
        <w:rPr>
          <w:rFonts w:asciiTheme="minorHAnsi" w:hAnsiTheme="minorHAnsi"/>
        </w:rPr>
        <w:t xml:space="preserve">The rate of </w:t>
      </w:r>
      <w:r w:rsidR="1289D36E" w:rsidRPr="6D717258">
        <w:rPr>
          <w:rFonts w:asciiTheme="minorHAnsi" w:hAnsiTheme="minorHAnsi"/>
        </w:rPr>
        <w:t>screenings</w:t>
      </w:r>
      <w:r w:rsidR="00EC0A42">
        <w:rPr>
          <w:rFonts w:asciiTheme="minorHAnsi" w:hAnsiTheme="minorHAnsi"/>
        </w:rPr>
        <w:t xml:space="preserve"> </w:t>
      </w:r>
      <w:r w:rsidR="007B1EF1">
        <w:rPr>
          <w:rFonts w:asciiTheme="minorHAnsi" w:hAnsiTheme="minorHAnsi"/>
        </w:rPr>
        <w:t xml:space="preserve">among eligible </w:t>
      </w:r>
      <w:r w:rsidR="00250E2D">
        <w:rPr>
          <w:rFonts w:asciiTheme="minorHAnsi" w:hAnsiTheme="minorHAnsi"/>
        </w:rPr>
        <w:t>patient</w:t>
      </w:r>
      <w:r w:rsidR="00EE31E7">
        <w:rPr>
          <w:rStyle w:val="FootnoteReference"/>
          <w:rFonts w:asciiTheme="minorHAnsi" w:hAnsiTheme="minorHAnsi"/>
        </w:rPr>
        <w:footnoteReference w:id="19"/>
      </w:r>
      <w:r w:rsidR="1289D36E" w:rsidRPr="6D717258">
        <w:rPr>
          <w:rFonts w:asciiTheme="minorHAnsi" w:hAnsiTheme="minorHAnsi"/>
        </w:rPr>
        <w:t xml:space="preserve"> dropped from 72% at the start of the COVID-19 pandemic</w:t>
      </w:r>
      <w:r w:rsidR="32960A67" w:rsidRPr="6D717258">
        <w:rPr>
          <w:rFonts w:asciiTheme="minorHAnsi" w:hAnsiTheme="minorHAnsi"/>
        </w:rPr>
        <w:t xml:space="preserve"> </w:t>
      </w:r>
      <w:r w:rsidR="40DADAF4" w:rsidRPr="6D717258">
        <w:rPr>
          <w:rFonts w:asciiTheme="minorHAnsi" w:hAnsiTheme="minorHAnsi"/>
        </w:rPr>
        <w:t xml:space="preserve">to 67% </w:t>
      </w:r>
      <w:r w:rsidR="1289D36E" w:rsidRPr="6D717258">
        <w:rPr>
          <w:rFonts w:asciiTheme="minorHAnsi" w:hAnsiTheme="minorHAnsi"/>
        </w:rPr>
        <w:t>in 2023</w:t>
      </w:r>
      <w:r w:rsidR="004E0F75" w:rsidRPr="6D717258">
        <w:rPr>
          <w:rStyle w:val="EndnoteReference"/>
          <w:rFonts w:asciiTheme="minorHAnsi" w:hAnsiTheme="minorHAnsi"/>
        </w:rPr>
        <w:endnoteReference w:id="5"/>
      </w:r>
      <w:r w:rsidR="32960A67" w:rsidRPr="6D717258">
        <w:rPr>
          <w:rFonts w:asciiTheme="minorHAnsi" w:hAnsiTheme="minorHAnsi"/>
        </w:rPr>
        <w:t xml:space="preserve"> </w:t>
      </w:r>
      <w:r w:rsidR="1289D36E" w:rsidRPr="6D717258">
        <w:rPr>
          <w:rFonts w:asciiTheme="minorHAnsi" w:hAnsiTheme="minorHAnsi"/>
        </w:rPr>
        <w:t xml:space="preserve"> </w:t>
      </w:r>
      <w:r w:rsidR="40DADAF4" w:rsidRPr="6D717258">
        <w:rPr>
          <w:rFonts w:asciiTheme="minorHAnsi" w:hAnsiTheme="minorHAnsi"/>
        </w:rPr>
        <w:t>due in large part to the restrictions placed on non-essential surgeries during the pandemic,</w:t>
      </w:r>
      <w:r w:rsidR="0066181D" w:rsidRPr="6D717258">
        <w:rPr>
          <w:rStyle w:val="EndnoteReference"/>
          <w:rFonts w:asciiTheme="minorHAnsi" w:hAnsiTheme="minorHAnsi"/>
        </w:rPr>
        <w:endnoteReference w:id="6"/>
      </w:r>
      <w:r w:rsidR="7762A470" w:rsidRPr="6D717258">
        <w:rPr>
          <w:rFonts w:asciiTheme="minorHAnsi" w:hAnsiTheme="minorHAnsi"/>
        </w:rPr>
        <w:t xml:space="preserve"> ongoing staffing challenges,</w:t>
      </w:r>
      <w:r w:rsidR="0066181D" w:rsidRPr="6D717258">
        <w:rPr>
          <w:rStyle w:val="EndnoteReference"/>
          <w:rFonts w:asciiTheme="minorHAnsi" w:hAnsiTheme="minorHAnsi"/>
        </w:rPr>
        <w:endnoteReference w:id="7"/>
      </w:r>
      <w:r w:rsidR="7762A470" w:rsidRPr="6D717258">
        <w:rPr>
          <w:rFonts w:asciiTheme="minorHAnsi" w:hAnsiTheme="minorHAnsi"/>
        </w:rPr>
        <w:t xml:space="preserve"> and IV shortages</w:t>
      </w:r>
      <w:r w:rsidR="0066181D" w:rsidRPr="6D717258">
        <w:rPr>
          <w:rStyle w:val="EndnoteReference"/>
          <w:rFonts w:asciiTheme="minorHAnsi" w:hAnsiTheme="minorHAnsi"/>
        </w:rPr>
        <w:endnoteReference w:id="8"/>
      </w:r>
      <w:r w:rsidR="7762A470" w:rsidRPr="6D717258">
        <w:rPr>
          <w:rFonts w:asciiTheme="minorHAnsi" w:hAnsiTheme="minorHAnsi"/>
        </w:rPr>
        <w:t>.</w:t>
      </w:r>
      <w:r w:rsidR="40DADAF4" w:rsidRPr="6D717258">
        <w:rPr>
          <w:rFonts w:asciiTheme="minorHAnsi" w:hAnsiTheme="minorHAnsi"/>
        </w:rPr>
        <w:t xml:space="preserve"> As colonoscopies were cancelled, the backlog of cases at MGH and BWH continued to grow as more adults became eligible </w:t>
      </w:r>
      <w:r w:rsidR="1289D36E" w:rsidRPr="6D717258">
        <w:rPr>
          <w:rFonts w:asciiTheme="minorHAnsi" w:hAnsiTheme="minorHAnsi"/>
        </w:rPr>
        <w:t>due to their age</w:t>
      </w:r>
      <w:r w:rsidR="00AA0EF7">
        <w:rPr>
          <w:rFonts w:asciiTheme="minorHAnsi" w:hAnsiTheme="minorHAnsi"/>
        </w:rPr>
        <w:t xml:space="preserve"> and </w:t>
      </w:r>
      <w:r w:rsidR="00AA0EF7" w:rsidRPr="6D717258">
        <w:rPr>
          <w:rFonts w:asciiTheme="minorHAnsi" w:hAnsiTheme="minorHAnsi"/>
        </w:rPr>
        <w:t>changes to screening guidelines</w:t>
      </w:r>
      <w:r w:rsidR="64C1F3EB" w:rsidRPr="6D717258">
        <w:rPr>
          <w:rFonts w:asciiTheme="minorHAnsi" w:hAnsiTheme="minorHAnsi"/>
        </w:rPr>
        <w:t>.</w:t>
      </w:r>
      <w:r w:rsidR="00827BEC" w:rsidRPr="6D717258">
        <w:rPr>
          <w:rStyle w:val="FootnoteReference"/>
          <w:rFonts w:asciiTheme="minorHAnsi" w:hAnsiTheme="minorHAnsi"/>
        </w:rPr>
        <w:footnoteReference w:id="20"/>
      </w:r>
      <w:r w:rsidR="40DADAF4" w:rsidRPr="6D717258">
        <w:rPr>
          <w:rFonts w:asciiTheme="minorHAnsi" w:hAnsiTheme="minorHAnsi"/>
        </w:rPr>
        <w:t xml:space="preserve"> </w:t>
      </w:r>
      <w:r w:rsidR="16B70AEB" w:rsidRPr="6D717258">
        <w:rPr>
          <w:rFonts w:asciiTheme="minorHAnsi" w:hAnsiTheme="minorHAnsi"/>
        </w:rPr>
        <w:t>In addition</w:t>
      </w:r>
      <w:r w:rsidR="7762A470" w:rsidRPr="6D717258">
        <w:rPr>
          <w:rFonts w:asciiTheme="minorHAnsi" w:hAnsiTheme="minorHAnsi"/>
        </w:rPr>
        <w:t>, colorectal cancer rates have increased</w:t>
      </w:r>
      <w:r w:rsidR="64C1F3EB" w:rsidRPr="6D717258">
        <w:rPr>
          <w:rFonts w:asciiTheme="minorHAnsi" w:hAnsiTheme="minorHAnsi"/>
        </w:rPr>
        <w:t xml:space="preserve"> </w:t>
      </w:r>
      <w:r w:rsidR="3CC47261" w:rsidRPr="6D717258">
        <w:rPr>
          <w:rFonts w:asciiTheme="minorHAnsi" w:hAnsiTheme="minorHAnsi"/>
        </w:rPr>
        <w:t xml:space="preserve">annually </w:t>
      </w:r>
      <w:r w:rsidR="64C1F3EB" w:rsidRPr="6D717258">
        <w:rPr>
          <w:rFonts w:asciiTheme="minorHAnsi" w:hAnsiTheme="minorHAnsi"/>
        </w:rPr>
        <w:t xml:space="preserve">among younger adults </w:t>
      </w:r>
      <w:r w:rsidR="3CC47261" w:rsidRPr="6D717258">
        <w:rPr>
          <w:rFonts w:asciiTheme="minorHAnsi" w:hAnsiTheme="minorHAnsi"/>
        </w:rPr>
        <w:t xml:space="preserve">between the ages of </w:t>
      </w:r>
      <w:r w:rsidR="64C1F3EB" w:rsidRPr="6D717258">
        <w:rPr>
          <w:rFonts w:asciiTheme="minorHAnsi" w:hAnsiTheme="minorHAnsi"/>
        </w:rPr>
        <w:t>20-39</w:t>
      </w:r>
      <w:r w:rsidR="7762A470" w:rsidRPr="6D717258">
        <w:rPr>
          <w:rFonts w:asciiTheme="minorHAnsi" w:hAnsiTheme="minorHAnsi"/>
        </w:rPr>
        <w:t xml:space="preserve"> since the 1990s, contributing </w:t>
      </w:r>
      <w:r w:rsidR="3CC47261" w:rsidRPr="6D717258">
        <w:rPr>
          <w:rFonts w:asciiTheme="minorHAnsi" w:hAnsiTheme="minorHAnsi"/>
        </w:rPr>
        <w:t>to the increased</w:t>
      </w:r>
      <w:r w:rsidR="7762A470" w:rsidRPr="6D717258">
        <w:rPr>
          <w:rFonts w:asciiTheme="minorHAnsi" w:hAnsiTheme="minorHAnsi"/>
        </w:rPr>
        <w:t xml:space="preserve"> need for colonoscopy across ages.</w:t>
      </w:r>
      <w:r w:rsidR="0066181D" w:rsidRPr="6D717258">
        <w:rPr>
          <w:rStyle w:val="EndnoteReference"/>
          <w:rFonts w:asciiTheme="minorHAnsi" w:hAnsiTheme="minorHAnsi"/>
        </w:rPr>
        <w:endnoteReference w:id="9"/>
      </w:r>
      <w:r w:rsidR="7762A470" w:rsidRPr="6D717258">
        <w:rPr>
          <w:rFonts w:asciiTheme="minorHAnsi" w:hAnsiTheme="minorHAnsi"/>
        </w:rPr>
        <w:t xml:space="preserve"> </w:t>
      </w:r>
    </w:p>
    <w:p w14:paraId="4B43D778" w14:textId="77777777" w:rsidR="00CF47C8" w:rsidRDefault="00CF47C8" w:rsidP="6D717258">
      <w:pPr>
        <w:spacing w:after="120"/>
        <w:rPr>
          <w:rFonts w:asciiTheme="minorHAnsi" w:hAnsiTheme="minorHAnsi"/>
        </w:rPr>
      </w:pPr>
    </w:p>
    <w:p w14:paraId="61F393A8" w14:textId="088C5676" w:rsidR="00CF47C8" w:rsidRPr="00F82C43" w:rsidRDefault="40DADAF4" w:rsidP="6D717258">
      <w:pPr>
        <w:spacing w:after="120"/>
        <w:rPr>
          <w:rFonts w:asciiTheme="minorHAnsi" w:hAnsiTheme="minorHAnsi"/>
          <w:szCs w:val="24"/>
        </w:rPr>
      </w:pPr>
      <w:r w:rsidRPr="00F82C43">
        <w:rPr>
          <w:rFonts w:asciiTheme="minorHAnsi" w:hAnsiTheme="minorHAnsi"/>
          <w:szCs w:val="24"/>
        </w:rPr>
        <w:t>By July 2025, the number of adults waiting to be scheduled for a routine endoscopy procedure at the MGH and BWH had grown to more than 25,000 patients</w:t>
      </w:r>
      <w:r w:rsidR="451122C1" w:rsidRPr="00F82C43">
        <w:rPr>
          <w:rFonts w:asciiTheme="minorHAnsi" w:hAnsiTheme="minorHAnsi"/>
          <w:szCs w:val="24"/>
        </w:rPr>
        <w:t>.</w:t>
      </w:r>
      <w:r w:rsidR="000B1A89" w:rsidRPr="00F82C43">
        <w:rPr>
          <w:rFonts w:asciiTheme="minorHAnsi" w:hAnsiTheme="minorHAnsi"/>
          <w:szCs w:val="24"/>
        </w:rPr>
        <w:t xml:space="preserve"> As the backlog has increased, wait times for procedures </w:t>
      </w:r>
      <w:r w:rsidR="000B1A89" w:rsidRPr="00FC54A0">
        <w:rPr>
          <w:rFonts w:asciiTheme="minorHAnsi" w:hAnsiTheme="minorHAnsi"/>
          <w:szCs w:val="24"/>
        </w:rPr>
        <w:t xml:space="preserve">have </w:t>
      </w:r>
      <w:r w:rsidR="00F82C43" w:rsidRPr="00FC54A0">
        <w:rPr>
          <w:rFonts w:asciiTheme="minorHAnsi" w:hAnsiTheme="minorHAnsi"/>
          <w:szCs w:val="24"/>
        </w:rPr>
        <w:t xml:space="preserve">generally </w:t>
      </w:r>
      <w:r w:rsidR="000B1A89" w:rsidRPr="00FC54A0">
        <w:rPr>
          <w:rFonts w:asciiTheme="minorHAnsi" w:hAnsiTheme="minorHAnsi"/>
          <w:szCs w:val="24"/>
        </w:rPr>
        <w:t>increased across endoscopy procedures at both AMCs by an average of 20% since FY</w:t>
      </w:r>
      <w:r w:rsidR="00B76500">
        <w:rPr>
          <w:rFonts w:asciiTheme="minorHAnsi" w:hAnsiTheme="minorHAnsi"/>
          <w:szCs w:val="24"/>
        </w:rPr>
        <w:t>20</w:t>
      </w:r>
      <w:r w:rsidR="000B1A89" w:rsidRPr="00FC54A0">
        <w:rPr>
          <w:rFonts w:asciiTheme="minorHAnsi" w:hAnsiTheme="minorHAnsi"/>
          <w:szCs w:val="24"/>
        </w:rPr>
        <w:t>22</w:t>
      </w:r>
      <w:r w:rsidR="00F82C43">
        <w:rPr>
          <w:rFonts w:asciiTheme="minorHAnsi" w:hAnsiTheme="minorHAnsi"/>
          <w:szCs w:val="24"/>
        </w:rPr>
        <w:t xml:space="preserve">, as </w:t>
      </w:r>
      <w:r w:rsidR="00F82C43" w:rsidRPr="00F024EB">
        <w:rPr>
          <w:rFonts w:asciiTheme="minorHAnsi" w:hAnsiTheme="minorHAnsi"/>
          <w:szCs w:val="24"/>
        </w:rPr>
        <w:t xml:space="preserve">demonstrated in Tables </w:t>
      </w:r>
      <w:r w:rsidR="00A11C57" w:rsidRPr="00F024EB">
        <w:rPr>
          <w:rFonts w:asciiTheme="minorHAnsi" w:hAnsiTheme="minorHAnsi"/>
          <w:szCs w:val="24"/>
        </w:rPr>
        <w:t>7</w:t>
      </w:r>
      <w:r w:rsidR="00F82C43" w:rsidRPr="00F024EB">
        <w:rPr>
          <w:rFonts w:asciiTheme="minorHAnsi" w:hAnsiTheme="minorHAnsi"/>
          <w:szCs w:val="24"/>
        </w:rPr>
        <w:t xml:space="preserve"> and </w:t>
      </w:r>
      <w:r w:rsidR="00A11C57" w:rsidRPr="00F024EB">
        <w:rPr>
          <w:rFonts w:asciiTheme="minorHAnsi" w:hAnsiTheme="minorHAnsi"/>
          <w:szCs w:val="24"/>
        </w:rPr>
        <w:t>8</w:t>
      </w:r>
      <w:r w:rsidR="00F82C43" w:rsidRPr="00F024EB">
        <w:rPr>
          <w:rFonts w:asciiTheme="minorHAnsi" w:hAnsiTheme="minorHAnsi"/>
          <w:szCs w:val="24"/>
        </w:rPr>
        <w:t xml:space="preserve"> below</w:t>
      </w:r>
      <w:r w:rsidR="000B1A89" w:rsidRPr="00FC54A0">
        <w:rPr>
          <w:rFonts w:asciiTheme="minorHAnsi" w:hAnsiTheme="minorHAnsi"/>
          <w:szCs w:val="24"/>
        </w:rPr>
        <w:t>.</w:t>
      </w:r>
      <w:r w:rsidR="004E645B" w:rsidRPr="00F024EB">
        <w:rPr>
          <w:rFonts w:asciiTheme="minorHAnsi" w:hAnsiTheme="minorHAnsi"/>
          <w:szCs w:val="24"/>
        </w:rPr>
        <w:t xml:space="preserve"> The Applicant </w:t>
      </w:r>
      <w:r w:rsidR="008907F2" w:rsidRPr="00F024EB">
        <w:rPr>
          <w:rFonts w:asciiTheme="minorHAnsi" w:hAnsiTheme="minorHAnsi"/>
          <w:szCs w:val="24"/>
        </w:rPr>
        <w:t xml:space="preserve">notes that </w:t>
      </w:r>
      <w:r w:rsidR="00E1426C" w:rsidRPr="00FC54A0">
        <w:rPr>
          <w:rFonts w:asciiTheme="minorHAnsi" w:hAnsiTheme="minorHAnsi"/>
        </w:rPr>
        <w:t xml:space="preserve">while wait times decreased from FY2024 to FY2025, the decrease was 6.2% at BWH and 5% at MGH, compared to an overall increase FY2022 to FY2025 of 21.3% at BWH and 18.6% at MGH. The Applicant </w:t>
      </w:r>
      <w:r w:rsidR="00F024EB" w:rsidRPr="00FC54A0">
        <w:rPr>
          <w:rFonts w:asciiTheme="minorHAnsi" w:hAnsiTheme="minorHAnsi"/>
        </w:rPr>
        <w:t xml:space="preserve">asserts that the decreases from FY2024 to FY2025 </w:t>
      </w:r>
      <w:r w:rsidR="008907F2" w:rsidRPr="00FC54A0">
        <w:rPr>
          <w:rFonts w:asciiTheme="minorHAnsi" w:hAnsiTheme="minorHAnsi"/>
        </w:rPr>
        <w:t xml:space="preserve">illustrate that MGB’s initiatives to shift volume from the AMCs to </w:t>
      </w:r>
      <w:r w:rsidR="00F024EB" w:rsidRPr="00FC54A0">
        <w:rPr>
          <w:rFonts w:asciiTheme="minorHAnsi" w:hAnsiTheme="minorHAnsi"/>
        </w:rPr>
        <w:t xml:space="preserve">other facilities such as </w:t>
      </w:r>
      <w:r w:rsidR="008907F2" w:rsidRPr="00FC54A0">
        <w:rPr>
          <w:rFonts w:asciiTheme="minorHAnsi" w:hAnsiTheme="minorHAnsi"/>
        </w:rPr>
        <w:t>MG Waltham, is working to reduce wait times. However, there is no additional capacity available to shift more patients to community sites</w:t>
      </w:r>
      <w:r w:rsidR="00F024EB" w:rsidRPr="00FC54A0">
        <w:rPr>
          <w:rFonts w:asciiTheme="minorHAnsi" w:hAnsiTheme="minorHAnsi"/>
        </w:rPr>
        <w:t>, as previously discussed</w:t>
      </w:r>
      <w:r w:rsidR="008907F2" w:rsidRPr="00FC54A0">
        <w:rPr>
          <w:rFonts w:asciiTheme="minorHAnsi" w:hAnsiTheme="minorHAnsi"/>
        </w:rPr>
        <w:t>.</w:t>
      </w:r>
    </w:p>
    <w:p w14:paraId="41AA2C80" w14:textId="4820A19A" w:rsidR="00CF47C8" w:rsidRPr="00FC54A0" w:rsidRDefault="00F82C43" w:rsidP="00FC54A0">
      <w:pPr>
        <w:jc w:val="center"/>
        <w:rPr>
          <w:rFonts w:asciiTheme="minorHAnsi" w:hAnsiTheme="minorHAnsi"/>
        </w:rPr>
      </w:pPr>
      <w:r w:rsidRPr="00FC54A0">
        <w:rPr>
          <w:rFonts w:asciiTheme="minorHAnsi" w:hAnsiTheme="minorHAnsi"/>
          <w:b/>
          <w:bCs/>
        </w:rPr>
        <w:t xml:space="preserve">Table </w:t>
      </w:r>
      <w:r w:rsidR="00A11C57">
        <w:rPr>
          <w:rFonts w:asciiTheme="minorHAnsi" w:hAnsiTheme="minorHAnsi"/>
          <w:b/>
          <w:bCs/>
        </w:rPr>
        <w:t>7</w:t>
      </w:r>
      <w:r w:rsidRPr="00FC54A0">
        <w:rPr>
          <w:rFonts w:asciiTheme="minorHAnsi" w:hAnsiTheme="minorHAnsi"/>
          <w:b/>
          <w:bCs/>
        </w:rPr>
        <w:t xml:space="preserve">: </w:t>
      </w:r>
      <w:r w:rsidR="00CF47C8" w:rsidRPr="00FC54A0">
        <w:rPr>
          <w:rFonts w:asciiTheme="minorHAnsi" w:hAnsiTheme="minorHAnsi"/>
          <w:b/>
          <w:bCs/>
        </w:rPr>
        <w:t>BWH Main Campus Endoscopy Wait Times (</w:t>
      </w:r>
      <w:r w:rsidR="00FF4EDE" w:rsidRPr="00FC54A0">
        <w:rPr>
          <w:rFonts w:asciiTheme="minorHAnsi" w:hAnsiTheme="minorHAnsi"/>
          <w:b/>
          <w:bCs/>
        </w:rPr>
        <w:t xml:space="preserve">In </w:t>
      </w:r>
      <w:r w:rsidR="00CF47C8" w:rsidRPr="00FC54A0">
        <w:rPr>
          <w:rFonts w:asciiTheme="minorHAnsi" w:hAnsiTheme="minorHAnsi"/>
          <w:b/>
          <w:bCs/>
        </w:rPr>
        <w:t>Days)</w:t>
      </w:r>
    </w:p>
    <w:tbl>
      <w:tblPr>
        <w:tblW w:w="9180" w:type="dxa"/>
        <w:tblInd w:w="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5"/>
        <w:gridCol w:w="938"/>
        <w:gridCol w:w="938"/>
        <w:gridCol w:w="938"/>
        <w:gridCol w:w="938"/>
        <w:gridCol w:w="1011"/>
      </w:tblGrid>
      <w:tr w:rsidR="00BA6997" w:rsidRPr="007E1AC6" w14:paraId="402743EE" w14:textId="77777777" w:rsidTr="0073447B">
        <w:trPr>
          <w:cantSplit/>
          <w:trHeight w:val="20"/>
          <w:tblHeader/>
        </w:trPr>
        <w:tc>
          <w:tcPr>
            <w:tcW w:w="4505" w:type="dxa"/>
            <w:shd w:val="clear" w:color="auto" w:fill="FFFFFF" w:themeFill="background1"/>
            <w:noWrap/>
            <w:vAlign w:val="center"/>
            <w:hideMark/>
          </w:tcPr>
          <w:p w14:paraId="3879EF5C" w14:textId="77777777" w:rsidR="00CF47C8" w:rsidRPr="00FC54A0" w:rsidRDefault="00CF47C8" w:rsidP="00A06B8B">
            <w:pPr>
              <w:rPr>
                <w:rFonts w:asciiTheme="minorHAnsi" w:eastAsia="Times New Roman" w:hAnsiTheme="minorHAnsi"/>
                <w:b/>
                <w:bCs/>
                <w:color w:val="000000"/>
                <w:szCs w:val="24"/>
              </w:rPr>
            </w:pPr>
            <w:r w:rsidRPr="00FC54A0">
              <w:rPr>
                <w:rFonts w:asciiTheme="minorHAnsi" w:eastAsia="Times New Roman" w:hAnsiTheme="minorHAnsi"/>
                <w:b/>
                <w:bCs/>
                <w:color w:val="000000"/>
                <w:szCs w:val="24"/>
              </w:rPr>
              <w:t>Endoscopy Procedure</w:t>
            </w:r>
          </w:p>
        </w:tc>
        <w:tc>
          <w:tcPr>
            <w:tcW w:w="877" w:type="dxa"/>
            <w:shd w:val="clear" w:color="auto" w:fill="FFFFFF" w:themeFill="background1"/>
            <w:vAlign w:val="center"/>
            <w:hideMark/>
          </w:tcPr>
          <w:p w14:paraId="38E0737D" w14:textId="4BAED50B" w:rsidR="00CF47C8" w:rsidRPr="00FC54A0" w:rsidRDefault="00CF47C8" w:rsidP="00A06B8B">
            <w:pPr>
              <w:jc w:val="center"/>
              <w:rPr>
                <w:rFonts w:asciiTheme="minorHAnsi" w:eastAsia="Times New Roman" w:hAnsiTheme="minorHAnsi"/>
                <w:b/>
                <w:bCs/>
                <w:color w:val="000000"/>
                <w:szCs w:val="24"/>
              </w:rPr>
            </w:pPr>
            <w:r w:rsidRPr="00FC54A0">
              <w:rPr>
                <w:rFonts w:asciiTheme="minorHAnsi" w:eastAsia="Times New Roman" w:hAnsiTheme="minorHAnsi"/>
                <w:b/>
                <w:bCs/>
                <w:color w:val="000000"/>
                <w:szCs w:val="24"/>
              </w:rPr>
              <w:t>FY</w:t>
            </w:r>
            <w:r w:rsidR="00BA6997">
              <w:rPr>
                <w:rFonts w:asciiTheme="minorHAnsi" w:eastAsia="Times New Roman" w:hAnsiTheme="minorHAnsi"/>
                <w:b/>
                <w:bCs/>
                <w:color w:val="000000"/>
                <w:szCs w:val="24"/>
              </w:rPr>
              <w:t>20</w:t>
            </w:r>
            <w:r w:rsidRPr="00FC54A0">
              <w:rPr>
                <w:rFonts w:asciiTheme="minorHAnsi" w:eastAsia="Times New Roman" w:hAnsiTheme="minorHAnsi"/>
                <w:b/>
                <w:bCs/>
                <w:color w:val="000000"/>
                <w:szCs w:val="24"/>
              </w:rPr>
              <w:t>22</w:t>
            </w:r>
          </w:p>
        </w:tc>
        <w:tc>
          <w:tcPr>
            <w:tcW w:w="878" w:type="dxa"/>
            <w:shd w:val="clear" w:color="auto" w:fill="FFFFFF" w:themeFill="background1"/>
            <w:vAlign w:val="center"/>
            <w:hideMark/>
          </w:tcPr>
          <w:p w14:paraId="15BB5ECD" w14:textId="32ED4B9A" w:rsidR="00CF47C8" w:rsidRPr="00FC54A0" w:rsidRDefault="00CF47C8" w:rsidP="00A06B8B">
            <w:pPr>
              <w:jc w:val="center"/>
              <w:rPr>
                <w:rFonts w:asciiTheme="minorHAnsi" w:eastAsia="Times New Roman" w:hAnsiTheme="minorHAnsi"/>
                <w:b/>
                <w:bCs/>
                <w:color w:val="000000"/>
                <w:szCs w:val="24"/>
              </w:rPr>
            </w:pPr>
            <w:r w:rsidRPr="00FC54A0">
              <w:rPr>
                <w:rFonts w:asciiTheme="minorHAnsi" w:eastAsia="Times New Roman" w:hAnsiTheme="minorHAnsi"/>
                <w:b/>
                <w:bCs/>
                <w:color w:val="000000"/>
                <w:szCs w:val="24"/>
              </w:rPr>
              <w:t>FY</w:t>
            </w:r>
            <w:r w:rsidR="00BA6997">
              <w:rPr>
                <w:rFonts w:asciiTheme="minorHAnsi" w:eastAsia="Times New Roman" w:hAnsiTheme="minorHAnsi"/>
                <w:b/>
                <w:bCs/>
                <w:color w:val="000000"/>
                <w:szCs w:val="24"/>
              </w:rPr>
              <w:t>20</w:t>
            </w:r>
            <w:r w:rsidRPr="00FC54A0">
              <w:rPr>
                <w:rFonts w:asciiTheme="minorHAnsi" w:eastAsia="Times New Roman" w:hAnsiTheme="minorHAnsi"/>
                <w:b/>
                <w:bCs/>
                <w:color w:val="000000"/>
                <w:szCs w:val="24"/>
              </w:rPr>
              <w:t>23</w:t>
            </w:r>
          </w:p>
        </w:tc>
        <w:tc>
          <w:tcPr>
            <w:tcW w:w="877" w:type="dxa"/>
            <w:shd w:val="clear" w:color="auto" w:fill="FFFFFF" w:themeFill="background1"/>
            <w:vAlign w:val="center"/>
            <w:hideMark/>
          </w:tcPr>
          <w:p w14:paraId="50309086" w14:textId="7CAF0466" w:rsidR="00CF47C8" w:rsidRPr="00FC54A0" w:rsidRDefault="00CF47C8" w:rsidP="00A06B8B">
            <w:pPr>
              <w:jc w:val="center"/>
              <w:rPr>
                <w:rFonts w:asciiTheme="minorHAnsi" w:eastAsia="Times New Roman" w:hAnsiTheme="minorHAnsi"/>
                <w:b/>
                <w:bCs/>
                <w:color w:val="000000"/>
                <w:szCs w:val="24"/>
              </w:rPr>
            </w:pPr>
            <w:r w:rsidRPr="00FC54A0">
              <w:rPr>
                <w:rFonts w:asciiTheme="minorHAnsi" w:eastAsia="Times New Roman" w:hAnsiTheme="minorHAnsi"/>
                <w:b/>
                <w:bCs/>
                <w:color w:val="000000"/>
                <w:szCs w:val="24"/>
              </w:rPr>
              <w:t>FY</w:t>
            </w:r>
            <w:r w:rsidR="00BA6997">
              <w:rPr>
                <w:rFonts w:asciiTheme="minorHAnsi" w:eastAsia="Times New Roman" w:hAnsiTheme="minorHAnsi"/>
                <w:b/>
                <w:bCs/>
                <w:color w:val="000000"/>
                <w:szCs w:val="24"/>
              </w:rPr>
              <w:t>20</w:t>
            </w:r>
            <w:r w:rsidRPr="00FC54A0">
              <w:rPr>
                <w:rFonts w:asciiTheme="minorHAnsi" w:eastAsia="Times New Roman" w:hAnsiTheme="minorHAnsi"/>
                <w:b/>
                <w:bCs/>
                <w:color w:val="000000"/>
                <w:szCs w:val="24"/>
              </w:rPr>
              <w:t>24</w:t>
            </w:r>
          </w:p>
        </w:tc>
        <w:tc>
          <w:tcPr>
            <w:tcW w:w="878" w:type="dxa"/>
            <w:shd w:val="clear" w:color="auto" w:fill="FFFFFF" w:themeFill="background1"/>
            <w:vAlign w:val="center"/>
            <w:hideMark/>
          </w:tcPr>
          <w:p w14:paraId="72254B67" w14:textId="027FC140" w:rsidR="00CF47C8" w:rsidRPr="00FC54A0" w:rsidRDefault="00CF47C8" w:rsidP="00A06B8B">
            <w:pPr>
              <w:jc w:val="center"/>
              <w:rPr>
                <w:rFonts w:asciiTheme="minorHAnsi" w:eastAsia="Times New Roman" w:hAnsiTheme="minorHAnsi"/>
                <w:b/>
                <w:bCs/>
                <w:color w:val="000000"/>
                <w:szCs w:val="24"/>
              </w:rPr>
            </w:pPr>
            <w:r w:rsidRPr="00FC54A0">
              <w:rPr>
                <w:rFonts w:asciiTheme="minorHAnsi" w:eastAsia="Times New Roman" w:hAnsiTheme="minorHAnsi"/>
                <w:b/>
                <w:bCs/>
                <w:color w:val="000000"/>
                <w:szCs w:val="24"/>
              </w:rPr>
              <w:t>FY</w:t>
            </w:r>
            <w:r w:rsidR="00BA6997">
              <w:rPr>
                <w:rFonts w:asciiTheme="minorHAnsi" w:eastAsia="Times New Roman" w:hAnsiTheme="minorHAnsi"/>
                <w:b/>
                <w:bCs/>
                <w:color w:val="000000"/>
                <w:szCs w:val="24"/>
              </w:rPr>
              <w:t>20</w:t>
            </w:r>
            <w:r w:rsidRPr="00FC54A0">
              <w:rPr>
                <w:rFonts w:asciiTheme="minorHAnsi" w:eastAsia="Times New Roman" w:hAnsiTheme="minorHAnsi"/>
                <w:b/>
                <w:bCs/>
                <w:color w:val="000000"/>
                <w:szCs w:val="24"/>
              </w:rPr>
              <w:t>25</w:t>
            </w:r>
          </w:p>
        </w:tc>
        <w:tc>
          <w:tcPr>
            <w:tcW w:w="1165" w:type="dxa"/>
            <w:shd w:val="clear" w:color="auto" w:fill="FFFFFF" w:themeFill="background1"/>
            <w:vAlign w:val="center"/>
            <w:hideMark/>
          </w:tcPr>
          <w:p w14:paraId="1BCAAFBF" w14:textId="6DADBE49" w:rsidR="00CF47C8" w:rsidRPr="00FC54A0" w:rsidRDefault="00BA6997" w:rsidP="00A06B8B">
            <w:pPr>
              <w:jc w:val="center"/>
              <w:rPr>
                <w:rFonts w:asciiTheme="minorHAnsi" w:eastAsia="Times New Roman" w:hAnsiTheme="minorHAnsi"/>
                <w:b/>
                <w:bCs/>
                <w:color w:val="000000"/>
                <w:szCs w:val="24"/>
              </w:rPr>
            </w:pPr>
            <w:r>
              <w:rPr>
                <w:rFonts w:asciiTheme="minorHAnsi" w:eastAsia="Times New Roman" w:hAnsiTheme="minorHAnsi"/>
                <w:b/>
                <w:bCs/>
                <w:color w:val="000000"/>
                <w:szCs w:val="24"/>
              </w:rPr>
              <w:t xml:space="preserve">Percent Change from </w:t>
            </w:r>
            <w:r w:rsidR="00CF47C8" w:rsidRPr="00FC54A0">
              <w:rPr>
                <w:rFonts w:asciiTheme="minorHAnsi" w:eastAsia="Times New Roman" w:hAnsiTheme="minorHAnsi"/>
                <w:b/>
                <w:bCs/>
                <w:color w:val="000000"/>
                <w:szCs w:val="24"/>
              </w:rPr>
              <w:t>FY</w:t>
            </w:r>
            <w:r>
              <w:rPr>
                <w:rFonts w:asciiTheme="minorHAnsi" w:eastAsia="Times New Roman" w:hAnsiTheme="minorHAnsi"/>
                <w:b/>
                <w:bCs/>
                <w:color w:val="000000"/>
                <w:szCs w:val="24"/>
              </w:rPr>
              <w:t>20</w:t>
            </w:r>
            <w:r w:rsidR="00CF47C8" w:rsidRPr="00FC54A0">
              <w:rPr>
                <w:rFonts w:asciiTheme="minorHAnsi" w:eastAsia="Times New Roman" w:hAnsiTheme="minorHAnsi"/>
                <w:b/>
                <w:bCs/>
                <w:color w:val="000000"/>
                <w:szCs w:val="24"/>
              </w:rPr>
              <w:t>22-FY</w:t>
            </w:r>
            <w:r>
              <w:rPr>
                <w:rFonts w:asciiTheme="minorHAnsi" w:eastAsia="Times New Roman" w:hAnsiTheme="minorHAnsi"/>
                <w:b/>
                <w:bCs/>
                <w:color w:val="000000"/>
                <w:szCs w:val="24"/>
              </w:rPr>
              <w:t>20</w:t>
            </w:r>
            <w:r w:rsidR="00CF47C8" w:rsidRPr="00FC54A0">
              <w:rPr>
                <w:rFonts w:asciiTheme="minorHAnsi" w:eastAsia="Times New Roman" w:hAnsiTheme="minorHAnsi"/>
                <w:b/>
                <w:bCs/>
                <w:color w:val="000000"/>
                <w:szCs w:val="24"/>
              </w:rPr>
              <w:t>25</w:t>
            </w:r>
          </w:p>
        </w:tc>
      </w:tr>
      <w:tr w:rsidR="00BA6997" w:rsidRPr="007E1AC6" w14:paraId="3534343A" w14:textId="77777777" w:rsidTr="0073447B">
        <w:trPr>
          <w:cantSplit/>
          <w:trHeight w:val="20"/>
        </w:trPr>
        <w:tc>
          <w:tcPr>
            <w:tcW w:w="4505" w:type="dxa"/>
            <w:shd w:val="clear" w:color="000000" w:fill="FFFFFF"/>
            <w:vAlign w:val="center"/>
            <w:hideMark/>
          </w:tcPr>
          <w:p w14:paraId="24A9FED1" w14:textId="77777777" w:rsidR="00CF47C8" w:rsidRPr="00FC54A0" w:rsidRDefault="00CF47C8" w:rsidP="00A06B8B">
            <w:pPr>
              <w:rPr>
                <w:rFonts w:asciiTheme="minorHAnsi" w:eastAsia="Times New Roman" w:hAnsiTheme="minorHAnsi"/>
                <w:color w:val="000000"/>
                <w:szCs w:val="24"/>
              </w:rPr>
            </w:pPr>
            <w:r w:rsidRPr="00FC54A0">
              <w:rPr>
                <w:rFonts w:asciiTheme="minorHAnsi" w:eastAsia="Times New Roman" w:hAnsiTheme="minorHAnsi"/>
                <w:color w:val="000000"/>
                <w:szCs w:val="24"/>
              </w:rPr>
              <w:t>Colonoscopy</w:t>
            </w:r>
          </w:p>
        </w:tc>
        <w:tc>
          <w:tcPr>
            <w:tcW w:w="877" w:type="dxa"/>
            <w:shd w:val="clear" w:color="000000" w:fill="FFFFFF"/>
            <w:vAlign w:val="center"/>
            <w:hideMark/>
          </w:tcPr>
          <w:p w14:paraId="28A16388" w14:textId="77777777" w:rsidR="00CF47C8" w:rsidRPr="00FC54A0" w:rsidRDefault="00CF47C8" w:rsidP="00A06B8B">
            <w:pPr>
              <w:jc w:val="center"/>
              <w:rPr>
                <w:rFonts w:asciiTheme="minorHAnsi" w:eastAsia="Times New Roman" w:hAnsiTheme="minorHAnsi"/>
                <w:color w:val="000000"/>
                <w:szCs w:val="24"/>
              </w:rPr>
            </w:pPr>
            <w:r w:rsidRPr="00FC54A0">
              <w:rPr>
                <w:rFonts w:asciiTheme="minorHAnsi" w:eastAsia="Times New Roman" w:hAnsiTheme="minorHAnsi"/>
                <w:color w:val="000000"/>
                <w:szCs w:val="24"/>
              </w:rPr>
              <w:t>118</w:t>
            </w:r>
          </w:p>
        </w:tc>
        <w:tc>
          <w:tcPr>
            <w:tcW w:w="878" w:type="dxa"/>
            <w:shd w:val="clear" w:color="000000" w:fill="FFFFFF"/>
            <w:vAlign w:val="center"/>
            <w:hideMark/>
          </w:tcPr>
          <w:p w14:paraId="52741672" w14:textId="77777777" w:rsidR="00CF47C8" w:rsidRPr="00FC54A0" w:rsidRDefault="00CF47C8" w:rsidP="00A06B8B">
            <w:pPr>
              <w:jc w:val="center"/>
              <w:rPr>
                <w:rFonts w:asciiTheme="minorHAnsi" w:eastAsia="Times New Roman" w:hAnsiTheme="minorHAnsi"/>
                <w:color w:val="000000"/>
                <w:szCs w:val="24"/>
              </w:rPr>
            </w:pPr>
            <w:r w:rsidRPr="00FC54A0">
              <w:rPr>
                <w:rFonts w:asciiTheme="minorHAnsi" w:eastAsia="Times New Roman" w:hAnsiTheme="minorHAnsi"/>
                <w:color w:val="000000"/>
                <w:szCs w:val="24"/>
              </w:rPr>
              <w:t>142.6</w:t>
            </w:r>
          </w:p>
        </w:tc>
        <w:tc>
          <w:tcPr>
            <w:tcW w:w="877" w:type="dxa"/>
            <w:shd w:val="clear" w:color="000000" w:fill="FFFFFF"/>
            <w:vAlign w:val="center"/>
            <w:hideMark/>
          </w:tcPr>
          <w:p w14:paraId="4A8DFC8A" w14:textId="77777777" w:rsidR="00CF47C8" w:rsidRPr="00FC54A0" w:rsidRDefault="00CF47C8" w:rsidP="00A06B8B">
            <w:pPr>
              <w:jc w:val="center"/>
              <w:rPr>
                <w:rFonts w:asciiTheme="minorHAnsi" w:eastAsia="Times New Roman" w:hAnsiTheme="minorHAnsi"/>
                <w:color w:val="000000"/>
                <w:szCs w:val="24"/>
              </w:rPr>
            </w:pPr>
            <w:r w:rsidRPr="00FC54A0">
              <w:rPr>
                <w:rFonts w:asciiTheme="minorHAnsi" w:eastAsia="Times New Roman" w:hAnsiTheme="minorHAnsi"/>
                <w:color w:val="000000"/>
                <w:szCs w:val="24"/>
              </w:rPr>
              <w:t>166.4</w:t>
            </w:r>
          </w:p>
        </w:tc>
        <w:tc>
          <w:tcPr>
            <w:tcW w:w="878" w:type="dxa"/>
            <w:shd w:val="clear" w:color="000000" w:fill="FFFFFF"/>
            <w:vAlign w:val="center"/>
            <w:hideMark/>
          </w:tcPr>
          <w:p w14:paraId="441E0DE7" w14:textId="77777777" w:rsidR="00CF47C8" w:rsidRPr="00FC54A0" w:rsidRDefault="00CF47C8" w:rsidP="00A06B8B">
            <w:pPr>
              <w:jc w:val="center"/>
              <w:rPr>
                <w:rFonts w:asciiTheme="minorHAnsi" w:eastAsia="Times New Roman" w:hAnsiTheme="minorHAnsi"/>
                <w:color w:val="000000"/>
                <w:szCs w:val="24"/>
              </w:rPr>
            </w:pPr>
            <w:r w:rsidRPr="00FC54A0">
              <w:rPr>
                <w:rFonts w:asciiTheme="minorHAnsi" w:eastAsia="Times New Roman" w:hAnsiTheme="minorHAnsi"/>
                <w:color w:val="000000"/>
                <w:szCs w:val="24"/>
              </w:rPr>
              <w:t>147</w:t>
            </w:r>
          </w:p>
        </w:tc>
        <w:tc>
          <w:tcPr>
            <w:tcW w:w="1165" w:type="dxa"/>
            <w:shd w:val="clear" w:color="000000" w:fill="FFFFFF"/>
            <w:vAlign w:val="center"/>
            <w:hideMark/>
          </w:tcPr>
          <w:p w14:paraId="5008339B" w14:textId="77777777" w:rsidR="00CF47C8" w:rsidRPr="00FC54A0" w:rsidRDefault="00CF47C8" w:rsidP="00A06B8B">
            <w:pPr>
              <w:jc w:val="center"/>
              <w:rPr>
                <w:rFonts w:asciiTheme="minorHAnsi" w:eastAsia="Times New Roman" w:hAnsiTheme="minorHAnsi"/>
                <w:color w:val="000000"/>
                <w:szCs w:val="24"/>
              </w:rPr>
            </w:pPr>
            <w:r w:rsidRPr="00FC54A0">
              <w:rPr>
                <w:rFonts w:asciiTheme="minorHAnsi" w:eastAsia="Times New Roman" w:hAnsiTheme="minorHAnsi"/>
                <w:color w:val="000000"/>
                <w:szCs w:val="24"/>
              </w:rPr>
              <w:t>24.6%</w:t>
            </w:r>
          </w:p>
        </w:tc>
      </w:tr>
      <w:tr w:rsidR="00BA6997" w:rsidRPr="007E1AC6" w14:paraId="3491DC10" w14:textId="77777777" w:rsidTr="0073447B">
        <w:trPr>
          <w:cantSplit/>
          <w:trHeight w:val="20"/>
        </w:trPr>
        <w:tc>
          <w:tcPr>
            <w:tcW w:w="4505" w:type="dxa"/>
            <w:shd w:val="clear" w:color="000000" w:fill="FFFFFF"/>
            <w:vAlign w:val="center"/>
            <w:hideMark/>
          </w:tcPr>
          <w:p w14:paraId="4173C70A" w14:textId="77777777" w:rsidR="00CF47C8" w:rsidRPr="00FC54A0" w:rsidRDefault="00CF47C8" w:rsidP="00A06B8B">
            <w:pPr>
              <w:rPr>
                <w:rFonts w:asciiTheme="minorHAnsi" w:eastAsia="Times New Roman" w:hAnsiTheme="minorHAnsi"/>
                <w:color w:val="000000"/>
                <w:szCs w:val="24"/>
              </w:rPr>
            </w:pPr>
            <w:r w:rsidRPr="00FC54A0">
              <w:rPr>
                <w:rFonts w:asciiTheme="minorHAnsi" w:eastAsia="Times New Roman" w:hAnsiTheme="minorHAnsi"/>
                <w:color w:val="000000"/>
                <w:szCs w:val="24"/>
              </w:rPr>
              <w:t>Endoscopic Retrograde Cholangiopancreatography</w:t>
            </w:r>
          </w:p>
        </w:tc>
        <w:tc>
          <w:tcPr>
            <w:tcW w:w="877" w:type="dxa"/>
            <w:shd w:val="clear" w:color="000000" w:fill="FFFFFF"/>
            <w:vAlign w:val="center"/>
            <w:hideMark/>
          </w:tcPr>
          <w:p w14:paraId="11A7A719" w14:textId="77777777" w:rsidR="00CF47C8" w:rsidRPr="00FC54A0" w:rsidRDefault="00CF47C8" w:rsidP="00A06B8B">
            <w:pPr>
              <w:jc w:val="center"/>
              <w:rPr>
                <w:rFonts w:asciiTheme="minorHAnsi" w:eastAsia="Times New Roman" w:hAnsiTheme="minorHAnsi"/>
                <w:color w:val="000000"/>
                <w:szCs w:val="24"/>
              </w:rPr>
            </w:pPr>
            <w:r w:rsidRPr="00FC54A0">
              <w:rPr>
                <w:rFonts w:asciiTheme="minorHAnsi" w:eastAsia="Times New Roman" w:hAnsiTheme="minorHAnsi"/>
                <w:color w:val="000000"/>
                <w:szCs w:val="24"/>
              </w:rPr>
              <w:t>26.4</w:t>
            </w:r>
          </w:p>
        </w:tc>
        <w:tc>
          <w:tcPr>
            <w:tcW w:w="878" w:type="dxa"/>
            <w:shd w:val="clear" w:color="000000" w:fill="FFFFFF"/>
            <w:vAlign w:val="center"/>
            <w:hideMark/>
          </w:tcPr>
          <w:p w14:paraId="67C2231A" w14:textId="77777777" w:rsidR="00CF47C8" w:rsidRPr="00FC54A0" w:rsidRDefault="00CF47C8" w:rsidP="00A06B8B">
            <w:pPr>
              <w:jc w:val="center"/>
              <w:rPr>
                <w:rFonts w:asciiTheme="minorHAnsi" w:eastAsia="Times New Roman" w:hAnsiTheme="minorHAnsi"/>
                <w:color w:val="000000"/>
                <w:szCs w:val="24"/>
              </w:rPr>
            </w:pPr>
            <w:r w:rsidRPr="00FC54A0">
              <w:rPr>
                <w:rFonts w:asciiTheme="minorHAnsi" w:eastAsia="Times New Roman" w:hAnsiTheme="minorHAnsi"/>
                <w:color w:val="000000"/>
                <w:szCs w:val="24"/>
              </w:rPr>
              <w:t>28.6</w:t>
            </w:r>
          </w:p>
        </w:tc>
        <w:tc>
          <w:tcPr>
            <w:tcW w:w="877" w:type="dxa"/>
            <w:shd w:val="clear" w:color="000000" w:fill="FFFFFF"/>
            <w:vAlign w:val="center"/>
            <w:hideMark/>
          </w:tcPr>
          <w:p w14:paraId="1DC97F0E" w14:textId="77777777" w:rsidR="00CF47C8" w:rsidRPr="00FC54A0" w:rsidRDefault="00CF47C8" w:rsidP="00A06B8B">
            <w:pPr>
              <w:jc w:val="center"/>
              <w:rPr>
                <w:rFonts w:asciiTheme="minorHAnsi" w:eastAsia="Times New Roman" w:hAnsiTheme="minorHAnsi"/>
                <w:color w:val="000000"/>
                <w:szCs w:val="24"/>
              </w:rPr>
            </w:pPr>
            <w:r w:rsidRPr="00FC54A0">
              <w:rPr>
                <w:rFonts w:asciiTheme="minorHAnsi" w:eastAsia="Times New Roman" w:hAnsiTheme="minorHAnsi"/>
                <w:color w:val="000000"/>
                <w:szCs w:val="24"/>
              </w:rPr>
              <w:t>36.6</w:t>
            </w:r>
          </w:p>
        </w:tc>
        <w:tc>
          <w:tcPr>
            <w:tcW w:w="878" w:type="dxa"/>
            <w:shd w:val="clear" w:color="000000" w:fill="FFFFFF"/>
            <w:vAlign w:val="center"/>
            <w:hideMark/>
          </w:tcPr>
          <w:p w14:paraId="561BF10F" w14:textId="77777777" w:rsidR="00CF47C8" w:rsidRPr="00FC54A0" w:rsidRDefault="00CF47C8" w:rsidP="00A06B8B">
            <w:pPr>
              <w:jc w:val="center"/>
              <w:rPr>
                <w:rFonts w:asciiTheme="minorHAnsi" w:eastAsia="Times New Roman" w:hAnsiTheme="minorHAnsi"/>
                <w:color w:val="000000"/>
                <w:szCs w:val="24"/>
              </w:rPr>
            </w:pPr>
            <w:r w:rsidRPr="00FC54A0">
              <w:rPr>
                <w:rFonts w:asciiTheme="minorHAnsi" w:eastAsia="Times New Roman" w:hAnsiTheme="minorHAnsi"/>
                <w:color w:val="000000"/>
                <w:szCs w:val="24"/>
              </w:rPr>
              <w:t>34.3</w:t>
            </w:r>
          </w:p>
        </w:tc>
        <w:tc>
          <w:tcPr>
            <w:tcW w:w="1165" w:type="dxa"/>
            <w:shd w:val="clear" w:color="000000" w:fill="FFFFFF"/>
            <w:vAlign w:val="center"/>
            <w:hideMark/>
          </w:tcPr>
          <w:p w14:paraId="08FBB667" w14:textId="77777777" w:rsidR="00CF47C8" w:rsidRPr="00FC54A0" w:rsidRDefault="00CF47C8" w:rsidP="00A06B8B">
            <w:pPr>
              <w:jc w:val="center"/>
              <w:rPr>
                <w:rFonts w:asciiTheme="minorHAnsi" w:eastAsia="Times New Roman" w:hAnsiTheme="minorHAnsi"/>
                <w:color w:val="000000"/>
                <w:szCs w:val="24"/>
              </w:rPr>
            </w:pPr>
            <w:r w:rsidRPr="00FC54A0">
              <w:rPr>
                <w:rFonts w:asciiTheme="minorHAnsi" w:eastAsia="Times New Roman" w:hAnsiTheme="minorHAnsi"/>
                <w:color w:val="000000"/>
                <w:szCs w:val="24"/>
              </w:rPr>
              <w:t>29.9%</w:t>
            </w:r>
          </w:p>
        </w:tc>
      </w:tr>
      <w:tr w:rsidR="00BA6997" w:rsidRPr="007E1AC6" w14:paraId="360E6B2F" w14:textId="77777777" w:rsidTr="0073447B">
        <w:trPr>
          <w:cantSplit/>
          <w:trHeight w:val="20"/>
        </w:trPr>
        <w:tc>
          <w:tcPr>
            <w:tcW w:w="4505" w:type="dxa"/>
            <w:shd w:val="clear" w:color="000000" w:fill="FFFFFF"/>
            <w:vAlign w:val="center"/>
            <w:hideMark/>
          </w:tcPr>
          <w:p w14:paraId="4D87AD78" w14:textId="77777777" w:rsidR="00CF47C8" w:rsidRPr="00FC54A0" w:rsidRDefault="00CF47C8" w:rsidP="00A06B8B">
            <w:pPr>
              <w:rPr>
                <w:rFonts w:asciiTheme="minorHAnsi" w:eastAsia="Times New Roman" w:hAnsiTheme="minorHAnsi"/>
                <w:color w:val="000000"/>
                <w:szCs w:val="24"/>
              </w:rPr>
            </w:pPr>
            <w:r w:rsidRPr="00FC54A0">
              <w:rPr>
                <w:rFonts w:asciiTheme="minorHAnsi" w:eastAsia="Times New Roman" w:hAnsiTheme="minorHAnsi"/>
                <w:color w:val="000000"/>
                <w:szCs w:val="24"/>
              </w:rPr>
              <w:t>Esophagogastroduodenoscopy</w:t>
            </w:r>
          </w:p>
        </w:tc>
        <w:tc>
          <w:tcPr>
            <w:tcW w:w="877" w:type="dxa"/>
            <w:shd w:val="clear" w:color="000000" w:fill="FFFFFF"/>
            <w:vAlign w:val="center"/>
            <w:hideMark/>
          </w:tcPr>
          <w:p w14:paraId="6916A6A3" w14:textId="77777777" w:rsidR="00CF47C8" w:rsidRPr="00FC54A0" w:rsidRDefault="00CF47C8" w:rsidP="00A06B8B">
            <w:pPr>
              <w:jc w:val="center"/>
              <w:rPr>
                <w:rFonts w:asciiTheme="minorHAnsi" w:eastAsia="Times New Roman" w:hAnsiTheme="minorHAnsi"/>
                <w:color w:val="000000"/>
                <w:szCs w:val="24"/>
              </w:rPr>
            </w:pPr>
            <w:r w:rsidRPr="00FC54A0">
              <w:rPr>
                <w:rFonts w:asciiTheme="minorHAnsi" w:eastAsia="Times New Roman" w:hAnsiTheme="minorHAnsi"/>
                <w:color w:val="000000"/>
                <w:szCs w:val="24"/>
              </w:rPr>
              <w:t>70.8</w:t>
            </w:r>
          </w:p>
        </w:tc>
        <w:tc>
          <w:tcPr>
            <w:tcW w:w="878" w:type="dxa"/>
            <w:shd w:val="clear" w:color="000000" w:fill="FFFFFF"/>
            <w:vAlign w:val="center"/>
            <w:hideMark/>
          </w:tcPr>
          <w:p w14:paraId="2503B773" w14:textId="77777777" w:rsidR="00CF47C8" w:rsidRPr="00FC54A0" w:rsidRDefault="00CF47C8" w:rsidP="00A06B8B">
            <w:pPr>
              <w:jc w:val="center"/>
              <w:rPr>
                <w:rFonts w:asciiTheme="minorHAnsi" w:eastAsia="Times New Roman" w:hAnsiTheme="minorHAnsi"/>
                <w:color w:val="000000"/>
                <w:szCs w:val="24"/>
              </w:rPr>
            </w:pPr>
            <w:r w:rsidRPr="00FC54A0">
              <w:rPr>
                <w:rFonts w:asciiTheme="minorHAnsi" w:eastAsia="Times New Roman" w:hAnsiTheme="minorHAnsi"/>
                <w:color w:val="000000"/>
                <w:szCs w:val="24"/>
              </w:rPr>
              <w:t>80.5</w:t>
            </w:r>
          </w:p>
        </w:tc>
        <w:tc>
          <w:tcPr>
            <w:tcW w:w="877" w:type="dxa"/>
            <w:shd w:val="clear" w:color="000000" w:fill="FFFFFF"/>
            <w:vAlign w:val="center"/>
            <w:hideMark/>
          </w:tcPr>
          <w:p w14:paraId="1AA17066" w14:textId="77777777" w:rsidR="00CF47C8" w:rsidRPr="00FC54A0" w:rsidRDefault="00CF47C8" w:rsidP="00A06B8B">
            <w:pPr>
              <w:jc w:val="center"/>
              <w:rPr>
                <w:rFonts w:asciiTheme="minorHAnsi" w:eastAsia="Times New Roman" w:hAnsiTheme="minorHAnsi"/>
                <w:color w:val="000000"/>
                <w:szCs w:val="24"/>
              </w:rPr>
            </w:pPr>
            <w:r w:rsidRPr="00FC54A0">
              <w:rPr>
                <w:rFonts w:asciiTheme="minorHAnsi" w:eastAsia="Times New Roman" w:hAnsiTheme="minorHAnsi"/>
                <w:color w:val="000000"/>
                <w:szCs w:val="24"/>
              </w:rPr>
              <w:t>94.9</w:t>
            </w:r>
          </w:p>
        </w:tc>
        <w:tc>
          <w:tcPr>
            <w:tcW w:w="878" w:type="dxa"/>
            <w:shd w:val="clear" w:color="000000" w:fill="FFFFFF"/>
            <w:vAlign w:val="center"/>
            <w:hideMark/>
          </w:tcPr>
          <w:p w14:paraId="3E61C6AE" w14:textId="77777777" w:rsidR="00CF47C8" w:rsidRPr="00FC54A0" w:rsidRDefault="00CF47C8" w:rsidP="00A06B8B">
            <w:pPr>
              <w:jc w:val="center"/>
              <w:rPr>
                <w:rFonts w:asciiTheme="minorHAnsi" w:eastAsia="Times New Roman" w:hAnsiTheme="minorHAnsi"/>
                <w:color w:val="000000"/>
                <w:szCs w:val="24"/>
              </w:rPr>
            </w:pPr>
            <w:r w:rsidRPr="00FC54A0">
              <w:rPr>
                <w:rFonts w:asciiTheme="minorHAnsi" w:eastAsia="Times New Roman" w:hAnsiTheme="minorHAnsi"/>
                <w:color w:val="000000"/>
                <w:szCs w:val="24"/>
              </w:rPr>
              <w:t>84.4</w:t>
            </w:r>
          </w:p>
        </w:tc>
        <w:tc>
          <w:tcPr>
            <w:tcW w:w="1165" w:type="dxa"/>
            <w:shd w:val="clear" w:color="000000" w:fill="FFFFFF"/>
            <w:vAlign w:val="center"/>
            <w:hideMark/>
          </w:tcPr>
          <w:p w14:paraId="480FE1F1" w14:textId="77777777" w:rsidR="00CF47C8" w:rsidRPr="00FC54A0" w:rsidRDefault="00CF47C8" w:rsidP="00A06B8B">
            <w:pPr>
              <w:jc w:val="center"/>
              <w:rPr>
                <w:rFonts w:asciiTheme="minorHAnsi" w:eastAsia="Times New Roman" w:hAnsiTheme="minorHAnsi"/>
                <w:color w:val="000000"/>
                <w:szCs w:val="24"/>
              </w:rPr>
            </w:pPr>
            <w:r w:rsidRPr="00FC54A0">
              <w:rPr>
                <w:rFonts w:asciiTheme="minorHAnsi" w:eastAsia="Times New Roman" w:hAnsiTheme="minorHAnsi"/>
                <w:color w:val="000000"/>
                <w:szCs w:val="24"/>
              </w:rPr>
              <w:t>19.2%</w:t>
            </w:r>
          </w:p>
        </w:tc>
      </w:tr>
      <w:tr w:rsidR="00BA6997" w:rsidRPr="007E1AC6" w14:paraId="0B5963A4" w14:textId="77777777" w:rsidTr="0073447B">
        <w:trPr>
          <w:cantSplit/>
          <w:trHeight w:val="20"/>
        </w:trPr>
        <w:tc>
          <w:tcPr>
            <w:tcW w:w="4505" w:type="dxa"/>
            <w:shd w:val="clear" w:color="000000" w:fill="FFFFFF"/>
            <w:vAlign w:val="center"/>
            <w:hideMark/>
          </w:tcPr>
          <w:p w14:paraId="70013105" w14:textId="77777777" w:rsidR="00CF47C8" w:rsidRPr="00FC54A0" w:rsidRDefault="00CF47C8" w:rsidP="00A06B8B">
            <w:pPr>
              <w:rPr>
                <w:rFonts w:asciiTheme="minorHAnsi" w:eastAsia="Times New Roman" w:hAnsiTheme="minorHAnsi"/>
                <w:color w:val="000000"/>
                <w:szCs w:val="24"/>
              </w:rPr>
            </w:pPr>
            <w:r w:rsidRPr="00FC54A0">
              <w:rPr>
                <w:rFonts w:asciiTheme="minorHAnsi" w:eastAsia="Times New Roman" w:hAnsiTheme="minorHAnsi"/>
                <w:color w:val="000000"/>
                <w:szCs w:val="24"/>
              </w:rPr>
              <w:t>Gastroscopy Flexible</w:t>
            </w:r>
          </w:p>
        </w:tc>
        <w:tc>
          <w:tcPr>
            <w:tcW w:w="877" w:type="dxa"/>
            <w:shd w:val="clear" w:color="000000" w:fill="FFFFFF"/>
            <w:vAlign w:val="center"/>
            <w:hideMark/>
          </w:tcPr>
          <w:p w14:paraId="78C27D81" w14:textId="77777777" w:rsidR="00CF47C8" w:rsidRPr="00FC54A0" w:rsidRDefault="00CF47C8" w:rsidP="00A06B8B">
            <w:pPr>
              <w:jc w:val="center"/>
              <w:rPr>
                <w:rFonts w:asciiTheme="minorHAnsi" w:eastAsia="Times New Roman" w:hAnsiTheme="minorHAnsi"/>
                <w:color w:val="000000"/>
                <w:szCs w:val="24"/>
              </w:rPr>
            </w:pPr>
            <w:r w:rsidRPr="00FC54A0">
              <w:rPr>
                <w:rFonts w:asciiTheme="minorHAnsi" w:eastAsia="Times New Roman" w:hAnsiTheme="minorHAnsi"/>
                <w:color w:val="000000"/>
                <w:szCs w:val="24"/>
              </w:rPr>
              <w:t>42.8</w:t>
            </w:r>
          </w:p>
        </w:tc>
        <w:tc>
          <w:tcPr>
            <w:tcW w:w="878" w:type="dxa"/>
            <w:shd w:val="clear" w:color="000000" w:fill="FFFFFF"/>
            <w:vAlign w:val="center"/>
            <w:hideMark/>
          </w:tcPr>
          <w:p w14:paraId="5855C542" w14:textId="77777777" w:rsidR="00CF47C8" w:rsidRPr="00FC54A0" w:rsidRDefault="00CF47C8" w:rsidP="00A06B8B">
            <w:pPr>
              <w:jc w:val="center"/>
              <w:rPr>
                <w:rFonts w:asciiTheme="minorHAnsi" w:eastAsia="Times New Roman" w:hAnsiTheme="minorHAnsi"/>
                <w:color w:val="000000"/>
                <w:szCs w:val="24"/>
              </w:rPr>
            </w:pPr>
            <w:r w:rsidRPr="00FC54A0">
              <w:rPr>
                <w:rFonts w:asciiTheme="minorHAnsi" w:eastAsia="Times New Roman" w:hAnsiTheme="minorHAnsi"/>
                <w:color w:val="000000"/>
                <w:szCs w:val="24"/>
              </w:rPr>
              <w:t>53.6</w:t>
            </w:r>
          </w:p>
        </w:tc>
        <w:tc>
          <w:tcPr>
            <w:tcW w:w="877" w:type="dxa"/>
            <w:shd w:val="clear" w:color="000000" w:fill="FFFFFF"/>
            <w:vAlign w:val="center"/>
            <w:hideMark/>
          </w:tcPr>
          <w:p w14:paraId="6D7D5781" w14:textId="77777777" w:rsidR="00CF47C8" w:rsidRPr="00FC54A0" w:rsidRDefault="00CF47C8" w:rsidP="00A06B8B">
            <w:pPr>
              <w:jc w:val="center"/>
              <w:rPr>
                <w:rFonts w:asciiTheme="minorHAnsi" w:eastAsia="Times New Roman" w:hAnsiTheme="minorHAnsi"/>
                <w:color w:val="000000"/>
                <w:szCs w:val="24"/>
              </w:rPr>
            </w:pPr>
            <w:r w:rsidRPr="00FC54A0">
              <w:rPr>
                <w:rFonts w:asciiTheme="minorHAnsi" w:eastAsia="Times New Roman" w:hAnsiTheme="minorHAnsi"/>
                <w:color w:val="000000"/>
                <w:szCs w:val="24"/>
              </w:rPr>
              <w:t>62.5</w:t>
            </w:r>
          </w:p>
        </w:tc>
        <w:tc>
          <w:tcPr>
            <w:tcW w:w="878" w:type="dxa"/>
            <w:shd w:val="clear" w:color="000000" w:fill="FFFFFF"/>
            <w:vAlign w:val="center"/>
            <w:hideMark/>
          </w:tcPr>
          <w:p w14:paraId="7C92EA98" w14:textId="77777777" w:rsidR="00CF47C8" w:rsidRPr="00FC54A0" w:rsidRDefault="00CF47C8" w:rsidP="00A06B8B">
            <w:pPr>
              <w:jc w:val="center"/>
              <w:rPr>
                <w:rFonts w:asciiTheme="minorHAnsi" w:eastAsia="Times New Roman" w:hAnsiTheme="minorHAnsi"/>
                <w:color w:val="000000"/>
                <w:szCs w:val="24"/>
              </w:rPr>
            </w:pPr>
            <w:r w:rsidRPr="00FC54A0">
              <w:rPr>
                <w:rFonts w:asciiTheme="minorHAnsi" w:eastAsia="Times New Roman" w:hAnsiTheme="minorHAnsi"/>
                <w:color w:val="000000"/>
                <w:szCs w:val="24"/>
              </w:rPr>
              <w:t>59.1</w:t>
            </w:r>
          </w:p>
        </w:tc>
        <w:tc>
          <w:tcPr>
            <w:tcW w:w="1165" w:type="dxa"/>
            <w:shd w:val="clear" w:color="000000" w:fill="FFFFFF"/>
            <w:vAlign w:val="center"/>
            <w:hideMark/>
          </w:tcPr>
          <w:p w14:paraId="2B3EB771" w14:textId="77777777" w:rsidR="00CF47C8" w:rsidRPr="00FC54A0" w:rsidRDefault="00CF47C8" w:rsidP="00A06B8B">
            <w:pPr>
              <w:jc w:val="center"/>
              <w:rPr>
                <w:rFonts w:asciiTheme="minorHAnsi" w:eastAsia="Times New Roman" w:hAnsiTheme="minorHAnsi"/>
                <w:color w:val="000000"/>
                <w:szCs w:val="24"/>
              </w:rPr>
            </w:pPr>
            <w:r w:rsidRPr="00FC54A0">
              <w:rPr>
                <w:rFonts w:asciiTheme="minorHAnsi" w:eastAsia="Times New Roman" w:hAnsiTheme="minorHAnsi"/>
                <w:color w:val="000000"/>
                <w:szCs w:val="24"/>
              </w:rPr>
              <w:t>38.1%</w:t>
            </w:r>
          </w:p>
        </w:tc>
      </w:tr>
      <w:tr w:rsidR="00BA6997" w:rsidRPr="007E1AC6" w14:paraId="49C53217" w14:textId="77777777" w:rsidTr="0073447B">
        <w:trPr>
          <w:cantSplit/>
          <w:trHeight w:val="20"/>
        </w:trPr>
        <w:tc>
          <w:tcPr>
            <w:tcW w:w="4505" w:type="dxa"/>
            <w:shd w:val="clear" w:color="000000" w:fill="FFFFFF"/>
            <w:vAlign w:val="center"/>
            <w:hideMark/>
          </w:tcPr>
          <w:p w14:paraId="266908C9" w14:textId="77777777" w:rsidR="00CF47C8" w:rsidRPr="00FC54A0" w:rsidRDefault="00CF47C8" w:rsidP="00A06B8B">
            <w:pPr>
              <w:rPr>
                <w:rFonts w:asciiTheme="minorHAnsi" w:eastAsia="Times New Roman" w:hAnsiTheme="minorHAnsi"/>
                <w:color w:val="000000"/>
                <w:szCs w:val="24"/>
              </w:rPr>
            </w:pPr>
            <w:r w:rsidRPr="00FC54A0">
              <w:rPr>
                <w:rFonts w:asciiTheme="minorHAnsi" w:eastAsia="Times New Roman" w:hAnsiTheme="minorHAnsi"/>
                <w:color w:val="000000"/>
                <w:szCs w:val="24"/>
              </w:rPr>
              <w:t>Sigmoidoscopy Flexible</w:t>
            </w:r>
          </w:p>
        </w:tc>
        <w:tc>
          <w:tcPr>
            <w:tcW w:w="877" w:type="dxa"/>
            <w:shd w:val="clear" w:color="000000" w:fill="FFFFFF"/>
            <w:vAlign w:val="center"/>
            <w:hideMark/>
          </w:tcPr>
          <w:p w14:paraId="2682C3F0" w14:textId="77777777" w:rsidR="00CF47C8" w:rsidRPr="00FC54A0" w:rsidRDefault="00CF47C8" w:rsidP="00A06B8B">
            <w:pPr>
              <w:jc w:val="center"/>
              <w:rPr>
                <w:rFonts w:asciiTheme="minorHAnsi" w:eastAsia="Times New Roman" w:hAnsiTheme="minorHAnsi"/>
                <w:color w:val="000000"/>
                <w:szCs w:val="24"/>
              </w:rPr>
            </w:pPr>
            <w:r w:rsidRPr="00FC54A0">
              <w:rPr>
                <w:rFonts w:asciiTheme="minorHAnsi" w:eastAsia="Times New Roman" w:hAnsiTheme="minorHAnsi"/>
                <w:color w:val="000000"/>
                <w:szCs w:val="24"/>
              </w:rPr>
              <w:t>50.2</w:t>
            </w:r>
          </w:p>
        </w:tc>
        <w:tc>
          <w:tcPr>
            <w:tcW w:w="878" w:type="dxa"/>
            <w:shd w:val="clear" w:color="000000" w:fill="FFFFFF"/>
            <w:vAlign w:val="center"/>
            <w:hideMark/>
          </w:tcPr>
          <w:p w14:paraId="01A39B85" w14:textId="77777777" w:rsidR="00CF47C8" w:rsidRPr="00FC54A0" w:rsidRDefault="00CF47C8" w:rsidP="00A06B8B">
            <w:pPr>
              <w:jc w:val="center"/>
              <w:rPr>
                <w:rFonts w:asciiTheme="minorHAnsi" w:eastAsia="Times New Roman" w:hAnsiTheme="minorHAnsi"/>
                <w:color w:val="000000"/>
                <w:szCs w:val="24"/>
              </w:rPr>
            </w:pPr>
            <w:r w:rsidRPr="00FC54A0">
              <w:rPr>
                <w:rFonts w:asciiTheme="minorHAnsi" w:eastAsia="Times New Roman" w:hAnsiTheme="minorHAnsi"/>
                <w:color w:val="000000"/>
                <w:szCs w:val="24"/>
              </w:rPr>
              <w:t>51.1</w:t>
            </w:r>
          </w:p>
        </w:tc>
        <w:tc>
          <w:tcPr>
            <w:tcW w:w="877" w:type="dxa"/>
            <w:shd w:val="clear" w:color="000000" w:fill="FFFFFF"/>
            <w:vAlign w:val="center"/>
            <w:hideMark/>
          </w:tcPr>
          <w:p w14:paraId="7C91DBCF" w14:textId="77777777" w:rsidR="00CF47C8" w:rsidRPr="00FC54A0" w:rsidRDefault="00CF47C8" w:rsidP="00A06B8B">
            <w:pPr>
              <w:jc w:val="center"/>
              <w:rPr>
                <w:rFonts w:asciiTheme="minorHAnsi" w:eastAsia="Times New Roman" w:hAnsiTheme="minorHAnsi"/>
                <w:color w:val="000000"/>
                <w:szCs w:val="24"/>
              </w:rPr>
            </w:pPr>
            <w:r w:rsidRPr="00FC54A0">
              <w:rPr>
                <w:rFonts w:asciiTheme="minorHAnsi" w:eastAsia="Times New Roman" w:hAnsiTheme="minorHAnsi"/>
                <w:color w:val="000000"/>
                <w:szCs w:val="24"/>
              </w:rPr>
              <w:t>54</w:t>
            </w:r>
          </w:p>
        </w:tc>
        <w:tc>
          <w:tcPr>
            <w:tcW w:w="878" w:type="dxa"/>
            <w:shd w:val="clear" w:color="000000" w:fill="FFFFFF"/>
            <w:vAlign w:val="center"/>
            <w:hideMark/>
          </w:tcPr>
          <w:p w14:paraId="02AA91A2" w14:textId="77777777" w:rsidR="00CF47C8" w:rsidRPr="00FC54A0" w:rsidRDefault="00CF47C8" w:rsidP="00A06B8B">
            <w:pPr>
              <w:jc w:val="center"/>
              <w:rPr>
                <w:rFonts w:asciiTheme="minorHAnsi" w:eastAsia="Times New Roman" w:hAnsiTheme="minorHAnsi"/>
                <w:color w:val="000000"/>
                <w:szCs w:val="24"/>
              </w:rPr>
            </w:pPr>
            <w:r w:rsidRPr="00FC54A0">
              <w:rPr>
                <w:rFonts w:asciiTheme="minorHAnsi" w:eastAsia="Times New Roman" w:hAnsiTheme="minorHAnsi"/>
                <w:color w:val="000000"/>
                <w:szCs w:val="24"/>
              </w:rPr>
              <w:t>50.9</w:t>
            </w:r>
          </w:p>
        </w:tc>
        <w:tc>
          <w:tcPr>
            <w:tcW w:w="1165" w:type="dxa"/>
            <w:shd w:val="clear" w:color="000000" w:fill="FFFFFF"/>
            <w:vAlign w:val="center"/>
            <w:hideMark/>
          </w:tcPr>
          <w:p w14:paraId="64A1B569" w14:textId="77777777" w:rsidR="00CF47C8" w:rsidRPr="00FC54A0" w:rsidRDefault="00CF47C8" w:rsidP="00A06B8B">
            <w:pPr>
              <w:jc w:val="center"/>
              <w:rPr>
                <w:rFonts w:asciiTheme="minorHAnsi" w:eastAsia="Times New Roman" w:hAnsiTheme="minorHAnsi"/>
                <w:color w:val="000000"/>
                <w:szCs w:val="24"/>
              </w:rPr>
            </w:pPr>
            <w:r w:rsidRPr="00FC54A0">
              <w:rPr>
                <w:rFonts w:asciiTheme="minorHAnsi" w:eastAsia="Times New Roman" w:hAnsiTheme="minorHAnsi"/>
                <w:color w:val="000000"/>
                <w:szCs w:val="24"/>
              </w:rPr>
              <w:t>1.4%</w:t>
            </w:r>
          </w:p>
        </w:tc>
      </w:tr>
      <w:tr w:rsidR="00BA6997" w:rsidRPr="007E1AC6" w14:paraId="54F52B4D" w14:textId="77777777" w:rsidTr="0073447B">
        <w:trPr>
          <w:cantSplit/>
          <w:trHeight w:val="20"/>
        </w:trPr>
        <w:tc>
          <w:tcPr>
            <w:tcW w:w="4505" w:type="dxa"/>
            <w:shd w:val="clear" w:color="000000" w:fill="FFFFFF"/>
            <w:vAlign w:val="center"/>
            <w:hideMark/>
          </w:tcPr>
          <w:p w14:paraId="28ABCC47" w14:textId="77777777" w:rsidR="00CF47C8" w:rsidRPr="00FC54A0" w:rsidRDefault="00CF47C8" w:rsidP="00A06B8B">
            <w:pPr>
              <w:rPr>
                <w:rFonts w:asciiTheme="minorHAnsi" w:eastAsia="Times New Roman" w:hAnsiTheme="minorHAnsi"/>
                <w:color w:val="000000"/>
                <w:szCs w:val="24"/>
              </w:rPr>
            </w:pPr>
            <w:r w:rsidRPr="00FC54A0">
              <w:rPr>
                <w:rFonts w:asciiTheme="minorHAnsi" w:eastAsia="Times New Roman" w:hAnsiTheme="minorHAnsi"/>
                <w:color w:val="000000"/>
                <w:szCs w:val="24"/>
              </w:rPr>
              <w:t>Upper Endoscopic Ultrasound</w:t>
            </w:r>
          </w:p>
        </w:tc>
        <w:tc>
          <w:tcPr>
            <w:tcW w:w="877" w:type="dxa"/>
            <w:shd w:val="clear" w:color="000000" w:fill="FFFFFF"/>
            <w:vAlign w:val="center"/>
            <w:hideMark/>
          </w:tcPr>
          <w:p w14:paraId="61C87EA8" w14:textId="77777777" w:rsidR="00CF47C8" w:rsidRPr="00FC54A0" w:rsidRDefault="00CF47C8" w:rsidP="00A06B8B">
            <w:pPr>
              <w:jc w:val="center"/>
              <w:rPr>
                <w:rFonts w:asciiTheme="minorHAnsi" w:eastAsia="Times New Roman" w:hAnsiTheme="minorHAnsi"/>
                <w:color w:val="000000"/>
                <w:szCs w:val="24"/>
              </w:rPr>
            </w:pPr>
            <w:r w:rsidRPr="00FC54A0">
              <w:rPr>
                <w:rFonts w:asciiTheme="minorHAnsi" w:eastAsia="Times New Roman" w:hAnsiTheme="minorHAnsi"/>
                <w:color w:val="000000"/>
                <w:szCs w:val="24"/>
              </w:rPr>
              <w:t>61.5</w:t>
            </w:r>
          </w:p>
        </w:tc>
        <w:tc>
          <w:tcPr>
            <w:tcW w:w="878" w:type="dxa"/>
            <w:shd w:val="clear" w:color="000000" w:fill="FFFFFF"/>
            <w:vAlign w:val="center"/>
            <w:hideMark/>
          </w:tcPr>
          <w:p w14:paraId="63AFDC14" w14:textId="77777777" w:rsidR="00CF47C8" w:rsidRPr="00FC54A0" w:rsidRDefault="00CF47C8" w:rsidP="00A06B8B">
            <w:pPr>
              <w:jc w:val="center"/>
              <w:rPr>
                <w:rFonts w:asciiTheme="minorHAnsi" w:eastAsia="Times New Roman" w:hAnsiTheme="minorHAnsi"/>
                <w:color w:val="000000"/>
                <w:szCs w:val="24"/>
              </w:rPr>
            </w:pPr>
            <w:r w:rsidRPr="00FC54A0">
              <w:rPr>
                <w:rFonts w:asciiTheme="minorHAnsi" w:eastAsia="Times New Roman" w:hAnsiTheme="minorHAnsi"/>
                <w:color w:val="000000"/>
                <w:szCs w:val="24"/>
              </w:rPr>
              <w:t>65.5</w:t>
            </w:r>
          </w:p>
        </w:tc>
        <w:tc>
          <w:tcPr>
            <w:tcW w:w="877" w:type="dxa"/>
            <w:shd w:val="clear" w:color="000000" w:fill="FFFFFF"/>
            <w:vAlign w:val="center"/>
            <w:hideMark/>
          </w:tcPr>
          <w:p w14:paraId="6C9ADE6E" w14:textId="77777777" w:rsidR="00CF47C8" w:rsidRPr="00FC54A0" w:rsidRDefault="00CF47C8" w:rsidP="00A06B8B">
            <w:pPr>
              <w:jc w:val="center"/>
              <w:rPr>
                <w:rFonts w:asciiTheme="minorHAnsi" w:eastAsia="Times New Roman" w:hAnsiTheme="minorHAnsi"/>
                <w:color w:val="000000"/>
                <w:szCs w:val="24"/>
              </w:rPr>
            </w:pPr>
            <w:r w:rsidRPr="00FC54A0">
              <w:rPr>
                <w:rFonts w:asciiTheme="minorHAnsi" w:eastAsia="Times New Roman" w:hAnsiTheme="minorHAnsi"/>
                <w:color w:val="000000"/>
                <w:szCs w:val="24"/>
              </w:rPr>
              <w:t>68</w:t>
            </w:r>
          </w:p>
        </w:tc>
        <w:tc>
          <w:tcPr>
            <w:tcW w:w="878" w:type="dxa"/>
            <w:shd w:val="clear" w:color="000000" w:fill="FFFFFF"/>
            <w:vAlign w:val="center"/>
            <w:hideMark/>
          </w:tcPr>
          <w:p w14:paraId="0C5402C6" w14:textId="77777777" w:rsidR="00CF47C8" w:rsidRPr="00FC54A0" w:rsidRDefault="00CF47C8" w:rsidP="00A06B8B">
            <w:pPr>
              <w:jc w:val="center"/>
              <w:rPr>
                <w:rFonts w:asciiTheme="minorHAnsi" w:eastAsia="Times New Roman" w:hAnsiTheme="minorHAnsi"/>
                <w:color w:val="000000"/>
                <w:szCs w:val="24"/>
              </w:rPr>
            </w:pPr>
            <w:r w:rsidRPr="00FC54A0">
              <w:rPr>
                <w:rFonts w:asciiTheme="minorHAnsi" w:eastAsia="Times New Roman" w:hAnsiTheme="minorHAnsi"/>
                <w:color w:val="000000"/>
                <w:szCs w:val="24"/>
              </w:rPr>
              <w:t>73.7</w:t>
            </w:r>
          </w:p>
        </w:tc>
        <w:tc>
          <w:tcPr>
            <w:tcW w:w="1165" w:type="dxa"/>
            <w:shd w:val="clear" w:color="000000" w:fill="FFFFFF"/>
            <w:vAlign w:val="center"/>
            <w:hideMark/>
          </w:tcPr>
          <w:p w14:paraId="0DFB0D1F" w14:textId="77777777" w:rsidR="00CF47C8" w:rsidRPr="00FC54A0" w:rsidRDefault="00CF47C8" w:rsidP="00A06B8B">
            <w:pPr>
              <w:jc w:val="center"/>
              <w:rPr>
                <w:rFonts w:asciiTheme="minorHAnsi" w:eastAsia="Times New Roman" w:hAnsiTheme="minorHAnsi"/>
                <w:color w:val="000000"/>
                <w:szCs w:val="24"/>
              </w:rPr>
            </w:pPr>
            <w:r w:rsidRPr="00FC54A0">
              <w:rPr>
                <w:rFonts w:asciiTheme="minorHAnsi" w:eastAsia="Times New Roman" w:hAnsiTheme="minorHAnsi"/>
                <w:color w:val="000000"/>
                <w:szCs w:val="24"/>
              </w:rPr>
              <w:t>19.8%</w:t>
            </w:r>
          </w:p>
        </w:tc>
      </w:tr>
      <w:tr w:rsidR="00BA6997" w:rsidRPr="007E1AC6" w14:paraId="61F8AD26" w14:textId="77777777" w:rsidTr="0073447B">
        <w:trPr>
          <w:cantSplit/>
          <w:trHeight w:val="20"/>
        </w:trPr>
        <w:tc>
          <w:tcPr>
            <w:tcW w:w="4505" w:type="dxa"/>
            <w:shd w:val="clear" w:color="000000" w:fill="FFFFFF"/>
            <w:vAlign w:val="center"/>
            <w:hideMark/>
          </w:tcPr>
          <w:p w14:paraId="09397177" w14:textId="77777777" w:rsidR="00CF47C8" w:rsidRPr="00FC54A0" w:rsidRDefault="00CF47C8" w:rsidP="00A06B8B">
            <w:pPr>
              <w:rPr>
                <w:rFonts w:asciiTheme="minorHAnsi" w:eastAsia="Times New Roman" w:hAnsiTheme="minorHAnsi"/>
                <w:color w:val="000000"/>
                <w:szCs w:val="24"/>
              </w:rPr>
            </w:pPr>
            <w:r w:rsidRPr="00FC54A0">
              <w:rPr>
                <w:rFonts w:asciiTheme="minorHAnsi" w:eastAsia="Times New Roman" w:hAnsiTheme="minorHAnsi"/>
                <w:color w:val="000000"/>
                <w:szCs w:val="24"/>
              </w:rPr>
              <w:t>Other</w:t>
            </w:r>
          </w:p>
        </w:tc>
        <w:tc>
          <w:tcPr>
            <w:tcW w:w="877" w:type="dxa"/>
            <w:shd w:val="clear" w:color="000000" w:fill="FFFFFF"/>
            <w:vAlign w:val="center"/>
            <w:hideMark/>
          </w:tcPr>
          <w:p w14:paraId="7BC29973" w14:textId="77777777" w:rsidR="00CF47C8" w:rsidRPr="00FC54A0" w:rsidRDefault="00CF47C8" w:rsidP="00A06B8B">
            <w:pPr>
              <w:jc w:val="center"/>
              <w:rPr>
                <w:rFonts w:asciiTheme="minorHAnsi" w:eastAsia="Times New Roman" w:hAnsiTheme="minorHAnsi"/>
                <w:color w:val="000000"/>
                <w:szCs w:val="24"/>
              </w:rPr>
            </w:pPr>
            <w:r w:rsidRPr="00FC54A0">
              <w:rPr>
                <w:rFonts w:asciiTheme="minorHAnsi" w:eastAsia="Times New Roman" w:hAnsiTheme="minorHAnsi"/>
                <w:color w:val="000000"/>
                <w:szCs w:val="24"/>
              </w:rPr>
              <w:t>86.2</w:t>
            </w:r>
          </w:p>
        </w:tc>
        <w:tc>
          <w:tcPr>
            <w:tcW w:w="878" w:type="dxa"/>
            <w:shd w:val="clear" w:color="000000" w:fill="FFFFFF"/>
            <w:vAlign w:val="center"/>
            <w:hideMark/>
          </w:tcPr>
          <w:p w14:paraId="7385CBF5" w14:textId="77777777" w:rsidR="00CF47C8" w:rsidRPr="00FC54A0" w:rsidRDefault="00CF47C8" w:rsidP="00A06B8B">
            <w:pPr>
              <w:jc w:val="center"/>
              <w:rPr>
                <w:rFonts w:asciiTheme="minorHAnsi" w:eastAsia="Times New Roman" w:hAnsiTheme="minorHAnsi"/>
                <w:color w:val="000000"/>
                <w:szCs w:val="24"/>
              </w:rPr>
            </w:pPr>
            <w:r w:rsidRPr="00FC54A0">
              <w:rPr>
                <w:rFonts w:asciiTheme="minorHAnsi" w:eastAsia="Times New Roman" w:hAnsiTheme="minorHAnsi"/>
                <w:color w:val="000000"/>
                <w:szCs w:val="24"/>
              </w:rPr>
              <w:t>98.8</w:t>
            </w:r>
          </w:p>
        </w:tc>
        <w:tc>
          <w:tcPr>
            <w:tcW w:w="877" w:type="dxa"/>
            <w:shd w:val="clear" w:color="000000" w:fill="FFFFFF"/>
            <w:vAlign w:val="center"/>
            <w:hideMark/>
          </w:tcPr>
          <w:p w14:paraId="6EEE6785" w14:textId="77777777" w:rsidR="00CF47C8" w:rsidRPr="00FC54A0" w:rsidRDefault="00CF47C8" w:rsidP="00A06B8B">
            <w:pPr>
              <w:jc w:val="center"/>
              <w:rPr>
                <w:rFonts w:asciiTheme="minorHAnsi" w:eastAsia="Times New Roman" w:hAnsiTheme="minorHAnsi"/>
                <w:color w:val="000000"/>
                <w:szCs w:val="24"/>
              </w:rPr>
            </w:pPr>
            <w:r w:rsidRPr="00FC54A0">
              <w:rPr>
                <w:rFonts w:asciiTheme="minorHAnsi" w:eastAsia="Times New Roman" w:hAnsiTheme="minorHAnsi"/>
                <w:color w:val="000000"/>
                <w:szCs w:val="24"/>
              </w:rPr>
              <w:t>113.8</w:t>
            </w:r>
          </w:p>
        </w:tc>
        <w:tc>
          <w:tcPr>
            <w:tcW w:w="878" w:type="dxa"/>
            <w:shd w:val="clear" w:color="000000" w:fill="FFFFFF"/>
            <w:vAlign w:val="center"/>
            <w:hideMark/>
          </w:tcPr>
          <w:p w14:paraId="4B063A59" w14:textId="77777777" w:rsidR="00CF47C8" w:rsidRPr="00FC54A0" w:rsidRDefault="00CF47C8" w:rsidP="00A06B8B">
            <w:pPr>
              <w:jc w:val="center"/>
              <w:rPr>
                <w:rFonts w:asciiTheme="minorHAnsi" w:eastAsia="Times New Roman" w:hAnsiTheme="minorHAnsi"/>
                <w:color w:val="000000"/>
                <w:szCs w:val="24"/>
              </w:rPr>
            </w:pPr>
            <w:r w:rsidRPr="00FC54A0">
              <w:rPr>
                <w:rFonts w:asciiTheme="minorHAnsi" w:eastAsia="Times New Roman" w:hAnsiTheme="minorHAnsi"/>
                <w:color w:val="000000"/>
                <w:szCs w:val="24"/>
              </w:rPr>
              <w:t>100.3</w:t>
            </w:r>
          </w:p>
        </w:tc>
        <w:tc>
          <w:tcPr>
            <w:tcW w:w="1165" w:type="dxa"/>
            <w:shd w:val="clear" w:color="000000" w:fill="FFFFFF"/>
            <w:vAlign w:val="center"/>
            <w:hideMark/>
          </w:tcPr>
          <w:p w14:paraId="48F94ADD" w14:textId="77777777" w:rsidR="00CF47C8" w:rsidRPr="00FC54A0" w:rsidRDefault="00CF47C8" w:rsidP="00A06B8B">
            <w:pPr>
              <w:jc w:val="center"/>
              <w:rPr>
                <w:rFonts w:asciiTheme="minorHAnsi" w:eastAsia="Times New Roman" w:hAnsiTheme="minorHAnsi"/>
                <w:color w:val="000000"/>
                <w:szCs w:val="24"/>
              </w:rPr>
            </w:pPr>
            <w:r w:rsidRPr="00FC54A0">
              <w:rPr>
                <w:rFonts w:asciiTheme="minorHAnsi" w:eastAsia="Times New Roman" w:hAnsiTheme="minorHAnsi"/>
                <w:color w:val="000000"/>
                <w:szCs w:val="24"/>
              </w:rPr>
              <w:t>16.4%</w:t>
            </w:r>
          </w:p>
        </w:tc>
      </w:tr>
    </w:tbl>
    <w:p w14:paraId="5A1FF8BD" w14:textId="77777777" w:rsidR="00CF47C8" w:rsidRDefault="00CF47C8" w:rsidP="00CF47C8">
      <w:pPr>
        <w:pStyle w:val="pf0"/>
        <w:spacing w:before="0" w:beforeAutospacing="0" w:after="120" w:afterAutospacing="0"/>
        <w:ind w:left="720"/>
        <w:rPr>
          <w:rStyle w:val="cf01"/>
          <w:rFonts w:ascii="Aptos" w:hAnsi="Aptos" w:cstheme="minorHAnsi"/>
          <w:sz w:val="22"/>
          <w:szCs w:val="22"/>
          <w:u w:val="single"/>
        </w:rPr>
      </w:pPr>
    </w:p>
    <w:p w14:paraId="17963DFC" w14:textId="6CFCF71A" w:rsidR="00CF47C8" w:rsidRPr="00FC54A0" w:rsidRDefault="00FF4EDE" w:rsidP="00FC54A0">
      <w:pPr>
        <w:jc w:val="center"/>
        <w:rPr>
          <w:rFonts w:asciiTheme="minorHAnsi" w:hAnsiTheme="minorHAnsi"/>
        </w:rPr>
      </w:pPr>
      <w:r w:rsidRPr="00FC54A0">
        <w:rPr>
          <w:rFonts w:asciiTheme="minorHAnsi" w:hAnsiTheme="minorHAnsi"/>
          <w:b/>
          <w:bCs/>
          <w:u w:val="single"/>
        </w:rPr>
        <w:t xml:space="preserve">Table </w:t>
      </w:r>
      <w:r w:rsidR="00A11C57">
        <w:rPr>
          <w:rFonts w:asciiTheme="minorHAnsi" w:hAnsiTheme="minorHAnsi"/>
          <w:b/>
          <w:bCs/>
          <w:u w:val="single"/>
        </w:rPr>
        <w:t>8</w:t>
      </w:r>
      <w:r w:rsidRPr="00FC54A0">
        <w:rPr>
          <w:rFonts w:asciiTheme="minorHAnsi" w:hAnsiTheme="minorHAnsi"/>
          <w:b/>
          <w:bCs/>
          <w:u w:val="single"/>
        </w:rPr>
        <w:t>:</w:t>
      </w:r>
      <w:r>
        <w:rPr>
          <w:rFonts w:asciiTheme="minorHAnsi" w:hAnsiTheme="minorHAnsi"/>
          <w:b/>
          <w:bCs/>
        </w:rPr>
        <w:t xml:space="preserve"> </w:t>
      </w:r>
      <w:r w:rsidR="00CF47C8" w:rsidRPr="00FC54A0">
        <w:rPr>
          <w:rFonts w:asciiTheme="minorHAnsi" w:hAnsiTheme="minorHAnsi"/>
          <w:b/>
          <w:bCs/>
        </w:rPr>
        <w:t>MGH Main Campus Endoscopy Wait Times (Days)</w:t>
      </w:r>
    </w:p>
    <w:tbl>
      <w:tblPr>
        <w:tblW w:w="9180" w:type="dxa"/>
        <w:tblInd w:w="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9"/>
        <w:gridCol w:w="938"/>
        <w:gridCol w:w="938"/>
        <w:gridCol w:w="938"/>
        <w:gridCol w:w="938"/>
        <w:gridCol w:w="1139"/>
      </w:tblGrid>
      <w:tr w:rsidR="00BA6997" w:rsidRPr="0060169F" w14:paraId="76A18689" w14:textId="77777777" w:rsidTr="004C5376">
        <w:trPr>
          <w:cantSplit/>
          <w:trHeight w:val="20"/>
          <w:tblHeader/>
        </w:trPr>
        <w:tc>
          <w:tcPr>
            <w:tcW w:w="4505" w:type="dxa"/>
            <w:shd w:val="clear" w:color="auto" w:fill="F2F2F2" w:themeFill="background1" w:themeFillShade="F2"/>
            <w:vAlign w:val="center"/>
          </w:tcPr>
          <w:p w14:paraId="79D49F6C" w14:textId="77777777" w:rsidR="00CF47C8" w:rsidRPr="00FC54A0" w:rsidRDefault="00CF47C8" w:rsidP="00A06B8B">
            <w:pPr>
              <w:rPr>
                <w:rFonts w:asciiTheme="minorHAnsi" w:eastAsia="Times New Roman" w:hAnsiTheme="minorHAnsi"/>
                <w:b/>
                <w:bCs/>
                <w:color w:val="000000"/>
                <w:szCs w:val="24"/>
              </w:rPr>
            </w:pPr>
            <w:r w:rsidRPr="00FC54A0">
              <w:rPr>
                <w:rFonts w:asciiTheme="minorHAnsi" w:eastAsia="Times New Roman" w:hAnsiTheme="minorHAnsi"/>
                <w:b/>
                <w:bCs/>
                <w:color w:val="000000"/>
                <w:szCs w:val="24"/>
              </w:rPr>
              <w:lastRenderedPageBreak/>
              <w:t>Endoscopy Procedure</w:t>
            </w:r>
          </w:p>
        </w:tc>
        <w:tc>
          <w:tcPr>
            <w:tcW w:w="877" w:type="dxa"/>
            <w:shd w:val="clear" w:color="auto" w:fill="F2F2F2" w:themeFill="background1" w:themeFillShade="F2"/>
            <w:vAlign w:val="center"/>
          </w:tcPr>
          <w:p w14:paraId="6CF4D8E2" w14:textId="66316E89" w:rsidR="00CF47C8" w:rsidRPr="00FC54A0" w:rsidRDefault="00CF47C8" w:rsidP="00A06B8B">
            <w:pPr>
              <w:jc w:val="center"/>
              <w:rPr>
                <w:rFonts w:asciiTheme="minorHAnsi" w:eastAsia="Times New Roman" w:hAnsiTheme="minorHAnsi"/>
                <w:color w:val="000000"/>
                <w:szCs w:val="24"/>
              </w:rPr>
            </w:pPr>
            <w:r w:rsidRPr="00FC54A0">
              <w:rPr>
                <w:rFonts w:asciiTheme="minorHAnsi" w:eastAsia="Times New Roman" w:hAnsiTheme="minorHAnsi"/>
                <w:b/>
                <w:bCs/>
                <w:color w:val="000000"/>
                <w:szCs w:val="24"/>
              </w:rPr>
              <w:t>FY</w:t>
            </w:r>
            <w:r w:rsidR="00BA6997">
              <w:rPr>
                <w:rFonts w:asciiTheme="minorHAnsi" w:eastAsia="Times New Roman" w:hAnsiTheme="minorHAnsi"/>
                <w:b/>
                <w:bCs/>
                <w:color w:val="000000"/>
                <w:szCs w:val="24"/>
              </w:rPr>
              <w:t>20</w:t>
            </w:r>
            <w:r w:rsidRPr="00FC54A0">
              <w:rPr>
                <w:rFonts w:asciiTheme="minorHAnsi" w:eastAsia="Times New Roman" w:hAnsiTheme="minorHAnsi"/>
                <w:b/>
                <w:bCs/>
                <w:color w:val="000000"/>
                <w:szCs w:val="24"/>
              </w:rPr>
              <w:t>22</w:t>
            </w:r>
          </w:p>
        </w:tc>
        <w:tc>
          <w:tcPr>
            <w:tcW w:w="878" w:type="dxa"/>
            <w:shd w:val="clear" w:color="auto" w:fill="F2F2F2" w:themeFill="background1" w:themeFillShade="F2"/>
            <w:vAlign w:val="center"/>
          </w:tcPr>
          <w:p w14:paraId="0831509D" w14:textId="257E6D53" w:rsidR="00CF47C8" w:rsidRPr="00FC54A0" w:rsidRDefault="00CF47C8" w:rsidP="00A06B8B">
            <w:pPr>
              <w:jc w:val="center"/>
              <w:rPr>
                <w:rFonts w:asciiTheme="minorHAnsi" w:eastAsia="Times New Roman" w:hAnsiTheme="minorHAnsi"/>
                <w:color w:val="000000"/>
                <w:szCs w:val="24"/>
              </w:rPr>
            </w:pPr>
            <w:r w:rsidRPr="00FC54A0">
              <w:rPr>
                <w:rFonts w:asciiTheme="minorHAnsi" w:eastAsia="Times New Roman" w:hAnsiTheme="minorHAnsi"/>
                <w:b/>
                <w:bCs/>
                <w:color w:val="000000"/>
                <w:szCs w:val="24"/>
              </w:rPr>
              <w:t>FY</w:t>
            </w:r>
            <w:r w:rsidR="00BA6997">
              <w:rPr>
                <w:rFonts w:asciiTheme="minorHAnsi" w:eastAsia="Times New Roman" w:hAnsiTheme="minorHAnsi"/>
                <w:b/>
                <w:bCs/>
                <w:color w:val="000000"/>
                <w:szCs w:val="24"/>
              </w:rPr>
              <w:t>20</w:t>
            </w:r>
            <w:r w:rsidRPr="00FC54A0">
              <w:rPr>
                <w:rFonts w:asciiTheme="minorHAnsi" w:eastAsia="Times New Roman" w:hAnsiTheme="minorHAnsi"/>
                <w:b/>
                <w:bCs/>
                <w:color w:val="000000"/>
                <w:szCs w:val="24"/>
              </w:rPr>
              <w:t>23</w:t>
            </w:r>
          </w:p>
        </w:tc>
        <w:tc>
          <w:tcPr>
            <w:tcW w:w="877" w:type="dxa"/>
            <w:shd w:val="clear" w:color="auto" w:fill="F2F2F2" w:themeFill="background1" w:themeFillShade="F2"/>
            <w:vAlign w:val="center"/>
          </w:tcPr>
          <w:p w14:paraId="66EE49E9" w14:textId="7B641940" w:rsidR="00CF47C8" w:rsidRPr="00FC54A0" w:rsidRDefault="00CF47C8" w:rsidP="00A06B8B">
            <w:pPr>
              <w:jc w:val="center"/>
              <w:rPr>
                <w:rFonts w:asciiTheme="minorHAnsi" w:eastAsia="Times New Roman" w:hAnsiTheme="minorHAnsi"/>
                <w:color w:val="000000"/>
                <w:szCs w:val="24"/>
              </w:rPr>
            </w:pPr>
            <w:r w:rsidRPr="00FC54A0">
              <w:rPr>
                <w:rFonts w:asciiTheme="minorHAnsi" w:eastAsia="Times New Roman" w:hAnsiTheme="minorHAnsi"/>
                <w:b/>
                <w:bCs/>
                <w:color w:val="000000"/>
                <w:szCs w:val="24"/>
              </w:rPr>
              <w:t>FY</w:t>
            </w:r>
            <w:r w:rsidR="00BA6997">
              <w:rPr>
                <w:rFonts w:asciiTheme="minorHAnsi" w:eastAsia="Times New Roman" w:hAnsiTheme="minorHAnsi"/>
                <w:b/>
                <w:bCs/>
                <w:color w:val="000000"/>
                <w:szCs w:val="24"/>
              </w:rPr>
              <w:t>20</w:t>
            </w:r>
            <w:r w:rsidRPr="00FC54A0">
              <w:rPr>
                <w:rFonts w:asciiTheme="minorHAnsi" w:eastAsia="Times New Roman" w:hAnsiTheme="minorHAnsi"/>
                <w:b/>
                <w:bCs/>
                <w:color w:val="000000"/>
                <w:szCs w:val="24"/>
              </w:rPr>
              <w:t>24</w:t>
            </w:r>
          </w:p>
        </w:tc>
        <w:tc>
          <w:tcPr>
            <w:tcW w:w="878" w:type="dxa"/>
            <w:shd w:val="clear" w:color="auto" w:fill="F2F2F2" w:themeFill="background1" w:themeFillShade="F2"/>
            <w:vAlign w:val="center"/>
          </w:tcPr>
          <w:p w14:paraId="5E96564B" w14:textId="00969FB5" w:rsidR="00CF47C8" w:rsidRPr="00FC54A0" w:rsidRDefault="00CF47C8" w:rsidP="00A06B8B">
            <w:pPr>
              <w:jc w:val="center"/>
              <w:rPr>
                <w:rFonts w:asciiTheme="minorHAnsi" w:eastAsia="Times New Roman" w:hAnsiTheme="minorHAnsi"/>
                <w:color w:val="000000"/>
                <w:szCs w:val="24"/>
              </w:rPr>
            </w:pPr>
            <w:r w:rsidRPr="00FC54A0">
              <w:rPr>
                <w:rFonts w:asciiTheme="minorHAnsi" w:eastAsia="Times New Roman" w:hAnsiTheme="minorHAnsi"/>
                <w:b/>
                <w:bCs/>
                <w:color w:val="000000"/>
                <w:szCs w:val="24"/>
              </w:rPr>
              <w:t>FY</w:t>
            </w:r>
            <w:r w:rsidR="00BA6997">
              <w:rPr>
                <w:rFonts w:asciiTheme="minorHAnsi" w:eastAsia="Times New Roman" w:hAnsiTheme="minorHAnsi"/>
                <w:b/>
                <w:bCs/>
                <w:color w:val="000000"/>
                <w:szCs w:val="24"/>
              </w:rPr>
              <w:t>20</w:t>
            </w:r>
            <w:r w:rsidRPr="00FC54A0">
              <w:rPr>
                <w:rFonts w:asciiTheme="minorHAnsi" w:eastAsia="Times New Roman" w:hAnsiTheme="minorHAnsi"/>
                <w:b/>
                <w:bCs/>
                <w:color w:val="000000"/>
                <w:szCs w:val="24"/>
              </w:rPr>
              <w:t>25</w:t>
            </w:r>
          </w:p>
        </w:tc>
        <w:tc>
          <w:tcPr>
            <w:tcW w:w="1165" w:type="dxa"/>
            <w:shd w:val="clear" w:color="auto" w:fill="F2F2F2" w:themeFill="background1" w:themeFillShade="F2"/>
            <w:vAlign w:val="center"/>
          </w:tcPr>
          <w:p w14:paraId="4879759B" w14:textId="1648C6BB" w:rsidR="00CF47C8" w:rsidRPr="00FC54A0" w:rsidRDefault="00BA6997" w:rsidP="00A06B8B">
            <w:pPr>
              <w:jc w:val="center"/>
              <w:rPr>
                <w:rFonts w:asciiTheme="minorHAnsi" w:eastAsia="Times New Roman" w:hAnsiTheme="minorHAnsi"/>
                <w:color w:val="000000"/>
                <w:szCs w:val="24"/>
              </w:rPr>
            </w:pPr>
            <w:r>
              <w:rPr>
                <w:rFonts w:asciiTheme="minorHAnsi" w:eastAsia="Times New Roman" w:hAnsiTheme="minorHAnsi"/>
                <w:b/>
                <w:bCs/>
                <w:color w:val="000000"/>
                <w:szCs w:val="24"/>
              </w:rPr>
              <w:t xml:space="preserve">Percent Change from </w:t>
            </w:r>
            <w:r w:rsidR="00CF47C8" w:rsidRPr="00FC54A0">
              <w:rPr>
                <w:rFonts w:asciiTheme="minorHAnsi" w:eastAsia="Times New Roman" w:hAnsiTheme="minorHAnsi"/>
                <w:b/>
                <w:bCs/>
                <w:color w:val="000000"/>
                <w:szCs w:val="24"/>
              </w:rPr>
              <w:t>FY</w:t>
            </w:r>
            <w:r>
              <w:rPr>
                <w:rFonts w:asciiTheme="minorHAnsi" w:eastAsia="Times New Roman" w:hAnsiTheme="minorHAnsi"/>
                <w:b/>
                <w:bCs/>
                <w:color w:val="000000"/>
                <w:szCs w:val="24"/>
              </w:rPr>
              <w:t>20</w:t>
            </w:r>
            <w:r w:rsidR="00CF47C8" w:rsidRPr="00FC54A0">
              <w:rPr>
                <w:rFonts w:asciiTheme="minorHAnsi" w:eastAsia="Times New Roman" w:hAnsiTheme="minorHAnsi"/>
                <w:b/>
                <w:bCs/>
                <w:color w:val="000000"/>
                <w:szCs w:val="24"/>
              </w:rPr>
              <w:t>22-FY</w:t>
            </w:r>
            <w:r>
              <w:rPr>
                <w:rFonts w:asciiTheme="minorHAnsi" w:eastAsia="Times New Roman" w:hAnsiTheme="minorHAnsi"/>
                <w:b/>
                <w:bCs/>
                <w:color w:val="000000"/>
                <w:szCs w:val="24"/>
              </w:rPr>
              <w:t>20</w:t>
            </w:r>
            <w:r w:rsidR="00CF47C8" w:rsidRPr="00FC54A0">
              <w:rPr>
                <w:rFonts w:asciiTheme="minorHAnsi" w:eastAsia="Times New Roman" w:hAnsiTheme="minorHAnsi"/>
                <w:b/>
                <w:bCs/>
                <w:color w:val="000000"/>
                <w:szCs w:val="24"/>
              </w:rPr>
              <w:t>25</w:t>
            </w:r>
          </w:p>
        </w:tc>
      </w:tr>
      <w:tr w:rsidR="00BA6997" w:rsidRPr="0060169F" w14:paraId="36ADAE6D" w14:textId="77777777" w:rsidTr="004C5376">
        <w:trPr>
          <w:cantSplit/>
          <w:trHeight w:val="20"/>
        </w:trPr>
        <w:tc>
          <w:tcPr>
            <w:tcW w:w="4505" w:type="dxa"/>
            <w:shd w:val="clear" w:color="000000" w:fill="FFFFFF"/>
            <w:vAlign w:val="center"/>
            <w:hideMark/>
          </w:tcPr>
          <w:p w14:paraId="2DB31DB2" w14:textId="77777777" w:rsidR="00CF47C8" w:rsidRPr="00FC54A0" w:rsidRDefault="00CF47C8" w:rsidP="00A06B8B">
            <w:pPr>
              <w:rPr>
                <w:rFonts w:asciiTheme="minorHAnsi" w:eastAsia="Times New Roman" w:hAnsiTheme="minorHAnsi"/>
                <w:color w:val="000000"/>
                <w:szCs w:val="24"/>
              </w:rPr>
            </w:pPr>
            <w:r w:rsidRPr="00FC54A0">
              <w:rPr>
                <w:rFonts w:asciiTheme="minorHAnsi" w:eastAsia="Times New Roman" w:hAnsiTheme="minorHAnsi"/>
                <w:color w:val="000000"/>
                <w:szCs w:val="24"/>
              </w:rPr>
              <w:t>Colonoscopy</w:t>
            </w:r>
          </w:p>
        </w:tc>
        <w:tc>
          <w:tcPr>
            <w:tcW w:w="877" w:type="dxa"/>
            <w:shd w:val="clear" w:color="000000" w:fill="FFFFFF"/>
            <w:vAlign w:val="center"/>
            <w:hideMark/>
          </w:tcPr>
          <w:p w14:paraId="4B870D1B" w14:textId="77777777" w:rsidR="00CF47C8" w:rsidRPr="00FC54A0" w:rsidRDefault="00CF47C8" w:rsidP="00A06B8B">
            <w:pPr>
              <w:jc w:val="center"/>
              <w:rPr>
                <w:rFonts w:asciiTheme="minorHAnsi" w:eastAsia="Times New Roman" w:hAnsiTheme="minorHAnsi"/>
                <w:color w:val="000000"/>
                <w:szCs w:val="24"/>
              </w:rPr>
            </w:pPr>
            <w:r w:rsidRPr="00FC54A0">
              <w:rPr>
                <w:rFonts w:asciiTheme="minorHAnsi" w:eastAsia="Times New Roman" w:hAnsiTheme="minorHAnsi"/>
                <w:color w:val="000000"/>
                <w:szCs w:val="24"/>
              </w:rPr>
              <w:t>121.8</w:t>
            </w:r>
          </w:p>
        </w:tc>
        <w:tc>
          <w:tcPr>
            <w:tcW w:w="878" w:type="dxa"/>
            <w:shd w:val="clear" w:color="000000" w:fill="FFFFFF"/>
            <w:vAlign w:val="center"/>
            <w:hideMark/>
          </w:tcPr>
          <w:p w14:paraId="170E9DAD" w14:textId="77777777" w:rsidR="00CF47C8" w:rsidRPr="00FC54A0" w:rsidRDefault="00CF47C8" w:rsidP="00A06B8B">
            <w:pPr>
              <w:jc w:val="center"/>
              <w:rPr>
                <w:rFonts w:asciiTheme="minorHAnsi" w:eastAsia="Times New Roman" w:hAnsiTheme="minorHAnsi"/>
                <w:color w:val="000000"/>
                <w:szCs w:val="24"/>
              </w:rPr>
            </w:pPr>
            <w:r w:rsidRPr="00FC54A0">
              <w:rPr>
                <w:rFonts w:asciiTheme="minorHAnsi" w:eastAsia="Times New Roman" w:hAnsiTheme="minorHAnsi"/>
                <w:color w:val="000000"/>
                <w:szCs w:val="24"/>
              </w:rPr>
              <w:t>164.5</w:t>
            </w:r>
          </w:p>
        </w:tc>
        <w:tc>
          <w:tcPr>
            <w:tcW w:w="877" w:type="dxa"/>
            <w:shd w:val="clear" w:color="000000" w:fill="FFFFFF"/>
            <w:vAlign w:val="center"/>
            <w:hideMark/>
          </w:tcPr>
          <w:p w14:paraId="26C3B9A9" w14:textId="77777777" w:rsidR="00CF47C8" w:rsidRPr="00FC54A0" w:rsidRDefault="00CF47C8" w:rsidP="00A06B8B">
            <w:pPr>
              <w:jc w:val="center"/>
              <w:rPr>
                <w:rFonts w:asciiTheme="minorHAnsi" w:eastAsia="Times New Roman" w:hAnsiTheme="minorHAnsi"/>
                <w:color w:val="000000"/>
                <w:szCs w:val="24"/>
              </w:rPr>
            </w:pPr>
            <w:r w:rsidRPr="00FC54A0">
              <w:rPr>
                <w:rFonts w:asciiTheme="minorHAnsi" w:eastAsia="Times New Roman" w:hAnsiTheme="minorHAnsi"/>
                <w:color w:val="000000"/>
                <w:szCs w:val="24"/>
              </w:rPr>
              <w:t>162.8</w:t>
            </w:r>
          </w:p>
        </w:tc>
        <w:tc>
          <w:tcPr>
            <w:tcW w:w="878" w:type="dxa"/>
            <w:shd w:val="clear" w:color="000000" w:fill="FFFFFF"/>
            <w:vAlign w:val="center"/>
            <w:hideMark/>
          </w:tcPr>
          <w:p w14:paraId="3DB64AA2" w14:textId="77777777" w:rsidR="00CF47C8" w:rsidRPr="00FC54A0" w:rsidRDefault="00CF47C8" w:rsidP="00A06B8B">
            <w:pPr>
              <w:jc w:val="center"/>
              <w:rPr>
                <w:rFonts w:asciiTheme="minorHAnsi" w:eastAsia="Times New Roman" w:hAnsiTheme="minorHAnsi"/>
                <w:color w:val="000000"/>
                <w:szCs w:val="24"/>
              </w:rPr>
            </w:pPr>
            <w:r w:rsidRPr="00FC54A0">
              <w:rPr>
                <w:rFonts w:asciiTheme="minorHAnsi" w:eastAsia="Times New Roman" w:hAnsiTheme="minorHAnsi"/>
                <w:color w:val="000000"/>
                <w:szCs w:val="24"/>
              </w:rPr>
              <w:t>148.1</w:t>
            </w:r>
          </w:p>
        </w:tc>
        <w:tc>
          <w:tcPr>
            <w:tcW w:w="1165" w:type="dxa"/>
            <w:shd w:val="clear" w:color="000000" w:fill="FFFFFF"/>
            <w:vAlign w:val="center"/>
            <w:hideMark/>
          </w:tcPr>
          <w:p w14:paraId="1559F236" w14:textId="77777777" w:rsidR="00CF47C8" w:rsidRPr="00FC54A0" w:rsidRDefault="00CF47C8" w:rsidP="00A06B8B">
            <w:pPr>
              <w:jc w:val="center"/>
              <w:rPr>
                <w:rFonts w:asciiTheme="minorHAnsi" w:eastAsia="Times New Roman" w:hAnsiTheme="minorHAnsi"/>
                <w:color w:val="000000"/>
                <w:szCs w:val="24"/>
              </w:rPr>
            </w:pPr>
            <w:r w:rsidRPr="00FC54A0">
              <w:rPr>
                <w:rFonts w:asciiTheme="minorHAnsi" w:eastAsia="Times New Roman" w:hAnsiTheme="minorHAnsi"/>
                <w:color w:val="000000"/>
                <w:szCs w:val="24"/>
              </w:rPr>
              <w:t>21.6%</w:t>
            </w:r>
          </w:p>
        </w:tc>
      </w:tr>
      <w:tr w:rsidR="00BA6997" w:rsidRPr="0060169F" w14:paraId="3C9F5238" w14:textId="77777777" w:rsidTr="004C5376">
        <w:trPr>
          <w:cantSplit/>
          <w:trHeight w:val="20"/>
        </w:trPr>
        <w:tc>
          <w:tcPr>
            <w:tcW w:w="4505" w:type="dxa"/>
            <w:shd w:val="clear" w:color="000000" w:fill="FFFFFF"/>
            <w:vAlign w:val="center"/>
            <w:hideMark/>
          </w:tcPr>
          <w:p w14:paraId="400956E7" w14:textId="77777777" w:rsidR="00CF47C8" w:rsidRPr="00FC54A0" w:rsidRDefault="00CF47C8" w:rsidP="00A06B8B">
            <w:pPr>
              <w:rPr>
                <w:rFonts w:asciiTheme="minorHAnsi" w:eastAsia="Times New Roman" w:hAnsiTheme="minorHAnsi"/>
                <w:color w:val="000000"/>
                <w:szCs w:val="24"/>
              </w:rPr>
            </w:pPr>
            <w:r w:rsidRPr="00FC54A0">
              <w:rPr>
                <w:rFonts w:asciiTheme="minorHAnsi" w:eastAsia="Times New Roman" w:hAnsiTheme="minorHAnsi"/>
                <w:color w:val="000000"/>
                <w:szCs w:val="24"/>
              </w:rPr>
              <w:t>Endoscopic Retrograde Cholangiopancreatography</w:t>
            </w:r>
          </w:p>
        </w:tc>
        <w:tc>
          <w:tcPr>
            <w:tcW w:w="877" w:type="dxa"/>
            <w:shd w:val="clear" w:color="000000" w:fill="FFFFFF"/>
            <w:vAlign w:val="center"/>
            <w:hideMark/>
          </w:tcPr>
          <w:p w14:paraId="4157A473" w14:textId="77777777" w:rsidR="00CF47C8" w:rsidRPr="00FC54A0" w:rsidRDefault="00CF47C8" w:rsidP="00A06B8B">
            <w:pPr>
              <w:jc w:val="center"/>
              <w:rPr>
                <w:rFonts w:asciiTheme="minorHAnsi" w:eastAsia="Times New Roman" w:hAnsiTheme="minorHAnsi"/>
                <w:color w:val="000000"/>
                <w:szCs w:val="24"/>
              </w:rPr>
            </w:pPr>
            <w:r w:rsidRPr="00FC54A0">
              <w:rPr>
                <w:rFonts w:asciiTheme="minorHAnsi" w:eastAsia="Times New Roman" w:hAnsiTheme="minorHAnsi"/>
                <w:color w:val="000000"/>
                <w:szCs w:val="24"/>
              </w:rPr>
              <w:t>41.9</w:t>
            </w:r>
          </w:p>
        </w:tc>
        <w:tc>
          <w:tcPr>
            <w:tcW w:w="878" w:type="dxa"/>
            <w:shd w:val="clear" w:color="000000" w:fill="FFFFFF"/>
            <w:vAlign w:val="center"/>
            <w:hideMark/>
          </w:tcPr>
          <w:p w14:paraId="5A4CA305" w14:textId="77777777" w:rsidR="00CF47C8" w:rsidRPr="00FC54A0" w:rsidRDefault="00CF47C8" w:rsidP="00A06B8B">
            <w:pPr>
              <w:jc w:val="center"/>
              <w:rPr>
                <w:rFonts w:asciiTheme="minorHAnsi" w:eastAsia="Times New Roman" w:hAnsiTheme="minorHAnsi"/>
                <w:color w:val="000000"/>
                <w:szCs w:val="24"/>
              </w:rPr>
            </w:pPr>
            <w:r w:rsidRPr="00FC54A0">
              <w:rPr>
                <w:rFonts w:asciiTheme="minorHAnsi" w:eastAsia="Times New Roman" w:hAnsiTheme="minorHAnsi"/>
                <w:color w:val="000000"/>
                <w:szCs w:val="24"/>
              </w:rPr>
              <w:t>47.2</w:t>
            </w:r>
          </w:p>
        </w:tc>
        <w:tc>
          <w:tcPr>
            <w:tcW w:w="877" w:type="dxa"/>
            <w:shd w:val="clear" w:color="000000" w:fill="FFFFFF"/>
            <w:vAlign w:val="center"/>
            <w:hideMark/>
          </w:tcPr>
          <w:p w14:paraId="4916EF73" w14:textId="77777777" w:rsidR="00CF47C8" w:rsidRPr="00FC54A0" w:rsidRDefault="00CF47C8" w:rsidP="00A06B8B">
            <w:pPr>
              <w:jc w:val="center"/>
              <w:rPr>
                <w:rFonts w:asciiTheme="minorHAnsi" w:eastAsia="Times New Roman" w:hAnsiTheme="minorHAnsi"/>
                <w:color w:val="000000"/>
                <w:szCs w:val="24"/>
              </w:rPr>
            </w:pPr>
            <w:r w:rsidRPr="00FC54A0">
              <w:rPr>
                <w:rFonts w:asciiTheme="minorHAnsi" w:eastAsia="Times New Roman" w:hAnsiTheme="minorHAnsi"/>
                <w:color w:val="000000"/>
                <w:szCs w:val="24"/>
              </w:rPr>
              <w:t>51.5</w:t>
            </w:r>
          </w:p>
        </w:tc>
        <w:tc>
          <w:tcPr>
            <w:tcW w:w="878" w:type="dxa"/>
            <w:shd w:val="clear" w:color="000000" w:fill="FFFFFF"/>
            <w:vAlign w:val="center"/>
            <w:hideMark/>
          </w:tcPr>
          <w:p w14:paraId="0FECF98E" w14:textId="77777777" w:rsidR="00CF47C8" w:rsidRPr="00FC54A0" w:rsidRDefault="00CF47C8" w:rsidP="00A06B8B">
            <w:pPr>
              <w:jc w:val="center"/>
              <w:rPr>
                <w:rFonts w:asciiTheme="minorHAnsi" w:eastAsia="Times New Roman" w:hAnsiTheme="minorHAnsi"/>
                <w:color w:val="000000"/>
                <w:szCs w:val="24"/>
              </w:rPr>
            </w:pPr>
            <w:r w:rsidRPr="00FC54A0">
              <w:rPr>
                <w:rFonts w:asciiTheme="minorHAnsi" w:eastAsia="Times New Roman" w:hAnsiTheme="minorHAnsi"/>
                <w:color w:val="000000"/>
                <w:szCs w:val="24"/>
              </w:rPr>
              <w:t>51.5</w:t>
            </w:r>
          </w:p>
        </w:tc>
        <w:tc>
          <w:tcPr>
            <w:tcW w:w="1165" w:type="dxa"/>
            <w:shd w:val="clear" w:color="000000" w:fill="FFFFFF"/>
            <w:vAlign w:val="center"/>
            <w:hideMark/>
          </w:tcPr>
          <w:p w14:paraId="112E69D9" w14:textId="77777777" w:rsidR="00CF47C8" w:rsidRPr="00FC54A0" w:rsidRDefault="00CF47C8" w:rsidP="00A06B8B">
            <w:pPr>
              <w:jc w:val="center"/>
              <w:rPr>
                <w:rFonts w:asciiTheme="minorHAnsi" w:eastAsia="Times New Roman" w:hAnsiTheme="minorHAnsi"/>
                <w:color w:val="000000"/>
                <w:szCs w:val="24"/>
              </w:rPr>
            </w:pPr>
            <w:r w:rsidRPr="00FC54A0">
              <w:rPr>
                <w:rFonts w:asciiTheme="minorHAnsi" w:eastAsia="Times New Roman" w:hAnsiTheme="minorHAnsi"/>
                <w:color w:val="000000"/>
                <w:szCs w:val="24"/>
              </w:rPr>
              <w:t>22.9%</w:t>
            </w:r>
          </w:p>
        </w:tc>
      </w:tr>
      <w:tr w:rsidR="00BA6997" w:rsidRPr="0060169F" w14:paraId="6A3E3D44" w14:textId="77777777" w:rsidTr="004C5376">
        <w:trPr>
          <w:cantSplit/>
          <w:trHeight w:val="20"/>
        </w:trPr>
        <w:tc>
          <w:tcPr>
            <w:tcW w:w="4505" w:type="dxa"/>
            <w:shd w:val="clear" w:color="000000" w:fill="FFFFFF"/>
            <w:vAlign w:val="center"/>
            <w:hideMark/>
          </w:tcPr>
          <w:p w14:paraId="47220483" w14:textId="77777777" w:rsidR="00CF47C8" w:rsidRPr="00FC54A0" w:rsidRDefault="00CF47C8" w:rsidP="00A06B8B">
            <w:pPr>
              <w:rPr>
                <w:rFonts w:asciiTheme="minorHAnsi" w:eastAsia="Times New Roman" w:hAnsiTheme="minorHAnsi"/>
                <w:color w:val="000000"/>
                <w:szCs w:val="24"/>
              </w:rPr>
            </w:pPr>
            <w:r w:rsidRPr="00FC54A0">
              <w:rPr>
                <w:rFonts w:asciiTheme="minorHAnsi" w:eastAsia="Times New Roman" w:hAnsiTheme="minorHAnsi"/>
                <w:color w:val="000000"/>
                <w:szCs w:val="24"/>
              </w:rPr>
              <w:t>Esophagogastroduodenoscopy</w:t>
            </w:r>
          </w:p>
        </w:tc>
        <w:tc>
          <w:tcPr>
            <w:tcW w:w="877" w:type="dxa"/>
            <w:shd w:val="clear" w:color="000000" w:fill="FFFFFF"/>
            <w:vAlign w:val="center"/>
            <w:hideMark/>
          </w:tcPr>
          <w:p w14:paraId="7F13EB14" w14:textId="77777777" w:rsidR="00CF47C8" w:rsidRPr="00FC54A0" w:rsidRDefault="00CF47C8" w:rsidP="00A06B8B">
            <w:pPr>
              <w:jc w:val="center"/>
              <w:rPr>
                <w:rFonts w:asciiTheme="minorHAnsi" w:eastAsia="Times New Roman" w:hAnsiTheme="minorHAnsi"/>
                <w:color w:val="000000"/>
                <w:szCs w:val="24"/>
              </w:rPr>
            </w:pPr>
            <w:r w:rsidRPr="00FC54A0">
              <w:rPr>
                <w:rFonts w:asciiTheme="minorHAnsi" w:eastAsia="Times New Roman" w:hAnsiTheme="minorHAnsi"/>
                <w:color w:val="000000"/>
                <w:szCs w:val="24"/>
              </w:rPr>
              <w:t>77.2</w:t>
            </w:r>
          </w:p>
        </w:tc>
        <w:tc>
          <w:tcPr>
            <w:tcW w:w="878" w:type="dxa"/>
            <w:shd w:val="clear" w:color="000000" w:fill="FFFFFF"/>
            <w:vAlign w:val="center"/>
            <w:hideMark/>
          </w:tcPr>
          <w:p w14:paraId="3A2E6822" w14:textId="77777777" w:rsidR="00CF47C8" w:rsidRPr="00FC54A0" w:rsidRDefault="00CF47C8" w:rsidP="00A06B8B">
            <w:pPr>
              <w:jc w:val="center"/>
              <w:rPr>
                <w:rFonts w:asciiTheme="minorHAnsi" w:eastAsia="Times New Roman" w:hAnsiTheme="minorHAnsi"/>
                <w:color w:val="000000"/>
                <w:szCs w:val="24"/>
              </w:rPr>
            </w:pPr>
            <w:r w:rsidRPr="00FC54A0">
              <w:rPr>
                <w:rFonts w:asciiTheme="minorHAnsi" w:eastAsia="Times New Roman" w:hAnsiTheme="minorHAnsi"/>
                <w:color w:val="000000"/>
                <w:szCs w:val="24"/>
              </w:rPr>
              <w:t>92.7</w:t>
            </w:r>
          </w:p>
        </w:tc>
        <w:tc>
          <w:tcPr>
            <w:tcW w:w="877" w:type="dxa"/>
            <w:shd w:val="clear" w:color="000000" w:fill="FFFFFF"/>
            <w:vAlign w:val="center"/>
            <w:hideMark/>
          </w:tcPr>
          <w:p w14:paraId="215DC296" w14:textId="77777777" w:rsidR="00CF47C8" w:rsidRPr="00FC54A0" w:rsidRDefault="00CF47C8" w:rsidP="00A06B8B">
            <w:pPr>
              <w:jc w:val="center"/>
              <w:rPr>
                <w:rFonts w:asciiTheme="minorHAnsi" w:eastAsia="Times New Roman" w:hAnsiTheme="minorHAnsi"/>
                <w:color w:val="000000"/>
                <w:szCs w:val="24"/>
              </w:rPr>
            </w:pPr>
            <w:r w:rsidRPr="00FC54A0">
              <w:rPr>
                <w:rFonts w:asciiTheme="minorHAnsi" w:eastAsia="Times New Roman" w:hAnsiTheme="minorHAnsi"/>
                <w:color w:val="000000"/>
                <w:szCs w:val="24"/>
              </w:rPr>
              <w:t>84.1</w:t>
            </w:r>
          </w:p>
        </w:tc>
        <w:tc>
          <w:tcPr>
            <w:tcW w:w="878" w:type="dxa"/>
            <w:shd w:val="clear" w:color="000000" w:fill="FFFFFF"/>
            <w:vAlign w:val="center"/>
            <w:hideMark/>
          </w:tcPr>
          <w:p w14:paraId="24FEACFD" w14:textId="77777777" w:rsidR="00CF47C8" w:rsidRPr="00FC54A0" w:rsidRDefault="00CF47C8" w:rsidP="00A06B8B">
            <w:pPr>
              <w:jc w:val="center"/>
              <w:rPr>
                <w:rFonts w:asciiTheme="minorHAnsi" w:eastAsia="Times New Roman" w:hAnsiTheme="minorHAnsi"/>
                <w:color w:val="000000"/>
                <w:szCs w:val="24"/>
              </w:rPr>
            </w:pPr>
            <w:r w:rsidRPr="00FC54A0">
              <w:rPr>
                <w:rFonts w:asciiTheme="minorHAnsi" w:eastAsia="Times New Roman" w:hAnsiTheme="minorHAnsi"/>
                <w:color w:val="000000"/>
                <w:szCs w:val="24"/>
              </w:rPr>
              <w:t>86.6</w:t>
            </w:r>
          </w:p>
        </w:tc>
        <w:tc>
          <w:tcPr>
            <w:tcW w:w="1165" w:type="dxa"/>
            <w:shd w:val="clear" w:color="000000" w:fill="FFFFFF"/>
            <w:vAlign w:val="center"/>
            <w:hideMark/>
          </w:tcPr>
          <w:p w14:paraId="593F3E19" w14:textId="77777777" w:rsidR="00CF47C8" w:rsidRPr="00FC54A0" w:rsidRDefault="00CF47C8" w:rsidP="00A06B8B">
            <w:pPr>
              <w:jc w:val="center"/>
              <w:rPr>
                <w:rFonts w:asciiTheme="minorHAnsi" w:eastAsia="Times New Roman" w:hAnsiTheme="minorHAnsi"/>
                <w:color w:val="000000"/>
                <w:szCs w:val="24"/>
              </w:rPr>
            </w:pPr>
            <w:r w:rsidRPr="00FC54A0">
              <w:rPr>
                <w:rFonts w:asciiTheme="minorHAnsi" w:eastAsia="Times New Roman" w:hAnsiTheme="minorHAnsi"/>
                <w:color w:val="000000"/>
                <w:szCs w:val="24"/>
              </w:rPr>
              <w:t>12.2%</w:t>
            </w:r>
          </w:p>
        </w:tc>
      </w:tr>
      <w:tr w:rsidR="00BA6997" w:rsidRPr="0060169F" w14:paraId="4BA1CB5C" w14:textId="77777777" w:rsidTr="004C5376">
        <w:trPr>
          <w:cantSplit/>
          <w:trHeight w:val="20"/>
        </w:trPr>
        <w:tc>
          <w:tcPr>
            <w:tcW w:w="4505" w:type="dxa"/>
            <w:shd w:val="clear" w:color="000000" w:fill="FFFFFF"/>
            <w:vAlign w:val="center"/>
            <w:hideMark/>
          </w:tcPr>
          <w:p w14:paraId="70C14107" w14:textId="77777777" w:rsidR="00CF47C8" w:rsidRPr="00FC54A0" w:rsidRDefault="00CF47C8" w:rsidP="00A06B8B">
            <w:pPr>
              <w:rPr>
                <w:rFonts w:asciiTheme="minorHAnsi" w:eastAsia="Times New Roman" w:hAnsiTheme="minorHAnsi"/>
                <w:color w:val="000000"/>
                <w:szCs w:val="24"/>
              </w:rPr>
            </w:pPr>
            <w:r w:rsidRPr="00FC54A0">
              <w:rPr>
                <w:rFonts w:asciiTheme="minorHAnsi" w:eastAsia="Times New Roman" w:hAnsiTheme="minorHAnsi"/>
                <w:color w:val="000000"/>
                <w:szCs w:val="24"/>
              </w:rPr>
              <w:t>Gastroscopy Flexible</w:t>
            </w:r>
          </w:p>
        </w:tc>
        <w:tc>
          <w:tcPr>
            <w:tcW w:w="877" w:type="dxa"/>
            <w:shd w:val="clear" w:color="000000" w:fill="FFFFFF"/>
            <w:vAlign w:val="center"/>
            <w:hideMark/>
          </w:tcPr>
          <w:p w14:paraId="40E895E4" w14:textId="77777777" w:rsidR="00CF47C8" w:rsidRPr="00FC54A0" w:rsidRDefault="00CF47C8" w:rsidP="00A06B8B">
            <w:pPr>
              <w:jc w:val="center"/>
              <w:rPr>
                <w:rFonts w:asciiTheme="minorHAnsi" w:eastAsia="Times New Roman" w:hAnsiTheme="minorHAnsi"/>
                <w:color w:val="000000"/>
                <w:szCs w:val="24"/>
              </w:rPr>
            </w:pPr>
            <w:r w:rsidRPr="00FC54A0">
              <w:rPr>
                <w:rFonts w:asciiTheme="minorHAnsi" w:eastAsia="Times New Roman" w:hAnsiTheme="minorHAnsi"/>
                <w:color w:val="000000"/>
                <w:szCs w:val="24"/>
              </w:rPr>
              <w:t>62.4</w:t>
            </w:r>
          </w:p>
        </w:tc>
        <w:tc>
          <w:tcPr>
            <w:tcW w:w="878" w:type="dxa"/>
            <w:shd w:val="clear" w:color="000000" w:fill="FFFFFF"/>
            <w:vAlign w:val="center"/>
            <w:hideMark/>
          </w:tcPr>
          <w:p w14:paraId="35CB187B" w14:textId="77777777" w:rsidR="00CF47C8" w:rsidRPr="00FC54A0" w:rsidRDefault="00CF47C8" w:rsidP="00A06B8B">
            <w:pPr>
              <w:jc w:val="center"/>
              <w:rPr>
                <w:rFonts w:asciiTheme="minorHAnsi" w:eastAsia="Times New Roman" w:hAnsiTheme="minorHAnsi"/>
                <w:color w:val="000000"/>
                <w:szCs w:val="24"/>
              </w:rPr>
            </w:pPr>
            <w:r w:rsidRPr="00FC54A0">
              <w:rPr>
                <w:rFonts w:asciiTheme="minorHAnsi" w:eastAsia="Times New Roman" w:hAnsiTheme="minorHAnsi"/>
                <w:color w:val="000000"/>
                <w:szCs w:val="24"/>
              </w:rPr>
              <w:t>66.9</w:t>
            </w:r>
          </w:p>
        </w:tc>
        <w:tc>
          <w:tcPr>
            <w:tcW w:w="877" w:type="dxa"/>
            <w:shd w:val="clear" w:color="000000" w:fill="FFFFFF"/>
            <w:vAlign w:val="center"/>
            <w:hideMark/>
          </w:tcPr>
          <w:p w14:paraId="4B76F98E" w14:textId="77777777" w:rsidR="00CF47C8" w:rsidRPr="00FC54A0" w:rsidRDefault="00CF47C8" w:rsidP="00A06B8B">
            <w:pPr>
              <w:jc w:val="center"/>
              <w:rPr>
                <w:rFonts w:asciiTheme="minorHAnsi" w:eastAsia="Times New Roman" w:hAnsiTheme="minorHAnsi"/>
                <w:color w:val="000000"/>
                <w:szCs w:val="24"/>
              </w:rPr>
            </w:pPr>
            <w:r w:rsidRPr="00FC54A0">
              <w:rPr>
                <w:rFonts w:asciiTheme="minorHAnsi" w:eastAsia="Times New Roman" w:hAnsiTheme="minorHAnsi"/>
                <w:color w:val="000000"/>
                <w:szCs w:val="24"/>
              </w:rPr>
              <w:t>70.5</w:t>
            </w:r>
          </w:p>
        </w:tc>
        <w:tc>
          <w:tcPr>
            <w:tcW w:w="878" w:type="dxa"/>
            <w:shd w:val="clear" w:color="000000" w:fill="FFFFFF"/>
            <w:vAlign w:val="center"/>
            <w:hideMark/>
          </w:tcPr>
          <w:p w14:paraId="2E509261" w14:textId="77777777" w:rsidR="00CF47C8" w:rsidRPr="00FC54A0" w:rsidRDefault="00CF47C8" w:rsidP="00A06B8B">
            <w:pPr>
              <w:jc w:val="center"/>
              <w:rPr>
                <w:rFonts w:asciiTheme="minorHAnsi" w:eastAsia="Times New Roman" w:hAnsiTheme="minorHAnsi"/>
                <w:color w:val="000000"/>
                <w:szCs w:val="24"/>
              </w:rPr>
            </w:pPr>
            <w:r w:rsidRPr="00FC54A0">
              <w:rPr>
                <w:rFonts w:asciiTheme="minorHAnsi" w:eastAsia="Times New Roman" w:hAnsiTheme="minorHAnsi"/>
                <w:color w:val="000000"/>
                <w:szCs w:val="24"/>
              </w:rPr>
              <w:t>76.4</w:t>
            </w:r>
          </w:p>
        </w:tc>
        <w:tc>
          <w:tcPr>
            <w:tcW w:w="1165" w:type="dxa"/>
            <w:shd w:val="clear" w:color="000000" w:fill="FFFFFF"/>
            <w:vAlign w:val="center"/>
            <w:hideMark/>
          </w:tcPr>
          <w:p w14:paraId="640C6C40" w14:textId="77777777" w:rsidR="00CF47C8" w:rsidRPr="00FC54A0" w:rsidRDefault="00CF47C8" w:rsidP="00A06B8B">
            <w:pPr>
              <w:jc w:val="center"/>
              <w:rPr>
                <w:rFonts w:asciiTheme="minorHAnsi" w:eastAsia="Times New Roman" w:hAnsiTheme="minorHAnsi"/>
                <w:color w:val="000000"/>
                <w:szCs w:val="24"/>
              </w:rPr>
            </w:pPr>
            <w:r w:rsidRPr="00FC54A0">
              <w:rPr>
                <w:rFonts w:asciiTheme="minorHAnsi" w:eastAsia="Times New Roman" w:hAnsiTheme="minorHAnsi"/>
                <w:color w:val="000000"/>
                <w:szCs w:val="24"/>
              </w:rPr>
              <w:t>22.4%</w:t>
            </w:r>
          </w:p>
        </w:tc>
      </w:tr>
      <w:tr w:rsidR="00BA6997" w:rsidRPr="0060169F" w14:paraId="21DA5E3A" w14:textId="77777777" w:rsidTr="004C5376">
        <w:trPr>
          <w:cantSplit/>
          <w:trHeight w:val="20"/>
        </w:trPr>
        <w:tc>
          <w:tcPr>
            <w:tcW w:w="4505" w:type="dxa"/>
            <w:shd w:val="clear" w:color="000000" w:fill="FFFFFF"/>
            <w:vAlign w:val="center"/>
            <w:hideMark/>
          </w:tcPr>
          <w:p w14:paraId="190368C8" w14:textId="77777777" w:rsidR="00CF47C8" w:rsidRPr="00FC54A0" w:rsidRDefault="00CF47C8" w:rsidP="00A06B8B">
            <w:pPr>
              <w:rPr>
                <w:rFonts w:asciiTheme="minorHAnsi" w:eastAsia="Times New Roman" w:hAnsiTheme="minorHAnsi"/>
                <w:color w:val="000000"/>
                <w:szCs w:val="24"/>
              </w:rPr>
            </w:pPr>
            <w:r w:rsidRPr="00FC54A0">
              <w:rPr>
                <w:rFonts w:asciiTheme="minorHAnsi" w:eastAsia="Times New Roman" w:hAnsiTheme="minorHAnsi"/>
                <w:color w:val="000000"/>
                <w:szCs w:val="24"/>
              </w:rPr>
              <w:t>Sigmoidoscopy Flexible</w:t>
            </w:r>
          </w:p>
        </w:tc>
        <w:tc>
          <w:tcPr>
            <w:tcW w:w="877" w:type="dxa"/>
            <w:shd w:val="clear" w:color="000000" w:fill="FFFFFF"/>
            <w:vAlign w:val="center"/>
            <w:hideMark/>
          </w:tcPr>
          <w:p w14:paraId="32D78AC3" w14:textId="77777777" w:rsidR="00CF47C8" w:rsidRPr="00FC54A0" w:rsidRDefault="00CF47C8" w:rsidP="00A06B8B">
            <w:pPr>
              <w:jc w:val="center"/>
              <w:rPr>
                <w:rFonts w:asciiTheme="minorHAnsi" w:eastAsia="Times New Roman" w:hAnsiTheme="minorHAnsi"/>
                <w:color w:val="000000"/>
                <w:szCs w:val="24"/>
              </w:rPr>
            </w:pPr>
            <w:r w:rsidRPr="00FC54A0">
              <w:rPr>
                <w:rFonts w:asciiTheme="minorHAnsi" w:eastAsia="Times New Roman" w:hAnsiTheme="minorHAnsi"/>
                <w:color w:val="000000"/>
                <w:szCs w:val="24"/>
              </w:rPr>
              <w:t>40.5</w:t>
            </w:r>
          </w:p>
        </w:tc>
        <w:tc>
          <w:tcPr>
            <w:tcW w:w="878" w:type="dxa"/>
            <w:shd w:val="clear" w:color="000000" w:fill="FFFFFF"/>
            <w:vAlign w:val="center"/>
            <w:hideMark/>
          </w:tcPr>
          <w:p w14:paraId="11F326F8" w14:textId="77777777" w:rsidR="00CF47C8" w:rsidRPr="00FC54A0" w:rsidRDefault="00CF47C8" w:rsidP="00A06B8B">
            <w:pPr>
              <w:jc w:val="center"/>
              <w:rPr>
                <w:rFonts w:asciiTheme="minorHAnsi" w:eastAsia="Times New Roman" w:hAnsiTheme="minorHAnsi"/>
                <w:color w:val="000000"/>
                <w:szCs w:val="24"/>
              </w:rPr>
            </w:pPr>
            <w:r w:rsidRPr="00FC54A0">
              <w:rPr>
                <w:rFonts w:asciiTheme="minorHAnsi" w:eastAsia="Times New Roman" w:hAnsiTheme="minorHAnsi"/>
                <w:color w:val="000000"/>
                <w:szCs w:val="24"/>
              </w:rPr>
              <w:t>45</w:t>
            </w:r>
          </w:p>
        </w:tc>
        <w:tc>
          <w:tcPr>
            <w:tcW w:w="877" w:type="dxa"/>
            <w:shd w:val="clear" w:color="000000" w:fill="FFFFFF"/>
            <w:vAlign w:val="center"/>
            <w:hideMark/>
          </w:tcPr>
          <w:p w14:paraId="382AC08D" w14:textId="77777777" w:rsidR="00CF47C8" w:rsidRPr="00FC54A0" w:rsidRDefault="00CF47C8" w:rsidP="00A06B8B">
            <w:pPr>
              <w:jc w:val="center"/>
              <w:rPr>
                <w:rFonts w:asciiTheme="minorHAnsi" w:eastAsia="Times New Roman" w:hAnsiTheme="minorHAnsi"/>
                <w:color w:val="000000"/>
                <w:szCs w:val="24"/>
              </w:rPr>
            </w:pPr>
            <w:r w:rsidRPr="00FC54A0">
              <w:rPr>
                <w:rFonts w:asciiTheme="minorHAnsi" w:eastAsia="Times New Roman" w:hAnsiTheme="minorHAnsi"/>
                <w:color w:val="000000"/>
                <w:szCs w:val="24"/>
              </w:rPr>
              <w:t>47.8</w:t>
            </w:r>
          </w:p>
        </w:tc>
        <w:tc>
          <w:tcPr>
            <w:tcW w:w="878" w:type="dxa"/>
            <w:shd w:val="clear" w:color="000000" w:fill="FFFFFF"/>
            <w:vAlign w:val="center"/>
            <w:hideMark/>
          </w:tcPr>
          <w:p w14:paraId="5B29AD80" w14:textId="77777777" w:rsidR="00CF47C8" w:rsidRPr="00FC54A0" w:rsidRDefault="00CF47C8" w:rsidP="00A06B8B">
            <w:pPr>
              <w:jc w:val="center"/>
              <w:rPr>
                <w:rFonts w:asciiTheme="minorHAnsi" w:eastAsia="Times New Roman" w:hAnsiTheme="minorHAnsi"/>
                <w:color w:val="000000"/>
                <w:szCs w:val="24"/>
              </w:rPr>
            </w:pPr>
            <w:r w:rsidRPr="00FC54A0">
              <w:rPr>
                <w:rFonts w:asciiTheme="minorHAnsi" w:eastAsia="Times New Roman" w:hAnsiTheme="minorHAnsi"/>
                <w:color w:val="000000"/>
                <w:szCs w:val="24"/>
              </w:rPr>
              <w:t>51.3</w:t>
            </w:r>
          </w:p>
        </w:tc>
        <w:tc>
          <w:tcPr>
            <w:tcW w:w="1165" w:type="dxa"/>
            <w:shd w:val="clear" w:color="000000" w:fill="FFFFFF"/>
            <w:vAlign w:val="center"/>
            <w:hideMark/>
          </w:tcPr>
          <w:p w14:paraId="68F1DDE4" w14:textId="77777777" w:rsidR="00CF47C8" w:rsidRPr="00FC54A0" w:rsidRDefault="00CF47C8" w:rsidP="00A06B8B">
            <w:pPr>
              <w:jc w:val="center"/>
              <w:rPr>
                <w:rFonts w:asciiTheme="minorHAnsi" w:eastAsia="Times New Roman" w:hAnsiTheme="minorHAnsi"/>
                <w:color w:val="000000"/>
                <w:szCs w:val="24"/>
              </w:rPr>
            </w:pPr>
            <w:r w:rsidRPr="00FC54A0">
              <w:rPr>
                <w:rFonts w:asciiTheme="minorHAnsi" w:eastAsia="Times New Roman" w:hAnsiTheme="minorHAnsi"/>
                <w:color w:val="000000"/>
                <w:szCs w:val="24"/>
              </w:rPr>
              <w:t>26.7%</w:t>
            </w:r>
          </w:p>
        </w:tc>
      </w:tr>
      <w:tr w:rsidR="00BA6997" w:rsidRPr="0060169F" w14:paraId="03D89971" w14:textId="77777777" w:rsidTr="004C5376">
        <w:trPr>
          <w:cantSplit/>
          <w:trHeight w:val="20"/>
        </w:trPr>
        <w:tc>
          <w:tcPr>
            <w:tcW w:w="4505" w:type="dxa"/>
            <w:shd w:val="clear" w:color="000000" w:fill="FFFFFF"/>
            <w:vAlign w:val="center"/>
            <w:hideMark/>
          </w:tcPr>
          <w:p w14:paraId="515DAE36" w14:textId="77777777" w:rsidR="00CF47C8" w:rsidRPr="00FC54A0" w:rsidRDefault="00CF47C8" w:rsidP="00A06B8B">
            <w:pPr>
              <w:rPr>
                <w:rFonts w:asciiTheme="minorHAnsi" w:eastAsia="Times New Roman" w:hAnsiTheme="minorHAnsi"/>
                <w:color w:val="000000"/>
                <w:szCs w:val="24"/>
              </w:rPr>
            </w:pPr>
            <w:r w:rsidRPr="00FC54A0">
              <w:rPr>
                <w:rFonts w:asciiTheme="minorHAnsi" w:eastAsia="Times New Roman" w:hAnsiTheme="minorHAnsi"/>
                <w:color w:val="000000"/>
                <w:szCs w:val="24"/>
              </w:rPr>
              <w:t>Upper Endoscopic Ultrasound</w:t>
            </w:r>
          </w:p>
        </w:tc>
        <w:tc>
          <w:tcPr>
            <w:tcW w:w="877" w:type="dxa"/>
            <w:shd w:val="clear" w:color="000000" w:fill="FFFFFF"/>
            <w:vAlign w:val="center"/>
            <w:hideMark/>
          </w:tcPr>
          <w:p w14:paraId="11F130FA" w14:textId="77777777" w:rsidR="00CF47C8" w:rsidRPr="00FC54A0" w:rsidRDefault="00CF47C8" w:rsidP="00A06B8B">
            <w:pPr>
              <w:jc w:val="center"/>
              <w:rPr>
                <w:rFonts w:asciiTheme="minorHAnsi" w:eastAsia="Times New Roman" w:hAnsiTheme="minorHAnsi"/>
                <w:color w:val="000000"/>
                <w:szCs w:val="24"/>
              </w:rPr>
            </w:pPr>
            <w:r w:rsidRPr="00FC54A0">
              <w:rPr>
                <w:rFonts w:asciiTheme="minorHAnsi" w:eastAsia="Times New Roman" w:hAnsiTheme="minorHAnsi"/>
                <w:color w:val="000000"/>
                <w:szCs w:val="24"/>
              </w:rPr>
              <w:t>85.3</w:t>
            </w:r>
          </w:p>
        </w:tc>
        <w:tc>
          <w:tcPr>
            <w:tcW w:w="878" w:type="dxa"/>
            <w:shd w:val="clear" w:color="000000" w:fill="FFFFFF"/>
            <w:vAlign w:val="center"/>
            <w:hideMark/>
          </w:tcPr>
          <w:p w14:paraId="6CF094C0" w14:textId="77777777" w:rsidR="00CF47C8" w:rsidRPr="00FC54A0" w:rsidRDefault="00CF47C8" w:rsidP="00A06B8B">
            <w:pPr>
              <w:jc w:val="center"/>
              <w:rPr>
                <w:rFonts w:asciiTheme="minorHAnsi" w:eastAsia="Times New Roman" w:hAnsiTheme="minorHAnsi"/>
                <w:color w:val="000000"/>
                <w:szCs w:val="24"/>
              </w:rPr>
            </w:pPr>
            <w:r w:rsidRPr="00FC54A0">
              <w:rPr>
                <w:rFonts w:asciiTheme="minorHAnsi" w:eastAsia="Times New Roman" w:hAnsiTheme="minorHAnsi"/>
                <w:color w:val="000000"/>
                <w:szCs w:val="24"/>
              </w:rPr>
              <w:t>90.1</w:t>
            </w:r>
          </w:p>
        </w:tc>
        <w:tc>
          <w:tcPr>
            <w:tcW w:w="877" w:type="dxa"/>
            <w:shd w:val="clear" w:color="000000" w:fill="FFFFFF"/>
            <w:vAlign w:val="center"/>
            <w:hideMark/>
          </w:tcPr>
          <w:p w14:paraId="648770D9" w14:textId="77777777" w:rsidR="00CF47C8" w:rsidRPr="00FC54A0" w:rsidRDefault="00CF47C8" w:rsidP="00A06B8B">
            <w:pPr>
              <w:jc w:val="center"/>
              <w:rPr>
                <w:rFonts w:asciiTheme="minorHAnsi" w:eastAsia="Times New Roman" w:hAnsiTheme="minorHAnsi"/>
                <w:color w:val="000000"/>
                <w:szCs w:val="24"/>
              </w:rPr>
            </w:pPr>
            <w:r w:rsidRPr="00FC54A0">
              <w:rPr>
                <w:rFonts w:asciiTheme="minorHAnsi" w:eastAsia="Times New Roman" w:hAnsiTheme="minorHAnsi"/>
                <w:color w:val="000000"/>
                <w:szCs w:val="24"/>
              </w:rPr>
              <w:t>79.8</w:t>
            </w:r>
          </w:p>
        </w:tc>
        <w:tc>
          <w:tcPr>
            <w:tcW w:w="878" w:type="dxa"/>
            <w:shd w:val="clear" w:color="000000" w:fill="FFFFFF"/>
            <w:vAlign w:val="center"/>
            <w:hideMark/>
          </w:tcPr>
          <w:p w14:paraId="3B0132A3" w14:textId="77777777" w:rsidR="00CF47C8" w:rsidRPr="00FC54A0" w:rsidRDefault="00CF47C8" w:rsidP="00A06B8B">
            <w:pPr>
              <w:jc w:val="center"/>
              <w:rPr>
                <w:rFonts w:asciiTheme="minorHAnsi" w:eastAsia="Times New Roman" w:hAnsiTheme="minorHAnsi"/>
                <w:color w:val="000000"/>
                <w:szCs w:val="24"/>
              </w:rPr>
            </w:pPr>
            <w:r w:rsidRPr="00FC54A0">
              <w:rPr>
                <w:rFonts w:asciiTheme="minorHAnsi" w:eastAsia="Times New Roman" w:hAnsiTheme="minorHAnsi"/>
                <w:color w:val="000000"/>
                <w:szCs w:val="24"/>
              </w:rPr>
              <w:t>83.8</w:t>
            </w:r>
          </w:p>
        </w:tc>
        <w:tc>
          <w:tcPr>
            <w:tcW w:w="1165" w:type="dxa"/>
            <w:shd w:val="clear" w:color="000000" w:fill="FFFFFF"/>
            <w:vAlign w:val="center"/>
            <w:hideMark/>
          </w:tcPr>
          <w:p w14:paraId="38007015" w14:textId="77777777" w:rsidR="00CF47C8" w:rsidRPr="00FC54A0" w:rsidRDefault="00CF47C8" w:rsidP="00A06B8B">
            <w:pPr>
              <w:jc w:val="center"/>
              <w:rPr>
                <w:rFonts w:asciiTheme="minorHAnsi" w:eastAsia="Times New Roman" w:hAnsiTheme="minorHAnsi"/>
                <w:color w:val="000000"/>
                <w:szCs w:val="24"/>
              </w:rPr>
            </w:pPr>
            <w:r w:rsidRPr="00FC54A0">
              <w:rPr>
                <w:rFonts w:asciiTheme="minorHAnsi" w:eastAsia="Times New Roman" w:hAnsiTheme="minorHAnsi"/>
                <w:color w:val="000000"/>
                <w:szCs w:val="24"/>
              </w:rPr>
              <w:t>-1.8%</w:t>
            </w:r>
          </w:p>
        </w:tc>
      </w:tr>
      <w:tr w:rsidR="00BA6997" w:rsidRPr="0060169F" w14:paraId="4F74A343" w14:textId="77777777" w:rsidTr="004C5376">
        <w:trPr>
          <w:cantSplit/>
          <w:trHeight w:val="20"/>
        </w:trPr>
        <w:tc>
          <w:tcPr>
            <w:tcW w:w="4505" w:type="dxa"/>
            <w:shd w:val="clear" w:color="000000" w:fill="FFFFFF"/>
            <w:vAlign w:val="center"/>
            <w:hideMark/>
          </w:tcPr>
          <w:p w14:paraId="2783464A" w14:textId="77777777" w:rsidR="00CF47C8" w:rsidRPr="00FC54A0" w:rsidRDefault="00CF47C8" w:rsidP="00A06B8B">
            <w:pPr>
              <w:rPr>
                <w:rFonts w:asciiTheme="minorHAnsi" w:eastAsia="Times New Roman" w:hAnsiTheme="minorHAnsi"/>
                <w:color w:val="000000"/>
                <w:szCs w:val="24"/>
              </w:rPr>
            </w:pPr>
            <w:r w:rsidRPr="00FC54A0">
              <w:rPr>
                <w:rFonts w:asciiTheme="minorHAnsi" w:eastAsia="Times New Roman" w:hAnsiTheme="minorHAnsi"/>
                <w:color w:val="000000"/>
                <w:szCs w:val="24"/>
              </w:rPr>
              <w:t>Other</w:t>
            </w:r>
          </w:p>
        </w:tc>
        <w:tc>
          <w:tcPr>
            <w:tcW w:w="877" w:type="dxa"/>
            <w:shd w:val="clear" w:color="000000" w:fill="FFFFFF"/>
            <w:vAlign w:val="center"/>
            <w:hideMark/>
          </w:tcPr>
          <w:p w14:paraId="722C4E3C" w14:textId="77777777" w:rsidR="00CF47C8" w:rsidRPr="00FC54A0" w:rsidRDefault="00CF47C8" w:rsidP="00A06B8B">
            <w:pPr>
              <w:jc w:val="center"/>
              <w:rPr>
                <w:rFonts w:asciiTheme="minorHAnsi" w:eastAsia="Times New Roman" w:hAnsiTheme="minorHAnsi"/>
                <w:color w:val="000000"/>
                <w:szCs w:val="24"/>
              </w:rPr>
            </w:pPr>
            <w:r w:rsidRPr="00FC54A0">
              <w:rPr>
                <w:rFonts w:asciiTheme="minorHAnsi" w:eastAsia="Times New Roman" w:hAnsiTheme="minorHAnsi"/>
                <w:color w:val="000000"/>
                <w:szCs w:val="24"/>
              </w:rPr>
              <w:t>101.5</w:t>
            </w:r>
          </w:p>
        </w:tc>
        <w:tc>
          <w:tcPr>
            <w:tcW w:w="878" w:type="dxa"/>
            <w:shd w:val="clear" w:color="000000" w:fill="FFFFFF"/>
            <w:vAlign w:val="center"/>
            <w:hideMark/>
          </w:tcPr>
          <w:p w14:paraId="28C24D55" w14:textId="77777777" w:rsidR="00CF47C8" w:rsidRPr="00FC54A0" w:rsidRDefault="00CF47C8" w:rsidP="00A06B8B">
            <w:pPr>
              <w:jc w:val="center"/>
              <w:rPr>
                <w:rFonts w:asciiTheme="minorHAnsi" w:eastAsia="Times New Roman" w:hAnsiTheme="minorHAnsi"/>
                <w:color w:val="000000"/>
                <w:szCs w:val="24"/>
              </w:rPr>
            </w:pPr>
            <w:r w:rsidRPr="00FC54A0">
              <w:rPr>
                <w:rFonts w:asciiTheme="minorHAnsi" w:eastAsia="Times New Roman" w:hAnsiTheme="minorHAnsi"/>
                <w:color w:val="000000"/>
                <w:szCs w:val="24"/>
              </w:rPr>
              <w:t>133.5</w:t>
            </w:r>
          </w:p>
        </w:tc>
        <w:tc>
          <w:tcPr>
            <w:tcW w:w="877" w:type="dxa"/>
            <w:shd w:val="clear" w:color="000000" w:fill="FFFFFF"/>
            <w:vAlign w:val="center"/>
            <w:hideMark/>
          </w:tcPr>
          <w:p w14:paraId="411D8155" w14:textId="77777777" w:rsidR="00CF47C8" w:rsidRPr="00FC54A0" w:rsidRDefault="00CF47C8" w:rsidP="00A06B8B">
            <w:pPr>
              <w:jc w:val="center"/>
              <w:rPr>
                <w:rFonts w:asciiTheme="minorHAnsi" w:eastAsia="Times New Roman" w:hAnsiTheme="minorHAnsi"/>
                <w:color w:val="000000"/>
                <w:szCs w:val="24"/>
              </w:rPr>
            </w:pPr>
            <w:r w:rsidRPr="00FC54A0">
              <w:rPr>
                <w:rFonts w:asciiTheme="minorHAnsi" w:eastAsia="Times New Roman" w:hAnsiTheme="minorHAnsi"/>
                <w:color w:val="000000"/>
                <w:szCs w:val="24"/>
              </w:rPr>
              <w:t>127.9</w:t>
            </w:r>
          </w:p>
        </w:tc>
        <w:tc>
          <w:tcPr>
            <w:tcW w:w="878" w:type="dxa"/>
            <w:shd w:val="clear" w:color="000000" w:fill="FFFFFF"/>
            <w:vAlign w:val="center"/>
            <w:hideMark/>
          </w:tcPr>
          <w:p w14:paraId="23F77059" w14:textId="77777777" w:rsidR="00CF47C8" w:rsidRPr="00FC54A0" w:rsidRDefault="00CF47C8" w:rsidP="00A06B8B">
            <w:pPr>
              <w:jc w:val="center"/>
              <w:rPr>
                <w:rFonts w:asciiTheme="minorHAnsi" w:eastAsia="Times New Roman" w:hAnsiTheme="minorHAnsi"/>
                <w:color w:val="000000"/>
                <w:szCs w:val="24"/>
              </w:rPr>
            </w:pPr>
            <w:r w:rsidRPr="00FC54A0">
              <w:rPr>
                <w:rFonts w:asciiTheme="minorHAnsi" w:eastAsia="Times New Roman" w:hAnsiTheme="minorHAnsi"/>
                <w:color w:val="000000"/>
                <w:szCs w:val="24"/>
              </w:rPr>
              <w:t>120.4</w:t>
            </w:r>
          </w:p>
        </w:tc>
        <w:tc>
          <w:tcPr>
            <w:tcW w:w="1165" w:type="dxa"/>
            <w:shd w:val="clear" w:color="000000" w:fill="FFFFFF"/>
            <w:vAlign w:val="center"/>
            <w:hideMark/>
          </w:tcPr>
          <w:p w14:paraId="669DD155" w14:textId="77777777" w:rsidR="00CF47C8" w:rsidRPr="00FC54A0" w:rsidRDefault="00CF47C8" w:rsidP="00A06B8B">
            <w:pPr>
              <w:jc w:val="center"/>
              <w:rPr>
                <w:rFonts w:asciiTheme="minorHAnsi" w:eastAsia="Times New Roman" w:hAnsiTheme="minorHAnsi"/>
                <w:color w:val="000000"/>
                <w:szCs w:val="24"/>
              </w:rPr>
            </w:pPr>
            <w:r w:rsidRPr="00FC54A0">
              <w:rPr>
                <w:rFonts w:asciiTheme="minorHAnsi" w:eastAsia="Times New Roman" w:hAnsiTheme="minorHAnsi"/>
                <w:color w:val="000000"/>
                <w:szCs w:val="24"/>
              </w:rPr>
              <w:t>18.6%</w:t>
            </w:r>
          </w:p>
        </w:tc>
      </w:tr>
    </w:tbl>
    <w:p w14:paraId="240A61D4" w14:textId="77777777" w:rsidR="00CF47C8" w:rsidRDefault="00CF47C8" w:rsidP="6D717258">
      <w:pPr>
        <w:spacing w:after="120"/>
        <w:rPr>
          <w:rFonts w:asciiTheme="minorHAnsi" w:hAnsiTheme="minorHAnsi"/>
        </w:rPr>
      </w:pPr>
    </w:p>
    <w:p w14:paraId="127795D5" w14:textId="6471B0D9" w:rsidR="00DB6896" w:rsidRDefault="451122C1" w:rsidP="6D717258">
      <w:pPr>
        <w:spacing w:after="120"/>
        <w:rPr>
          <w:rFonts w:asciiTheme="minorHAnsi" w:hAnsiTheme="minorHAnsi"/>
        </w:rPr>
      </w:pPr>
      <w:r w:rsidRPr="6D717258">
        <w:rPr>
          <w:rFonts w:asciiTheme="minorHAnsi" w:hAnsiTheme="minorHAnsi"/>
        </w:rPr>
        <w:t xml:space="preserve"> </w:t>
      </w:r>
      <w:r w:rsidR="00C66003">
        <w:rPr>
          <w:rFonts w:asciiTheme="minorHAnsi" w:hAnsiTheme="minorHAnsi"/>
        </w:rPr>
        <w:t>As noted above, the</w:t>
      </w:r>
      <w:r w:rsidR="1C5CFD8A" w:rsidRPr="6D717258">
        <w:rPr>
          <w:rFonts w:asciiTheme="minorHAnsi" w:hAnsiTheme="minorHAnsi"/>
        </w:rPr>
        <w:t xml:space="preserve"> Applicant states MGB’s metro-Boston patients do not have </w:t>
      </w:r>
      <w:r w:rsidR="00C66003">
        <w:rPr>
          <w:rFonts w:asciiTheme="minorHAnsi" w:hAnsiTheme="minorHAnsi"/>
        </w:rPr>
        <w:t xml:space="preserve">sufficient </w:t>
      </w:r>
      <w:r w:rsidR="1C5CFD8A" w:rsidRPr="6D717258">
        <w:rPr>
          <w:rFonts w:asciiTheme="minorHAnsi" w:hAnsiTheme="minorHAnsi"/>
        </w:rPr>
        <w:t>non-hospital options for endoscopy</w:t>
      </w:r>
      <w:r w:rsidR="00C66003">
        <w:rPr>
          <w:rFonts w:asciiTheme="minorHAnsi" w:hAnsiTheme="minorHAnsi"/>
        </w:rPr>
        <w:t xml:space="preserve"> services</w:t>
      </w:r>
      <w:r w:rsidR="008E1D68">
        <w:rPr>
          <w:rFonts w:asciiTheme="minorHAnsi" w:hAnsiTheme="minorHAnsi"/>
        </w:rPr>
        <w:t xml:space="preserve"> </w:t>
      </w:r>
      <w:r w:rsidR="000C518A">
        <w:rPr>
          <w:rFonts w:asciiTheme="minorHAnsi" w:hAnsiTheme="minorHAnsi"/>
        </w:rPr>
        <w:t xml:space="preserve">creating a barrier to timely access </w:t>
      </w:r>
      <w:r w:rsidR="001F661D">
        <w:rPr>
          <w:rFonts w:asciiTheme="minorHAnsi" w:hAnsiTheme="minorHAnsi"/>
        </w:rPr>
        <w:t xml:space="preserve">although the need </w:t>
      </w:r>
      <w:r w:rsidR="003A6C2E">
        <w:rPr>
          <w:rFonts w:asciiTheme="minorHAnsi" w:hAnsiTheme="minorHAnsi"/>
        </w:rPr>
        <w:t xml:space="preserve">for </w:t>
      </w:r>
      <w:r w:rsidR="003A6C2E" w:rsidRPr="6D717258">
        <w:rPr>
          <w:rFonts w:asciiTheme="minorHAnsi" w:hAnsiTheme="minorHAnsi"/>
        </w:rPr>
        <w:t>routine</w:t>
      </w:r>
      <w:r w:rsidR="1C5CFD8A" w:rsidRPr="6D717258">
        <w:rPr>
          <w:rFonts w:asciiTheme="minorHAnsi" w:hAnsiTheme="minorHAnsi"/>
        </w:rPr>
        <w:t xml:space="preserve"> and diagnostic colonoscopy</w:t>
      </w:r>
      <w:r w:rsidR="00AA0EF7">
        <w:rPr>
          <w:rFonts w:asciiTheme="minorHAnsi" w:hAnsiTheme="minorHAnsi"/>
        </w:rPr>
        <w:t xml:space="preserve"> screens</w:t>
      </w:r>
      <w:r w:rsidR="1C5CFD8A" w:rsidRPr="6D717258">
        <w:rPr>
          <w:rFonts w:asciiTheme="minorHAnsi" w:hAnsiTheme="minorHAnsi"/>
        </w:rPr>
        <w:t xml:space="preserve"> </w:t>
      </w:r>
      <w:r w:rsidR="00022125">
        <w:rPr>
          <w:rFonts w:asciiTheme="minorHAnsi" w:hAnsiTheme="minorHAnsi"/>
        </w:rPr>
        <w:t xml:space="preserve">continues to </w:t>
      </w:r>
      <w:r w:rsidR="00E2759A">
        <w:rPr>
          <w:rFonts w:asciiTheme="minorHAnsi" w:hAnsiTheme="minorHAnsi"/>
        </w:rPr>
        <w:t xml:space="preserve">increase </w:t>
      </w:r>
      <w:r w:rsidR="00E2759A" w:rsidRPr="6D717258">
        <w:rPr>
          <w:rFonts w:asciiTheme="minorHAnsi" w:hAnsiTheme="minorHAnsi"/>
        </w:rPr>
        <w:t>due</w:t>
      </w:r>
      <w:r w:rsidR="1C5CFD8A" w:rsidRPr="6D717258">
        <w:rPr>
          <w:rFonts w:asciiTheme="minorHAnsi" w:hAnsiTheme="minorHAnsi"/>
        </w:rPr>
        <w:t xml:space="preserve"> to rising colorectal cancer rates in younger adults. </w:t>
      </w:r>
      <w:r w:rsidR="4C16C08C" w:rsidRPr="6D717258">
        <w:rPr>
          <w:rFonts w:asciiTheme="minorHAnsi" w:hAnsiTheme="minorHAnsi"/>
        </w:rPr>
        <w:t xml:space="preserve"> </w:t>
      </w:r>
    </w:p>
    <w:p w14:paraId="57F5E89D" w14:textId="04AA4076" w:rsidR="00D36E98" w:rsidRDefault="4C16C08C" w:rsidP="6D717258">
      <w:pPr>
        <w:spacing w:after="120"/>
        <w:rPr>
          <w:rFonts w:asciiTheme="minorHAnsi" w:hAnsiTheme="minorHAnsi"/>
        </w:rPr>
      </w:pPr>
      <w:r w:rsidRPr="6D717258">
        <w:rPr>
          <w:rFonts w:asciiTheme="minorHAnsi" w:hAnsiTheme="minorHAnsi"/>
        </w:rPr>
        <w:t xml:space="preserve">The </w:t>
      </w:r>
      <w:r w:rsidR="00AA0EF7">
        <w:rPr>
          <w:rFonts w:asciiTheme="minorHAnsi" w:hAnsiTheme="minorHAnsi"/>
        </w:rPr>
        <w:t xml:space="preserve">Applicant anticipates the </w:t>
      </w:r>
      <w:r w:rsidRPr="6D717258">
        <w:rPr>
          <w:rFonts w:asciiTheme="minorHAnsi" w:hAnsiTheme="minorHAnsi"/>
        </w:rPr>
        <w:t>Proposed Project will improve access to outpatient endoscopy</w:t>
      </w:r>
      <w:r w:rsidR="00022125">
        <w:rPr>
          <w:rFonts w:asciiTheme="minorHAnsi" w:hAnsiTheme="minorHAnsi"/>
        </w:rPr>
        <w:t xml:space="preserve"> services</w:t>
      </w:r>
      <w:r w:rsidRPr="6D717258">
        <w:rPr>
          <w:rFonts w:asciiTheme="minorHAnsi" w:hAnsiTheme="minorHAnsi"/>
        </w:rPr>
        <w:t>, which is expected to reduce wait times for appointments, and improve adherence for routine screenings.</w:t>
      </w:r>
    </w:p>
    <w:p w14:paraId="1956EE70" w14:textId="77777777" w:rsidR="00770A14" w:rsidRDefault="00770A14" w:rsidP="00D36E98">
      <w:pPr>
        <w:spacing w:after="120"/>
        <w:rPr>
          <w:rFonts w:asciiTheme="minorHAnsi" w:hAnsiTheme="minorHAnsi"/>
          <w:szCs w:val="24"/>
        </w:rPr>
      </w:pPr>
    </w:p>
    <w:p w14:paraId="30CF0E06" w14:textId="15BB016F" w:rsidR="00391A37" w:rsidRPr="00391A37" w:rsidRDefault="00391A37" w:rsidP="0000234D">
      <w:pPr>
        <w:pStyle w:val="BodyText"/>
        <w:numPr>
          <w:ilvl w:val="0"/>
          <w:numId w:val="8"/>
        </w:numPr>
        <w:rPr>
          <w:rFonts w:asciiTheme="minorHAnsi" w:hAnsiTheme="minorHAnsi"/>
          <w:b/>
          <w:bCs/>
        </w:rPr>
      </w:pPr>
      <w:r w:rsidRPr="00391A37">
        <w:rPr>
          <w:rFonts w:asciiTheme="minorHAnsi" w:hAnsiTheme="minorHAnsi"/>
          <w:b/>
          <w:bCs/>
        </w:rPr>
        <w:t xml:space="preserve">The need to alleviate capacity constraints at the MGB </w:t>
      </w:r>
      <w:r w:rsidR="00E00BD0" w:rsidRPr="00391A37">
        <w:rPr>
          <w:rFonts w:asciiTheme="minorHAnsi" w:hAnsiTheme="minorHAnsi"/>
          <w:b/>
          <w:bCs/>
        </w:rPr>
        <w:t>AMCs</w:t>
      </w:r>
      <w:r w:rsidRPr="00391A37">
        <w:rPr>
          <w:rFonts w:asciiTheme="minorHAnsi" w:hAnsiTheme="minorHAnsi"/>
          <w:b/>
          <w:bCs/>
        </w:rPr>
        <w:t>.</w:t>
      </w:r>
    </w:p>
    <w:p w14:paraId="51D2C608" w14:textId="3D710ED5" w:rsidR="00E13BB2" w:rsidRDefault="00837631" w:rsidP="0506BC97">
      <w:pPr>
        <w:spacing w:after="120"/>
        <w:rPr>
          <w:rFonts w:asciiTheme="minorHAnsi" w:hAnsiTheme="minorHAnsi"/>
          <w:sz w:val="21"/>
          <w:szCs w:val="21"/>
        </w:rPr>
      </w:pPr>
      <w:r w:rsidRPr="0506BC97">
        <w:rPr>
          <w:rFonts w:asciiTheme="minorHAnsi" w:hAnsiTheme="minorHAnsi"/>
        </w:rPr>
        <w:t xml:space="preserve">The Applicant reports that in FY2024, MGB and BWH performed 20,117 endoscopy procedures which could have been performed in an ASC.  Of those ASC-eligible procedures at the MGB AMCs, </w:t>
      </w:r>
      <w:r w:rsidR="00180976" w:rsidRPr="0506BC97">
        <w:rPr>
          <w:rFonts w:asciiTheme="minorHAnsi" w:hAnsiTheme="minorHAnsi"/>
        </w:rPr>
        <w:t>approximately half (</w:t>
      </w:r>
      <w:r w:rsidRPr="0506BC97">
        <w:rPr>
          <w:rFonts w:asciiTheme="minorHAnsi" w:hAnsiTheme="minorHAnsi"/>
        </w:rPr>
        <w:t>9,</w:t>
      </w:r>
      <w:r w:rsidR="000E4194" w:rsidRPr="0506BC97">
        <w:rPr>
          <w:rFonts w:asciiTheme="minorHAnsi" w:hAnsiTheme="minorHAnsi"/>
        </w:rPr>
        <w:t>44</w:t>
      </w:r>
      <w:r w:rsidRPr="0506BC97">
        <w:rPr>
          <w:rFonts w:asciiTheme="minorHAnsi" w:hAnsiTheme="minorHAnsi"/>
        </w:rPr>
        <w:t>9</w:t>
      </w:r>
      <w:r w:rsidR="00180976" w:rsidRPr="0506BC97">
        <w:rPr>
          <w:rFonts w:asciiTheme="minorHAnsi" w:hAnsiTheme="minorHAnsi"/>
        </w:rPr>
        <w:t>)</w:t>
      </w:r>
      <w:r w:rsidRPr="0506BC97">
        <w:rPr>
          <w:rFonts w:asciiTheme="minorHAnsi" w:hAnsiTheme="minorHAnsi"/>
        </w:rPr>
        <w:t xml:space="preserve"> </w:t>
      </w:r>
      <w:r w:rsidR="006A7405" w:rsidRPr="0506BC97">
        <w:rPr>
          <w:rFonts w:asciiTheme="minorHAnsi" w:hAnsiTheme="minorHAnsi"/>
        </w:rPr>
        <w:t xml:space="preserve">of those </w:t>
      </w:r>
      <w:r w:rsidRPr="0506BC97">
        <w:rPr>
          <w:rFonts w:asciiTheme="minorHAnsi" w:hAnsiTheme="minorHAnsi"/>
        </w:rPr>
        <w:t>procedures were for patients residing in the</w:t>
      </w:r>
      <w:r w:rsidR="00BE550E">
        <w:rPr>
          <w:rFonts w:asciiTheme="minorHAnsi" w:hAnsiTheme="minorHAnsi"/>
        </w:rPr>
        <w:t xml:space="preserve"> </w:t>
      </w:r>
      <w:r w:rsidR="002C37E5">
        <w:rPr>
          <w:rFonts w:asciiTheme="minorHAnsi" w:hAnsiTheme="minorHAnsi"/>
        </w:rPr>
        <w:t>PSA</w:t>
      </w:r>
      <w:r w:rsidRPr="0506BC97">
        <w:rPr>
          <w:rFonts w:asciiTheme="minorHAnsi" w:hAnsiTheme="minorHAnsi"/>
        </w:rPr>
        <w:t>.</w:t>
      </w:r>
      <w:r w:rsidRPr="0506BC97">
        <w:rPr>
          <w:rFonts w:asciiTheme="minorHAnsi" w:hAnsiTheme="minorHAnsi"/>
          <w:sz w:val="21"/>
          <w:szCs w:val="21"/>
        </w:rPr>
        <w:t xml:space="preserve"> </w:t>
      </w:r>
    </w:p>
    <w:p w14:paraId="79F84945" w14:textId="77777777" w:rsidR="00756259" w:rsidRDefault="00756259" w:rsidP="0506BC97">
      <w:pPr>
        <w:spacing w:after="120"/>
        <w:rPr>
          <w:rFonts w:asciiTheme="minorHAnsi" w:hAnsiTheme="minorHAnsi"/>
          <w:sz w:val="21"/>
          <w:szCs w:val="21"/>
        </w:rPr>
      </w:pPr>
    </w:p>
    <w:p w14:paraId="1E0408E9" w14:textId="77777777" w:rsidR="00E13BB2" w:rsidRPr="00E13BB2" w:rsidRDefault="00E13BB2" w:rsidP="0000234D">
      <w:pPr>
        <w:pStyle w:val="BodyText"/>
        <w:numPr>
          <w:ilvl w:val="0"/>
          <w:numId w:val="11"/>
        </w:numPr>
        <w:rPr>
          <w:rFonts w:asciiTheme="minorHAnsi" w:hAnsiTheme="minorHAnsi"/>
          <w:b/>
          <w:bCs/>
        </w:rPr>
      </w:pPr>
      <w:r w:rsidRPr="00E13BB2">
        <w:rPr>
          <w:rFonts w:asciiTheme="minorHAnsi" w:hAnsiTheme="minorHAnsi"/>
          <w:b/>
          <w:bCs/>
        </w:rPr>
        <w:t>Historical Utilization</w:t>
      </w:r>
    </w:p>
    <w:p w14:paraId="384F2B65" w14:textId="18C3B761" w:rsidR="00B62134" w:rsidRDefault="00B62134" w:rsidP="00E13BB2">
      <w:pPr>
        <w:spacing w:after="120"/>
        <w:rPr>
          <w:rFonts w:asciiTheme="minorHAnsi" w:hAnsiTheme="minorHAnsi"/>
          <w:szCs w:val="24"/>
        </w:rPr>
      </w:pPr>
      <w:r>
        <w:rPr>
          <w:rFonts w:asciiTheme="minorHAnsi" w:hAnsiTheme="minorHAnsi"/>
          <w:szCs w:val="24"/>
        </w:rPr>
        <w:t xml:space="preserve">Table </w:t>
      </w:r>
      <w:r w:rsidR="00013CBD">
        <w:rPr>
          <w:rFonts w:asciiTheme="minorHAnsi" w:hAnsiTheme="minorHAnsi"/>
          <w:szCs w:val="24"/>
        </w:rPr>
        <w:t>9</w:t>
      </w:r>
      <w:r w:rsidR="00E13BB2">
        <w:rPr>
          <w:rFonts w:asciiTheme="minorHAnsi" w:hAnsiTheme="minorHAnsi"/>
          <w:szCs w:val="24"/>
        </w:rPr>
        <w:t xml:space="preserve"> </w:t>
      </w:r>
      <w:r>
        <w:rPr>
          <w:rFonts w:asciiTheme="minorHAnsi" w:hAnsiTheme="minorHAnsi"/>
          <w:szCs w:val="24"/>
        </w:rPr>
        <w:t>provide</w:t>
      </w:r>
      <w:r w:rsidR="00E13BB2">
        <w:rPr>
          <w:rFonts w:asciiTheme="minorHAnsi" w:hAnsiTheme="minorHAnsi"/>
          <w:szCs w:val="24"/>
        </w:rPr>
        <w:t>s</w:t>
      </w:r>
      <w:r>
        <w:rPr>
          <w:rFonts w:asciiTheme="minorHAnsi" w:hAnsiTheme="minorHAnsi"/>
          <w:szCs w:val="24"/>
        </w:rPr>
        <w:t xml:space="preserve"> details on</w:t>
      </w:r>
      <w:r w:rsidR="00F53980">
        <w:rPr>
          <w:rFonts w:asciiTheme="minorHAnsi" w:hAnsiTheme="minorHAnsi"/>
          <w:szCs w:val="24"/>
        </w:rPr>
        <w:t xml:space="preserve"> </w:t>
      </w:r>
      <w:r w:rsidR="007A4BEF">
        <w:rPr>
          <w:rFonts w:asciiTheme="minorHAnsi" w:hAnsiTheme="minorHAnsi"/>
          <w:szCs w:val="24"/>
        </w:rPr>
        <w:t xml:space="preserve">the </w:t>
      </w:r>
      <w:r w:rsidR="00E13BB2">
        <w:rPr>
          <w:rFonts w:asciiTheme="minorHAnsi" w:hAnsiTheme="minorHAnsi"/>
          <w:szCs w:val="24"/>
        </w:rPr>
        <w:t>utilization</w:t>
      </w:r>
      <w:r w:rsidR="007A4BEF">
        <w:rPr>
          <w:rFonts w:asciiTheme="minorHAnsi" w:hAnsiTheme="minorHAnsi"/>
          <w:szCs w:val="24"/>
        </w:rPr>
        <w:t xml:space="preserve"> of e</w:t>
      </w:r>
      <w:r w:rsidR="00911D53">
        <w:rPr>
          <w:rFonts w:asciiTheme="minorHAnsi" w:hAnsiTheme="minorHAnsi"/>
          <w:szCs w:val="24"/>
        </w:rPr>
        <w:t xml:space="preserve">ndoscopy procedures </w:t>
      </w:r>
      <w:r w:rsidR="00E13BB2">
        <w:rPr>
          <w:rFonts w:asciiTheme="minorHAnsi" w:hAnsiTheme="minorHAnsi"/>
          <w:szCs w:val="24"/>
        </w:rPr>
        <w:t xml:space="preserve">at the MGB AMCs from </w:t>
      </w:r>
      <w:r w:rsidR="00911D53">
        <w:rPr>
          <w:rFonts w:asciiTheme="minorHAnsi" w:hAnsiTheme="minorHAnsi"/>
          <w:szCs w:val="24"/>
        </w:rPr>
        <w:t>FY2022-</w:t>
      </w:r>
      <w:r w:rsidR="00911D53" w:rsidRPr="00E65E38">
        <w:rPr>
          <w:rFonts w:asciiTheme="minorHAnsi" w:hAnsiTheme="minorHAnsi"/>
          <w:szCs w:val="24"/>
        </w:rPr>
        <w:t>FY202</w:t>
      </w:r>
      <w:r w:rsidR="00756259">
        <w:rPr>
          <w:rFonts w:asciiTheme="minorHAnsi" w:hAnsiTheme="minorHAnsi"/>
          <w:szCs w:val="24"/>
        </w:rPr>
        <w:t>5</w:t>
      </w:r>
      <w:r w:rsidR="00A93D0C" w:rsidRPr="00E65E38">
        <w:rPr>
          <w:rFonts w:asciiTheme="minorHAnsi" w:hAnsiTheme="minorHAnsi"/>
          <w:szCs w:val="24"/>
        </w:rPr>
        <w:t xml:space="preserve"> in the </w:t>
      </w:r>
      <w:r w:rsidR="002C37E5">
        <w:rPr>
          <w:rFonts w:asciiTheme="minorHAnsi" w:hAnsiTheme="minorHAnsi"/>
          <w:szCs w:val="24"/>
        </w:rPr>
        <w:t>PSA</w:t>
      </w:r>
      <w:r w:rsidR="0043623C" w:rsidRPr="00E65E38">
        <w:rPr>
          <w:rFonts w:asciiTheme="minorHAnsi" w:hAnsiTheme="minorHAnsi"/>
          <w:szCs w:val="24"/>
        </w:rPr>
        <w:t>.</w:t>
      </w:r>
      <w:r w:rsidR="00F5288B" w:rsidRPr="00E65E38">
        <w:rPr>
          <w:rFonts w:asciiTheme="minorHAnsi" w:hAnsiTheme="minorHAnsi"/>
          <w:szCs w:val="24"/>
        </w:rPr>
        <w:t xml:space="preserve"> The Applicant notes that </w:t>
      </w:r>
      <w:r w:rsidR="009623FA" w:rsidRPr="00E65E38">
        <w:rPr>
          <w:rFonts w:asciiTheme="minorHAnsi" w:hAnsiTheme="minorHAnsi"/>
          <w:szCs w:val="24"/>
        </w:rPr>
        <w:t>from FY2022-FY202</w:t>
      </w:r>
      <w:r w:rsidR="00756259">
        <w:rPr>
          <w:rFonts w:asciiTheme="minorHAnsi" w:hAnsiTheme="minorHAnsi"/>
          <w:szCs w:val="24"/>
        </w:rPr>
        <w:t>5</w:t>
      </w:r>
      <w:r w:rsidR="009623FA" w:rsidRPr="00E65E38">
        <w:rPr>
          <w:rFonts w:asciiTheme="minorHAnsi" w:hAnsiTheme="minorHAnsi"/>
          <w:szCs w:val="24"/>
        </w:rPr>
        <w:t xml:space="preserve">, </w:t>
      </w:r>
      <w:r w:rsidR="00F5288B" w:rsidRPr="00E65E38">
        <w:rPr>
          <w:rFonts w:asciiTheme="minorHAnsi" w:hAnsiTheme="minorHAnsi"/>
          <w:szCs w:val="24"/>
        </w:rPr>
        <w:t>o</w:t>
      </w:r>
      <w:r w:rsidR="00F5288B" w:rsidRPr="00F5288B">
        <w:rPr>
          <w:rFonts w:asciiTheme="minorHAnsi" w:hAnsiTheme="minorHAnsi"/>
          <w:szCs w:val="24"/>
        </w:rPr>
        <w:t xml:space="preserve">utpatient procedures </w:t>
      </w:r>
      <w:r w:rsidR="005326BD">
        <w:rPr>
          <w:rFonts w:asciiTheme="minorHAnsi" w:hAnsiTheme="minorHAnsi"/>
          <w:szCs w:val="24"/>
        </w:rPr>
        <w:t xml:space="preserve">cumulatively </w:t>
      </w:r>
      <w:r w:rsidR="00F5288B" w:rsidRPr="00F5288B">
        <w:rPr>
          <w:rFonts w:asciiTheme="minorHAnsi" w:hAnsiTheme="minorHAnsi"/>
          <w:szCs w:val="24"/>
        </w:rPr>
        <w:t>account</w:t>
      </w:r>
      <w:r w:rsidR="009623FA">
        <w:rPr>
          <w:rFonts w:asciiTheme="minorHAnsi" w:hAnsiTheme="minorHAnsi"/>
          <w:szCs w:val="24"/>
        </w:rPr>
        <w:t>ed</w:t>
      </w:r>
      <w:r w:rsidR="00F5288B" w:rsidRPr="00F5288B">
        <w:rPr>
          <w:rFonts w:asciiTheme="minorHAnsi" w:hAnsiTheme="minorHAnsi"/>
          <w:szCs w:val="24"/>
        </w:rPr>
        <w:t xml:space="preserve"> for approximately 85% of all </w:t>
      </w:r>
      <w:r w:rsidR="00E00BD0" w:rsidRPr="00F5288B">
        <w:rPr>
          <w:rFonts w:asciiTheme="minorHAnsi" w:hAnsiTheme="minorHAnsi"/>
          <w:szCs w:val="24"/>
        </w:rPr>
        <w:t>endoscopies</w:t>
      </w:r>
      <w:r w:rsidR="00F5288B" w:rsidRPr="00F5288B">
        <w:rPr>
          <w:rFonts w:asciiTheme="minorHAnsi" w:hAnsiTheme="minorHAnsi"/>
          <w:szCs w:val="24"/>
        </w:rPr>
        <w:t xml:space="preserve"> performed at the AMCs. </w:t>
      </w:r>
    </w:p>
    <w:p w14:paraId="6F2CD743" w14:textId="2097C6E5" w:rsidR="0053113E" w:rsidRDefault="0053113E" w:rsidP="004C0EB4">
      <w:pPr>
        <w:spacing w:after="120"/>
        <w:jc w:val="center"/>
        <w:rPr>
          <w:rFonts w:asciiTheme="minorHAnsi" w:hAnsiTheme="minorHAnsi"/>
          <w:b/>
          <w:bCs/>
          <w:sz w:val="22"/>
          <w:szCs w:val="22"/>
        </w:rPr>
      </w:pPr>
      <w:r w:rsidRPr="00BF479D">
        <w:rPr>
          <w:rFonts w:asciiTheme="minorHAnsi" w:hAnsiTheme="minorHAnsi"/>
          <w:b/>
          <w:bCs/>
          <w:szCs w:val="24"/>
          <w:u w:val="single"/>
        </w:rPr>
        <w:t>Table</w:t>
      </w:r>
      <w:r w:rsidR="00286D78">
        <w:rPr>
          <w:rFonts w:asciiTheme="minorHAnsi" w:hAnsiTheme="minorHAnsi"/>
          <w:b/>
          <w:bCs/>
          <w:szCs w:val="24"/>
          <w:u w:val="single"/>
        </w:rPr>
        <w:t xml:space="preserve"> </w:t>
      </w:r>
      <w:r w:rsidR="00013CBD">
        <w:rPr>
          <w:rFonts w:asciiTheme="minorHAnsi" w:hAnsiTheme="minorHAnsi"/>
          <w:b/>
          <w:bCs/>
          <w:szCs w:val="24"/>
          <w:u w:val="single"/>
        </w:rPr>
        <w:t>9</w:t>
      </w:r>
      <w:r w:rsidRPr="00BF479D">
        <w:rPr>
          <w:rFonts w:asciiTheme="minorHAnsi" w:hAnsiTheme="minorHAnsi"/>
          <w:b/>
          <w:bCs/>
          <w:szCs w:val="24"/>
          <w:u w:val="single"/>
        </w:rPr>
        <w:t>:</w:t>
      </w:r>
      <w:r w:rsidRPr="00BF479D">
        <w:rPr>
          <w:rFonts w:asciiTheme="minorHAnsi" w:hAnsiTheme="minorHAnsi"/>
          <w:b/>
          <w:bCs/>
          <w:szCs w:val="24"/>
        </w:rPr>
        <w:t xml:space="preserve"> </w:t>
      </w:r>
      <w:r w:rsidRPr="00AE5095">
        <w:rPr>
          <w:rFonts w:asciiTheme="minorHAnsi" w:hAnsiTheme="minorHAnsi"/>
          <w:b/>
          <w:bCs/>
          <w:sz w:val="22"/>
          <w:szCs w:val="22"/>
        </w:rPr>
        <w:t xml:space="preserve">Historical </w:t>
      </w:r>
      <w:r w:rsidR="005878B5" w:rsidRPr="00AE5095">
        <w:rPr>
          <w:rFonts w:asciiTheme="minorHAnsi" w:hAnsiTheme="minorHAnsi"/>
          <w:b/>
          <w:bCs/>
          <w:sz w:val="22"/>
          <w:szCs w:val="22"/>
        </w:rPr>
        <w:t>Utilization</w:t>
      </w:r>
      <w:r w:rsidRPr="00AE5095">
        <w:rPr>
          <w:rFonts w:asciiTheme="minorHAnsi" w:hAnsiTheme="minorHAnsi"/>
          <w:b/>
          <w:bCs/>
          <w:sz w:val="22"/>
          <w:szCs w:val="22"/>
        </w:rPr>
        <w:t xml:space="preserve"> of </w:t>
      </w:r>
      <w:r w:rsidR="00AE5095" w:rsidRPr="00AE5095">
        <w:rPr>
          <w:rFonts w:asciiTheme="minorHAnsi" w:hAnsiTheme="minorHAnsi"/>
          <w:b/>
          <w:bCs/>
          <w:sz w:val="22"/>
          <w:szCs w:val="22"/>
        </w:rPr>
        <w:t xml:space="preserve">Outpatient </w:t>
      </w:r>
      <w:r w:rsidR="00BF479D" w:rsidRPr="00AE5095">
        <w:rPr>
          <w:rFonts w:asciiTheme="minorHAnsi" w:hAnsiTheme="minorHAnsi"/>
          <w:b/>
          <w:bCs/>
          <w:sz w:val="22"/>
          <w:szCs w:val="22"/>
        </w:rPr>
        <w:t>Endoscopy Procedures at MGB AMCs</w:t>
      </w:r>
      <w:r w:rsidR="00180976" w:rsidRPr="00AE5095">
        <w:rPr>
          <w:rFonts w:asciiTheme="minorHAnsi" w:hAnsiTheme="minorHAnsi"/>
          <w:b/>
          <w:bCs/>
          <w:sz w:val="22"/>
          <w:szCs w:val="22"/>
        </w:rPr>
        <w:t xml:space="preserve"> </w:t>
      </w:r>
      <w:r w:rsidR="00DB6896">
        <w:rPr>
          <w:rFonts w:asciiTheme="minorHAnsi" w:hAnsiTheme="minorHAnsi"/>
          <w:b/>
          <w:bCs/>
          <w:sz w:val="22"/>
          <w:szCs w:val="22"/>
        </w:rPr>
        <w:t>for Patients Residing in</w:t>
      </w:r>
      <w:r w:rsidR="00180976" w:rsidRPr="00AE5095">
        <w:rPr>
          <w:rFonts w:asciiTheme="minorHAnsi" w:hAnsiTheme="minorHAnsi"/>
          <w:b/>
          <w:bCs/>
          <w:sz w:val="22"/>
          <w:szCs w:val="22"/>
        </w:rPr>
        <w:t xml:space="preserve"> </w:t>
      </w:r>
      <w:r w:rsidR="002C37E5">
        <w:rPr>
          <w:rFonts w:asciiTheme="minorHAnsi" w:hAnsiTheme="minorHAnsi"/>
          <w:b/>
          <w:bCs/>
          <w:sz w:val="22"/>
          <w:szCs w:val="22"/>
        </w:rPr>
        <w:t>PSA</w:t>
      </w:r>
    </w:p>
    <w:tbl>
      <w:tblPr>
        <w:tblW w:w="9330" w:type="dxa"/>
        <w:jc w:val="center"/>
        <w:tblLayout w:type="fixed"/>
        <w:tblLook w:val="04A0" w:firstRow="1" w:lastRow="0" w:firstColumn="1" w:lastColumn="0" w:noHBand="0" w:noVBand="1"/>
      </w:tblPr>
      <w:tblGrid>
        <w:gridCol w:w="2053"/>
        <w:gridCol w:w="909"/>
        <w:gridCol w:w="910"/>
        <w:gridCol w:w="909"/>
        <w:gridCol w:w="910"/>
        <w:gridCol w:w="910"/>
        <w:gridCol w:w="909"/>
        <w:gridCol w:w="910"/>
        <w:gridCol w:w="910"/>
      </w:tblGrid>
      <w:tr w:rsidR="00CE68F2" w:rsidRPr="00C20CFE" w14:paraId="2FFDC7FA" w14:textId="77777777" w:rsidTr="004C5376">
        <w:trPr>
          <w:cantSplit/>
          <w:trHeight w:val="330"/>
          <w:tblHeader/>
          <w:jc w:val="center"/>
        </w:trPr>
        <w:tc>
          <w:tcPr>
            <w:tcW w:w="2053" w:type="dxa"/>
            <w:tcBorders>
              <w:top w:val="single" w:sz="12" w:space="0" w:color="auto"/>
              <w:left w:val="single" w:sz="12" w:space="0" w:color="auto"/>
              <w:bottom w:val="single" w:sz="8" w:space="0" w:color="auto"/>
              <w:right w:val="nil"/>
            </w:tcBorders>
            <w:shd w:val="clear" w:color="auto" w:fill="F2F2F2" w:themeFill="background1" w:themeFillShade="F2"/>
            <w:noWrap/>
            <w:vAlign w:val="center"/>
            <w:hideMark/>
          </w:tcPr>
          <w:p w14:paraId="44B75B1E" w14:textId="77777777" w:rsidR="00CE68F2" w:rsidRPr="00C20CFE" w:rsidRDefault="00CE68F2" w:rsidP="00A06B8B">
            <w:pPr>
              <w:rPr>
                <w:rFonts w:eastAsia="Times New Roman" w:cs="Calibri"/>
                <w:color w:val="000000"/>
                <w:sz w:val="22"/>
                <w:szCs w:val="22"/>
              </w:rPr>
            </w:pPr>
            <w:r w:rsidRPr="00C20CFE">
              <w:rPr>
                <w:rFonts w:eastAsia="Times New Roman" w:cs="Calibri"/>
                <w:color w:val="000000"/>
                <w:sz w:val="22"/>
                <w:szCs w:val="22"/>
              </w:rPr>
              <w:t> </w:t>
            </w:r>
          </w:p>
        </w:tc>
        <w:tc>
          <w:tcPr>
            <w:tcW w:w="909" w:type="dxa"/>
            <w:tcBorders>
              <w:top w:val="single" w:sz="12" w:space="0" w:color="auto"/>
              <w:left w:val="single" w:sz="8" w:space="0" w:color="auto"/>
              <w:bottom w:val="single" w:sz="8" w:space="0" w:color="auto"/>
              <w:right w:val="single" w:sz="8" w:space="0" w:color="auto"/>
            </w:tcBorders>
            <w:shd w:val="clear" w:color="auto" w:fill="F2F2F2" w:themeFill="background1" w:themeFillShade="F2"/>
            <w:noWrap/>
            <w:vAlign w:val="center"/>
            <w:hideMark/>
          </w:tcPr>
          <w:p w14:paraId="492F55D4" w14:textId="77777777" w:rsidR="00CE68F2" w:rsidRPr="00C20CFE" w:rsidRDefault="00CE68F2" w:rsidP="00A06B8B">
            <w:pPr>
              <w:rPr>
                <w:rFonts w:eastAsia="Times New Roman" w:cs="Calibri"/>
                <w:b/>
                <w:bCs/>
                <w:color w:val="000000"/>
                <w:sz w:val="22"/>
                <w:szCs w:val="22"/>
              </w:rPr>
            </w:pPr>
            <w:r w:rsidRPr="00C20CFE">
              <w:rPr>
                <w:rFonts w:eastAsia="Times New Roman" w:cs="Calibri"/>
                <w:b/>
                <w:bCs/>
                <w:color w:val="000000"/>
                <w:sz w:val="22"/>
                <w:szCs w:val="22"/>
              </w:rPr>
              <w:t>FY2022</w:t>
            </w:r>
          </w:p>
        </w:tc>
        <w:tc>
          <w:tcPr>
            <w:tcW w:w="910" w:type="dxa"/>
            <w:tcBorders>
              <w:top w:val="single" w:sz="12" w:space="0" w:color="auto"/>
              <w:left w:val="nil"/>
              <w:bottom w:val="single" w:sz="8" w:space="0" w:color="auto"/>
              <w:right w:val="single" w:sz="8" w:space="0" w:color="auto"/>
            </w:tcBorders>
            <w:shd w:val="clear" w:color="auto" w:fill="F2F2F2" w:themeFill="background1" w:themeFillShade="F2"/>
            <w:noWrap/>
            <w:vAlign w:val="center"/>
            <w:hideMark/>
          </w:tcPr>
          <w:p w14:paraId="37FC8E3E" w14:textId="77777777" w:rsidR="00CE68F2" w:rsidRPr="00C20CFE" w:rsidRDefault="00CE68F2" w:rsidP="00A06B8B">
            <w:pPr>
              <w:rPr>
                <w:rFonts w:eastAsia="Times New Roman" w:cs="Calibri"/>
                <w:b/>
                <w:bCs/>
                <w:color w:val="000000"/>
                <w:sz w:val="22"/>
                <w:szCs w:val="22"/>
              </w:rPr>
            </w:pPr>
            <w:r w:rsidRPr="00C20CFE">
              <w:rPr>
                <w:rFonts w:eastAsia="Times New Roman" w:cs="Calibri"/>
                <w:b/>
                <w:bCs/>
                <w:color w:val="000000"/>
                <w:sz w:val="22"/>
                <w:szCs w:val="22"/>
              </w:rPr>
              <w:t>FY2022 %</w:t>
            </w:r>
          </w:p>
        </w:tc>
        <w:tc>
          <w:tcPr>
            <w:tcW w:w="909" w:type="dxa"/>
            <w:tcBorders>
              <w:top w:val="single" w:sz="12" w:space="0" w:color="auto"/>
              <w:left w:val="nil"/>
              <w:bottom w:val="single" w:sz="8" w:space="0" w:color="auto"/>
              <w:right w:val="single" w:sz="8" w:space="0" w:color="auto"/>
            </w:tcBorders>
            <w:shd w:val="clear" w:color="auto" w:fill="F2F2F2" w:themeFill="background1" w:themeFillShade="F2"/>
            <w:noWrap/>
            <w:vAlign w:val="center"/>
            <w:hideMark/>
          </w:tcPr>
          <w:p w14:paraId="6EE9AD66" w14:textId="77777777" w:rsidR="00CE68F2" w:rsidRPr="00C20CFE" w:rsidRDefault="00CE68F2" w:rsidP="00A06B8B">
            <w:pPr>
              <w:rPr>
                <w:rFonts w:eastAsia="Times New Roman" w:cs="Calibri"/>
                <w:b/>
                <w:bCs/>
                <w:color w:val="000000"/>
                <w:sz w:val="22"/>
                <w:szCs w:val="22"/>
              </w:rPr>
            </w:pPr>
            <w:r w:rsidRPr="00C20CFE">
              <w:rPr>
                <w:rFonts w:eastAsia="Times New Roman" w:cs="Calibri"/>
                <w:b/>
                <w:bCs/>
                <w:color w:val="000000"/>
                <w:sz w:val="22"/>
                <w:szCs w:val="22"/>
              </w:rPr>
              <w:t>FY2023</w:t>
            </w:r>
          </w:p>
        </w:tc>
        <w:tc>
          <w:tcPr>
            <w:tcW w:w="910" w:type="dxa"/>
            <w:tcBorders>
              <w:top w:val="single" w:sz="12" w:space="0" w:color="auto"/>
              <w:left w:val="nil"/>
              <w:bottom w:val="single" w:sz="8" w:space="0" w:color="auto"/>
              <w:right w:val="single" w:sz="8" w:space="0" w:color="auto"/>
            </w:tcBorders>
            <w:shd w:val="clear" w:color="auto" w:fill="F2F2F2" w:themeFill="background1" w:themeFillShade="F2"/>
            <w:noWrap/>
            <w:vAlign w:val="center"/>
            <w:hideMark/>
          </w:tcPr>
          <w:p w14:paraId="15AE09D5" w14:textId="77777777" w:rsidR="00CE68F2" w:rsidRPr="00C20CFE" w:rsidRDefault="00CE68F2" w:rsidP="00A06B8B">
            <w:pPr>
              <w:rPr>
                <w:rFonts w:eastAsia="Times New Roman" w:cs="Calibri"/>
                <w:b/>
                <w:bCs/>
                <w:color w:val="000000"/>
                <w:sz w:val="22"/>
                <w:szCs w:val="22"/>
              </w:rPr>
            </w:pPr>
            <w:r w:rsidRPr="00C20CFE">
              <w:rPr>
                <w:rFonts w:eastAsia="Times New Roman" w:cs="Calibri"/>
                <w:b/>
                <w:bCs/>
                <w:color w:val="000000"/>
                <w:sz w:val="22"/>
                <w:szCs w:val="22"/>
              </w:rPr>
              <w:t>FY2023 %</w:t>
            </w:r>
          </w:p>
        </w:tc>
        <w:tc>
          <w:tcPr>
            <w:tcW w:w="910" w:type="dxa"/>
            <w:tcBorders>
              <w:top w:val="single" w:sz="12" w:space="0" w:color="auto"/>
              <w:left w:val="nil"/>
              <w:bottom w:val="single" w:sz="8" w:space="0" w:color="auto"/>
              <w:right w:val="single" w:sz="8" w:space="0" w:color="auto"/>
            </w:tcBorders>
            <w:shd w:val="clear" w:color="auto" w:fill="F2F2F2" w:themeFill="background1" w:themeFillShade="F2"/>
            <w:noWrap/>
            <w:vAlign w:val="center"/>
            <w:hideMark/>
          </w:tcPr>
          <w:p w14:paraId="50BBF9E2" w14:textId="77777777" w:rsidR="00CE68F2" w:rsidRPr="00C20CFE" w:rsidRDefault="00CE68F2" w:rsidP="00A06B8B">
            <w:pPr>
              <w:rPr>
                <w:rFonts w:eastAsia="Times New Roman" w:cs="Calibri"/>
                <w:b/>
                <w:bCs/>
                <w:color w:val="000000"/>
                <w:sz w:val="22"/>
                <w:szCs w:val="22"/>
              </w:rPr>
            </w:pPr>
            <w:r w:rsidRPr="00C20CFE">
              <w:rPr>
                <w:rFonts w:eastAsia="Times New Roman" w:cs="Calibri"/>
                <w:b/>
                <w:bCs/>
                <w:color w:val="000000"/>
                <w:sz w:val="22"/>
                <w:szCs w:val="22"/>
              </w:rPr>
              <w:t>FY2024</w:t>
            </w:r>
          </w:p>
        </w:tc>
        <w:tc>
          <w:tcPr>
            <w:tcW w:w="909" w:type="dxa"/>
            <w:tcBorders>
              <w:top w:val="single" w:sz="12" w:space="0" w:color="auto"/>
              <w:left w:val="nil"/>
              <w:bottom w:val="single" w:sz="8" w:space="0" w:color="auto"/>
              <w:right w:val="single" w:sz="8" w:space="0" w:color="auto"/>
            </w:tcBorders>
            <w:shd w:val="clear" w:color="auto" w:fill="F2F2F2" w:themeFill="background1" w:themeFillShade="F2"/>
            <w:noWrap/>
            <w:vAlign w:val="center"/>
            <w:hideMark/>
          </w:tcPr>
          <w:p w14:paraId="566E3435" w14:textId="77777777" w:rsidR="00CE68F2" w:rsidRPr="00C20CFE" w:rsidRDefault="00CE68F2" w:rsidP="00A06B8B">
            <w:pPr>
              <w:rPr>
                <w:rFonts w:eastAsia="Times New Roman" w:cs="Calibri"/>
                <w:b/>
                <w:bCs/>
                <w:color w:val="000000"/>
                <w:sz w:val="22"/>
                <w:szCs w:val="22"/>
              </w:rPr>
            </w:pPr>
            <w:r w:rsidRPr="00C20CFE">
              <w:rPr>
                <w:rFonts w:eastAsia="Times New Roman" w:cs="Calibri"/>
                <w:b/>
                <w:bCs/>
                <w:color w:val="000000"/>
                <w:sz w:val="22"/>
                <w:szCs w:val="22"/>
              </w:rPr>
              <w:t>FY2024 %</w:t>
            </w:r>
            <w:r w:rsidRPr="00C20CFE">
              <w:rPr>
                <w:rFonts w:eastAsia="Times New Roman" w:cs="Calibri"/>
                <w:color w:val="000000"/>
                <w:sz w:val="22"/>
                <w:szCs w:val="22"/>
              </w:rPr>
              <w:t>  </w:t>
            </w:r>
          </w:p>
        </w:tc>
        <w:tc>
          <w:tcPr>
            <w:tcW w:w="910" w:type="dxa"/>
            <w:tcBorders>
              <w:top w:val="single" w:sz="12" w:space="0" w:color="auto"/>
              <w:left w:val="nil"/>
              <w:bottom w:val="single" w:sz="8" w:space="0" w:color="auto"/>
              <w:right w:val="single" w:sz="8" w:space="0" w:color="auto"/>
            </w:tcBorders>
            <w:shd w:val="clear" w:color="auto" w:fill="F2F2F2" w:themeFill="background1" w:themeFillShade="F2"/>
            <w:noWrap/>
            <w:vAlign w:val="center"/>
            <w:hideMark/>
          </w:tcPr>
          <w:p w14:paraId="5CD5BEAD" w14:textId="77777777" w:rsidR="00CE68F2" w:rsidRPr="00C20CFE" w:rsidRDefault="00CE68F2" w:rsidP="00A06B8B">
            <w:pPr>
              <w:rPr>
                <w:rFonts w:eastAsia="Times New Roman" w:cs="Calibri"/>
                <w:b/>
                <w:bCs/>
                <w:color w:val="000000"/>
                <w:sz w:val="22"/>
                <w:szCs w:val="22"/>
              </w:rPr>
            </w:pPr>
            <w:r w:rsidRPr="00C20CFE">
              <w:rPr>
                <w:rFonts w:eastAsia="Times New Roman" w:cs="Calibri"/>
                <w:b/>
                <w:bCs/>
                <w:color w:val="000000"/>
                <w:sz w:val="22"/>
                <w:szCs w:val="22"/>
              </w:rPr>
              <w:t>FY 2025</w:t>
            </w:r>
          </w:p>
        </w:tc>
        <w:tc>
          <w:tcPr>
            <w:tcW w:w="910" w:type="dxa"/>
            <w:tcBorders>
              <w:top w:val="single" w:sz="12" w:space="0" w:color="auto"/>
              <w:left w:val="nil"/>
              <w:bottom w:val="single" w:sz="8" w:space="0" w:color="auto"/>
              <w:right w:val="single" w:sz="12" w:space="0" w:color="auto"/>
            </w:tcBorders>
            <w:shd w:val="clear" w:color="auto" w:fill="F2F2F2" w:themeFill="background1" w:themeFillShade="F2"/>
            <w:noWrap/>
            <w:vAlign w:val="center"/>
            <w:hideMark/>
          </w:tcPr>
          <w:p w14:paraId="0F00E27E" w14:textId="77777777" w:rsidR="00CE68F2" w:rsidRPr="00C20CFE" w:rsidRDefault="00CE68F2" w:rsidP="00A06B8B">
            <w:pPr>
              <w:rPr>
                <w:rFonts w:eastAsia="Times New Roman" w:cs="Calibri"/>
                <w:b/>
                <w:bCs/>
                <w:color w:val="000000"/>
                <w:sz w:val="22"/>
                <w:szCs w:val="22"/>
              </w:rPr>
            </w:pPr>
            <w:r w:rsidRPr="00C20CFE">
              <w:rPr>
                <w:rFonts w:eastAsia="Times New Roman" w:cs="Calibri"/>
                <w:b/>
                <w:bCs/>
                <w:color w:val="000000"/>
                <w:sz w:val="22"/>
                <w:szCs w:val="22"/>
              </w:rPr>
              <w:t>FY2025 %</w:t>
            </w:r>
          </w:p>
        </w:tc>
      </w:tr>
      <w:tr w:rsidR="00CE68F2" w:rsidRPr="00C20CFE" w14:paraId="32A5D729" w14:textId="77777777" w:rsidTr="004C5376">
        <w:trPr>
          <w:cantSplit/>
          <w:trHeight w:val="300"/>
          <w:jc w:val="center"/>
        </w:trPr>
        <w:tc>
          <w:tcPr>
            <w:tcW w:w="2053" w:type="dxa"/>
            <w:tcBorders>
              <w:top w:val="nil"/>
              <w:left w:val="single" w:sz="12" w:space="0" w:color="auto"/>
              <w:bottom w:val="single" w:sz="12" w:space="0" w:color="auto"/>
              <w:right w:val="nil"/>
            </w:tcBorders>
            <w:noWrap/>
            <w:vAlign w:val="center"/>
            <w:hideMark/>
          </w:tcPr>
          <w:p w14:paraId="35ED913F" w14:textId="77777777" w:rsidR="00CE68F2" w:rsidRPr="00C20CFE" w:rsidRDefault="00CE68F2" w:rsidP="00A06B8B">
            <w:pPr>
              <w:rPr>
                <w:rFonts w:eastAsia="Times New Roman" w:cs="Calibri"/>
                <w:b/>
                <w:bCs/>
                <w:color w:val="000000"/>
                <w:sz w:val="22"/>
                <w:szCs w:val="22"/>
              </w:rPr>
            </w:pPr>
            <w:r w:rsidRPr="00C20CFE">
              <w:rPr>
                <w:rFonts w:eastAsia="Times New Roman" w:cs="Calibri"/>
                <w:b/>
                <w:bCs/>
                <w:color w:val="000000"/>
                <w:sz w:val="22"/>
                <w:szCs w:val="22"/>
              </w:rPr>
              <w:t>Outpatient Endoscopy Volume Total</w:t>
            </w:r>
          </w:p>
        </w:tc>
        <w:tc>
          <w:tcPr>
            <w:tcW w:w="909" w:type="dxa"/>
            <w:tcBorders>
              <w:top w:val="nil"/>
              <w:left w:val="single" w:sz="8" w:space="0" w:color="auto"/>
              <w:bottom w:val="single" w:sz="12" w:space="0" w:color="auto"/>
              <w:right w:val="single" w:sz="8" w:space="0" w:color="auto"/>
            </w:tcBorders>
            <w:noWrap/>
            <w:vAlign w:val="center"/>
            <w:hideMark/>
          </w:tcPr>
          <w:p w14:paraId="75E9E60A" w14:textId="77777777" w:rsidR="00CE68F2" w:rsidRPr="00C20CFE" w:rsidRDefault="00CE68F2" w:rsidP="00A06B8B">
            <w:pPr>
              <w:jc w:val="center"/>
              <w:rPr>
                <w:rFonts w:eastAsia="Times New Roman" w:cs="Calibri"/>
                <w:b/>
                <w:bCs/>
                <w:color w:val="000000"/>
                <w:sz w:val="22"/>
                <w:szCs w:val="22"/>
              </w:rPr>
            </w:pPr>
            <w:r w:rsidRPr="00C20CFE">
              <w:rPr>
                <w:rFonts w:eastAsia="Times New Roman" w:cs="Calibri"/>
                <w:b/>
                <w:bCs/>
                <w:color w:val="000000"/>
                <w:sz w:val="22"/>
                <w:szCs w:val="22"/>
              </w:rPr>
              <w:t>9,879</w:t>
            </w:r>
          </w:p>
        </w:tc>
        <w:tc>
          <w:tcPr>
            <w:tcW w:w="910" w:type="dxa"/>
            <w:tcBorders>
              <w:top w:val="nil"/>
              <w:left w:val="nil"/>
              <w:bottom w:val="single" w:sz="12" w:space="0" w:color="auto"/>
              <w:right w:val="single" w:sz="8" w:space="0" w:color="auto"/>
            </w:tcBorders>
            <w:noWrap/>
            <w:vAlign w:val="center"/>
            <w:hideMark/>
          </w:tcPr>
          <w:p w14:paraId="292B0AC4" w14:textId="77777777" w:rsidR="00CE68F2" w:rsidRPr="00C20CFE" w:rsidRDefault="00CE68F2" w:rsidP="00A06B8B">
            <w:pPr>
              <w:jc w:val="center"/>
              <w:rPr>
                <w:rFonts w:eastAsia="Times New Roman" w:cs="Calibri"/>
                <w:b/>
                <w:bCs/>
                <w:color w:val="000000"/>
                <w:sz w:val="22"/>
                <w:szCs w:val="22"/>
              </w:rPr>
            </w:pPr>
            <w:r w:rsidRPr="00C20CFE">
              <w:rPr>
                <w:rFonts w:eastAsia="Times New Roman" w:cs="Calibri"/>
                <w:b/>
                <w:bCs/>
                <w:color w:val="000000"/>
                <w:sz w:val="22"/>
                <w:szCs w:val="22"/>
              </w:rPr>
              <w:t>100%</w:t>
            </w:r>
          </w:p>
        </w:tc>
        <w:tc>
          <w:tcPr>
            <w:tcW w:w="909" w:type="dxa"/>
            <w:tcBorders>
              <w:top w:val="nil"/>
              <w:left w:val="nil"/>
              <w:bottom w:val="single" w:sz="12" w:space="0" w:color="auto"/>
              <w:right w:val="single" w:sz="8" w:space="0" w:color="auto"/>
            </w:tcBorders>
            <w:noWrap/>
            <w:vAlign w:val="center"/>
            <w:hideMark/>
          </w:tcPr>
          <w:p w14:paraId="7348C1DD" w14:textId="77777777" w:rsidR="00CE68F2" w:rsidRPr="00C20CFE" w:rsidRDefault="00CE68F2" w:rsidP="00A06B8B">
            <w:pPr>
              <w:jc w:val="center"/>
              <w:rPr>
                <w:rFonts w:eastAsia="Times New Roman" w:cs="Calibri"/>
                <w:b/>
                <w:bCs/>
                <w:color w:val="000000"/>
                <w:sz w:val="22"/>
                <w:szCs w:val="22"/>
              </w:rPr>
            </w:pPr>
            <w:r w:rsidRPr="00C20CFE">
              <w:rPr>
                <w:rFonts w:eastAsia="Times New Roman" w:cs="Calibri"/>
                <w:b/>
                <w:bCs/>
                <w:color w:val="000000"/>
                <w:sz w:val="22"/>
                <w:szCs w:val="22"/>
              </w:rPr>
              <w:t>10,237</w:t>
            </w:r>
          </w:p>
        </w:tc>
        <w:tc>
          <w:tcPr>
            <w:tcW w:w="910" w:type="dxa"/>
            <w:tcBorders>
              <w:top w:val="nil"/>
              <w:left w:val="nil"/>
              <w:bottom w:val="single" w:sz="12" w:space="0" w:color="auto"/>
              <w:right w:val="single" w:sz="8" w:space="0" w:color="auto"/>
            </w:tcBorders>
            <w:noWrap/>
            <w:vAlign w:val="center"/>
            <w:hideMark/>
          </w:tcPr>
          <w:p w14:paraId="4942321F" w14:textId="77777777" w:rsidR="00CE68F2" w:rsidRPr="00C20CFE" w:rsidRDefault="00CE68F2" w:rsidP="00A06B8B">
            <w:pPr>
              <w:jc w:val="center"/>
              <w:rPr>
                <w:rFonts w:eastAsia="Times New Roman" w:cs="Calibri"/>
                <w:b/>
                <w:bCs/>
                <w:color w:val="000000"/>
                <w:sz w:val="22"/>
                <w:szCs w:val="22"/>
              </w:rPr>
            </w:pPr>
            <w:r w:rsidRPr="00C20CFE">
              <w:rPr>
                <w:rFonts w:eastAsia="Times New Roman" w:cs="Calibri"/>
                <w:b/>
                <w:bCs/>
                <w:color w:val="000000"/>
                <w:sz w:val="22"/>
                <w:szCs w:val="22"/>
              </w:rPr>
              <w:t>100%</w:t>
            </w:r>
          </w:p>
        </w:tc>
        <w:tc>
          <w:tcPr>
            <w:tcW w:w="910" w:type="dxa"/>
            <w:tcBorders>
              <w:top w:val="nil"/>
              <w:left w:val="nil"/>
              <w:bottom w:val="single" w:sz="12" w:space="0" w:color="auto"/>
              <w:right w:val="single" w:sz="8" w:space="0" w:color="auto"/>
            </w:tcBorders>
            <w:noWrap/>
            <w:vAlign w:val="center"/>
            <w:hideMark/>
          </w:tcPr>
          <w:p w14:paraId="0B89AC67" w14:textId="77777777" w:rsidR="00CE68F2" w:rsidRPr="00C20CFE" w:rsidRDefault="00CE68F2" w:rsidP="00A06B8B">
            <w:pPr>
              <w:jc w:val="center"/>
              <w:rPr>
                <w:rFonts w:eastAsia="Times New Roman" w:cs="Calibri"/>
                <w:b/>
                <w:bCs/>
                <w:color w:val="000000"/>
                <w:sz w:val="22"/>
                <w:szCs w:val="22"/>
              </w:rPr>
            </w:pPr>
            <w:r w:rsidRPr="00C20CFE">
              <w:rPr>
                <w:rFonts w:eastAsia="Times New Roman" w:cs="Calibri"/>
                <w:b/>
                <w:bCs/>
                <w:color w:val="000000"/>
                <w:sz w:val="22"/>
                <w:szCs w:val="22"/>
              </w:rPr>
              <w:t>9,449</w:t>
            </w:r>
          </w:p>
        </w:tc>
        <w:tc>
          <w:tcPr>
            <w:tcW w:w="909" w:type="dxa"/>
            <w:tcBorders>
              <w:top w:val="nil"/>
              <w:left w:val="nil"/>
              <w:bottom w:val="single" w:sz="12" w:space="0" w:color="auto"/>
              <w:right w:val="single" w:sz="8" w:space="0" w:color="auto"/>
            </w:tcBorders>
            <w:noWrap/>
            <w:vAlign w:val="center"/>
            <w:hideMark/>
          </w:tcPr>
          <w:p w14:paraId="3BA7966D" w14:textId="77777777" w:rsidR="00CE68F2" w:rsidRPr="00C20CFE" w:rsidRDefault="00CE68F2" w:rsidP="00A06B8B">
            <w:pPr>
              <w:jc w:val="center"/>
              <w:rPr>
                <w:rFonts w:eastAsia="Times New Roman" w:cs="Calibri"/>
                <w:b/>
                <w:bCs/>
                <w:color w:val="000000"/>
                <w:sz w:val="22"/>
                <w:szCs w:val="22"/>
              </w:rPr>
            </w:pPr>
            <w:r w:rsidRPr="00C20CFE">
              <w:rPr>
                <w:rFonts w:eastAsia="Times New Roman" w:cs="Calibri"/>
                <w:b/>
                <w:bCs/>
                <w:color w:val="000000"/>
                <w:sz w:val="22"/>
                <w:szCs w:val="22"/>
              </w:rPr>
              <w:t>100%</w:t>
            </w:r>
          </w:p>
        </w:tc>
        <w:tc>
          <w:tcPr>
            <w:tcW w:w="910" w:type="dxa"/>
            <w:tcBorders>
              <w:top w:val="nil"/>
              <w:left w:val="nil"/>
              <w:bottom w:val="single" w:sz="12" w:space="0" w:color="auto"/>
              <w:right w:val="single" w:sz="8" w:space="0" w:color="auto"/>
            </w:tcBorders>
            <w:noWrap/>
            <w:vAlign w:val="center"/>
            <w:hideMark/>
          </w:tcPr>
          <w:p w14:paraId="2742B77B" w14:textId="77777777" w:rsidR="00CE68F2" w:rsidRPr="00C20CFE" w:rsidRDefault="00CE68F2" w:rsidP="00A06B8B">
            <w:pPr>
              <w:jc w:val="center"/>
              <w:rPr>
                <w:rFonts w:eastAsia="Times New Roman" w:cs="Calibri"/>
                <w:b/>
                <w:bCs/>
                <w:color w:val="000000"/>
                <w:sz w:val="22"/>
                <w:szCs w:val="22"/>
              </w:rPr>
            </w:pPr>
            <w:r w:rsidRPr="00C20CFE">
              <w:rPr>
                <w:rFonts w:eastAsia="Times New Roman" w:cs="Calibri"/>
                <w:b/>
                <w:bCs/>
                <w:color w:val="000000"/>
                <w:sz w:val="22"/>
                <w:szCs w:val="22"/>
              </w:rPr>
              <w:t>10,241</w:t>
            </w:r>
          </w:p>
        </w:tc>
        <w:tc>
          <w:tcPr>
            <w:tcW w:w="910" w:type="dxa"/>
            <w:tcBorders>
              <w:top w:val="nil"/>
              <w:left w:val="nil"/>
              <w:bottom w:val="single" w:sz="12" w:space="0" w:color="auto"/>
              <w:right w:val="single" w:sz="12" w:space="0" w:color="auto"/>
            </w:tcBorders>
            <w:noWrap/>
            <w:vAlign w:val="center"/>
            <w:hideMark/>
          </w:tcPr>
          <w:p w14:paraId="4585A208" w14:textId="77777777" w:rsidR="00CE68F2" w:rsidRPr="00C20CFE" w:rsidRDefault="00CE68F2" w:rsidP="00A06B8B">
            <w:pPr>
              <w:jc w:val="center"/>
              <w:rPr>
                <w:rFonts w:eastAsia="Times New Roman" w:cs="Calibri"/>
                <w:b/>
                <w:bCs/>
                <w:color w:val="000000"/>
                <w:sz w:val="22"/>
                <w:szCs w:val="22"/>
              </w:rPr>
            </w:pPr>
            <w:r w:rsidRPr="00C20CFE">
              <w:rPr>
                <w:rFonts w:eastAsia="Times New Roman" w:cs="Calibri"/>
                <w:b/>
                <w:bCs/>
                <w:color w:val="000000"/>
                <w:sz w:val="22"/>
                <w:szCs w:val="22"/>
              </w:rPr>
              <w:t>100%</w:t>
            </w:r>
          </w:p>
        </w:tc>
      </w:tr>
      <w:tr w:rsidR="00CE68F2" w:rsidRPr="00C20CFE" w14:paraId="37346D6B" w14:textId="77777777" w:rsidTr="004C5376">
        <w:trPr>
          <w:cantSplit/>
          <w:trHeight w:val="310"/>
          <w:jc w:val="center"/>
        </w:trPr>
        <w:tc>
          <w:tcPr>
            <w:tcW w:w="2053" w:type="dxa"/>
            <w:tcBorders>
              <w:top w:val="nil"/>
              <w:left w:val="single" w:sz="12" w:space="0" w:color="auto"/>
              <w:bottom w:val="single" w:sz="8" w:space="0" w:color="auto"/>
              <w:right w:val="nil"/>
            </w:tcBorders>
            <w:noWrap/>
            <w:vAlign w:val="center"/>
            <w:hideMark/>
          </w:tcPr>
          <w:p w14:paraId="1F3C19F6" w14:textId="77777777" w:rsidR="00CE68F2" w:rsidRPr="00C20CFE" w:rsidRDefault="00CE68F2" w:rsidP="00A06B8B">
            <w:pPr>
              <w:rPr>
                <w:rFonts w:eastAsia="Times New Roman" w:cs="Calibri"/>
                <w:color w:val="000000"/>
                <w:sz w:val="22"/>
                <w:szCs w:val="22"/>
              </w:rPr>
            </w:pPr>
            <w:r w:rsidRPr="00C20CFE">
              <w:rPr>
                <w:rFonts w:eastAsia="Times New Roman" w:cs="Calibri"/>
                <w:color w:val="000000"/>
                <w:sz w:val="22"/>
                <w:szCs w:val="22"/>
              </w:rPr>
              <w:t>Facility: BWH</w:t>
            </w:r>
          </w:p>
        </w:tc>
        <w:tc>
          <w:tcPr>
            <w:tcW w:w="909" w:type="dxa"/>
            <w:tcBorders>
              <w:top w:val="nil"/>
              <w:left w:val="single" w:sz="8" w:space="0" w:color="auto"/>
              <w:bottom w:val="single" w:sz="8" w:space="0" w:color="auto"/>
              <w:right w:val="single" w:sz="8" w:space="0" w:color="auto"/>
            </w:tcBorders>
            <w:noWrap/>
            <w:vAlign w:val="center"/>
            <w:hideMark/>
          </w:tcPr>
          <w:p w14:paraId="5FBCB294" w14:textId="77777777" w:rsidR="00CE68F2" w:rsidRPr="00C20CFE" w:rsidRDefault="00CE68F2" w:rsidP="00A06B8B">
            <w:pPr>
              <w:jc w:val="center"/>
              <w:rPr>
                <w:rFonts w:eastAsia="Times New Roman" w:cs="Calibri"/>
                <w:color w:val="000000"/>
                <w:sz w:val="22"/>
                <w:szCs w:val="22"/>
              </w:rPr>
            </w:pPr>
            <w:r w:rsidRPr="00C20CFE">
              <w:rPr>
                <w:rFonts w:eastAsia="Times New Roman" w:cs="Calibri"/>
                <w:color w:val="000000"/>
                <w:sz w:val="22"/>
                <w:szCs w:val="22"/>
              </w:rPr>
              <w:t>2,496</w:t>
            </w:r>
          </w:p>
        </w:tc>
        <w:tc>
          <w:tcPr>
            <w:tcW w:w="910" w:type="dxa"/>
            <w:tcBorders>
              <w:top w:val="nil"/>
              <w:left w:val="nil"/>
              <w:bottom w:val="single" w:sz="8" w:space="0" w:color="auto"/>
              <w:right w:val="single" w:sz="8" w:space="0" w:color="auto"/>
            </w:tcBorders>
            <w:noWrap/>
            <w:vAlign w:val="center"/>
            <w:hideMark/>
          </w:tcPr>
          <w:p w14:paraId="651BCB27" w14:textId="77777777" w:rsidR="00CE68F2" w:rsidRPr="00C20CFE" w:rsidRDefault="00CE68F2" w:rsidP="00A06B8B">
            <w:pPr>
              <w:jc w:val="center"/>
              <w:rPr>
                <w:rFonts w:eastAsia="Times New Roman" w:cs="Calibri"/>
                <w:color w:val="000000"/>
                <w:sz w:val="22"/>
                <w:szCs w:val="22"/>
              </w:rPr>
            </w:pPr>
            <w:r w:rsidRPr="00C20CFE">
              <w:rPr>
                <w:rFonts w:eastAsia="Times New Roman" w:cs="Calibri"/>
                <w:color w:val="000000"/>
                <w:sz w:val="22"/>
                <w:szCs w:val="22"/>
              </w:rPr>
              <w:t>25%</w:t>
            </w:r>
          </w:p>
        </w:tc>
        <w:tc>
          <w:tcPr>
            <w:tcW w:w="909" w:type="dxa"/>
            <w:tcBorders>
              <w:top w:val="nil"/>
              <w:left w:val="nil"/>
              <w:bottom w:val="single" w:sz="8" w:space="0" w:color="auto"/>
              <w:right w:val="single" w:sz="8" w:space="0" w:color="auto"/>
            </w:tcBorders>
            <w:noWrap/>
            <w:vAlign w:val="center"/>
            <w:hideMark/>
          </w:tcPr>
          <w:p w14:paraId="764D8CE1" w14:textId="77777777" w:rsidR="00CE68F2" w:rsidRPr="00C20CFE" w:rsidRDefault="00CE68F2" w:rsidP="00A06B8B">
            <w:pPr>
              <w:jc w:val="center"/>
              <w:rPr>
                <w:rFonts w:eastAsia="Times New Roman" w:cs="Calibri"/>
                <w:color w:val="000000"/>
                <w:sz w:val="22"/>
                <w:szCs w:val="22"/>
              </w:rPr>
            </w:pPr>
            <w:r w:rsidRPr="00C20CFE">
              <w:rPr>
                <w:rFonts w:eastAsia="Times New Roman" w:cs="Calibri"/>
                <w:color w:val="000000"/>
                <w:sz w:val="22"/>
                <w:szCs w:val="22"/>
              </w:rPr>
              <w:t>2,007</w:t>
            </w:r>
          </w:p>
        </w:tc>
        <w:tc>
          <w:tcPr>
            <w:tcW w:w="910" w:type="dxa"/>
            <w:tcBorders>
              <w:top w:val="nil"/>
              <w:left w:val="nil"/>
              <w:bottom w:val="single" w:sz="8" w:space="0" w:color="auto"/>
              <w:right w:val="single" w:sz="8" w:space="0" w:color="auto"/>
            </w:tcBorders>
            <w:noWrap/>
            <w:vAlign w:val="center"/>
            <w:hideMark/>
          </w:tcPr>
          <w:p w14:paraId="18227B4B" w14:textId="77777777" w:rsidR="00CE68F2" w:rsidRPr="00C20CFE" w:rsidRDefault="00CE68F2" w:rsidP="00A06B8B">
            <w:pPr>
              <w:jc w:val="center"/>
              <w:rPr>
                <w:rFonts w:eastAsia="Times New Roman" w:cs="Calibri"/>
                <w:color w:val="000000"/>
                <w:sz w:val="22"/>
                <w:szCs w:val="22"/>
              </w:rPr>
            </w:pPr>
            <w:r w:rsidRPr="00C20CFE">
              <w:rPr>
                <w:rFonts w:eastAsia="Times New Roman" w:cs="Calibri"/>
                <w:color w:val="000000"/>
                <w:sz w:val="22"/>
                <w:szCs w:val="22"/>
              </w:rPr>
              <w:t>20%</w:t>
            </w:r>
          </w:p>
        </w:tc>
        <w:tc>
          <w:tcPr>
            <w:tcW w:w="910" w:type="dxa"/>
            <w:tcBorders>
              <w:top w:val="nil"/>
              <w:left w:val="nil"/>
              <w:bottom w:val="single" w:sz="8" w:space="0" w:color="auto"/>
              <w:right w:val="single" w:sz="8" w:space="0" w:color="auto"/>
            </w:tcBorders>
            <w:noWrap/>
            <w:vAlign w:val="center"/>
            <w:hideMark/>
          </w:tcPr>
          <w:p w14:paraId="7DE0A0EB" w14:textId="77777777" w:rsidR="00CE68F2" w:rsidRPr="00C20CFE" w:rsidRDefault="00CE68F2" w:rsidP="00A06B8B">
            <w:pPr>
              <w:jc w:val="center"/>
              <w:rPr>
                <w:rFonts w:eastAsia="Times New Roman" w:cs="Calibri"/>
                <w:color w:val="000000"/>
                <w:sz w:val="22"/>
                <w:szCs w:val="22"/>
              </w:rPr>
            </w:pPr>
            <w:r w:rsidRPr="00C20CFE">
              <w:rPr>
                <w:rFonts w:eastAsia="Times New Roman" w:cs="Calibri"/>
                <w:color w:val="000000"/>
                <w:sz w:val="22"/>
                <w:szCs w:val="22"/>
              </w:rPr>
              <w:t>2,055</w:t>
            </w:r>
          </w:p>
        </w:tc>
        <w:tc>
          <w:tcPr>
            <w:tcW w:w="909" w:type="dxa"/>
            <w:tcBorders>
              <w:top w:val="nil"/>
              <w:left w:val="nil"/>
              <w:bottom w:val="single" w:sz="8" w:space="0" w:color="auto"/>
              <w:right w:val="single" w:sz="8" w:space="0" w:color="auto"/>
            </w:tcBorders>
            <w:noWrap/>
            <w:vAlign w:val="center"/>
            <w:hideMark/>
          </w:tcPr>
          <w:p w14:paraId="2D8A4BD0" w14:textId="77777777" w:rsidR="00CE68F2" w:rsidRPr="00C20CFE" w:rsidRDefault="00CE68F2" w:rsidP="00A06B8B">
            <w:pPr>
              <w:jc w:val="center"/>
              <w:rPr>
                <w:rFonts w:eastAsia="Times New Roman" w:cs="Calibri"/>
                <w:color w:val="000000"/>
                <w:sz w:val="22"/>
                <w:szCs w:val="22"/>
              </w:rPr>
            </w:pPr>
            <w:r w:rsidRPr="00C20CFE">
              <w:rPr>
                <w:rFonts w:eastAsia="Times New Roman" w:cs="Calibri"/>
                <w:color w:val="000000"/>
                <w:sz w:val="22"/>
                <w:szCs w:val="22"/>
              </w:rPr>
              <w:t>22%</w:t>
            </w:r>
          </w:p>
        </w:tc>
        <w:tc>
          <w:tcPr>
            <w:tcW w:w="910" w:type="dxa"/>
            <w:tcBorders>
              <w:top w:val="nil"/>
              <w:left w:val="nil"/>
              <w:bottom w:val="single" w:sz="8" w:space="0" w:color="auto"/>
              <w:right w:val="single" w:sz="8" w:space="0" w:color="auto"/>
            </w:tcBorders>
            <w:noWrap/>
            <w:vAlign w:val="center"/>
            <w:hideMark/>
          </w:tcPr>
          <w:p w14:paraId="2D8B2888" w14:textId="77777777" w:rsidR="00CE68F2" w:rsidRPr="00C20CFE" w:rsidRDefault="00CE68F2" w:rsidP="00A06B8B">
            <w:pPr>
              <w:jc w:val="center"/>
              <w:rPr>
                <w:rFonts w:eastAsia="Times New Roman" w:cs="Calibri"/>
                <w:color w:val="000000"/>
                <w:sz w:val="22"/>
                <w:szCs w:val="22"/>
              </w:rPr>
            </w:pPr>
            <w:r w:rsidRPr="00C20CFE">
              <w:rPr>
                <w:rFonts w:eastAsia="Times New Roman" w:cs="Calibri"/>
                <w:color w:val="000000"/>
                <w:sz w:val="22"/>
                <w:szCs w:val="22"/>
              </w:rPr>
              <w:t>1,965</w:t>
            </w:r>
          </w:p>
        </w:tc>
        <w:tc>
          <w:tcPr>
            <w:tcW w:w="910" w:type="dxa"/>
            <w:tcBorders>
              <w:top w:val="nil"/>
              <w:left w:val="nil"/>
              <w:bottom w:val="single" w:sz="8" w:space="0" w:color="auto"/>
              <w:right w:val="single" w:sz="12" w:space="0" w:color="auto"/>
            </w:tcBorders>
            <w:noWrap/>
            <w:vAlign w:val="center"/>
            <w:hideMark/>
          </w:tcPr>
          <w:p w14:paraId="4E9EA533" w14:textId="77777777" w:rsidR="00CE68F2" w:rsidRPr="00C20CFE" w:rsidRDefault="00CE68F2" w:rsidP="00A06B8B">
            <w:pPr>
              <w:jc w:val="center"/>
              <w:rPr>
                <w:rFonts w:eastAsia="Times New Roman" w:cs="Calibri"/>
                <w:color w:val="000000"/>
                <w:sz w:val="22"/>
                <w:szCs w:val="22"/>
              </w:rPr>
            </w:pPr>
            <w:r w:rsidRPr="00C20CFE">
              <w:rPr>
                <w:rFonts w:eastAsia="Times New Roman" w:cs="Calibri"/>
                <w:color w:val="000000"/>
                <w:sz w:val="22"/>
                <w:szCs w:val="22"/>
              </w:rPr>
              <w:t>19%</w:t>
            </w:r>
          </w:p>
        </w:tc>
      </w:tr>
      <w:tr w:rsidR="00CE68F2" w:rsidRPr="00C20CFE" w14:paraId="56CA3F0B" w14:textId="77777777" w:rsidTr="004C5376">
        <w:trPr>
          <w:cantSplit/>
          <w:trHeight w:val="300"/>
          <w:jc w:val="center"/>
        </w:trPr>
        <w:tc>
          <w:tcPr>
            <w:tcW w:w="2053" w:type="dxa"/>
            <w:tcBorders>
              <w:top w:val="nil"/>
              <w:left w:val="single" w:sz="12" w:space="0" w:color="auto"/>
              <w:bottom w:val="single" w:sz="12" w:space="0" w:color="auto"/>
              <w:right w:val="nil"/>
            </w:tcBorders>
            <w:noWrap/>
            <w:vAlign w:val="center"/>
            <w:hideMark/>
          </w:tcPr>
          <w:p w14:paraId="71567E2E" w14:textId="77777777" w:rsidR="00CE68F2" w:rsidRPr="00C20CFE" w:rsidRDefault="00CE68F2" w:rsidP="00A06B8B">
            <w:pPr>
              <w:rPr>
                <w:rFonts w:eastAsia="Times New Roman" w:cs="Calibri"/>
                <w:color w:val="000000"/>
                <w:sz w:val="22"/>
                <w:szCs w:val="22"/>
              </w:rPr>
            </w:pPr>
            <w:r w:rsidRPr="00C20CFE">
              <w:rPr>
                <w:rFonts w:eastAsia="Times New Roman" w:cs="Calibri"/>
                <w:color w:val="000000"/>
                <w:sz w:val="22"/>
                <w:szCs w:val="22"/>
              </w:rPr>
              <w:t>Facility: MGH</w:t>
            </w:r>
          </w:p>
        </w:tc>
        <w:tc>
          <w:tcPr>
            <w:tcW w:w="909" w:type="dxa"/>
            <w:tcBorders>
              <w:top w:val="nil"/>
              <w:left w:val="single" w:sz="8" w:space="0" w:color="auto"/>
              <w:bottom w:val="single" w:sz="12" w:space="0" w:color="auto"/>
              <w:right w:val="single" w:sz="8" w:space="0" w:color="auto"/>
            </w:tcBorders>
            <w:noWrap/>
            <w:vAlign w:val="center"/>
            <w:hideMark/>
          </w:tcPr>
          <w:p w14:paraId="1E33A286" w14:textId="77777777" w:rsidR="00CE68F2" w:rsidRPr="00C20CFE" w:rsidRDefault="00CE68F2" w:rsidP="00A06B8B">
            <w:pPr>
              <w:jc w:val="center"/>
              <w:rPr>
                <w:rFonts w:eastAsia="Times New Roman" w:cs="Calibri"/>
                <w:color w:val="000000"/>
                <w:sz w:val="22"/>
                <w:szCs w:val="22"/>
              </w:rPr>
            </w:pPr>
            <w:r w:rsidRPr="00C20CFE">
              <w:rPr>
                <w:rFonts w:eastAsia="Times New Roman" w:cs="Calibri"/>
                <w:color w:val="000000"/>
                <w:sz w:val="22"/>
                <w:szCs w:val="22"/>
              </w:rPr>
              <w:t>7,383</w:t>
            </w:r>
          </w:p>
        </w:tc>
        <w:tc>
          <w:tcPr>
            <w:tcW w:w="910" w:type="dxa"/>
            <w:tcBorders>
              <w:top w:val="nil"/>
              <w:left w:val="nil"/>
              <w:bottom w:val="single" w:sz="12" w:space="0" w:color="auto"/>
              <w:right w:val="single" w:sz="8" w:space="0" w:color="auto"/>
            </w:tcBorders>
            <w:noWrap/>
            <w:vAlign w:val="center"/>
            <w:hideMark/>
          </w:tcPr>
          <w:p w14:paraId="3DEEB33D" w14:textId="77777777" w:rsidR="00CE68F2" w:rsidRPr="00C20CFE" w:rsidRDefault="00CE68F2" w:rsidP="00A06B8B">
            <w:pPr>
              <w:jc w:val="center"/>
              <w:rPr>
                <w:rFonts w:eastAsia="Times New Roman" w:cs="Calibri"/>
                <w:color w:val="000000"/>
                <w:sz w:val="22"/>
                <w:szCs w:val="22"/>
              </w:rPr>
            </w:pPr>
            <w:r w:rsidRPr="00C20CFE">
              <w:rPr>
                <w:rFonts w:eastAsia="Times New Roman" w:cs="Calibri"/>
                <w:color w:val="000000"/>
                <w:sz w:val="22"/>
                <w:szCs w:val="22"/>
              </w:rPr>
              <w:t>75%</w:t>
            </w:r>
          </w:p>
        </w:tc>
        <w:tc>
          <w:tcPr>
            <w:tcW w:w="909" w:type="dxa"/>
            <w:tcBorders>
              <w:top w:val="nil"/>
              <w:left w:val="nil"/>
              <w:bottom w:val="single" w:sz="12" w:space="0" w:color="auto"/>
              <w:right w:val="single" w:sz="8" w:space="0" w:color="auto"/>
            </w:tcBorders>
            <w:noWrap/>
            <w:vAlign w:val="center"/>
            <w:hideMark/>
          </w:tcPr>
          <w:p w14:paraId="095F0CB8" w14:textId="77777777" w:rsidR="00CE68F2" w:rsidRPr="00C20CFE" w:rsidRDefault="00CE68F2" w:rsidP="00A06B8B">
            <w:pPr>
              <w:jc w:val="center"/>
              <w:rPr>
                <w:rFonts w:eastAsia="Times New Roman" w:cs="Calibri"/>
                <w:color w:val="000000"/>
                <w:sz w:val="22"/>
                <w:szCs w:val="22"/>
              </w:rPr>
            </w:pPr>
            <w:r w:rsidRPr="00C20CFE">
              <w:rPr>
                <w:rFonts w:eastAsia="Times New Roman" w:cs="Calibri"/>
                <w:color w:val="000000"/>
                <w:sz w:val="22"/>
                <w:szCs w:val="22"/>
              </w:rPr>
              <w:t>8,230</w:t>
            </w:r>
          </w:p>
        </w:tc>
        <w:tc>
          <w:tcPr>
            <w:tcW w:w="910" w:type="dxa"/>
            <w:tcBorders>
              <w:top w:val="nil"/>
              <w:left w:val="nil"/>
              <w:bottom w:val="single" w:sz="12" w:space="0" w:color="auto"/>
              <w:right w:val="single" w:sz="8" w:space="0" w:color="auto"/>
            </w:tcBorders>
            <w:noWrap/>
            <w:vAlign w:val="center"/>
            <w:hideMark/>
          </w:tcPr>
          <w:p w14:paraId="1E77B55B" w14:textId="77777777" w:rsidR="00CE68F2" w:rsidRPr="00C20CFE" w:rsidRDefault="00CE68F2" w:rsidP="00A06B8B">
            <w:pPr>
              <w:jc w:val="center"/>
              <w:rPr>
                <w:rFonts w:eastAsia="Times New Roman" w:cs="Calibri"/>
                <w:color w:val="000000"/>
                <w:sz w:val="22"/>
                <w:szCs w:val="22"/>
              </w:rPr>
            </w:pPr>
            <w:r w:rsidRPr="00C20CFE">
              <w:rPr>
                <w:rFonts w:eastAsia="Times New Roman" w:cs="Calibri"/>
                <w:color w:val="000000"/>
                <w:sz w:val="22"/>
                <w:szCs w:val="22"/>
              </w:rPr>
              <w:t>80%</w:t>
            </w:r>
          </w:p>
        </w:tc>
        <w:tc>
          <w:tcPr>
            <w:tcW w:w="910" w:type="dxa"/>
            <w:tcBorders>
              <w:top w:val="nil"/>
              <w:left w:val="nil"/>
              <w:bottom w:val="single" w:sz="12" w:space="0" w:color="auto"/>
              <w:right w:val="single" w:sz="8" w:space="0" w:color="auto"/>
            </w:tcBorders>
            <w:noWrap/>
            <w:vAlign w:val="center"/>
            <w:hideMark/>
          </w:tcPr>
          <w:p w14:paraId="7175149C" w14:textId="77777777" w:rsidR="00CE68F2" w:rsidRPr="00C20CFE" w:rsidRDefault="00CE68F2" w:rsidP="00A06B8B">
            <w:pPr>
              <w:jc w:val="center"/>
              <w:rPr>
                <w:rFonts w:eastAsia="Times New Roman" w:cs="Calibri"/>
                <w:color w:val="000000"/>
                <w:sz w:val="22"/>
                <w:szCs w:val="22"/>
              </w:rPr>
            </w:pPr>
            <w:r w:rsidRPr="00C20CFE">
              <w:rPr>
                <w:rFonts w:eastAsia="Times New Roman" w:cs="Calibri"/>
                <w:color w:val="000000"/>
                <w:sz w:val="22"/>
                <w:szCs w:val="22"/>
              </w:rPr>
              <w:t>7,394</w:t>
            </w:r>
          </w:p>
        </w:tc>
        <w:tc>
          <w:tcPr>
            <w:tcW w:w="909" w:type="dxa"/>
            <w:tcBorders>
              <w:top w:val="nil"/>
              <w:left w:val="nil"/>
              <w:bottom w:val="single" w:sz="12" w:space="0" w:color="auto"/>
              <w:right w:val="single" w:sz="8" w:space="0" w:color="auto"/>
            </w:tcBorders>
            <w:noWrap/>
            <w:vAlign w:val="center"/>
            <w:hideMark/>
          </w:tcPr>
          <w:p w14:paraId="33A4997C" w14:textId="77777777" w:rsidR="00CE68F2" w:rsidRPr="00C20CFE" w:rsidRDefault="00CE68F2" w:rsidP="00A06B8B">
            <w:pPr>
              <w:jc w:val="center"/>
              <w:rPr>
                <w:rFonts w:eastAsia="Times New Roman" w:cs="Calibri"/>
                <w:color w:val="000000"/>
                <w:sz w:val="22"/>
                <w:szCs w:val="22"/>
              </w:rPr>
            </w:pPr>
            <w:r w:rsidRPr="00C20CFE">
              <w:rPr>
                <w:rFonts w:eastAsia="Times New Roman" w:cs="Calibri"/>
                <w:color w:val="000000"/>
                <w:sz w:val="22"/>
                <w:szCs w:val="22"/>
              </w:rPr>
              <w:t>78%</w:t>
            </w:r>
          </w:p>
        </w:tc>
        <w:tc>
          <w:tcPr>
            <w:tcW w:w="910" w:type="dxa"/>
            <w:tcBorders>
              <w:top w:val="nil"/>
              <w:left w:val="nil"/>
              <w:bottom w:val="single" w:sz="12" w:space="0" w:color="auto"/>
              <w:right w:val="single" w:sz="8" w:space="0" w:color="auto"/>
            </w:tcBorders>
            <w:noWrap/>
            <w:vAlign w:val="center"/>
            <w:hideMark/>
          </w:tcPr>
          <w:p w14:paraId="4CA10AC7" w14:textId="77777777" w:rsidR="00CE68F2" w:rsidRPr="00C20CFE" w:rsidRDefault="00CE68F2" w:rsidP="00A06B8B">
            <w:pPr>
              <w:jc w:val="center"/>
              <w:rPr>
                <w:rFonts w:eastAsia="Times New Roman" w:cs="Calibri"/>
                <w:color w:val="000000"/>
                <w:sz w:val="22"/>
                <w:szCs w:val="22"/>
              </w:rPr>
            </w:pPr>
            <w:r w:rsidRPr="00C20CFE">
              <w:rPr>
                <w:rFonts w:eastAsia="Times New Roman" w:cs="Calibri"/>
                <w:color w:val="000000"/>
                <w:sz w:val="22"/>
                <w:szCs w:val="22"/>
              </w:rPr>
              <w:t>8,276</w:t>
            </w:r>
          </w:p>
        </w:tc>
        <w:tc>
          <w:tcPr>
            <w:tcW w:w="910" w:type="dxa"/>
            <w:tcBorders>
              <w:top w:val="nil"/>
              <w:left w:val="nil"/>
              <w:bottom w:val="single" w:sz="12" w:space="0" w:color="auto"/>
              <w:right w:val="single" w:sz="12" w:space="0" w:color="auto"/>
            </w:tcBorders>
            <w:noWrap/>
            <w:vAlign w:val="center"/>
            <w:hideMark/>
          </w:tcPr>
          <w:p w14:paraId="5927613D" w14:textId="77777777" w:rsidR="00CE68F2" w:rsidRPr="00C20CFE" w:rsidRDefault="00CE68F2" w:rsidP="00A06B8B">
            <w:pPr>
              <w:jc w:val="center"/>
              <w:rPr>
                <w:rFonts w:eastAsia="Times New Roman" w:cs="Calibri"/>
                <w:color w:val="000000"/>
                <w:sz w:val="22"/>
                <w:szCs w:val="22"/>
              </w:rPr>
            </w:pPr>
            <w:r w:rsidRPr="00C20CFE">
              <w:rPr>
                <w:rFonts w:eastAsia="Times New Roman" w:cs="Calibri"/>
                <w:color w:val="000000"/>
                <w:sz w:val="22"/>
                <w:szCs w:val="22"/>
              </w:rPr>
              <w:t>81%</w:t>
            </w:r>
          </w:p>
        </w:tc>
      </w:tr>
      <w:tr w:rsidR="00FC54A0" w:rsidRPr="00C20CFE" w14:paraId="386B442B" w14:textId="77777777" w:rsidTr="004C5376">
        <w:trPr>
          <w:cantSplit/>
          <w:trHeight w:val="310"/>
          <w:jc w:val="center"/>
        </w:trPr>
        <w:tc>
          <w:tcPr>
            <w:tcW w:w="2053" w:type="dxa"/>
            <w:tcBorders>
              <w:top w:val="nil"/>
              <w:left w:val="single" w:sz="12" w:space="0" w:color="auto"/>
              <w:bottom w:val="single" w:sz="8" w:space="0" w:color="auto"/>
              <w:right w:val="nil"/>
            </w:tcBorders>
            <w:shd w:val="clear" w:color="000000" w:fill="FFFFFF"/>
            <w:noWrap/>
            <w:vAlign w:val="center"/>
            <w:hideMark/>
          </w:tcPr>
          <w:p w14:paraId="27E179B1" w14:textId="77777777" w:rsidR="00CE68F2" w:rsidRPr="00C20CFE" w:rsidRDefault="00CE68F2" w:rsidP="00A06B8B">
            <w:pPr>
              <w:rPr>
                <w:rFonts w:eastAsia="Times New Roman" w:cs="Calibri"/>
                <w:color w:val="000000"/>
                <w:sz w:val="22"/>
                <w:szCs w:val="22"/>
              </w:rPr>
            </w:pPr>
            <w:r w:rsidRPr="00C20CFE">
              <w:rPr>
                <w:rFonts w:eastAsia="Times New Roman" w:cs="Calibri"/>
                <w:color w:val="000000"/>
                <w:sz w:val="22"/>
                <w:szCs w:val="22"/>
              </w:rPr>
              <w:lastRenderedPageBreak/>
              <w:t>Category: Diagnostic</w:t>
            </w:r>
          </w:p>
        </w:tc>
        <w:tc>
          <w:tcPr>
            <w:tcW w:w="909" w:type="dxa"/>
            <w:tcBorders>
              <w:top w:val="nil"/>
              <w:left w:val="single" w:sz="8" w:space="0" w:color="auto"/>
              <w:bottom w:val="single" w:sz="8" w:space="0" w:color="auto"/>
              <w:right w:val="single" w:sz="8" w:space="0" w:color="auto"/>
            </w:tcBorders>
            <w:shd w:val="clear" w:color="000000" w:fill="FFFFFF"/>
            <w:noWrap/>
            <w:vAlign w:val="center"/>
            <w:hideMark/>
          </w:tcPr>
          <w:p w14:paraId="100635F9" w14:textId="77777777" w:rsidR="00CE68F2" w:rsidRPr="00C20CFE" w:rsidRDefault="00CE68F2" w:rsidP="00A06B8B">
            <w:pPr>
              <w:jc w:val="center"/>
              <w:rPr>
                <w:rFonts w:eastAsia="Times New Roman" w:cs="Calibri"/>
                <w:color w:val="000000"/>
                <w:sz w:val="22"/>
                <w:szCs w:val="22"/>
              </w:rPr>
            </w:pPr>
            <w:r w:rsidRPr="00C20CFE">
              <w:rPr>
                <w:rFonts w:eastAsia="Times New Roman" w:cs="Calibri"/>
                <w:color w:val="000000"/>
                <w:sz w:val="22"/>
                <w:szCs w:val="22"/>
              </w:rPr>
              <w:t>4,232</w:t>
            </w:r>
          </w:p>
        </w:tc>
        <w:tc>
          <w:tcPr>
            <w:tcW w:w="910" w:type="dxa"/>
            <w:tcBorders>
              <w:top w:val="nil"/>
              <w:left w:val="nil"/>
              <w:bottom w:val="single" w:sz="8" w:space="0" w:color="auto"/>
              <w:right w:val="single" w:sz="8" w:space="0" w:color="auto"/>
            </w:tcBorders>
            <w:shd w:val="clear" w:color="000000" w:fill="FFFFFF"/>
            <w:noWrap/>
            <w:vAlign w:val="center"/>
            <w:hideMark/>
          </w:tcPr>
          <w:p w14:paraId="59514D8C" w14:textId="77777777" w:rsidR="00CE68F2" w:rsidRPr="00C20CFE" w:rsidRDefault="00CE68F2" w:rsidP="00A06B8B">
            <w:pPr>
              <w:jc w:val="center"/>
              <w:rPr>
                <w:rFonts w:eastAsia="Times New Roman" w:cs="Calibri"/>
                <w:color w:val="000000"/>
                <w:sz w:val="22"/>
                <w:szCs w:val="22"/>
              </w:rPr>
            </w:pPr>
            <w:r w:rsidRPr="00C20CFE">
              <w:rPr>
                <w:rFonts w:eastAsia="Times New Roman" w:cs="Calibri"/>
                <w:color w:val="000000"/>
                <w:sz w:val="22"/>
                <w:szCs w:val="22"/>
              </w:rPr>
              <w:t>43%</w:t>
            </w:r>
          </w:p>
        </w:tc>
        <w:tc>
          <w:tcPr>
            <w:tcW w:w="909" w:type="dxa"/>
            <w:tcBorders>
              <w:top w:val="nil"/>
              <w:left w:val="nil"/>
              <w:bottom w:val="single" w:sz="8" w:space="0" w:color="auto"/>
              <w:right w:val="single" w:sz="8" w:space="0" w:color="auto"/>
            </w:tcBorders>
            <w:shd w:val="clear" w:color="000000" w:fill="FFFFFF"/>
            <w:noWrap/>
            <w:vAlign w:val="center"/>
            <w:hideMark/>
          </w:tcPr>
          <w:p w14:paraId="1F18E7A0" w14:textId="77777777" w:rsidR="00CE68F2" w:rsidRPr="00C20CFE" w:rsidRDefault="00CE68F2" w:rsidP="00A06B8B">
            <w:pPr>
              <w:jc w:val="center"/>
              <w:rPr>
                <w:rFonts w:eastAsia="Times New Roman" w:cs="Calibri"/>
                <w:color w:val="000000"/>
                <w:sz w:val="22"/>
                <w:szCs w:val="22"/>
              </w:rPr>
            </w:pPr>
            <w:r w:rsidRPr="00C20CFE">
              <w:rPr>
                <w:rFonts w:eastAsia="Times New Roman" w:cs="Calibri"/>
                <w:color w:val="000000"/>
                <w:sz w:val="22"/>
                <w:szCs w:val="22"/>
              </w:rPr>
              <w:t>4,241</w:t>
            </w:r>
          </w:p>
        </w:tc>
        <w:tc>
          <w:tcPr>
            <w:tcW w:w="910" w:type="dxa"/>
            <w:tcBorders>
              <w:top w:val="nil"/>
              <w:left w:val="nil"/>
              <w:bottom w:val="single" w:sz="8" w:space="0" w:color="auto"/>
              <w:right w:val="single" w:sz="8" w:space="0" w:color="auto"/>
            </w:tcBorders>
            <w:shd w:val="clear" w:color="000000" w:fill="FFFFFF"/>
            <w:noWrap/>
            <w:vAlign w:val="center"/>
            <w:hideMark/>
          </w:tcPr>
          <w:p w14:paraId="197AB0F5" w14:textId="77777777" w:rsidR="00CE68F2" w:rsidRPr="00C20CFE" w:rsidRDefault="00CE68F2" w:rsidP="00A06B8B">
            <w:pPr>
              <w:jc w:val="center"/>
              <w:rPr>
                <w:rFonts w:eastAsia="Times New Roman" w:cs="Calibri"/>
                <w:color w:val="000000"/>
                <w:sz w:val="22"/>
                <w:szCs w:val="22"/>
              </w:rPr>
            </w:pPr>
            <w:r w:rsidRPr="00C20CFE">
              <w:rPr>
                <w:rFonts w:eastAsia="Times New Roman" w:cs="Calibri"/>
                <w:color w:val="000000"/>
                <w:sz w:val="22"/>
                <w:szCs w:val="22"/>
              </w:rPr>
              <w:t>41%</w:t>
            </w:r>
          </w:p>
        </w:tc>
        <w:tc>
          <w:tcPr>
            <w:tcW w:w="910" w:type="dxa"/>
            <w:tcBorders>
              <w:top w:val="nil"/>
              <w:left w:val="nil"/>
              <w:bottom w:val="single" w:sz="8" w:space="0" w:color="auto"/>
              <w:right w:val="single" w:sz="8" w:space="0" w:color="auto"/>
            </w:tcBorders>
            <w:shd w:val="clear" w:color="000000" w:fill="FFFFFF"/>
            <w:noWrap/>
            <w:vAlign w:val="center"/>
            <w:hideMark/>
          </w:tcPr>
          <w:p w14:paraId="12E35397" w14:textId="77777777" w:rsidR="00CE68F2" w:rsidRPr="00C20CFE" w:rsidRDefault="00CE68F2" w:rsidP="00A06B8B">
            <w:pPr>
              <w:jc w:val="center"/>
              <w:rPr>
                <w:rFonts w:eastAsia="Times New Roman" w:cs="Calibri"/>
                <w:color w:val="000000"/>
                <w:sz w:val="22"/>
                <w:szCs w:val="22"/>
              </w:rPr>
            </w:pPr>
            <w:r w:rsidRPr="00C20CFE">
              <w:rPr>
                <w:rFonts w:eastAsia="Times New Roman" w:cs="Calibri"/>
                <w:color w:val="000000"/>
                <w:sz w:val="22"/>
                <w:szCs w:val="22"/>
              </w:rPr>
              <w:t>3,988</w:t>
            </w:r>
          </w:p>
        </w:tc>
        <w:tc>
          <w:tcPr>
            <w:tcW w:w="909" w:type="dxa"/>
            <w:tcBorders>
              <w:top w:val="nil"/>
              <w:left w:val="nil"/>
              <w:bottom w:val="single" w:sz="8" w:space="0" w:color="auto"/>
              <w:right w:val="single" w:sz="8" w:space="0" w:color="auto"/>
            </w:tcBorders>
            <w:shd w:val="clear" w:color="000000" w:fill="FFFFFF"/>
            <w:noWrap/>
            <w:vAlign w:val="center"/>
            <w:hideMark/>
          </w:tcPr>
          <w:p w14:paraId="360A7E41" w14:textId="77777777" w:rsidR="00CE68F2" w:rsidRPr="00C20CFE" w:rsidRDefault="00CE68F2" w:rsidP="00A06B8B">
            <w:pPr>
              <w:jc w:val="center"/>
              <w:rPr>
                <w:rFonts w:eastAsia="Times New Roman" w:cs="Calibri"/>
                <w:color w:val="000000"/>
                <w:sz w:val="22"/>
                <w:szCs w:val="22"/>
              </w:rPr>
            </w:pPr>
            <w:r w:rsidRPr="00C20CFE">
              <w:rPr>
                <w:rFonts w:eastAsia="Times New Roman" w:cs="Calibri"/>
                <w:color w:val="000000"/>
                <w:sz w:val="22"/>
                <w:szCs w:val="22"/>
              </w:rPr>
              <w:t>42%</w:t>
            </w:r>
          </w:p>
        </w:tc>
        <w:tc>
          <w:tcPr>
            <w:tcW w:w="910" w:type="dxa"/>
            <w:tcBorders>
              <w:top w:val="nil"/>
              <w:left w:val="nil"/>
              <w:bottom w:val="single" w:sz="8" w:space="0" w:color="auto"/>
              <w:right w:val="single" w:sz="8" w:space="0" w:color="auto"/>
            </w:tcBorders>
            <w:shd w:val="clear" w:color="000000" w:fill="FFFFFF"/>
            <w:noWrap/>
            <w:vAlign w:val="center"/>
            <w:hideMark/>
          </w:tcPr>
          <w:p w14:paraId="4B9A5882" w14:textId="77777777" w:rsidR="00CE68F2" w:rsidRPr="00C20CFE" w:rsidRDefault="00CE68F2" w:rsidP="00A06B8B">
            <w:pPr>
              <w:jc w:val="center"/>
              <w:rPr>
                <w:rFonts w:eastAsia="Times New Roman" w:cs="Calibri"/>
                <w:color w:val="000000"/>
                <w:sz w:val="22"/>
                <w:szCs w:val="22"/>
              </w:rPr>
            </w:pPr>
            <w:r w:rsidRPr="00C20CFE">
              <w:rPr>
                <w:rFonts w:eastAsia="Times New Roman" w:cs="Calibri"/>
                <w:color w:val="000000"/>
                <w:sz w:val="22"/>
                <w:szCs w:val="22"/>
              </w:rPr>
              <w:t>4,598</w:t>
            </w:r>
          </w:p>
        </w:tc>
        <w:tc>
          <w:tcPr>
            <w:tcW w:w="910" w:type="dxa"/>
            <w:tcBorders>
              <w:top w:val="nil"/>
              <w:left w:val="nil"/>
              <w:bottom w:val="single" w:sz="8" w:space="0" w:color="auto"/>
              <w:right w:val="single" w:sz="12" w:space="0" w:color="auto"/>
            </w:tcBorders>
            <w:shd w:val="clear" w:color="000000" w:fill="FFFFFF"/>
            <w:noWrap/>
            <w:vAlign w:val="center"/>
            <w:hideMark/>
          </w:tcPr>
          <w:p w14:paraId="7B424558" w14:textId="77777777" w:rsidR="00CE68F2" w:rsidRPr="00C20CFE" w:rsidRDefault="00CE68F2" w:rsidP="00A06B8B">
            <w:pPr>
              <w:jc w:val="center"/>
              <w:rPr>
                <w:rFonts w:eastAsia="Times New Roman" w:cs="Calibri"/>
                <w:color w:val="000000"/>
                <w:sz w:val="22"/>
                <w:szCs w:val="22"/>
              </w:rPr>
            </w:pPr>
            <w:r w:rsidRPr="00C20CFE">
              <w:rPr>
                <w:rFonts w:eastAsia="Times New Roman" w:cs="Calibri"/>
                <w:color w:val="000000"/>
                <w:sz w:val="22"/>
                <w:szCs w:val="22"/>
              </w:rPr>
              <w:t>45%</w:t>
            </w:r>
          </w:p>
        </w:tc>
      </w:tr>
      <w:tr w:rsidR="00FC54A0" w:rsidRPr="00C20CFE" w14:paraId="397F7EAE" w14:textId="77777777" w:rsidTr="004C5376">
        <w:trPr>
          <w:cantSplit/>
          <w:trHeight w:val="300"/>
          <w:jc w:val="center"/>
        </w:trPr>
        <w:tc>
          <w:tcPr>
            <w:tcW w:w="2053" w:type="dxa"/>
            <w:tcBorders>
              <w:top w:val="nil"/>
              <w:left w:val="single" w:sz="12" w:space="0" w:color="auto"/>
              <w:bottom w:val="single" w:sz="8" w:space="0" w:color="auto"/>
              <w:right w:val="nil"/>
            </w:tcBorders>
            <w:shd w:val="clear" w:color="000000" w:fill="FFFFFF"/>
            <w:noWrap/>
            <w:vAlign w:val="center"/>
            <w:hideMark/>
          </w:tcPr>
          <w:p w14:paraId="06230190" w14:textId="77777777" w:rsidR="00CE68F2" w:rsidRPr="00C20CFE" w:rsidRDefault="00CE68F2" w:rsidP="00A06B8B">
            <w:pPr>
              <w:rPr>
                <w:rFonts w:eastAsia="Times New Roman" w:cs="Calibri"/>
                <w:color w:val="000000"/>
                <w:sz w:val="22"/>
                <w:szCs w:val="22"/>
              </w:rPr>
            </w:pPr>
            <w:r w:rsidRPr="00C20CFE">
              <w:rPr>
                <w:rFonts w:eastAsia="Times New Roman" w:cs="Calibri"/>
                <w:color w:val="000000"/>
                <w:sz w:val="22"/>
                <w:szCs w:val="22"/>
              </w:rPr>
              <w:t>Category: Procedural/Screening</w:t>
            </w:r>
          </w:p>
        </w:tc>
        <w:tc>
          <w:tcPr>
            <w:tcW w:w="909" w:type="dxa"/>
            <w:tcBorders>
              <w:top w:val="nil"/>
              <w:left w:val="single" w:sz="8" w:space="0" w:color="auto"/>
              <w:bottom w:val="single" w:sz="8" w:space="0" w:color="auto"/>
              <w:right w:val="single" w:sz="8" w:space="0" w:color="auto"/>
            </w:tcBorders>
            <w:shd w:val="clear" w:color="000000" w:fill="FFFFFF"/>
            <w:noWrap/>
            <w:vAlign w:val="center"/>
            <w:hideMark/>
          </w:tcPr>
          <w:p w14:paraId="07FF9FEC" w14:textId="77777777" w:rsidR="00CE68F2" w:rsidRPr="00C20CFE" w:rsidRDefault="00CE68F2" w:rsidP="00A06B8B">
            <w:pPr>
              <w:jc w:val="center"/>
              <w:rPr>
                <w:rFonts w:eastAsia="Times New Roman" w:cs="Calibri"/>
                <w:color w:val="000000"/>
                <w:sz w:val="22"/>
                <w:szCs w:val="22"/>
              </w:rPr>
            </w:pPr>
            <w:r w:rsidRPr="00C20CFE">
              <w:rPr>
                <w:rFonts w:eastAsia="Times New Roman" w:cs="Calibri"/>
                <w:color w:val="000000"/>
                <w:sz w:val="22"/>
                <w:szCs w:val="22"/>
              </w:rPr>
              <w:t>5,077</w:t>
            </w:r>
          </w:p>
        </w:tc>
        <w:tc>
          <w:tcPr>
            <w:tcW w:w="910" w:type="dxa"/>
            <w:tcBorders>
              <w:top w:val="nil"/>
              <w:left w:val="nil"/>
              <w:bottom w:val="single" w:sz="8" w:space="0" w:color="auto"/>
              <w:right w:val="single" w:sz="8" w:space="0" w:color="auto"/>
            </w:tcBorders>
            <w:shd w:val="clear" w:color="000000" w:fill="FFFFFF"/>
            <w:noWrap/>
            <w:vAlign w:val="center"/>
            <w:hideMark/>
          </w:tcPr>
          <w:p w14:paraId="74A6D375" w14:textId="77777777" w:rsidR="00CE68F2" w:rsidRPr="00C20CFE" w:rsidRDefault="00CE68F2" w:rsidP="00A06B8B">
            <w:pPr>
              <w:jc w:val="center"/>
              <w:rPr>
                <w:rFonts w:eastAsia="Times New Roman" w:cs="Calibri"/>
                <w:color w:val="000000"/>
                <w:sz w:val="22"/>
                <w:szCs w:val="22"/>
              </w:rPr>
            </w:pPr>
            <w:r w:rsidRPr="00C20CFE">
              <w:rPr>
                <w:rFonts w:eastAsia="Times New Roman" w:cs="Calibri"/>
                <w:color w:val="000000"/>
                <w:sz w:val="22"/>
                <w:szCs w:val="22"/>
              </w:rPr>
              <w:t>51%</w:t>
            </w:r>
          </w:p>
        </w:tc>
        <w:tc>
          <w:tcPr>
            <w:tcW w:w="909" w:type="dxa"/>
            <w:tcBorders>
              <w:top w:val="nil"/>
              <w:left w:val="nil"/>
              <w:bottom w:val="single" w:sz="8" w:space="0" w:color="auto"/>
              <w:right w:val="single" w:sz="8" w:space="0" w:color="auto"/>
            </w:tcBorders>
            <w:shd w:val="clear" w:color="000000" w:fill="FFFFFF"/>
            <w:noWrap/>
            <w:vAlign w:val="center"/>
            <w:hideMark/>
          </w:tcPr>
          <w:p w14:paraId="3F0B2E95" w14:textId="77777777" w:rsidR="00CE68F2" w:rsidRPr="00C20CFE" w:rsidRDefault="00CE68F2" w:rsidP="00A06B8B">
            <w:pPr>
              <w:jc w:val="center"/>
              <w:rPr>
                <w:rFonts w:eastAsia="Times New Roman" w:cs="Calibri"/>
                <w:color w:val="000000"/>
                <w:sz w:val="22"/>
                <w:szCs w:val="22"/>
              </w:rPr>
            </w:pPr>
            <w:r w:rsidRPr="00C20CFE">
              <w:rPr>
                <w:rFonts w:eastAsia="Times New Roman" w:cs="Calibri"/>
                <w:color w:val="000000"/>
                <w:sz w:val="22"/>
                <w:szCs w:val="22"/>
              </w:rPr>
              <w:t>5,503</w:t>
            </w:r>
          </w:p>
        </w:tc>
        <w:tc>
          <w:tcPr>
            <w:tcW w:w="910" w:type="dxa"/>
            <w:tcBorders>
              <w:top w:val="nil"/>
              <w:left w:val="nil"/>
              <w:bottom w:val="single" w:sz="8" w:space="0" w:color="auto"/>
              <w:right w:val="single" w:sz="8" w:space="0" w:color="auto"/>
            </w:tcBorders>
            <w:shd w:val="clear" w:color="000000" w:fill="FFFFFF"/>
            <w:noWrap/>
            <w:vAlign w:val="center"/>
            <w:hideMark/>
          </w:tcPr>
          <w:p w14:paraId="2B06E65E" w14:textId="77777777" w:rsidR="00CE68F2" w:rsidRPr="00C20CFE" w:rsidRDefault="00CE68F2" w:rsidP="00A06B8B">
            <w:pPr>
              <w:jc w:val="center"/>
              <w:rPr>
                <w:rFonts w:eastAsia="Times New Roman" w:cs="Calibri"/>
                <w:color w:val="000000"/>
                <w:sz w:val="22"/>
                <w:szCs w:val="22"/>
              </w:rPr>
            </w:pPr>
            <w:r w:rsidRPr="00C20CFE">
              <w:rPr>
                <w:rFonts w:eastAsia="Times New Roman" w:cs="Calibri"/>
                <w:color w:val="000000"/>
                <w:sz w:val="22"/>
                <w:szCs w:val="22"/>
              </w:rPr>
              <w:t>54%</w:t>
            </w:r>
          </w:p>
        </w:tc>
        <w:tc>
          <w:tcPr>
            <w:tcW w:w="910" w:type="dxa"/>
            <w:tcBorders>
              <w:top w:val="nil"/>
              <w:left w:val="nil"/>
              <w:bottom w:val="single" w:sz="8" w:space="0" w:color="auto"/>
              <w:right w:val="single" w:sz="8" w:space="0" w:color="auto"/>
            </w:tcBorders>
            <w:shd w:val="clear" w:color="000000" w:fill="FFFFFF"/>
            <w:noWrap/>
            <w:vAlign w:val="center"/>
            <w:hideMark/>
          </w:tcPr>
          <w:p w14:paraId="42C06EA1" w14:textId="77777777" w:rsidR="00CE68F2" w:rsidRPr="00C20CFE" w:rsidRDefault="00CE68F2" w:rsidP="00A06B8B">
            <w:pPr>
              <w:jc w:val="center"/>
              <w:rPr>
                <w:rFonts w:eastAsia="Times New Roman" w:cs="Calibri"/>
                <w:color w:val="000000"/>
                <w:sz w:val="22"/>
                <w:szCs w:val="22"/>
              </w:rPr>
            </w:pPr>
            <w:r w:rsidRPr="00C20CFE">
              <w:rPr>
                <w:rFonts w:eastAsia="Times New Roman" w:cs="Calibri"/>
                <w:color w:val="000000"/>
                <w:sz w:val="22"/>
                <w:szCs w:val="22"/>
              </w:rPr>
              <w:t>4,916</w:t>
            </w:r>
          </w:p>
        </w:tc>
        <w:tc>
          <w:tcPr>
            <w:tcW w:w="909" w:type="dxa"/>
            <w:tcBorders>
              <w:top w:val="nil"/>
              <w:left w:val="nil"/>
              <w:bottom w:val="single" w:sz="8" w:space="0" w:color="auto"/>
              <w:right w:val="single" w:sz="8" w:space="0" w:color="auto"/>
            </w:tcBorders>
            <w:shd w:val="clear" w:color="000000" w:fill="FFFFFF"/>
            <w:noWrap/>
            <w:vAlign w:val="center"/>
            <w:hideMark/>
          </w:tcPr>
          <w:p w14:paraId="6B60DF17" w14:textId="77777777" w:rsidR="00CE68F2" w:rsidRPr="00C20CFE" w:rsidRDefault="00CE68F2" w:rsidP="00A06B8B">
            <w:pPr>
              <w:jc w:val="center"/>
              <w:rPr>
                <w:rFonts w:eastAsia="Times New Roman" w:cs="Calibri"/>
                <w:color w:val="000000"/>
                <w:sz w:val="22"/>
                <w:szCs w:val="22"/>
              </w:rPr>
            </w:pPr>
            <w:r w:rsidRPr="00C20CFE">
              <w:rPr>
                <w:rFonts w:eastAsia="Times New Roman" w:cs="Calibri"/>
                <w:color w:val="000000"/>
                <w:sz w:val="22"/>
                <w:szCs w:val="22"/>
              </w:rPr>
              <w:t>52%</w:t>
            </w:r>
          </w:p>
        </w:tc>
        <w:tc>
          <w:tcPr>
            <w:tcW w:w="910" w:type="dxa"/>
            <w:tcBorders>
              <w:top w:val="nil"/>
              <w:left w:val="nil"/>
              <w:bottom w:val="single" w:sz="8" w:space="0" w:color="auto"/>
              <w:right w:val="single" w:sz="8" w:space="0" w:color="auto"/>
            </w:tcBorders>
            <w:shd w:val="clear" w:color="000000" w:fill="FFFFFF"/>
            <w:noWrap/>
            <w:vAlign w:val="center"/>
            <w:hideMark/>
          </w:tcPr>
          <w:p w14:paraId="7E5B75EE" w14:textId="77777777" w:rsidR="00CE68F2" w:rsidRPr="00C20CFE" w:rsidRDefault="00CE68F2" w:rsidP="00A06B8B">
            <w:pPr>
              <w:jc w:val="center"/>
              <w:rPr>
                <w:rFonts w:eastAsia="Times New Roman" w:cs="Calibri"/>
                <w:color w:val="000000"/>
                <w:sz w:val="22"/>
                <w:szCs w:val="22"/>
              </w:rPr>
            </w:pPr>
            <w:r w:rsidRPr="00C20CFE">
              <w:rPr>
                <w:rFonts w:eastAsia="Times New Roman" w:cs="Calibri"/>
                <w:color w:val="000000"/>
                <w:sz w:val="22"/>
                <w:szCs w:val="22"/>
              </w:rPr>
              <w:t>4,184</w:t>
            </w:r>
          </w:p>
        </w:tc>
        <w:tc>
          <w:tcPr>
            <w:tcW w:w="910" w:type="dxa"/>
            <w:tcBorders>
              <w:top w:val="nil"/>
              <w:left w:val="nil"/>
              <w:bottom w:val="single" w:sz="8" w:space="0" w:color="auto"/>
              <w:right w:val="single" w:sz="12" w:space="0" w:color="auto"/>
            </w:tcBorders>
            <w:shd w:val="clear" w:color="000000" w:fill="FFFFFF"/>
            <w:noWrap/>
            <w:vAlign w:val="center"/>
            <w:hideMark/>
          </w:tcPr>
          <w:p w14:paraId="15C81FFA" w14:textId="77777777" w:rsidR="00CE68F2" w:rsidRPr="00C20CFE" w:rsidRDefault="00CE68F2" w:rsidP="00A06B8B">
            <w:pPr>
              <w:jc w:val="center"/>
              <w:rPr>
                <w:rFonts w:eastAsia="Times New Roman" w:cs="Calibri"/>
                <w:color w:val="000000"/>
                <w:sz w:val="22"/>
                <w:szCs w:val="22"/>
              </w:rPr>
            </w:pPr>
            <w:r w:rsidRPr="00C20CFE">
              <w:rPr>
                <w:rFonts w:eastAsia="Times New Roman" w:cs="Calibri"/>
                <w:color w:val="000000"/>
                <w:sz w:val="22"/>
                <w:szCs w:val="22"/>
              </w:rPr>
              <w:t>41%</w:t>
            </w:r>
          </w:p>
        </w:tc>
      </w:tr>
      <w:tr w:rsidR="00FC54A0" w:rsidRPr="00C20CFE" w14:paraId="715E995B" w14:textId="77777777" w:rsidTr="004C5376">
        <w:trPr>
          <w:cantSplit/>
          <w:trHeight w:val="300"/>
          <w:jc w:val="center"/>
        </w:trPr>
        <w:tc>
          <w:tcPr>
            <w:tcW w:w="2053" w:type="dxa"/>
            <w:tcBorders>
              <w:top w:val="nil"/>
              <w:left w:val="single" w:sz="12" w:space="0" w:color="auto"/>
              <w:bottom w:val="single" w:sz="12" w:space="0" w:color="auto"/>
              <w:right w:val="nil"/>
            </w:tcBorders>
            <w:shd w:val="clear" w:color="000000" w:fill="FFFFFF"/>
            <w:noWrap/>
            <w:vAlign w:val="center"/>
            <w:hideMark/>
          </w:tcPr>
          <w:p w14:paraId="6B2BB046" w14:textId="77777777" w:rsidR="00CE68F2" w:rsidRPr="00C20CFE" w:rsidRDefault="00CE68F2" w:rsidP="00A06B8B">
            <w:pPr>
              <w:rPr>
                <w:rFonts w:eastAsia="Times New Roman" w:cs="Calibri"/>
                <w:color w:val="467886"/>
                <w:sz w:val="22"/>
                <w:szCs w:val="22"/>
                <w:u w:val="single"/>
              </w:rPr>
            </w:pPr>
            <w:r w:rsidRPr="00C20CFE">
              <w:rPr>
                <w:rFonts w:cs="Calibri"/>
                <w:sz w:val="22"/>
                <w:szCs w:val="22"/>
              </w:rPr>
              <w:t>Category: Other</w:t>
            </w:r>
            <w:r w:rsidRPr="00C20CFE">
              <w:rPr>
                <w:rStyle w:val="FootnoteReference"/>
                <w:rFonts w:cs="Calibri"/>
                <w:sz w:val="22"/>
                <w:szCs w:val="22"/>
              </w:rPr>
              <w:footnoteReference w:id="21"/>
            </w:r>
          </w:p>
        </w:tc>
        <w:tc>
          <w:tcPr>
            <w:tcW w:w="909" w:type="dxa"/>
            <w:tcBorders>
              <w:top w:val="nil"/>
              <w:left w:val="single" w:sz="8" w:space="0" w:color="auto"/>
              <w:bottom w:val="single" w:sz="12" w:space="0" w:color="auto"/>
              <w:right w:val="single" w:sz="8" w:space="0" w:color="auto"/>
            </w:tcBorders>
            <w:shd w:val="clear" w:color="000000" w:fill="FFFFFF"/>
            <w:noWrap/>
            <w:vAlign w:val="center"/>
            <w:hideMark/>
          </w:tcPr>
          <w:p w14:paraId="0616702F" w14:textId="77777777" w:rsidR="00CE68F2" w:rsidRPr="00C20CFE" w:rsidRDefault="00CE68F2" w:rsidP="00A06B8B">
            <w:pPr>
              <w:jc w:val="center"/>
              <w:rPr>
                <w:rFonts w:eastAsia="Times New Roman" w:cs="Calibri"/>
                <w:color w:val="000000"/>
                <w:sz w:val="22"/>
                <w:szCs w:val="22"/>
              </w:rPr>
            </w:pPr>
            <w:r w:rsidRPr="00C20CFE">
              <w:rPr>
                <w:rFonts w:eastAsia="Times New Roman" w:cs="Calibri"/>
                <w:color w:val="000000"/>
                <w:sz w:val="22"/>
                <w:szCs w:val="22"/>
              </w:rPr>
              <w:t>570</w:t>
            </w:r>
          </w:p>
        </w:tc>
        <w:tc>
          <w:tcPr>
            <w:tcW w:w="910" w:type="dxa"/>
            <w:tcBorders>
              <w:top w:val="nil"/>
              <w:left w:val="nil"/>
              <w:bottom w:val="single" w:sz="12" w:space="0" w:color="auto"/>
              <w:right w:val="single" w:sz="8" w:space="0" w:color="auto"/>
            </w:tcBorders>
            <w:shd w:val="clear" w:color="000000" w:fill="FFFFFF"/>
            <w:noWrap/>
            <w:vAlign w:val="center"/>
            <w:hideMark/>
          </w:tcPr>
          <w:p w14:paraId="25DA6D34" w14:textId="77777777" w:rsidR="00CE68F2" w:rsidRPr="00C20CFE" w:rsidRDefault="00CE68F2" w:rsidP="00A06B8B">
            <w:pPr>
              <w:jc w:val="center"/>
              <w:rPr>
                <w:rFonts w:eastAsia="Times New Roman" w:cs="Calibri"/>
                <w:color w:val="000000"/>
                <w:sz w:val="22"/>
                <w:szCs w:val="22"/>
              </w:rPr>
            </w:pPr>
            <w:r w:rsidRPr="00C20CFE">
              <w:rPr>
                <w:rFonts w:eastAsia="Times New Roman" w:cs="Calibri"/>
                <w:color w:val="000000"/>
                <w:sz w:val="22"/>
                <w:szCs w:val="22"/>
              </w:rPr>
              <w:t>6%</w:t>
            </w:r>
          </w:p>
        </w:tc>
        <w:tc>
          <w:tcPr>
            <w:tcW w:w="909" w:type="dxa"/>
            <w:tcBorders>
              <w:top w:val="nil"/>
              <w:left w:val="nil"/>
              <w:bottom w:val="single" w:sz="12" w:space="0" w:color="auto"/>
              <w:right w:val="single" w:sz="8" w:space="0" w:color="auto"/>
            </w:tcBorders>
            <w:shd w:val="clear" w:color="000000" w:fill="FFFFFF"/>
            <w:noWrap/>
            <w:vAlign w:val="center"/>
            <w:hideMark/>
          </w:tcPr>
          <w:p w14:paraId="479C2B39" w14:textId="77777777" w:rsidR="00CE68F2" w:rsidRPr="00C20CFE" w:rsidRDefault="00CE68F2" w:rsidP="00A06B8B">
            <w:pPr>
              <w:jc w:val="center"/>
              <w:rPr>
                <w:rFonts w:eastAsia="Times New Roman" w:cs="Calibri"/>
                <w:color w:val="000000"/>
                <w:sz w:val="22"/>
                <w:szCs w:val="22"/>
              </w:rPr>
            </w:pPr>
            <w:r w:rsidRPr="00C20CFE">
              <w:rPr>
                <w:rFonts w:eastAsia="Times New Roman" w:cs="Calibri"/>
                <w:color w:val="000000"/>
                <w:sz w:val="22"/>
                <w:szCs w:val="22"/>
              </w:rPr>
              <w:t>493</w:t>
            </w:r>
          </w:p>
        </w:tc>
        <w:tc>
          <w:tcPr>
            <w:tcW w:w="910" w:type="dxa"/>
            <w:tcBorders>
              <w:top w:val="nil"/>
              <w:left w:val="nil"/>
              <w:bottom w:val="single" w:sz="12" w:space="0" w:color="auto"/>
              <w:right w:val="single" w:sz="8" w:space="0" w:color="auto"/>
            </w:tcBorders>
            <w:shd w:val="clear" w:color="000000" w:fill="FFFFFF"/>
            <w:noWrap/>
            <w:vAlign w:val="center"/>
            <w:hideMark/>
          </w:tcPr>
          <w:p w14:paraId="4D33008C" w14:textId="77777777" w:rsidR="00CE68F2" w:rsidRPr="00C20CFE" w:rsidRDefault="00CE68F2" w:rsidP="00A06B8B">
            <w:pPr>
              <w:jc w:val="center"/>
              <w:rPr>
                <w:rFonts w:eastAsia="Times New Roman" w:cs="Calibri"/>
                <w:color w:val="000000"/>
                <w:sz w:val="22"/>
                <w:szCs w:val="22"/>
              </w:rPr>
            </w:pPr>
            <w:r w:rsidRPr="00C20CFE">
              <w:rPr>
                <w:rFonts w:eastAsia="Times New Roman" w:cs="Calibri"/>
                <w:color w:val="000000"/>
                <w:sz w:val="22"/>
                <w:szCs w:val="22"/>
              </w:rPr>
              <w:t>5%</w:t>
            </w:r>
          </w:p>
        </w:tc>
        <w:tc>
          <w:tcPr>
            <w:tcW w:w="910" w:type="dxa"/>
            <w:tcBorders>
              <w:top w:val="nil"/>
              <w:left w:val="nil"/>
              <w:bottom w:val="single" w:sz="12" w:space="0" w:color="auto"/>
              <w:right w:val="single" w:sz="8" w:space="0" w:color="auto"/>
            </w:tcBorders>
            <w:shd w:val="clear" w:color="000000" w:fill="FFFFFF"/>
            <w:noWrap/>
            <w:vAlign w:val="center"/>
            <w:hideMark/>
          </w:tcPr>
          <w:p w14:paraId="38A8E8B4" w14:textId="77777777" w:rsidR="00CE68F2" w:rsidRPr="00C20CFE" w:rsidRDefault="00CE68F2" w:rsidP="00A06B8B">
            <w:pPr>
              <w:jc w:val="center"/>
              <w:rPr>
                <w:rFonts w:eastAsia="Times New Roman" w:cs="Calibri"/>
                <w:color w:val="000000"/>
                <w:sz w:val="22"/>
                <w:szCs w:val="22"/>
              </w:rPr>
            </w:pPr>
            <w:r w:rsidRPr="00C20CFE">
              <w:rPr>
                <w:rFonts w:eastAsia="Times New Roman" w:cs="Calibri"/>
                <w:color w:val="000000"/>
                <w:sz w:val="22"/>
                <w:szCs w:val="22"/>
              </w:rPr>
              <w:t>545</w:t>
            </w:r>
          </w:p>
        </w:tc>
        <w:tc>
          <w:tcPr>
            <w:tcW w:w="909" w:type="dxa"/>
            <w:tcBorders>
              <w:top w:val="nil"/>
              <w:left w:val="nil"/>
              <w:bottom w:val="single" w:sz="12" w:space="0" w:color="auto"/>
              <w:right w:val="single" w:sz="8" w:space="0" w:color="auto"/>
            </w:tcBorders>
            <w:shd w:val="clear" w:color="000000" w:fill="FFFFFF"/>
            <w:noWrap/>
            <w:vAlign w:val="center"/>
            <w:hideMark/>
          </w:tcPr>
          <w:p w14:paraId="42F4262B" w14:textId="77777777" w:rsidR="00CE68F2" w:rsidRPr="00C20CFE" w:rsidRDefault="00CE68F2" w:rsidP="00A06B8B">
            <w:pPr>
              <w:jc w:val="center"/>
              <w:rPr>
                <w:rFonts w:eastAsia="Times New Roman" w:cs="Calibri"/>
                <w:color w:val="000000"/>
                <w:sz w:val="22"/>
                <w:szCs w:val="22"/>
              </w:rPr>
            </w:pPr>
            <w:r w:rsidRPr="00C20CFE">
              <w:rPr>
                <w:rFonts w:eastAsia="Times New Roman" w:cs="Calibri"/>
                <w:color w:val="000000"/>
                <w:sz w:val="22"/>
                <w:szCs w:val="22"/>
              </w:rPr>
              <w:t>6%</w:t>
            </w:r>
          </w:p>
        </w:tc>
        <w:tc>
          <w:tcPr>
            <w:tcW w:w="910" w:type="dxa"/>
            <w:tcBorders>
              <w:top w:val="nil"/>
              <w:left w:val="nil"/>
              <w:bottom w:val="single" w:sz="12" w:space="0" w:color="auto"/>
              <w:right w:val="single" w:sz="8" w:space="0" w:color="auto"/>
            </w:tcBorders>
            <w:shd w:val="clear" w:color="000000" w:fill="FFFFFF"/>
            <w:noWrap/>
            <w:vAlign w:val="center"/>
            <w:hideMark/>
          </w:tcPr>
          <w:p w14:paraId="2B69253A" w14:textId="77777777" w:rsidR="00CE68F2" w:rsidRPr="00C20CFE" w:rsidRDefault="00CE68F2" w:rsidP="00A06B8B">
            <w:pPr>
              <w:jc w:val="center"/>
              <w:rPr>
                <w:rFonts w:eastAsia="Times New Roman" w:cs="Calibri"/>
                <w:color w:val="000000"/>
                <w:sz w:val="22"/>
                <w:szCs w:val="22"/>
              </w:rPr>
            </w:pPr>
            <w:r w:rsidRPr="00C20CFE">
              <w:rPr>
                <w:rFonts w:eastAsia="Times New Roman" w:cs="Calibri"/>
                <w:color w:val="000000"/>
                <w:sz w:val="22"/>
                <w:szCs w:val="22"/>
              </w:rPr>
              <w:t>1459</w:t>
            </w:r>
          </w:p>
        </w:tc>
        <w:tc>
          <w:tcPr>
            <w:tcW w:w="910" w:type="dxa"/>
            <w:tcBorders>
              <w:top w:val="nil"/>
              <w:left w:val="nil"/>
              <w:bottom w:val="single" w:sz="12" w:space="0" w:color="auto"/>
              <w:right w:val="single" w:sz="12" w:space="0" w:color="auto"/>
            </w:tcBorders>
            <w:shd w:val="clear" w:color="000000" w:fill="FFFFFF"/>
            <w:noWrap/>
            <w:vAlign w:val="center"/>
            <w:hideMark/>
          </w:tcPr>
          <w:p w14:paraId="7BC5E13B" w14:textId="77777777" w:rsidR="00CE68F2" w:rsidRPr="00C20CFE" w:rsidRDefault="00CE68F2" w:rsidP="00A06B8B">
            <w:pPr>
              <w:jc w:val="center"/>
              <w:rPr>
                <w:rFonts w:eastAsia="Times New Roman" w:cs="Calibri"/>
                <w:color w:val="000000"/>
                <w:sz w:val="22"/>
                <w:szCs w:val="22"/>
              </w:rPr>
            </w:pPr>
            <w:r w:rsidRPr="00C20CFE">
              <w:rPr>
                <w:rFonts w:eastAsia="Times New Roman" w:cs="Calibri"/>
                <w:color w:val="000000"/>
                <w:sz w:val="22"/>
                <w:szCs w:val="22"/>
              </w:rPr>
              <w:t>14%</w:t>
            </w:r>
          </w:p>
        </w:tc>
      </w:tr>
      <w:tr w:rsidR="00CE68F2" w:rsidRPr="00C20CFE" w14:paraId="294AC7C3" w14:textId="77777777" w:rsidTr="004C5376">
        <w:trPr>
          <w:cantSplit/>
          <w:trHeight w:val="310"/>
          <w:jc w:val="center"/>
        </w:trPr>
        <w:tc>
          <w:tcPr>
            <w:tcW w:w="2053" w:type="dxa"/>
            <w:tcBorders>
              <w:top w:val="nil"/>
              <w:left w:val="single" w:sz="12" w:space="0" w:color="auto"/>
              <w:bottom w:val="single" w:sz="8" w:space="0" w:color="auto"/>
              <w:right w:val="nil"/>
            </w:tcBorders>
            <w:noWrap/>
            <w:vAlign w:val="center"/>
            <w:hideMark/>
          </w:tcPr>
          <w:p w14:paraId="552E1AE3" w14:textId="77777777" w:rsidR="00CE68F2" w:rsidRPr="00C20CFE" w:rsidRDefault="00CE68F2" w:rsidP="00A06B8B">
            <w:pPr>
              <w:rPr>
                <w:rFonts w:eastAsia="Times New Roman" w:cs="Calibri"/>
                <w:color w:val="000000"/>
                <w:sz w:val="22"/>
                <w:szCs w:val="22"/>
              </w:rPr>
            </w:pPr>
            <w:r w:rsidRPr="00C20CFE">
              <w:rPr>
                <w:rFonts w:eastAsia="Times New Roman" w:cs="Calibri"/>
                <w:color w:val="000000"/>
                <w:sz w:val="22"/>
                <w:szCs w:val="22"/>
              </w:rPr>
              <w:t>Type: Upper</w:t>
            </w:r>
          </w:p>
        </w:tc>
        <w:tc>
          <w:tcPr>
            <w:tcW w:w="909" w:type="dxa"/>
            <w:tcBorders>
              <w:top w:val="nil"/>
              <w:left w:val="single" w:sz="8" w:space="0" w:color="auto"/>
              <w:bottom w:val="single" w:sz="8" w:space="0" w:color="auto"/>
              <w:right w:val="single" w:sz="8" w:space="0" w:color="auto"/>
            </w:tcBorders>
            <w:noWrap/>
            <w:vAlign w:val="center"/>
            <w:hideMark/>
          </w:tcPr>
          <w:p w14:paraId="64CA66C8" w14:textId="77777777" w:rsidR="00CE68F2" w:rsidRPr="00C20CFE" w:rsidRDefault="00CE68F2" w:rsidP="00A06B8B">
            <w:pPr>
              <w:jc w:val="center"/>
              <w:rPr>
                <w:rFonts w:eastAsia="Times New Roman" w:cs="Calibri"/>
                <w:color w:val="000000"/>
                <w:sz w:val="22"/>
                <w:szCs w:val="22"/>
              </w:rPr>
            </w:pPr>
            <w:r w:rsidRPr="00C20CFE">
              <w:rPr>
                <w:rFonts w:eastAsia="Times New Roman" w:cs="Calibri"/>
                <w:color w:val="000000"/>
                <w:sz w:val="22"/>
                <w:szCs w:val="22"/>
              </w:rPr>
              <w:t>2,832</w:t>
            </w:r>
          </w:p>
        </w:tc>
        <w:tc>
          <w:tcPr>
            <w:tcW w:w="910" w:type="dxa"/>
            <w:tcBorders>
              <w:top w:val="nil"/>
              <w:left w:val="nil"/>
              <w:bottom w:val="single" w:sz="8" w:space="0" w:color="auto"/>
              <w:right w:val="single" w:sz="8" w:space="0" w:color="auto"/>
            </w:tcBorders>
            <w:noWrap/>
            <w:vAlign w:val="center"/>
            <w:hideMark/>
          </w:tcPr>
          <w:p w14:paraId="43D5EB36" w14:textId="77777777" w:rsidR="00CE68F2" w:rsidRPr="00C20CFE" w:rsidRDefault="00CE68F2" w:rsidP="00A06B8B">
            <w:pPr>
              <w:jc w:val="center"/>
              <w:rPr>
                <w:rFonts w:eastAsia="Times New Roman" w:cs="Calibri"/>
                <w:color w:val="000000"/>
                <w:sz w:val="22"/>
                <w:szCs w:val="22"/>
              </w:rPr>
            </w:pPr>
            <w:r w:rsidRPr="00C20CFE">
              <w:rPr>
                <w:rFonts w:eastAsia="Times New Roman" w:cs="Calibri"/>
                <w:color w:val="000000"/>
                <w:sz w:val="22"/>
                <w:szCs w:val="22"/>
              </w:rPr>
              <w:t>29%</w:t>
            </w:r>
          </w:p>
        </w:tc>
        <w:tc>
          <w:tcPr>
            <w:tcW w:w="909" w:type="dxa"/>
            <w:tcBorders>
              <w:top w:val="nil"/>
              <w:left w:val="nil"/>
              <w:bottom w:val="single" w:sz="8" w:space="0" w:color="auto"/>
              <w:right w:val="single" w:sz="8" w:space="0" w:color="auto"/>
            </w:tcBorders>
            <w:noWrap/>
            <w:vAlign w:val="center"/>
            <w:hideMark/>
          </w:tcPr>
          <w:p w14:paraId="00AD4752" w14:textId="77777777" w:rsidR="00CE68F2" w:rsidRPr="00C20CFE" w:rsidRDefault="00CE68F2" w:rsidP="00A06B8B">
            <w:pPr>
              <w:jc w:val="center"/>
              <w:rPr>
                <w:rFonts w:eastAsia="Times New Roman" w:cs="Calibri"/>
                <w:color w:val="000000"/>
                <w:sz w:val="22"/>
                <w:szCs w:val="22"/>
              </w:rPr>
            </w:pPr>
            <w:r w:rsidRPr="00C20CFE">
              <w:rPr>
                <w:rFonts w:eastAsia="Times New Roman" w:cs="Calibri"/>
                <w:color w:val="000000"/>
                <w:sz w:val="22"/>
                <w:szCs w:val="22"/>
              </w:rPr>
              <w:t>2,660</w:t>
            </w:r>
          </w:p>
        </w:tc>
        <w:tc>
          <w:tcPr>
            <w:tcW w:w="910" w:type="dxa"/>
            <w:tcBorders>
              <w:top w:val="nil"/>
              <w:left w:val="nil"/>
              <w:bottom w:val="single" w:sz="8" w:space="0" w:color="auto"/>
              <w:right w:val="single" w:sz="8" w:space="0" w:color="auto"/>
            </w:tcBorders>
            <w:noWrap/>
            <w:vAlign w:val="center"/>
            <w:hideMark/>
          </w:tcPr>
          <w:p w14:paraId="1295B9F5" w14:textId="77777777" w:rsidR="00CE68F2" w:rsidRPr="00C20CFE" w:rsidRDefault="00CE68F2" w:rsidP="00A06B8B">
            <w:pPr>
              <w:jc w:val="center"/>
              <w:rPr>
                <w:rFonts w:eastAsia="Times New Roman" w:cs="Calibri"/>
                <w:color w:val="000000"/>
                <w:sz w:val="22"/>
                <w:szCs w:val="22"/>
              </w:rPr>
            </w:pPr>
            <w:r w:rsidRPr="00C20CFE">
              <w:rPr>
                <w:rFonts w:eastAsia="Times New Roman" w:cs="Calibri"/>
                <w:color w:val="000000"/>
                <w:sz w:val="22"/>
                <w:szCs w:val="22"/>
              </w:rPr>
              <w:t>26%</w:t>
            </w:r>
          </w:p>
        </w:tc>
        <w:tc>
          <w:tcPr>
            <w:tcW w:w="910" w:type="dxa"/>
            <w:tcBorders>
              <w:top w:val="nil"/>
              <w:left w:val="nil"/>
              <w:bottom w:val="single" w:sz="8" w:space="0" w:color="auto"/>
              <w:right w:val="single" w:sz="8" w:space="0" w:color="auto"/>
            </w:tcBorders>
            <w:noWrap/>
            <w:vAlign w:val="center"/>
            <w:hideMark/>
          </w:tcPr>
          <w:p w14:paraId="150BA315" w14:textId="77777777" w:rsidR="00CE68F2" w:rsidRPr="00C20CFE" w:rsidRDefault="00CE68F2" w:rsidP="00A06B8B">
            <w:pPr>
              <w:jc w:val="center"/>
              <w:rPr>
                <w:rFonts w:eastAsia="Times New Roman" w:cs="Calibri"/>
                <w:color w:val="000000"/>
                <w:sz w:val="22"/>
                <w:szCs w:val="22"/>
              </w:rPr>
            </w:pPr>
            <w:r w:rsidRPr="00C20CFE">
              <w:rPr>
                <w:rFonts w:eastAsia="Times New Roman" w:cs="Calibri"/>
                <w:color w:val="000000"/>
                <w:sz w:val="22"/>
                <w:szCs w:val="22"/>
              </w:rPr>
              <w:t>2,329</w:t>
            </w:r>
          </w:p>
        </w:tc>
        <w:tc>
          <w:tcPr>
            <w:tcW w:w="909" w:type="dxa"/>
            <w:tcBorders>
              <w:top w:val="nil"/>
              <w:left w:val="nil"/>
              <w:bottom w:val="single" w:sz="8" w:space="0" w:color="auto"/>
              <w:right w:val="single" w:sz="8" w:space="0" w:color="auto"/>
            </w:tcBorders>
            <w:noWrap/>
            <w:vAlign w:val="center"/>
            <w:hideMark/>
          </w:tcPr>
          <w:p w14:paraId="7A7C08A5" w14:textId="77777777" w:rsidR="00CE68F2" w:rsidRPr="00C20CFE" w:rsidRDefault="00CE68F2" w:rsidP="00A06B8B">
            <w:pPr>
              <w:jc w:val="center"/>
              <w:rPr>
                <w:rFonts w:eastAsia="Times New Roman" w:cs="Calibri"/>
                <w:color w:val="000000"/>
                <w:sz w:val="22"/>
                <w:szCs w:val="22"/>
              </w:rPr>
            </w:pPr>
            <w:r w:rsidRPr="00C20CFE">
              <w:rPr>
                <w:rFonts w:eastAsia="Times New Roman" w:cs="Calibri"/>
                <w:color w:val="000000"/>
                <w:sz w:val="22"/>
                <w:szCs w:val="22"/>
              </w:rPr>
              <w:t>25%</w:t>
            </w:r>
          </w:p>
        </w:tc>
        <w:tc>
          <w:tcPr>
            <w:tcW w:w="910" w:type="dxa"/>
            <w:tcBorders>
              <w:top w:val="nil"/>
              <w:left w:val="nil"/>
              <w:bottom w:val="single" w:sz="8" w:space="0" w:color="auto"/>
              <w:right w:val="single" w:sz="8" w:space="0" w:color="auto"/>
            </w:tcBorders>
            <w:noWrap/>
            <w:vAlign w:val="center"/>
            <w:hideMark/>
          </w:tcPr>
          <w:p w14:paraId="0364AA5A" w14:textId="77777777" w:rsidR="00CE68F2" w:rsidRPr="00C20CFE" w:rsidRDefault="00CE68F2" w:rsidP="00A06B8B">
            <w:pPr>
              <w:jc w:val="center"/>
              <w:rPr>
                <w:rFonts w:eastAsia="Times New Roman" w:cs="Calibri"/>
                <w:color w:val="000000"/>
                <w:sz w:val="22"/>
                <w:szCs w:val="22"/>
              </w:rPr>
            </w:pPr>
            <w:r w:rsidRPr="00C20CFE">
              <w:rPr>
                <w:rFonts w:eastAsia="Times New Roman" w:cs="Calibri"/>
                <w:color w:val="000000"/>
                <w:sz w:val="22"/>
                <w:szCs w:val="22"/>
              </w:rPr>
              <w:t>2,784</w:t>
            </w:r>
          </w:p>
        </w:tc>
        <w:tc>
          <w:tcPr>
            <w:tcW w:w="910" w:type="dxa"/>
            <w:tcBorders>
              <w:top w:val="nil"/>
              <w:left w:val="nil"/>
              <w:bottom w:val="single" w:sz="8" w:space="0" w:color="auto"/>
              <w:right w:val="single" w:sz="12" w:space="0" w:color="auto"/>
            </w:tcBorders>
            <w:noWrap/>
            <w:vAlign w:val="center"/>
            <w:hideMark/>
          </w:tcPr>
          <w:p w14:paraId="47E7F910" w14:textId="77777777" w:rsidR="00CE68F2" w:rsidRPr="00C20CFE" w:rsidRDefault="00CE68F2" w:rsidP="00A06B8B">
            <w:pPr>
              <w:jc w:val="center"/>
              <w:rPr>
                <w:rFonts w:eastAsia="Times New Roman" w:cs="Calibri"/>
                <w:color w:val="000000"/>
                <w:sz w:val="22"/>
                <w:szCs w:val="22"/>
              </w:rPr>
            </w:pPr>
            <w:r w:rsidRPr="00C20CFE">
              <w:rPr>
                <w:rFonts w:eastAsia="Times New Roman" w:cs="Calibri"/>
                <w:color w:val="000000"/>
                <w:sz w:val="22"/>
                <w:szCs w:val="22"/>
              </w:rPr>
              <w:t>27%</w:t>
            </w:r>
          </w:p>
        </w:tc>
      </w:tr>
      <w:tr w:rsidR="00CE68F2" w:rsidRPr="00C20CFE" w14:paraId="5455FACA" w14:textId="77777777" w:rsidTr="004C5376">
        <w:trPr>
          <w:cantSplit/>
          <w:trHeight w:val="300"/>
          <w:jc w:val="center"/>
        </w:trPr>
        <w:tc>
          <w:tcPr>
            <w:tcW w:w="2053" w:type="dxa"/>
            <w:tcBorders>
              <w:top w:val="nil"/>
              <w:left w:val="single" w:sz="12" w:space="0" w:color="auto"/>
              <w:bottom w:val="single" w:sz="12" w:space="0" w:color="auto"/>
              <w:right w:val="nil"/>
            </w:tcBorders>
            <w:noWrap/>
            <w:vAlign w:val="center"/>
            <w:hideMark/>
          </w:tcPr>
          <w:p w14:paraId="34DE3B5D" w14:textId="77777777" w:rsidR="00CE68F2" w:rsidRPr="00C20CFE" w:rsidRDefault="00CE68F2" w:rsidP="00A06B8B">
            <w:pPr>
              <w:rPr>
                <w:rFonts w:eastAsia="Times New Roman" w:cs="Calibri"/>
                <w:color w:val="000000"/>
                <w:sz w:val="22"/>
                <w:szCs w:val="22"/>
              </w:rPr>
            </w:pPr>
            <w:r w:rsidRPr="00C20CFE">
              <w:rPr>
                <w:rFonts w:eastAsia="Times New Roman" w:cs="Calibri"/>
                <w:color w:val="000000"/>
                <w:sz w:val="22"/>
                <w:szCs w:val="22"/>
              </w:rPr>
              <w:t>Type: Lower + Other</w:t>
            </w:r>
          </w:p>
        </w:tc>
        <w:tc>
          <w:tcPr>
            <w:tcW w:w="909" w:type="dxa"/>
            <w:tcBorders>
              <w:top w:val="nil"/>
              <w:left w:val="single" w:sz="8" w:space="0" w:color="auto"/>
              <w:bottom w:val="single" w:sz="12" w:space="0" w:color="auto"/>
              <w:right w:val="single" w:sz="8" w:space="0" w:color="auto"/>
            </w:tcBorders>
            <w:noWrap/>
            <w:vAlign w:val="center"/>
            <w:hideMark/>
          </w:tcPr>
          <w:p w14:paraId="4C98291D" w14:textId="77777777" w:rsidR="00CE68F2" w:rsidRPr="00C20CFE" w:rsidRDefault="00CE68F2" w:rsidP="00A06B8B">
            <w:pPr>
              <w:jc w:val="center"/>
              <w:rPr>
                <w:rFonts w:eastAsia="Times New Roman" w:cs="Calibri"/>
                <w:color w:val="000000"/>
                <w:sz w:val="22"/>
                <w:szCs w:val="22"/>
              </w:rPr>
            </w:pPr>
            <w:r w:rsidRPr="00C20CFE">
              <w:rPr>
                <w:rFonts w:eastAsia="Times New Roman" w:cs="Calibri"/>
                <w:color w:val="000000"/>
                <w:sz w:val="22"/>
                <w:szCs w:val="22"/>
              </w:rPr>
              <w:t>7,047</w:t>
            </w:r>
          </w:p>
        </w:tc>
        <w:tc>
          <w:tcPr>
            <w:tcW w:w="910" w:type="dxa"/>
            <w:tcBorders>
              <w:top w:val="nil"/>
              <w:left w:val="nil"/>
              <w:bottom w:val="single" w:sz="12" w:space="0" w:color="auto"/>
              <w:right w:val="single" w:sz="8" w:space="0" w:color="auto"/>
            </w:tcBorders>
            <w:noWrap/>
            <w:vAlign w:val="center"/>
            <w:hideMark/>
          </w:tcPr>
          <w:p w14:paraId="046E1E92" w14:textId="77777777" w:rsidR="00CE68F2" w:rsidRPr="00C20CFE" w:rsidRDefault="00CE68F2" w:rsidP="00A06B8B">
            <w:pPr>
              <w:jc w:val="center"/>
              <w:rPr>
                <w:rFonts w:eastAsia="Times New Roman" w:cs="Calibri"/>
                <w:color w:val="000000"/>
                <w:sz w:val="22"/>
                <w:szCs w:val="22"/>
              </w:rPr>
            </w:pPr>
            <w:r w:rsidRPr="00C20CFE">
              <w:rPr>
                <w:rFonts w:eastAsia="Times New Roman" w:cs="Calibri"/>
                <w:color w:val="000000"/>
                <w:sz w:val="22"/>
                <w:szCs w:val="22"/>
              </w:rPr>
              <w:t>71%</w:t>
            </w:r>
          </w:p>
        </w:tc>
        <w:tc>
          <w:tcPr>
            <w:tcW w:w="909" w:type="dxa"/>
            <w:tcBorders>
              <w:top w:val="nil"/>
              <w:left w:val="nil"/>
              <w:bottom w:val="single" w:sz="12" w:space="0" w:color="auto"/>
              <w:right w:val="single" w:sz="8" w:space="0" w:color="auto"/>
            </w:tcBorders>
            <w:noWrap/>
            <w:vAlign w:val="center"/>
            <w:hideMark/>
          </w:tcPr>
          <w:p w14:paraId="0F978323" w14:textId="77777777" w:rsidR="00CE68F2" w:rsidRPr="00C20CFE" w:rsidRDefault="00CE68F2" w:rsidP="00A06B8B">
            <w:pPr>
              <w:jc w:val="center"/>
              <w:rPr>
                <w:rFonts w:eastAsia="Times New Roman" w:cs="Calibri"/>
                <w:color w:val="000000"/>
                <w:sz w:val="22"/>
                <w:szCs w:val="22"/>
              </w:rPr>
            </w:pPr>
            <w:r w:rsidRPr="00C20CFE">
              <w:rPr>
                <w:rFonts w:eastAsia="Times New Roman" w:cs="Calibri"/>
                <w:color w:val="000000"/>
                <w:sz w:val="22"/>
                <w:szCs w:val="22"/>
              </w:rPr>
              <w:t>7,577</w:t>
            </w:r>
          </w:p>
        </w:tc>
        <w:tc>
          <w:tcPr>
            <w:tcW w:w="910" w:type="dxa"/>
            <w:tcBorders>
              <w:top w:val="nil"/>
              <w:left w:val="nil"/>
              <w:bottom w:val="single" w:sz="12" w:space="0" w:color="auto"/>
              <w:right w:val="single" w:sz="8" w:space="0" w:color="auto"/>
            </w:tcBorders>
            <w:noWrap/>
            <w:vAlign w:val="center"/>
            <w:hideMark/>
          </w:tcPr>
          <w:p w14:paraId="428E7CC1" w14:textId="77777777" w:rsidR="00CE68F2" w:rsidRPr="00C20CFE" w:rsidRDefault="00CE68F2" w:rsidP="00A06B8B">
            <w:pPr>
              <w:jc w:val="center"/>
              <w:rPr>
                <w:rFonts w:eastAsia="Times New Roman" w:cs="Calibri"/>
                <w:color w:val="000000"/>
                <w:sz w:val="22"/>
                <w:szCs w:val="22"/>
              </w:rPr>
            </w:pPr>
            <w:r w:rsidRPr="00C20CFE">
              <w:rPr>
                <w:rFonts w:eastAsia="Times New Roman" w:cs="Calibri"/>
                <w:color w:val="000000"/>
                <w:sz w:val="22"/>
                <w:szCs w:val="22"/>
              </w:rPr>
              <w:t>74%</w:t>
            </w:r>
          </w:p>
        </w:tc>
        <w:tc>
          <w:tcPr>
            <w:tcW w:w="910" w:type="dxa"/>
            <w:tcBorders>
              <w:top w:val="nil"/>
              <w:left w:val="nil"/>
              <w:bottom w:val="single" w:sz="12" w:space="0" w:color="auto"/>
              <w:right w:val="single" w:sz="8" w:space="0" w:color="auto"/>
            </w:tcBorders>
            <w:noWrap/>
            <w:vAlign w:val="center"/>
            <w:hideMark/>
          </w:tcPr>
          <w:p w14:paraId="6F54C3F0" w14:textId="77777777" w:rsidR="00CE68F2" w:rsidRPr="00C20CFE" w:rsidRDefault="00CE68F2" w:rsidP="00A06B8B">
            <w:pPr>
              <w:jc w:val="center"/>
              <w:rPr>
                <w:rFonts w:eastAsia="Times New Roman" w:cs="Calibri"/>
                <w:color w:val="000000"/>
                <w:sz w:val="22"/>
                <w:szCs w:val="22"/>
              </w:rPr>
            </w:pPr>
            <w:r w:rsidRPr="00C20CFE">
              <w:rPr>
                <w:rFonts w:eastAsia="Times New Roman" w:cs="Calibri"/>
                <w:color w:val="000000"/>
                <w:sz w:val="22"/>
                <w:szCs w:val="22"/>
              </w:rPr>
              <w:t>7,120</w:t>
            </w:r>
          </w:p>
        </w:tc>
        <w:tc>
          <w:tcPr>
            <w:tcW w:w="909" w:type="dxa"/>
            <w:tcBorders>
              <w:top w:val="nil"/>
              <w:left w:val="nil"/>
              <w:bottom w:val="single" w:sz="12" w:space="0" w:color="auto"/>
              <w:right w:val="single" w:sz="8" w:space="0" w:color="auto"/>
            </w:tcBorders>
            <w:noWrap/>
            <w:vAlign w:val="center"/>
            <w:hideMark/>
          </w:tcPr>
          <w:p w14:paraId="21EDC780" w14:textId="77777777" w:rsidR="00CE68F2" w:rsidRPr="00C20CFE" w:rsidRDefault="00CE68F2" w:rsidP="00A06B8B">
            <w:pPr>
              <w:jc w:val="center"/>
              <w:rPr>
                <w:rFonts w:eastAsia="Times New Roman" w:cs="Calibri"/>
                <w:color w:val="000000"/>
                <w:sz w:val="22"/>
                <w:szCs w:val="22"/>
              </w:rPr>
            </w:pPr>
            <w:r w:rsidRPr="00C20CFE">
              <w:rPr>
                <w:rFonts w:eastAsia="Times New Roman" w:cs="Calibri"/>
                <w:color w:val="000000"/>
                <w:sz w:val="22"/>
                <w:szCs w:val="22"/>
              </w:rPr>
              <w:t>75%</w:t>
            </w:r>
          </w:p>
        </w:tc>
        <w:tc>
          <w:tcPr>
            <w:tcW w:w="910" w:type="dxa"/>
            <w:tcBorders>
              <w:top w:val="nil"/>
              <w:left w:val="nil"/>
              <w:bottom w:val="single" w:sz="12" w:space="0" w:color="auto"/>
              <w:right w:val="single" w:sz="8" w:space="0" w:color="auto"/>
            </w:tcBorders>
            <w:noWrap/>
            <w:vAlign w:val="center"/>
            <w:hideMark/>
          </w:tcPr>
          <w:p w14:paraId="3A0B2FF9" w14:textId="77777777" w:rsidR="00CE68F2" w:rsidRPr="00C20CFE" w:rsidRDefault="00CE68F2" w:rsidP="00A06B8B">
            <w:pPr>
              <w:jc w:val="center"/>
              <w:rPr>
                <w:rFonts w:eastAsia="Times New Roman" w:cs="Calibri"/>
                <w:color w:val="000000"/>
                <w:sz w:val="22"/>
                <w:szCs w:val="22"/>
              </w:rPr>
            </w:pPr>
            <w:r w:rsidRPr="00C20CFE">
              <w:rPr>
                <w:rFonts w:eastAsia="Times New Roman" w:cs="Calibri"/>
                <w:color w:val="000000"/>
                <w:sz w:val="22"/>
                <w:szCs w:val="22"/>
              </w:rPr>
              <w:t>7,457</w:t>
            </w:r>
          </w:p>
        </w:tc>
        <w:tc>
          <w:tcPr>
            <w:tcW w:w="910" w:type="dxa"/>
            <w:tcBorders>
              <w:top w:val="nil"/>
              <w:left w:val="nil"/>
              <w:bottom w:val="single" w:sz="12" w:space="0" w:color="auto"/>
              <w:right w:val="single" w:sz="12" w:space="0" w:color="auto"/>
            </w:tcBorders>
            <w:noWrap/>
            <w:vAlign w:val="center"/>
            <w:hideMark/>
          </w:tcPr>
          <w:p w14:paraId="5A3C3F51" w14:textId="77777777" w:rsidR="00CE68F2" w:rsidRPr="00C20CFE" w:rsidRDefault="00CE68F2" w:rsidP="00A06B8B">
            <w:pPr>
              <w:jc w:val="center"/>
              <w:rPr>
                <w:rFonts w:eastAsia="Times New Roman" w:cs="Calibri"/>
                <w:color w:val="000000"/>
                <w:sz w:val="22"/>
                <w:szCs w:val="22"/>
              </w:rPr>
            </w:pPr>
            <w:r w:rsidRPr="00C20CFE">
              <w:rPr>
                <w:rFonts w:eastAsia="Times New Roman" w:cs="Calibri"/>
                <w:color w:val="000000"/>
                <w:sz w:val="22"/>
                <w:szCs w:val="22"/>
              </w:rPr>
              <w:t>73%</w:t>
            </w:r>
          </w:p>
        </w:tc>
      </w:tr>
    </w:tbl>
    <w:p w14:paraId="610A57E3" w14:textId="761576BB" w:rsidR="00D22F89" w:rsidRDefault="00D22F89" w:rsidP="00C70F16">
      <w:pPr>
        <w:pStyle w:val="BodyText"/>
        <w:spacing w:line="269" w:lineRule="exact"/>
        <w:rPr>
          <w:rFonts w:asciiTheme="minorHAnsi" w:hAnsiTheme="minorHAnsi"/>
          <w:highlight w:val="yellow"/>
        </w:rPr>
      </w:pPr>
    </w:p>
    <w:p w14:paraId="178D1A89" w14:textId="1636326C" w:rsidR="0017187C" w:rsidRDefault="009B43A5" w:rsidP="00B578E4">
      <w:pPr>
        <w:spacing w:after="120"/>
        <w:rPr>
          <w:rFonts w:asciiTheme="minorHAnsi" w:hAnsiTheme="minorHAnsi"/>
          <w:szCs w:val="24"/>
        </w:rPr>
      </w:pPr>
      <w:r w:rsidRPr="00013CBD">
        <w:rPr>
          <w:rFonts w:asciiTheme="minorHAnsi" w:hAnsiTheme="minorHAnsi"/>
          <w:szCs w:val="24"/>
        </w:rPr>
        <w:t>The Applicant explains that</w:t>
      </w:r>
      <w:r w:rsidR="00F1736C" w:rsidRPr="00013CBD">
        <w:rPr>
          <w:rFonts w:asciiTheme="minorHAnsi" w:hAnsiTheme="minorHAnsi"/>
          <w:szCs w:val="24"/>
        </w:rPr>
        <w:t xml:space="preserve"> </w:t>
      </w:r>
      <w:r w:rsidR="00F1736C" w:rsidRPr="00FC54A0">
        <w:rPr>
          <w:rFonts w:asciiTheme="minorHAnsi" w:hAnsiTheme="minorHAnsi"/>
        </w:rPr>
        <w:t>outpatient volume at BWH’s main campus has been limited (as seen in</w:t>
      </w:r>
      <w:r w:rsidR="00F1736C" w:rsidRPr="00FC54A0">
        <w:rPr>
          <w:rFonts w:asciiTheme="minorHAnsi" w:hAnsiTheme="minorHAnsi"/>
          <w:b/>
          <w:bCs/>
        </w:rPr>
        <w:t xml:space="preserve"> </w:t>
      </w:r>
      <w:r w:rsidR="00F1736C" w:rsidRPr="00FC54A0">
        <w:rPr>
          <w:rFonts w:asciiTheme="minorHAnsi" w:hAnsiTheme="minorHAnsi"/>
        </w:rPr>
        <w:t xml:space="preserve">the </w:t>
      </w:r>
      <w:r w:rsidR="00013CBD" w:rsidRPr="00FC54A0">
        <w:rPr>
          <w:rFonts w:asciiTheme="minorHAnsi" w:hAnsiTheme="minorHAnsi"/>
        </w:rPr>
        <w:t>volume decreases above)</w:t>
      </w:r>
      <w:r w:rsidR="00F1736C" w:rsidRPr="00FC54A0">
        <w:rPr>
          <w:rFonts w:asciiTheme="minorHAnsi" w:hAnsiTheme="minorHAnsi"/>
        </w:rPr>
        <w:t xml:space="preserve"> in order to prioritize higher acuity inpatient procedures.</w:t>
      </w:r>
      <w:r w:rsidR="00F1736C" w:rsidRPr="0004249E">
        <w:rPr>
          <w:rFonts w:ascii="Aptos" w:hAnsi="Aptos"/>
          <w:b/>
          <w:bCs/>
        </w:rPr>
        <w:t xml:space="preserve"> </w:t>
      </w:r>
      <w:r w:rsidR="00C833C8">
        <w:rPr>
          <w:rFonts w:asciiTheme="minorHAnsi" w:hAnsiTheme="minorHAnsi"/>
          <w:szCs w:val="24"/>
        </w:rPr>
        <w:t xml:space="preserve">The Applicant </w:t>
      </w:r>
      <w:r w:rsidR="0076404F">
        <w:rPr>
          <w:rFonts w:asciiTheme="minorHAnsi" w:hAnsiTheme="minorHAnsi"/>
          <w:szCs w:val="24"/>
        </w:rPr>
        <w:t>states that there has recently been an increase in the number of inpatient endoscopy procedures performed</w:t>
      </w:r>
      <w:r w:rsidR="00F43E16">
        <w:rPr>
          <w:rFonts w:asciiTheme="minorHAnsi" w:hAnsiTheme="minorHAnsi"/>
          <w:szCs w:val="24"/>
        </w:rPr>
        <w:t xml:space="preserve"> at both BWH and MGH</w:t>
      </w:r>
      <w:r w:rsidR="00607EF5">
        <w:rPr>
          <w:rFonts w:asciiTheme="minorHAnsi" w:hAnsiTheme="minorHAnsi"/>
          <w:szCs w:val="24"/>
        </w:rPr>
        <w:t xml:space="preserve">. </w:t>
      </w:r>
      <w:r w:rsidR="00F45AF7">
        <w:rPr>
          <w:rFonts w:asciiTheme="minorHAnsi" w:hAnsiTheme="minorHAnsi"/>
          <w:szCs w:val="24"/>
        </w:rPr>
        <w:t xml:space="preserve">As demonstrated in Table </w:t>
      </w:r>
      <w:r w:rsidR="00013CBD">
        <w:rPr>
          <w:rFonts w:asciiTheme="minorHAnsi" w:hAnsiTheme="minorHAnsi"/>
          <w:szCs w:val="24"/>
        </w:rPr>
        <w:t>10</w:t>
      </w:r>
      <w:r w:rsidR="00F45AF7">
        <w:rPr>
          <w:rFonts w:asciiTheme="minorHAnsi" w:hAnsiTheme="minorHAnsi"/>
          <w:szCs w:val="24"/>
        </w:rPr>
        <w:t xml:space="preserve">, there was a </w:t>
      </w:r>
      <w:r w:rsidR="0014190E">
        <w:rPr>
          <w:rFonts w:asciiTheme="minorHAnsi" w:hAnsiTheme="minorHAnsi"/>
          <w:szCs w:val="24"/>
        </w:rPr>
        <w:t>19</w:t>
      </w:r>
      <w:r w:rsidR="00F45AF7">
        <w:rPr>
          <w:rFonts w:asciiTheme="minorHAnsi" w:hAnsiTheme="minorHAnsi"/>
          <w:szCs w:val="24"/>
        </w:rPr>
        <w:t xml:space="preserve">% increase </w:t>
      </w:r>
      <w:r w:rsidR="00D5104D">
        <w:rPr>
          <w:rFonts w:asciiTheme="minorHAnsi" w:hAnsiTheme="minorHAnsi"/>
          <w:szCs w:val="24"/>
        </w:rPr>
        <w:t xml:space="preserve">in inpatient procedures performed </w:t>
      </w:r>
      <w:r w:rsidR="00DA6257">
        <w:rPr>
          <w:rFonts w:asciiTheme="minorHAnsi" w:hAnsiTheme="minorHAnsi"/>
          <w:szCs w:val="24"/>
        </w:rPr>
        <w:t xml:space="preserve">at </w:t>
      </w:r>
      <w:r w:rsidR="0014190E">
        <w:rPr>
          <w:rFonts w:asciiTheme="minorHAnsi" w:hAnsiTheme="minorHAnsi"/>
          <w:szCs w:val="24"/>
        </w:rPr>
        <w:t>the AMCs</w:t>
      </w:r>
      <w:r w:rsidR="00DA6257">
        <w:rPr>
          <w:rFonts w:asciiTheme="minorHAnsi" w:hAnsiTheme="minorHAnsi"/>
          <w:szCs w:val="24"/>
        </w:rPr>
        <w:t xml:space="preserve"> </w:t>
      </w:r>
      <w:r w:rsidR="00D5104D">
        <w:rPr>
          <w:rFonts w:asciiTheme="minorHAnsi" w:hAnsiTheme="minorHAnsi"/>
          <w:szCs w:val="24"/>
        </w:rPr>
        <w:t>from</w:t>
      </w:r>
      <w:r w:rsidR="0005638B" w:rsidRPr="00B578E4">
        <w:rPr>
          <w:rFonts w:asciiTheme="minorHAnsi" w:hAnsiTheme="minorHAnsi"/>
          <w:szCs w:val="24"/>
        </w:rPr>
        <w:t xml:space="preserve"> FY202</w:t>
      </w:r>
      <w:r w:rsidR="0014190E">
        <w:rPr>
          <w:rFonts w:asciiTheme="minorHAnsi" w:hAnsiTheme="minorHAnsi"/>
          <w:szCs w:val="24"/>
        </w:rPr>
        <w:t>2</w:t>
      </w:r>
      <w:r w:rsidR="00961909">
        <w:rPr>
          <w:rFonts w:asciiTheme="minorHAnsi" w:hAnsiTheme="minorHAnsi"/>
          <w:szCs w:val="24"/>
        </w:rPr>
        <w:t>-FY202</w:t>
      </w:r>
      <w:r w:rsidR="00D5104D">
        <w:rPr>
          <w:rFonts w:asciiTheme="minorHAnsi" w:hAnsiTheme="minorHAnsi"/>
          <w:szCs w:val="24"/>
        </w:rPr>
        <w:t>5</w:t>
      </w:r>
      <w:r w:rsidR="004361F0">
        <w:rPr>
          <w:rFonts w:asciiTheme="minorHAnsi" w:hAnsiTheme="minorHAnsi"/>
          <w:szCs w:val="24"/>
        </w:rPr>
        <w:t xml:space="preserve"> alone</w:t>
      </w:r>
      <w:r w:rsidR="00D5104D">
        <w:rPr>
          <w:rFonts w:asciiTheme="minorHAnsi" w:hAnsiTheme="minorHAnsi"/>
          <w:szCs w:val="24"/>
        </w:rPr>
        <w:t>.</w:t>
      </w:r>
      <w:r w:rsidR="00140DC4">
        <w:rPr>
          <w:rFonts w:asciiTheme="minorHAnsi" w:hAnsiTheme="minorHAnsi"/>
          <w:szCs w:val="24"/>
        </w:rPr>
        <w:t xml:space="preserve"> </w:t>
      </w:r>
      <w:r w:rsidR="0005638B" w:rsidRPr="00B578E4">
        <w:rPr>
          <w:rFonts w:asciiTheme="minorHAnsi" w:hAnsiTheme="minorHAnsi"/>
          <w:szCs w:val="24"/>
        </w:rPr>
        <w:t xml:space="preserve">As a result of the increased inpatient volume, the average utilization rate of </w:t>
      </w:r>
      <w:r w:rsidR="0031636C">
        <w:rPr>
          <w:rFonts w:asciiTheme="minorHAnsi" w:hAnsiTheme="minorHAnsi"/>
          <w:szCs w:val="24"/>
        </w:rPr>
        <w:t>endoscopy roo</w:t>
      </w:r>
      <w:r w:rsidR="006A5F81">
        <w:rPr>
          <w:rFonts w:asciiTheme="minorHAnsi" w:hAnsiTheme="minorHAnsi"/>
          <w:szCs w:val="24"/>
        </w:rPr>
        <w:t xml:space="preserve">ms has increased </w:t>
      </w:r>
      <w:r w:rsidR="004361F0">
        <w:rPr>
          <w:rFonts w:asciiTheme="minorHAnsi" w:hAnsiTheme="minorHAnsi"/>
          <w:szCs w:val="24"/>
        </w:rPr>
        <w:t>from FY2022 to FY2025</w:t>
      </w:r>
      <w:r w:rsidR="0031636C">
        <w:rPr>
          <w:rFonts w:asciiTheme="minorHAnsi" w:hAnsiTheme="minorHAnsi"/>
          <w:szCs w:val="24"/>
        </w:rPr>
        <w:t>.</w:t>
      </w:r>
      <w:r w:rsidR="0005638B" w:rsidRPr="000A60B6">
        <w:rPr>
          <w:szCs w:val="24"/>
          <w:vertAlign w:val="superscript"/>
        </w:rPr>
        <w:footnoteReference w:id="22"/>
      </w:r>
      <w:r w:rsidR="0005638B" w:rsidRPr="00B578E4">
        <w:rPr>
          <w:rFonts w:asciiTheme="minorHAnsi" w:hAnsiTheme="minorHAnsi"/>
          <w:szCs w:val="24"/>
        </w:rPr>
        <w:t xml:space="preserve"> </w:t>
      </w:r>
    </w:p>
    <w:p w14:paraId="24903DE6" w14:textId="38392583" w:rsidR="0017187C" w:rsidRDefault="0017187C" w:rsidP="00EC1119">
      <w:pPr>
        <w:spacing w:after="120"/>
        <w:jc w:val="center"/>
        <w:rPr>
          <w:rFonts w:asciiTheme="minorHAnsi" w:hAnsiTheme="minorHAnsi"/>
          <w:b/>
          <w:bCs/>
          <w:sz w:val="22"/>
          <w:szCs w:val="22"/>
        </w:rPr>
      </w:pPr>
      <w:r w:rsidRPr="00CA3FFC">
        <w:rPr>
          <w:rFonts w:asciiTheme="minorHAnsi" w:hAnsiTheme="minorHAnsi"/>
          <w:b/>
          <w:bCs/>
          <w:szCs w:val="24"/>
          <w:u w:val="single"/>
        </w:rPr>
        <w:t xml:space="preserve">Table </w:t>
      </w:r>
      <w:r w:rsidR="00013CBD">
        <w:rPr>
          <w:rFonts w:asciiTheme="minorHAnsi" w:hAnsiTheme="minorHAnsi"/>
          <w:b/>
          <w:bCs/>
          <w:szCs w:val="24"/>
          <w:u w:val="single"/>
        </w:rPr>
        <w:t>10</w:t>
      </w:r>
      <w:r w:rsidRPr="00CA3FFC">
        <w:rPr>
          <w:rFonts w:asciiTheme="minorHAnsi" w:hAnsiTheme="minorHAnsi"/>
          <w:b/>
          <w:bCs/>
          <w:szCs w:val="24"/>
          <w:u w:val="single"/>
        </w:rPr>
        <w:t>:</w:t>
      </w:r>
      <w:r>
        <w:rPr>
          <w:rFonts w:asciiTheme="minorHAnsi" w:hAnsiTheme="minorHAnsi"/>
          <w:szCs w:val="24"/>
        </w:rPr>
        <w:t xml:space="preserve"> </w:t>
      </w:r>
      <w:r w:rsidRPr="004361F0">
        <w:rPr>
          <w:rFonts w:asciiTheme="minorHAnsi" w:hAnsiTheme="minorHAnsi"/>
          <w:b/>
          <w:bCs/>
          <w:szCs w:val="24"/>
        </w:rPr>
        <w:t>Historical Utilization of Inpatient Endoscopy Procedures at MGB AMCs</w:t>
      </w:r>
    </w:p>
    <w:tbl>
      <w:tblPr>
        <w:tblW w:w="7528" w:type="dxa"/>
        <w:jc w:val="center"/>
        <w:tblCellMar>
          <w:left w:w="0" w:type="dxa"/>
          <w:right w:w="0" w:type="dxa"/>
        </w:tblCellMar>
        <w:tblLook w:val="04A0" w:firstRow="1" w:lastRow="0" w:firstColumn="1" w:lastColumn="0" w:noHBand="0" w:noVBand="1"/>
      </w:tblPr>
      <w:tblGrid>
        <w:gridCol w:w="3505"/>
        <w:gridCol w:w="1080"/>
        <w:gridCol w:w="938"/>
        <w:gridCol w:w="991"/>
        <w:gridCol w:w="1014"/>
      </w:tblGrid>
      <w:tr w:rsidR="00EB57E7" w:rsidRPr="00FD77CB" w14:paraId="320E6B4C" w14:textId="77777777" w:rsidTr="005A7296">
        <w:trPr>
          <w:cantSplit/>
          <w:trHeight w:val="310"/>
          <w:tblHeader/>
          <w:jc w:val="center"/>
        </w:trPr>
        <w:tc>
          <w:tcPr>
            <w:tcW w:w="3505" w:type="dxa"/>
            <w:tcBorders>
              <w:top w:val="single" w:sz="12" w:space="0" w:color="auto"/>
              <w:left w:val="single" w:sz="12" w:space="0" w:color="auto"/>
              <w:bottom w:val="single" w:sz="4" w:space="0" w:color="auto"/>
              <w:right w:val="nil"/>
            </w:tcBorders>
            <w:shd w:val="clear" w:color="auto" w:fill="F2F2F2" w:themeFill="background1" w:themeFillShade="F2"/>
            <w:noWrap/>
            <w:vAlign w:val="center"/>
            <w:hideMark/>
          </w:tcPr>
          <w:p w14:paraId="33C09D65" w14:textId="58A19FFA" w:rsidR="00EB57E7" w:rsidRPr="00FC54A0" w:rsidRDefault="00EB57E7" w:rsidP="00EC1119">
            <w:pPr>
              <w:jc w:val="center"/>
              <w:rPr>
                <w:rFonts w:asciiTheme="minorHAnsi" w:hAnsiTheme="minorHAnsi"/>
                <w:b/>
                <w:bCs/>
                <w:sz w:val="22"/>
                <w:szCs w:val="22"/>
              </w:rPr>
            </w:pPr>
            <w:r w:rsidRPr="00FC54A0">
              <w:rPr>
                <w:rFonts w:asciiTheme="minorHAnsi" w:hAnsiTheme="minorHAnsi"/>
                <w:b/>
                <w:bCs/>
                <w:sz w:val="22"/>
                <w:szCs w:val="22"/>
              </w:rPr>
              <w:t>Inpatient Endoscopy Volume Total</w:t>
            </w:r>
          </w:p>
        </w:tc>
        <w:tc>
          <w:tcPr>
            <w:tcW w:w="1080" w:type="dxa"/>
            <w:tcBorders>
              <w:top w:val="single" w:sz="12"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7F62F27F" w14:textId="77777777" w:rsidR="00EB57E7" w:rsidRPr="00FC54A0" w:rsidRDefault="00EB57E7" w:rsidP="00EC1119">
            <w:pPr>
              <w:jc w:val="center"/>
              <w:rPr>
                <w:rFonts w:asciiTheme="minorHAnsi" w:hAnsiTheme="minorHAnsi"/>
                <w:b/>
                <w:bCs/>
                <w:sz w:val="22"/>
                <w:szCs w:val="22"/>
              </w:rPr>
            </w:pPr>
            <w:r w:rsidRPr="00FC54A0">
              <w:rPr>
                <w:rFonts w:asciiTheme="minorHAnsi" w:hAnsiTheme="minorHAnsi"/>
                <w:b/>
                <w:bCs/>
                <w:sz w:val="22"/>
                <w:szCs w:val="22"/>
              </w:rPr>
              <w:t>FY2022</w:t>
            </w:r>
          </w:p>
        </w:tc>
        <w:tc>
          <w:tcPr>
            <w:tcW w:w="938" w:type="dxa"/>
            <w:tcBorders>
              <w:top w:val="single" w:sz="12"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54443C6D" w14:textId="77777777" w:rsidR="00EB57E7" w:rsidRPr="00FC54A0" w:rsidRDefault="00EB57E7" w:rsidP="00EC1119">
            <w:pPr>
              <w:jc w:val="center"/>
              <w:rPr>
                <w:rFonts w:asciiTheme="minorHAnsi" w:hAnsiTheme="minorHAnsi"/>
                <w:b/>
                <w:bCs/>
                <w:sz w:val="22"/>
                <w:szCs w:val="22"/>
              </w:rPr>
            </w:pPr>
            <w:r w:rsidRPr="00FC54A0">
              <w:rPr>
                <w:rFonts w:asciiTheme="minorHAnsi" w:hAnsiTheme="minorHAnsi"/>
                <w:b/>
                <w:bCs/>
                <w:sz w:val="22"/>
                <w:szCs w:val="22"/>
              </w:rPr>
              <w:t>FY2023</w:t>
            </w:r>
          </w:p>
        </w:tc>
        <w:tc>
          <w:tcPr>
            <w:tcW w:w="991" w:type="dxa"/>
            <w:tcBorders>
              <w:top w:val="single" w:sz="12"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18CFDB02" w14:textId="77777777" w:rsidR="00EB57E7" w:rsidRPr="00FC54A0" w:rsidRDefault="00EB57E7" w:rsidP="00EC1119">
            <w:pPr>
              <w:jc w:val="center"/>
              <w:rPr>
                <w:rFonts w:asciiTheme="minorHAnsi" w:hAnsiTheme="minorHAnsi"/>
                <w:b/>
                <w:bCs/>
                <w:sz w:val="22"/>
                <w:szCs w:val="22"/>
              </w:rPr>
            </w:pPr>
            <w:r w:rsidRPr="00FC54A0">
              <w:rPr>
                <w:rFonts w:asciiTheme="minorHAnsi" w:hAnsiTheme="minorHAnsi"/>
                <w:b/>
                <w:bCs/>
                <w:sz w:val="22"/>
                <w:szCs w:val="22"/>
              </w:rPr>
              <w:t>FY2024</w:t>
            </w:r>
          </w:p>
        </w:tc>
        <w:tc>
          <w:tcPr>
            <w:tcW w:w="1014" w:type="dxa"/>
            <w:tcBorders>
              <w:top w:val="single" w:sz="12" w:space="0" w:color="auto"/>
              <w:left w:val="single" w:sz="4" w:space="0" w:color="auto"/>
              <w:bottom w:val="single" w:sz="4" w:space="0" w:color="auto"/>
              <w:right w:val="single" w:sz="12" w:space="0" w:color="auto"/>
            </w:tcBorders>
            <w:shd w:val="clear" w:color="auto" w:fill="F2F2F2" w:themeFill="background1" w:themeFillShade="F2"/>
            <w:noWrap/>
            <w:vAlign w:val="center"/>
            <w:hideMark/>
          </w:tcPr>
          <w:p w14:paraId="791191AC" w14:textId="3B4860D0" w:rsidR="00EB57E7" w:rsidRPr="00FC54A0" w:rsidRDefault="00EB57E7" w:rsidP="00EC1119">
            <w:pPr>
              <w:jc w:val="center"/>
              <w:rPr>
                <w:rFonts w:asciiTheme="minorHAnsi" w:hAnsiTheme="minorHAnsi"/>
                <w:b/>
                <w:bCs/>
                <w:sz w:val="22"/>
                <w:szCs w:val="22"/>
              </w:rPr>
            </w:pPr>
            <w:r w:rsidRPr="00FC54A0">
              <w:rPr>
                <w:rFonts w:asciiTheme="minorHAnsi" w:hAnsiTheme="minorHAnsi"/>
                <w:b/>
                <w:bCs/>
                <w:sz w:val="22"/>
                <w:szCs w:val="22"/>
              </w:rPr>
              <w:t>FY2025</w:t>
            </w:r>
          </w:p>
        </w:tc>
      </w:tr>
      <w:tr w:rsidR="00EB57E7" w:rsidRPr="009555DC" w14:paraId="10A60FA3" w14:textId="77777777" w:rsidTr="005A7296">
        <w:trPr>
          <w:cantSplit/>
          <w:trHeight w:val="310"/>
          <w:jc w:val="center"/>
        </w:trPr>
        <w:tc>
          <w:tcPr>
            <w:tcW w:w="3505" w:type="dxa"/>
            <w:tcBorders>
              <w:top w:val="single" w:sz="12" w:space="0" w:color="auto"/>
              <w:left w:val="single" w:sz="12" w:space="0" w:color="auto"/>
              <w:bottom w:val="single" w:sz="4" w:space="0" w:color="auto"/>
              <w:right w:val="nil"/>
            </w:tcBorders>
            <w:noWrap/>
            <w:vAlign w:val="center"/>
            <w:hideMark/>
          </w:tcPr>
          <w:p w14:paraId="7ECA4278" w14:textId="0E6572C6" w:rsidR="00EB57E7" w:rsidRPr="00FC54A0" w:rsidRDefault="00EB57E7" w:rsidP="00EC1119">
            <w:pPr>
              <w:jc w:val="center"/>
              <w:rPr>
                <w:rFonts w:asciiTheme="minorHAnsi" w:hAnsiTheme="minorHAnsi"/>
                <w:sz w:val="22"/>
                <w:szCs w:val="22"/>
              </w:rPr>
            </w:pPr>
            <w:r w:rsidRPr="00FC54A0">
              <w:rPr>
                <w:rFonts w:asciiTheme="minorHAnsi" w:hAnsiTheme="minorHAnsi"/>
                <w:sz w:val="22"/>
                <w:szCs w:val="22"/>
              </w:rPr>
              <w:t>Facility: BWH Main Campus</w:t>
            </w:r>
          </w:p>
        </w:tc>
        <w:tc>
          <w:tcPr>
            <w:tcW w:w="1080" w:type="dxa"/>
            <w:tcBorders>
              <w:top w:val="single" w:sz="12" w:space="0" w:color="auto"/>
              <w:left w:val="single" w:sz="4" w:space="0" w:color="auto"/>
              <w:bottom w:val="single" w:sz="4" w:space="0" w:color="auto"/>
              <w:right w:val="single" w:sz="4" w:space="0" w:color="auto"/>
            </w:tcBorders>
            <w:noWrap/>
            <w:vAlign w:val="bottom"/>
          </w:tcPr>
          <w:p w14:paraId="306503A9" w14:textId="21653CD4" w:rsidR="00EB57E7" w:rsidRPr="00FC54A0" w:rsidRDefault="00EB57E7" w:rsidP="00EC1119">
            <w:pPr>
              <w:jc w:val="center"/>
              <w:rPr>
                <w:rFonts w:asciiTheme="minorHAnsi" w:hAnsiTheme="minorHAnsi"/>
                <w:sz w:val="22"/>
                <w:szCs w:val="22"/>
              </w:rPr>
            </w:pPr>
            <w:r w:rsidRPr="00FC54A0">
              <w:rPr>
                <w:rFonts w:asciiTheme="minorHAnsi" w:eastAsia="Times New Roman" w:hAnsiTheme="minorHAnsi"/>
                <w:color w:val="000000"/>
                <w:sz w:val="22"/>
                <w:szCs w:val="22"/>
              </w:rPr>
              <w:t>2,062</w:t>
            </w:r>
          </w:p>
        </w:tc>
        <w:tc>
          <w:tcPr>
            <w:tcW w:w="938" w:type="dxa"/>
            <w:tcBorders>
              <w:top w:val="single" w:sz="12" w:space="0" w:color="auto"/>
              <w:left w:val="single" w:sz="4" w:space="0" w:color="auto"/>
              <w:bottom w:val="single" w:sz="4" w:space="0" w:color="auto"/>
              <w:right w:val="single" w:sz="4" w:space="0" w:color="auto"/>
            </w:tcBorders>
            <w:noWrap/>
            <w:vAlign w:val="bottom"/>
          </w:tcPr>
          <w:p w14:paraId="6EA7ABD1" w14:textId="4F6935BA" w:rsidR="00EB57E7" w:rsidRPr="00FC54A0" w:rsidRDefault="00EB57E7" w:rsidP="00EC1119">
            <w:pPr>
              <w:jc w:val="center"/>
              <w:rPr>
                <w:rFonts w:asciiTheme="minorHAnsi" w:hAnsiTheme="minorHAnsi"/>
                <w:sz w:val="22"/>
                <w:szCs w:val="22"/>
              </w:rPr>
            </w:pPr>
            <w:r w:rsidRPr="00FC54A0">
              <w:rPr>
                <w:rFonts w:asciiTheme="minorHAnsi" w:eastAsia="Times New Roman" w:hAnsiTheme="minorHAnsi"/>
                <w:color w:val="000000"/>
                <w:sz w:val="22"/>
                <w:szCs w:val="22"/>
              </w:rPr>
              <w:t>2,064</w:t>
            </w:r>
          </w:p>
        </w:tc>
        <w:tc>
          <w:tcPr>
            <w:tcW w:w="991" w:type="dxa"/>
            <w:tcBorders>
              <w:top w:val="single" w:sz="12" w:space="0" w:color="auto"/>
              <w:left w:val="single" w:sz="4" w:space="0" w:color="auto"/>
              <w:bottom w:val="single" w:sz="4" w:space="0" w:color="auto"/>
              <w:right w:val="single" w:sz="4" w:space="0" w:color="auto"/>
            </w:tcBorders>
            <w:noWrap/>
            <w:vAlign w:val="bottom"/>
          </w:tcPr>
          <w:p w14:paraId="4B61B195" w14:textId="16A8EDD8" w:rsidR="00EB57E7" w:rsidRPr="00FC54A0" w:rsidRDefault="00EB57E7" w:rsidP="00EC1119">
            <w:pPr>
              <w:jc w:val="center"/>
              <w:rPr>
                <w:rFonts w:asciiTheme="minorHAnsi" w:hAnsiTheme="minorHAnsi"/>
                <w:sz w:val="22"/>
                <w:szCs w:val="22"/>
              </w:rPr>
            </w:pPr>
            <w:r w:rsidRPr="00FC54A0">
              <w:rPr>
                <w:rFonts w:asciiTheme="minorHAnsi" w:eastAsia="Times New Roman" w:hAnsiTheme="minorHAnsi"/>
                <w:color w:val="000000"/>
                <w:sz w:val="22"/>
                <w:szCs w:val="22"/>
              </w:rPr>
              <w:t>2,229</w:t>
            </w:r>
          </w:p>
        </w:tc>
        <w:tc>
          <w:tcPr>
            <w:tcW w:w="1014" w:type="dxa"/>
            <w:tcBorders>
              <w:top w:val="single" w:sz="12" w:space="0" w:color="auto"/>
              <w:left w:val="single" w:sz="4" w:space="0" w:color="auto"/>
              <w:bottom w:val="single" w:sz="4" w:space="0" w:color="auto"/>
              <w:right w:val="single" w:sz="12" w:space="0" w:color="auto"/>
            </w:tcBorders>
            <w:noWrap/>
            <w:vAlign w:val="bottom"/>
          </w:tcPr>
          <w:p w14:paraId="7DE68C6C" w14:textId="0004B3D7" w:rsidR="00EB57E7" w:rsidRPr="00FC54A0" w:rsidRDefault="00EB57E7" w:rsidP="00EC1119">
            <w:pPr>
              <w:jc w:val="center"/>
              <w:rPr>
                <w:rFonts w:asciiTheme="minorHAnsi" w:hAnsiTheme="minorHAnsi"/>
                <w:sz w:val="22"/>
                <w:szCs w:val="22"/>
              </w:rPr>
            </w:pPr>
            <w:r w:rsidRPr="00FC54A0">
              <w:rPr>
                <w:rFonts w:asciiTheme="minorHAnsi" w:eastAsia="Times New Roman" w:hAnsiTheme="minorHAnsi"/>
                <w:color w:val="000000"/>
                <w:sz w:val="22"/>
                <w:szCs w:val="22"/>
              </w:rPr>
              <w:t>2,715</w:t>
            </w:r>
          </w:p>
        </w:tc>
      </w:tr>
      <w:tr w:rsidR="00EB57E7" w:rsidRPr="009555DC" w14:paraId="29706777" w14:textId="77777777" w:rsidTr="005A7296">
        <w:trPr>
          <w:cantSplit/>
          <w:trHeight w:val="310"/>
          <w:jc w:val="center"/>
        </w:trPr>
        <w:tc>
          <w:tcPr>
            <w:tcW w:w="3505" w:type="dxa"/>
            <w:tcBorders>
              <w:top w:val="single" w:sz="4" w:space="0" w:color="auto"/>
              <w:left w:val="single" w:sz="12" w:space="0" w:color="auto"/>
              <w:bottom w:val="single" w:sz="4" w:space="0" w:color="auto"/>
              <w:right w:val="nil"/>
            </w:tcBorders>
            <w:noWrap/>
            <w:vAlign w:val="center"/>
            <w:hideMark/>
          </w:tcPr>
          <w:p w14:paraId="4DB29231" w14:textId="4F0DA578" w:rsidR="00EB57E7" w:rsidRPr="00FC54A0" w:rsidRDefault="00EB57E7" w:rsidP="00EC1119">
            <w:pPr>
              <w:jc w:val="center"/>
              <w:rPr>
                <w:rFonts w:asciiTheme="minorHAnsi" w:hAnsiTheme="minorHAnsi"/>
                <w:sz w:val="22"/>
                <w:szCs w:val="22"/>
              </w:rPr>
            </w:pPr>
            <w:r w:rsidRPr="00FC54A0">
              <w:rPr>
                <w:rFonts w:asciiTheme="minorHAnsi" w:hAnsiTheme="minorHAnsi"/>
                <w:sz w:val="22"/>
                <w:szCs w:val="22"/>
              </w:rPr>
              <w:t>Utilization: BWH Main Campus</w:t>
            </w:r>
          </w:p>
        </w:tc>
        <w:tc>
          <w:tcPr>
            <w:tcW w:w="1080" w:type="dxa"/>
            <w:tcBorders>
              <w:top w:val="single" w:sz="4" w:space="0" w:color="auto"/>
              <w:left w:val="single" w:sz="4" w:space="0" w:color="auto"/>
              <w:bottom w:val="single" w:sz="4" w:space="0" w:color="auto"/>
              <w:right w:val="single" w:sz="4" w:space="0" w:color="auto"/>
            </w:tcBorders>
            <w:noWrap/>
            <w:vAlign w:val="bottom"/>
          </w:tcPr>
          <w:p w14:paraId="569F418F" w14:textId="6E0789AD" w:rsidR="00EB57E7" w:rsidRPr="00FC54A0" w:rsidRDefault="00EB57E7" w:rsidP="00EC1119">
            <w:pPr>
              <w:jc w:val="center"/>
              <w:rPr>
                <w:rFonts w:asciiTheme="minorHAnsi" w:hAnsiTheme="minorHAnsi"/>
                <w:sz w:val="22"/>
                <w:szCs w:val="22"/>
              </w:rPr>
            </w:pPr>
            <w:r w:rsidRPr="00FC54A0">
              <w:rPr>
                <w:rFonts w:asciiTheme="minorHAnsi" w:eastAsia="Times New Roman" w:hAnsiTheme="minorHAnsi"/>
                <w:color w:val="000000"/>
                <w:sz w:val="22"/>
                <w:szCs w:val="22"/>
              </w:rPr>
              <w:t>85%</w:t>
            </w:r>
          </w:p>
        </w:tc>
        <w:tc>
          <w:tcPr>
            <w:tcW w:w="938" w:type="dxa"/>
            <w:tcBorders>
              <w:top w:val="single" w:sz="4" w:space="0" w:color="auto"/>
              <w:left w:val="single" w:sz="4" w:space="0" w:color="auto"/>
              <w:bottom w:val="single" w:sz="4" w:space="0" w:color="auto"/>
              <w:right w:val="single" w:sz="4" w:space="0" w:color="auto"/>
            </w:tcBorders>
            <w:noWrap/>
            <w:vAlign w:val="bottom"/>
          </w:tcPr>
          <w:p w14:paraId="22F92201" w14:textId="698A78D0" w:rsidR="00EB57E7" w:rsidRPr="00FC54A0" w:rsidRDefault="00EB57E7" w:rsidP="00EC1119">
            <w:pPr>
              <w:jc w:val="center"/>
              <w:rPr>
                <w:rFonts w:asciiTheme="minorHAnsi" w:hAnsiTheme="minorHAnsi"/>
                <w:sz w:val="22"/>
                <w:szCs w:val="22"/>
              </w:rPr>
            </w:pPr>
            <w:r w:rsidRPr="00FC54A0">
              <w:rPr>
                <w:rFonts w:asciiTheme="minorHAnsi" w:eastAsia="Times New Roman" w:hAnsiTheme="minorHAnsi"/>
                <w:color w:val="000000"/>
                <w:sz w:val="22"/>
                <w:szCs w:val="22"/>
              </w:rPr>
              <w:t>87%</w:t>
            </w:r>
          </w:p>
        </w:tc>
        <w:tc>
          <w:tcPr>
            <w:tcW w:w="991" w:type="dxa"/>
            <w:tcBorders>
              <w:top w:val="single" w:sz="4" w:space="0" w:color="auto"/>
              <w:left w:val="single" w:sz="4" w:space="0" w:color="auto"/>
              <w:bottom w:val="single" w:sz="4" w:space="0" w:color="auto"/>
              <w:right w:val="single" w:sz="4" w:space="0" w:color="auto"/>
            </w:tcBorders>
            <w:noWrap/>
            <w:vAlign w:val="bottom"/>
          </w:tcPr>
          <w:p w14:paraId="1B7571BE" w14:textId="278C3786" w:rsidR="00EB57E7" w:rsidRPr="00FC54A0" w:rsidRDefault="00EB57E7" w:rsidP="00EC1119">
            <w:pPr>
              <w:jc w:val="center"/>
              <w:rPr>
                <w:rFonts w:asciiTheme="minorHAnsi" w:hAnsiTheme="minorHAnsi"/>
                <w:sz w:val="22"/>
                <w:szCs w:val="22"/>
              </w:rPr>
            </w:pPr>
            <w:r w:rsidRPr="00FC54A0">
              <w:rPr>
                <w:rFonts w:asciiTheme="minorHAnsi" w:eastAsia="Times New Roman" w:hAnsiTheme="minorHAnsi"/>
                <w:color w:val="000000"/>
                <w:sz w:val="22"/>
                <w:szCs w:val="22"/>
              </w:rPr>
              <w:t>87%</w:t>
            </w:r>
          </w:p>
        </w:tc>
        <w:tc>
          <w:tcPr>
            <w:tcW w:w="1014" w:type="dxa"/>
            <w:tcBorders>
              <w:top w:val="single" w:sz="4" w:space="0" w:color="auto"/>
              <w:left w:val="single" w:sz="4" w:space="0" w:color="auto"/>
              <w:bottom w:val="single" w:sz="4" w:space="0" w:color="auto"/>
              <w:right w:val="single" w:sz="12" w:space="0" w:color="auto"/>
            </w:tcBorders>
            <w:noWrap/>
            <w:vAlign w:val="bottom"/>
          </w:tcPr>
          <w:p w14:paraId="03994172" w14:textId="74095447" w:rsidR="00EB57E7" w:rsidRPr="00FC54A0" w:rsidRDefault="00EB57E7" w:rsidP="00EC1119">
            <w:pPr>
              <w:jc w:val="center"/>
              <w:rPr>
                <w:rFonts w:asciiTheme="minorHAnsi" w:hAnsiTheme="minorHAnsi"/>
                <w:sz w:val="22"/>
                <w:szCs w:val="22"/>
              </w:rPr>
            </w:pPr>
            <w:r w:rsidRPr="00FC54A0">
              <w:rPr>
                <w:rFonts w:asciiTheme="minorHAnsi" w:eastAsia="Times New Roman" w:hAnsiTheme="minorHAnsi"/>
                <w:color w:val="000000"/>
                <w:sz w:val="22"/>
                <w:szCs w:val="22"/>
              </w:rPr>
              <w:t>88%</w:t>
            </w:r>
          </w:p>
        </w:tc>
      </w:tr>
      <w:tr w:rsidR="007114D8" w:rsidRPr="009555DC" w14:paraId="3CF2D70F" w14:textId="77777777" w:rsidTr="005A7296">
        <w:trPr>
          <w:cantSplit/>
          <w:trHeight w:val="310"/>
          <w:jc w:val="center"/>
        </w:trPr>
        <w:tc>
          <w:tcPr>
            <w:tcW w:w="3505" w:type="dxa"/>
            <w:tcBorders>
              <w:top w:val="single" w:sz="4" w:space="0" w:color="auto"/>
              <w:left w:val="single" w:sz="12" w:space="0" w:color="auto"/>
              <w:bottom w:val="single" w:sz="4" w:space="0" w:color="auto"/>
              <w:right w:val="nil"/>
            </w:tcBorders>
            <w:shd w:val="clear" w:color="auto" w:fill="FFFFFF" w:themeFill="background1"/>
            <w:noWrap/>
            <w:vAlign w:val="center"/>
          </w:tcPr>
          <w:p w14:paraId="5807B163" w14:textId="4F36D502" w:rsidR="007114D8" w:rsidRPr="00FC54A0" w:rsidRDefault="007114D8" w:rsidP="007114D8">
            <w:pPr>
              <w:jc w:val="center"/>
              <w:rPr>
                <w:rFonts w:asciiTheme="minorHAnsi" w:hAnsiTheme="minorHAnsi"/>
                <w:sz w:val="22"/>
                <w:szCs w:val="22"/>
              </w:rPr>
            </w:pPr>
            <w:r w:rsidRPr="00FC54A0">
              <w:rPr>
                <w:rFonts w:asciiTheme="minorHAnsi" w:hAnsiTheme="minorHAnsi"/>
                <w:sz w:val="22"/>
                <w:szCs w:val="22"/>
              </w:rPr>
              <w:t>Inpatient Wait Time (In Days) for Endoscopy: BWH Main Campus</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A2D032C" w14:textId="560EE827" w:rsidR="007114D8" w:rsidRPr="00FC54A0" w:rsidRDefault="007114D8" w:rsidP="007114D8">
            <w:pPr>
              <w:jc w:val="center"/>
              <w:rPr>
                <w:rFonts w:asciiTheme="minorHAnsi" w:eastAsia="Times New Roman" w:hAnsiTheme="minorHAnsi"/>
                <w:color w:val="000000"/>
                <w:sz w:val="22"/>
                <w:szCs w:val="22"/>
              </w:rPr>
            </w:pPr>
            <w:r w:rsidRPr="00FC54A0">
              <w:rPr>
                <w:rFonts w:asciiTheme="minorHAnsi" w:eastAsia="Times New Roman" w:hAnsiTheme="minorHAnsi"/>
                <w:color w:val="000000"/>
                <w:sz w:val="22"/>
                <w:szCs w:val="22"/>
              </w:rPr>
              <w:t>1.44</w:t>
            </w:r>
          </w:p>
        </w:tc>
        <w:tc>
          <w:tcPr>
            <w:tcW w:w="93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BDF9183" w14:textId="14ECFDD5" w:rsidR="007114D8" w:rsidRPr="00FC54A0" w:rsidRDefault="007114D8" w:rsidP="007114D8">
            <w:pPr>
              <w:jc w:val="center"/>
              <w:rPr>
                <w:rFonts w:asciiTheme="minorHAnsi" w:eastAsia="Times New Roman" w:hAnsiTheme="minorHAnsi"/>
                <w:color w:val="000000"/>
                <w:sz w:val="22"/>
                <w:szCs w:val="22"/>
              </w:rPr>
            </w:pPr>
            <w:r w:rsidRPr="00FC54A0">
              <w:rPr>
                <w:rFonts w:asciiTheme="minorHAnsi" w:eastAsia="Times New Roman" w:hAnsiTheme="minorHAnsi"/>
                <w:color w:val="000000"/>
                <w:sz w:val="22"/>
                <w:szCs w:val="22"/>
              </w:rPr>
              <w:t>2.00</w:t>
            </w:r>
          </w:p>
        </w:tc>
        <w:tc>
          <w:tcPr>
            <w:tcW w:w="99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ADE4952" w14:textId="62D289CD" w:rsidR="007114D8" w:rsidRPr="00FC54A0" w:rsidRDefault="007114D8" w:rsidP="007114D8">
            <w:pPr>
              <w:jc w:val="center"/>
              <w:rPr>
                <w:rFonts w:asciiTheme="minorHAnsi" w:eastAsia="Times New Roman" w:hAnsiTheme="minorHAnsi"/>
                <w:color w:val="000000"/>
                <w:sz w:val="22"/>
                <w:szCs w:val="22"/>
              </w:rPr>
            </w:pPr>
            <w:r w:rsidRPr="00FC54A0">
              <w:rPr>
                <w:rFonts w:asciiTheme="minorHAnsi" w:eastAsia="Times New Roman" w:hAnsiTheme="minorHAnsi"/>
                <w:color w:val="000000"/>
                <w:sz w:val="22"/>
                <w:szCs w:val="22"/>
              </w:rPr>
              <w:t>2.04</w:t>
            </w:r>
          </w:p>
        </w:tc>
        <w:tc>
          <w:tcPr>
            <w:tcW w:w="1014" w:type="dxa"/>
            <w:tcBorders>
              <w:top w:val="single" w:sz="4" w:space="0" w:color="auto"/>
              <w:left w:val="single" w:sz="4" w:space="0" w:color="auto"/>
              <w:bottom w:val="single" w:sz="4" w:space="0" w:color="auto"/>
              <w:right w:val="single" w:sz="12" w:space="0" w:color="auto"/>
            </w:tcBorders>
            <w:shd w:val="clear" w:color="auto" w:fill="FFFFFF" w:themeFill="background1"/>
            <w:noWrap/>
            <w:vAlign w:val="bottom"/>
          </w:tcPr>
          <w:p w14:paraId="3CAFBD02" w14:textId="41FD6ADE" w:rsidR="007114D8" w:rsidRPr="00FC54A0" w:rsidRDefault="007114D8" w:rsidP="007114D8">
            <w:pPr>
              <w:jc w:val="center"/>
              <w:rPr>
                <w:rFonts w:asciiTheme="minorHAnsi" w:eastAsia="Times New Roman" w:hAnsiTheme="minorHAnsi"/>
                <w:color w:val="000000"/>
                <w:sz w:val="22"/>
                <w:szCs w:val="22"/>
              </w:rPr>
            </w:pPr>
            <w:r w:rsidRPr="00FC54A0">
              <w:rPr>
                <w:rFonts w:asciiTheme="minorHAnsi" w:eastAsia="Times New Roman" w:hAnsiTheme="minorHAnsi"/>
                <w:color w:val="000000"/>
                <w:sz w:val="22"/>
                <w:szCs w:val="22"/>
              </w:rPr>
              <w:t>2.79</w:t>
            </w:r>
          </w:p>
        </w:tc>
      </w:tr>
      <w:tr w:rsidR="007114D8" w:rsidRPr="009555DC" w14:paraId="5B961291" w14:textId="77777777" w:rsidTr="005A7296">
        <w:trPr>
          <w:cantSplit/>
          <w:trHeight w:val="310"/>
          <w:jc w:val="center"/>
        </w:trPr>
        <w:tc>
          <w:tcPr>
            <w:tcW w:w="3505" w:type="dxa"/>
            <w:tcBorders>
              <w:top w:val="single" w:sz="12" w:space="0" w:color="auto"/>
              <w:left w:val="single" w:sz="12" w:space="0" w:color="auto"/>
              <w:bottom w:val="single" w:sz="4" w:space="0" w:color="auto"/>
              <w:right w:val="nil"/>
            </w:tcBorders>
            <w:shd w:val="clear" w:color="auto" w:fill="FFFFFF" w:themeFill="background1"/>
            <w:noWrap/>
            <w:vAlign w:val="center"/>
          </w:tcPr>
          <w:p w14:paraId="583E0AC8" w14:textId="17CBD819" w:rsidR="007114D8" w:rsidRPr="00FC54A0" w:rsidRDefault="007114D8" w:rsidP="007114D8">
            <w:pPr>
              <w:jc w:val="center"/>
              <w:rPr>
                <w:rFonts w:asciiTheme="minorHAnsi" w:hAnsiTheme="minorHAnsi"/>
                <w:sz w:val="22"/>
                <w:szCs w:val="22"/>
              </w:rPr>
            </w:pPr>
            <w:r w:rsidRPr="00FC54A0">
              <w:rPr>
                <w:rFonts w:asciiTheme="minorHAnsi" w:hAnsiTheme="minorHAnsi"/>
                <w:sz w:val="22"/>
                <w:szCs w:val="22"/>
              </w:rPr>
              <w:t>Facility: MGH Main Campus</w:t>
            </w:r>
          </w:p>
        </w:tc>
        <w:tc>
          <w:tcPr>
            <w:tcW w:w="1080" w:type="dxa"/>
            <w:tcBorders>
              <w:top w:val="single" w:sz="12" w:space="0" w:color="auto"/>
              <w:left w:val="single" w:sz="4" w:space="0" w:color="auto"/>
              <w:bottom w:val="single" w:sz="4" w:space="0" w:color="auto"/>
              <w:right w:val="single" w:sz="4" w:space="0" w:color="auto"/>
            </w:tcBorders>
            <w:shd w:val="clear" w:color="auto" w:fill="FFFFFF" w:themeFill="background1"/>
            <w:noWrap/>
            <w:vAlign w:val="bottom"/>
          </w:tcPr>
          <w:p w14:paraId="5F309098" w14:textId="686D1A2F" w:rsidR="007114D8" w:rsidRPr="00FC54A0" w:rsidRDefault="007114D8" w:rsidP="007114D8">
            <w:pPr>
              <w:jc w:val="center"/>
              <w:rPr>
                <w:rFonts w:asciiTheme="minorHAnsi" w:hAnsiTheme="minorHAnsi"/>
                <w:color w:val="000000"/>
                <w:sz w:val="22"/>
                <w:szCs w:val="22"/>
              </w:rPr>
            </w:pPr>
            <w:r w:rsidRPr="00FC54A0">
              <w:rPr>
                <w:rFonts w:asciiTheme="minorHAnsi" w:eastAsia="Times New Roman" w:hAnsiTheme="minorHAnsi"/>
                <w:color w:val="000000"/>
                <w:sz w:val="22"/>
                <w:szCs w:val="22"/>
              </w:rPr>
              <w:t>3,236</w:t>
            </w:r>
          </w:p>
        </w:tc>
        <w:tc>
          <w:tcPr>
            <w:tcW w:w="938" w:type="dxa"/>
            <w:tcBorders>
              <w:top w:val="single" w:sz="12" w:space="0" w:color="auto"/>
              <w:left w:val="single" w:sz="4" w:space="0" w:color="auto"/>
              <w:bottom w:val="single" w:sz="4" w:space="0" w:color="auto"/>
              <w:right w:val="single" w:sz="4" w:space="0" w:color="auto"/>
            </w:tcBorders>
            <w:shd w:val="clear" w:color="auto" w:fill="FFFFFF" w:themeFill="background1"/>
            <w:noWrap/>
            <w:vAlign w:val="bottom"/>
          </w:tcPr>
          <w:p w14:paraId="47C7E496" w14:textId="578CF014" w:rsidR="007114D8" w:rsidRPr="00FC54A0" w:rsidRDefault="007114D8" w:rsidP="007114D8">
            <w:pPr>
              <w:jc w:val="center"/>
              <w:rPr>
                <w:rFonts w:asciiTheme="minorHAnsi" w:hAnsiTheme="minorHAnsi"/>
                <w:color w:val="000000"/>
                <w:sz w:val="22"/>
                <w:szCs w:val="22"/>
              </w:rPr>
            </w:pPr>
            <w:r w:rsidRPr="00FC54A0">
              <w:rPr>
                <w:rFonts w:asciiTheme="minorHAnsi" w:eastAsia="Times New Roman" w:hAnsiTheme="minorHAnsi"/>
                <w:color w:val="000000"/>
                <w:sz w:val="22"/>
                <w:szCs w:val="22"/>
              </w:rPr>
              <w:t>3,210</w:t>
            </w:r>
          </w:p>
        </w:tc>
        <w:tc>
          <w:tcPr>
            <w:tcW w:w="991" w:type="dxa"/>
            <w:tcBorders>
              <w:top w:val="single" w:sz="12" w:space="0" w:color="auto"/>
              <w:left w:val="single" w:sz="4" w:space="0" w:color="auto"/>
              <w:bottom w:val="single" w:sz="4" w:space="0" w:color="auto"/>
              <w:right w:val="single" w:sz="4" w:space="0" w:color="auto"/>
            </w:tcBorders>
            <w:shd w:val="clear" w:color="auto" w:fill="FFFFFF" w:themeFill="background1"/>
            <w:noWrap/>
            <w:vAlign w:val="bottom"/>
          </w:tcPr>
          <w:p w14:paraId="42BDFEC1" w14:textId="27930372" w:rsidR="007114D8" w:rsidRPr="00FC54A0" w:rsidRDefault="007114D8" w:rsidP="007114D8">
            <w:pPr>
              <w:jc w:val="center"/>
              <w:rPr>
                <w:rFonts w:asciiTheme="minorHAnsi" w:hAnsiTheme="minorHAnsi"/>
                <w:color w:val="000000"/>
                <w:sz w:val="22"/>
                <w:szCs w:val="22"/>
              </w:rPr>
            </w:pPr>
            <w:r w:rsidRPr="00FC54A0">
              <w:rPr>
                <w:rFonts w:asciiTheme="minorHAnsi" w:eastAsia="Times New Roman" w:hAnsiTheme="minorHAnsi"/>
                <w:color w:val="000000"/>
                <w:sz w:val="22"/>
                <w:szCs w:val="22"/>
              </w:rPr>
              <w:t>3,303</w:t>
            </w:r>
          </w:p>
        </w:tc>
        <w:tc>
          <w:tcPr>
            <w:tcW w:w="1014" w:type="dxa"/>
            <w:tcBorders>
              <w:top w:val="single" w:sz="12" w:space="0" w:color="auto"/>
              <w:left w:val="single" w:sz="4" w:space="0" w:color="auto"/>
              <w:bottom w:val="single" w:sz="4" w:space="0" w:color="auto"/>
              <w:right w:val="single" w:sz="12" w:space="0" w:color="auto"/>
            </w:tcBorders>
            <w:shd w:val="clear" w:color="auto" w:fill="FFFFFF" w:themeFill="background1"/>
            <w:noWrap/>
            <w:vAlign w:val="bottom"/>
          </w:tcPr>
          <w:p w14:paraId="0DE3147F" w14:textId="3A85B1CB" w:rsidR="007114D8" w:rsidRPr="00FC54A0" w:rsidRDefault="007114D8" w:rsidP="007114D8">
            <w:pPr>
              <w:jc w:val="center"/>
              <w:rPr>
                <w:rFonts w:asciiTheme="minorHAnsi" w:hAnsiTheme="minorHAnsi"/>
                <w:color w:val="000000"/>
                <w:sz w:val="22"/>
                <w:szCs w:val="22"/>
              </w:rPr>
            </w:pPr>
            <w:r w:rsidRPr="00FC54A0">
              <w:rPr>
                <w:rFonts w:asciiTheme="minorHAnsi" w:eastAsia="Times New Roman" w:hAnsiTheme="minorHAnsi"/>
                <w:color w:val="000000"/>
                <w:sz w:val="22"/>
                <w:szCs w:val="22"/>
              </w:rPr>
              <w:t>3,591</w:t>
            </w:r>
          </w:p>
        </w:tc>
      </w:tr>
      <w:tr w:rsidR="007114D8" w:rsidRPr="009555DC" w14:paraId="0B76D8C2" w14:textId="77777777" w:rsidTr="005A7296">
        <w:trPr>
          <w:cantSplit/>
          <w:trHeight w:val="310"/>
          <w:jc w:val="center"/>
        </w:trPr>
        <w:tc>
          <w:tcPr>
            <w:tcW w:w="3505" w:type="dxa"/>
            <w:tcBorders>
              <w:top w:val="single" w:sz="4" w:space="0" w:color="auto"/>
              <w:left w:val="single" w:sz="12" w:space="0" w:color="auto"/>
              <w:bottom w:val="single" w:sz="4" w:space="0" w:color="auto"/>
              <w:right w:val="nil"/>
            </w:tcBorders>
            <w:shd w:val="clear" w:color="auto" w:fill="FFFFFF" w:themeFill="background1"/>
            <w:noWrap/>
            <w:vAlign w:val="center"/>
          </w:tcPr>
          <w:p w14:paraId="27533AFD" w14:textId="5F31004E" w:rsidR="007114D8" w:rsidRPr="00FC54A0" w:rsidRDefault="007114D8" w:rsidP="007114D8">
            <w:pPr>
              <w:jc w:val="center"/>
              <w:rPr>
                <w:rFonts w:asciiTheme="minorHAnsi" w:hAnsiTheme="minorHAnsi"/>
                <w:sz w:val="22"/>
                <w:szCs w:val="22"/>
              </w:rPr>
            </w:pPr>
            <w:r w:rsidRPr="00FC54A0">
              <w:rPr>
                <w:rFonts w:asciiTheme="minorHAnsi" w:hAnsiTheme="minorHAnsi"/>
                <w:sz w:val="22"/>
                <w:szCs w:val="22"/>
              </w:rPr>
              <w:t>Utilization: MGH Main Campus</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F0ACE7B" w14:textId="04D5DA34" w:rsidR="007114D8" w:rsidRPr="00FC54A0" w:rsidRDefault="007114D8" w:rsidP="007114D8">
            <w:pPr>
              <w:jc w:val="center"/>
              <w:rPr>
                <w:rFonts w:asciiTheme="minorHAnsi" w:hAnsiTheme="minorHAnsi"/>
                <w:sz w:val="22"/>
                <w:szCs w:val="22"/>
              </w:rPr>
            </w:pPr>
            <w:r w:rsidRPr="00FC54A0">
              <w:rPr>
                <w:rFonts w:asciiTheme="minorHAnsi" w:eastAsia="Times New Roman" w:hAnsiTheme="minorHAnsi"/>
                <w:color w:val="000000"/>
                <w:sz w:val="22"/>
                <w:szCs w:val="22"/>
              </w:rPr>
              <w:t>71%</w:t>
            </w:r>
          </w:p>
        </w:tc>
        <w:tc>
          <w:tcPr>
            <w:tcW w:w="93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6B7013B" w14:textId="52D55865" w:rsidR="007114D8" w:rsidRPr="00FC54A0" w:rsidRDefault="007114D8" w:rsidP="007114D8">
            <w:pPr>
              <w:jc w:val="center"/>
              <w:rPr>
                <w:rFonts w:asciiTheme="minorHAnsi" w:hAnsiTheme="minorHAnsi"/>
                <w:sz w:val="22"/>
                <w:szCs w:val="22"/>
              </w:rPr>
            </w:pPr>
            <w:r w:rsidRPr="00FC54A0">
              <w:rPr>
                <w:rFonts w:asciiTheme="minorHAnsi" w:eastAsia="Times New Roman" w:hAnsiTheme="minorHAnsi"/>
                <w:color w:val="000000"/>
                <w:sz w:val="22"/>
                <w:szCs w:val="22"/>
              </w:rPr>
              <w:t>80%</w:t>
            </w:r>
          </w:p>
        </w:tc>
        <w:tc>
          <w:tcPr>
            <w:tcW w:w="99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93B75A9" w14:textId="4E843EB5" w:rsidR="007114D8" w:rsidRPr="00FC54A0" w:rsidRDefault="007114D8" w:rsidP="007114D8">
            <w:pPr>
              <w:jc w:val="center"/>
              <w:rPr>
                <w:rFonts w:asciiTheme="minorHAnsi" w:hAnsiTheme="minorHAnsi"/>
                <w:sz w:val="22"/>
                <w:szCs w:val="22"/>
              </w:rPr>
            </w:pPr>
            <w:r w:rsidRPr="00FC54A0">
              <w:rPr>
                <w:rFonts w:asciiTheme="minorHAnsi" w:eastAsia="Times New Roman" w:hAnsiTheme="minorHAnsi"/>
                <w:color w:val="000000"/>
                <w:sz w:val="22"/>
                <w:szCs w:val="22"/>
              </w:rPr>
              <w:t>82%</w:t>
            </w:r>
          </w:p>
        </w:tc>
        <w:tc>
          <w:tcPr>
            <w:tcW w:w="1014" w:type="dxa"/>
            <w:tcBorders>
              <w:top w:val="single" w:sz="4" w:space="0" w:color="auto"/>
              <w:left w:val="single" w:sz="4" w:space="0" w:color="auto"/>
              <w:bottom w:val="single" w:sz="4" w:space="0" w:color="auto"/>
              <w:right w:val="single" w:sz="12" w:space="0" w:color="auto"/>
            </w:tcBorders>
            <w:shd w:val="clear" w:color="auto" w:fill="FFFFFF" w:themeFill="background1"/>
            <w:noWrap/>
            <w:vAlign w:val="bottom"/>
          </w:tcPr>
          <w:p w14:paraId="491D7DFB" w14:textId="0084F187" w:rsidR="007114D8" w:rsidRPr="00FC54A0" w:rsidRDefault="007114D8" w:rsidP="007114D8">
            <w:pPr>
              <w:jc w:val="center"/>
              <w:rPr>
                <w:rFonts w:asciiTheme="minorHAnsi" w:hAnsiTheme="minorHAnsi"/>
                <w:sz w:val="22"/>
                <w:szCs w:val="22"/>
              </w:rPr>
            </w:pPr>
            <w:r w:rsidRPr="00FC54A0">
              <w:rPr>
                <w:rFonts w:asciiTheme="minorHAnsi" w:eastAsia="Times New Roman" w:hAnsiTheme="minorHAnsi"/>
                <w:color w:val="000000"/>
                <w:sz w:val="22"/>
                <w:szCs w:val="22"/>
              </w:rPr>
              <w:t>75%</w:t>
            </w:r>
            <w:r w:rsidRPr="00FC54A0">
              <w:rPr>
                <w:rStyle w:val="FootnoteReference"/>
                <w:rFonts w:asciiTheme="minorHAnsi" w:eastAsia="Times New Roman" w:hAnsiTheme="minorHAnsi"/>
                <w:color w:val="000000"/>
                <w:sz w:val="22"/>
                <w:szCs w:val="22"/>
              </w:rPr>
              <w:footnoteReference w:id="23"/>
            </w:r>
          </w:p>
        </w:tc>
      </w:tr>
      <w:tr w:rsidR="00A77BC2" w:rsidRPr="009555DC" w14:paraId="172CCFDA" w14:textId="77777777" w:rsidTr="005A7296">
        <w:trPr>
          <w:cantSplit/>
          <w:trHeight w:val="310"/>
          <w:jc w:val="center"/>
        </w:trPr>
        <w:tc>
          <w:tcPr>
            <w:tcW w:w="3505" w:type="dxa"/>
            <w:tcBorders>
              <w:top w:val="single" w:sz="4" w:space="0" w:color="auto"/>
              <w:left w:val="single" w:sz="12" w:space="0" w:color="auto"/>
              <w:bottom w:val="single" w:sz="12" w:space="0" w:color="auto"/>
              <w:right w:val="nil"/>
            </w:tcBorders>
            <w:shd w:val="clear" w:color="auto" w:fill="FFFFFF" w:themeFill="background1"/>
            <w:noWrap/>
            <w:vAlign w:val="center"/>
          </w:tcPr>
          <w:p w14:paraId="5E9F2D00" w14:textId="58B0B332" w:rsidR="00A77BC2" w:rsidRPr="00FC54A0" w:rsidRDefault="00A77BC2" w:rsidP="00A77BC2">
            <w:pPr>
              <w:jc w:val="center"/>
              <w:rPr>
                <w:rFonts w:asciiTheme="minorHAnsi" w:hAnsiTheme="minorHAnsi"/>
                <w:sz w:val="22"/>
                <w:szCs w:val="22"/>
              </w:rPr>
            </w:pPr>
            <w:r w:rsidRPr="00FC54A0">
              <w:rPr>
                <w:rFonts w:asciiTheme="minorHAnsi" w:hAnsiTheme="minorHAnsi"/>
                <w:sz w:val="22"/>
                <w:szCs w:val="22"/>
              </w:rPr>
              <w:t>Inpatient Wait Time (In Days) for Endoscopy: MGH Main Campus</w:t>
            </w:r>
          </w:p>
        </w:tc>
        <w:tc>
          <w:tcPr>
            <w:tcW w:w="1080" w:type="dxa"/>
            <w:tcBorders>
              <w:top w:val="single" w:sz="4" w:space="0" w:color="auto"/>
              <w:left w:val="single" w:sz="4" w:space="0" w:color="auto"/>
              <w:bottom w:val="single" w:sz="12" w:space="0" w:color="auto"/>
              <w:right w:val="single" w:sz="4" w:space="0" w:color="auto"/>
            </w:tcBorders>
            <w:shd w:val="clear" w:color="auto" w:fill="FFFFFF" w:themeFill="background1"/>
            <w:noWrap/>
            <w:vAlign w:val="bottom"/>
          </w:tcPr>
          <w:p w14:paraId="1B8E3F5B" w14:textId="0F152C81" w:rsidR="00A77BC2" w:rsidRPr="00FC54A0" w:rsidRDefault="00A77BC2" w:rsidP="00A77BC2">
            <w:pPr>
              <w:jc w:val="center"/>
              <w:rPr>
                <w:rFonts w:asciiTheme="minorHAnsi" w:eastAsia="Times New Roman" w:hAnsiTheme="minorHAnsi"/>
                <w:color w:val="000000"/>
                <w:sz w:val="22"/>
                <w:szCs w:val="22"/>
              </w:rPr>
            </w:pPr>
            <w:r w:rsidRPr="00FC54A0">
              <w:rPr>
                <w:rFonts w:asciiTheme="minorHAnsi" w:eastAsia="Times New Roman" w:hAnsiTheme="minorHAnsi"/>
                <w:color w:val="000000"/>
                <w:sz w:val="22"/>
                <w:szCs w:val="22"/>
              </w:rPr>
              <w:t>1.53</w:t>
            </w:r>
          </w:p>
        </w:tc>
        <w:tc>
          <w:tcPr>
            <w:tcW w:w="938" w:type="dxa"/>
            <w:tcBorders>
              <w:top w:val="single" w:sz="4" w:space="0" w:color="auto"/>
              <w:left w:val="single" w:sz="4" w:space="0" w:color="auto"/>
              <w:bottom w:val="single" w:sz="12" w:space="0" w:color="auto"/>
              <w:right w:val="single" w:sz="4" w:space="0" w:color="auto"/>
            </w:tcBorders>
            <w:shd w:val="clear" w:color="auto" w:fill="FFFFFF" w:themeFill="background1"/>
            <w:noWrap/>
            <w:vAlign w:val="bottom"/>
          </w:tcPr>
          <w:p w14:paraId="3B213E2E" w14:textId="3A58FC66" w:rsidR="00A77BC2" w:rsidRPr="00FC54A0" w:rsidRDefault="00A77BC2" w:rsidP="00A77BC2">
            <w:pPr>
              <w:jc w:val="center"/>
              <w:rPr>
                <w:rFonts w:asciiTheme="minorHAnsi" w:eastAsia="Times New Roman" w:hAnsiTheme="minorHAnsi"/>
                <w:color w:val="000000"/>
                <w:sz w:val="22"/>
                <w:szCs w:val="22"/>
              </w:rPr>
            </w:pPr>
            <w:r w:rsidRPr="00FC54A0">
              <w:rPr>
                <w:rFonts w:asciiTheme="minorHAnsi" w:eastAsia="Times New Roman" w:hAnsiTheme="minorHAnsi"/>
                <w:color w:val="000000"/>
                <w:sz w:val="22"/>
                <w:szCs w:val="22"/>
              </w:rPr>
              <w:t>1.37</w:t>
            </w:r>
          </w:p>
        </w:tc>
        <w:tc>
          <w:tcPr>
            <w:tcW w:w="991" w:type="dxa"/>
            <w:tcBorders>
              <w:top w:val="single" w:sz="4" w:space="0" w:color="auto"/>
              <w:left w:val="single" w:sz="4" w:space="0" w:color="auto"/>
              <w:bottom w:val="single" w:sz="12" w:space="0" w:color="auto"/>
              <w:right w:val="single" w:sz="4" w:space="0" w:color="auto"/>
            </w:tcBorders>
            <w:shd w:val="clear" w:color="auto" w:fill="FFFFFF" w:themeFill="background1"/>
            <w:noWrap/>
            <w:vAlign w:val="bottom"/>
          </w:tcPr>
          <w:p w14:paraId="055B466D" w14:textId="02D79CFD" w:rsidR="00A77BC2" w:rsidRPr="00FC54A0" w:rsidRDefault="00A77BC2" w:rsidP="00A77BC2">
            <w:pPr>
              <w:jc w:val="center"/>
              <w:rPr>
                <w:rFonts w:asciiTheme="minorHAnsi" w:eastAsia="Times New Roman" w:hAnsiTheme="minorHAnsi"/>
                <w:color w:val="000000"/>
                <w:sz w:val="22"/>
                <w:szCs w:val="22"/>
              </w:rPr>
            </w:pPr>
            <w:r w:rsidRPr="00FC54A0">
              <w:rPr>
                <w:rFonts w:asciiTheme="minorHAnsi" w:eastAsia="Times New Roman" w:hAnsiTheme="minorHAnsi"/>
                <w:color w:val="000000"/>
                <w:sz w:val="22"/>
                <w:szCs w:val="22"/>
              </w:rPr>
              <w:t>1.29</w:t>
            </w:r>
          </w:p>
        </w:tc>
        <w:tc>
          <w:tcPr>
            <w:tcW w:w="1014" w:type="dxa"/>
            <w:tcBorders>
              <w:top w:val="single" w:sz="4" w:space="0" w:color="auto"/>
              <w:left w:val="single" w:sz="4" w:space="0" w:color="auto"/>
              <w:bottom w:val="single" w:sz="12" w:space="0" w:color="auto"/>
              <w:right w:val="single" w:sz="12" w:space="0" w:color="auto"/>
            </w:tcBorders>
            <w:shd w:val="clear" w:color="auto" w:fill="FFFFFF" w:themeFill="background1"/>
            <w:noWrap/>
            <w:vAlign w:val="bottom"/>
          </w:tcPr>
          <w:p w14:paraId="19A983AA" w14:textId="24AE57C6" w:rsidR="00A77BC2" w:rsidRPr="00FC54A0" w:rsidRDefault="00A77BC2" w:rsidP="00A77BC2">
            <w:pPr>
              <w:jc w:val="center"/>
              <w:rPr>
                <w:rFonts w:asciiTheme="minorHAnsi" w:eastAsia="Times New Roman" w:hAnsiTheme="minorHAnsi"/>
                <w:color w:val="000000"/>
                <w:sz w:val="22"/>
                <w:szCs w:val="22"/>
              </w:rPr>
            </w:pPr>
            <w:r w:rsidRPr="00FC54A0">
              <w:rPr>
                <w:rFonts w:asciiTheme="minorHAnsi" w:eastAsia="Times New Roman" w:hAnsiTheme="minorHAnsi"/>
                <w:color w:val="000000"/>
                <w:sz w:val="22"/>
                <w:szCs w:val="22"/>
              </w:rPr>
              <w:t>1.30</w:t>
            </w:r>
          </w:p>
        </w:tc>
      </w:tr>
    </w:tbl>
    <w:p w14:paraId="77643ED8" w14:textId="77777777" w:rsidR="0017187C" w:rsidRDefault="0017187C" w:rsidP="00B578E4">
      <w:pPr>
        <w:spacing w:after="120"/>
        <w:rPr>
          <w:rFonts w:asciiTheme="minorHAnsi" w:hAnsiTheme="minorHAnsi"/>
          <w:szCs w:val="24"/>
        </w:rPr>
      </w:pPr>
    </w:p>
    <w:p w14:paraId="10C43CD7" w14:textId="2F83319D" w:rsidR="00961909" w:rsidRDefault="00DD53C6" w:rsidP="00B578E4">
      <w:pPr>
        <w:spacing w:after="120"/>
        <w:rPr>
          <w:rFonts w:asciiTheme="minorHAnsi" w:hAnsiTheme="minorHAnsi"/>
        </w:rPr>
      </w:pPr>
      <w:r>
        <w:rPr>
          <w:rFonts w:asciiTheme="minorHAnsi" w:hAnsiTheme="minorHAnsi"/>
        </w:rPr>
        <w:t xml:space="preserve">Patients requiring inpatient endoscopy </w:t>
      </w:r>
      <w:r w:rsidR="00E2759A">
        <w:rPr>
          <w:rFonts w:asciiTheme="minorHAnsi" w:hAnsiTheme="minorHAnsi"/>
        </w:rPr>
        <w:t xml:space="preserve">procedures </w:t>
      </w:r>
      <w:r w:rsidR="00E2759A" w:rsidRPr="28C59B04">
        <w:rPr>
          <w:rFonts w:asciiTheme="minorHAnsi" w:hAnsiTheme="minorHAnsi"/>
        </w:rPr>
        <w:t>at</w:t>
      </w:r>
      <w:r>
        <w:rPr>
          <w:rFonts w:asciiTheme="minorHAnsi" w:hAnsiTheme="minorHAnsi"/>
        </w:rPr>
        <w:t xml:space="preserve"> an MGB </w:t>
      </w:r>
      <w:r w:rsidR="004361F0" w:rsidRPr="28C59B04">
        <w:rPr>
          <w:rFonts w:asciiTheme="minorHAnsi" w:hAnsiTheme="minorHAnsi"/>
        </w:rPr>
        <w:t>AMC</w:t>
      </w:r>
      <w:r w:rsidR="0005638B" w:rsidRPr="28C59B04">
        <w:rPr>
          <w:rFonts w:asciiTheme="minorHAnsi" w:hAnsiTheme="minorHAnsi"/>
        </w:rPr>
        <w:t xml:space="preserve"> are waiting on average </w:t>
      </w:r>
      <w:r w:rsidR="004361F0" w:rsidRPr="28C59B04">
        <w:rPr>
          <w:rFonts w:asciiTheme="minorHAnsi" w:hAnsiTheme="minorHAnsi"/>
        </w:rPr>
        <w:t xml:space="preserve">1-2 days for </w:t>
      </w:r>
      <w:r w:rsidR="004D4FD7" w:rsidRPr="28C59B04">
        <w:rPr>
          <w:rFonts w:asciiTheme="minorHAnsi" w:hAnsiTheme="minorHAnsi"/>
        </w:rPr>
        <w:t>procedures. Th</w:t>
      </w:r>
      <w:r w:rsidR="00CF0C1D" w:rsidRPr="28C59B04">
        <w:rPr>
          <w:rFonts w:asciiTheme="minorHAnsi" w:hAnsiTheme="minorHAnsi"/>
        </w:rPr>
        <w:t xml:space="preserve">is can </w:t>
      </w:r>
      <w:r w:rsidR="004D4FD7" w:rsidRPr="28C59B04">
        <w:rPr>
          <w:rFonts w:asciiTheme="minorHAnsi" w:hAnsiTheme="minorHAnsi"/>
        </w:rPr>
        <w:t>resul</w:t>
      </w:r>
      <w:r w:rsidR="00CF0C1D" w:rsidRPr="28C59B04">
        <w:rPr>
          <w:rFonts w:asciiTheme="minorHAnsi" w:hAnsiTheme="minorHAnsi"/>
        </w:rPr>
        <w:t>t</w:t>
      </w:r>
      <w:r w:rsidR="0005638B" w:rsidRPr="28C59B04">
        <w:rPr>
          <w:rFonts w:asciiTheme="minorHAnsi" w:hAnsiTheme="minorHAnsi"/>
        </w:rPr>
        <w:t xml:space="preserve"> in longer stays for the patient</w:t>
      </w:r>
      <w:r w:rsidR="00CF0C1D" w:rsidRPr="28C59B04">
        <w:rPr>
          <w:rFonts w:asciiTheme="minorHAnsi" w:hAnsiTheme="minorHAnsi"/>
        </w:rPr>
        <w:t>,</w:t>
      </w:r>
      <w:r w:rsidR="0005638B" w:rsidRPr="28C59B04">
        <w:rPr>
          <w:rFonts w:asciiTheme="minorHAnsi" w:hAnsiTheme="minorHAnsi"/>
        </w:rPr>
        <w:t xml:space="preserve"> with associated higher risks of negative outcomes, </w:t>
      </w:r>
      <w:r w:rsidR="00CF0C1D" w:rsidRPr="28C59B04">
        <w:rPr>
          <w:rFonts w:asciiTheme="minorHAnsi" w:hAnsiTheme="minorHAnsi"/>
        </w:rPr>
        <w:t xml:space="preserve">such as </w:t>
      </w:r>
      <w:r w:rsidR="0005638B" w:rsidRPr="28C59B04">
        <w:rPr>
          <w:rFonts w:asciiTheme="minorHAnsi" w:hAnsiTheme="minorHAnsi"/>
        </w:rPr>
        <w:t>physical and function decline and hospital-acquired infections</w:t>
      </w:r>
      <w:r w:rsidR="390C0D87" w:rsidRPr="28C59B04">
        <w:rPr>
          <w:rFonts w:asciiTheme="minorHAnsi" w:hAnsiTheme="minorHAnsi"/>
        </w:rPr>
        <w:t>,</w:t>
      </w:r>
      <w:r w:rsidR="004A036B" w:rsidRPr="28C59B04">
        <w:rPr>
          <w:vertAlign w:val="superscript"/>
        </w:rPr>
        <w:endnoteReference w:id="10"/>
      </w:r>
      <w:r w:rsidR="0005638B" w:rsidRPr="28C59B04">
        <w:rPr>
          <w:rFonts w:asciiTheme="minorHAnsi" w:hAnsiTheme="minorHAnsi"/>
        </w:rPr>
        <w:t xml:space="preserve"> as well as higher costs for payers. </w:t>
      </w:r>
      <w:r w:rsidR="00961909" w:rsidRPr="28C59B04">
        <w:rPr>
          <w:rFonts w:asciiTheme="minorHAnsi" w:hAnsiTheme="minorHAnsi"/>
        </w:rPr>
        <w:t>Longer than necessary i</w:t>
      </w:r>
      <w:r w:rsidR="0005638B" w:rsidRPr="28C59B04">
        <w:rPr>
          <w:rFonts w:asciiTheme="minorHAnsi" w:hAnsiTheme="minorHAnsi"/>
        </w:rPr>
        <w:t xml:space="preserve">npatient stays prevent new patients from being admitted to an inpatient bed from the emergency department or a community hospital, contributing to throughput challenges across the MGB AMCs and region. </w:t>
      </w:r>
      <w:r w:rsidR="00961909" w:rsidRPr="28C59B04">
        <w:rPr>
          <w:rFonts w:asciiTheme="minorHAnsi" w:hAnsiTheme="minorHAnsi"/>
        </w:rPr>
        <w:t xml:space="preserve">Given the large number of procedures that </w:t>
      </w:r>
      <w:r w:rsidR="004D7278" w:rsidRPr="28C59B04">
        <w:rPr>
          <w:rFonts w:asciiTheme="minorHAnsi" w:hAnsiTheme="minorHAnsi"/>
        </w:rPr>
        <w:t>are eligible to be</w:t>
      </w:r>
      <w:r w:rsidR="00961909" w:rsidRPr="28C59B04">
        <w:rPr>
          <w:rFonts w:asciiTheme="minorHAnsi" w:hAnsiTheme="minorHAnsi"/>
        </w:rPr>
        <w:t xml:space="preserve"> provided in an ASC setting, the Applicant asserts that the Proposed Project will reduce the unnecessary reliance on MGB and BWH to perform these outpatient procedures</w:t>
      </w:r>
      <w:r w:rsidR="004448E2" w:rsidRPr="28C59B04">
        <w:rPr>
          <w:rFonts w:asciiTheme="minorHAnsi" w:hAnsiTheme="minorHAnsi"/>
        </w:rPr>
        <w:t xml:space="preserve">, thereby </w:t>
      </w:r>
      <w:r w:rsidR="00900BF8" w:rsidRPr="28C59B04">
        <w:rPr>
          <w:rFonts w:asciiTheme="minorHAnsi" w:hAnsiTheme="minorHAnsi"/>
        </w:rPr>
        <w:t>improving throughput in the hospitals.</w:t>
      </w:r>
    </w:p>
    <w:p w14:paraId="1753C2A5" w14:textId="77777777" w:rsidR="00695558" w:rsidRDefault="00695558" w:rsidP="00B578E4">
      <w:pPr>
        <w:spacing w:after="120"/>
        <w:rPr>
          <w:rFonts w:asciiTheme="minorHAnsi" w:hAnsiTheme="minorHAnsi"/>
        </w:rPr>
      </w:pPr>
    </w:p>
    <w:p w14:paraId="579F906A" w14:textId="77777777" w:rsidR="009D0F43" w:rsidRPr="009D0F43" w:rsidRDefault="009D0F43" w:rsidP="0000234D">
      <w:pPr>
        <w:pStyle w:val="BodyText"/>
        <w:numPr>
          <w:ilvl w:val="0"/>
          <w:numId w:val="11"/>
        </w:numPr>
        <w:rPr>
          <w:rFonts w:asciiTheme="minorHAnsi" w:hAnsiTheme="minorHAnsi"/>
          <w:b/>
          <w:bCs/>
        </w:rPr>
      </w:pPr>
      <w:r w:rsidRPr="009D0F43">
        <w:rPr>
          <w:rFonts w:asciiTheme="minorHAnsi" w:hAnsiTheme="minorHAnsi"/>
          <w:b/>
          <w:bCs/>
        </w:rPr>
        <w:t xml:space="preserve">Anticipated Population Growth </w:t>
      </w:r>
    </w:p>
    <w:p w14:paraId="3D4FDB90" w14:textId="1FCEF7E3" w:rsidR="004D1982" w:rsidRDefault="00900BF8" w:rsidP="00B578E4">
      <w:pPr>
        <w:spacing w:after="120"/>
        <w:rPr>
          <w:rFonts w:asciiTheme="minorHAnsi" w:hAnsiTheme="minorHAnsi"/>
          <w:szCs w:val="24"/>
        </w:rPr>
      </w:pPr>
      <w:r>
        <w:rPr>
          <w:rFonts w:asciiTheme="minorHAnsi" w:hAnsiTheme="minorHAnsi"/>
          <w:szCs w:val="24"/>
        </w:rPr>
        <w:t>The population of e</w:t>
      </w:r>
      <w:r w:rsidR="00A814AB" w:rsidRPr="00A814AB">
        <w:rPr>
          <w:rFonts w:asciiTheme="minorHAnsi" w:hAnsiTheme="minorHAnsi"/>
          <w:szCs w:val="24"/>
        </w:rPr>
        <w:t xml:space="preserve">ach of the top towns in the </w:t>
      </w:r>
      <w:r w:rsidR="002C37E5">
        <w:rPr>
          <w:rFonts w:asciiTheme="minorHAnsi" w:hAnsiTheme="minorHAnsi"/>
          <w:szCs w:val="24"/>
        </w:rPr>
        <w:t>PSA</w:t>
      </w:r>
      <w:r w:rsidR="00A814AB" w:rsidRPr="00A814AB">
        <w:rPr>
          <w:rFonts w:asciiTheme="minorHAnsi" w:hAnsiTheme="minorHAnsi"/>
          <w:szCs w:val="24"/>
        </w:rPr>
        <w:t xml:space="preserve"> are expected to grow in the coming years, resulting in almost 8,000 more residents between the ages of 45 and 75 by 2040.</w:t>
      </w:r>
      <w:bookmarkStart w:id="11" w:name="_Ref207177748"/>
      <w:r w:rsidR="004A036B" w:rsidRPr="00A814AB">
        <w:rPr>
          <w:rStyle w:val="EndnoteReference"/>
          <w:rFonts w:asciiTheme="minorHAnsi" w:hAnsiTheme="minorHAnsi"/>
          <w:szCs w:val="24"/>
        </w:rPr>
        <w:endnoteReference w:id="11"/>
      </w:r>
      <w:bookmarkEnd w:id="11"/>
      <w:r w:rsidR="004A036B" w:rsidRPr="00A814AB">
        <w:rPr>
          <w:rFonts w:asciiTheme="minorHAnsi" w:hAnsiTheme="minorHAnsi"/>
          <w:szCs w:val="24"/>
        </w:rPr>
        <w:t xml:space="preserve">  </w:t>
      </w:r>
      <w:r w:rsidR="004A036B">
        <w:rPr>
          <w:rFonts w:asciiTheme="minorHAnsi" w:hAnsiTheme="minorHAnsi"/>
          <w:szCs w:val="24"/>
        </w:rPr>
        <w:t>The Applicant specifically notes that</w:t>
      </w:r>
      <w:r w:rsidR="004A036B" w:rsidRPr="00A814AB">
        <w:rPr>
          <w:rFonts w:asciiTheme="minorHAnsi" w:hAnsiTheme="minorHAnsi"/>
          <w:szCs w:val="24"/>
        </w:rPr>
        <w:t xml:space="preserve"> Cambridge, Revere, and Somerville are projected to experience significant growth by 2035</w:t>
      </w:r>
      <w:r w:rsidR="004A036B">
        <w:rPr>
          <w:rFonts w:asciiTheme="minorHAnsi" w:hAnsiTheme="minorHAnsi"/>
          <w:szCs w:val="24"/>
        </w:rPr>
        <w:t>,</w:t>
      </w:r>
      <w:r w:rsidR="004A036B" w:rsidRPr="00A814AB">
        <w:rPr>
          <w:rFonts w:asciiTheme="minorHAnsi" w:hAnsiTheme="minorHAnsi"/>
          <w:szCs w:val="24"/>
        </w:rPr>
        <w:t xml:space="preserve"> including 20% growth of Cambridge residents ages 50-59, 33% growth of Revere residents 45-54, </w:t>
      </w:r>
      <w:r w:rsidR="004A036B">
        <w:rPr>
          <w:rFonts w:asciiTheme="minorHAnsi" w:hAnsiTheme="minorHAnsi"/>
          <w:szCs w:val="24"/>
        </w:rPr>
        <w:t xml:space="preserve">and </w:t>
      </w:r>
      <w:r w:rsidR="004A036B" w:rsidRPr="00A814AB">
        <w:rPr>
          <w:rFonts w:asciiTheme="minorHAnsi" w:hAnsiTheme="minorHAnsi"/>
          <w:szCs w:val="24"/>
        </w:rPr>
        <w:t>23% growth of Somerville residents ages 45-54.</w:t>
      </w:r>
      <w:r w:rsidR="004A036B" w:rsidRPr="00A814AB">
        <w:rPr>
          <w:rStyle w:val="EndnoteReference"/>
          <w:rFonts w:asciiTheme="minorHAnsi" w:hAnsiTheme="minorHAnsi"/>
          <w:szCs w:val="24"/>
        </w:rPr>
        <w:endnoteReference w:id="12"/>
      </w:r>
      <w:r w:rsidR="004A036B" w:rsidRPr="00A814AB">
        <w:rPr>
          <w:rFonts w:asciiTheme="minorHAnsi" w:hAnsiTheme="minorHAnsi"/>
          <w:szCs w:val="24"/>
        </w:rPr>
        <w:t xml:space="preserve"> </w:t>
      </w:r>
      <w:r w:rsidR="00836221">
        <w:rPr>
          <w:rFonts w:asciiTheme="minorHAnsi" w:hAnsiTheme="minorHAnsi"/>
          <w:szCs w:val="24"/>
        </w:rPr>
        <w:t xml:space="preserve">With </w:t>
      </w:r>
      <w:r w:rsidR="00BB5F0F">
        <w:rPr>
          <w:rFonts w:asciiTheme="minorHAnsi" w:hAnsiTheme="minorHAnsi"/>
          <w:szCs w:val="24"/>
        </w:rPr>
        <w:t xml:space="preserve">the combination of </w:t>
      </w:r>
      <w:r w:rsidR="003C6E46">
        <w:rPr>
          <w:rFonts w:asciiTheme="minorHAnsi" w:hAnsiTheme="minorHAnsi"/>
          <w:szCs w:val="24"/>
        </w:rPr>
        <w:t xml:space="preserve">high utilization </w:t>
      </w:r>
      <w:r w:rsidR="00836221">
        <w:rPr>
          <w:rFonts w:asciiTheme="minorHAnsi" w:hAnsiTheme="minorHAnsi"/>
          <w:szCs w:val="24"/>
        </w:rPr>
        <w:t>at</w:t>
      </w:r>
      <w:r w:rsidR="003C6E46">
        <w:rPr>
          <w:rFonts w:asciiTheme="minorHAnsi" w:hAnsiTheme="minorHAnsi"/>
          <w:szCs w:val="24"/>
        </w:rPr>
        <w:t xml:space="preserve"> MGB AMCs endoscopy rooms (between 75-89%</w:t>
      </w:r>
      <w:r w:rsidR="006362EF">
        <w:rPr>
          <w:rFonts w:asciiTheme="minorHAnsi" w:hAnsiTheme="minorHAnsi"/>
          <w:szCs w:val="24"/>
        </w:rPr>
        <w:t xml:space="preserve">, </w:t>
      </w:r>
      <w:r w:rsidR="00836221">
        <w:rPr>
          <w:rFonts w:asciiTheme="minorHAnsi" w:hAnsiTheme="minorHAnsi"/>
          <w:szCs w:val="24"/>
        </w:rPr>
        <w:t xml:space="preserve">as </w:t>
      </w:r>
      <w:r w:rsidR="006362EF">
        <w:rPr>
          <w:rFonts w:asciiTheme="minorHAnsi" w:hAnsiTheme="minorHAnsi"/>
          <w:szCs w:val="24"/>
        </w:rPr>
        <w:t xml:space="preserve">previously stated), </w:t>
      </w:r>
      <w:r w:rsidR="00836221">
        <w:rPr>
          <w:rFonts w:asciiTheme="minorHAnsi" w:hAnsiTheme="minorHAnsi"/>
          <w:szCs w:val="24"/>
        </w:rPr>
        <w:t>and</w:t>
      </w:r>
      <w:r w:rsidR="00EA69C7">
        <w:rPr>
          <w:rFonts w:asciiTheme="minorHAnsi" w:hAnsiTheme="minorHAnsi"/>
          <w:szCs w:val="24"/>
        </w:rPr>
        <w:t xml:space="preserve"> significant population growth expected</w:t>
      </w:r>
      <w:r w:rsidR="00A814AB" w:rsidRPr="00A814AB">
        <w:rPr>
          <w:rFonts w:asciiTheme="minorHAnsi" w:hAnsiTheme="minorHAnsi"/>
          <w:szCs w:val="24"/>
        </w:rPr>
        <w:t xml:space="preserve"> </w:t>
      </w:r>
      <w:r w:rsidR="006362EF">
        <w:rPr>
          <w:rFonts w:asciiTheme="minorHAnsi" w:hAnsiTheme="minorHAnsi"/>
          <w:szCs w:val="24"/>
        </w:rPr>
        <w:t>in the area</w:t>
      </w:r>
      <w:r w:rsidR="00836221">
        <w:rPr>
          <w:rFonts w:asciiTheme="minorHAnsi" w:hAnsiTheme="minorHAnsi"/>
          <w:szCs w:val="24"/>
        </w:rPr>
        <w:t>, the Applicant asserts that</w:t>
      </w:r>
      <w:r w:rsidR="00955F56">
        <w:rPr>
          <w:rFonts w:asciiTheme="minorHAnsi" w:hAnsiTheme="minorHAnsi"/>
          <w:szCs w:val="24"/>
        </w:rPr>
        <w:t xml:space="preserve"> in addition to current Patient Panel need to access for </w:t>
      </w:r>
      <w:r w:rsidR="00DC6786">
        <w:rPr>
          <w:rFonts w:asciiTheme="minorHAnsi" w:hAnsiTheme="minorHAnsi"/>
          <w:szCs w:val="24"/>
        </w:rPr>
        <w:t>outpatient endoscopy services, that need will only continue to increase in the Proposed Services Area.</w:t>
      </w:r>
      <w:r w:rsidR="004D1982">
        <w:rPr>
          <w:rFonts w:asciiTheme="minorHAnsi" w:hAnsiTheme="minorHAnsi"/>
          <w:szCs w:val="24"/>
        </w:rPr>
        <w:t xml:space="preserve"> </w:t>
      </w:r>
    </w:p>
    <w:p w14:paraId="3688DDF0" w14:textId="77777777" w:rsidR="007776C0" w:rsidRDefault="007776C0" w:rsidP="00B578E4">
      <w:pPr>
        <w:spacing w:after="120"/>
        <w:rPr>
          <w:rFonts w:asciiTheme="minorHAnsi" w:hAnsiTheme="minorHAnsi"/>
          <w:szCs w:val="24"/>
        </w:rPr>
      </w:pPr>
    </w:p>
    <w:p w14:paraId="1BFC8BF5" w14:textId="4AA6481A" w:rsidR="00836221" w:rsidRPr="004D1982" w:rsidRDefault="00836221" w:rsidP="0000234D">
      <w:pPr>
        <w:pStyle w:val="BodyText"/>
        <w:numPr>
          <w:ilvl w:val="0"/>
          <w:numId w:val="11"/>
        </w:numPr>
        <w:rPr>
          <w:rFonts w:asciiTheme="minorHAnsi" w:hAnsiTheme="minorHAnsi"/>
          <w:b/>
          <w:bCs/>
        </w:rPr>
      </w:pPr>
      <w:r w:rsidRPr="004D1982">
        <w:rPr>
          <w:rFonts w:asciiTheme="minorHAnsi" w:hAnsiTheme="minorHAnsi"/>
          <w:b/>
          <w:bCs/>
        </w:rPr>
        <w:t xml:space="preserve">Projected Utilization </w:t>
      </w:r>
    </w:p>
    <w:p w14:paraId="55B2E58B" w14:textId="5AF0CCA2" w:rsidR="004D1982" w:rsidRPr="004D1982" w:rsidRDefault="004D1982" w:rsidP="004D1982">
      <w:pPr>
        <w:rPr>
          <w:rFonts w:asciiTheme="minorHAnsi" w:hAnsiTheme="minorHAnsi"/>
          <w:szCs w:val="24"/>
        </w:rPr>
      </w:pPr>
      <w:r w:rsidRPr="004D1982">
        <w:rPr>
          <w:rFonts w:asciiTheme="minorHAnsi" w:hAnsiTheme="minorHAnsi"/>
          <w:szCs w:val="24"/>
        </w:rPr>
        <w:t xml:space="preserve">To provide the Patient Panel with improved access to outpatient endoscopy, the proposed ASC in Cambridge will have three procedure rooms and 10 pre/post-operative care bays. Each procedure room will have a maximum procedural capacity of 12 cases per day. The ASC will be open five days per week (Monday – Friday), with closures for 11 holidays, resulting in an annual maximum capacity for the ASC of 9,000 once the ASC is fully operational. The ASC’s proposed utilization is in Table </w:t>
      </w:r>
      <w:r w:rsidR="007776C0">
        <w:rPr>
          <w:rFonts w:asciiTheme="minorHAnsi" w:hAnsiTheme="minorHAnsi"/>
          <w:szCs w:val="24"/>
        </w:rPr>
        <w:t>11</w:t>
      </w:r>
      <w:r w:rsidRPr="004D1982">
        <w:rPr>
          <w:rFonts w:asciiTheme="minorHAnsi" w:hAnsiTheme="minorHAnsi"/>
          <w:szCs w:val="24"/>
        </w:rPr>
        <w:t xml:space="preserve"> below. </w:t>
      </w:r>
    </w:p>
    <w:p w14:paraId="4B1CFB6F" w14:textId="77777777" w:rsidR="004D1982" w:rsidRPr="004D1982" w:rsidRDefault="004D1982" w:rsidP="004D1982">
      <w:pPr>
        <w:rPr>
          <w:rFonts w:asciiTheme="minorHAnsi" w:hAnsiTheme="minorHAnsi"/>
          <w:b/>
          <w:bCs/>
          <w:sz w:val="21"/>
          <w:szCs w:val="21"/>
        </w:rPr>
      </w:pPr>
    </w:p>
    <w:p w14:paraId="31E6A76B" w14:textId="3AA32D47" w:rsidR="004D1982" w:rsidRPr="004D1982" w:rsidRDefault="004D1982" w:rsidP="004D1982">
      <w:pPr>
        <w:ind w:left="720"/>
        <w:jc w:val="center"/>
        <w:rPr>
          <w:rFonts w:asciiTheme="minorHAnsi" w:hAnsiTheme="minorHAnsi"/>
          <w:b/>
          <w:bCs/>
          <w:szCs w:val="24"/>
        </w:rPr>
      </w:pPr>
      <w:r w:rsidRPr="004D1982">
        <w:rPr>
          <w:rFonts w:asciiTheme="minorHAnsi" w:hAnsiTheme="minorHAnsi"/>
          <w:b/>
          <w:bCs/>
          <w:szCs w:val="24"/>
          <w:u w:val="single"/>
        </w:rPr>
        <w:t xml:space="preserve">Table </w:t>
      </w:r>
      <w:r w:rsidR="007776C0">
        <w:rPr>
          <w:rFonts w:asciiTheme="minorHAnsi" w:hAnsiTheme="minorHAnsi"/>
          <w:b/>
          <w:bCs/>
          <w:szCs w:val="24"/>
          <w:u w:val="single"/>
        </w:rPr>
        <w:t>11</w:t>
      </w:r>
      <w:r w:rsidRPr="004D1982">
        <w:rPr>
          <w:rFonts w:asciiTheme="minorHAnsi" w:hAnsiTheme="minorHAnsi"/>
          <w:b/>
          <w:bCs/>
          <w:szCs w:val="24"/>
          <w:u w:val="single"/>
        </w:rPr>
        <w:t>:</w:t>
      </w:r>
      <w:r w:rsidRPr="004D1982">
        <w:rPr>
          <w:rFonts w:asciiTheme="minorHAnsi" w:hAnsiTheme="minorHAnsi"/>
          <w:b/>
          <w:bCs/>
          <w:szCs w:val="24"/>
        </w:rPr>
        <w:t xml:space="preserve"> Proposed Utilization of the New ASC</w:t>
      </w:r>
    </w:p>
    <w:tbl>
      <w:tblPr>
        <w:tblW w:w="9445" w:type="dxa"/>
        <w:tblInd w:w="-3" w:type="dxa"/>
        <w:tblLayout w:type="fixed"/>
        <w:tblCellMar>
          <w:left w:w="0" w:type="dxa"/>
          <w:right w:w="0" w:type="dxa"/>
        </w:tblCellMar>
        <w:tblLook w:val="04A0" w:firstRow="1" w:lastRow="0" w:firstColumn="1" w:lastColumn="0" w:noHBand="0" w:noVBand="1"/>
      </w:tblPr>
      <w:tblGrid>
        <w:gridCol w:w="3685"/>
        <w:gridCol w:w="1152"/>
        <w:gridCol w:w="1152"/>
        <w:gridCol w:w="1152"/>
        <w:gridCol w:w="1152"/>
        <w:gridCol w:w="1152"/>
      </w:tblGrid>
      <w:tr w:rsidR="004D1982" w:rsidRPr="009555DC" w14:paraId="29CC12D9" w14:textId="77777777" w:rsidTr="00FE156D">
        <w:trPr>
          <w:cantSplit/>
          <w:trHeight w:val="310"/>
          <w:tblHeader/>
        </w:trPr>
        <w:tc>
          <w:tcPr>
            <w:tcW w:w="3685" w:type="dxa"/>
            <w:tcBorders>
              <w:top w:val="single" w:sz="4" w:space="0" w:color="auto"/>
              <w:left w:val="single" w:sz="4" w:space="0" w:color="auto"/>
              <w:bottom w:val="nil"/>
              <w:right w:val="nil"/>
            </w:tcBorders>
            <w:noWrap/>
            <w:vAlign w:val="center"/>
            <w:hideMark/>
          </w:tcPr>
          <w:p w14:paraId="78B18265" w14:textId="77777777" w:rsidR="004D1982" w:rsidRPr="00A102A7" w:rsidRDefault="004D1982">
            <w:pPr>
              <w:rPr>
                <w:rFonts w:asciiTheme="minorHAnsi" w:hAnsiTheme="minorHAnsi"/>
                <w:b/>
                <w:bCs/>
                <w:szCs w:val="24"/>
              </w:rPr>
            </w:pPr>
          </w:p>
        </w:tc>
        <w:tc>
          <w:tcPr>
            <w:tcW w:w="1152" w:type="dxa"/>
            <w:tcBorders>
              <w:top w:val="single" w:sz="4" w:space="0" w:color="auto"/>
              <w:left w:val="single" w:sz="4" w:space="0" w:color="auto"/>
              <w:bottom w:val="single" w:sz="4" w:space="0" w:color="auto"/>
              <w:right w:val="single" w:sz="4" w:space="0" w:color="auto"/>
            </w:tcBorders>
            <w:noWrap/>
            <w:vAlign w:val="center"/>
            <w:hideMark/>
          </w:tcPr>
          <w:p w14:paraId="4CE44451" w14:textId="77777777" w:rsidR="004D1982" w:rsidRPr="00A102A7" w:rsidRDefault="004D1982">
            <w:pPr>
              <w:jc w:val="center"/>
              <w:rPr>
                <w:rFonts w:asciiTheme="minorHAnsi" w:hAnsiTheme="minorHAnsi"/>
                <w:b/>
                <w:bCs/>
                <w:szCs w:val="24"/>
              </w:rPr>
            </w:pPr>
            <w:r w:rsidRPr="00A102A7">
              <w:rPr>
                <w:rFonts w:asciiTheme="minorHAnsi" w:hAnsiTheme="minorHAnsi"/>
                <w:b/>
                <w:bCs/>
                <w:szCs w:val="24"/>
              </w:rPr>
              <w:t>FY2027</w:t>
            </w:r>
          </w:p>
        </w:tc>
        <w:tc>
          <w:tcPr>
            <w:tcW w:w="1152" w:type="dxa"/>
            <w:tcBorders>
              <w:top w:val="single" w:sz="4" w:space="0" w:color="auto"/>
              <w:left w:val="single" w:sz="4" w:space="0" w:color="auto"/>
              <w:bottom w:val="single" w:sz="4" w:space="0" w:color="auto"/>
              <w:right w:val="single" w:sz="4" w:space="0" w:color="auto"/>
            </w:tcBorders>
            <w:noWrap/>
            <w:vAlign w:val="center"/>
            <w:hideMark/>
          </w:tcPr>
          <w:p w14:paraId="6C1DB95B" w14:textId="77777777" w:rsidR="004D1982" w:rsidRPr="00A102A7" w:rsidRDefault="004D1982">
            <w:pPr>
              <w:jc w:val="center"/>
              <w:rPr>
                <w:rFonts w:asciiTheme="minorHAnsi" w:hAnsiTheme="minorHAnsi"/>
                <w:b/>
                <w:bCs/>
                <w:szCs w:val="24"/>
              </w:rPr>
            </w:pPr>
            <w:r w:rsidRPr="00A102A7">
              <w:rPr>
                <w:rFonts w:asciiTheme="minorHAnsi" w:hAnsiTheme="minorHAnsi"/>
                <w:b/>
                <w:bCs/>
                <w:szCs w:val="24"/>
              </w:rPr>
              <w:t>FY2028</w:t>
            </w:r>
          </w:p>
        </w:tc>
        <w:tc>
          <w:tcPr>
            <w:tcW w:w="1152" w:type="dxa"/>
            <w:tcBorders>
              <w:top w:val="single" w:sz="4" w:space="0" w:color="auto"/>
              <w:left w:val="single" w:sz="4" w:space="0" w:color="auto"/>
              <w:bottom w:val="single" w:sz="4" w:space="0" w:color="auto"/>
              <w:right w:val="single" w:sz="4" w:space="0" w:color="auto"/>
            </w:tcBorders>
            <w:noWrap/>
            <w:vAlign w:val="center"/>
            <w:hideMark/>
          </w:tcPr>
          <w:p w14:paraId="4B5CC168" w14:textId="77777777" w:rsidR="004D1982" w:rsidRPr="00A102A7" w:rsidRDefault="004D1982">
            <w:pPr>
              <w:jc w:val="center"/>
              <w:rPr>
                <w:rFonts w:asciiTheme="minorHAnsi" w:hAnsiTheme="minorHAnsi"/>
                <w:b/>
                <w:bCs/>
                <w:szCs w:val="24"/>
              </w:rPr>
            </w:pPr>
            <w:r w:rsidRPr="00A102A7">
              <w:rPr>
                <w:rFonts w:asciiTheme="minorHAnsi" w:hAnsiTheme="minorHAnsi"/>
                <w:b/>
                <w:bCs/>
                <w:szCs w:val="24"/>
              </w:rPr>
              <w:t>FY2029</w:t>
            </w:r>
          </w:p>
        </w:tc>
        <w:tc>
          <w:tcPr>
            <w:tcW w:w="1152" w:type="dxa"/>
            <w:tcBorders>
              <w:top w:val="single" w:sz="4" w:space="0" w:color="auto"/>
              <w:left w:val="single" w:sz="4" w:space="0" w:color="auto"/>
              <w:bottom w:val="single" w:sz="4" w:space="0" w:color="auto"/>
              <w:right w:val="single" w:sz="4" w:space="0" w:color="auto"/>
            </w:tcBorders>
            <w:noWrap/>
            <w:vAlign w:val="center"/>
            <w:hideMark/>
          </w:tcPr>
          <w:p w14:paraId="40749B9B" w14:textId="77777777" w:rsidR="004D1982" w:rsidRPr="00A102A7" w:rsidRDefault="004D1982">
            <w:pPr>
              <w:jc w:val="center"/>
              <w:rPr>
                <w:rFonts w:asciiTheme="minorHAnsi" w:hAnsiTheme="minorHAnsi"/>
                <w:b/>
                <w:bCs/>
                <w:szCs w:val="24"/>
              </w:rPr>
            </w:pPr>
            <w:r w:rsidRPr="00A102A7">
              <w:rPr>
                <w:rFonts w:asciiTheme="minorHAnsi" w:hAnsiTheme="minorHAnsi"/>
                <w:b/>
                <w:bCs/>
                <w:szCs w:val="24"/>
              </w:rPr>
              <w:t>FY2030</w:t>
            </w:r>
          </w:p>
        </w:tc>
        <w:tc>
          <w:tcPr>
            <w:tcW w:w="1152" w:type="dxa"/>
            <w:tcBorders>
              <w:top w:val="single" w:sz="4" w:space="0" w:color="auto"/>
              <w:left w:val="single" w:sz="4" w:space="0" w:color="auto"/>
              <w:bottom w:val="single" w:sz="4" w:space="0" w:color="auto"/>
              <w:right w:val="single" w:sz="4" w:space="0" w:color="auto"/>
            </w:tcBorders>
            <w:noWrap/>
            <w:vAlign w:val="center"/>
            <w:hideMark/>
          </w:tcPr>
          <w:p w14:paraId="54826791" w14:textId="77777777" w:rsidR="004D1982" w:rsidRPr="00A102A7" w:rsidRDefault="004D1982">
            <w:pPr>
              <w:jc w:val="center"/>
              <w:rPr>
                <w:rFonts w:asciiTheme="minorHAnsi" w:hAnsiTheme="minorHAnsi"/>
                <w:b/>
                <w:bCs/>
                <w:szCs w:val="24"/>
              </w:rPr>
            </w:pPr>
            <w:r w:rsidRPr="00A102A7">
              <w:rPr>
                <w:rFonts w:asciiTheme="minorHAnsi" w:hAnsiTheme="minorHAnsi"/>
                <w:b/>
                <w:bCs/>
                <w:szCs w:val="24"/>
              </w:rPr>
              <w:t>FY2031</w:t>
            </w:r>
          </w:p>
        </w:tc>
      </w:tr>
      <w:tr w:rsidR="004D1982" w:rsidRPr="009555DC" w14:paraId="47522565" w14:textId="77777777" w:rsidTr="00FE156D">
        <w:trPr>
          <w:cantSplit/>
          <w:trHeight w:val="310"/>
        </w:trPr>
        <w:tc>
          <w:tcPr>
            <w:tcW w:w="3685" w:type="dxa"/>
            <w:tcBorders>
              <w:top w:val="single" w:sz="4" w:space="0" w:color="auto"/>
              <w:left w:val="single" w:sz="4" w:space="0" w:color="auto"/>
              <w:bottom w:val="single" w:sz="4" w:space="0" w:color="auto"/>
              <w:right w:val="nil"/>
            </w:tcBorders>
            <w:noWrap/>
            <w:vAlign w:val="center"/>
            <w:hideMark/>
          </w:tcPr>
          <w:p w14:paraId="14FBDB43" w14:textId="77777777" w:rsidR="004D1982" w:rsidRPr="00A102A7" w:rsidRDefault="004D1982">
            <w:pPr>
              <w:rPr>
                <w:rFonts w:asciiTheme="minorHAnsi" w:hAnsiTheme="minorHAnsi"/>
                <w:b/>
                <w:bCs/>
                <w:szCs w:val="24"/>
              </w:rPr>
            </w:pPr>
            <w:r w:rsidRPr="00A102A7">
              <w:rPr>
                <w:rFonts w:asciiTheme="minorHAnsi" w:hAnsiTheme="minorHAnsi"/>
                <w:b/>
                <w:bCs/>
                <w:szCs w:val="24"/>
              </w:rPr>
              <w:t>Volume</w:t>
            </w:r>
          </w:p>
        </w:tc>
        <w:tc>
          <w:tcPr>
            <w:tcW w:w="1152" w:type="dxa"/>
            <w:tcBorders>
              <w:top w:val="single" w:sz="4" w:space="0" w:color="auto"/>
              <w:left w:val="single" w:sz="4" w:space="0" w:color="auto"/>
              <w:bottom w:val="single" w:sz="4" w:space="0" w:color="auto"/>
              <w:right w:val="single" w:sz="4" w:space="0" w:color="auto"/>
            </w:tcBorders>
            <w:noWrap/>
            <w:vAlign w:val="center"/>
            <w:hideMark/>
          </w:tcPr>
          <w:p w14:paraId="1D17574F" w14:textId="77777777" w:rsidR="004D1982" w:rsidRPr="00A102A7" w:rsidRDefault="004D1982">
            <w:pPr>
              <w:jc w:val="center"/>
              <w:rPr>
                <w:rFonts w:asciiTheme="minorHAnsi" w:hAnsiTheme="minorHAnsi"/>
                <w:szCs w:val="24"/>
              </w:rPr>
            </w:pPr>
            <w:r w:rsidRPr="00A102A7">
              <w:rPr>
                <w:rFonts w:asciiTheme="minorHAnsi" w:hAnsiTheme="minorHAnsi"/>
                <w:szCs w:val="24"/>
              </w:rPr>
              <w:t>4,752</w:t>
            </w:r>
          </w:p>
        </w:tc>
        <w:tc>
          <w:tcPr>
            <w:tcW w:w="1152" w:type="dxa"/>
            <w:tcBorders>
              <w:top w:val="single" w:sz="4" w:space="0" w:color="auto"/>
              <w:left w:val="single" w:sz="4" w:space="0" w:color="auto"/>
              <w:bottom w:val="single" w:sz="4" w:space="0" w:color="auto"/>
              <w:right w:val="single" w:sz="4" w:space="0" w:color="auto"/>
            </w:tcBorders>
            <w:noWrap/>
            <w:vAlign w:val="center"/>
            <w:hideMark/>
          </w:tcPr>
          <w:p w14:paraId="237D2D7E" w14:textId="77777777" w:rsidR="004D1982" w:rsidRPr="00A102A7" w:rsidRDefault="004D1982">
            <w:pPr>
              <w:jc w:val="center"/>
              <w:rPr>
                <w:rFonts w:asciiTheme="minorHAnsi" w:hAnsiTheme="minorHAnsi"/>
                <w:szCs w:val="24"/>
              </w:rPr>
            </w:pPr>
            <w:r w:rsidRPr="00A102A7">
              <w:rPr>
                <w:rFonts w:asciiTheme="minorHAnsi" w:hAnsiTheme="minorHAnsi"/>
                <w:szCs w:val="24"/>
              </w:rPr>
              <w:t>7,350</w:t>
            </w:r>
          </w:p>
        </w:tc>
        <w:tc>
          <w:tcPr>
            <w:tcW w:w="1152" w:type="dxa"/>
            <w:tcBorders>
              <w:top w:val="single" w:sz="4" w:space="0" w:color="auto"/>
              <w:left w:val="single" w:sz="4" w:space="0" w:color="auto"/>
              <w:bottom w:val="single" w:sz="4" w:space="0" w:color="auto"/>
              <w:right w:val="single" w:sz="4" w:space="0" w:color="auto"/>
            </w:tcBorders>
            <w:noWrap/>
            <w:vAlign w:val="center"/>
            <w:hideMark/>
          </w:tcPr>
          <w:p w14:paraId="144712AB" w14:textId="77777777" w:rsidR="004D1982" w:rsidRPr="00A102A7" w:rsidRDefault="004D1982">
            <w:pPr>
              <w:jc w:val="center"/>
              <w:rPr>
                <w:rFonts w:asciiTheme="minorHAnsi" w:hAnsiTheme="minorHAnsi"/>
                <w:szCs w:val="24"/>
              </w:rPr>
            </w:pPr>
            <w:r w:rsidRPr="00A102A7">
              <w:rPr>
                <w:rFonts w:asciiTheme="minorHAnsi" w:hAnsiTheme="minorHAnsi"/>
                <w:szCs w:val="24"/>
              </w:rPr>
              <w:t>7,460</w:t>
            </w:r>
          </w:p>
        </w:tc>
        <w:tc>
          <w:tcPr>
            <w:tcW w:w="1152" w:type="dxa"/>
            <w:tcBorders>
              <w:top w:val="single" w:sz="4" w:space="0" w:color="auto"/>
              <w:left w:val="single" w:sz="4" w:space="0" w:color="auto"/>
              <w:bottom w:val="single" w:sz="4" w:space="0" w:color="auto"/>
              <w:right w:val="single" w:sz="4" w:space="0" w:color="auto"/>
            </w:tcBorders>
            <w:noWrap/>
            <w:vAlign w:val="center"/>
            <w:hideMark/>
          </w:tcPr>
          <w:p w14:paraId="05A3E013" w14:textId="77777777" w:rsidR="004D1982" w:rsidRPr="00A102A7" w:rsidRDefault="004D1982">
            <w:pPr>
              <w:jc w:val="center"/>
              <w:rPr>
                <w:rFonts w:asciiTheme="minorHAnsi" w:hAnsiTheme="minorHAnsi"/>
                <w:szCs w:val="24"/>
              </w:rPr>
            </w:pPr>
            <w:r w:rsidRPr="00A102A7">
              <w:rPr>
                <w:rFonts w:asciiTheme="minorHAnsi" w:hAnsiTheme="minorHAnsi"/>
                <w:szCs w:val="24"/>
              </w:rPr>
              <w:t>7,572</w:t>
            </w:r>
          </w:p>
        </w:tc>
        <w:tc>
          <w:tcPr>
            <w:tcW w:w="1152" w:type="dxa"/>
            <w:tcBorders>
              <w:top w:val="single" w:sz="4" w:space="0" w:color="auto"/>
              <w:left w:val="single" w:sz="4" w:space="0" w:color="auto"/>
              <w:bottom w:val="single" w:sz="4" w:space="0" w:color="auto"/>
              <w:right w:val="single" w:sz="4" w:space="0" w:color="auto"/>
            </w:tcBorders>
            <w:noWrap/>
            <w:vAlign w:val="center"/>
            <w:hideMark/>
          </w:tcPr>
          <w:p w14:paraId="7AD7E3FC" w14:textId="77777777" w:rsidR="004D1982" w:rsidRPr="00A102A7" w:rsidRDefault="004D1982">
            <w:pPr>
              <w:jc w:val="center"/>
              <w:rPr>
                <w:rFonts w:asciiTheme="minorHAnsi" w:hAnsiTheme="minorHAnsi"/>
                <w:szCs w:val="24"/>
              </w:rPr>
            </w:pPr>
            <w:r w:rsidRPr="00A102A7">
              <w:rPr>
                <w:rFonts w:asciiTheme="minorHAnsi" w:hAnsiTheme="minorHAnsi"/>
                <w:szCs w:val="24"/>
              </w:rPr>
              <w:t>7,686</w:t>
            </w:r>
          </w:p>
        </w:tc>
      </w:tr>
      <w:tr w:rsidR="004D1982" w:rsidRPr="009555DC" w14:paraId="19863C62" w14:textId="77777777" w:rsidTr="00FE156D">
        <w:trPr>
          <w:cantSplit/>
          <w:trHeight w:val="310"/>
        </w:trPr>
        <w:tc>
          <w:tcPr>
            <w:tcW w:w="3685" w:type="dxa"/>
            <w:tcBorders>
              <w:top w:val="single" w:sz="4" w:space="0" w:color="auto"/>
              <w:left w:val="single" w:sz="4" w:space="0" w:color="auto"/>
              <w:bottom w:val="single" w:sz="4" w:space="0" w:color="auto"/>
              <w:right w:val="nil"/>
            </w:tcBorders>
            <w:noWrap/>
            <w:vAlign w:val="center"/>
          </w:tcPr>
          <w:p w14:paraId="35716E6E" w14:textId="77777777" w:rsidR="004D1982" w:rsidRPr="00A102A7" w:rsidRDefault="004D1982">
            <w:pPr>
              <w:rPr>
                <w:rFonts w:asciiTheme="minorHAnsi" w:hAnsiTheme="minorHAnsi"/>
                <w:b/>
                <w:bCs/>
                <w:szCs w:val="24"/>
              </w:rPr>
            </w:pPr>
            <w:r w:rsidRPr="00A102A7">
              <w:rPr>
                <w:rFonts w:asciiTheme="minorHAnsi" w:hAnsiTheme="minorHAnsi"/>
                <w:b/>
                <w:bCs/>
                <w:szCs w:val="24"/>
              </w:rPr>
              <w:t>Operating Capacity</w:t>
            </w:r>
          </w:p>
        </w:tc>
        <w:tc>
          <w:tcPr>
            <w:tcW w:w="1152" w:type="dxa"/>
            <w:tcBorders>
              <w:top w:val="single" w:sz="4" w:space="0" w:color="auto"/>
              <w:left w:val="single" w:sz="4" w:space="0" w:color="auto"/>
              <w:bottom w:val="single" w:sz="4" w:space="0" w:color="auto"/>
              <w:right w:val="single" w:sz="4" w:space="0" w:color="auto"/>
            </w:tcBorders>
            <w:noWrap/>
            <w:vAlign w:val="center"/>
          </w:tcPr>
          <w:p w14:paraId="5BA64A86" w14:textId="77777777" w:rsidR="004D1982" w:rsidRPr="00A102A7" w:rsidRDefault="004D1982">
            <w:pPr>
              <w:jc w:val="center"/>
              <w:rPr>
                <w:rFonts w:asciiTheme="minorHAnsi" w:hAnsiTheme="minorHAnsi"/>
                <w:szCs w:val="24"/>
              </w:rPr>
            </w:pPr>
            <w:r w:rsidRPr="00A102A7">
              <w:rPr>
                <w:rFonts w:asciiTheme="minorHAnsi" w:hAnsiTheme="minorHAnsi"/>
                <w:szCs w:val="24"/>
              </w:rPr>
              <w:t>53%</w:t>
            </w:r>
          </w:p>
        </w:tc>
        <w:tc>
          <w:tcPr>
            <w:tcW w:w="1152" w:type="dxa"/>
            <w:tcBorders>
              <w:top w:val="single" w:sz="4" w:space="0" w:color="auto"/>
              <w:left w:val="single" w:sz="4" w:space="0" w:color="auto"/>
              <w:bottom w:val="single" w:sz="4" w:space="0" w:color="auto"/>
              <w:right w:val="single" w:sz="4" w:space="0" w:color="auto"/>
            </w:tcBorders>
            <w:noWrap/>
            <w:vAlign w:val="center"/>
          </w:tcPr>
          <w:p w14:paraId="1585EB59" w14:textId="77777777" w:rsidR="004D1982" w:rsidRPr="00A102A7" w:rsidRDefault="004D1982">
            <w:pPr>
              <w:jc w:val="center"/>
              <w:rPr>
                <w:rFonts w:asciiTheme="minorHAnsi" w:hAnsiTheme="minorHAnsi"/>
                <w:szCs w:val="24"/>
              </w:rPr>
            </w:pPr>
            <w:r w:rsidRPr="00A102A7">
              <w:rPr>
                <w:rFonts w:asciiTheme="minorHAnsi" w:hAnsiTheme="minorHAnsi"/>
                <w:szCs w:val="24"/>
              </w:rPr>
              <w:t>82%</w:t>
            </w:r>
          </w:p>
        </w:tc>
        <w:tc>
          <w:tcPr>
            <w:tcW w:w="1152" w:type="dxa"/>
            <w:tcBorders>
              <w:top w:val="single" w:sz="4" w:space="0" w:color="auto"/>
              <w:left w:val="single" w:sz="4" w:space="0" w:color="auto"/>
              <w:bottom w:val="single" w:sz="4" w:space="0" w:color="auto"/>
              <w:right w:val="single" w:sz="4" w:space="0" w:color="auto"/>
            </w:tcBorders>
            <w:noWrap/>
            <w:vAlign w:val="center"/>
          </w:tcPr>
          <w:p w14:paraId="4DA261B0" w14:textId="77777777" w:rsidR="004D1982" w:rsidRPr="00A102A7" w:rsidRDefault="004D1982">
            <w:pPr>
              <w:jc w:val="center"/>
              <w:rPr>
                <w:rFonts w:asciiTheme="minorHAnsi" w:hAnsiTheme="minorHAnsi"/>
                <w:szCs w:val="24"/>
              </w:rPr>
            </w:pPr>
            <w:r w:rsidRPr="00A102A7">
              <w:rPr>
                <w:rFonts w:asciiTheme="minorHAnsi" w:hAnsiTheme="minorHAnsi"/>
                <w:szCs w:val="24"/>
              </w:rPr>
              <w:t>83%</w:t>
            </w:r>
          </w:p>
        </w:tc>
        <w:tc>
          <w:tcPr>
            <w:tcW w:w="1152" w:type="dxa"/>
            <w:tcBorders>
              <w:top w:val="single" w:sz="4" w:space="0" w:color="auto"/>
              <w:left w:val="single" w:sz="4" w:space="0" w:color="auto"/>
              <w:bottom w:val="single" w:sz="4" w:space="0" w:color="auto"/>
              <w:right w:val="single" w:sz="4" w:space="0" w:color="auto"/>
            </w:tcBorders>
            <w:noWrap/>
            <w:vAlign w:val="center"/>
          </w:tcPr>
          <w:p w14:paraId="698A8B28" w14:textId="77777777" w:rsidR="004D1982" w:rsidRPr="00A102A7" w:rsidRDefault="004D1982">
            <w:pPr>
              <w:jc w:val="center"/>
              <w:rPr>
                <w:rFonts w:asciiTheme="minorHAnsi" w:hAnsiTheme="minorHAnsi"/>
                <w:szCs w:val="24"/>
              </w:rPr>
            </w:pPr>
            <w:r w:rsidRPr="00A102A7">
              <w:rPr>
                <w:rFonts w:asciiTheme="minorHAnsi" w:hAnsiTheme="minorHAnsi"/>
                <w:szCs w:val="24"/>
              </w:rPr>
              <w:t>84%</w:t>
            </w:r>
          </w:p>
        </w:tc>
        <w:tc>
          <w:tcPr>
            <w:tcW w:w="1152" w:type="dxa"/>
            <w:tcBorders>
              <w:top w:val="single" w:sz="4" w:space="0" w:color="auto"/>
              <w:left w:val="single" w:sz="4" w:space="0" w:color="auto"/>
              <w:bottom w:val="single" w:sz="4" w:space="0" w:color="auto"/>
              <w:right w:val="single" w:sz="4" w:space="0" w:color="auto"/>
            </w:tcBorders>
            <w:noWrap/>
            <w:vAlign w:val="center"/>
          </w:tcPr>
          <w:p w14:paraId="03095ECB" w14:textId="77777777" w:rsidR="004D1982" w:rsidRPr="00A102A7" w:rsidRDefault="004D1982">
            <w:pPr>
              <w:jc w:val="center"/>
              <w:rPr>
                <w:rFonts w:asciiTheme="minorHAnsi" w:hAnsiTheme="minorHAnsi"/>
                <w:szCs w:val="24"/>
              </w:rPr>
            </w:pPr>
            <w:r w:rsidRPr="00A102A7">
              <w:rPr>
                <w:rFonts w:asciiTheme="minorHAnsi" w:hAnsiTheme="minorHAnsi"/>
                <w:szCs w:val="24"/>
              </w:rPr>
              <w:t>85%</w:t>
            </w:r>
          </w:p>
        </w:tc>
      </w:tr>
    </w:tbl>
    <w:p w14:paraId="4DC73CA4" w14:textId="77777777" w:rsidR="004D1982" w:rsidRPr="004D1982" w:rsidRDefault="004D1982" w:rsidP="004D1982">
      <w:pPr>
        <w:spacing w:after="120"/>
        <w:ind w:left="720"/>
        <w:rPr>
          <w:rFonts w:asciiTheme="minorHAnsi" w:hAnsiTheme="minorHAnsi"/>
          <w:szCs w:val="24"/>
        </w:rPr>
      </w:pPr>
    </w:p>
    <w:p w14:paraId="596C5970" w14:textId="620871F7" w:rsidR="00304D07" w:rsidRPr="00FC54A0" w:rsidRDefault="19CF3BD3" w:rsidP="00FC54A0">
      <w:pPr>
        <w:pStyle w:val="pf0"/>
        <w:spacing w:before="0" w:beforeAutospacing="0" w:after="120" w:afterAutospacing="0"/>
        <w:rPr>
          <w:rFonts w:ascii="Aptos" w:hAnsi="Aptos" w:cstheme="minorBidi"/>
          <w:sz w:val="22"/>
          <w:szCs w:val="22"/>
        </w:rPr>
      </w:pPr>
      <w:r w:rsidRPr="6D717258">
        <w:rPr>
          <w:rFonts w:asciiTheme="minorHAnsi" w:hAnsiTheme="minorHAnsi"/>
        </w:rPr>
        <w:t xml:space="preserve">With historical utilization of outpatient endoscopy procedures at the AMCs (among patients in the service area) routinely over 9,000, </w:t>
      </w:r>
      <w:r w:rsidR="1945FE85" w:rsidRPr="6D717258">
        <w:rPr>
          <w:rFonts w:asciiTheme="minorHAnsi" w:hAnsiTheme="minorHAnsi"/>
        </w:rPr>
        <w:t xml:space="preserve">staff requested that the Applicant </w:t>
      </w:r>
      <w:r w:rsidRPr="6D717258">
        <w:rPr>
          <w:rFonts w:asciiTheme="minorHAnsi" w:hAnsiTheme="minorHAnsi"/>
        </w:rPr>
        <w:t xml:space="preserve">provide </w:t>
      </w:r>
      <w:r w:rsidR="1945FE85" w:rsidRPr="6D717258">
        <w:rPr>
          <w:rFonts w:asciiTheme="minorHAnsi" w:hAnsiTheme="minorHAnsi"/>
        </w:rPr>
        <w:t xml:space="preserve">the </w:t>
      </w:r>
      <w:r w:rsidRPr="6D717258">
        <w:rPr>
          <w:rFonts w:asciiTheme="minorHAnsi" w:hAnsiTheme="minorHAnsi"/>
        </w:rPr>
        <w:t xml:space="preserve">methodology used to determine that three operating rooms will satisfy the Patient Panel need. </w:t>
      </w:r>
      <w:r w:rsidR="1945FE85" w:rsidRPr="6D717258">
        <w:rPr>
          <w:rFonts w:asciiTheme="minorHAnsi" w:hAnsiTheme="minorHAnsi"/>
        </w:rPr>
        <w:t xml:space="preserve">The Applicant explained that the Proposed Project is not anticipated to fully address the need </w:t>
      </w:r>
      <w:r w:rsidR="1945FE85" w:rsidRPr="00BB71AC">
        <w:rPr>
          <w:rFonts w:asciiTheme="minorHAnsi" w:eastAsiaTheme="minorHAnsi" w:hAnsiTheme="minorHAnsi" w:cstheme="minorHAnsi"/>
          <w:szCs w:val="20"/>
        </w:rPr>
        <w:t xml:space="preserve">for moving all ASC eligible patients out of the MGB academic medical centers, but the proposed ASC will provide significant new capacity at a lower cost access point for MGB patients. </w:t>
      </w:r>
      <w:r w:rsidR="00BB71AC" w:rsidRPr="00FC54A0">
        <w:rPr>
          <w:rFonts w:asciiTheme="minorHAnsi" w:eastAsiaTheme="minorHAnsi" w:hAnsiTheme="minorHAnsi" w:cstheme="minorHAnsi"/>
          <w:szCs w:val="20"/>
        </w:rPr>
        <w:t xml:space="preserve">To address the need for endoscopy by the Patient Panel, the Applicant looked for a suitable space within the </w:t>
      </w:r>
      <w:r w:rsidR="002C37E5">
        <w:rPr>
          <w:rFonts w:asciiTheme="minorHAnsi" w:eastAsiaTheme="minorHAnsi" w:hAnsiTheme="minorHAnsi" w:cstheme="minorHAnsi"/>
          <w:szCs w:val="20"/>
        </w:rPr>
        <w:t>PSA</w:t>
      </w:r>
      <w:r w:rsidR="00BB71AC" w:rsidRPr="00FC54A0">
        <w:rPr>
          <w:rFonts w:asciiTheme="minorHAnsi" w:eastAsiaTheme="minorHAnsi" w:hAnsiTheme="minorHAnsi" w:cstheme="minorHAnsi"/>
          <w:szCs w:val="20"/>
        </w:rPr>
        <w:t xml:space="preserve"> that was available for sale or lease, easily renovated into an endoscopy center, offered adequate space (e.g., one-room centers were not considered), and convenient for the Patient Panel. While the Applicant would have been interested in larger spaces, current real estate</w:t>
      </w:r>
      <w:r w:rsidR="0073744A">
        <w:rPr>
          <w:rFonts w:asciiTheme="minorHAnsi" w:eastAsiaTheme="minorHAnsi" w:hAnsiTheme="minorHAnsi" w:cstheme="minorHAnsi"/>
          <w:szCs w:val="20"/>
        </w:rPr>
        <w:t xml:space="preserve"> in the area</w:t>
      </w:r>
      <w:r w:rsidR="00BB71AC" w:rsidRPr="00FC54A0">
        <w:rPr>
          <w:rFonts w:asciiTheme="minorHAnsi" w:eastAsiaTheme="minorHAnsi" w:hAnsiTheme="minorHAnsi" w:cstheme="minorHAnsi"/>
          <w:szCs w:val="20"/>
        </w:rPr>
        <w:t xml:space="preserve"> did not allow for a new build and afforded very limited options. Rather than waiting for the perfect space, the Applicant chose a space that would significantly improve access within the most reasonable amount of time.</w:t>
      </w:r>
      <w:r w:rsidR="00BB71AC" w:rsidRPr="00507EB3">
        <w:rPr>
          <w:rFonts w:ascii="Aptos" w:eastAsiaTheme="minorHAnsi" w:hAnsi="Aptos" w:cstheme="minorBidi"/>
          <w:sz w:val="22"/>
          <w:szCs w:val="22"/>
        </w:rPr>
        <w:t xml:space="preserve"> </w:t>
      </w:r>
      <w:r w:rsidR="1945FE85" w:rsidRPr="6D717258">
        <w:rPr>
          <w:rFonts w:asciiTheme="minorHAnsi" w:hAnsiTheme="minorHAnsi"/>
        </w:rPr>
        <w:t xml:space="preserve">The location that </w:t>
      </w:r>
      <w:r w:rsidR="3E1DF189" w:rsidRPr="6D717258">
        <w:rPr>
          <w:rFonts w:asciiTheme="minorHAnsi" w:hAnsiTheme="minorHAnsi"/>
        </w:rPr>
        <w:t xml:space="preserve">the Applicant </w:t>
      </w:r>
      <w:r w:rsidR="1945FE85" w:rsidRPr="6D717258">
        <w:rPr>
          <w:rFonts w:asciiTheme="minorHAnsi" w:hAnsiTheme="minorHAnsi"/>
        </w:rPr>
        <w:t xml:space="preserve">secured for the project was a former ASC that can be renovated to meet current standards for endoscopy and its footprint is limited to accommodating 3 procedure rooms. </w:t>
      </w:r>
      <w:r w:rsidR="3E1DF189" w:rsidRPr="6D717258">
        <w:rPr>
          <w:rFonts w:asciiTheme="minorHAnsi" w:hAnsiTheme="minorHAnsi"/>
        </w:rPr>
        <w:t xml:space="preserve">The Applicant </w:t>
      </w:r>
      <w:r w:rsidR="23900D30" w:rsidRPr="6D717258">
        <w:rPr>
          <w:rFonts w:asciiTheme="minorHAnsi" w:hAnsiTheme="minorHAnsi"/>
        </w:rPr>
        <w:t>stated that d</w:t>
      </w:r>
      <w:r w:rsidR="1945FE85" w:rsidRPr="6D717258">
        <w:rPr>
          <w:rFonts w:asciiTheme="minorHAnsi" w:hAnsiTheme="minorHAnsi"/>
        </w:rPr>
        <w:t>ue to its prior use, th</w:t>
      </w:r>
      <w:r w:rsidR="23900D30" w:rsidRPr="6D717258">
        <w:rPr>
          <w:rFonts w:asciiTheme="minorHAnsi" w:hAnsiTheme="minorHAnsi"/>
        </w:rPr>
        <w:t>e</w:t>
      </w:r>
      <w:r w:rsidR="1945FE85" w:rsidRPr="6D717258">
        <w:rPr>
          <w:rFonts w:asciiTheme="minorHAnsi" w:hAnsiTheme="minorHAnsi"/>
        </w:rPr>
        <w:t xml:space="preserve"> location will allow for a lower expenditure required to renovate compared to other locations in the identified geography, making it a cost-effective option for providing needed access to endoscopy for the </w:t>
      </w:r>
      <w:r w:rsidR="4394B77B" w:rsidRPr="6D717258">
        <w:rPr>
          <w:rFonts w:asciiTheme="minorHAnsi" w:hAnsiTheme="minorHAnsi"/>
        </w:rPr>
        <w:t>P</w:t>
      </w:r>
      <w:r w:rsidR="1945FE85" w:rsidRPr="6D717258">
        <w:rPr>
          <w:rFonts w:asciiTheme="minorHAnsi" w:hAnsiTheme="minorHAnsi"/>
        </w:rPr>
        <w:t xml:space="preserve">atient </w:t>
      </w:r>
      <w:r w:rsidR="4394B77B" w:rsidRPr="6D717258">
        <w:rPr>
          <w:rFonts w:asciiTheme="minorHAnsi" w:hAnsiTheme="minorHAnsi"/>
        </w:rPr>
        <w:t>P</w:t>
      </w:r>
      <w:r w:rsidR="1945FE85" w:rsidRPr="6D717258">
        <w:rPr>
          <w:rFonts w:asciiTheme="minorHAnsi" w:hAnsiTheme="minorHAnsi"/>
        </w:rPr>
        <w:t xml:space="preserve">anel. </w:t>
      </w:r>
    </w:p>
    <w:p w14:paraId="413AAD33" w14:textId="77777777" w:rsidR="00071B40" w:rsidRPr="007776C0" w:rsidRDefault="00071B40" w:rsidP="00C316C3">
      <w:pPr>
        <w:rPr>
          <w:rFonts w:asciiTheme="minorHAnsi" w:hAnsiTheme="minorHAnsi"/>
          <w:szCs w:val="24"/>
        </w:rPr>
      </w:pPr>
      <w:bookmarkStart w:id="12" w:name="_cp_change_25"/>
    </w:p>
    <w:p w14:paraId="47C7B5E3" w14:textId="4B74FC6E" w:rsidR="00360B99" w:rsidRPr="007776C0" w:rsidRDefault="15FF66E1" w:rsidP="6D717258">
      <w:pPr>
        <w:rPr>
          <w:rFonts w:asciiTheme="minorHAnsi" w:hAnsiTheme="minorHAnsi"/>
          <w:b/>
          <w:bCs/>
        </w:rPr>
      </w:pPr>
      <w:r w:rsidRPr="007776C0">
        <w:rPr>
          <w:rFonts w:asciiTheme="minorHAnsi" w:hAnsiTheme="minorHAnsi"/>
          <w:b/>
          <w:bCs/>
        </w:rPr>
        <w:t>Staffing</w:t>
      </w:r>
    </w:p>
    <w:p w14:paraId="1BABDA8E" w14:textId="27EE2CA8" w:rsidR="000D350C" w:rsidRPr="000D350C" w:rsidRDefault="007C707D" w:rsidP="000D350C">
      <w:pPr>
        <w:rPr>
          <w:rFonts w:asciiTheme="minorHAnsi" w:hAnsiTheme="minorHAnsi"/>
          <w:szCs w:val="24"/>
        </w:rPr>
      </w:pPr>
      <w:r w:rsidRPr="007C707D">
        <w:rPr>
          <w:rFonts w:asciiTheme="minorHAnsi" w:hAnsiTheme="minorHAnsi"/>
          <w:szCs w:val="24"/>
        </w:rPr>
        <w:t xml:space="preserve">The Applicant expects to employ 14 </w:t>
      </w:r>
      <w:r w:rsidR="00D6241B" w:rsidRPr="00C354AC">
        <w:rPr>
          <w:rFonts w:asciiTheme="minorHAnsi" w:hAnsiTheme="minorHAnsi"/>
          <w:szCs w:val="24"/>
        </w:rPr>
        <w:t xml:space="preserve">full-time </w:t>
      </w:r>
      <w:r w:rsidR="00B80AD8" w:rsidRPr="00C354AC">
        <w:rPr>
          <w:rFonts w:asciiTheme="minorHAnsi" w:hAnsiTheme="minorHAnsi"/>
          <w:szCs w:val="24"/>
        </w:rPr>
        <w:t xml:space="preserve">equivalent </w:t>
      </w:r>
      <w:r w:rsidR="00B80AD8">
        <w:rPr>
          <w:rFonts w:asciiTheme="minorHAnsi" w:hAnsiTheme="minorHAnsi"/>
          <w:szCs w:val="24"/>
        </w:rPr>
        <w:t>(</w:t>
      </w:r>
      <w:r w:rsidRPr="007C707D">
        <w:rPr>
          <w:rFonts w:asciiTheme="minorHAnsi" w:hAnsiTheme="minorHAnsi"/>
          <w:szCs w:val="24"/>
        </w:rPr>
        <w:t>FTE</w:t>
      </w:r>
      <w:r w:rsidR="00D6241B">
        <w:rPr>
          <w:rFonts w:asciiTheme="minorHAnsi" w:hAnsiTheme="minorHAnsi"/>
          <w:szCs w:val="24"/>
        </w:rPr>
        <w:t>)</w:t>
      </w:r>
      <w:r w:rsidRPr="007C707D">
        <w:rPr>
          <w:rFonts w:asciiTheme="minorHAnsi" w:hAnsiTheme="minorHAnsi"/>
          <w:szCs w:val="24"/>
        </w:rPr>
        <w:t xml:space="preserve"> </w:t>
      </w:r>
      <w:r w:rsidR="006369A4">
        <w:rPr>
          <w:rFonts w:asciiTheme="minorHAnsi" w:hAnsiTheme="minorHAnsi"/>
          <w:szCs w:val="24"/>
        </w:rPr>
        <w:t>registered nurses</w:t>
      </w:r>
      <w:r w:rsidRPr="007C707D">
        <w:rPr>
          <w:rFonts w:asciiTheme="minorHAnsi" w:hAnsiTheme="minorHAnsi"/>
          <w:szCs w:val="24"/>
        </w:rPr>
        <w:t xml:space="preserve"> and 9 FTE </w:t>
      </w:r>
      <w:r w:rsidR="00C354AC">
        <w:rPr>
          <w:rFonts w:asciiTheme="minorHAnsi" w:hAnsiTheme="minorHAnsi"/>
          <w:szCs w:val="24"/>
        </w:rPr>
        <w:t xml:space="preserve">administrative </w:t>
      </w:r>
      <w:r w:rsidRPr="007C707D">
        <w:rPr>
          <w:rFonts w:asciiTheme="minorHAnsi" w:hAnsiTheme="minorHAnsi"/>
          <w:szCs w:val="24"/>
        </w:rPr>
        <w:t>staff</w:t>
      </w:r>
      <w:r>
        <w:rPr>
          <w:rFonts w:asciiTheme="minorHAnsi" w:hAnsiTheme="minorHAnsi"/>
          <w:szCs w:val="24"/>
        </w:rPr>
        <w:t xml:space="preserve"> at the new ASC. </w:t>
      </w:r>
      <w:r w:rsidR="00C354AC">
        <w:rPr>
          <w:rFonts w:asciiTheme="minorHAnsi" w:hAnsiTheme="minorHAnsi"/>
          <w:szCs w:val="24"/>
        </w:rPr>
        <w:t>T</w:t>
      </w:r>
      <w:r w:rsidR="00C354AC" w:rsidRPr="00C354AC">
        <w:rPr>
          <w:rFonts w:asciiTheme="minorHAnsi" w:hAnsiTheme="minorHAnsi"/>
          <w:szCs w:val="24"/>
        </w:rPr>
        <w:t xml:space="preserve">he ASC will also utilize </w:t>
      </w:r>
      <w:r w:rsidR="00C354AC">
        <w:rPr>
          <w:rFonts w:asciiTheme="minorHAnsi" w:hAnsiTheme="minorHAnsi"/>
          <w:szCs w:val="24"/>
        </w:rPr>
        <w:t>3</w:t>
      </w:r>
      <w:r w:rsidR="00C354AC" w:rsidRPr="00C354AC">
        <w:rPr>
          <w:rFonts w:asciiTheme="minorHAnsi" w:hAnsiTheme="minorHAnsi"/>
          <w:szCs w:val="24"/>
        </w:rPr>
        <w:t xml:space="preserve"> </w:t>
      </w:r>
      <w:r w:rsidR="00D6241B">
        <w:rPr>
          <w:rFonts w:asciiTheme="minorHAnsi" w:hAnsiTheme="minorHAnsi"/>
          <w:szCs w:val="24"/>
        </w:rPr>
        <w:t>FTE</w:t>
      </w:r>
      <w:r w:rsidR="00C354AC" w:rsidRPr="00C354AC">
        <w:rPr>
          <w:rFonts w:asciiTheme="minorHAnsi" w:hAnsiTheme="minorHAnsi"/>
          <w:szCs w:val="24"/>
        </w:rPr>
        <w:t xml:space="preserve"> GI physicians, </w:t>
      </w:r>
      <w:r w:rsidR="00C354AC">
        <w:rPr>
          <w:rFonts w:asciiTheme="minorHAnsi" w:hAnsiTheme="minorHAnsi"/>
          <w:szCs w:val="24"/>
        </w:rPr>
        <w:t>1</w:t>
      </w:r>
      <w:r w:rsidR="00C354AC" w:rsidRPr="00C354AC">
        <w:rPr>
          <w:rFonts w:asciiTheme="minorHAnsi" w:hAnsiTheme="minorHAnsi"/>
          <w:szCs w:val="24"/>
        </w:rPr>
        <w:t xml:space="preserve"> </w:t>
      </w:r>
      <w:r w:rsidR="007C4F9A">
        <w:rPr>
          <w:rFonts w:asciiTheme="minorHAnsi" w:hAnsiTheme="minorHAnsi"/>
          <w:szCs w:val="24"/>
        </w:rPr>
        <w:t>FTE</w:t>
      </w:r>
      <w:r w:rsidR="00C354AC" w:rsidRPr="00C354AC">
        <w:rPr>
          <w:rFonts w:asciiTheme="minorHAnsi" w:hAnsiTheme="minorHAnsi"/>
          <w:szCs w:val="24"/>
        </w:rPr>
        <w:t xml:space="preserve"> anesthesiologist, and 3</w:t>
      </w:r>
      <w:r w:rsidR="00C354AC">
        <w:rPr>
          <w:rFonts w:asciiTheme="minorHAnsi" w:hAnsiTheme="minorHAnsi"/>
          <w:szCs w:val="24"/>
        </w:rPr>
        <w:t xml:space="preserve"> </w:t>
      </w:r>
      <w:r w:rsidR="007C4F9A">
        <w:rPr>
          <w:rFonts w:asciiTheme="minorHAnsi" w:hAnsiTheme="minorHAnsi"/>
          <w:szCs w:val="24"/>
        </w:rPr>
        <w:t>FTE</w:t>
      </w:r>
      <w:r w:rsidR="00C354AC" w:rsidRPr="00C354AC">
        <w:rPr>
          <w:rFonts w:asciiTheme="minorHAnsi" w:hAnsiTheme="minorHAnsi"/>
          <w:szCs w:val="24"/>
        </w:rPr>
        <w:t xml:space="preserve"> Certified Registered Nurse Anesthetists. </w:t>
      </w:r>
      <w:r w:rsidR="000D350C" w:rsidRPr="000D350C">
        <w:rPr>
          <w:rFonts w:asciiTheme="minorHAnsi" w:hAnsiTheme="minorHAnsi"/>
          <w:szCs w:val="24"/>
        </w:rPr>
        <w:t xml:space="preserve">The Applicant </w:t>
      </w:r>
      <w:r w:rsidR="000D350C">
        <w:rPr>
          <w:rFonts w:asciiTheme="minorHAnsi" w:hAnsiTheme="minorHAnsi"/>
          <w:szCs w:val="24"/>
        </w:rPr>
        <w:t>stated that they will</w:t>
      </w:r>
      <w:r w:rsidR="000D350C" w:rsidRPr="000D350C">
        <w:rPr>
          <w:rFonts w:asciiTheme="minorHAnsi" w:hAnsiTheme="minorHAnsi"/>
          <w:szCs w:val="24"/>
        </w:rPr>
        <w:t xml:space="preserve"> implement a scalable approach to recruiting, hiring, and developing both management and clinical staff, ensuring the </w:t>
      </w:r>
      <w:r w:rsidR="000D350C">
        <w:rPr>
          <w:rFonts w:asciiTheme="minorHAnsi" w:hAnsiTheme="minorHAnsi"/>
          <w:szCs w:val="24"/>
        </w:rPr>
        <w:t>ASC</w:t>
      </w:r>
      <w:r w:rsidR="000D350C" w:rsidRPr="000D350C">
        <w:rPr>
          <w:rFonts w:asciiTheme="minorHAnsi" w:hAnsiTheme="minorHAnsi"/>
          <w:szCs w:val="24"/>
        </w:rPr>
        <w:t xml:space="preserve"> is staffed with high-performing professionals who support quality outcomes and operational efficiency. The Applicant </w:t>
      </w:r>
      <w:r w:rsidR="000D350C">
        <w:rPr>
          <w:rFonts w:asciiTheme="minorHAnsi" w:hAnsiTheme="minorHAnsi"/>
          <w:szCs w:val="24"/>
        </w:rPr>
        <w:t>plans to</w:t>
      </w:r>
      <w:r w:rsidR="000D350C" w:rsidRPr="000D350C">
        <w:rPr>
          <w:rFonts w:asciiTheme="minorHAnsi" w:hAnsiTheme="minorHAnsi"/>
          <w:szCs w:val="24"/>
        </w:rPr>
        <w:t xml:space="preserve"> recruit experienced ASC </w:t>
      </w:r>
      <w:r w:rsidR="00A6454E">
        <w:rPr>
          <w:rFonts w:asciiTheme="minorHAnsi" w:hAnsiTheme="minorHAnsi"/>
          <w:szCs w:val="24"/>
        </w:rPr>
        <w:t>professionals</w:t>
      </w:r>
      <w:r w:rsidR="000D350C" w:rsidRPr="000D350C">
        <w:rPr>
          <w:rFonts w:asciiTheme="minorHAnsi" w:hAnsiTheme="minorHAnsi"/>
          <w:szCs w:val="24"/>
        </w:rPr>
        <w:t xml:space="preserve"> through national talent networks and partnerships, with a focus on clinical quality, cost management, and staff retention. The </w:t>
      </w:r>
      <w:r w:rsidR="000D350C">
        <w:rPr>
          <w:rFonts w:asciiTheme="minorHAnsi" w:hAnsiTheme="minorHAnsi"/>
          <w:szCs w:val="24"/>
        </w:rPr>
        <w:t>ASC</w:t>
      </w:r>
      <w:r w:rsidR="000D350C" w:rsidRPr="000D350C">
        <w:rPr>
          <w:rFonts w:asciiTheme="minorHAnsi" w:hAnsiTheme="minorHAnsi"/>
          <w:szCs w:val="24"/>
        </w:rPr>
        <w:t xml:space="preserve">’s staff will be sourced with a focus on licensure, certifications, and ambulatory surgery experience, though training and experience will be available for some of the positions to be hired. </w:t>
      </w:r>
      <w:r w:rsidR="000D350C">
        <w:rPr>
          <w:rFonts w:asciiTheme="minorHAnsi" w:hAnsiTheme="minorHAnsi"/>
          <w:szCs w:val="24"/>
        </w:rPr>
        <w:t>The Applicant</w:t>
      </w:r>
      <w:r w:rsidR="000D350C" w:rsidRPr="000D350C">
        <w:rPr>
          <w:rFonts w:asciiTheme="minorHAnsi" w:hAnsiTheme="minorHAnsi"/>
          <w:szCs w:val="24"/>
        </w:rPr>
        <w:t xml:space="preserve"> will </w:t>
      </w:r>
      <w:r w:rsidR="000D350C">
        <w:rPr>
          <w:rFonts w:asciiTheme="minorHAnsi" w:hAnsiTheme="minorHAnsi"/>
          <w:szCs w:val="24"/>
        </w:rPr>
        <w:t xml:space="preserve">also </w:t>
      </w:r>
      <w:r w:rsidR="000D350C" w:rsidRPr="000D350C">
        <w:rPr>
          <w:rFonts w:asciiTheme="minorHAnsi" w:hAnsiTheme="minorHAnsi"/>
          <w:szCs w:val="24"/>
        </w:rPr>
        <w:t xml:space="preserve">collaborate with MGH Institute for Health Professions and other academic institutions to develop RN graduate training programs to </w:t>
      </w:r>
      <w:r w:rsidR="003A5E0B">
        <w:rPr>
          <w:rFonts w:asciiTheme="minorHAnsi" w:hAnsiTheme="minorHAnsi"/>
          <w:szCs w:val="24"/>
        </w:rPr>
        <w:t>support</w:t>
      </w:r>
      <w:r w:rsidR="003A5E0B" w:rsidRPr="000D350C">
        <w:rPr>
          <w:rFonts w:asciiTheme="minorHAnsi" w:hAnsiTheme="minorHAnsi"/>
          <w:szCs w:val="24"/>
        </w:rPr>
        <w:t xml:space="preserve"> </w:t>
      </w:r>
      <w:r w:rsidR="000D350C" w:rsidRPr="000D350C">
        <w:rPr>
          <w:rFonts w:asciiTheme="minorHAnsi" w:hAnsiTheme="minorHAnsi"/>
          <w:szCs w:val="24"/>
        </w:rPr>
        <w:t xml:space="preserve">a stable and sustainable nursing workforce across care settings. </w:t>
      </w:r>
    </w:p>
    <w:p w14:paraId="3A63AD0E" w14:textId="2AEC3BAD" w:rsidR="007C707D" w:rsidRPr="007C707D" w:rsidRDefault="007C707D" w:rsidP="007C707D">
      <w:pPr>
        <w:rPr>
          <w:rFonts w:asciiTheme="minorHAnsi" w:hAnsiTheme="minorHAnsi"/>
          <w:szCs w:val="24"/>
        </w:rPr>
      </w:pPr>
    </w:p>
    <w:bookmarkEnd w:id="12"/>
    <w:p w14:paraId="70D235A0" w14:textId="19482AF2" w:rsidR="001F6F48" w:rsidRPr="00954FBC" w:rsidRDefault="003D54ED" w:rsidP="00064E29">
      <w:pPr>
        <w:rPr>
          <w:b/>
          <w:bCs/>
          <w:i/>
          <w:iCs/>
        </w:rPr>
      </w:pPr>
      <w:r w:rsidRPr="00954FBC">
        <w:rPr>
          <w:b/>
          <w:bCs/>
          <w:i/>
          <w:iCs/>
        </w:rPr>
        <w:t>Analysis</w:t>
      </w:r>
    </w:p>
    <w:p w14:paraId="44DF6220" w14:textId="5B52FACC" w:rsidR="001F6F48" w:rsidRPr="00C85257" w:rsidRDefault="000B5840" w:rsidP="00C316C3">
      <w:pPr>
        <w:rPr>
          <w:highlight w:val="yellow"/>
        </w:rPr>
      </w:pPr>
      <w:r w:rsidRPr="00954FBC">
        <w:t xml:space="preserve">Staff finds that the Applicant has demonstrated increasing need for </w:t>
      </w:r>
      <w:r w:rsidR="00954FBC" w:rsidRPr="00954FBC">
        <w:t xml:space="preserve">a freestanding </w:t>
      </w:r>
      <w:r w:rsidRPr="00954FBC">
        <w:t xml:space="preserve">endoscopy </w:t>
      </w:r>
      <w:r w:rsidR="00954FBC" w:rsidRPr="00954FBC">
        <w:t>center in the region</w:t>
      </w:r>
      <w:r w:rsidRPr="00954FBC">
        <w:t xml:space="preserve"> through data showing an increase in </w:t>
      </w:r>
      <w:r w:rsidR="00954FBC" w:rsidRPr="00954FBC">
        <w:t>the number of patients waiting for screening</w:t>
      </w:r>
      <w:r w:rsidRPr="00954FBC">
        <w:t xml:space="preserve">, and </w:t>
      </w:r>
      <w:r w:rsidR="00954FBC" w:rsidRPr="00954FBC">
        <w:t xml:space="preserve">the projected increase in the need for </w:t>
      </w:r>
      <w:r w:rsidRPr="00954FBC">
        <w:t>services over the next five years. As a result, Staff finds that</w:t>
      </w:r>
      <w:r w:rsidR="00C5499C">
        <w:t xml:space="preserve">, with the addition of </w:t>
      </w:r>
      <w:r w:rsidR="007D4AF7">
        <w:t xml:space="preserve">Condition </w:t>
      </w:r>
      <w:r w:rsidR="00E2759A">
        <w:t>5,</w:t>
      </w:r>
      <w:r w:rsidR="00E2759A" w:rsidRPr="00954FBC">
        <w:t xml:space="preserve"> the</w:t>
      </w:r>
      <w:r w:rsidRPr="00954FBC">
        <w:t xml:space="preserve"> Proposed Project meets the requirements of Factor 1a.</w:t>
      </w:r>
    </w:p>
    <w:p w14:paraId="32D6B967" w14:textId="77777777" w:rsidR="003A685B" w:rsidRPr="00C85257" w:rsidRDefault="003A685B" w:rsidP="00C316C3">
      <w:pPr>
        <w:rPr>
          <w:highlight w:val="yellow"/>
        </w:rPr>
      </w:pPr>
    </w:p>
    <w:p w14:paraId="322BFDDE" w14:textId="77777777" w:rsidR="001963DF" w:rsidRPr="00C85257" w:rsidRDefault="001963DF" w:rsidP="00C316C3">
      <w:pPr>
        <w:rPr>
          <w:highlight w:val="yellow"/>
        </w:rPr>
      </w:pPr>
    </w:p>
    <w:p w14:paraId="0ADCD05D" w14:textId="5C692A7F" w:rsidR="00B447F3" w:rsidRPr="009634D2" w:rsidRDefault="305CB7EF" w:rsidP="28157CC0">
      <w:pPr>
        <w:pStyle w:val="Heading1"/>
        <w:ind w:left="0" w:right="403"/>
        <w:rPr>
          <w:rFonts w:asciiTheme="minorHAnsi" w:hAnsiTheme="minorHAnsi"/>
        </w:rPr>
      </w:pPr>
      <w:bookmarkStart w:id="13" w:name="_Toc218863250"/>
      <w:r w:rsidRPr="009634D2">
        <w:rPr>
          <w:rFonts w:asciiTheme="minorHAnsi" w:hAnsiTheme="minorHAnsi"/>
          <w:color w:val="42558C"/>
        </w:rPr>
        <w:t>Factor 1: b) Public health value, improved health outcomes and quality of life; assurances of health equity</w:t>
      </w:r>
      <w:bookmarkEnd w:id="13"/>
    </w:p>
    <w:p w14:paraId="26553C75" w14:textId="77777777" w:rsidR="005535AB" w:rsidRPr="009634D2" w:rsidRDefault="005535AB" w:rsidP="005535AB">
      <w:pPr>
        <w:pStyle w:val="BodyText"/>
        <w:rPr>
          <w:rFonts w:asciiTheme="minorHAnsi" w:hAnsiTheme="minorHAnsi"/>
        </w:rPr>
      </w:pPr>
      <w:r w:rsidRPr="009634D2">
        <w:rPr>
          <w:rFonts w:asciiTheme="minorHAnsi" w:hAnsiTheme="minorHAnsi"/>
        </w:rPr>
        <w:t>For this element of Factor 1, the Applicant must demonstrate that the Proposed Project adds public</w:t>
      </w:r>
    </w:p>
    <w:p w14:paraId="2EFD0954" w14:textId="77777777" w:rsidR="005535AB" w:rsidRPr="009634D2" w:rsidRDefault="005535AB" w:rsidP="005535AB">
      <w:pPr>
        <w:pStyle w:val="BodyText"/>
        <w:rPr>
          <w:rFonts w:asciiTheme="minorHAnsi" w:hAnsiTheme="minorHAnsi"/>
        </w:rPr>
      </w:pPr>
      <w:r w:rsidRPr="009634D2">
        <w:rPr>
          <w:rFonts w:asciiTheme="minorHAnsi" w:hAnsiTheme="minorHAnsi"/>
        </w:rPr>
        <w:t>health value in terms of improved health outcomes and quality of life for the Applicant’s existing</w:t>
      </w:r>
    </w:p>
    <w:p w14:paraId="0821EED9" w14:textId="3C5BB787" w:rsidR="00615885" w:rsidRPr="009634D2" w:rsidRDefault="005535AB" w:rsidP="005535AB">
      <w:pPr>
        <w:pStyle w:val="BodyText"/>
        <w:rPr>
          <w:rFonts w:asciiTheme="minorHAnsi" w:hAnsiTheme="minorHAnsi"/>
        </w:rPr>
      </w:pPr>
      <w:r w:rsidRPr="009634D2">
        <w:rPr>
          <w:rFonts w:asciiTheme="minorHAnsi" w:hAnsiTheme="minorHAnsi"/>
        </w:rPr>
        <w:t>Patient Panel, while providing reasonable assurances of health equity.</w:t>
      </w:r>
    </w:p>
    <w:p w14:paraId="7927EE6B" w14:textId="77777777" w:rsidR="0092121B" w:rsidRPr="00C85257" w:rsidRDefault="0092121B" w:rsidP="00C316C3">
      <w:pPr>
        <w:pStyle w:val="BodyText"/>
        <w:rPr>
          <w:rFonts w:asciiTheme="minorHAnsi" w:hAnsiTheme="minorHAnsi"/>
          <w:b/>
          <w:bCs/>
          <w:highlight w:val="yellow"/>
        </w:rPr>
      </w:pPr>
    </w:p>
    <w:p w14:paraId="0B47360A" w14:textId="735E9B1C" w:rsidR="00E04133" w:rsidRPr="007A534E" w:rsidRDefault="00750186" w:rsidP="00C316C3">
      <w:pPr>
        <w:pStyle w:val="BodyText"/>
        <w:rPr>
          <w:rFonts w:asciiTheme="minorHAnsi" w:hAnsiTheme="minorHAnsi"/>
          <w:b/>
          <w:bCs/>
        </w:rPr>
      </w:pPr>
      <w:r w:rsidRPr="007A534E">
        <w:rPr>
          <w:rFonts w:asciiTheme="minorHAnsi" w:hAnsiTheme="minorHAnsi"/>
          <w:b/>
          <w:bCs/>
        </w:rPr>
        <w:t>Public Health Value: Improved Outcomes and Quality of Life</w:t>
      </w:r>
    </w:p>
    <w:p w14:paraId="7E4B6709" w14:textId="3FE68F2D" w:rsidR="00127601" w:rsidRDefault="005435C6" w:rsidP="00C316C3">
      <w:pPr>
        <w:pStyle w:val="BodyText"/>
      </w:pPr>
      <w:r w:rsidRPr="007A534E">
        <w:rPr>
          <w:rFonts w:asciiTheme="minorHAnsi" w:hAnsiTheme="minorHAnsi"/>
        </w:rPr>
        <w:t xml:space="preserve">The </w:t>
      </w:r>
      <w:r w:rsidR="004361FB" w:rsidRPr="007A534E">
        <w:rPr>
          <w:rFonts w:asciiTheme="minorHAnsi" w:hAnsiTheme="minorHAnsi"/>
        </w:rPr>
        <w:t xml:space="preserve">Applicant </w:t>
      </w:r>
      <w:r w:rsidR="007A534E" w:rsidRPr="007A534E">
        <w:rPr>
          <w:rFonts w:asciiTheme="minorHAnsi" w:hAnsiTheme="minorHAnsi"/>
        </w:rPr>
        <w:t xml:space="preserve">states that the </w:t>
      </w:r>
      <w:r w:rsidRPr="007A534E">
        <w:rPr>
          <w:rFonts w:asciiTheme="minorHAnsi" w:hAnsiTheme="minorHAnsi"/>
        </w:rPr>
        <w:t xml:space="preserve">Proposed Project will increase the availability of ASC procedure rooms for </w:t>
      </w:r>
      <w:r w:rsidRPr="00220DB4">
        <w:rPr>
          <w:rFonts w:asciiTheme="minorHAnsi" w:hAnsiTheme="minorHAnsi"/>
        </w:rPr>
        <w:t>endoscopy, thereby improving timely access to essential screening, diagnostic, and treatment services.</w:t>
      </w:r>
      <w:r w:rsidRPr="00220DB4">
        <w:rPr>
          <w:rFonts w:asciiTheme="minorHAnsi" w:hAnsiTheme="minorHAnsi"/>
          <w:sz w:val="21"/>
          <w:szCs w:val="21"/>
        </w:rPr>
        <w:t xml:space="preserve"> </w:t>
      </w:r>
      <w:r w:rsidR="00A034A0" w:rsidRPr="00220DB4">
        <w:t xml:space="preserve">To demonstrate that the Proposed Project will contribute to improved health outcomes, the Applicant </w:t>
      </w:r>
      <w:r w:rsidR="00424683">
        <w:t>provided information on</w:t>
      </w:r>
      <w:r w:rsidR="002C160A">
        <w:t>:</w:t>
      </w:r>
      <w:r w:rsidR="00424683">
        <w:t xml:space="preserve"> </w:t>
      </w:r>
      <w:r w:rsidR="00544A8D">
        <w:t xml:space="preserve">A) </w:t>
      </w:r>
      <w:r w:rsidR="00424683">
        <w:t>the</w:t>
      </w:r>
      <w:r w:rsidR="00AA435D" w:rsidRPr="00220DB4">
        <w:t xml:space="preserve"> </w:t>
      </w:r>
      <w:r w:rsidR="00A034A0" w:rsidRPr="00220DB4">
        <w:t>benefits of endoscopy</w:t>
      </w:r>
      <w:r w:rsidR="007F7E12" w:rsidRPr="00220DB4">
        <w:t xml:space="preserve"> as a screening</w:t>
      </w:r>
      <w:r w:rsidR="00170989">
        <w:t xml:space="preserve">, </w:t>
      </w:r>
      <w:r w:rsidR="00544A8D">
        <w:t xml:space="preserve">B) </w:t>
      </w:r>
      <w:r w:rsidR="00170989">
        <w:t xml:space="preserve">its impact on colorectal cancer rates, and </w:t>
      </w:r>
      <w:r w:rsidR="00544A8D">
        <w:t xml:space="preserve">C) </w:t>
      </w:r>
      <w:r w:rsidR="00127601">
        <w:t>the advantages of endoscopy in the ASC setting</w:t>
      </w:r>
      <w:r w:rsidR="00427254" w:rsidRPr="00220DB4">
        <w:t>.</w:t>
      </w:r>
      <w:r w:rsidR="00A034A0" w:rsidRPr="00220DB4">
        <w:t xml:space="preserve"> </w:t>
      </w:r>
    </w:p>
    <w:p w14:paraId="3B68C31F" w14:textId="77777777" w:rsidR="00127601" w:rsidRDefault="00127601" w:rsidP="00C316C3">
      <w:pPr>
        <w:pStyle w:val="BodyText"/>
      </w:pPr>
    </w:p>
    <w:p w14:paraId="766F41E2" w14:textId="3063142B" w:rsidR="008303BC" w:rsidRPr="00FF5861" w:rsidRDefault="00544A8D" w:rsidP="00FF5861">
      <w:pPr>
        <w:pStyle w:val="BodyText"/>
        <w:ind w:left="720"/>
        <w:rPr>
          <w:b/>
          <w:bCs/>
        </w:rPr>
      </w:pPr>
      <w:r w:rsidRPr="00523EDD">
        <w:rPr>
          <w:b/>
          <w:bCs/>
        </w:rPr>
        <w:t>A) The Benefits of Endoscopy</w:t>
      </w:r>
      <w:r w:rsidR="00FF5861">
        <w:rPr>
          <w:b/>
          <w:bCs/>
        </w:rPr>
        <w:t xml:space="preserve">: </w:t>
      </w:r>
      <w:r w:rsidR="00424683" w:rsidRPr="00220DB4">
        <w:t>To demonstrate that the Proposed Project will contribute to improved health outcomes</w:t>
      </w:r>
      <w:r w:rsidR="008671E4">
        <w:t xml:space="preserve"> for the Patient Panel</w:t>
      </w:r>
      <w:r w:rsidR="00424683" w:rsidRPr="00220DB4">
        <w:t xml:space="preserve">, the Applicant </w:t>
      </w:r>
      <w:r w:rsidR="008671E4">
        <w:t>detailed</w:t>
      </w:r>
      <w:r w:rsidR="00424683" w:rsidRPr="00D612FA">
        <w:t xml:space="preserve"> the use and benefits of endoscopy as a screening, diagnostic and treatment tool. </w:t>
      </w:r>
      <w:r w:rsidR="00D612FA" w:rsidRPr="00D612FA">
        <w:rPr>
          <w:rFonts w:asciiTheme="minorHAnsi" w:hAnsiTheme="minorHAnsi"/>
        </w:rPr>
        <w:t>Endoscopy is a minimally invasive procedure that uses a thin, flexible tube with a camera, an endoscope, to examine a patient’s organs.</w:t>
      </w:r>
      <w:bookmarkStart w:id="14" w:name="_Ref207177954"/>
      <w:r w:rsidR="004A036B" w:rsidRPr="00D612FA">
        <w:rPr>
          <w:rStyle w:val="EndnoteReference"/>
          <w:rFonts w:asciiTheme="minorHAnsi" w:hAnsiTheme="minorHAnsi"/>
        </w:rPr>
        <w:endnoteReference w:id="13"/>
      </w:r>
      <w:bookmarkEnd w:id="14"/>
      <w:r w:rsidR="004A036B" w:rsidRPr="00D612FA">
        <w:rPr>
          <w:rFonts w:asciiTheme="minorHAnsi" w:hAnsiTheme="minorHAnsi"/>
        </w:rPr>
        <w:t xml:space="preserve"> </w:t>
      </w:r>
      <w:r w:rsidR="004A036B">
        <w:rPr>
          <w:rFonts w:asciiTheme="minorHAnsi" w:hAnsiTheme="minorHAnsi"/>
        </w:rPr>
        <w:t>R</w:t>
      </w:r>
      <w:r w:rsidR="004A036B" w:rsidRPr="00D612FA">
        <w:rPr>
          <w:rFonts w:asciiTheme="minorHAnsi" w:hAnsiTheme="minorHAnsi"/>
        </w:rPr>
        <w:t>outine endoscopies</w:t>
      </w:r>
      <w:r w:rsidR="004A036B">
        <w:rPr>
          <w:rFonts w:asciiTheme="minorHAnsi" w:hAnsiTheme="minorHAnsi"/>
        </w:rPr>
        <w:t xml:space="preserve"> </w:t>
      </w:r>
      <w:r w:rsidR="004A036B" w:rsidRPr="00D612FA">
        <w:rPr>
          <w:rFonts w:asciiTheme="minorHAnsi" w:hAnsiTheme="minorHAnsi"/>
        </w:rPr>
        <w:t>are widely used to screen, diagnose, and treat conditions including cancer, gastrointestinal disorders, and inflammatory diseases</w:t>
      </w:r>
      <w:r w:rsidR="004A036B" w:rsidRPr="008303BC">
        <w:rPr>
          <w:rFonts w:asciiTheme="minorHAnsi" w:hAnsiTheme="minorHAnsi"/>
        </w:rPr>
        <w:t>.</w:t>
      </w:r>
      <w:bookmarkStart w:id="15" w:name="_Ref207177939"/>
      <w:r w:rsidR="004A036B" w:rsidRPr="008303BC">
        <w:rPr>
          <w:rStyle w:val="EndnoteReference"/>
          <w:rFonts w:asciiTheme="minorHAnsi" w:hAnsiTheme="minorHAnsi"/>
        </w:rPr>
        <w:endnoteReference w:id="14"/>
      </w:r>
      <w:bookmarkEnd w:id="15"/>
      <w:r w:rsidR="004A036B" w:rsidRPr="008303BC">
        <w:rPr>
          <w:rFonts w:asciiTheme="minorHAnsi" w:hAnsiTheme="minorHAnsi"/>
        </w:rPr>
        <w:t xml:space="preserve"> </w:t>
      </w:r>
      <w:r w:rsidR="004A036B">
        <w:rPr>
          <w:rFonts w:asciiTheme="minorHAnsi" w:hAnsiTheme="minorHAnsi"/>
        </w:rPr>
        <w:t>The Applicant cited s</w:t>
      </w:r>
      <w:r w:rsidR="004A036B" w:rsidRPr="008303BC">
        <w:rPr>
          <w:rFonts w:asciiTheme="minorHAnsi" w:hAnsiTheme="minorHAnsi"/>
        </w:rPr>
        <w:t>tudies show</w:t>
      </w:r>
      <w:r w:rsidR="004A036B">
        <w:rPr>
          <w:rFonts w:asciiTheme="minorHAnsi" w:hAnsiTheme="minorHAnsi"/>
        </w:rPr>
        <w:t>ing</w:t>
      </w:r>
      <w:r w:rsidR="004A036B" w:rsidRPr="008303BC">
        <w:rPr>
          <w:rFonts w:asciiTheme="minorHAnsi" w:hAnsiTheme="minorHAnsi"/>
        </w:rPr>
        <w:t xml:space="preserve"> that a patient’s single endoscopy with biopsy can detect cancer in approximately 70% of cases, increasing to 98% if a patient has seven biopsies.</w:t>
      </w:r>
      <w:r w:rsidR="004A036B" w:rsidRPr="008303BC">
        <w:rPr>
          <w:rStyle w:val="EndnoteReference"/>
          <w:rFonts w:asciiTheme="minorHAnsi" w:hAnsiTheme="minorHAnsi"/>
        </w:rPr>
        <w:endnoteReference w:id="15"/>
      </w:r>
      <w:r w:rsidR="004A036B" w:rsidRPr="008303BC">
        <w:rPr>
          <w:rFonts w:asciiTheme="minorHAnsi" w:hAnsiTheme="minorHAnsi"/>
        </w:rPr>
        <w:t xml:space="preserve"> </w:t>
      </w:r>
      <w:r w:rsidR="00370C03" w:rsidRPr="005429CD">
        <w:rPr>
          <w:rFonts w:asciiTheme="minorHAnsi" w:hAnsiTheme="minorHAnsi"/>
        </w:rPr>
        <w:t xml:space="preserve">The </w:t>
      </w:r>
      <w:r w:rsidR="00FB3FC8">
        <w:rPr>
          <w:rFonts w:asciiTheme="minorHAnsi" w:hAnsiTheme="minorHAnsi"/>
        </w:rPr>
        <w:lastRenderedPageBreak/>
        <w:t>ASC will perform a variety of procedures</w:t>
      </w:r>
      <w:r w:rsidR="00B77626">
        <w:rPr>
          <w:rStyle w:val="FootnoteReference"/>
          <w:rFonts w:asciiTheme="minorHAnsi" w:hAnsiTheme="minorHAnsi"/>
        </w:rPr>
        <w:footnoteReference w:id="24"/>
      </w:r>
      <w:r w:rsidR="005E1989">
        <w:rPr>
          <w:rFonts w:asciiTheme="minorHAnsi" w:hAnsiTheme="minorHAnsi"/>
        </w:rPr>
        <w:t xml:space="preserve">, with an emphasis on the </w:t>
      </w:r>
      <w:r w:rsidR="00B77626">
        <w:rPr>
          <w:rFonts w:asciiTheme="minorHAnsi" w:hAnsiTheme="minorHAnsi"/>
        </w:rPr>
        <w:t>following</w:t>
      </w:r>
      <w:r w:rsidR="008303BC" w:rsidRPr="005429CD">
        <w:rPr>
          <w:rFonts w:asciiTheme="minorHAnsi" w:hAnsiTheme="minorHAnsi"/>
        </w:rPr>
        <w:t>:</w:t>
      </w:r>
    </w:p>
    <w:p w14:paraId="253F7F0D" w14:textId="17804E2D" w:rsidR="002452E1" w:rsidRPr="005429CD" w:rsidRDefault="007F646C" w:rsidP="00FF5861">
      <w:pPr>
        <w:pStyle w:val="ListParagraph"/>
        <w:widowControl/>
        <w:numPr>
          <w:ilvl w:val="0"/>
          <w:numId w:val="12"/>
        </w:numPr>
        <w:suppressAutoHyphens/>
        <w:autoSpaceDE/>
        <w:autoSpaceDN/>
        <w:spacing w:after="120"/>
        <w:ind w:left="1440"/>
        <w:rPr>
          <w:rFonts w:asciiTheme="minorHAnsi" w:hAnsiTheme="minorHAnsi"/>
          <w:szCs w:val="24"/>
        </w:rPr>
      </w:pPr>
      <w:r w:rsidRPr="007F646C">
        <w:rPr>
          <w:rFonts w:asciiTheme="minorHAnsi" w:hAnsiTheme="minorHAnsi"/>
          <w:b/>
          <w:bCs/>
          <w:szCs w:val="24"/>
        </w:rPr>
        <w:t>Esophagogastroduodenoscopies</w:t>
      </w:r>
      <w:r w:rsidRPr="005429CD">
        <w:rPr>
          <w:rFonts w:asciiTheme="minorHAnsi" w:hAnsiTheme="minorHAnsi"/>
          <w:b/>
          <w:bCs/>
          <w:szCs w:val="24"/>
        </w:rPr>
        <w:t xml:space="preserve"> </w:t>
      </w:r>
      <w:r>
        <w:rPr>
          <w:rFonts w:asciiTheme="minorHAnsi" w:hAnsiTheme="minorHAnsi"/>
          <w:b/>
          <w:bCs/>
          <w:szCs w:val="24"/>
        </w:rPr>
        <w:t>(</w:t>
      </w:r>
      <w:r w:rsidR="008303BC" w:rsidRPr="005429CD">
        <w:rPr>
          <w:rFonts w:asciiTheme="minorHAnsi" w:hAnsiTheme="minorHAnsi"/>
          <w:b/>
          <w:bCs/>
          <w:szCs w:val="24"/>
        </w:rPr>
        <w:t>EGD</w:t>
      </w:r>
      <w:r>
        <w:rPr>
          <w:rFonts w:asciiTheme="minorHAnsi" w:hAnsiTheme="minorHAnsi"/>
          <w:b/>
          <w:bCs/>
          <w:szCs w:val="24"/>
        </w:rPr>
        <w:t>)</w:t>
      </w:r>
      <w:r w:rsidR="008303BC" w:rsidRPr="005429CD">
        <w:rPr>
          <w:rFonts w:asciiTheme="minorHAnsi" w:hAnsiTheme="minorHAnsi"/>
          <w:b/>
          <w:bCs/>
          <w:szCs w:val="24"/>
        </w:rPr>
        <w:t xml:space="preserve">: </w:t>
      </w:r>
      <w:r w:rsidR="008303BC" w:rsidRPr="005429CD">
        <w:rPr>
          <w:rFonts w:asciiTheme="minorHAnsi" w:hAnsiTheme="minorHAnsi"/>
          <w:szCs w:val="24"/>
        </w:rPr>
        <w:t>Evaluates the esophagus, stomach, and duodenum to diagnose ulcers, gastrointestinal disorders, and tumors.</w:t>
      </w:r>
      <w:r w:rsidR="002452E1" w:rsidRPr="005429CD">
        <w:rPr>
          <w:rStyle w:val="EndnoteReference"/>
          <w:rFonts w:asciiTheme="minorHAnsi" w:hAnsiTheme="minorHAnsi"/>
          <w:szCs w:val="24"/>
        </w:rPr>
        <w:endnoteReference w:id="16"/>
      </w:r>
      <w:r w:rsidR="002452E1" w:rsidRPr="005429CD">
        <w:rPr>
          <w:rFonts w:asciiTheme="minorHAnsi" w:hAnsiTheme="minorHAnsi"/>
          <w:szCs w:val="24"/>
        </w:rPr>
        <w:t xml:space="preserve"> Physicians also use EGD to treat patients by draining abscesses, inserting medical devices, and removing polyps.</w:t>
      </w:r>
      <w:r w:rsidR="002452E1" w:rsidRPr="005429CD">
        <w:rPr>
          <w:rStyle w:val="EndnoteReference"/>
          <w:rFonts w:asciiTheme="minorHAnsi" w:hAnsiTheme="minorHAnsi"/>
          <w:szCs w:val="24"/>
        </w:rPr>
        <w:endnoteReference w:id="17"/>
      </w:r>
    </w:p>
    <w:p w14:paraId="26C05117" w14:textId="1FEA3D12" w:rsidR="002452E1" w:rsidRDefault="002452E1" w:rsidP="007776C0">
      <w:pPr>
        <w:pStyle w:val="ListParagraph"/>
        <w:widowControl/>
        <w:numPr>
          <w:ilvl w:val="0"/>
          <w:numId w:val="12"/>
        </w:numPr>
        <w:suppressAutoHyphens/>
        <w:autoSpaceDE/>
        <w:autoSpaceDN/>
        <w:spacing w:after="120"/>
        <w:ind w:left="1440"/>
        <w:rPr>
          <w:rFonts w:asciiTheme="minorHAnsi" w:hAnsiTheme="minorHAnsi"/>
          <w:szCs w:val="24"/>
        </w:rPr>
      </w:pPr>
      <w:r w:rsidRPr="007776C0">
        <w:rPr>
          <w:rFonts w:asciiTheme="minorHAnsi" w:hAnsiTheme="minorHAnsi"/>
          <w:b/>
          <w:bCs/>
          <w:szCs w:val="24"/>
        </w:rPr>
        <w:t xml:space="preserve">Colonoscopy: </w:t>
      </w:r>
      <w:r w:rsidRPr="007776C0">
        <w:rPr>
          <w:rFonts w:asciiTheme="minorHAnsi" w:hAnsiTheme="minorHAnsi"/>
          <w:szCs w:val="24"/>
        </w:rPr>
        <w:t xml:space="preserve">Examines the colon and rectum as a method for routine colorectal cancer screening and </w:t>
      </w:r>
      <w:proofErr w:type="gramStart"/>
      <w:r w:rsidRPr="007776C0">
        <w:rPr>
          <w:rFonts w:asciiTheme="minorHAnsi" w:hAnsiTheme="minorHAnsi"/>
          <w:szCs w:val="24"/>
        </w:rPr>
        <w:t>to investigate</w:t>
      </w:r>
      <w:proofErr w:type="gramEnd"/>
      <w:r w:rsidRPr="007776C0">
        <w:rPr>
          <w:rFonts w:asciiTheme="minorHAnsi" w:hAnsiTheme="minorHAnsi"/>
          <w:szCs w:val="24"/>
        </w:rPr>
        <w:t xml:space="preserve"> symptoms, including rectal bleeding or changes in bowel habits.</w:t>
      </w:r>
      <w:r w:rsidRPr="005429CD">
        <w:rPr>
          <w:rStyle w:val="EndnoteReference"/>
          <w:rFonts w:asciiTheme="minorHAnsi" w:hAnsiTheme="minorHAnsi"/>
          <w:szCs w:val="24"/>
        </w:rPr>
        <w:endnoteReference w:id="18"/>
      </w:r>
    </w:p>
    <w:p w14:paraId="7A98E4CD" w14:textId="77777777" w:rsidR="007776C0" w:rsidRPr="007776C0" w:rsidRDefault="007776C0" w:rsidP="007776C0">
      <w:pPr>
        <w:widowControl/>
        <w:suppressAutoHyphens/>
        <w:autoSpaceDE/>
        <w:autoSpaceDN/>
        <w:spacing w:after="120"/>
        <w:ind w:left="1080"/>
        <w:rPr>
          <w:rFonts w:asciiTheme="minorHAnsi" w:hAnsiTheme="minorHAnsi"/>
          <w:szCs w:val="24"/>
        </w:rPr>
      </w:pPr>
    </w:p>
    <w:p w14:paraId="5A35A005" w14:textId="112AC5AF" w:rsidR="00B17934" w:rsidRPr="00FF5861" w:rsidRDefault="7A3FEAA1" w:rsidP="00FF5861">
      <w:pPr>
        <w:spacing w:after="120"/>
        <w:ind w:left="720"/>
        <w:rPr>
          <w:rFonts w:asciiTheme="minorHAnsi" w:hAnsiTheme="minorHAnsi"/>
          <w:b/>
          <w:bCs/>
          <w:szCs w:val="24"/>
        </w:rPr>
      </w:pPr>
      <w:r w:rsidRPr="0009537B">
        <w:rPr>
          <w:b/>
          <w:bCs/>
        </w:rPr>
        <w:t xml:space="preserve">B) </w:t>
      </w:r>
      <w:r>
        <w:rPr>
          <w:b/>
          <w:bCs/>
        </w:rPr>
        <w:t>Endoscopy’s I</w:t>
      </w:r>
      <w:r w:rsidRPr="0009537B">
        <w:rPr>
          <w:b/>
          <w:bCs/>
        </w:rPr>
        <w:t xml:space="preserve">mpact on </w:t>
      </w:r>
      <w:r>
        <w:rPr>
          <w:b/>
          <w:bCs/>
        </w:rPr>
        <w:t>C</w:t>
      </w:r>
      <w:r w:rsidRPr="0009537B">
        <w:rPr>
          <w:b/>
          <w:bCs/>
        </w:rPr>
        <w:t xml:space="preserve">olorectal </w:t>
      </w:r>
      <w:r>
        <w:rPr>
          <w:b/>
          <w:bCs/>
        </w:rPr>
        <w:t>C</w:t>
      </w:r>
      <w:r w:rsidRPr="0009537B">
        <w:rPr>
          <w:b/>
          <w:bCs/>
        </w:rPr>
        <w:t xml:space="preserve">ancer </w:t>
      </w:r>
      <w:r>
        <w:rPr>
          <w:b/>
          <w:bCs/>
        </w:rPr>
        <w:t>R</w:t>
      </w:r>
      <w:r w:rsidRPr="0009537B">
        <w:rPr>
          <w:b/>
          <w:bCs/>
        </w:rPr>
        <w:t>ates</w:t>
      </w:r>
      <w:r w:rsidRPr="6D717258">
        <w:rPr>
          <w:rFonts w:asciiTheme="minorHAnsi" w:hAnsiTheme="minorHAnsi"/>
          <w:b/>
          <w:bCs/>
        </w:rPr>
        <w:t xml:space="preserve">: </w:t>
      </w:r>
      <w:r w:rsidRPr="6D717258">
        <w:rPr>
          <w:rFonts w:asciiTheme="minorHAnsi" w:hAnsiTheme="minorHAnsi"/>
        </w:rPr>
        <w:t xml:space="preserve">In </w:t>
      </w:r>
      <w:r w:rsidRPr="00BD7000">
        <w:rPr>
          <w:rFonts w:asciiTheme="minorHAnsi" w:hAnsiTheme="minorHAnsi"/>
          <w:szCs w:val="24"/>
        </w:rPr>
        <w:t>Massachusetts alone, 2,770 new colorectal cancer cases and 820 related deaths are expected this year.</w:t>
      </w:r>
      <w:r w:rsidR="002452E1" w:rsidRPr="00FC54A0">
        <w:rPr>
          <w:rFonts w:asciiTheme="minorHAnsi" w:hAnsiTheme="minorHAnsi"/>
          <w:szCs w:val="24"/>
          <w:vertAlign w:val="superscript"/>
        </w:rPr>
        <w:endnoteReference w:id="19"/>
      </w:r>
      <w:r w:rsidRPr="00BD7000">
        <w:rPr>
          <w:rFonts w:asciiTheme="minorHAnsi" w:hAnsiTheme="minorHAnsi"/>
          <w:szCs w:val="24"/>
          <w:vertAlign w:val="superscript"/>
        </w:rPr>
        <w:t xml:space="preserve"> </w:t>
      </w:r>
      <w:r w:rsidRPr="00BD7000">
        <w:rPr>
          <w:rFonts w:asciiTheme="minorHAnsi" w:hAnsiTheme="minorHAnsi"/>
          <w:szCs w:val="24"/>
        </w:rPr>
        <w:t>I</w:t>
      </w:r>
      <w:r w:rsidR="00CC14C5" w:rsidRPr="00BD7000">
        <w:rPr>
          <w:rFonts w:asciiTheme="minorHAnsi" w:hAnsiTheme="minorHAnsi"/>
          <w:szCs w:val="24"/>
        </w:rPr>
        <w:t xml:space="preserve">n the </w:t>
      </w:r>
      <w:r w:rsidR="002C37E5">
        <w:rPr>
          <w:rFonts w:asciiTheme="minorHAnsi" w:hAnsiTheme="minorHAnsi"/>
          <w:szCs w:val="24"/>
        </w:rPr>
        <w:t>PSA</w:t>
      </w:r>
      <w:r w:rsidR="00CC14C5" w:rsidRPr="00BD7000">
        <w:rPr>
          <w:rFonts w:asciiTheme="minorHAnsi" w:hAnsiTheme="minorHAnsi"/>
          <w:szCs w:val="24"/>
        </w:rPr>
        <w:t xml:space="preserve">, </w:t>
      </w:r>
      <w:r w:rsidR="00CC14C5" w:rsidRPr="00FC54A0">
        <w:rPr>
          <w:rFonts w:asciiTheme="minorHAnsi" w:hAnsiTheme="minorHAnsi"/>
          <w:szCs w:val="24"/>
        </w:rPr>
        <w:t>colorectal cancer was the fourth leading type of cancer mortality with 54 deaths recorded.</w:t>
      </w:r>
      <w:r w:rsidR="00CC14C5" w:rsidRPr="00FC54A0">
        <w:rPr>
          <w:rStyle w:val="EndnoteReference"/>
          <w:rFonts w:asciiTheme="minorHAnsi" w:hAnsiTheme="minorHAnsi"/>
          <w:szCs w:val="24"/>
        </w:rPr>
        <w:endnoteReference w:id="20"/>
      </w:r>
      <w:r w:rsidR="00CC14C5" w:rsidRPr="00507EB3">
        <w:rPr>
          <w:rFonts w:ascii="Aptos" w:hAnsi="Aptos"/>
        </w:rPr>
        <w:t xml:space="preserve"> </w:t>
      </w:r>
      <w:r w:rsidR="00BD7000">
        <w:rPr>
          <w:rFonts w:ascii="Aptos" w:hAnsi="Aptos"/>
        </w:rPr>
        <w:t>I</w:t>
      </w:r>
      <w:r w:rsidRPr="6D717258">
        <w:rPr>
          <w:rFonts w:asciiTheme="minorHAnsi" w:hAnsiTheme="minorHAnsi"/>
        </w:rPr>
        <w:t>mproving access to endoscopy promotes screening, early diagnosis, and treatment of colorectal cancer. While Massachusetts currently has one of the highest colorectal cancer screening rates in the United States at 70% across all populations, it is still below the national goal of 80%,</w:t>
      </w:r>
      <w:r w:rsidR="002452E1" w:rsidRPr="6D717258">
        <w:rPr>
          <w:rStyle w:val="EndnoteReference"/>
          <w:rFonts w:asciiTheme="minorHAnsi" w:hAnsiTheme="minorHAnsi"/>
        </w:rPr>
        <w:endnoteReference w:id="21"/>
      </w:r>
      <w:r w:rsidRPr="6D717258">
        <w:rPr>
          <w:rFonts w:asciiTheme="minorHAnsi" w:hAnsiTheme="minorHAnsi"/>
        </w:rPr>
        <w:t xml:space="preserve"> which, could reduce deaths from colorectal cancer by 33% by 2030.</w:t>
      </w:r>
      <w:r w:rsidR="002452E1" w:rsidRPr="6D717258">
        <w:rPr>
          <w:rStyle w:val="EndnoteReference"/>
          <w:rFonts w:asciiTheme="minorHAnsi" w:hAnsiTheme="minorHAnsi"/>
        </w:rPr>
        <w:endnoteReference w:id="22"/>
      </w:r>
      <w:r w:rsidRPr="6D717258">
        <w:rPr>
          <w:rFonts w:asciiTheme="minorHAnsi" w:hAnsiTheme="minorHAnsi"/>
          <w:sz w:val="21"/>
          <w:szCs w:val="21"/>
        </w:rPr>
        <w:t xml:space="preserve"> </w:t>
      </w:r>
      <w:r w:rsidRPr="6D717258">
        <w:rPr>
          <w:rFonts w:asciiTheme="minorHAnsi" w:hAnsiTheme="minorHAnsi"/>
        </w:rPr>
        <w:t>The Applicant notes that the five-year survival rate exceeds 90% when colorectal cancer is diagnosed at a localized stage but drops below 20% for late-stage diagnoses.</w:t>
      </w:r>
      <w:r w:rsidR="002452E1" w:rsidRPr="6D717258">
        <w:rPr>
          <w:rStyle w:val="EndnoteReference"/>
          <w:rFonts w:asciiTheme="minorHAnsi" w:hAnsiTheme="minorHAnsi"/>
        </w:rPr>
        <w:endnoteReference w:id="23"/>
      </w:r>
      <w:r w:rsidRPr="009555DC">
        <w:rPr>
          <w:rFonts w:ascii="Aptos" w:hAnsi="Aptos"/>
          <w:sz w:val="21"/>
          <w:szCs w:val="21"/>
        </w:rPr>
        <w:t xml:space="preserve"> </w:t>
      </w:r>
      <w:r w:rsidR="2D0A775D" w:rsidRPr="6D717258">
        <w:rPr>
          <w:rFonts w:asciiTheme="minorHAnsi" w:hAnsiTheme="minorHAnsi"/>
        </w:rPr>
        <w:t>With the increased need</w:t>
      </w:r>
      <w:r w:rsidR="120B6451" w:rsidRPr="6D717258">
        <w:rPr>
          <w:rFonts w:asciiTheme="minorHAnsi" w:hAnsiTheme="minorHAnsi"/>
        </w:rPr>
        <w:t xml:space="preserve"> </w:t>
      </w:r>
      <w:r w:rsidR="2D0A775D" w:rsidRPr="6D717258">
        <w:rPr>
          <w:rFonts w:asciiTheme="minorHAnsi" w:hAnsiTheme="minorHAnsi"/>
        </w:rPr>
        <w:t xml:space="preserve">for </w:t>
      </w:r>
      <w:r w:rsidR="120B6451" w:rsidRPr="6D717258">
        <w:rPr>
          <w:rFonts w:asciiTheme="minorHAnsi" w:hAnsiTheme="minorHAnsi"/>
        </w:rPr>
        <w:t>adults aged 20-75</w:t>
      </w:r>
      <w:r w:rsidR="2D0A775D" w:rsidRPr="6D717258">
        <w:rPr>
          <w:rFonts w:asciiTheme="minorHAnsi" w:hAnsiTheme="minorHAnsi"/>
        </w:rPr>
        <w:t xml:space="preserve"> to seek endoscopic services</w:t>
      </w:r>
      <w:r w:rsidR="120B6451" w:rsidRPr="6D717258">
        <w:rPr>
          <w:rFonts w:asciiTheme="minorHAnsi" w:hAnsiTheme="minorHAnsi"/>
        </w:rPr>
        <w:t xml:space="preserve">, </w:t>
      </w:r>
      <w:r w:rsidR="2D0A775D" w:rsidRPr="6D717258">
        <w:rPr>
          <w:rFonts w:asciiTheme="minorHAnsi" w:hAnsiTheme="minorHAnsi"/>
        </w:rPr>
        <w:t xml:space="preserve">the Applicant </w:t>
      </w:r>
      <w:r w:rsidR="36C30E79" w:rsidRPr="6D717258">
        <w:rPr>
          <w:rFonts w:asciiTheme="minorHAnsi" w:hAnsiTheme="minorHAnsi"/>
        </w:rPr>
        <w:t xml:space="preserve">asserts that increased </w:t>
      </w:r>
      <w:r w:rsidR="120B6451" w:rsidRPr="6D717258">
        <w:rPr>
          <w:rFonts w:asciiTheme="minorHAnsi" w:hAnsiTheme="minorHAnsi"/>
        </w:rPr>
        <w:t xml:space="preserve">endoscopy capacity </w:t>
      </w:r>
      <w:r w:rsidR="36C30E79" w:rsidRPr="6D717258">
        <w:rPr>
          <w:rFonts w:asciiTheme="minorHAnsi" w:hAnsiTheme="minorHAnsi"/>
        </w:rPr>
        <w:t xml:space="preserve">will </w:t>
      </w:r>
      <w:r w:rsidR="420858AC" w:rsidRPr="6D717258">
        <w:rPr>
          <w:rFonts w:asciiTheme="minorHAnsi" w:hAnsiTheme="minorHAnsi"/>
        </w:rPr>
        <w:t>aid in improving screening rates</w:t>
      </w:r>
      <w:r w:rsidR="6A6F28BA" w:rsidRPr="6D717258">
        <w:rPr>
          <w:rFonts w:asciiTheme="minorHAnsi" w:hAnsiTheme="minorHAnsi"/>
        </w:rPr>
        <w:t xml:space="preserve">, </w:t>
      </w:r>
      <w:r w:rsidR="77C5A6E4" w:rsidRPr="6D717258">
        <w:rPr>
          <w:rFonts w:asciiTheme="minorHAnsi" w:hAnsiTheme="minorHAnsi"/>
        </w:rPr>
        <w:t>early diagnosis, and treatment outcomes</w:t>
      </w:r>
      <w:r w:rsidR="120B6451" w:rsidRPr="6D717258">
        <w:rPr>
          <w:rFonts w:asciiTheme="minorHAnsi" w:hAnsiTheme="minorHAnsi"/>
        </w:rPr>
        <w:t>.</w:t>
      </w:r>
      <w:r w:rsidR="713B43C0" w:rsidRPr="6D717258">
        <w:rPr>
          <w:rFonts w:asciiTheme="minorHAnsi" w:hAnsiTheme="minorHAnsi"/>
        </w:rPr>
        <w:t xml:space="preserve"> </w:t>
      </w:r>
    </w:p>
    <w:p w14:paraId="43B96424" w14:textId="01AA8186" w:rsidR="00750186" w:rsidRPr="00C85257" w:rsidRDefault="00750186" w:rsidP="00C316C3">
      <w:pPr>
        <w:pStyle w:val="BodyText"/>
        <w:rPr>
          <w:highlight w:val="yellow"/>
        </w:rPr>
      </w:pPr>
    </w:p>
    <w:p w14:paraId="333A78CC" w14:textId="41E35FB7" w:rsidR="00B30153" w:rsidRPr="00B278DE" w:rsidRDefault="00B278DE" w:rsidP="00FF5861">
      <w:pPr>
        <w:pStyle w:val="BodyText"/>
        <w:ind w:left="720"/>
        <w:rPr>
          <w:b/>
          <w:bCs/>
          <w:highlight w:val="yellow"/>
        </w:rPr>
      </w:pPr>
      <w:r w:rsidRPr="00B278DE">
        <w:rPr>
          <w:b/>
          <w:bCs/>
        </w:rPr>
        <w:t xml:space="preserve">C) </w:t>
      </w:r>
      <w:r>
        <w:rPr>
          <w:b/>
          <w:bCs/>
        </w:rPr>
        <w:t>T</w:t>
      </w:r>
      <w:r w:rsidRPr="00B278DE">
        <w:rPr>
          <w:b/>
          <w:bCs/>
        </w:rPr>
        <w:t xml:space="preserve">he </w:t>
      </w:r>
      <w:r>
        <w:rPr>
          <w:b/>
          <w:bCs/>
        </w:rPr>
        <w:t>A</w:t>
      </w:r>
      <w:r w:rsidRPr="00B278DE">
        <w:rPr>
          <w:b/>
          <w:bCs/>
        </w:rPr>
        <w:t xml:space="preserve">dvantages of </w:t>
      </w:r>
      <w:r>
        <w:rPr>
          <w:b/>
          <w:bCs/>
        </w:rPr>
        <w:t>E</w:t>
      </w:r>
      <w:r w:rsidRPr="00B278DE">
        <w:rPr>
          <w:b/>
          <w:bCs/>
        </w:rPr>
        <w:t xml:space="preserve">ndoscopy in the ASC </w:t>
      </w:r>
      <w:r>
        <w:rPr>
          <w:b/>
          <w:bCs/>
        </w:rPr>
        <w:t>S</w:t>
      </w:r>
      <w:r w:rsidRPr="00B278DE">
        <w:rPr>
          <w:b/>
          <w:bCs/>
        </w:rPr>
        <w:t>etting</w:t>
      </w:r>
    </w:p>
    <w:p w14:paraId="4B4A68C0" w14:textId="3D76B330" w:rsidR="00C65CBA" w:rsidRPr="00931582" w:rsidRDefault="1DEA1443" w:rsidP="00FF5861">
      <w:pPr>
        <w:pStyle w:val="BodyText"/>
        <w:ind w:left="720"/>
      </w:pPr>
      <w:r w:rsidRPr="00931582">
        <w:t xml:space="preserve">To further demonstrate the improved health outcomes and patient experience that will result from the Proposed Project, the Applicant cited </w:t>
      </w:r>
      <w:r w:rsidR="4FB7F063">
        <w:t>studies</w:t>
      </w:r>
      <w:r w:rsidRPr="00931582">
        <w:t xml:space="preserve"> on the benefits of performing endoscopy procedures in the ASC setting, as compared to the hospital setting</w:t>
      </w:r>
      <w:r w:rsidR="10D016D8" w:rsidRPr="00931582">
        <w:t>, many resulting from</w:t>
      </w:r>
      <w:r w:rsidR="10D016D8" w:rsidRPr="00931582">
        <w:rPr>
          <w:szCs w:val="20"/>
        </w:rPr>
        <w:t xml:space="preserve"> </w:t>
      </w:r>
      <w:r w:rsidR="10D016D8" w:rsidRPr="00931582">
        <w:t>ASCs</w:t>
      </w:r>
      <w:r w:rsidR="000A1119">
        <w:t>’</w:t>
      </w:r>
      <w:r w:rsidR="10D016D8" w:rsidRPr="00931582">
        <w:t xml:space="preserve"> focus on a limited set of specialties and low-risk procedures</w:t>
      </w:r>
      <w:r w:rsidR="4E52237F">
        <w:t>.</w:t>
      </w:r>
      <w:r w:rsidR="00CB4F79">
        <w:rPr>
          <w:rStyle w:val="EndnoteReference"/>
        </w:rPr>
        <w:endnoteReference w:id="24"/>
      </w:r>
      <w:r w:rsidR="1CC42F6B" w:rsidRPr="009652B9">
        <w:rPr>
          <w:vertAlign w:val="superscript"/>
        </w:rPr>
        <w:t>,</w:t>
      </w:r>
      <w:r w:rsidR="00370D43">
        <w:rPr>
          <w:rStyle w:val="EndnoteReference"/>
        </w:rPr>
        <w:endnoteReference w:id="25"/>
      </w:r>
      <w:r w:rsidRPr="00931582">
        <w:t xml:space="preserve"> The benefits of performing GI-specific</w:t>
      </w:r>
      <w:r w:rsidR="00597360">
        <w:t xml:space="preserve"> endoscopy</w:t>
      </w:r>
      <w:r w:rsidRPr="00931582">
        <w:t xml:space="preserve"> procedures in the ASC setting </w:t>
      </w:r>
      <w:r w:rsidR="6DE3139F" w:rsidRPr="00931582">
        <w:t xml:space="preserve">as compared to the hospital setting </w:t>
      </w:r>
      <w:r w:rsidRPr="00931582">
        <w:t>include</w:t>
      </w:r>
      <w:r w:rsidR="008300D4">
        <w:t xml:space="preserve"> cost savings to payers and patients</w:t>
      </w:r>
      <w:r w:rsidR="00510A5D">
        <w:t>,</w:t>
      </w:r>
      <w:r w:rsidR="008300D4">
        <w:t xml:space="preserve"> operational efficiencies such as </w:t>
      </w:r>
      <w:r w:rsidR="00A96A44">
        <w:t xml:space="preserve">lower overhead costs, </w:t>
      </w:r>
      <w:r w:rsidR="00A92763">
        <w:t xml:space="preserve">and </w:t>
      </w:r>
      <w:r w:rsidR="00A96A44">
        <w:t>reduced wait times</w:t>
      </w:r>
      <w:r w:rsidR="00A92763">
        <w:t xml:space="preserve"> that should result in less </w:t>
      </w:r>
      <w:r w:rsidR="0001396F">
        <w:t>s</w:t>
      </w:r>
      <w:r w:rsidR="00A92763">
        <w:t>cheduling delays and cancellations.</w:t>
      </w:r>
    </w:p>
    <w:p w14:paraId="006ADC09" w14:textId="77777777" w:rsidR="00E3673D" w:rsidRPr="00931582" w:rsidRDefault="00E3673D" w:rsidP="00E3673D">
      <w:pPr>
        <w:pStyle w:val="BodyText"/>
      </w:pPr>
    </w:p>
    <w:p w14:paraId="6D1A312E" w14:textId="5416C896" w:rsidR="00176783" w:rsidRPr="002B22C3" w:rsidRDefault="00A15232" w:rsidP="00FC54A0">
      <w:pPr>
        <w:pStyle w:val="BodyText"/>
        <w:ind w:left="720"/>
      </w:pPr>
      <w:r>
        <w:t>In support of the cost saving benefits of ASCs, t</w:t>
      </w:r>
      <w:r w:rsidR="00176783" w:rsidRPr="002B22C3">
        <w:t xml:space="preserve">he Applicant cited </w:t>
      </w:r>
      <w:r>
        <w:rPr>
          <w:rFonts w:asciiTheme="minorHAnsi" w:hAnsiTheme="minorHAnsi"/>
        </w:rPr>
        <w:t>t</w:t>
      </w:r>
      <w:r w:rsidR="002B22C3" w:rsidRPr="00FC54A0">
        <w:rPr>
          <w:rFonts w:asciiTheme="minorHAnsi" w:hAnsiTheme="minorHAnsi"/>
        </w:rPr>
        <w:t xml:space="preserve">he HPC’s February 2024 </w:t>
      </w:r>
      <w:r w:rsidR="002B22C3" w:rsidRPr="00FC54A0">
        <w:rPr>
          <w:rFonts w:asciiTheme="minorHAnsi" w:hAnsiTheme="minorHAnsi"/>
          <w:i/>
          <w:iCs/>
        </w:rPr>
        <w:t>Datapoints</w:t>
      </w:r>
      <w:r w:rsidR="002B22C3" w:rsidRPr="00FC54A0">
        <w:rPr>
          <w:rFonts w:asciiTheme="minorHAnsi" w:hAnsiTheme="minorHAnsi"/>
        </w:rPr>
        <w:t xml:space="preserve"> report found that services provided in ASCs are substantially less expensive than those in HOPDs across both public and private insurers</w:t>
      </w:r>
      <w:r w:rsidR="00722B41">
        <w:rPr>
          <w:rFonts w:asciiTheme="minorHAnsi" w:hAnsiTheme="minorHAnsi"/>
        </w:rPr>
        <w:t xml:space="preserve"> </w:t>
      </w:r>
      <w:r w:rsidR="00722B41" w:rsidRPr="00D24404">
        <w:rPr>
          <w:rFonts w:asciiTheme="minorHAnsi" w:hAnsiTheme="minorHAnsi"/>
        </w:rPr>
        <w:t xml:space="preserve">due </w:t>
      </w:r>
      <w:r w:rsidR="00722B41">
        <w:rPr>
          <w:rFonts w:asciiTheme="minorHAnsi" w:hAnsiTheme="minorHAnsi"/>
        </w:rPr>
        <w:t xml:space="preserve">primarily </w:t>
      </w:r>
      <w:r w:rsidR="00722B41" w:rsidRPr="00D24404">
        <w:rPr>
          <w:rFonts w:asciiTheme="minorHAnsi" w:hAnsiTheme="minorHAnsi"/>
        </w:rPr>
        <w:t>to lower facility fees a</w:t>
      </w:r>
      <w:r w:rsidR="00722B41">
        <w:rPr>
          <w:rFonts w:asciiTheme="minorHAnsi" w:hAnsiTheme="minorHAnsi"/>
        </w:rPr>
        <w:t>t</w:t>
      </w:r>
      <w:r w:rsidR="00722B41" w:rsidRPr="00D24404">
        <w:rPr>
          <w:rFonts w:asciiTheme="minorHAnsi" w:hAnsiTheme="minorHAnsi"/>
        </w:rPr>
        <w:t xml:space="preserve"> ASCs</w:t>
      </w:r>
      <w:r w:rsidR="00722B41" w:rsidRPr="00722B41">
        <w:rPr>
          <w:rStyle w:val="FootnoteReference"/>
          <w:rFonts w:asciiTheme="minorHAnsi" w:hAnsiTheme="minorHAnsi"/>
        </w:rPr>
        <w:t xml:space="preserve"> </w:t>
      </w:r>
      <w:r w:rsidR="002B22C3" w:rsidRPr="00FC54A0">
        <w:rPr>
          <w:rStyle w:val="FootnoteReference"/>
          <w:rFonts w:asciiTheme="minorHAnsi" w:hAnsiTheme="minorHAnsi"/>
        </w:rPr>
        <w:footnoteReference w:id="25"/>
      </w:r>
      <w:r w:rsidR="002B22C3" w:rsidRPr="00FC54A0">
        <w:rPr>
          <w:rFonts w:asciiTheme="minorHAnsi" w:hAnsiTheme="minorHAnsi"/>
        </w:rPr>
        <w:t xml:space="preserve"> </w:t>
      </w:r>
      <w:r w:rsidR="00722B41">
        <w:rPr>
          <w:rFonts w:asciiTheme="minorHAnsi" w:hAnsiTheme="minorHAnsi"/>
        </w:rPr>
        <w:t>The</w:t>
      </w:r>
      <w:r>
        <w:rPr>
          <w:rFonts w:asciiTheme="minorHAnsi" w:hAnsiTheme="minorHAnsi"/>
        </w:rPr>
        <w:t xml:space="preserve"> applicant points to the </w:t>
      </w:r>
      <w:r w:rsidR="00722B41">
        <w:rPr>
          <w:rFonts w:asciiTheme="minorHAnsi" w:hAnsiTheme="minorHAnsi"/>
        </w:rPr>
        <w:t>example that</w:t>
      </w:r>
      <w:r w:rsidR="002528B2">
        <w:rPr>
          <w:rFonts w:asciiTheme="minorHAnsi" w:hAnsiTheme="minorHAnsi"/>
        </w:rPr>
        <w:t xml:space="preserve"> </w:t>
      </w:r>
      <w:r w:rsidR="002B22C3" w:rsidRPr="00FC54A0">
        <w:rPr>
          <w:rFonts w:asciiTheme="minorHAnsi" w:hAnsiTheme="minorHAnsi"/>
        </w:rPr>
        <w:t xml:space="preserve">a colonoscopy with polyp removal costs 32% </w:t>
      </w:r>
      <w:r w:rsidR="002B22C3" w:rsidRPr="00FC54A0">
        <w:rPr>
          <w:rFonts w:asciiTheme="minorHAnsi" w:hAnsiTheme="minorHAnsi"/>
        </w:rPr>
        <w:lastRenderedPageBreak/>
        <w:t>less in an ASC than in a HOPD for commercially insured patients.</w:t>
      </w:r>
      <w:r w:rsidR="002B22C3" w:rsidRPr="00FC54A0">
        <w:rPr>
          <w:rStyle w:val="FootnoteReference"/>
          <w:rFonts w:asciiTheme="minorHAnsi" w:hAnsiTheme="minorHAnsi"/>
        </w:rPr>
        <w:footnoteReference w:id="26"/>
      </w:r>
      <w:r w:rsidR="002B22C3" w:rsidRPr="00FC54A0">
        <w:rPr>
          <w:rFonts w:asciiTheme="minorHAnsi" w:hAnsiTheme="minorHAnsi"/>
        </w:rPr>
        <w:t xml:space="preserve"> For MassHealth, the same procedure is 61% less expensive in an ASC.</w:t>
      </w:r>
      <w:r w:rsidR="002B22C3" w:rsidRPr="00FC54A0">
        <w:rPr>
          <w:rStyle w:val="FootnoteReference"/>
          <w:rFonts w:asciiTheme="minorHAnsi" w:hAnsiTheme="minorHAnsi"/>
        </w:rPr>
        <w:footnoteReference w:id="27"/>
      </w:r>
      <w:r>
        <w:rPr>
          <w:rFonts w:asciiTheme="minorHAnsi" w:hAnsiTheme="minorHAnsi"/>
        </w:rPr>
        <w:t xml:space="preserve"> The cost saving benefits to payers and patients are covered in greater detail in Factor 1f and Factor 2.</w:t>
      </w:r>
    </w:p>
    <w:p w14:paraId="1DB03ED6" w14:textId="77777777" w:rsidR="00176783" w:rsidRDefault="00176783" w:rsidP="00E3673D">
      <w:pPr>
        <w:pStyle w:val="BodyText"/>
      </w:pPr>
    </w:p>
    <w:p w14:paraId="1332C299" w14:textId="3F72443A" w:rsidR="00E3673D" w:rsidRPr="00C85257" w:rsidRDefault="00E3673D" w:rsidP="00E3673D">
      <w:pPr>
        <w:pStyle w:val="BodyText"/>
        <w:rPr>
          <w:highlight w:val="yellow"/>
        </w:rPr>
      </w:pPr>
      <w:r w:rsidRPr="00F34C72">
        <w:t xml:space="preserve">The Applicant maintains that improved access to </w:t>
      </w:r>
      <w:r w:rsidR="000171EC" w:rsidRPr="00F34C72">
        <w:t xml:space="preserve">the </w:t>
      </w:r>
      <w:r w:rsidR="00DD788A">
        <w:t xml:space="preserve">outpatient </w:t>
      </w:r>
      <w:r w:rsidR="00043E6B">
        <w:t>endoscopy</w:t>
      </w:r>
      <w:r w:rsidRPr="00F34C72">
        <w:t xml:space="preserve"> in a non-hospital, lower-cost </w:t>
      </w:r>
      <w:r w:rsidR="00311321" w:rsidRPr="00F34C72">
        <w:t>setting</w:t>
      </w:r>
      <w:r w:rsidRPr="00F34C72">
        <w:t xml:space="preserve"> will improve patient </w:t>
      </w:r>
      <w:r w:rsidR="00EB41AB" w:rsidRPr="00F34C72">
        <w:t>adherence</w:t>
      </w:r>
      <w:r w:rsidRPr="00F34C72">
        <w:t xml:space="preserve"> </w:t>
      </w:r>
      <w:r w:rsidR="00912196" w:rsidRPr="00F34C72">
        <w:t xml:space="preserve">to </w:t>
      </w:r>
      <w:r w:rsidR="00F34C72" w:rsidRPr="00F34C72">
        <w:t xml:space="preserve">colorectal </w:t>
      </w:r>
      <w:r w:rsidRPr="00F34C72">
        <w:t>screening recommendations,</w:t>
      </w:r>
      <w:r w:rsidR="000856DA" w:rsidRPr="00F34C72">
        <w:t xml:space="preserve"> </w:t>
      </w:r>
      <w:r w:rsidRPr="00F34C72">
        <w:t xml:space="preserve">increase </w:t>
      </w:r>
      <w:r w:rsidR="00F34C72" w:rsidRPr="00F34C72">
        <w:t>colorectal cancer</w:t>
      </w:r>
      <w:r w:rsidRPr="00F34C72">
        <w:t xml:space="preserve"> screening rates, </w:t>
      </w:r>
      <w:r w:rsidR="00DD788A">
        <w:t>and</w:t>
      </w:r>
      <w:r w:rsidRPr="00F34C72">
        <w:t xml:space="preserve"> allow for earlier detection </w:t>
      </w:r>
      <w:r w:rsidR="000856DA" w:rsidRPr="00F34C72">
        <w:t>and</w:t>
      </w:r>
      <w:r w:rsidRPr="00F34C72">
        <w:t xml:space="preserve"> more successful treatment</w:t>
      </w:r>
      <w:r w:rsidRPr="0013580A">
        <w:rPr>
          <w:rFonts w:asciiTheme="minorHAnsi" w:hAnsiTheme="minorHAnsi"/>
        </w:rPr>
        <w:t xml:space="preserve">. </w:t>
      </w:r>
    </w:p>
    <w:p w14:paraId="1D18E750" w14:textId="77777777" w:rsidR="00E3673D" w:rsidRPr="00C85257" w:rsidRDefault="00E3673D" w:rsidP="00E3673D">
      <w:pPr>
        <w:pStyle w:val="BodyText"/>
        <w:rPr>
          <w:highlight w:val="yellow"/>
        </w:rPr>
      </w:pPr>
    </w:p>
    <w:p w14:paraId="6AA0E9AA" w14:textId="2662E667" w:rsidR="00ED10DC" w:rsidRPr="00CA333B" w:rsidRDefault="00C65CBA" w:rsidP="00C316C3">
      <w:pPr>
        <w:pStyle w:val="BodyText"/>
      </w:pPr>
      <w:r w:rsidRPr="00CA333B">
        <w:t>The Applicant proposed specific outcome measures to track the impact of the Proposed Project which staff has reviewed and will become a part of the reporting requirements. These measures are shown in Appendix I.</w:t>
      </w:r>
    </w:p>
    <w:p w14:paraId="4420B493" w14:textId="77777777" w:rsidR="00BF0259" w:rsidRPr="007D169D" w:rsidRDefault="00BF0259" w:rsidP="00C316C3">
      <w:pPr>
        <w:pStyle w:val="BodyText"/>
      </w:pPr>
    </w:p>
    <w:p w14:paraId="221DF517" w14:textId="70B789AF" w:rsidR="00B447F3" w:rsidRPr="007D169D" w:rsidRDefault="00A4110F" w:rsidP="00C316C3">
      <w:pPr>
        <w:rPr>
          <w:rFonts w:asciiTheme="minorHAnsi" w:hAnsiTheme="minorHAnsi"/>
          <w:b/>
          <w:bCs/>
          <w:i/>
          <w:iCs/>
          <w:szCs w:val="24"/>
        </w:rPr>
      </w:pPr>
      <w:r w:rsidRPr="007D169D">
        <w:rPr>
          <w:rFonts w:asciiTheme="minorHAnsi" w:hAnsiTheme="minorHAnsi"/>
          <w:b/>
          <w:bCs/>
          <w:i/>
          <w:iCs/>
          <w:szCs w:val="24"/>
        </w:rPr>
        <w:t>Analysis</w:t>
      </w:r>
      <w:r w:rsidR="00303C0E" w:rsidRPr="007D169D">
        <w:rPr>
          <w:rFonts w:asciiTheme="minorHAnsi" w:hAnsiTheme="minorHAnsi"/>
          <w:b/>
          <w:bCs/>
          <w:i/>
          <w:iCs/>
          <w:szCs w:val="24"/>
        </w:rPr>
        <w:t>:</w:t>
      </w:r>
      <w:r w:rsidR="00E04133" w:rsidRPr="007D169D">
        <w:rPr>
          <w:rFonts w:asciiTheme="minorHAnsi" w:hAnsiTheme="minorHAnsi"/>
          <w:b/>
          <w:bCs/>
          <w:i/>
          <w:iCs/>
          <w:szCs w:val="24"/>
        </w:rPr>
        <w:t xml:space="preserve"> </w:t>
      </w:r>
      <w:r w:rsidR="00303C0E" w:rsidRPr="007D169D">
        <w:rPr>
          <w:rFonts w:asciiTheme="minorHAnsi" w:hAnsiTheme="minorHAnsi"/>
          <w:b/>
          <w:bCs/>
          <w:i/>
          <w:iCs/>
          <w:szCs w:val="24"/>
        </w:rPr>
        <w:t>Improved Outcomes and Quality of Life</w:t>
      </w:r>
    </w:p>
    <w:p w14:paraId="70F91D93" w14:textId="00761E3A" w:rsidR="00924009" w:rsidRPr="00C85257" w:rsidRDefault="00333784" w:rsidP="00C316C3">
      <w:pPr>
        <w:rPr>
          <w:highlight w:val="yellow"/>
        </w:rPr>
      </w:pPr>
      <w:r w:rsidRPr="00366C6C">
        <w:t xml:space="preserve">Staff finds that </w:t>
      </w:r>
      <w:r w:rsidR="00E2759A">
        <w:t xml:space="preserve">the </w:t>
      </w:r>
      <w:r w:rsidR="00E2759A" w:rsidRPr="00A74B04">
        <w:t>addition</w:t>
      </w:r>
      <w:r w:rsidR="00DD182D" w:rsidRPr="00A74B04">
        <w:t xml:space="preserve"> of the ASC </w:t>
      </w:r>
      <w:r w:rsidR="006A6ABD" w:rsidRPr="00A74B04">
        <w:t>has the potential to i</w:t>
      </w:r>
      <w:r w:rsidR="00B17A44" w:rsidRPr="00A74B04">
        <w:t>mprove cancer screening rates</w:t>
      </w:r>
      <w:r w:rsidR="004B423D" w:rsidRPr="00A74B04">
        <w:t>, which</w:t>
      </w:r>
      <w:r w:rsidR="00E631F3" w:rsidRPr="00A74B04">
        <w:t xml:space="preserve"> </w:t>
      </w:r>
      <w:r w:rsidR="00170FE0" w:rsidRPr="00A74B04">
        <w:t>can have a significant effect on early cancer detection and improve treatment outcomes</w:t>
      </w:r>
      <w:r w:rsidR="00E631F3" w:rsidRPr="00A74B04">
        <w:t xml:space="preserve"> for the proposed Patient Panel</w:t>
      </w:r>
      <w:r w:rsidR="00170FE0" w:rsidRPr="00A74B04">
        <w:t xml:space="preserve">. </w:t>
      </w:r>
      <w:r w:rsidR="008F507E">
        <w:t>The new facility may also assis</w:t>
      </w:r>
      <w:r w:rsidR="00670462">
        <w:t>t with lowering costs</w:t>
      </w:r>
      <w:r w:rsidR="0025470A">
        <w:t>, as supported by the HPC’s 2024 report cited above.</w:t>
      </w:r>
      <w:r w:rsidR="00670462">
        <w:t xml:space="preserve"> </w:t>
      </w:r>
      <w:r w:rsidR="00253E1D" w:rsidRPr="00A74B04">
        <w:t>The Applicant will report annually to the Department on the measure</w:t>
      </w:r>
      <w:r w:rsidR="00E631F3" w:rsidRPr="00A74B04">
        <w:t>s</w:t>
      </w:r>
      <w:r w:rsidR="00253E1D" w:rsidRPr="00A74B04">
        <w:t xml:space="preserve"> listed in Appendix I. </w:t>
      </w:r>
      <w:r w:rsidRPr="00A74B04">
        <w:t>As a result, Staff finds that the Applicant meets the requirements of Public Health Value: Health Outcomes as part of Factor 1b.</w:t>
      </w:r>
    </w:p>
    <w:p w14:paraId="6733C5B7" w14:textId="77777777" w:rsidR="0054606A" w:rsidRPr="00C85257" w:rsidRDefault="0054606A" w:rsidP="00C316C3">
      <w:pPr>
        <w:rPr>
          <w:highlight w:val="yellow"/>
        </w:rPr>
      </w:pPr>
    </w:p>
    <w:p w14:paraId="7E97B2EA" w14:textId="4BFE54E0" w:rsidR="00E04133" w:rsidRPr="00161E6C" w:rsidRDefault="00303C0E" w:rsidP="00C316C3">
      <w:pPr>
        <w:rPr>
          <w:rFonts w:asciiTheme="minorHAnsi" w:hAnsiTheme="minorHAnsi"/>
          <w:b/>
          <w:bCs/>
          <w:i/>
          <w:iCs/>
          <w:szCs w:val="24"/>
        </w:rPr>
      </w:pPr>
      <w:r w:rsidRPr="00161E6C">
        <w:rPr>
          <w:rFonts w:asciiTheme="minorHAnsi" w:hAnsiTheme="minorHAnsi"/>
          <w:b/>
          <w:bCs/>
          <w:i/>
          <w:iCs/>
          <w:szCs w:val="24"/>
        </w:rPr>
        <w:t xml:space="preserve">Public Health </w:t>
      </w:r>
      <w:r w:rsidR="00F80934" w:rsidRPr="00161E6C">
        <w:rPr>
          <w:rFonts w:asciiTheme="minorHAnsi" w:hAnsiTheme="minorHAnsi"/>
          <w:b/>
          <w:bCs/>
          <w:i/>
          <w:iCs/>
          <w:szCs w:val="24"/>
        </w:rPr>
        <w:t>Value: Health</w:t>
      </w:r>
      <w:r w:rsidR="00E04133" w:rsidRPr="00161E6C">
        <w:rPr>
          <w:rFonts w:asciiTheme="minorHAnsi" w:hAnsiTheme="minorHAnsi"/>
          <w:b/>
          <w:bCs/>
          <w:i/>
          <w:iCs/>
          <w:szCs w:val="24"/>
        </w:rPr>
        <w:t xml:space="preserve"> Equity</w:t>
      </w:r>
    </w:p>
    <w:p w14:paraId="17994EC4" w14:textId="39EC7DF5" w:rsidR="0054606A" w:rsidRPr="00161E6C" w:rsidRDefault="00685826" w:rsidP="28157CC0">
      <w:pPr>
        <w:rPr>
          <w:rFonts w:cs="Calibri"/>
        </w:rPr>
      </w:pPr>
      <w:r>
        <w:rPr>
          <w:rFonts w:cs="Calibri"/>
        </w:rPr>
        <w:t>In addition to the legal</w:t>
      </w:r>
      <w:r w:rsidR="00CC7785">
        <w:rPr>
          <w:rFonts w:cs="Calibri"/>
        </w:rPr>
        <w:t xml:space="preserve"> and regulatory requirement to provide language access services at no cost to patients</w:t>
      </w:r>
      <w:r w:rsidR="005847AE">
        <w:rPr>
          <w:rFonts w:cs="Calibri"/>
        </w:rPr>
        <w:t>, the Applicant outlined its</w:t>
      </w:r>
      <w:r w:rsidR="00455E2C" w:rsidRPr="00161E6C">
        <w:rPr>
          <w:rFonts w:cs="Calibri"/>
        </w:rPr>
        <w:t xml:space="preserve"> </w:t>
      </w:r>
      <w:r w:rsidR="00E36E01">
        <w:rPr>
          <w:rFonts w:cs="Calibri"/>
        </w:rPr>
        <w:t>plan</w:t>
      </w:r>
      <w:r w:rsidR="00455E2C" w:rsidRPr="00161E6C">
        <w:rPr>
          <w:rFonts w:cs="Calibri"/>
        </w:rPr>
        <w:t xml:space="preserve"> to support equitable access to </w:t>
      </w:r>
      <w:r w:rsidR="00A45E7F" w:rsidRPr="00161E6C">
        <w:rPr>
          <w:rFonts w:cs="Calibri"/>
        </w:rPr>
        <w:t xml:space="preserve">the </w:t>
      </w:r>
      <w:r w:rsidR="00161E6C">
        <w:rPr>
          <w:rFonts w:cs="Calibri"/>
        </w:rPr>
        <w:t>endoscopy services</w:t>
      </w:r>
      <w:r w:rsidR="00686E92">
        <w:rPr>
          <w:rFonts w:cs="Calibri"/>
        </w:rPr>
        <w:t xml:space="preserve"> in the following ways:</w:t>
      </w:r>
      <w:r w:rsidR="00455E2C" w:rsidRPr="00161E6C">
        <w:rPr>
          <w:rFonts w:cs="Calibri"/>
        </w:rPr>
        <w:t xml:space="preserve"> </w:t>
      </w:r>
    </w:p>
    <w:p w14:paraId="378C08AB" w14:textId="77777777" w:rsidR="00043CAE" w:rsidRPr="00161E6C" w:rsidRDefault="00043CAE" w:rsidP="28157CC0">
      <w:pPr>
        <w:rPr>
          <w:rFonts w:cs="Calibri"/>
        </w:rPr>
      </w:pPr>
    </w:p>
    <w:p w14:paraId="7418CE9B" w14:textId="1821C4EE" w:rsidR="007973A6" w:rsidRPr="00A74B04" w:rsidRDefault="0013613C" w:rsidP="00A74B04">
      <w:pPr>
        <w:pStyle w:val="ListParagraph"/>
        <w:numPr>
          <w:ilvl w:val="2"/>
          <w:numId w:val="10"/>
        </w:numPr>
        <w:tabs>
          <w:tab w:val="left" w:pos="90"/>
          <w:tab w:val="left" w:pos="900"/>
        </w:tabs>
        <w:ind w:left="720"/>
        <w:rPr>
          <w:rFonts w:cs="Calibri"/>
          <w:b/>
          <w:bCs/>
        </w:rPr>
      </w:pPr>
      <w:r w:rsidRPr="00A74B04">
        <w:rPr>
          <w:rFonts w:cs="Calibri"/>
          <w:b/>
          <w:bCs/>
        </w:rPr>
        <w:t>Targeted Imp</w:t>
      </w:r>
      <w:r w:rsidR="00A74B04" w:rsidRPr="00A74B04">
        <w:rPr>
          <w:rFonts w:cs="Calibri"/>
          <w:b/>
          <w:bCs/>
        </w:rPr>
        <w:t>r</w:t>
      </w:r>
      <w:r w:rsidRPr="00A74B04">
        <w:rPr>
          <w:rFonts w:cs="Calibri"/>
          <w:b/>
          <w:bCs/>
        </w:rPr>
        <w:t>ovements in</w:t>
      </w:r>
      <w:r w:rsidR="00161E6C" w:rsidRPr="00A74B04">
        <w:rPr>
          <w:rFonts w:cs="Calibri"/>
          <w:b/>
          <w:bCs/>
        </w:rPr>
        <w:t xml:space="preserve"> Colorectal Cancer Screenings:</w:t>
      </w:r>
      <w:r w:rsidR="00A74B04">
        <w:rPr>
          <w:rFonts w:cs="Calibri"/>
          <w:b/>
          <w:bCs/>
        </w:rPr>
        <w:t xml:space="preserve"> </w:t>
      </w:r>
      <w:r w:rsidR="007973A6" w:rsidRPr="00A74B04">
        <w:rPr>
          <w:rFonts w:asciiTheme="minorHAnsi" w:hAnsiTheme="minorHAnsi"/>
          <w:szCs w:val="24"/>
        </w:rPr>
        <w:t xml:space="preserve">The Applicant </w:t>
      </w:r>
      <w:r w:rsidR="000F3BE8" w:rsidRPr="00A74B04">
        <w:rPr>
          <w:rFonts w:asciiTheme="minorHAnsi" w:hAnsiTheme="minorHAnsi"/>
          <w:szCs w:val="24"/>
        </w:rPr>
        <w:t>notes there are increasing</w:t>
      </w:r>
      <w:r w:rsidR="007973A6" w:rsidRPr="00A74B04">
        <w:rPr>
          <w:rFonts w:asciiTheme="minorHAnsi" w:hAnsiTheme="minorHAnsi"/>
          <w:szCs w:val="24"/>
        </w:rPr>
        <w:t xml:space="preserve"> variations in colorectal cancer screening across neighborhoods,</w:t>
      </w:r>
      <w:r w:rsidR="000F3BE8" w:rsidRPr="00A74B04">
        <w:rPr>
          <w:rFonts w:asciiTheme="minorHAnsi" w:hAnsiTheme="minorHAnsi"/>
          <w:szCs w:val="24"/>
        </w:rPr>
        <w:t xml:space="preserve"> which led to </w:t>
      </w:r>
      <w:r w:rsidR="007973A6" w:rsidRPr="00A74B04">
        <w:rPr>
          <w:rFonts w:asciiTheme="minorHAnsi" w:hAnsiTheme="minorHAnsi"/>
          <w:szCs w:val="24"/>
        </w:rPr>
        <w:t>MGB implement</w:t>
      </w:r>
      <w:r w:rsidR="002D58AD" w:rsidRPr="00A74B04">
        <w:rPr>
          <w:rFonts w:asciiTheme="minorHAnsi" w:hAnsiTheme="minorHAnsi"/>
          <w:szCs w:val="24"/>
        </w:rPr>
        <w:t>ing</w:t>
      </w:r>
      <w:r w:rsidR="007973A6" w:rsidRPr="00A74B04">
        <w:rPr>
          <w:rFonts w:asciiTheme="minorHAnsi" w:hAnsiTheme="minorHAnsi"/>
          <w:szCs w:val="24"/>
        </w:rPr>
        <w:t xml:space="preserve"> a system-wide community health strategy to improve screening. As part of MGB’s Community Health strategy, MGB launched a Colorectal Cancer Screening Campaign in June 2025</w:t>
      </w:r>
      <w:r w:rsidR="002D58AD" w:rsidRPr="00A74B04">
        <w:rPr>
          <w:rFonts w:asciiTheme="minorHAnsi" w:hAnsiTheme="minorHAnsi"/>
          <w:szCs w:val="24"/>
        </w:rPr>
        <w:t xml:space="preserve"> which</w:t>
      </w:r>
      <w:r w:rsidR="007973A6" w:rsidRPr="00A74B04">
        <w:rPr>
          <w:rFonts w:asciiTheme="minorHAnsi" w:hAnsiTheme="minorHAnsi"/>
          <w:szCs w:val="24"/>
        </w:rPr>
        <w:t xml:space="preserve"> aims to eliminate variations in colorectal cancer outcomes by increasing colorectal cancer screening for residents in </w:t>
      </w:r>
      <w:r w:rsidR="00055688" w:rsidRPr="00A74B04">
        <w:rPr>
          <w:rFonts w:asciiTheme="minorHAnsi" w:hAnsiTheme="minorHAnsi"/>
          <w:szCs w:val="24"/>
        </w:rPr>
        <w:t>specific</w:t>
      </w:r>
      <w:r w:rsidR="00CC6FF4" w:rsidRPr="00A74B04">
        <w:rPr>
          <w:rFonts w:asciiTheme="minorHAnsi" w:hAnsiTheme="minorHAnsi"/>
          <w:szCs w:val="24"/>
        </w:rPr>
        <w:t xml:space="preserve"> neighborhoods, including</w:t>
      </w:r>
      <w:r w:rsidR="0021003C" w:rsidRPr="00A74B04">
        <w:rPr>
          <w:rFonts w:asciiTheme="minorHAnsi" w:hAnsiTheme="minorHAnsi"/>
          <w:szCs w:val="24"/>
        </w:rPr>
        <w:t xml:space="preserve"> </w:t>
      </w:r>
      <w:r w:rsidR="007973A6" w:rsidRPr="00A74B04">
        <w:rPr>
          <w:rFonts w:asciiTheme="minorHAnsi" w:hAnsiTheme="minorHAnsi"/>
          <w:szCs w:val="24"/>
        </w:rPr>
        <w:t>Chelsea, Revere, Dorchester, Hyde Park, Mattapan, Jamaica Plain, and Chinatown</w:t>
      </w:r>
      <w:r w:rsidR="00E3359E" w:rsidRPr="00A74B04">
        <w:rPr>
          <w:rFonts w:asciiTheme="minorHAnsi" w:hAnsiTheme="minorHAnsi"/>
          <w:szCs w:val="24"/>
        </w:rPr>
        <w:t xml:space="preserve">, which are all part of the </w:t>
      </w:r>
      <w:r w:rsidR="002C37E5">
        <w:rPr>
          <w:rFonts w:asciiTheme="minorHAnsi" w:hAnsiTheme="minorHAnsi"/>
          <w:szCs w:val="24"/>
        </w:rPr>
        <w:t>PSA</w:t>
      </w:r>
      <w:r w:rsidR="007973A6" w:rsidRPr="00A74B04">
        <w:rPr>
          <w:rFonts w:asciiTheme="minorHAnsi" w:hAnsiTheme="minorHAnsi"/>
          <w:szCs w:val="24"/>
        </w:rPr>
        <w:t xml:space="preserve">. This public health education campaign includes targeted primary care and community health initiatives, as well as a multi-channel, multilingual communications campaign. </w:t>
      </w:r>
      <w:r w:rsidR="00AF4A90" w:rsidRPr="00A74B04">
        <w:rPr>
          <w:rFonts w:asciiTheme="minorHAnsi" w:hAnsiTheme="minorHAnsi"/>
          <w:szCs w:val="24"/>
        </w:rPr>
        <w:t xml:space="preserve"> The Proposed Project will provide </w:t>
      </w:r>
      <w:r w:rsidR="00616570" w:rsidRPr="00A74B04">
        <w:rPr>
          <w:rFonts w:asciiTheme="minorHAnsi" w:hAnsiTheme="minorHAnsi"/>
          <w:szCs w:val="24"/>
        </w:rPr>
        <w:t xml:space="preserve">this targeted population with </w:t>
      </w:r>
      <w:r w:rsidR="00B430CE" w:rsidRPr="00A74B04">
        <w:rPr>
          <w:rFonts w:asciiTheme="minorHAnsi" w:hAnsiTheme="minorHAnsi"/>
          <w:szCs w:val="24"/>
        </w:rPr>
        <w:t>a non-hospital option for screenings.</w:t>
      </w:r>
    </w:p>
    <w:p w14:paraId="6689C395" w14:textId="77777777" w:rsidR="00B23AB8" w:rsidRDefault="00B23AB8" w:rsidP="0025394F">
      <w:pPr>
        <w:tabs>
          <w:tab w:val="left" w:pos="90"/>
        </w:tabs>
        <w:rPr>
          <w:rFonts w:asciiTheme="minorHAnsi" w:hAnsiTheme="minorHAnsi"/>
          <w:szCs w:val="24"/>
        </w:rPr>
      </w:pPr>
    </w:p>
    <w:p w14:paraId="60F450DA" w14:textId="4F264C83" w:rsidR="00161E6C" w:rsidRPr="00A74B04" w:rsidRDefault="002C01B3" w:rsidP="00A74B04">
      <w:pPr>
        <w:pStyle w:val="ListParagraph"/>
        <w:numPr>
          <w:ilvl w:val="2"/>
          <w:numId w:val="10"/>
        </w:numPr>
        <w:tabs>
          <w:tab w:val="left" w:pos="90"/>
          <w:tab w:val="left" w:pos="900"/>
        </w:tabs>
        <w:ind w:left="720"/>
        <w:rPr>
          <w:rFonts w:cs="Calibri"/>
          <w:b/>
          <w:bCs/>
        </w:rPr>
      </w:pPr>
      <w:r w:rsidRPr="00A74B04">
        <w:rPr>
          <w:rFonts w:cs="Calibri"/>
          <w:b/>
          <w:bCs/>
        </w:rPr>
        <w:t>Reducing Barriers to Screening:</w:t>
      </w:r>
      <w:r w:rsidR="00A74B04">
        <w:rPr>
          <w:rFonts w:cs="Calibri"/>
          <w:b/>
          <w:bCs/>
        </w:rPr>
        <w:t xml:space="preserve"> </w:t>
      </w:r>
      <w:r w:rsidR="00B23AB8" w:rsidRPr="00A74B04">
        <w:rPr>
          <w:rFonts w:asciiTheme="minorHAnsi" w:hAnsiTheme="minorHAnsi"/>
          <w:szCs w:val="24"/>
        </w:rPr>
        <w:t xml:space="preserve">Within primary care, MGB is standardizing colonoscopy prep instructions and translating materials into the top six patient languages spoken across MGB: Spanish, Portuguese, Haitian-Creole, Mandarin, Arabic, and Russian. Additionally, MGB identified four primary care clinics with higher variations in colorectal cancer screening to receive targeted support from three bilingual navigators. These navigators provide support </w:t>
      </w:r>
      <w:r w:rsidR="00B23AB8" w:rsidRPr="00A74B04">
        <w:rPr>
          <w:rFonts w:asciiTheme="minorHAnsi" w:hAnsiTheme="minorHAnsi"/>
          <w:szCs w:val="24"/>
        </w:rPr>
        <w:lastRenderedPageBreak/>
        <w:t xml:space="preserve">to help patients overcome barriers that have historically prevented patients from completing their recommended colorectal cancer screening, including outreach to patients who are overdue, direct education with translated materials, assistance with scheduling, reminders, transportation, and preparation instructions. </w:t>
      </w:r>
    </w:p>
    <w:p w14:paraId="5340115B" w14:textId="77777777" w:rsidR="00385621" w:rsidRPr="002D58AD" w:rsidRDefault="00385621" w:rsidP="0025394F">
      <w:pPr>
        <w:tabs>
          <w:tab w:val="left" w:pos="90"/>
        </w:tabs>
        <w:rPr>
          <w:rFonts w:cs="Calibri"/>
        </w:rPr>
      </w:pPr>
    </w:p>
    <w:p w14:paraId="4EE6AD17" w14:textId="1C755280" w:rsidR="001768CD" w:rsidRPr="00C85257" w:rsidRDefault="001768CD" w:rsidP="00C316C3">
      <w:pPr>
        <w:rPr>
          <w:rFonts w:cs="Calibri"/>
          <w:szCs w:val="24"/>
          <w:highlight w:val="yellow"/>
        </w:rPr>
      </w:pPr>
    </w:p>
    <w:p w14:paraId="4FAE34C0" w14:textId="48BB7AB2" w:rsidR="00DC1DA7" w:rsidRPr="00BE4309" w:rsidRDefault="00E04133" w:rsidP="00C316C3">
      <w:pPr>
        <w:rPr>
          <w:rFonts w:asciiTheme="minorHAnsi" w:hAnsiTheme="minorHAnsi"/>
          <w:b/>
          <w:bCs/>
          <w:i/>
          <w:iCs/>
          <w:szCs w:val="24"/>
        </w:rPr>
      </w:pPr>
      <w:r w:rsidRPr="00BE4309">
        <w:rPr>
          <w:rFonts w:asciiTheme="minorHAnsi" w:hAnsiTheme="minorHAnsi"/>
          <w:b/>
          <w:bCs/>
          <w:i/>
          <w:iCs/>
          <w:szCs w:val="24"/>
        </w:rPr>
        <w:t>Analysis</w:t>
      </w:r>
      <w:r w:rsidR="00303C0E" w:rsidRPr="00BE4309">
        <w:rPr>
          <w:rFonts w:asciiTheme="minorHAnsi" w:hAnsiTheme="minorHAnsi"/>
          <w:b/>
          <w:bCs/>
          <w:i/>
          <w:iCs/>
          <w:szCs w:val="24"/>
        </w:rPr>
        <w:t>:</w:t>
      </w:r>
      <w:r w:rsidRPr="00BE4309">
        <w:rPr>
          <w:rFonts w:asciiTheme="minorHAnsi" w:hAnsiTheme="minorHAnsi"/>
          <w:b/>
          <w:bCs/>
          <w:i/>
          <w:iCs/>
          <w:szCs w:val="24"/>
        </w:rPr>
        <w:t xml:space="preserve"> Health Equity </w:t>
      </w:r>
    </w:p>
    <w:p w14:paraId="6923BEF4" w14:textId="019E3FB8" w:rsidR="00F90CBB" w:rsidRPr="00BE4309" w:rsidRDefault="00F27F9D" w:rsidP="00C316C3">
      <w:pPr>
        <w:rPr>
          <w:rFonts w:asciiTheme="minorHAnsi" w:hAnsiTheme="minorHAnsi"/>
          <w:szCs w:val="24"/>
        </w:rPr>
      </w:pPr>
      <w:bookmarkStart w:id="16" w:name="Factor_1:_c)_Efficiency,_Continuity_of_C"/>
      <w:bookmarkEnd w:id="16"/>
      <w:r w:rsidRPr="00BE4309">
        <w:rPr>
          <w:rFonts w:asciiTheme="minorHAnsi" w:hAnsiTheme="minorHAnsi"/>
          <w:szCs w:val="24"/>
        </w:rPr>
        <w:t xml:space="preserve">Staff finds that the Proposed Project will increase access </w:t>
      </w:r>
      <w:r w:rsidR="00475AA7">
        <w:rPr>
          <w:rFonts w:asciiTheme="minorHAnsi" w:hAnsiTheme="minorHAnsi"/>
          <w:szCs w:val="24"/>
        </w:rPr>
        <w:t xml:space="preserve">and reduce barriers </w:t>
      </w:r>
      <w:r w:rsidRPr="00BE4309">
        <w:rPr>
          <w:rFonts w:asciiTheme="minorHAnsi" w:hAnsiTheme="minorHAnsi"/>
          <w:szCs w:val="24"/>
        </w:rPr>
        <w:t>to lower cost endoscopy</w:t>
      </w:r>
      <w:r w:rsidR="00B21A72" w:rsidRPr="00BE4309">
        <w:rPr>
          <w:rFonts w:asciiTheme="minorHAnsi" w:hAnsiTheme="minorHAnsi"/>
          <w:szCs w:val="24"/>
        </w:rPr>
        <w:t xml:space="preserve"> services</w:t>
      </w:r>
      <w:r w:rsidRPr="00BE4309">
        <w:rPr>
          <w:rFonts w:asciiTheme="minorHAnsi" w:hAnsiTheme="minorHAnsi"/>
          <w:szCs w:val="24"/>
        </w:rPr>
        <w:t xml:space="preserve"> in the </w:t>
      </w:r>
      <w:r w:rsidR="002C37E5">
        <w:rPr>
          <w:rFonts w:asciiTheme="minorHAnsi" w:hAnsiTheme="minorHAnsi"/>
          <w:szCs w:val="24"/>
        </w:rPr>
        <w:t>PSA</w:t>
      </w:r>
      <w:r w:rsidR="000E074B" w:rsidRPr="00BE4309">
        <w:rPr>
          <w:rFonts w:asciiTheme="minorHAnsi" w:hAnsiTheme="minorHAnsi"/>
          <w:szCs w:val="24"/>
        </w:rPr>
        <w:t xml:space="preserve">, which includes neighborhoods that have </w:t>
      </w:r>
      <w:r w:rsidR="00BE4309" w:rsidRPr="00BE4309">
        <w:rPr>
          <w:rFonts w:asciiTheme="minorHAnsi" w:hAnsiTheme="minorHAnsi"/>
          <w:szCs w:val="24"/>
        </w:rPr>
        <w:t xml:space="preserve">been identified as having </w:t>
      </w:r>
      <w:r w:rsidR="00BE4309" w:rsidRPr="00A74B04">
        <w:rPr>
          <w:rFonts w:asciiTheme="minorHAnsi" w:hAnsiTheme="minorHAnsi"/>
          <w:szCs w:val="24"/>
        </w:rPr>
        <w:t>variations in colorectal cancer outcomes</w:t>
      </w:r>
      <w:r w:rsidRPr="00BE4309">
        <w:rPr>
          <w:rFonts w:asciiTheme="minorHAnsi" w:hAnsiTheme="minorHAnsi"/>
          <w:szCs w:val="24"/>
        </w:rPr>
        <w:t xml:space="preserve">. </w:t>
      </w:r>
      <w:r w:rsidR="00C73FDB" w:rsidRPr="00BE4309">
        <w:t xml:space="preserve">Staff finds that the Applicant has demonstrated reasonable efforts to provide equitable access to </w:t>
      </w:r>
      <w:r w:rsidR="00BE4309" w:rsidRPr="00BE4309">
        <w:t>endoscopy</w:t>
      </w:r>
      <w:r w:rsidR="00C73FDB" w:rsidRPr="00BE4309">
        <w:t xml:space="preserve"> services. As a result, Staff finds that</w:t>
      </w:r>
      <w:r w:rsidR="004201E9">
        <w:t>, with the addition of Conditions 3 and 4,</w:t>
      </w:r>
      <w:r w:rsidR="00C73FDB" w:rsidRPr="00BE4309">
        <w:t xml:space="preserve"> the Applicant meets the requirements of the Public Health Value: Health Equity part of Factor 1b.</w:t>
      </w:r>
      <w:r w:rsidR="00C73FDB" w:rsidRPr="00BE4309">
        <w:rPr>
          <w:rFonts w:asciiTheme="minorHAnsi" w:hAnsiTheme="minorHAnsi"/>
          <w:szCs w:val="24"/>
        </w:rPr>
        <w:t xml:space="preserve"> </w:t>
      </w:r>
    </w:p>
    <w:p w14:paraId="364FCEC6" w14:textId="77777777" w:rsidR="00EF0836" w:rsidRPr="00C2347B" w:rsidRDefault="00EF0836" w:rsidP="00C316C3"/>
    <w:p w14:paraId="4D6A5DD0" w14:textId="18456510" w:rsidR="006B4691" w:rsidRPr="00C2347B" w:rsidRDefault="00A4110F" w:rsidP="00C316C3">
      <w:pPr>
        <w:pStyle w:val="Heading1"/>
        <w:ind w:left="0"/>
        <w:rPr>
          <w:rFonts w:asciiTheme="minorHAnsi" w:hAnsiTheme="minorHAnsi"/>
          <w:color w:val="42558C"/>
        </w:rPr>
      </w:pPr>
      <w:bookmarkStart w:id="17" w:name="_Toc218863251"/>
      <w:r w:rsidRPr="00C2347B">
        <w:rPr>
          <w:rFonts w:asciiTheme="minorHAnsi" w:hAnsiTheme="minorHAnsi"/>
          <w:color w:val="42558C"/>
        </w:rPr>
        <w:t>Factor 1: c) Efficiency, Continuity of Care, Coordination of Care</w:t>
      </w:r>
      <w:bookmarkEnd w:id="17"/>
    </w:p>
    <w:p w14:paraId="217D5144" w14:textId="1AAE589C" w:rsidR="00B36F42" w:rsidRPr="00C85257" w:rsidRDefault="49701A81" w:rsidP="00C316C3">
      <w:pPr>
        <w:rPr>
          <w:highlight w:val="yellow"/>
        </w:rPr>
      </w:pPr>
      <w:r w:rsidRPr="00C2347B">
        <w:t xml:space="preserve">The Applicant states that the Proposed Project will operate efficiently and effectively by furthering the continuity and coordination of care for the </w:t>
      </w:r>
      <w:r w:rsidRPr="00024E1F">
        <w:t>Applicant’s Patient Panel.</w:t>
      </w:r>
      <w:r w:rsidR="62BC9E5D" w:rsidRPr="00024E1F">
        <w:t xml:space="preserve"> The Applicant states that its care coordination </w:t>
      </w:r>
      <w:r w:rsidR="00791F15" w:rsidRPr="00024E1F">
        <w:t xml:space="preserve">systems </w:t>
      </w:r>
      <w:r w:rsidR="00A9100C" w:rsidRPr="00024E1F">
        <w:t>support</w:t>
      </w:r>
      <w:r w:rsidR="62BC9E5D" w:rsidRPr="00024E1F">
        <w:t xml:space="preserve"> </w:t>
      </w:r>
      <w:r w:rsidR="00791F15" w:rsidRPr="00024E1F">
        <w:t>e</w:t>
      </w:r>
      <w:r w:rsidR="62BC9E5D" w:rsidRPr="00024E1F">
        <w:t>ffective communicat</w:t>
      </w:r>
      <w:r w:rsidR="00791F15" w:rsidRPr="00024E1F">
        <w:t xml:space="preserve">ion between </w:t>
      </w:r>
      <w:r w:rsidR="62BC9E5D" w:rsidRPr="00024E1F">
        <w:t>providers and</w:t>
      </w:r>
      <w:r w:rsidR="62BC9E5D" w:rsidRPr="00024E1F" w:rsidDel="00791F15">
        <w:t xml:space="preserve"> </w:t>
      </w:r>
      <w:r w:rsidR="00272D07" w:rsidRPr="00024E1F">
        <w:t>connection to</w:t>
      </w:r>
      <w:r w:rsidR="62BC9E5D" w:rsidRPr="00024E1F">
        <w:t xml:space="preserve"> other </w:t>
      </w:r>
      <w:r w:rsidR="00791F15" w:rsidRPr="00024E1F">
        <w:t xml:space="preserve">appropriate </w:t>
      </w:r>
      <w:r w:rsidR="62BC9E5D" w:rsidRPr="00024E1F">
        <w:t>services outside of the ASC.</w:t>
      </w:r>
    </w:p>
    <w:p w14:paraId="560BD714" w14:textId="77777777" w:rsidR="00910780" w:rsidRDefault="00910780" w:rsidP="00C316C3">
      <w:pPr>
        <w:rPr>
          <w:highlight w:val="yellow"/>
        </w:rPr>
      </w:pPr>
    </w:p>
    <w:p w14:paraId="759BC150" w14:textId="0CE40BD9" w:rsidR="00E07D82" w:rsidRPr="0025394F" w:rsidRDefault="00E07D82" w:rsidP="00C3436A">
      <w:pPr>
        <w:pStyle w:val="ListParagraph"/>
        <w:numPr>
          <w:ilvl w:val="0"/>
          <w:numId w:val="19"/>
        </w:numPr>
      </w:pPr>
      <w:r w:rsidRPr="00C3436A">
        <w:rPr>
          <w:b/>
          <w:bCs/>
        </w:rPr>
        <w:t>Electronic Medical Record (EMR)</w:t>
      </w:r>
      <w:r w:rsidRPr="001A764A">
        <w:t xml:space="preserve">: </w:t>
      </w:r>
      <w:r w:rsidR="001A764A" w:rsidRPr="00C3436A">
        <w:rPr>
          <w:rFonts w:asciiTheme="minorHAnsi" w:hAnsiTheme="minorHAnsi"/>
          <w:bCs/>
          <w:szCs w:val="24"/>
        </w:rPr>
        <w:t xml:space="preserve">The proposed ASC will implement an electronic medical record system and an endoscopy documentation platform to support comprehensive physician documentation and the seamless sharing of patient data. </w:t>
      </w:r>
      <w:r w:rsidR="00A15937">
        <w:rPr>
          <w:rFonts w:asciiTheme="minorHAnsi" w:hAnsiTheme="minorHAnsi"/>
          <w:bCs/>
          <w:szCs w:val="24"/>
        </w:rPr>
        <w:t>The ASC will use Epic</w:t>
      </w:r>
      <w:r w:rsidR="003C4534">
        <w:rPr>
          <w:rFonts w:asciiTheme="minorHAnsi" w:hAnsiTheme="minorHAnsi"/>
          <w:bCs/>
          <w:szCs w:val="24"/>
        </w:rPr>
        <w:t xml:space="preserve"> for its EMR, a system shared across MGB facilities. </w:t>
      </w:r>
      <w:r w:rsidR="001A764A" w:rsidRPr="00C3436A">
        <w:rPr>
          <w:rFonts w:asciiTheme="minorHAnsi" w:hAnsiTheme="minorHAnsi"/>
          <w:bCs/>
          <w:szCs w:val="24"/>
        </w:rPr>
        <w:t xml:space="preserve">These systems will enable data exchange between providers and reporting capabilities. </w:t>
      </w:r>
      <w:r w:rsidR="00AB3048" w:rsidRPr="00C3436A">
        <w:rPr>
          <w:rFonts w:asciiTheme="minorHAnsi" w:hAnsiTheme="minorHAnsi"/>
          <w:bCs/>
          <w:szCs w:val="24"/>
        </w:rPr>
        <w:t>Given that all patients at the ASC will be part of</w:t>
      </w:r>
      <w:r w:rsidR="001A764A" w:rsidRPr="00C3436A">
        <w:rPr>
          <w:rFonts w:asciiTheme="minorHAnsi" w:hAnsiTheme="minorHAnsi"/>
          <w:bCs/>
          <w:szCs w:val="24"/>
        </w:rPr>
        <w:t xml:space="preserve"> the MGB health system, integration with these platforms will </w:t>
      </w:r>
      <w:r w:rsidR="0053796A">
        <w:rPr>
          <w:rFonts w:asciiTheme="minorHAnsi" w:hAnsiTheme="minorHAnsi"/>
          <w:bCs/>
          <w:szCs w:val="24"/>
        </w:rPr>
        <w:t xml:space="preserve">support the flow of </w:t>
      </w:r>
      <w:r w:rsidR="001A764A" w:rsidRPr="00C3436A">
        <w:rPr>
          <w:rFonts w:asciiTheme="minorHAnsi" w:hAnsiTheme="minorHAnsi"/>
          <w:bCs/>
          <w:szCs w:val="24"/>
        </w:rPr>
        <w:t xml:space="preserve">clinical documentation directly into the broader health system. This will support timely review by care teams, enhance communication among stakeholders, and provide patients with access to relevant health information.   </w:t>
      </w:r>
    </w:p>
    <w:p w14:paraId="45446B05" w14:textId="77777777" w:rsidR="001A764A" w:rsidRPr="00C85257" w:rsidRDefault="001A764A" w:rsidP="00C316C3">
      <w:pPr>
        <w:rPr>
          <w:highlight w:val="yellow"/>
        </w:rPr>
      </w:pPr>
    </w:p>
    <w:p w14:paraId="15546072" w14:textId="418B5E19" w:rsidR="008F28C1" w:rsidRDefault="005A2135" w:rsidP="007776C0">
      <w:pPr>
        <w:pStyle w:val="ListParagraph"/>
        <w:numPr>
          <w:ilvl w:val="0"/>
          <w:numId w:val="19"/>
        </w:numPr>
        <w:rPr>
          <w:rFonts w:asciiTheme="minorHAnsi" w:hAnsiTheme="minorHAnsi" w:cs="Segoe UI"/>
          <w:szCs w:val="24"/>
        </w:rPr>
      </w:pPr>
      <w:r w:rsidRPr="003C6F36">
        <w:rPr>
          <w:b/>
          <w:bCs/>
        </w:rPr>
        <w:t xml:space="preserve">Emergency </w:t>
      </w:r>
      <w:r w:rsidR="00120F9B" w:rsidRPr="003C6F36">
        <w:rPr>
          <w:b/>
          <w:bCs/>
        </w:rPr>
        <w:t>Procedures</w:t>
      </w:r>
      <w:r w:rsidR="76A4CDE3" w:rsidRPr="00CA0332">
        <w:t xml:space="preserve">: </w:t>
      </w:r>
      <w:r w:rsidR="005348C4" w:rsidRPr="003C6F36">
        <w:rPr>
          <w:rFonts w:asciiTheme="minorHAnsi" w:hAnsiTheme="minorHAnsi" w:cs="Segoe UI"/>
          <w:szCs w:val="24"/>
        </w:rPr>
        <w:t>The Applicant states they will comply with all standards of practice related to medical emergencies</w:t>
      </w:r>
      <w:r w:rsidR="00575AC7" w:rsidRPr="003C6F36">
        <w:rPr>
          <w:rFonts w:asciiTheme="minorHAnsi" w:hAnsiTheme="minorHAnsi" w:cs="Segoe UI"/>
          <w:szCs w:val="24"/>
        </w:rPr>
        <w:t xml:space="preserve">, including </w:t>
      </w:r>
      <w:r w:rsidR="003C6F36" w:rsidRPr="003C6F36">
        <w:rPr>
          <w:rFonts w:asciiTheme="minorHAnsi" w:hAnsiTheme="minorHAnsi" w:cs="Segoe UI"/>
          <w:szCs w:val="24"/>
        </w:rPr>
        <w:t xml:space="preserve">written emergency and referral protocols, as well as appropriate staff training. </w:t>
      </w:r>
      <w:r w:rsidR="005348C4" w:rsidRPr="003C6F36">
        <w:rPr>
          <w:rFonts w:asciiTheme="minorHAnsi" w:hAnsiTheme="minorHAnsi" w:cs="Segoe UI"/>
          <w:szCs w:val="24"/>
        </w:rPr>
        <w:t xml:space="preserve"> </w:t>
      </w:r>
      <w:r w:rsidR="00CA0332" w:rsidRPr="003C6F36">
        <w:rPr>
          <w:rFonts w:asciiTheme="minorHAnsi" w:hAnsiTheme="minorHAnsi" w:cs="Segoe UI"/>
          <w:szCs w:val="24"/>
        </w:rPr>
        <w:t xml:space="preserve">Additionally, the </w:t>
      </w:r>
      <w:r w:rsidR="005348C4" w:rsidRPr="003C6F36">
        <w:rPr>
          <w:rFonts w:asciiTheme="minorHAnsi" w:hAnsiTheme="minorHAnsi" w:cs="Segoe UI"/>
          <w:szCs w:val="24"/>
        </w:rPr>
        <w:t>Applicant</w:t>
      </w:r>
      <w:r w:rsidR="00CA0332" w:rsidRPr="003C6F36">
        <w:rPr>
          <w:rFonts w:asciiTheme="minorHAnsi" w:hAnsiTheme="minorHAnsi" w:cs="Segoe UI"/>
          <w:szCs w:val="24"/>
        </w:rPr>
        <w:t xml:space="preserve"> will maintain a transfer agreement with a nearby hospital in compliance with the Department’s clinic licensure regulations. While emergency transport will be coordinated through 911, the proposed ASC may also establish agreements for inter-facility transport in non-emergency situations to support continuity of care. </w:t>
      </w:r>
    </w:p>
    <w:p w14:paraId="6589CDE1" w14:textId="77777777" w:rsidR="007776C0" w:rsidRPr="003C6F36" w:rsidRDefault="007776C0" w:rsidP="00FC54A0">
      <w:pPr>
        <w:pStyle w:val="ListParagraph"/>
        <w:ind w:left="720" w:firstLine="0"/>
        <w:rPr>
          <w:highlight w:val="yellow"/>
        </w:rPr>
      </w:pPr>
    </w:p>
    <w:p w14:paraId="550AD8B9" w14:textId="08F93E52" w:rsidR="00B447F3" w:rsidRPr="00C3436A" w:rsidRDefault="00A4110F" w:rsidP="00C316C3">
      <w:pPr>
        <w:tabs>
          <w:tab w:val="left" w:pos="1390"/>
        </w:tabs>
        <w:rPr>
          <w:rFonts w:asciiTheme="minorHAnsi" w:hAnsiTheme="minorHAnsi"/>
          <w:b/>
          <w:bCs/>
          <w:i/>
          <w:iCs/>
          <w:szCs w:val="24"/>
        </w:rPr>
      </w:pPr>
      <w:r w:rsidRPr="00C3436A">
        <w:rPr>
          <w:rFonts w:asciiTheme="minorHAnsi" w:hAnsiTheme="minorHAnsi"/>
          <w:b/>
          <w:bCs/>
          <w:i/>
          <w:iCs/>
          <w:szCs w:val="24"/>
        </w:rPr>
        <w:t>Analysis</w:t>
      </w:r>
      <w:r w:rsidR="0064204E" w:rsidRPr="00C3436A">
        <w:rPr>
          <w:rFonts w:asciiTheme="minorHAnsi" w:hAnsiTheme="minorHAnsi"/>
          <w:b/>
          <w:bCs/>
          <w:i/>
          <w:iCs/>
          <w:szCs w:val="24"/>
        </w:rPr>
        <w:tab/>
      </w:r>
    </w:p>
    <w:p w14:paraId="77887A9C" w14:textId="3BAA839E" w:rsidR="00006497" w:rsidRPr="00C3436A" w:rsidRDefault="00921F22" w:rsidP="00C316C3">
      <w:pPr>
        <w:rPr>
          <w:rFonts w:asciiTheme="minorHAnsi" w:hAnsiTheme="minorHAnsi"/>
          <w:szCs w:val="24"/>
        </w:rPr>
      </w:pPr>
      <w:r w:rsidRPr="00C3436A">
        <w:rPr>
          <w:rFonts w:asciiTheme="minorHAnsi" w:hAnsiTheme="minorHAnsi"/>
          <w:szCs w:val="24"/>
        </w:rPr>
        <w:t xml:space="preserve">Staff finds that the Applicant’s care coordination will </w:t>
      </w:r>
      <w:r w:rsidR="00CE58E4" w:rsidRPr="00C3436A">
        <w:rPr>
          <w:rFonts w:asciiTheme="minorHAnsi" w:hAnsiTheme="minorHAnsi"/>
          <w:szCs w:val="24"/>
        </w:rPr>
        <w:t xml:space="preserve">continue to </w:t>
      </w:r>
      <w:r w:rsidRPr="00C3436A">
        <w:rPr>
          <w:rFonts w:asciiTheme="minorHAnsi" w:hAnsiTheme="minorHAnsi"/>
          <w:szCs w:val="24"/>
        </w:rPr>
        <w:t xml:space="preserve">contribute to efficiency, continuity, and coordination of care. The Applicant </w:t>
      </w:r>
      <w:r w:rsidR="001871E5" w:rsidRPr="00C3436A">
        <w:rPr>
          <w:rFonts w:asciiTheme="minorHAnsi" w:hAnsiTheme="minorHAnsi"/>
          <w:szCs w:val="24"/>
        </w:rPr>
        <w:t>demonstrated</w:t>
      </w:r>
      <w:r w:rsidRPr="00C3436A">
        <w:rPr>
          <w:rFonts w:asciiTheme="minorHAnsi" w:hAnsiTheme="minorHAnsi"/>
          <w:szCs w:val="24"/>
        </w:rPr>
        <w:t xml:space="preserve"> </w:t>
      </w:r>
      <w:r w:rsidR="001070C5" w:rsidRPr="00C3436A">
        <w:rPr>
          <w:rFonts w:asciiTheme="minorHAnsi" w:hAnsiTheme="minorHAnsi"/>
          <w:szCs w:val="24"/>
        </w:rPr>
        <w:t>appropriate</w:t>
      </w:r>
      <w:r w:rsidRPr="00C3436A">
        <w:rPr>
          <w:rFonts w:asciiTheme="minorHAnsi" w:hAnsiTheme="minorHAnsi"/>
          <w:szCs w:val="24"/>
        </w:rPr>
        <w:t xml:space="preserve"> </w:t>
      </w:r>
      <w:r w:rsidR="001070C5" w:rsidRPr="00C3436A">
        <w:rPr>
          <w:rFonts w:asciiTheme="minorHAnsi" w:hAnsiTheme="minorHAnsi"/>
          <w:szCs w:val="24"/>
        </w:rPr>
        <w:t>sharing of</w:t>
      </w:r>
      <w:r w:rsidR="00006497" w:rsidRPr="00C3436A">
        <w:rPr>
          <w:rFonts w:asciiTheme="minorHAnsi" w:hAnsiTheme="minorHAnsi"/>
          <w:szCs w:val="24"/>
        </w:rPr>
        <w:t xml:space="preserve"> patient records</w:t>
      </w:r>
      <w:r w:rsidR="001070C5" w:rsidRPr="00C3436A">
        <w:rPr>
          <w:rFonts w:asciiTheme="minorHAnsi" w:hAnsiTheme="minorHAnsi"/>
          <w:szCs w:val="24"/>
        </w:rPr>
        <w:t xml:space="preserve"> as well as</w:t>
      </w:r>
      <w:r w:rsidR="00006497" w:rsidRPr="00C3436A">
        <w:rPr>
          <w:rFonts w:asciiTheme="minorHAnsi" w:hAnsiTheme="minorHAnsi"/>
          <w:szCs w:val="24"/>
        </w:rPr>
        <w:t xml:space="preserve"> </w:t>
      </w:r>
      <w:r w:rsidRPr="00C3436A">
        <w:rPr>
          <w:rFonts w:asciiTheme="minorHAnsi" w:hAnsiTheme="minorHAnsi"/>
          <w:szCs w:val="24"/>
        </w:rPr>
        <w:t>communication with patients</w:t>
      </w:r>
      <w:r w:rsidR="001070C5" w:rsidRPr="00C3436A">
        <w:rPr>
          <w:rFonts w:asciiTheme="minorHAnsi" w:hAnsiTheme="minorHAnsi"/>
          <w:szCs w:val="24"/>
        </w:rPr>
        <w:t xml:space="preserve"> and providers</w:t>
      </w:r>
      <w:r w:rsidR="00C3436A">
        <w:rPr>
          <w:rFonts w:asciiTheme="minorHAnsi" w:hAnsiTheme="minorHAnsi"/>
          <w:szCs w:val="24"/>
        </w:rPr>
        <w:t xml:space="preserve"> </w:t>
      </w:r>
      <w:r w:rsidR="000F4096" w:rsidRPr="00C3436A">
        <w:rPr>
          <w:rFonts w:asciiTheme="minorHAnsi" w:hAnsiTheme="minorHAnsi"/>
          <w:szCs w:val="24"/>
        </w:rPr>
        <w:t>to</w:t>
      </w:r>
      <w:r w:rsidRPr="00C3436A">
        <w:rPr>
          <w:rFonts w:asciiTheme="minorHAnsi" w:hAnsiTheme="minorHAnsi"/>
          <w:szCs w:val="24"/>
        </w:rPr>
        <w:t xml:space="preserve"> </w:t>
      </w:r>
      <w:r w:rsidR="000F4096" w:rsidRPr="00C3436A">
        <w:rPr>
          <w:rFonts w:asciiTheme="minorHAnsi" w:hAnsiTheme="minorHAnsi"/>
          <w:szCs w:val="24"/>
        </w:rPr>
        <w:t>track</w:t>
      </w:r>
      <w:r w:rsidRPr="00C3436A">
        <w:rPr>
          <w:rFonts w:asciiTheme="minorHAnsi" w:hAnsiTheme="minorHAnsi"/>
          <w:szCs w:val="24"/>
        </w:rPr>
        <w:t xml:space="preserve"> patient progress and to </w:t>
      </w:r>
      <w:r w:rsidR="00006497" w:rsidRPr="00C3436A">
        <w:rPr>
          <w:rFonts w:asciiTheme="minorHAnsi" w:hAnsiTheme="minorHAnsi"/>
          <w:szCs w:val="24"/>
        </w:rPr>
        <w:t>promote better health outcomes</w:t>
      </w:r>
      <w:r w:rsidRPr="00C3436A">
        <w:rPr>
          <w:rFonts w:asciiTheme="minorHAnsi" w:hAnsiTheme="minorHAnsi"/>
          <w:szCs w:val="24"/>
        </w:rPr>
        <w:t xml:space="preserve">. </w:t>
      </w:r>
      <w:r w:rsidR="00C3436A">
        <w:rPr>
          <w:rFonts w:asciiTheme="minorHAnsi" w:hAnsiTheme="minorHAnsi"/>
          <w:szCs w:val="24"/>
        </w:rPr>
        <w:t xml:space="preserve">The Applicant also has a plan for emergency procedures </w:t>
      </w:r>
      <w:r w:rsidR="005719AF">
        <w:rPr>
          <w:rFonts w:asciiTheme="minorHAnsi" w:hAnsiTheme="minorHAnsi"/>
          <w:szCs w:val="24"/>
        </w:rPr>
        <w:t xml:space="preserve">in an effort to provide patients with efficient and effective </w:t>
      </w:r>
      <w:r w:rsidR="005A650F">
        <w:rPr>
          <w:rFonts w:asciiTheme="minorHAnsi" w:hAnsiTheme="minorHAnsi"/>
          <w:szCs w:val="24"/>
        </w:rPr>
        <w:t xml:space="preserve">treatment should unexpected complications occur. </w:t>
      </w:r>
      <w:r w:rsidR="00006497" w:rsidRPr="00C3436A">
        <w:rPr>
          <w:rFonts w:asciiTheme="minorHAnsi" w:hAnsiTheme="minorHAnsi"/>
          <w:szCs w:val="24"/>
        </w:rPr>
        <w:t xml:space="preserve">As a result, </w:t>
      </w:r>
      <w:r w:rsidR="00006497" w:rsidRPr="00C3436A">
        <w:rPr>
          <w:rFonts w:asciiTheme="minorHAnsi" w:hAnsiTheme="minorHAnsi"/>
          <w:szCs w:val="24"/>
        </w:rPr>
        <w:lastRenderedPageBreak/>
        <w:t>Staff finds that the Proposed Project meets the requirements of Factor 1c.</w:t>
      </w:r>
    </w:p>
    <w:p w14:paraId="47753AFA" w14:textId="77777777" w:rsidR="009758DC" w:rsidRPr="00C85257" w:rsidRDefault="009758DC" w:rsidP="00C316C3">
      <w:pPr>
        <w:rPr>
          <w:rFonts w:asciiTheme="minorHAnsi" w:hAnsiTheme="minorHAnsi"/>
          <w:szCs w:val="24"/>
          <w:highlight w:val="yellow"/>
        </w:rPr>
      </w:pPr>
    </w:p>
    <w:p w14:paraId="51996762" w14:textId="77777777" w:rsidR="00C30A67" w:rsidRPr="00C85257" w:rsidRDefault="00C30A67" w:rsidP="00C316C3">
      <w:pPr>
        <w:rPr>
          <w:rFonts w:asciiTheme="minorHAnsi" w:hAnsiTheme="minorHAnsi"/>
          <w:szCs w:val="24"/>
          <w:highlight w:val="yellow"/>
        </w:rPr>
      </w:pPr>
    </w:p>
    <w:p w14:paraId="1C366B98" w14:textId="4A874E8F" w:rsidR="00B447F3" w:rsidRPr="00E259E4" w:rsidRDefault="00A4110F" w:rsidP="00C316C3">
      <w:pPr>
        <w:pStyle w:val="Heading1"/>
        <w:ind w:left="0"/>
        <w:jc w:val="both"/>
        <w:rPr>
          <w:rFonts w:asciiTheme="minorHAnsi" w:hAnsiTheme="minorHAnsi"/>
        </w:rPr>
      </w:pPr>
      <w:bookmarkStart w:id="18" w:name="Factor_1:_d)_Consultation"/>
      <w:bookmarkStart w:id="19" w:name="_Toc218863252"/>
      <w:bookmarkEnd w:id="18"/>
      <w:r w:rsidRPr="00E259E4">
        <w:rPr>
          <w:rFonts w:asciiTheme="minorHAnsi" w:hAnsiTheme="minorHAnsi"/>
          <w:color w:val="42558C"/>
        </w:rPr>
        <w:t>Factor 1: d) Consultation</w:t>
      </w:r>
      <w:bookmarkEnd w:id="19"/>
    </w:p>
    <w:p w14:paraId="382D4CD2" w14:textId="31BF45C6" w:rsidR="00350EC1" w:rsidRPr="005A650F" w:rsidRDefault="00A4110F" w:rsidP="005A650F">
      <w:pPr>
        <w:pStyle w:val="BodyText"/>
        <w:ind w:right="484"/>
        <w:jc w:val="both"/>
        <w:rPr>
          <w:rFonts w:asciiTheme="minorHAnsi" w:hAnsiTheme="minorHAnsi"/>
        </w:rPr>
      </w:pPr>
      <w:r w:rsidRPr="00E259E4">
        <w:rPr>
          <w:rFonts w:asciiTheme="minorHAnsi" w:hAnsiTheme="minorHAnsi"/>
        </w:rPr>
        <w:t>The Applicant has provided evidence of consultation, both prior to and after the Filing Date, with all government agencies that have licensure, certification, or other regulatory oversight, which has been done and will not be addressed further in this report.</w:t>
      </w:r>
    </w:p>
    <w:p w14:paraId="2310ECB2" w14:textId="77777777" w:rsidR="00350EC1" w:rsidRPr="00C85257" w:rsidRDefault="00350EC1" w:rsidP="00C316C3">
      <w:pPr>
        <w:pStyle w:val="Heading1"/>
        <w:ind w:left="0" w:right="496"/>
        <w:rPr>
          <w:rFonts w:asciiTheme="minorHAnsi" w:hAnsiTheme="minorHAnsi"/>
          <w:color w:val="42558C"/>
          <w:highlight w:val="yellow"/>
        </w:rPr>
      </w:pPr>
    </w:p>
    <w:p w14:paraId="141CD647" w14:textId="5A2C3380" w:rsidR="00232313" w:rsidRPr="00E259E4" w:rsidRDefault="00A4110F" w:rsidP="005A650F">
      <w:pPr>
        <w:pStyle w:val="Heading1"/>
        <w:ind w:left="0" w:right="496"/>
        <w:rPr>
          <w:rFonts w:asciiTheme="minorHAnsi" w:hAnsiTheme="minorHAnsi"/>
        </w:rPr>
      </w:pPr>
      <w:bookmarkStart w:id="20" w:name="Factor_1:_e)_Evidence_of_Sound_Community"/>
      <w:bookmarkStart w:id="21" w:name="_Toc218863253"/>
      <w:bookmarkEnd w:id="20"/>
      <w:r w:rsidRPr="00E259E4">
        <w:rPr>
          <w:rFonts w:asciiTheme="minorHAnsi" w:hAnsiTheme="minorHAnsi"/>
          <w:color w:val="42558C"/>
        </w:rPr>
        <w:t>Factor 1: e) Evidence of Sound Community Engagement through the Patient Panel</w:t>
      </w:r>
      <w:bookmarkEnd w:id="21"/>
    </w:p>
    <w:p w14:paraId="415C51CB" w14:textId="3C913D60" w:rsidR="00B447F3" w:rsidRPr="00E259E4" w:rsidRDefault="00A4110F" w:rsidP="00C316C3">
      <w:pPr>
        <w:pStyle w:val="BodyText"/>
        <w:ind w:right="259"/>
        <w:rPr>
          <w:rFonts w:asciiTheme="minorHAnsi" w:hAnsiTheme="minorHAnsi"/>
          <w:position w:val="10"/>
          <w:sz w:val="14"/>
          <w:szCs w:val="14"/>
        </w:rPr>
      </w:pPr>
      <w:r w:rsidRPr="00E259E4">
        <w:rPr>
          <w:rFonts w:asciiTheme="minorHAnsi" w:hAnsiTheme="minorHAnsi"/>
        </w:rPr>
        <w:t>The Department’s Guideline</w:t>
      </w:r>
      <w:r w:rsidRPr="00E259E4">
        <w:rPr>
          <w:rFonts w:asciiTheme="minorHAnsi" w:hAnsiTheme="minorHAnsi"/>
          <w:position w:val="10"/>
          <w:sz w:val="14"/>
          <w:szCs w:val="14"/>
          <w:vertAlign w:val="superscript"/>
        </w:rPr>
        <w:t>dd</w:t>
      </w:r>
      <w:r w:rsidRPr="00E259E4">
        <w:rPr>
          <w:rFonts w:asciiTheme="minorHAnsi" w:hAnsiTheme="minorHAnsi"/>
          <w:position w:val="10"/>
          <w:sz w:val="14"/>
          <w:szCs w:val="14"/>
        </w:rPr>
        <w:t xml:space="preserve"> </w:t>
      </w:r>
      <w:r w:rsidRPr="00E259E4">
        <w:rPr>
          <w:rFonts w:asciiTheme="minorHAnsi" w:hAnsiTheme="minorHAnsi"/>
        </w:rPr>
        <w:t>for community engagement defines “community” as the Patient Panel,</w:t>
      </w:r>
      <w:r w:rsidRPr="00E259E4">
        <w:rPr>
          <w:rFonts w:asciiTheme="minorHAnsi" w:hAnsiTheme="minorHAnsi"/>
          <w:spacing w:val="-3"/>
        </w:rPr>
        <w:t xml:space="preserve"> </w:t>
      </w:r>
      <w:r w:rsidRPr="00E259E4">
        <w:rPr>
          <w:rFonts w:asciiTheme="minorHAnsi" w:hAnsiTheme="minorHAnsi"/>
        </w:rPr>
        <w:t>and</w:t>
      </w:r>
      <w:r w:rsidRPr="00E259E4">
        <w:rPr>
          <w:rFonts w:asciiTheme="minorHAnsi" w:hAnsiTheme="minorHAnsi"/>
          <w:spacing w:val="-4"/>
        </w:rPr>
        <w:t xml:space="preserve"> </w:t>
      </w:r>
      <w:r w:rsidRPr="00E259E4">
        <w:rPr>
          <w:rFonts w:asciiTheme="minorHAnsi" w:hAnsiTheme="minorHAnsi"/>
        </w:rPr>
        <w:t>requires</w:t>
      </w:r>
      <w:r w:rsidRPr="00E259E4">
        <w:rPr>
          <w:rFonts w:asciiTheme="minorHAnsi" w:hAnsiTheme="minorHAnsi"/>
          <w:spacing w:val="-4"/>
        </w:rPr>
        <w:t xml:space="preserve"> </w:t>
      </w:r>
      <w:r w:rsidRPr="00E259E4">
        <w:rPr>
          <w:rFonts w:asciiTheme="minorHAnsi" w:hAnsiTheme="minorHAnsi"/>
        </w:rPr>
        <w:t>that</w:t>
      </w:r>
      <w:r w:rsidRPr="00E259E4">
        <w:rPr>
          <w:rFonts w:asciiTheme="minorHAnsi" w:hAnsiTheme="minorHAnsi"/>
          <w:spacing w:val="-4"/>
        </w:rPr>
        <w:t xml:space="preserve"> </w:t>
      </w:r>
      <w:r w:rsidRPr="00E259E4">
        <w:rPr>
          <w:rFonts w:asciiTheme="minorHAnsi" w:hAnsiTheme="minorHAnsi"/>
        </w:rPr>
        <w:t>at</w:t>
      </w:r>
      <w:r w:rsidRPr="00E259E4">
        <w:rPr>
          <w:rFonts w:asciiTheme="minorHAnsi" w:hAnsiTheme="minorHAnsi"/>
          <w:spacing w:val="-5"/>
        </w:rPr>
        <w:t xml:space="preserve"> </w:t>
      </w:r>
      <w:r w:rsidRPr="00E259E4">
        <w:rPr>
          <w:rFonts w:asciiTheme="minorHAnsi" w:hAnsiTheme="minorHAnsi"/>
        </w:rPr>
        <w:t>minimum,</w:t>
      </w:r>
      <w:r w:rsidRPr="00E259E4">
        <w:rPr>
          <w:rFonts w:asciiTheme="minorHAnsi" w:hAnsiTheme="minorHAnsi"/>
          <w:spacing w:val="-3"/>
        </w:rPr>
        <w:t xml:space="preserve"> </w:t>
      </w:r>
      <w:r w:rsidRPr="00E259E4">
        <w:rPr>
          <w:rFonts w:asciiTheme="minorHAnsi" w:hAnsiTheme="minorHAnsi"/>
        </w:rPr>
        <w:t>the</w:t>
      </w:r>
      <w:r w:rsidRPr="00E259E4">
        <w:rPr>
          <w:rFonts w:asciiTheme="minorHAnsi" w:hAnsiTheme="minorHAnsi"/>
          <w:spacing w:val="-3"/>
        </w:rPr>
        <w:t xml:space="preserve"> </w:t>
      </w:r>
      <w:r w:rsidRPr="00E259E4">
        <w:rPr>
          <w:rFonts w:asciiTheme="minorHAnsi" w:hAnsiTheme="minorHAnsi"/>
        </w:rPr>
        <w:t>Applicant</w:t>
      </w:r>
      <w:r w:rsidRPr="00E259E4">
        <w:rPr>
          <w:rFonts w:asciiTheme="minorHAnsi" w:hAnsiTheme="minorHAnsi"/>
          <w:spacing w:val="-5"/>
        </w:rPr>
        <w:t xml:space="preserve"> </w:t>
      </w:r>
      <w:r w:rsidRPr="00E259E4">
        <w:rPr>
          <w:rFonts w:asciiTheme="minorHAnsi" w:hAnsiTheme="minorHAnsi"/>
        </w:rPr>
        <w:t>must</w:t>
      </w:r>
      <w:r w:rsidRPr="00E259E4">
        <w:rPr>
          <w:rFonts w:asciiTheme="minorHAnsi" w:hAnsiTheme="minorHAnsi"/>
          <w:spacing w:val="-4"/>
        </w:rPr>
        <w:t xml:space="preserve"> </w:t>
      </w:r>
      <w:r w:rsidRPr="00E259E4">
        <w:rPr>
          <w:rFonts w:asciiTheme="minorHAnsi" w:hAnsiTheme="minorHAnsi"/>
        </w:rPr>
        <w:t>“consult”</w:t>
      </w:r>
      <w:r w:rsidRPr="00E259E4">
        <w:rPr>
          <w:rFonts w:asciiTheme="minorHAnsi" w:hAnsiTheme="minorHAnsi"/>
          <w:spacing w:val="-3"/>
        </w:rPr>
        <w:t xml:space="preserve"> </w:t>
      </w:r>
      <w:r w:rsidRPr="00E259E4">
        <w:rPr>
          <w:rFonts w:asciiTheme="minorHAnsi" w:hAnsiTheme="minorHAnsi"/>
        </w:rPr>
        <w:t>with</w:t>
      </w:r>
      <w:r w:rsidRPr="00E259E4">
        <w:rPr>
          <w:rFonts w:asciiTheme="minorHAnsi" w:hAnsiTheme="minorHAnsi"/>
          <w:spacing w:val="-3"/>
        </w:rPr>
        <w:t xml:space="preserve"> </w:t>
      </w:r>
      <w:r w:rsidRPr="00E259E4">
        <w:rPr>
          <w:rFonts w:asciiTheme="minorHAnsi" w:hAnsiTheme="minorHAnsi"/>
        </w:rPr>
        <w:t>groups</w:t>
      </w:r>
      <w:r w:rsidRPr="00E259E4">
        <w:rPr>
          <w:rFonts w:asciiTheme="minorHAnsi" w:hAnsiTheme="minorHAnsi"/>
          <w:spacing w:val="-5"/>
        </w:rPr>
        <w:t xml:space="preserve"> </w:t>
      </w:r>
      <w:r w:rsidRPr="00E259E4">
        <w:rPr>
          <w:rFonts w:asciiTheme="minorHAnsi" w:hAnsiTheme="minorHAnsi"/>
        </w:rPr>
        <w:t>representative</w:t>
      </w:r>
      <w:r w:rsidRPr="00E259E4">
        <w:rPr>
          <w:rFonts w:asciiTheme="minorHAnsi" w:hAnsiTheme="minorHAnsi"/>
          <w:spacing w:val="-2"/>
        </w:rPr>
        <w:t xml:space="preserve"> </w:t>
      </w:r>
      <w:r w:rsidRPr="00E259E4">
        <w:rPr>
          <w:rFonts w:asciiTheme="minorHAnsi" w:hAnsiTheme="minorHAnsi"/>
        </w:rPr>
        <w:t>of</w:t>
      </w:r>
      <w:r w:rsidRPr="00E259E4">
        <w:rPr>
          <w:rFonts w:asciiTheme="minorHAnsi" w:hAnsiTheme="minorHAnsi"/>
          <w:spacing w:val="-4"/>
        </w:rPr>
        <w:t xml:space="preserve"> </w:t>
      </w:r>
      <w:r w:rsidRPr="00E259E4">
        <w:rPr>
          <w:rFonts w:asciiTheme="minorHAnsi" w:hAnsiTheme="minorHAnsi"/>
        </w:rPr>
        <w:t>the Applicant's Patient Panel. Regulations state that efforts in such consultation should consist of engaging “community coalitions statistically representative of the Patient</w:t>
      </w:r>
      <w:r w:rsidRPr="00E259E4">
        <w:rPr>
          <w:rFonts w:asciiTheme="minorHAnsi" w:hAnsiTheme="minorHAnsi"/>
          <w:spacing w:val="-14"/>
        </w:rPr>
        <w:t xml:space="preserve"> </w:t>
      </w:r>
      <w:r w:rsidRPr="00E259E4">
        <w:rPr>
          <w:rFonts w:asciiTheme="minorHAnsi" w:hAnsiTheme="minorHAnsi"/>
        </w:rPr>
        <w:t>Panel.”</w:t>
      </w:r>
    </w:p>
    <w:p w14:paraId="68FBA6FA" w14:textId="77777777" w:rsidR="001833D2" w:rsidRPr="00E259E4" w:rsidRDefault="001833D2" w:rsidP="00C316C3">
      <w:pPr>
        <w:pStyle w:val="BodyText"/>
        <w:ind w:right="259"/>
        <w:rPr>
          <w:rFonts w:asciiTheme="minorHAnsi" w:hAnsiTheme="minorHAnsi"/>
          <w:position w:val="10"/>
          <w:sz w:val="14"/>
          <w:szCs w:val="14"/>
        </w:rPr>
      </w:pPr>
    </w:p>
    <w:p w14:paraId="567CBF8C" w14:textId="77777777" w:rsidR="00252BB9" w:rsidRPr="00E259E4" w:rsidRDefault="006E4ADF" w:rsidP="00C316C3">
      <w:r w:rsidRPr="00E259E4">
        <w:t>To fulfill the community engagement requirement, the Applicant took the actions described below.</w:t>
      </w:r>
    </w:p>
    <w:p w14:paraId="00EC7C87" w14:textId="77777777" w:rsidR="00252BB9" w:rsidRPr="00C85257" w:rsidRDefault="00252BB9" w:rsidP="00C316C3">
      <w:pPr>
        <w:rPr>
          <w:highlight w:val="yellow"/>
        </w:rPr>
      </w:pPr>
    </w:p>
    <w:p w14:paraId="6BD1454D" w14:textId="1AA5BF69" w:rsidR="001534B2" w:rsidRPr="003A6F70" w:rsidRDefault="001534B2" w:rsidP="003A6F70">
      <w:pPr>
        <w:pStyle w:val="ListParagraph"/>
        <w:numPr>
          <w:ilvl w:val="0"/>
          <w:numId w:val="20"/>
        </w:numPr>
        <w:spacing w:after="120"/>
        <w:rPr>
          <w:rFonts w:asciiTheme="minorHAnsi" w:eastAsia="Arial" w:hAnsiTheme="minorHAnsi"/>
          <w:sz w:val="21"/>
          <w:szCs w:val="21"/>
        </w:rPr>
      </w:pPr>
      <w:r w:rsidRPr="003A6F70">
        <w:rPr>
          <w:rFonts w:asciiTheme="minorHAnsi" w:hAnsiTheme="minorHAnsi"/>
          <w:b/>
          <w:bCs/>
        </w:rPr>
        <w:t xml:space="preserve">Virtual Public Meeting: </w:t>
      </w:r>
      <w:r w:rsidR="00A553BD" w:rsidRPr="003A6F70">
        <w:rPr>
          <w:rFonts w:asciiTheme="minorHAnsi" w:hAnsiTheme="minorHAnsi"/>
          <w:b/>
          <w:bCs/>
        </w:rPr>
        <w:t>I</w:t>
      </w:r>
      <w:r w:rsidR="00A553BD" w:rsidRPr="003A6F70">
        <w:rPr>
          <w:rFonts w:asciiTheme="minorHAnsi" w:eastAsia="Arial" w:hAnsiTheme="minorHAnsi"/>
          <w:szCs w:val="24"/>
        </w:rPr>
        <w:t xml:space="preserve">n July 2025, MGB’s Chief Medical Officer presented the Proposed Project to the community though a virtual public meeting that was advertised on the AMCs’ websites and on TV screens within the hospitals leading up to the event. </w:t>
      </w:r>
      <w:r w:rsidR="00C0343B" w:rsidRPr="003A6F70">
        <w:rPr>
          <w:rFonts w:asciiTheme="minorHAnsi" w:eastAsia="Arial" w:hAnsiTheme="minorHAnsi"/>
          <w:szCs w:val="24"/>
        </w:rPr>
        <w:t>The presentation addressed</w:t>
      </w:r>
      <w:r w:rsidR="00A553BD" w:rsidRPr="003A6F70">
        <w:rPr>
          <w:rFonts w:asciiTheme="minorHAnsi" w:eastAsia="Arial" w:hAnsiTheme="minorHAnsi"/>
          <w:szCs w:val="24"/>
        </w:rPr>
        <w:t xml:space="preserve"> the importance of colorectal cancer screening and the need for additional capacity in order for MGB to provide improved access to endoscopy </w:t>
      </w:r>
      <w:r w:rsidR="00326A2C" w:rsidRPr="003A6F70">
        <w:rPr>
          <w:rFonts w:asciiTheme="minorHAnsi" w:eastAsia="Arial" w:hAnsiTheme="minorHAnsi"/>
          <w:szCs w:val="24"/>
        </w:rPr>
        <w:t>for</w:t>
      </w:r>
      <w:r w:rsidR="00A553BD" w:rsidRPr="003A6F70">
        <w:rPr>
          <w:rFonts w:asciiTheme="minorHAnsi" w:eastAsia="Arial" w:hAnsiTheme="minorHAnsi"/>
          <w:szCs w:val="24"/>
        </w:rPr>
        <w:t xml:space="preserve"> its patients. Five community members attended the meeting</w:t>
      </w:r>
      <w:r w:rsidR="003C6F36">
        <w:rPr>
          <w:rFonts w:asciiTheme="minorHAnsi" w:eastAsia="Arial" w:hAnsiTheme="minorHAnsi"/>
          <w:szCs w:val="24"/>
        </w:rPr>
        <w:t>. N</w:t>
      </w:r>
      <w:r w:rsidR="00C0343B" w:rsidRPr="003A6F70">
        <w:rPr>
          <w:rFonts w:asciiTheme="minorHAnsi" w:eastAsia="Arial" w:hAnsiTheme="minorHAnsi"/>
          <w:szCs w:val="24"/>
        </w:rPr>
        <w:t>o comments or questions were raised.</w:t>
      </w:r>
      <w:r w:rsidR="00A553BD" w:rsidRPr="003A6F70">
        <w:rPr>
          <w:rFonts w:asciiTheme="minorHAnsi" w:eastAsia="Arial" w:hAnsiTheme="minorHAnsi"/>
          <w:sz w:val="21"/>
          <w:szCs w:val="21"/>
        </w:rPr>
        <w:t xml:space="preserve"> </w:t>
      </w:r>
    </w:p>
    <w:p w14:paraId="38F0A826" w14:textId="77777777" w:rsidR="001534B2" w:rsidRPr="00BE33C0" w:rsidRDefault="001534B2" w:rsidP="00BE33C0">
      <w:pPr>
        <w:rPr>
          <w:rFonts w:asciiTheme="minorHAnsi" w:hAnsiTheme="minorHAnsi"/>
          <w:b/>
          <w:bCs/>
        </w:rPr>
      </w:pPr>
    </w:p>
    <w:p w14:paraId="26CA9533" w14:textId="54391CF2" w:rsidR="00BE33C0" w:rsidRPr="003A6F70" w:rsidRDefault="007703D6" w:rsidP="003A6F70">
      <w:pPr>
        <w:pStyle w:val="ListParagraph"/>
        <w:numPr>
          <w:ilvl w:val="0"/>
          <w:numId w:val="20"/>
        </w:numPr>
        <w:rPr>
          <w:rFonts w:asciiTheme="minorHAnsi" w:eastAsia="Arial" w:hAnsiTheme="minorHAnsi"/>
          <w:sz w:val="21"/>
          <w:szCs w:val="21"/>
        </w:rPr>
      </w:pPr>
      <w:r w:rsidRPr="003A6F70">
        <w:rPr>
          <w:rFonts w:asciiTheme="minorHAnsi" w:hAnsiTheme="minorHAnsi"/>
          <w:b/>
          <w:bCs/>
        </w:rPr>
        <w:t>MGB AMC</w:t>
      </w:r>
      <w:r w:rsidR="00252BB9" w:rsidRPr="003A6F70">
        <w:rPr>
          <w:rFonts w:asciiTheme="minorHAnsi" w:hAnsiTheme="minorHAnsi"/>
          <w:b/>
          <w:bCs/>
        </w:rPr>
        <w:t xml:space="preserve"> Patient and Family Advisory Council</w:t>
      </w:r>
      <w:r w:rsidR="007A0122" w:rsidRPr="003A6F70">
        <w:rPr>
          <w:rFonts w:asciiTheme="minorHAnsi" w:hAnsiTheme="minorHAnsi"/>
          <w:b/>
          <w:bCs/>
        </w:rPr>
        <w:t xml:space="preserve"> (PFAC)</w:t>
      </w:r>
      <w:r w:rsidR="00252BB9" w:rsidRPr="003A6F70">
        <w:rPr>
          <w:rFonts w:asciiTheme="minorHAnsi" w:hAnsiTheme="minorHAnsi"/>
        </w:rPr>
        <w:t xml:space="preserve">: </w:t>
      </w:r>
      <w:r w:rsidR="00BE33C0" w:rsidRPr="003A6F70">
        <w:rPr>
          <w:rFonts w:asciiTheme="minorHAnsi" w:hAnsiTheme="minorHAnsi"/>
          <w:szCs w:val="24"/>
        </w:rPr>
        <w:t xml:space="preserve">In </w:t>
      </w:r>
      <w:r w:rsidR="00BE33C0" w:rsidRPr="003A6F70">
        <w:rPr>
          <w:rFonts w:asciiTheme="minorHAnsi" w:eastAsia="Arial" w:hAnsiTheme="minorHAnsi"/>
          <w:szCs w:val="24"/>
        </w:rPr>
        <w:t>August 2025</w:t>
      </w:r>
      <w:r w:rsidR="00043BA6" w:rsidRPr="003A6F70">
        <w:rPr>
          <w:rFonts w:asciiTheme="minorHAnsi" w:eastAsia="Arial" w:hAnsiTheme="minorHAnsi"/>
          <w:szCs w:val="24"/>
        </w:rPr>
        <w:t xml:space="preserve">, the Proposed Project was presented to MGB’s AMC </w:t>
      </w:r>
      <w:r w:rsidR="00BE33C0" w:rsidRPr="003A6F70">
        <w:rPr>
          <w:rFonts w:asciiTheme="minorHAnsi" w:eastAsia="Arial" w:hAnsiTheme="minorHAnsi"/>
          <w:szCs w:val="24"/>
        </w:rPr>
        <w:t>PFAC</w:t>
      </w:r>
      <w:r w:rsidR="00043BA6" w:rsidRPr="003A6F70">
        <w:rPr>
          <w:rFonts w:asciiTheme="minorHAnsi" w:eastAsia="Arial" w:hAnsiTheme="minorHAnsi"/>
          <w:szCs w:val="24"/>
        </w:rPr>
        <w:t>. The presentation</w:t>
      </w:r>
      <w:r w:rsidR="00A00F96" w:rsidRPr="003A6F70">
        <w:rPr>
          <w:rFonts w:asciiTheme="minorHAnsi" w:eastAsia="Arial" w:hAnsiTheme="minorHAnsi"/>
          <w:szCs w:val="24"/>
        </w:rPr>
        <w:t xml:space="preserve"> included information</w:t>
      </w:r>
      <w:r w:rsidR="00BE33C0" w:rsidRPr="003A6F70">
        <w:rPr>
          <w:rFonts w:asciiTheme="minorHAnsi" w:eastAsia="Arial" w:hAnsiTheme="minorHAnsi"/>
          <w:szCs w:val="24"/>
        </w:rPr>
        <w:t xml:space="preserve"> about the current backlog of screenings impacting MGH and BWH patients</w:t>
      </w:r>
      <w:r w:rsidR="00A00F96" w:rsidRPr="003A6F70">
        <w:rPr>
          <w:rFonts w:asciiTheme="minorHAnsi" w:eastAsia="Arial" w:hAnsiTheme="minorHAnsi"/>
          <w:szCs w:val="24"/>
        </w:rPr>
        <w:t>,</w:t>
      </w:r>
      <w:r w:rsidR="00BE33C0" w:rsidRPr="003A6F70">
        <w:rPr>
          <w:rFonts w:asciiTheme="minorHAnsi" w:eastAsia="Arial" w:hAnsiTheme="minorHAnsi"/>
          <w:szCs w:val="24"/>
        </w:rPr>
        <w:t xml:space="preserve"> and the need to prioritize timely screenings based on screening guidelines. The presentation also included specifics about the proposed ASC and how it will </w:t>
      </w:r>
      <w:r w:rsidR="00A00F96" w:rsidRPr="003A6F70">
        <w:rPr>
          <w:rFonts w:asciiTheme="minorHAnsi" w:eastAsia="Arial" w:hAnsiTheme="minorHAnsi"/>
          <w:szCs w:val="24"/>
        </w:rPr>
        <w:t>improve</w:t>
      </w:r>
      <w:r w:rsidR="00BE33C0" w:rsidRPr="003A6F70">
        <w:rPr>
          <w:rFonts w:asciiTheme="minorHAnsi" w:eastAsia="Arial" w:hAnsiTheme="minorHAnsi"/>
          <w:szCs w:val="24"/>
        </w:rPr>
        <w:t xml:space="preserve"> access to outpatient endoscopy</w:t>
      </w:r>
      <w:r w:rsidR="00A00F96" w:rsidRPr="003A6F70">
        <w:rPr>
          <w:rFonts w:asciiTheme="minorHAnsi" w:eastAsia="Arial" w:hAnsiTheme="minorHAnsi"/>
          <w:szCs w:val="24"/>
        </w:rPr>
        <w:t xml:space="preserve">, and </w:t>
      </w:r>
      <w:r w:rsidR="00BE33C0" w:rsidRPr="003A6F70">
        <w:rPr>
          <w:rFonts w:asciiTheme="minorHAnsi" w:eastAsia="Arial" w:hAnsiTheme="minorHAnsi"/>
          <w:szCs w:val="24"/>
        </w:rPr>
        <w:t xml:space="preserve">improve capacity at the MGB AMCs for emergent, inpatient, and higher acuity outpatient cases.  </w:t>
      </w:r>
      <w:r w:rsidR="00A00F96" w:rsidRPr="003A6F70">
        <w:rPr>
          <w:rFonts w:asciiTheme="minorHAnsi" w:eastAsia="Arial" w:hAnsiTheme="minorHAnsi"/>
          <w:szCs w:val="24"/>
        </w:rPr>
        <w:t>There were s</w:t>
      </w:r>
      <w:r w:rsidR="00BE33C0" w:rsidRPr="003A6F70">
        <w:rPr>
          <w:rFonts w:asciiTheme="minorHAnsi" w:eastAsia="Arial" w:hAnsiTheme="minorHAnsi"/>
          <w:szCs w:val="24"/>
        </w:rPr>
        <w:t>everal positive comments regarding the Proposed Project</w:t>
      </w:r>
      <w:r w:rsidR="00A00F96" w:rsidRPr="003A6F70">
        <w:rPr>
          <w:rFonts w:asciiTheme="minorHAnsi" w:eastAsia="Arial" w:hAnsiTheme="minorHAnsi"/>
          <w:szCs w:val="24"/>
        </w:rPr>
        <w:t xml:space="preserve"> as a result of the presentation</w:t>
      </w:r>
      <w:r w:rsidR="00BE33C0" w:rsidRPr="003A6F70">
        <w:rPr>
          <w:rFonts w:asciiTheme="minorHAnsi" w:eastAsia="Arial" w:hAnsiTheme="minorHAnsi"/>
          <w:szCs w:val="24"/>
        </w:rPr>
        <w:t>.</w:t>
      </w:r>
      <w:r w:rsidR="00BE33C0" w:rsidRPr="003A6F70">
        <w:rPr>
          <w:rFonts w:asciiTheme="minorHAnsi" w:eastAsia="Arial" w:hAnsiTheme="minorHAnsi"/>
          <w:sz w:val="21"/>
          <w:szCs w:val="21"/>
        </w:rPr>
        <w:t xml:space="preserve"> </w:t>
      </w:r>
    </w:p>
    <w:p w14:paraId="6A7095C6" w14:textId="77777777" w:rsidR="00AD5DA1" w:rsidRPr="00C85257" w:rsidRDefault="00AD5DA1" w:rsidP="00C316C3">
      <w:pPr>
        <w:rPr>
          <w:highlight w:val="yellow"/>
        </w:rPr>
      </w:pPr>
    </w:p>
    <w:p w14:paraId="273EC888" w14:textId="720BE3D8" w:rsidR="00AD5DA1" w:rsidRPr="00836AB4" w:rsidRDefault="00AD5DA1" w:rsidP="00836AB4">
      <w:pPr>
        <w:pStyle w:val="ListParagraph"/>
        <w:numPr>
          <w:ilvl w:val="0"/>
          <w:numId w:val="20"/>
        </w:numPr>
        <w:rPr>
          <w:rFonts w:asciiTheme="minorHAnsi" w:hAnsiTheme="minorHAnsi"/>
        </w:rPr>
      </w:pPr>
      <w:r w:rsidRPr="00836AB4">
        <w:rPr>
          <w:rFonts w:asciiTheme="minorHAnsi" w:hAnsiTheme="minorHAnsi"/>
          <w:b/>
          <w:bCs/>
        </w:rPr>
        <w:t>Legal Notices:</w:t>
      </w:r>
      <w:r w:rsidRPr="00836AB4">
        <w:rPr>
          <w:rFonts w:asciiTheme="minorHAnsi" w:hAnsiTheme="minorHAnsi"/>
        </w:rPr>
        <w:t xml:space="preserve"> </w:t>
      </w:r>
      <w:r w:rsidRPr="00836AB4">
        <w:rPr>
          <w:rFonts w:asciiTheme="minorHAnsi" w:hAnsiTheme="minorHAnsi"/>
          <w:szCs w:val="24"/>
        </w:rPr>
        <w:t xml:space="preserve">The Applicant states that it published two legal notices announcing the </w:t>
      </w:r>
      <w:r w:rsidR="008D7DAD" w:rsidRPr="00836AB4">
        <w:rPr>
          <w:rFonts w:asciiTheme="minorHAnsi" w:hAnsiTheme="minorHAnsi"/>
          <w:szCs w:val="24"/>
        </w:rPr>
        <w:t>Proposed</w:t>
      </w:r>
      <w:r w:rsidRPr="00836AB4">
        <w:rPr>
          <w:rFonts w:asciiTheme="minorHAnsi" w:hAnsiTheme="minorHAnsi"/>
          <w:szCs w:val="24"/>
        </w:rPr>
        <w:t xml:space="preserve"> Project</w:t>
      </w:r>
      <w:r w:rsidR="00DE2369" w:rsidRPr="00836AB4">
        <w:rPr>
          <w:rFonts w:asciiTheme="minorHAnsi" w:hAnsiTheme="minorHAnsi"/>
          <w:szCs w:val="24"/>
        </w:rPr>
        <w:t xml:space="preserve"> in the </w:t>
      </w:r>
      <w:r w:rsidR="00DE2369" w:rsidRPr="00836AB4">
        <w:rPr>
          <w:rFonts w:asciiTheme="minorHAnsi" w:hAnsiTheme="minorHAnsi"/>
          <w:i/>
          <w:iCs/>
          <w:szCs w:val="24"/>
        </w:rPr>
        <w:t>Boston Herald</w:t>
      </w:r>
      <w:r w:rsidR="00DE2369" w:rsidRPr="00836AB4">
        <w:rPr>
          <w:rFonts w:asciiTheme="minorHAnsi" w:hAnsiTheme="minorHAnsi"/>
          <w:szCs w:val="24"/>
        </w:rPr>
        <w:t xml:space="preserve"> on July 16, 2025.</w:t>
      </w:r>
    </w:p>
    <w:p w14:paraId="6572644E" w14:textId="77777777" w:rsidR="00DE0F50" w:rsidRPr="00C85257" w:rsidRDefault="00DE0F50" w:rsidP="00C316C3">
      <w:pPr>
        <w:rPr>
          <w:highlight w:val="yellow"/>
        </w:rPr>
      </w:pPr>
    </w:p>
    <w:p w14:paraId="1B7CB00F" w14:textId="0E446AC9" w:rsidR="003A7B86" w:rsidRPr="00FD40FA" w:rsidRDefault="00A4110F" w:rsidP="00C316C3">
      <w:pPr>
        <w:rPr>
          <w:rFonts w:asciiTheme="minorHAnsi" w:hAnsiTheme="minorHAnsi"/>
          <w:b/>
          <w:bCs/>
          <w:i/>
          <w:iCs/>
          <w:szCs w:val="24"/>
        </w:rPr>
      </w:pPr>
      <w:r w:rsidRPr="00FD40FA">
        <w:rPr>
          <w:rFonts w:asciiTheme="minorHAnsi" w:hAnsiTheme="minorHAnsi"/>
          <w:b/>
          <w:bCs/>
          <w:i/>
          <w:iCs/>
          <w:szCs w:val="24"/>
        </w:rPr>
        <w:t>Analysis</w:t>
      </w:r>
    </w:p>
    <w:p w14:paraId="0999036E" w14:textId="3C0EB684" w:rsidR="003346BB" w:rsidRPr="00FD40FA" w:rsidRDefault="003346BB" w:rsidP="00C316C3">
      <w:pPr>
        <w:rPr>
          <w:rFonts w:asciiTheme="minorHAnsi" w:hAnsiTheme="minorHAnsi"/>
          <w:b/>
          <w:bCs/>
          <w:i/>
          <w:iCs/>
          <w:szCs w:val="24"/>
        </w:rPr>
      </w:pPr>
      <w:r w:rsidRPr="00FD40FA">
        <w:rPr>
          <w:rFonts w:asciiTheme="minorHAnsi" w:hAnsiTheme="minorHAnsi"/>
          <w:szCs w:val="24"/>
        </w:rPr>
        <w:t xml:space="preserve">Staff reviewed the information on the Applicant’s community engagement and finds that </w:t>
      </w:r>
    </w:p>
    <w:p w14:paraId="694BB32B" w14:textId="522F1850" w:rsidR="00D9518F" w:rsidRPr="00FD40FA" w:rsidRDefault="003346BB" w:rsidP="00C316C3">
      <w:pPr>
        <w:rPr>
          <w:rFonts w:asciiTheme="minorHAnsi" w:hAnsiTheme="minorHAnsi"/>
        </w:rPr>
      </w:pPr>
      <w:r w:rsidRPr="00FD40FA">
        <w:rPr>
          <w:rFonts w:asciiTheme="minorHAnsi" w:hAnsiTheme="minorHAnsi"/>
        </w:rPr>
        <w:t>the Applicant has met the required community engagement standard of Consult</w:t>
      </w:r>
      <w:r w:rsidR="003A7B86" w:rsidRPr="00FD40FA">
        <w:rPr>
          <w:rFonts w:asciiTheme="minorHAnsi" w:hAnsiTheme="minorHAnsi"/>
        </w:rPr>
        <w:t xml:space="preserve"> </w:t>
      </w:r>
      <w:r w:rsidRPr="00FD40FA">
        <w:rPr>
          <w:rFonts w:asciiTheme="minorHAnsi" w:hAnsiTheme="minorHAnsi"/>
        </w:rPr>
        <w:t>in the planning phase of the Proposed Project.</w:t>
      </w:r>
      <w:r w:rsidR="00D9518F" w:rsidRPr="00FD40FA">
        <w:rPr>
          <w:rFonts w:asciiTheme="minorHAnsi" w:eastAsia="Times New Roman" w:hAnsiTheme="minorHAnsi"/>
        </w:rPr>
        <w:t xml:space="preserve"> </w:t>
      </w:r>
      <w:r w:rsidR="00D9518F" w:rsidRPr="00FD40FA">
        <w:rPr>
          <w:rFonts w:asciiTheme="minorHAnsi" w:hAnsiTheme="minorHAnsi"/>
        </w:rPr>
        <w:t>As a result, Staff finds that the Proposed Project meets the requirements of Factor 1e.</w:t>
      </w:r>
    </w:p>
    <w:p w14:paraId="16F0C00D" w14:textId="77777777" w:rsidR="0040211A" w:rsidRPr="00FD40FA" w:rsidRDefault="0040211A" w:rsidP="00C316C3">
      <w:pPr>
        <w:rPr>
          <w:rFonts w:asciiTheme="minorHAnsi" w:hAnsiTheme="minorHAnsi"/>
          <w:szCs w:val="24"/>
        </w:rPr>
      </w:pPr>
    </w:p>
    <w:p w14:paraId="1284B21B" w14:textId="77777777" w:rsidR="004A2BD8" w:rsidRPr="00FD40FA" w:rsidRDefault="00A4110F" w:rsidP="00C316C3">
      <w:pPr>
        <w:pStyle w:val="Heading1"/>
        <w:ind w:left="0"/>
        <w:rPr>
          <w:color w:val="1F497D" w:themeColor="text2"/>
        </w:rPr>
      </w:pPr>
      <w:bookmarkStart w:id="22" w:name="Factor_1:_f)_Competition_on_price,_total"/>
      <w:bookmarkStart w:id="23" w:name="_Toc218863254"/>
      <w:bookmarkEnd w:id="22"/>
      <w:r w:rsidRPr="00FD40FA">
        <w:rPr>
          <w:color w:val="1F497D" w:themeColor="text2"/>
        </w:rPr>
        <w:t xml:space="preserve">Factor 1: f) Competition on price, total medical expenses (TME), costs and other </w:t>
      </w:r>
      <w:r w:rsidRPr="00FD40FA">
        <w:rPr>
          <w:color w:val="1F497D" w:themeColor="text2"/>
        </w:rPr>
        <w:lastRenderedPageBreak/>
        <w:t>measures of health care spending</w:t>
      </w:r>
      <w:bookmarkEnd w:id="23"/>
    </w:p>
    <w:p w14:paraId="4B8950E0" w14:textId="5185DC54" w:rsidR="0069776E" w:rsidRDefault="003F7CB5" w:rsidP="003F7CB5">
      <w:pPr>
        <w:spacing w:after="120"/>
        <w:rPr>
          <w:rFonts w:asciiTheme="minorHAnsi" w:hAnsiTheme="minorHAnsi"/>
          <w:bCs/>
          <w:szCs w:val="24"/>
        </w:rPr>
      </w:pPr>
      <w:r w:rsidRPr="003F7CB5">
        <w:rPr>
          <w:rFonts w:asciiTheme="minorHAnsi" w:hAnsiTheme="minorHAnsi"/>
          <w:bCs/>
          <w:szCs w:val="24"/>
        </w:rPr>
        <w:t xml:space="preserve">The Proposed Project will compete on the basis of price, total medical expenses (TME), provider costs, and other health spending factors by expanding access to lower-cost endoscopy at the proposed ASC. </w:t>
      </w:r>
    </w:p>
    <w:p w14:paraId="667C58D6" w14:textId="1F45EE62" w:rsidR="008A75A0" w:rsidRPr="0027036C" w:rsidRDefault="004658B7" w:rsidP="003F7CB5">
      <w:pPr>
        <w:pStyle w:val="ListParagraph"/>
        <w:numPr>
          <w:ilvl w:val="0"/>
          <w:numId w:val="21"/>
        </w:numPr>
        <w:spacing w:after="120"/>
        <w:rPr>
          <w:rFonts w:asciiTheme="minorHAnsi" w:hAnsiTheme="minorHAnsi"/>
          <w:szCs w:val="24"/>
        </w:rPr>
      </w:pPr>
      <w:r w:rsidRPr="0027036C">
        <w:rPr>
          <w:rFonts w:asciiTheme="minorHAnsi" w:hAnsiTheme="minorHAnsi"/>
          <w:b/>
          <w:i/>
          <w:iCs/>
          <w:szCs w:val="24"/>
        </w:rPr>
        <w:t>Cost Benefit of ASCs:</w:t>
      </w:r>
      <w:r w:rsidRPr="0027036C">
        <w:rPr>
          <w:rFonts w:asciiTheme="minorHAnsi" w:hAnsiTheme="minorHAnsi"/>
          <w:bCs/>
          <w:szCs w:val="24"/>
        </w:rPr>
        <w:t xml:space="preserve"> </w:t>
      </w:r>
      <w:r w:rsidR="003F7CB5" w:rsidRPr="0027036C">
        <w:rPr>
          <w:rFonts w:asciiTheme="minorHAnsi" w:hAnsiTheme="minorHAnsi"/>
          <w:bCs/>
          <w:szCs w:val="24"/>
        </w:rPr>
        <w:t xml:space="preserve">The Applicant states that the provision of endoscopy services will generate significant cost savings for both payors and patients, as ASCs offer these procedures at significantly lower costs than hospital-based outpatient departments (HOPD). </w:t>
      </w:r>
      <w:r w:rsidR="003F7CB5" w:rsidRPr="0027036C">
        <w:rPr>
          <w:rFonts w:asciiTheme="minorHAnsi" w:hAnsiTheme="minorHAnsi"/>
          <w:szCs w:val="24"/>
        </w:rPr>
        <w:t>ASCs achieve cost-efficiency through operational efficiencies</w:t>
      </w:r>
      <w:r w:rsidR="006C65CC" w:rsidRPr="0027036C">
        <w:rPr>
          <w:rFonts w:asciiTheme="minorHAnsi" w:hAnsiTheme="minorHAnsi"/>
          <w:szCs w:val="24"/>
        </w:rPr>
        <w:t xml:space="preserve"> which include </w:t>
      </w:r>
      <w:r w:rsidR="003F7CB5" w:rsidRPr="0027036C">
        <w:rPr>
          <w:rFonts w:asciiTheme="minorHAnsi" w:hAnsiTheme="minorHAnsi"/>
          <w:szCs w:val="24"/>
        </w:rPr>
        <w:t xml:space="preserve">utilizing only the staff, equipment, and supplies necessary to meet patient needs. </w:t>
      </w:r>
      <w:r w:rsidR="006C65CC" w:rsidRPr="0027036C">
        <w:rPr>
          <w:rFonts w:asciiTheme="minorHAnsi" w:hAnsiTheme="minorHAnsi"/>
          <w:szCs w:val="24"/>
        </w:rPr>
        <w:t>The Applicant cited a</w:t>
      </w:r>
      <w:r w:rsidR="003F7CB5" w:rsidRPr="0027036C">
        <w:rPr>
          <w:rFonts w:asciiTheme="minorHAnsi" w:hAnsiTheme="minorHAnsi"/>
          <w:szCs w:val="24"/>
        </w:rPr>
        <w:t xml:space="preserve"> recent study analyzing 220 procedures performed in ASCs and HOPDs</w:t>
      </w:r>
      <w:r w:rsidR="006C65CC" w:rsidRPr="0027036C">
        <w:rPr>
          <w:rFonts w:asciiTheme="minorHAnsi" w:hAnsiTheme="minorHAnsi"/>
          <w:szCs w:val="24"/>
        </w:rPr>
        <w:t>, which</w:t>
      </w:r>
      <w:r w:rsidR="003F7CB5" w:rsidRPr="0027036C">
        <w:rPr>
          <w:rFonts w:asciiTheme="minorHAnsi" w:hAnsiTheme="minorHAnsi"/>
          <w:szCs w:val="24"/>
        </w:rPr>
        <w:t xml:space="preserve"> found that ASCs outperformed HOPDs in ancillary time, procedure time, exit time, turnover time, and nonoperative time.</w:t>
      </w:r>
      <w:r w:rsidR="008A75A0" w:rsidRPr="003F7CB5">
        <w:rPr>
          <w:rStyle w:val="EndnoteReference"/>
          <w:rFonts w:asciiTheme="minorHAnsi" w:hAnsiTheme="minorHAnsi"/>
          <w:szCs w:val="24"/>
        </w:rPr>
        <w:endnoteReference w:id="26"/>
      </w:r>
      <w:r w:rsidR="008A75A0" w:rsidRPr="0027036C">
        <w:rPr>
          <w:rFonts w:asciiTheme="minorHAnsi" w:hAnsiTheme="minorHAnsi"/>
          <w:szCs w:val="24"/>
        </w:rPr>
        <w:t xml:space="preserve"> As a result, ASC facility fees are considerably lower than those of HOPDs, directly translating into savings for both patients and payers.</w:t>
      </w:r>
      <w:r w:rsidR="008A75A0" w:rsidRPr="003F7CB5">
        <w:rPr>
          <w:rStyle w:val="EndnoteReference"/>
          <w:rFonts w:asciiTheme="minorHAnsi" w:hAnsiTheme="minorHAnsi"/>
          <w:szCs w:val="24"/>
        </w:rPr>
        <w:endnoteReference w:id="27"/>
      </w:r>
      <w:r w:rsidR="008A75A0" w:rsidRPr="0027036C">
        <w:rPr>
          <w:rFonts w:asciiTheme="minorHAnsi" w:hAnsiTheme="minorHAnsi"/>
          <w:szCs w:val="24"/>
        </w:rPr>
        <w:t xml:space="preserve"> </w:t>
      </w:r>
    </w:p>
    <w:p w14:paraId="2F5FF564" w14:textId="75A0B147" w:rsidR="00067661" w:rsidRPr="0027036C" w:rsidRDefault="008A75A0" w:rsidP="003F7CB5">
      <w:pPr>
        <w:pStyle w:val="ListParagraph"/>
        <w:numPr>
          <w:ilvl w:val="0"/>
          <w:numId w:val="21"/>
        </w:numPr>
        <w:spacing w:after="120"/>
        <w:rPr>
          <w:rFonts w:asciiTheme="minorHAnsi" w:hAnsiTheme="minorHAnsi"/>
          <w:szCs w:val="24"/>
        </w:rPr>
      </w:pPr>
      <w:r w:rsidRPr="0027036C">
        <w:rPr>
          <w:rFonts w:asciiTheme="minorHAnsi" w:hAnsiTheme="minorHAnsi"/>
          <w:b/>
          <w:bCs/>
          <w:i/>
          <w:iCs/>
          <w:szCs w:val="24"/>
        </w:rPr>
        <w:t>Timely Detection:</w:t>
      </w:r>
      <w:r w:rsidRPr="0027036C">
        <w:rPr>
          <w:rFonts w:asciiTheme="minorHAnsi" w:hAnsiTheme="minorHAnsi"/>
          <w:i/>
          <w:iCs/>
          <w:szCs w:val="24"/>
        </w:rPr>
        <w:t xml:space="preserve"> </w:t>
      </w:r>
      <w:r w:rsidRPr="0027036C">
        <w:rPr>
          <w:rFonts w:asciiTheme="minorHAnsi" w:hAnsiTheme="minorHAnsi"/>
          <w:szCs w:val="24"/>
        </w:rPr>
        <w:t>The Applicant anticipates that the Proposed Project will facilitate earlier detection of colorectal cancer, ultimately reducing TME through improved patient outcomes.  The stage at which colorectal cancer is detected significantly influences treatment costs, averaging $36,000 for patients with stage 1 colorectal cancer and rising to $74,000 for patients with stage 4 within the first year post-diagnosis.</w:t>
      </w:r>
      <w:r w:rsidRPr="003F7CB5">
        <w:rPr>
          <w:rStyle w:val="EndnoteReference"/>
          <w:rFonts w:asciiTheme="minorHAnsi" w:hAnsiTheme="minorHAnsi"/>
          <w:szCs w:val="24"/>
        </w:rPr>
        <w:endnoteReference w:id="28"/>
      </w:r>
      <w:r w:rsidRPr="0027036C">
        <w:rPr>
          <w:rFonts w:asciiTheme="minorHAnsi" w:hAnsiTheme="minorHAnsi"/>
          <w:szCs w:val="24"/>
        </w:rPr>
        <w:t xml:space="preserve"> This demonstrates that earlier detection of colorectal cancer through adherence to screening guidelines can result in thousands of dollars of treatment cost savings within the first year after a patient’s diagnosis.  The Applicant notes that the long-term savings for increased screenings are substantial, ranging from 60% to 89% in Medicare treatment costs over a 50-year period.</w:t>
      </w:r>
      <w:r w:rsidRPr="003F7CB5">
        <w:rPr>
          <w:rStyle w:val="EndnoteReference"/>
          <w:rFonts w:asciiTheme="minorHAnsi" w:hAnsiTheme="minorHAnsi"/>
          <w:szCs w:val="24"/>
        </w:rPr>
        <w:endnoteReference w:id="29"/>
      </w:r>
      <w:r w:rsidRPr="0027036C">
        <w:rPr>
          <w:rFonts w:asciiTheme="minorHAnsi" w:hAnsiTheme="minorHAnsi"/>
          <w:szCs w:val="24"/>
        </w:rPr>
        <w:t xml:space="preserve"> </w:t>
      </w:r>
    </w:p>
    <w:p w14:paraId="192F9274" w14:textId="48B3E05A" w:rsidR="00067661" w:rsidRPr="00FC54A0" w:rsidRDefault="00067661" w:rsidP="00FC54A0">
      <w:pPr>
        <w:pStyle w:val="ListParagraph"/>
        <w:numPr>
          <w:ilvl w:val="0"/>
          <w:numId w:val="21"/>
        </w:numPr>
        <w:spacing w:after="120"/>
        <w:rPr>
          <w:rFonts w:asciiTheme="minorHAnsi" w:hAnsiTheme="minorHAnsi"/>
        </w:rPr>
      </w:pPr>
      <w:r w:rsidRPr="0506BC97">
        <w:rPr>
          <w:rFonts w:asciiTheme="minorHAnsi" w:hAnsiTheme="minorHAnsi"/>
          <w:b/>
          <w:bCs/>
          <w:i/>
          <w:iCs/>
        </w:rPr>
        <w:t>Improved Patient Through</w:t>
      </w:r>
      <w:r w:rsidR="00992226" w:rsidRPr="0506BC97">
        <w:rPr>
          <w:rFonts w:asciiTheme="minorHAnsi" w:hAnsiTheme="minorHAnsi"/>
          <w:b/>
          <w:bCs/>
          <w:i/>
          <w:iCs/>
        </w:rPr>
        <w:t>p</w:t>
      </w:r>
      <w:r w:rsidRPr="0506BC97">
        <w:rPr>
          <w:rFonts w:asciiTheme="minorHAnsi" w:hAnsiTheme="minorHAnsi"/>
          <w:b/>
          <w:bCs/>
          <w:i/>
          <w:iCs/>
        </w:rPr>
        <w:t>ut</w:t>
      </w:r>
      <w:r w:rsidR="000E2236" w:rsidRPr="0506BC97">
        <w:rPr>
          <w:rFonts w:asciiTheme="minorHAnsi" w:hAnsiTheme="minorHAnsi"/>
          <w:b/>
          <w:bCs/>
          <w:i/>
          <w:iCs/>
        </w:rPr>
        <w:t xml:space="preserve"> in Hospital Settings</w:t>
      </w:r>
      <w:r w:rsidRPr="0506BC97">
        <w:rPr>
          <w:rFonts w:asciiTheme="minorHAnsi" w:hAnsiTheme="minorHAnsi"/>
          <w:b/>
          <w:bCs/>
          <w:i/>
          <w:iCs/>
        </w:rPr>
        <w:t>:</w:t>
      </w:r>
      <w:r w:rsidRPr="0506BC97">
        <w:rPr>
          <w:rFonts w:asciiTheme="minorHAnsi" w:hAnsiTheme="minorHAnsi"/>
        </w:rPr>
        <w:t xml:space="preserve"> T</w:t>
      </w:r>
      <w:r w:rsidR="003F7CB5" w:rsidRPr="0506BC97">
        <w:rPr>
          <w:rFonts w:asciiTheme="minorHAnsi" w:hAnsiTheme="minorHAnsi"/>
        </w:rPr>
        <w:t xml:space="preserve">he </w:t>
      </w:r>
      <w:r w:rsidRPr="0506BC97">
        <w:rPr>
          <w:rFonts w:asciiTheme="minorHAnsi" w:hAnsiTheme="minorHAnsi"/>
        </w:rPr>
        <w:t xml:space="preserve">Applicant asserts that the </w:t>
      </w:r>
      <w:r w:rsidR="003F7CB5" w:rsidRPr="0506BC97">
        <w:rPr>
          <w:rFonts w:asciiTheme="minorHAnsi" w:hAnsiTheme="minorHAnsi"/>
        </w:rPr>
        <w:t>Proposed Project will</w:t>
      </w:r>
      <w:r w:rsidR="000E2236" w:rsidRPr="0506BC97">
        <w:rPr>
          <w:rFonts w:asciiTheme="minorHAnsi" w:hAnsiTheme="minorHAnsi"/>
        </w:rPr>
        <w:t xml:space="preserve"> support access to services in appropriate outpatient settings,</w:t>
      </w:r>
      <w:r w:rsidR="00FF0931" w:rsidRPr="0506BC97">
        <w:rPr>
          <w:rFonts w:asciiTheme="minorHAnsi" w:hAnsiTheme="minorHAnsi"/>
        </w:rPr>
        <w:t xml:space="preserve"> thereby</w:t>
      </w:r>
      <w:r w:rsidR="003F7CB5" w:rsidRPr="0506BC97">
        <w:rPr>
          <w:rFonts w:asciiTheme="minorHAnsi" w:hAnsiTheme="minorHAnsi"/>
        </w:rPr>
        <w:t xml:space="preserve"> improv</w:t>
      </w:r>
      <w:r w:rsidR="00FF0931" w:rsidRPr="0506BC97">
        <w:rPr>
          <w:rFonts w:asciiTheme="minorHAnsi" w:hAnsiTheme="minorHAnsi"/>
        </w:rPr>
        <w:t>ing</w:t>
      </w:r>
      <w:r w:rsidR="003F7CB5" w:rsidRPr="0506BC97">
        <w:rPr>
          <w:rFonts w:asciiTheme="minorHAnsi" w:hAnsiTheme="minorHAnsi"/>
        </w:rPr>
        <w:t xml:space="preserve"> patient throughput </w:t>
      </w:r>
      <w:r w:rsidR="000E2236" w:rsidRPr="0506BC97">
        <w:rPr>
          <w:rFonts w:asciiTheme="minorHAnsi" w:hAnsiTheme="minorHAnsi"/>
        </w:rPr>
        <w:t xml:space="preserve">in hospital settings </w:t>
      </w:r>
      <w:r w:rsidR="003F7CB5" w:rsidRPr="0506BC97">
        <w:rPr>
          <w:rFonts w:asciiTheme="minorHAnsi" w:hAnsiTheme="minorHAnsi"/>
        </w:rPr>
        <w:t>and reduc</w:t>
      </w:r>
      <w:r w:rsidR="00FF0931" w:rsidRPr="0506BC97">
        <w:rPr>
          <w:rFonts w:asciiTheme="minorHAnsi" w:hAnsiTheme="minorHAnsi"/>
        </w:rPr>
        <w:t>ing</w:t>
      </w:r>
      <w:r w:rsidR="003F7CB5" w:rsidRPr="0506BC97">
        <w:rPr>
          <w:rFonts w:asciiTheme="minorHAnsi" w:hAnsiTheme="minorHAnsi"/>
        </w:rPr>
        <w:t xml:space="preserve"> the average length of stay at the MGB AMCs</w:t>
      </w:r>
      <w:r w:rsidR="000E2236" w:rsidRPr="0506BC97">
        <w:rPr>
          <w:rFonts w:asciiTheme="minorHAnsi" w:hAnsiTheme="minorHAnsi"/>
        </w:rPr>
        <w:t xml:space="preserve"> for patients requiring hospital-based endoscopy services. </w:t>
      </w:r>
      <w:r w:rsidR="003F7CB5" w:rsidRPr="0506BC97">
        <w:rPr>
          <w:rFonts w:asciiTheme="minorHAnsi" w:hAnsiTheme="minorHAnsi"/>
        </w:rPr>
        <w:t>Between 2022 and 202</w:t>
      </w:r>
      <w:r w:rsidR="00CF6C5E" w:rsidRPr="0506BC97">
        <w:rPr>
          <w:rFonts w:asciiTheme="minorHAnsi" w:hAnsiTheme="minorHAnsi"/>
        </w:rPr>
        <w:t>5</w:t>
      </w:r>
      <w:r w:rsidR="003F7CB5" w:rsidRPr="0506BC97">
        <w:rPr>
          <w:rFonts w:asciiTheme="minorHAnsi" w:hAnsiTheme="minorHAnsi"/>
        </w:rPr>
        <w:t xml:space="preserve">, inpatient endoscopy procedures at the AMCs increased </w:t>
      </w:r>
      <w:r w:rsidR="009E6DC9" w:rsidRPr="0506BC97">
        <w:rPr>
          <w:rFonts w:asciiTheme="minorHAnsi" w:hAnsiTheme="minorHAnsi"/>
        </w:rPr>
        <w:t>19</w:t>
      </w:r>
      <w:r w:rsidR="003F7CB5" w:rsidRPr="0506BC97">
        <w:rPr>
          <w:rFonts w:asciiTheme="minorHAnsi" w:hAnsiTheme="minorHAnsi"/>
        </w:rPr>
        <w:t xml:space="preserve">%, resulting in higher-than-expected utilization. </w:t>
      </w:r>
      <w:r w:rsidR="00BC3479" w:rsidRPr="0506BC97">
        <w:rPr>
          <w:rFonts w:asciiTheme="minorHAnsi" w:hAnsiTheme="minorHAnsi"/>
        </w:rPr>
        <w:t>The Applicant reports that t</w:t>
      </w:r>
      <w:r w:rsidR="003F7CB5" w:rsidRPr="0506BC97">
        <w:rPr>
          <w:rFonts w:asciiTheme="minorHAnsi" w:hAnsiTheme="minorHAnsi"/>
        </w:rPr>
        <w:t xml:space="preserve">his translates into </w:t>
      </w:r>
      <w:r w:rsidR="003F63DD" w:rsidRPr="0506BC97">
        <w:rPr>
          <w:rFonts w:asciiTheme="minorHAnsi" w:hAnsiTheme="minorHAnsi"/>
        </w:rPr>
        <w:t>increased</w:t>
      </w:r>
      <w:r w:rsidR="003F7CB5" w:rsidRPr="0506BC97">
        <w:rPr>
          <w:rFonts w:asciiTheme="minorHAnsi" w:hAnsiTheme="minorHAnsi"/>
        </w:rPr>
        <w:t xml:space="preserve"> inpatient </w:t>
      </w:r>
      <w:r w:rsidR="003F63DD" w:rsidRPr="0506BC97">
        <w:rPr>
          <w:rFonts w:asciiTheme="minorHAnsi" w:hAnsiTheme="minorHAnsi"/>
        </w:rPr>
        <w:t xml:space="preserve">endoscopy </w:t>
      </w:r>
      <w:r w:rsidR="003F7CB5" w:rsidRPr="0506BC97">
        <w:rPr>
          <w:rFonts w:asciiTheme="minorHAnsi" w:hAnsiTheme="minorHAnsi"/>
        </w:rPr>
        <w:t>wait times at the MGB AMC</w:t>
      </w:r>
      <w:r w:rsidR="00577B5F" w:rsidRPr="0506BC97">
        <w:rPr>
          <w:rFonts w:asciiTheme="minorHAnsi" w:hAnsiTheme="minorHAnsi"/>
        </w:rPr>
        <w:t>s</w:t>
      </w:r>
      <w:r w:rsidR="003F7CB5" w:rsidRPr="0506BC97">
        <w:rPr>
          <w:rFonts w:asciiTheme="minorHAnsi" w:hAnsiTheme="minorHAnsi"/>
        </w:rPr>
        <w:t xml:space="preserve">, extending hospital stays by at least one day. </w:t>
      </w:r>
      <w:r w:rsidR="008841AD" w:rsidRPr="0506BC97">
        <w:rPr>
          <w:rFonts w:asciiTheme="minorHAnsi" w:hAnsiTheme="minorHAnsi"/>
        </w:rPr>
        <w:t>D</w:t>
      </w:r>
      <w:r w:rsidR="003F7CB5" w:rsidRPr="0506BC97">
        <w:rPr>
          <w:rFonts w:asciiTheme="minorHAnsi" w:hAnsiTheme="minorHAnsi"/>
        </w:rPr>
        <w:t xml:space="preserve">ischarge delays due to endoscopy procedures increase admission </w:t>
      </w:r>
      <w:r w:rsidR="00E2759A" w:rsidRPr="0506BC97">
        <w:rPr>
          <w:rFonts w:asciiTheme="minorHAnsi" w:hAnsiTheme="minorHAnsi"/>
        </w:rPr>
        <w:t>costs and</w:t>
      </w:r>
      <w:r w:rsidR="008841AD" w:rsidRPr="0506BC97">
        <w:rPr>
          <w:rFonts w:asciiTheme="minorHAnsi" w:hAnsiTheme="minorHAnsi"/>
        </w:rPr>
        <w:t xml:space="preserve"> also</w:t>
      </w:r>
      <w:r w:rsidR="003F7CB5" w:rsidRPr="0506BC97">
        <w:rPr>
          <w:rFonts w:asciiTheme="minorHAnsi" w:hAnsiTheme="minorHAnsi"/>
        </w:rPr>
        <w:t xml:space="preserve"> prevent </w:t>
      </w:r>
      <w:r w:rsidR="00FC68B4" w:rsidRPr="0506BC97">
        <w:rPr>
          <w:rFonts w:asciiTheme="minorHAnsi" w:hAnsiTheme="minorHAnsi"/>
        </w:rPr>
        <w:t xml:space="preserve">the availability of </w:t>
      </w:r>
      <w:r w:rsidR="003F7CB5" w:rsidRPr="0506BC97">
        <w:rPr>
          <w:rFonts w:asciiTheme="minorHAnsi" w:hAnsiTheme="minorHAnsi"/>
        </w:rPr>
        <w:t xml:space="preserve">inpatient beds </w:t>
      </w:r>
      <w:r w:rsidR="00FC68B4" w:rsidRPr="0506BC97">
        <w:rPr>
          <w:rFonts w:asciiTheme="minorHAnsi" w:hAnsiTheme="minorHAnsi"/>
        </w:rPr>
        <w:t xml:space="preserve">for </w:t>
      </w:r>
      <w:r w:rsidR="003F7CB5" w:rsidRPr="0506BC97">
        <w:rPr>
          <w:rFonts w:asciiTheme="minorHAnsi" w:hAnsiTheme="minorHAnsi"/>
        </w:rPr>
        <w:t xml:space="preserve">patients waiting in the ED or in community hospitals who require care only available at an AMC. </w:t>
      </w:r>
      <w:r w:rsidR="00DE72AE" w:rsidRPr="0506BC97">
        <w:rPr>
          <w:rFonts w:asciiTheme="minorHAnsi" w:hAnsiTheme="minorHAnsi"/>
        </w:rPr>
        <w:t xml:space="preserve">Reducing reliance on </w:t>
      </w:r>
      <w:r w:rsidR="00A31EDE" w:rsidRPr="0506BC97">
        <w:rPr>
          <w:rFonts w:asciiTheme="minorHAnsi" w:hAnsiTheme="minorHAnsi"/>
        </w:rPr>
        <w:t xml:space="preserve">outpatient </w:t>
      </w:r>
      <w:r w:rsidR="00DE72AE" w:rsidRPr="0506BC97">
        <w:rPr>
          <w:rFonts w:asciiTheme="minorHAnsi" w:hAnsiTheme="minorHAnsi"/>
        </w:rPr>
        <w:t xml:space="preserve">endoscopy </w:t>
      </w:r>
      <w:r w:rsidR="00A31EDE" w:rsidRPr="0506BC97">
        <w:rPr>
          <w:rFonts w:asciiTheme="minorHAnsi" w:hAnsiTheme="minorHAnsi"/>
        </w:rPr>
        <w:t xml:space="preserve">procedures at </w:t>
      </w:r>
      <w:r w:rsidR="00DE72AE" w:rsidRPr="0506BC97">
        <w:rPr>
          <w:rFonts w:asciiTheme="minorHAnsi" w:hAnsiTheme="minorHAnsi"/>
        </w:rPr>
        <w:t>the AMCs</w:t>
      </w:r>
      <w:r w:rsidR="00A31EDE" w:rsidRPr="0506BC97">
        <w:rPr>
          <w:rFonts w:asciiTheme="minorHAnsi" w:hAnsiTheme="minorHAnsi"/>
        </w:rPr>
        <w:t xml:space="preserve"> is likely to</w:t>
      </w:r>
      <w:r w:rsidR="00DE72AE" w:rsidRPr="0506BC97">
        <w:rPr>
          <w:rFonts w:asciiTheme="minorHAnsi" w:hAnsiTheme="minorHAnsi"/>
        </w:rPr>
        <w:t xml:space="preserve"> </w:t>
      </w:r>
      <w:r w:rsidR="530C3CA7" w:rsidRPr="0506BC97">
        <w:rPr>
          <w:rFonts w:asciiTheme="minorHAnsi" w:hAnsiTheme="minorHAnsi"/>
        </w:rPr>
        <w:t>i</w:t>
      </w:r>
      <w:r w:rsidR="003F7CB5" w:rsidRPr="0506BC97">
        <w:rPr>
          <w:rFonts w:asciiTheme="minorHAnsi" w:hAnsiTheme="minorHAnsi"/>
        </w:rPr>
        <w:t>mprov</w:t>
      </w:r>
      <w:r w:rsidR="00A31EDE" w:rsidRPr="0506BC97">
        <w:rPr>
          <w:rFonts w:asciiTheme="minorHAnsi" w:hAnsiTheme="minorHAnsi"/>
        </w:rPr>
        <w:t>e</w:t>
      </w:r>
      <w:r w:rsidR="003F7CB5" w:rsidRPr="0506BC97">
        <w:rPr>
          <w:rFonts w:asciiTheme="minorHAnsi" w:hAnsiTheme="minorHAnsi"/>
        </w:rPr>
        <w:t xml:space="preserve"> inpatient throughput</w:t>
      </w:r>
      <w:r w:rsidR="00A31EDE" w:rsidRPr="0506BC97">
        <w:rPr>
          <w:rFonts w:asciiTheme="minorHAnsi" w:hAnsiTheme="minorHAnsi"/>
        </w:rPr>
        <w:t>, thereby</w:t>
      </w:r>
      <w:r w:rsidR="003F7CB5" w:rsidRPr="0506BC97">
        <w:rPr>
          <w:rFonts w:asciiTheme="minorHAnsi" w:hAnsiTheme="minorHAnsi"/>
        </w:rPr>
        <w:t xml:space="preserve"> reduc</w:t>
      </w:r>
      <w:r w:rsidR="00A31EDE" w:rsidRPr="0506BC97">
        <w:rPr>
          <w:rFonts w:asciiTheme="minorHAnsi" w:hAnsiTheme="minorHAnsi"/>
        </w:rPr>
        <w:t>ing</w:t>
      </w:r>
      <w:r w:rsidR="003F7CB5" w:rsidRPr="0506BC97">
        <w:rPr>
          <w:rFonts w:asciiTheme="minorHAnsi" w:hAnsiTheme="minorHAnsi"/>
        </w:rPr>
        <w:t xml:space="preserve"> medical costs.</w:t>
      </w:r>
    </w:p>
    <w:p w14:paraId="57242ED0" w14:textId="1BE08CAD" w:rsidR="00236E0F" w:rsidRPr="00FC68B4" w:rsidRDefault="00067661" w:rsidP="00FC68B4">
      <w:pPr>
        <w:pStyle w:val="ListParagraph"/>
        <w:numPr>
          <w:ilvl w:val="0"/>
          <w:numId w:val="21"/>
        </w:numPr>
        <w:spacing w:after="120"/>
        <w:rPr>
          <w:rFonts w:asciiTheme="minorHAnsi" w:hAnsiTheme="minorHAnsi"/>
          <w:bCs/>
          <w:szCs w:val="24"/>
        </w:rPr>
      </w:pPr>
      <w:r w:rsidRPr="00FC68B4">
        <w:rPr>
          <w:rFonts w:asciiTheme="minorHAnsi" w:hAnsiTheme="minorHAnsi"/>
          <w:b/>
          <w:i/>
          <w:iCs/>
          <w:szCs w:val="24"/>
        </w:rPr>
        <w:t>Cost Savings to Payers:</w:t>
      </w:r>
      <w:r w:rsidRPr="00FC68B4">
        <w:rPr>
          <w:rFonts w:asciiTheme="minorHAnsi" w:hAnsiTheme="minorHAnsi"/>
          <w:bCs/>
          <w:szCs w:val="24"/>
        </w:rPr>
        <w:t xml:space="preserve"> The Applicant </w:t>
      </w:r>
      <w:r w:rsidR="00236E0F" w:rsidRPr="00FC68B4">
        <w:rPr>
          <w:rFonts w:asciiTheme="minorHAnsi" w:hAnsiTheme="minorHAnsi"/>
          <w:bCs/>
          <w:szCs w:val="24"/>
        </w:rPr>
        <w:t>states that</w:t>
      </w:r>
      <w:r w:rsidR="003F7CB5" w:rsidRPr="00FC68B4">
        <w:rPr>
          <w:rFonts w:asciiTheme="minorHAnsi" w:hAnsiTheme="minorHAnsi"/>
          <w:bCs/>
          <w:szCs w:val="24"/>
        </w:rPr>
        <w:t xml:space="preserve"> ASCs present cost-saving opportunity for payers through lower overall prices and TME. On average, Medicare reimburses ASCs at just 58% of the rates paid to HOPDs for the same procedures.</w:t>
      </w:r>
      <w:r w:rsidR="008A75A0" w:rsidRPr="003F7CB5">
        <w:rPr>
          <w:rStyle w:val="EndnoteReference"/>
          <w:rFonts w:asciiTheme="minorHAnsi" w:hAnsiTheme="minorHAnsi"/>
          <w:bCs/>
          <w:szCs w:val="24"/>
        </w:rPr>
        <w:endnoteReference w:id="30"/>
      </w:r>
      <w:r w:rsidR="008A75A0" w:rsidRPr="00FC68B4">
        <w:rPr>
          <w:rFonts w:asciiTheme="minorHAnsi" w:hAnsiTheme="minorHAnsi"/>
          <w:bCs/>
          <w:szCs w:val="24"/>
        </w:rPr>
        <w:t xml:space="preserve"> This pricing differential results in more than $4.2 billion in annual Medicare savings when low-acuity procedures are</w:t>
      </w:r>
      <w:r w:rsidR="00875CAE">
        <w:rPr>
          <w:rFonts w:asciiTheme="minorHAnsi" w:hAnsiTheme="minorHAnsi"/>
          <w:bCs/>
          <w:szCs w:val="24"/>
        </w:rPr>
        <w:t xml:space="preserve"> </w:t>
      </w:r>
      <w:r w:rsidR="008A75A0" w:rsidRPr="00FC68B4">
        <w:rPr>
          <w:rFonts w:asciiTheme="minorHAnsi" w:hAnsiTheme="minorHAnsi"/>
          <w:bCs/>
          <w:szCs w:val="24"/>
        </w:rPr>
        <w:t>performed in ASCs rather than HOPDs.</w:t>
      </w:r>
      <w:r w:rsidR="008A75A0" w:rsidRPr="003F7CB5">
        <w:rPr>
          <w:rStyle w:val="EndnoteReference"/>
          <w:rFonts w:asciiTheme="minorHAnsi" w:hAnsiTheme="minorHAnsi"/>
          <w:bCs/>
          <w:szCs w:val="24"/>
        </w:rPr>
        <w:endnoteReference w:id="31"/>
      </w:r>
      <w:r w:rsidR="008A75A0" w:rsidRPr="00FC68B4">
        <w:rPr>
          <w:rFonts w:asciiTheme="minorHAnsi" w:hAnsiTheme="minorHAnsi"/>
          <w:bCs/>
          <w:szCs w:val="24"/>
        </w:rPr>
        <w:t xml:space="preserve"> ASCs are projected to generate approximately $73.4 billion in Medicare savings between </w:t>
      </w:r>
      <w:r w:rsidR="008A75A0" w:rsidRPr="0040090A">
        <w:rPr>
          <w:rFonts w:asciiTheme="minorHAnsi" w:hAnsiTheme="minorHAnsi"/>
          <w:bCs/>
          <w:szCs w:val="24"/>
        </w:rPr>
        <w:t>2019 and 2028.</w:t>
      </w:r>
      <w:r w:rsidR="008A75A0" w:rsidRPr="0040090A">
        <w:rPr>
          <w:rStyle w:val="EndnoteReference"/>
          <w:rFonts w:asciiTheme="minorHAnsi" w:hAnsiTheme="minorHAnsi"/>
          <w:bCs/>
          <w:szCs w:val="24"/>
        </w:rPr>
        <w:endnoteReference w:id="32"/>
      </w:r>
      <w:r w:rsidR="008A75A0" w:rsidRPr="0040090A">
        <w:rPr>
          <w:rFonts w:asciiTheme="minorHAnsi" w:hAnsiTheme="minorHAnsi"/>
          <w:bCs/>
          <w:szCs w:val="24"/>
        </w:rPr>
        <w:t xml:space="preserve"> </w:t>
      </w:r>
      <w:r w:rsidR="00776873" w:rsidRPr="0040090A">
        <w:rPr>
          <w:rFonts w:asciiTheme="minorHAnsi" w:hAnsiTheme="minorHAnsi"/>
          <w:bCs/>
          <w:szCs w:val="24"/>
        </w:rPr>
        <w:t xml:space="preserve">As of </w:t>
      </w:r>
      <w:r w:rsidR="0040090A" w:rsidRPr="00FC54A0">
        <w:rPr>
          <w:rFonts w:asciiTheme="minorHAnsi" w:hAnsiTheme="minorHAnsi"/>
          <w:szCs w:val="24"/>
        </w:rPr>
        <w:t>2024, annual savings to Medicare from ACSs was $2.3 billion.</w:t>
      </w:r>
      <w:r w:rsidR="0040090A">
        <w:rPr>
          <w:rStyle w:val="EndnoteReference"/>
          <w:rFonts w:asciiTheme="minorHAnsi" w:hAnsiTheme="minorHAnsi"/>
          <w:szCs w:val="24"/>
        </w:rPr>
        <w:endnoteReference w:id="33"/>
      </w:r>
      <w:r w:rsidR="0040090A" w:rsidRPr="00507EB3">
        <w:rPr>
          <w:rFonts w:ascii="Aptos" w:hAnsi="Aptos"/>
        </w:rPr>
        <w:t xml:space="preserve"> </w:t>
      </w:r>
      <w:r w:rsidR="003F7CB5" w:rsidRPr="00FC68B4">
        <w:rPr>
          <w:rFonts w:asciiTheme="minorHAnsi" w:hAnsiTheme="minorHAnsi"/>
          <w:bCs/>
          <w:szCs w:val="24"/>
        </w:rPr>
        <w:t xml:space="preserve">The potential for a high rate of savings extends beyond Medicare, and can benefit Medicaid and commercial payers as well. </w:t>
      </w:r>
      <w:r w:rsidR="003F7CB5" w:rsidRPr="00FC68B4">
        <w:rPr>
          <w:rFonts w:asciiTheme="minorHAnsi" w:eastAsia="Arial" w:hAnsiTheme="minorHAnsi"/>
          <w:szCs w:val="24"/>
        </w:rPr>
        <w:t xml:space="preserve">Table </w:t>
      </w:r>
      <w:r w:rsidR="007776C0">
        <w:rPr>
          <w:rFonts w:asciiTheme="minorHAnsi" w:eastAsia="Arial" w:hAnsiTheme="minorHAnsi"/>
          <w:szCs w:val="24"/>
        </w:rPr>
        <w:t>12</w:t>
      </w:r>
      <w:r w:rsidR="003F7CB5" w:rsidRPr="00FC68B4">
        <w:rPr>
          <w:rFonts w:asciiTheme="minorHAnsi" w:eastAsia="Arial" w:hAnsiTheme="minorHAnsi"/>
          <w:szCs w:val="24"/>
        </w:rPr>
        <w:t xml:space="preserve"> below presents </w:t>
      </w:r>
      <w:r w:rsidR="003F7CB5" w:rsidRPr="00FC68B4">
        <w:rPr>
          <w:rFonts w:asciiTheme="minorHAnsi" w:eastAsia="Arial" w:hAnsiTheme="minorHAnsi"/>
          <w:szCs w:val="24"/>
        </w:rPr>
        <w:lastRenderedPageBreak/>
        <w:t xml:space="preserve">2025 Medicare cost comparisons for common endoscopy services performed in ASCs and HOPDs. </w:t>
      </w:r>
    </w:p>
    <w:p w14:paraId="289A69BB" w14:textId="77777777" w:rsidR="00236E0F" w:rsidRDefault="00236E0F" w:rsidP="003F7CB5">
      <w:pPr>
        <w:rPr>
          <w:rFonts w:asciiTheme="minorHAnsi" w:eastAsia="Arial" w:hAnsiTheme="minorHAnsi"/>
          <w:szCs w:val="24"/>
        </w:rPr>
      </w:pPr>
    </w:p>
    <w:p w14:paraId="4E57D09A" w14:textId="635F865D" w:rsidR="00236E0F" w:rsidRPr="003F7CB5" w:rsidRDefault="00236E0F" w:rsidP="00875CAE">
      <w:pPr>
        <w:jc w:val="center"/>
        <w:rPr>
          <w:rFonts w:asciiTheme="minorHAnsi" w:hAnsiTheme="minorHAnsi"/>
          <w:bCs/>
          <w:szCs w:val="24"/>
        </w:rPr>
      </w:pPr>
      <w:bookmarkStart w:id="24" w:name="_Hlk203031196"/>
      <w:r w:rsidRPr="003F087B">
        <w:rPr>
          <w:rFonts w:asciiTheme="minorHAnsi" w:hAnsiTheme="minorHAnsi"/>
          <w:b/>
          <w:szCs w:val="24"/>
          <w:u w:val="single"/>
        </w:rPr>
        <w:t xml:space="preserve">Table </w:t>
      </w:r>
      <w:r w:rsidR="007776C0">
        <w:rPr>
          <w:rFonts w:asciiTheme="minorHAnsi" w:hAnsiTheme="minorHAnsi"/>
          <w:b/>
          <w:szCs w:val="24"/>
          <w:u w:val="single"/>
        </w:rPr>
        <w:t>12</w:t>
      </w:r>
      <w:r w:rsidRPr="003F087B">
        <w:rPr>
          <w:rFonts w:asciiTheme="minorHAnsi" w:hAnsiTheme="minorHAnsi"/>
          <w:b/>
          <w:szCs w:val="24"/>
          <w:u w:val="single"/>
        </w:rPr>
        <w:t>:</w:t>
      </w:r>
      <w:r w:rsidRPr="003F7CB5">
        <w:rPr>
          <w:rFonts w:asciiTheme="minorHAnsi" w:hAnsiTheme="minorHAnsi"/>
          <w:b/>
          <w:szCs w:val="24"/>
        </w:rPr>
        <w:t xml:space="preserve"> 2025 Medicare Endoscopy Services Cost by Setting</w:t>
      </w:r>
      <w:bookmarkEnd w:id="24"/>
      <w:r w:rsidRPr="003F7CB5">
        <w:rPr>
          <w:rStyle w:val="FootnoteReference"/>
          <w:rFonts w:asciiTheme="minorHAnsi" w:hAnsiTheme="minorHAnsi"/>
          <w:bCs/>
          <w:szCs w:val="24"/>
        </w:rPr>
        <w:footnoteReference w:id="28"/>
      </w:r>
    </w:p>
    <w:tbl>
      <w:tblPr>
        <w:tblW w:w="9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47"/>
        <w:gridCol w:w="1625"/>
        <w:gridCol w:w="1626"/>
        <w:gridCol w:w="1626"/>
        <w:gridCol w:w="1626"/>
      </w:tblGrid>
      <w:tr w:rsidR="00236E0F" w:rsidRPr="003F7CB5" w14:paraId="2CE37C19" w14:textId="77777777" w:rsidTr="00223EC1">
        <w:trPr>
          <w:cantSplit/>
          <w:trHeight w:val="570"/>
          <w:tblHeader/>
          <w:jc w:val="center"/>
        </w:trPr>
        <w:tc>
          <w:tcPr>
            <w:tcW w:w="2847" w:type="dxa"/>
            <w:shd w:val="clear" w:color="auto" w:fill="D9D9D9" w:themeFill="background1" w:themeFillShade="D9"/>
            <w:vAlign w:val="center"/>
            <w:hideMark/>
          </w:tcPr>
          <w:p w14:paraId="19EA8548" w14:textId="77777777" w:rsidR="00236E0F" w:rsidRPr="003F087B" w:rsidRDefault="00236E0F">
            <w:pPr>
              <w:rPr>
                <w:rFonts w:asciiTheme="minorHAnsi" w:hAnsiTheme="minorHAnsi"/>
                <w:b/>
                <w:bCs/>
                <w:color w:val="000000" w:themeColor="text1"/>
                <w:szCs w:val="24"/>
              </w:rPr>
            </w:pPr>
            <w:r w:rsidRPr="003F087B">
              <w:rPr>
                <w:rFonts w:asciiTheme="minorHAnsi" w:hAnsiTheme="minorHAnsi"/>
                <w:b/>
                <w:bCs/>
                <w:color w:val="000000" w:themeColor="text1"/>
                <w:szCs w:val="24"/>
              </w:rPr>
              <w:t>Procedure</w:t>
            </w:r>
          </w:p>
        </w:tc>
        <w:tc>
          <w:tcPr>
            <w:tcW w:w="1625" w:type="dxa"/>
            <w:shd w:val="clear" w:color="auto" w:fill="D9D9D9" w:themeFill="background1" w:themeFillShade="D9"/>
            <w:vAlign w:val="center"/>
            <w:hideMark/>
          </w:tcPr>
          <w:p w14:paraId="5507CCC2" w14:textId="77777777" w:rsidR="00236E0F" w:rsidRPr="003F087B" w:rsidRDefault="00236E0F">
            <w:pPr>
              <w:rPr>
                <w:rFonts w:asciiTheme="minorHAnsi" w:hAnsiTheme="minorHAnsi"/>
                <w:b/>
                <w:bCs/>
                <w:color w:val="000000" w:themeColor="text1"/>
                <w:szCs w:val="24"/>
              </w:rPr>
            </w:pPr>
            <w:r w:rsidRPr="003F087B">
              <w:rPr>
                <w:rFonts w:asciiTheme="minorHAnsi" w:hAnsiTheme="minorHAnsi"/>
                <w:b/>
                <w:bCs/>
                <w:color w:val="000000" w:themeColor="text1"/>
                <w:szCs w:val="24"/>
              </w:rPr>
              <w:t>ASC Cost</w:t>
            </w:r>
          </w:p>
        </w:tc>
        <w:tc>
          <w:tcPr>
            <w:tcW w:w="1626" w:type="dxa"/>
            <w:shd w:val="clear" w:color="auto" w:fill="D9D9D9" w:themeFill="background1" w:themeFillShade="D9"/>
            <w:vAlign w:val="center"/>
            <w:hideMark/>
          </w:tcPr>
          <w:p w14:paraId="274711C2" w14:textId="77777777" w:rsidR="00236E0F" w:rsidRPr="003F087B" w:rsidRDefault="00236E0F">
            <w:pPr>
              <w:rPr>
                <w:rFonts w:asciiTheme="minorHAnsi" w:hAnsiTheme="minorHAnsi"/>
                <w:b/>
                <w:bCs/>
                <w:color w:val="000000" w:themeColor="text1"/>
                <w:szCs w:val="24"/>
              </w:rPr>
            </w:pPr>
            <w:r w:rsidRPr="003F087B">
              <w:rPr>
                <w:rFonts w:asciiTheme="minorHAnsi" w:hAnsiTheme="minorHAnsi"/>
                <w:b/>
                <w:bCs/>
                <w:color w:val="000000" w:themeColor="text1"/>
                <w:szCs w:val="24"/>
              </w:rPr>
              <w:t>HOPD Cost</w:t>
            </w:r>
          </w:p>
        </w:tc>
        <w:tc>
          <w:tcPr>
            <w:tcW w:w="1626" w:type="dxa"/>
            <w:shd w:val="clear" w:color="auto" w:fill="D9D9D9" w:themeFill="background1" w:themeFillShade="D9"/>
            <w:vAlign w:val="center"/>
            <w:hideMark/>
          </w:tcPr>
          <w:p w14:paraId="6C810CCD" w14:textId="77777777" w:rsidR="00236E0F" w:rsidRPr="003F087B" w:rsidRDefault="00236E0F">
            <w:pPr>
              <w:rPr>
                <w:rFonts w:asciiTheme="minorHAnsi" w:hAnsiTheme="minorHAnsi"/>
                <w:b/>
                <w:bCs/>
                <w:color w:val="000000" w:themeColor="text1"/>
                <w:szCs w:val="24"/>
              </w:rPr>
            </w:pPr>
            <w:r w:rsidRPr="003F087B">
              <w:rPr>
                <w:rFonts w:asciiTheme="minorHAnsi" w:hAnsiTheme="minorHAnsi"/>
                <w:b/>
                <w:bCs/>
                <w:color w:val="000000" w:themeColor="text1"/>
                <w:szCs w:val="24"/>
              </w:rPr>
              <w:t xml:space="preserve">Cost Savings </w:t>
            </w:r>
          </w:p>
          <w:p w14:paraId="2DD4FFB2" w14:textId="77777777" w:rsidR="00236E0F" w:rsidRPr="003F087B" w:rsidRDefault="00236E0F">
            <w:pPr>
              <w:rPr>
                <w:rFonts w:asciiTheme="minorHAnsi" w:hAnsiTheme="minorHAnsi"/>
                <w:b/>
                <w:bCs/>
                <w:color w:val="000000" w:themeColor="text1"/>
                <w:szCs w:val="24"/>
              </w:rPr>
            </w:pPr>
            <w:r w:rsidRPr="003F087B">
              <w:rPr>
                <w:rFonts w:asciiTheme="minorHAnsi" w:hAnsiTheme="minorHAnsi"/>
                <w:b/>
                <w:bCs/>
                <w:color w:val="000000" w:themeColor="text1"/>
                <w:szCs w:val="24"/>
              </w:rPr>
              <w:t>of ASC ($)</w:t>
            </w:r>
          </w:p>
        </w:tc>
        <w:tc>
          <w:tcPr>
            <w:tcW w:w="1626" w:type="dxa"/>
            <w:shd w:val="clear" w:color="auto" w:fill="D9D9D9" w:themeFill="background1" w:themeFillShade="D9"/>
          </w:tcPr>
          <w:p w14:paraId="5F6226CE" w14:textId="77777777" w:rsidR="00236E0F" w:rsidRPr="003F087B" w:rsidRDefault="00236E0F">
            <w:pPr>
              <w:rPr>
                <w:rFonts w:asciiTheme="minorHAnsi" w:hAnsiTheme="minorHAnsi"/>
                <w:b/>
                <w:bCs/>
                <w:color w:val="000000" w:themeColor="text1"/>
                <w:szCs w:val="24"/>
              </w:rPr>
            </w:pPr>
            <w:r w:rsidRPr="003F087B">
              <w:rPr>
                <w:rFonts w:asciiTheme="minorHAnsi" w:hAnsiTheme="minorHAnsi"/>
                <w:b/>
                <w:bCs/>
                <w:color w:val="000000" w:themeColor="text1"/>
                <w:szCs w:val="24"/>
              </w:rPr>
              <w:t xml:space="preserve">Cost Savings </w:t>
            </w:r>
          </w:p>
          <w:p w14:paraId="53779031" w14:textId="77777777" w:rsidR="00236E0F" w:rsidRPr="003F087B" w:rsidRDefault="00236E0F">
            <w:pPr>
              <w:rPr>
                <w:rFonts w:asciiTheme="minorHAnsi" w:hAnsiTheme="minorHAnsi"/>
                <w:b/>
                <w:bCs/>
                <w:color w:val="000000" w:themeColor="text1"/>
                <w:szCs w:val="24"/>
              </w:rPr>
            </w:pPr>
            <w:r w:rsidRPr="003F087B">
              <w:rPr>
                <w:rFonts w:asciiTheme="minorHAnsi" w:hAnsiTheme="minorHAnsi"/>
                <w:b/>
                <w:bCs/>
                <w:color w:val="000000" w:themeColor="text1"/>
                <w:szCs w:val="24"/>
              </w:rPr>
              <w:t>of ASC (%)</w:t>
            </w:r>
          </w:p>
        </w:tc>
      </w:tr>
      <w:tr w:rsidR="00236E0F" w:rsidRPr="003F7CB5" w14:paraId="5D9465D4" w14:textId="77777777" w:rsidTr="00223EC1">
        <w:trPr>
          <w:cantSplit/>
          <w:trHeight w:val="300"/>
          <w:jc w:val="center"/>
        </w:trPr>
        <w:tc>
          <w:tcPr>
            <w:tcW w:w="2847" w:type="dxa"/>
            <w:vAlign w:val="center"/>
            <w:hideMark/>
          </w:tcPr>
          <w:p w14:paraId="2E1C8BD2" w14:textId="77777777" w:rsidR="00236E0F" w:rsidRPr="003F7CB5" w:rsidRDefault="00236E0F">
            <w:pPr>
              <w:spacing w:after="40"/>
              <w:rPr>
                <w:rFonts w:asciiTheme="minorHAnsi" w:hAnsiTheme="minorHAnsi"/>
                <w:b/>
                <w:bCs/>
                <w:color w:val="000000"/>
                <w:szCs w:val="24"/>
              </w:rPr>
            </w:pPr>
            <w:bookmarkStart w:id="25" w:name="RANGE!A2"/>
            <w:bookmarkStart w:id="26" w:name="_Hlk202868477"/>
            <w:r w:rsidRPr="003F7CB5">
              <w:rPr>
                <w:rFonts w:asciiTheme="minorHAnsi" w:hAnsiTheme="minorHAnsi"/>
                <w:b/>
                <w:bCs/>
                <w:color w:val="000000"/>
                <w:szCs w:val="24"/>
              </w:rPr>
              <w:t>Enteroscopy - Diagnostic</w:t>
            </w:r>
            <w:bookmarkEnd w:id="25"/>
          </w:p>
        </w:tc>
        <w:tc>
          <w:tcPr>
            <w:tcW w:w="1625" w:type="dxa"/>
            <w:vAlign w:val="center"/>
            <w:hideMark/>
          </w:tcPr>
          <w:p w14:paraId="182CCEBC" w14:textId="77777777" w:rsidR="00236E0F" w:rsidRPr="003F7CB5" w:rsidRDefault="00236E0F">
            <w:pPr>
              <w:spacing w:after="40"/>
              <w:rPr>
                <w:rFonts w:asciiTheme="minorHAnsi" w:hAnsiTheme="minorHAnsi"/>
                <w:color w:val="000000"/>
                <w:szCs w:val="24"/>
              </w:rPr>
            </w:pPr>
            <w:r w:rsidRPr="003F7CB5">
              <w:rPr>
                <w:rFonts w:asciiTheme="minorHAnsi" w:hAnsiTheme="minorHAnsi"/>
                <w:bCs/>
                <w:color w:val="000000"/>
                <w:szCs w:val="24"/>
              </w:rPr>
              <w:t xml:space="preserve">$1,001 </w:t>
            </w:r>
          </w:p>
        </w:tc>
        <w:tc>
          <w:tcPr>
            <w:tcW w:w="1626" w:type="dxa"/>
            <w:vAlign w:val="center"/>
            <w:hideMark/>
          </w:tcPr>
          <w:p w14:paraId="0A03B4CD" w14:textId="77777777" w:rsidR="00236E0F" w:rsidRPr="003F7CB5" w:rsidRDefault="00236E0F">
            <w:pPr>
              <w:spacing w:after="40"/>
              <w:rPr>
                <w:rFonts w:asciiTheme="minorHAnsi" w:hAnsiTheme="minorHAnsi"/>
                <w:color w:val="000000"/>
                <w:szCs w:val="24"/>
              </w:rPr>
            </w:pPr>
            <w:r w:rsidRPr="003F7CB5">
              <w:rPr>
                <w:rFonts w:asciiTheme="minorHAnsi" w:hAnsiTheme="minorHAnsi"/>
                <w:bCs/>
                <w:color w:val="000000"/>
                <w:szCs w:val="24"/>
              </w:rPr>
              <w:t xml:space="preserve">$2,033 </w:t>
            </w:r>
          </w:p>
        </w:tc>
        <w:tc>
          <w:tcPr>
            <w:tcW w:w="1626" w:type="dxa"/>
            <w:vAlign w:val="center"/>
          </w:tcPr>
          <w:p w14:paraId="4B3BE048" w14:textId="77777777" w:rsidR="00236E0F" w:rsidRPr="003F7CB5" w:rsidRDefault="00236E0F">
            <w:pPr>
              <w:spacing w:after="40"/>
              <w:rPr>
                <w:rFonts w:asciiTheme="minorHAnsi" w:hAnsiTheme="minorHAnsi"/>
                <w:color w:val="000000"/>
                <w:szCs w:val="24"/>
              </w:rPr>
            </w:pPr>
            <w:r w:rsidRPr="003F7CB5">
              <w:rPr>
                <w:rFonts w:asciiTheme="minorHAnsi" w:hAnsiTheme="minorHAnsi"/>
                <w:color w:val="000000"/>
                <w:szCs w:val="24"/>
              </w:rPr>
              <w:t>$1,032</w:t>
            </w:r>
          </w:p>
        </w:tc>
        <w:tc>
          <w:tcPr>
            <w:tcW w:w="1626" w:type="dxa"/>
            <w:vAlign w:val="center"/>
          </w:tcPr>
          <w:p w14:paraId="531812C1" w14:textId="77777777" w:rsidR="00236E0F" w:rsidRPr="003F7CB5" w:rsidRDefault="00236E0F">
            <w:pPr>
              <w:spacing w:after="40"/>
              <w:rPr>
                <w:rFonts w:asciiTheme="minorHAnsi" w:hAnsiTheme="minorHAnsi"/>
                <w:color w:val="000000"/>
                <w:szCs w:val="24"/>
              </w:rPr>
            </w:pPr>
            <w:r w:rsidRPr="003F7CB5">
              <w:rPr>
                <w:rFonts w:asciiTheme="minorHAnsi" w:hAnsiTheme="minorHAnsi"/>
                <w:color w:val="000000"/>
                <w:szCs w:val="24"/>
              </w:rPr>
              <w:t>51%</w:t>
            </w:r>
          </w:p>
        </w:tc>
      </w:tr>
      <w:tr w:rsidR="00236E0F" w:rsidRPr="003F7CB5" w14:paraId="3126BC79" w14:textId="77777777" w:rsidTr="00223EC1">
        <w:trPr>
          <w:cantSplit/>
          <w:trHeight w:val="300"/>
          <w:jc w:val="center"/>
        </w:trPr>
        <w:tc>
          <w:tcPr>
            <w:tcW w:w="2847" w:type="dxa"/>
            <w:vAlign w:val="center"/>
            <w:hideMark/>
          </w:tcPr>
          <w:p w14:paraId="21136F8D" w14:textId="77777777" w:rsidR="00236E0F" w:rsidRPr="003F7CB5" w:rsidRDefault="00236E0F">
            <w:pPr>
              <w:spacing w:after="40"/>
              <w:rPr>
                <w:rFonts w:asciiTheme="minorHAnsi" w:hAnsiTheme="minorHAnsi"/>
                <w:b/>
                <w:bCs/>
                <w:color w:val="000000"/>
                <w:szCs w:val="24"/>
              </w:rPr>
            </w:pPr>
            <w:r w:rsidRPr="003F7CB5">
              <w:rPr>
                <w:rFonts w:asciiTheme="minorHAnsi" w:hAnsiTheme="minorHAnsi"/>
                <w:b/>
                <w:bCs/>
                <w:color w:val="000000"/>
                <w:szCs w:val="24"/>
              </w:rPr>
              <w:t>Enteroscopy - Procedural</w:t>
            </w:r>
          </w:p>
        </w:tc>
        <w:tc>
          <w:tcPr>
            <w:tcW w:w="1625" w:type="dxa"/>
            <w:vAlign w:val="center"/>
            <w:hideMark/>
          </w:tcPr>
          <w:p w14:paraId="01AB3F88" w14:textId="77777777" w:rsidR="00236E0F" w:rsidRPr="003F7CB5" w:rsidRDefault="00236E0F">
            <w:pPr>
              <w:spacing w:after="40"/>
              <w:rPr>
                <w:rFonts w:asciiTheme="minorHAnsi" w:hAnsiTheme="minorHAnsi"/>
                <w:color w:val="000000"/>
                <w:szCs w:val="24"/>
              </w:rPr>
            </w:pPr>
            <w:r w:rsidRPr="003F7CB5">
              <w:rPr>
                <w:rFonts w:asciiTheme="minorHAnsi" w:hAnsiTheme="minorHAnsi"/>
                <w:bCs/>
                <w:color w:val="000000"/>
                <w:szCs w:val="24"/>
              </w:rPr>
              <w:t xml:space="preserve">$1,016 </w:t>
            </w:r>
          </w:p>
        </w:tc>
        <w:tc>
          <w:tcPr>
            <w:tcW w:w="1626" w:type="dxa"/>
            <w:vAlign w:val="center"/>
            <w:hideMark/>
          </w:tcPr>
          <w:p w14:paraId="21B0E693" w14:textId="77777777" w:rsidR="00236E0F" w:rsidRPr="003F7CB5" w:rsidRDefault="00236E0F">
            <w:pPr>
              <w:spacing w:after="40"/>
              <w:rPr>
                <w:rFonts w:asciiTheme="minorHAnsi" w:hAnsiTheme="minorHAnsi"/>
                <w:color w:val="000000"/>
                <w:szCs w:val="24"/>
              </w:rPr>
            </w:pPr>
            <w:r w:rsidRPr="003F7CB5">
              <w:rPr>
                <w:rFonts w:asciiTheme="minorHAnsi" w:hAnsiTheme="minorHAnsi"/>
                <w:bCs/>
                <w:color w:val="000000"/>
                <w:szCs w:val="24"/>
              </w:rPr>
              <w:t xml:space="preserve">$2,048 </w:t>
            </w:r>
          </w:p>
        </w:tc>
        <w:tc>
          <w:tcPr>
            <w:tcW w:w="1626" w:type="dxa"/>
            <w:vAlign w:val="center"/>
          </w:tcPr>
          <w:p w14:paraId="1A8A68A7" w14:textId="77777777" w:rsidR="00236E0F" w:rsidRPr="003F7CB5" w:rsidRDefault="00236E0F">
            <w:pPr>
              <w:spacing w:after="40"/>
              <w:rPr>
                <w:rFonts w:asciiTheme="minorHAnsi" w:hAnsiTheme="minorHAnsi"/>
                <w:color w:val="000000"/>
                <w:szCs w:val="24"/>
              </w:rPr>
            </w:pPr>
            <w:r w:rsidRPr="003F7CB5">
              <w:rPr>
                <w:rFonts w:asciiTheme="minorHAnsi" w:hAnsiTheme="minorHAnsi"/>
                <w:color w:val="000000"/>
                <w:szCs w:val="24"/>
              </w:rPr>
              <w:t>$1,032</w:t>
            </w:r>
          </w:p>
        </w:tc>
        <w:tc>
          <w:tcPr>
            <w:tcW w:w="1626" w:type="dxa"/>
            <w:vAlign w:val="center"/>
          </w:tcPr>
          <w:p w14:paraId="4ADD9194" w14:textId="77777777" w:rsidR="00236E0F" w:rsidRPr="003F7CB5" w:rsidRDefault="00236E0F">
            <w:pPr>
              <w:spacing w:after="40"/>
              <w:rPr>
                <w:rFonts w:asciiTheme="minorHAnsi" w:hAnsiTheme="minorHAnsi"/>
                <w:color w:val="000000"/>
                <w:szCs w:val="24"/>
              </w:rPr>
            </w:pPr>
            <w:r w:rsidRPr="003F7CB5">
              <w:rPr>
                <w:rFonts w:asciiTheme="minorHAnsi" w:hAnsiTheme="minorHAnsi"/>
                <w:color w:val="000000"/>
                <w:szCs w:val="24"/>
              </w:rPr>
              <w:t>50%</w:t>
            </w:r>
          </w:p>
        </w:tc>
      </w:tr>
      <w:tr w:rsidR="00236E0F" w:rsidRPr="003F7CB5" w14:paraId="42D4B60B" w14:textId="77777777" w:rsidTr="00223EC1">
        <w:trPr>
          <w:cantSplit/>
          <w:trHeight w:val="300"/>
          <w:jc w:val="center"/>
        </w:trPr>
        <w:tc>
          <w:tcPr>
            <w:tcW w:w="2847" w:type="dxa"/>
            <w:vAlign w:val="center"/>
            <w:hideMark/>
          </w:tcPr>
          <w:p w14:paraId="36194267" w14:textId="2D922CFF" w:rsidR="00236E0F" w:rsidRPr="003F7CB5" w:rsidRDefault="00236E0F">
            <w:pPr>
              <w:spacing w:after="40"/>
              <w:rPr>
                <w:rFonts w:asciiTheme="minorHAnsi" w:hAnsiTheme="minorHAnsi"/>
                <w:b/>
                <w:bCs/>
                <w:color w:val="000000"/>
                <w:szCs w:val="24"/>
              </w:rPr>
            </w:pPr>
            <w:r w:rsidRPr="003F7CB5">
              <w:rPr>
                <w:rFonts w:asciiTheme="minorHAnsi" w:hAnsiTheme="minorHAnsi"/>
                <w:b/>
                <w:bCs/>
                <w:color w:val="000000"/>
                <w:szCs w:val="24"/>
              </w:rPr>
              <w:t xml:space="preserve">Esophagoscopy </w:t>
            </w:r>
            <w:r w:rsidR="007C5440">
              <w:rPr>
                <w:rFonts w:asciiTheme="minorHAnsi" w:hAnsiTheme="minorHAnsi"/>
                <w:b/>
                <w:bCs/>
                <w:color w:val="000000"/>
                <w:szCs w:val="24"/>
              </w:rPr>
              <w:t>–</w:t>
            </w:r>
            <w:r w:rsidRPr="003F7CB5">
              <w:rPr>
                <w:rFonts w:asciiTheme="minorHAnsi" w:hAnsiTheme="minorHAnsi"/>
                <w:b/>
                <w:bCs/>
                <w:color w:val="000000"/>
                <w:szCs w:val="24"/>
              </w:rPr>
              <w:t xml:space="preserve"> Procedural</w:t>
            </w:r>
          </w:p>
        </w:tc>
        <w:tc>
          <w:tcPr>
            <w:tcW w:w="1625" w:type="dxa"/>
            <w:vAlign w:val="center"/>
            <w:hideMark/>
          </w:tcPr>
          <w:p w14:paraId="02153819" w14:textId="77777777" w:rsidR="00236E0F" w:rsidRPr="003F7CB5" w:rsidRDefault="00236E0F">
            <w:pPr>
              <w:spacing w:after="40"/>
              <w:rPr>
                <w:rFonts w:asciiTheme="minorHAnsi" w:hAnsiTheme="minorHAnsi"/>
                <w:color w:val="000000"/>
                <w:szCs w:val="24"/>
              </w:rPr>
            </w:pPr>
            <w:r w:rsidRPr="003F7CB5">
              <w:rPr>
                <w:rFonts w:asciiTheme="minorHAnsi" w:hAnsiTheme="minorHAnsi"/>
                <w:bCs/>
                <w:color w:val="000000"/>
                <w:szCs w:val="24"/>
              </w:rPr>
              <w:t xml:space="preserve">$962 </w:t>
            </w:r>
          </w:p>
        </w:tc>
        <w:tc>
          <w:tcPr>
            <w:tcW w:w="1626" w:type="dxa"/>
            <w:vAlign w:val="center"/>
            <w:hideMark/>
          </w:tcPr>
          <w:p w14:paraId="0315BFEC" w14:textId="77777777" w:rsidR="00236E0F" w:rsidRPr="003F7CB5" w:rsidRDefault="00236E0F">
            <w:pPr>
              <w:spacing w:after="40"/>
              <w:rPr>
                <w:rFonts w:asciiTheme="minorHAnsi" w:hAnsiTheme="minorHAnsi"/>
                <w:color w:val="000000"/>
                <w:szCs w:val="24"/>
              </w:rPr>
            </w:pPr>
            <w:r w:rsidRPr="003F7CB5">
              <w:rPr>
                <w:rFonts w:asciiTheme="minorHAnsi" w:hAnsiTheme="minorHAnsi"/>
                <w:bCs/>
                <w:color w:val="000000"/>
                <w:szCs w:val="24"/>
              </w:rPr>
              <w:t xml:space="preserve">$1,994 </w:t>
            </w:r>
          </w:p>
        </w:tc>
        <w:tc>
          <w:tcPr>
            <w:tcW w:w="1626" w:type="dxa"/>
            <w:vAlign w:val="center"/>
          </w:tcPr>
          <w:p w14:paraId="747073FC" w14:textId="77777777" w:rsidR="00236E0F" w:rsidRPr="003F7CB5" w:rsidRDefault="00236E0F">
            <w:pPr>
              <w:spacing w:after="40"/>
              <w:rPr>
                <w:rFonts w:asciiTheme="minorHAnsi" w:hAnsiTheme="minorHAnsi"/>
                <w:color w:val="000000"/>
                <w:szCs w:val="24"/>
              </w:rPr>
            </w:pPr>
            <w:r w:rsidRPr="003F7CB5">
              <w:rPr>
                <w:rFonts w:asciiTheme="minorHAnsi" w:hAnsiTheme="minorHAnsi"/>
                <w:color w:val="000000"/>
                <w:szCs w:val="24"/>
              </w:rPr>
              <w:t>$1,032</w:t>
            </w:r>
          </w:p>
        </w:tc>
        <w:tc>
          <w:tcPr>
            <w:tcW w:w="1626" w:type="dxa"/>
            <w:vAlign w:val="center"/>
          </w:tcPr>
          <w:p w14:paraId="191E84AE" w14:textId="77777777" w:rsidR="00236E0F" w:rsidRPr="003F7CB5" w:rsidRDefault="00236E0F">
            <w:pPr>
              <w:spacing w:after="40"/>
              <w:rPr>
                <w:rFonts w:asciiTheme="minorHAnsi" w:hAnsiTheme="minorHAnsi"/>
                <w:color w:val="000000"/>
                <w:szCs w:val="24"/>
              </w:rPr>
            </w:pPr>
            <w:r w:rsidRPr="003F7CB5">
              <w:rPr>
                <w:rFonts w:asciiTheme="minorHAnsi" w:hAnsiTheme="minorHAnsi"/>
                <w:color w:val="000000"/>
                <w:szCs w:val="24"/>
              </w:rPr>
              <w:t>52%</w:t>
            </w:r>
          </w:p>
        </w:tc>
      </w:tr>
      <w:tr w:rsidR="00236E0F" w:rsidRPr="003F7CB5" w14:paraId="7BFE0A0E" w14:textId="77777777" w:rsidTr="00223EC1">
        <w:trPr>
          <w:cantSplit/>
          <w:trHeight w:val="300"/>
          <w:jc w:val="center"/>
        </w:trPr>
        <w:tc>
          <w:tcPr>
            <w:tcW w:w="2847" w:type="dxa"/>
            <w:vAlign w:val="center"/>
            <w:hideMark/>
          </w:tcPr>
          <w:p w14:paraId="75588BA0" w14:textId="77777777" w:rsidR="00236E0F" w:rsidRPr="003F7CB5" w:rsidRDefault="00236E0F">
            <w:pPr>
              <w:spacing w:after="40"/>
              <w:rPr>
                <w:rFonts w:asciiTheme="minorHAnsi" w:hAnsiTheme="minorHAnsi"/>
                <w:b/>
                <w:bCs/>
                <w:color w:val="000000"/>
                <w:szCs w:val="24"/>
              </w:rPr>
            </w:pPr>
            <w:r w:rsidRPr="003F7CB5">
              <w:rPr>
                <w:rFonts w:asciiTheme="minorHAnsi" w:hAnsiTheme="minorHAnsi"/>
                <w:b/>
                <w:bCs/>
                <w:color w:val="000000"/>
                <w:szCs w:val="24"/>
              </w:rPr>
              <w:t>Anoscopy - Procedural</w:t>
            </w:r>
          </w:p>
        </w:tc>
        <w:tc>
          <w:tcPr>
            <w:tcW w:w="1625" w:type="dxa"/>
            <w:vAlign w:val="center"/>
            <w:hideMark/>
          </w:tcPr>
          <w:p w14:paraId="60F16BD7" w14:textId="77777777" w:rsidR="00236E0F" w:rsidRPr="003F7CB5" w:rsidRDefault="00236E0F">
            <w:pPr>
              <w:spacing w:after="40"/>
              <w:rPr>
                <w:rFonts w:asciiTheme="minorHAnsi" w:hAnsiTheme="minorHAnsi"/>
                <w:color w:val="000000"/>
                <w:szCs w:val="24"/>
              </w:rPr>
            </w:pPr>
            <w:r w:rsidRPr="003F7CB5">
              <w:rPr>
                <w:rFonts w:asciiTheme="minorHAnsi" w:hAnsiTheme="minorHAnsi"/>
                <w:bCs/>
                <w:color w:val="000000"/>
                <w:szCs w:val="24"/>
              </w:rPr>
              <w:t xml:space="preserve">$291 </w:t>
            </w:r>
          </w:p>
        </w:tc>
        <w:tc>
          <w:tcPr>
            <w:tcW w:w="1626" w:type="dxa"/>
            <w:vAlign w:val="center"/>
            <w:hideMark/>
          </w:tcPr>
          <w:p w14:paraId="28C2F48B" w14:textId="77777777" w:rsidR="00236E0F" w:rsidRPr="003F7CB5" w:rsidRDefault="00236E0F">
            <w:pPr>
              <w:spacing w:after="40"/>
              <w:rPr>
                <w:rFonts w:asciiTheme="minorHAnsi" w:hAnsiTheme="minorHAnsi"/>
                <w:color w:val="000000"/>
                <w:szCs w:val="24"/>
              </w:rPr>
            </w:pPr>
            <w:r w:rsidRPr="003F7CB5">
              <w:rPr>
                <w:rFonts w:asciiTheme="minorHAnsi" w:hAnsiTheme="minorHAnsi"/>
                <w:bCs/>
                <w:color w:val="000000"/>
                <w:szCs w:val="24"/>
              </w:rPr>
              <w:t xml:space="preserve">$1,252 </w:t>
            </w:r>
          </w:p>
        </w:tc>
        <w:tc>
          <w:tcPr>
            <w:tcW w:w="1626" w:type="dxa"/>
            <w:vAlign w:val="center"/>
          </w:tcPr>
          <w:p w14:paraId="5A2C3F61" w14:textId="77777777" w:rsidR="00236E0F" w:rsidRPr="003F7CB5" w:rsidRDefault="00236E0F">
            <w:pPr>
              <w:spacing w:after="40"/>
              <w:rPr>
                <w:rFonts w:asciiTheme="minorHAnsi" w:hAnsiTheme="minorHAnsi"/>
                <w:color w:val="000000"/>
                <w:szCs w:val="24"/>
              </w:rPr>
            </w:pPr>
            <w:r w:rsidRPr="003F7CB5">
              <w:rPr>
                <w:rFonts w:asciiTheme="minorHAnsi" w:hAnsiTheme="minorHAnsi"/>
                <w:color w:val="000000"/>
                <w:szCs w:val="24"/>
              </w:rPr>
              <w:t>$961</w:t>
            </w:r>
          </w:p>
        </w:tc>
        <w:tc>
          <w:tcPr>
            <w:tcW w:w="1626" w:type="dxa"/>
            <w:vAlign w:val="center"/>
          </w:tcPr>
          <w:p w14:paraId="6E883FA2" w14:textId="77777777" w:rsidR="00236E0F" w:rsidRPr="003F7CB5" w:rsidRDefault="00236E0F">
            <w:pPr>
              <w:spacing w:after="40"/>
              <w:rPr>
                <w:rFonts w:asciiTheme="minorHAnsi" w:hAnsiTheme="minorHAnsi"/>
                <w:color w:val="000000"/>
                <w:szCs w:val="24"/>
              </w:rPr>
            </w:pPr>
            <w:r w:rsidRPr="003F7CB5">
              <w:rPr>
                <w:rFonts w:asciiTheme="minorHAnsi" w:hAnsiTheme="minorHAnsi"/>
                <w:color w:val="000000"/>
                <w:szCs w:val="24"/>
              </w:rPr>
              <w:t>77%</w:t>
            </w:r>
          </w:p>
        </w:tc>
      </w:tr>
      <w:tr w:rsidR="00236E0F" w:rsidRPr="003F7CB5" w14:paraId="061AD908" w14:textId="77777777" w:rsidTr="00223EC1">
        <w:trPr>
          <w:cantSplit/>
          <w:trHeight w:val="300"/>
          <w:jc w:val="center"/>
        </w:trPr>
        <w:tc>
          <w:tcPr>
            <w:tcW w:w="2847" w:type="dxa"/>
            <w:vAlign w:val="center"/>
            <w:hideMark/>
          </w:tcPr>
          <w:p w14:paraId="5BD4C3FB" w14:textId="77777777" w:rsidR="00236E0F" w:rsidRPr="003F7CB5" w:rsidRDefault="00236E0F">
            <w:pPr>
              <w:spacing w:after="40"/>
              <w:rPr>
                <w:rFonts w:asciiTheme="minorHAnsi" w:hAnsiTheme="minorHAnsi"/>
                <w:b/>
                <w:bCs/>
                <w:color w:val="000000"/>
                <w:szCs w:val="24"/>
              </w:rPr>
            </w:pPr>
            <w:r w:rsidRPr="003F7CB5">
              <w:rPr>
                <w:rFonts w:asciiTheme="minorHAnsi" w:hAnsiTheme="minorHAnsi"/>
                <w:b/>
                <w:bCs/>
                <w:color w:val="000000"/>
                <w:szCs w:val="24"/>
              </w:rPr>
              <w:t>Colonoscopy - Procedural</w:t>
            </w:r>
          </w:p>
        </w:tc>
        <w:tc>
          <w:tcPr>
            <w:tcW w:w="1625" w:type="dxa"/>
            <w:vAlign w:val="center"/>
            <w:hideMark/>
          </w:tcPr>
          <w:p w14:paraId="0C6F48A2" w14:textId="77777777" w:rsidR="00236E0F" w:rsidRPr="003F7CB5" w:rsidRDefault="00236E0F">
            <w:pPr>
              <w:spacing w:after="40"/>
              <w:rPr>
                <w:rFonts w:asciiTheme="minorHAnsi" w:hAnsiTheme="minorHAnsi"/>
                <w:color w:val="000000"/>
                <w:szCs w:val="24"/>
              </w:rPr>
            </w:pPr>
            <w:r w:rsidRPr="003F7CB5">
              <w:rPr>
                <w:rFonts w:asciiTheme="minorHAnsi" w:hAnsiTheme="minorHAnsi"/>
                <w:bCs/>
                <w:color w:val="000000"/>
                <w:szCs w:val="24"/>
              </w:rPr>
              <w:t xml:space="preserve">$824 </w:t>
            </w:r>
          </w:p>
        </w:tc>
        <w:tc>
          <w:tcPr>
            <w:tcW w:w="1626" w:type="dxa"/>
            <w:vAlign w:val="center"/>
            <w:hideMark/>
          </w:tcPr>
          <w:p w14:paraId="2442172A" w14:textId="77777777" w:rsidR="00236E0F" w:rsidRPr="003F7CB5" w:rsidRDefault="00236E0F">
            <w:pPr>
              <w:spacing w:after="40"/>
              <w:rPr>
                <w:rFonts w:asciiTheme="minorHAnsi" w:hAnsiTheme="minorHAnsi"/>
                <w:color w:val="000000"/>
                <w:szCs w:val="24"/>
              </w:rPr>
            </w:pPr>
            <w:r w:rsidRPr="003F7CB5">
              <w:rPr>
                <w:rFonts w:asciiTheme="minorHAnsi" w:hAnsiTheme="minorHAnsi"/>
                <w:bCs/>
                <w:color w:val="000000"/>
                <w:szCs w:val="24"/>
              </w:rPr>
              <w:t xml:space="preserve">$1,371 </w:t>
            </w:r>
          </w:p>
        </w:tc>
        <w:tc>
          <w:tcPr>
            <w:tcW w:w="1626" w:type="dxa"/>
            <w:vAlign w:val="center"/>
          </w:tcPr>
          <w:p w14:paraId="167F7576" w14:textId="77777777" w:rsidR="00236E0F" w:rsidRPr="003F7CB5" w:rsidRDefault="00236E0F">
            <w:pPr>
              <w:spacing w:after="40"/>
              <w:rPr>
                <w:rFonts w:asciiTheme="minorHAnsi" w:hAnsiTheme="minorHAnsi"/>
                <w:color w:val="000000"/>
                <w:szCs w:val="24"/>
              </w:rPr>
            </w:pPr>
            <w:r w:rsidRPr="003F7CB5">
              <w:rPr>
                <w:rFonts w:asciiTheme="minorHAnsi" w:hAnsiTheme="minorHAnsi"/>
                <w:color w:val="000000"/>
                <w:szCs w:val="24"/>
              </w:rPr>
              <w:t>$547</w:t>
            </w:r>
          </w:p>
        </w:tc>
        <w:tc>
          <w:tcPr>
            <w:tcW w:w="1626" w:type="dxa"/>
            <w:vAlign w:val="center"/>
          </w:tcPr>
          <w:p w14:paraId="32C9E31F" w14:textId="77777777" w:rsidR="00236E0F" w:rsidRPr="003F7CB5" w:rsidRDefault="00236E0F">
            <w:pPr>
              <w:spacing w:after="40"/>
              <w:rPr>
                <w:rFonts w:asciiTheme="minorHAnsi" w:hAnsiTheme="minorHAnsi"/>
                <w:color w:val="000000"/>
                <w:szCs w:val="24"/>
              </w:rPr>
            </w:pPr>
            <w:r w:rsidRPr="003F7CB5">
              <w:rPr>
                <w:rFonts w:asciiTheme="minorHAnsi" w:hAnsiTheme="minorHAnsi"/>
                <w:color w:val="000000"/>
                <w:szCs w:val="24"/>
              </w:rPr>
              <w:t>40%</w:t>
            </w:r>
          </w:p>
        </w:tc>
      </w:tr>
      <w:tr w:rsidR="00236E0F" w:rsidRPr="003F7CB5" w14:paraId="3478F4DB" w14:textId="77777777" w:rsidTr="00223EC1">
        <w:trPr>
          <w:cantSplit/>
          <w:trHeight w:val="300"/>
          <w:jc w:val="center"/>
        </w:trPr>
        <w:tc>
          <w:tcPr>
            <w:tcW w:w="2847" w:type="dxa"/>
            <w:vAlign w:val="center"/>
            <w:hideMark/>
          </w:tcPr>
          <w:p w14:paraId="4F04C74C" w14:textId="5BD4EE6E" w:rsidR="00236E0F" w:rsidRPr="003F7CB5" w:rsidRDefault="00236E0F">
            <w:pPr>
              <w:spacing w:after="40"/>
              <w:rPr>
                <w:rFonts w:asciiTheme="minorHAnsi" w:hAnsiTheme="minorHAnsi"/>
                <w:b/>
                <w:bCs/>
                <w:color w:val="000000"/>
                <w:szCs w:val="24"/>
              </w:rPr>
            </w:pPr>
            <w:r w:rsidRPr="003F7CB5">
              <w:rPr>
                <w:rFonts w:asciiTheme="minorHAnsi" w:hAnsiTheme="minorHAnsi"/>
                <w:b/>
                <w:bCs/>
                <w:color w:val="000000"/>
                <w:szCs w:val="24"/>
              </w:rPr>
              <w:t xml:space="preserve">EGD </w:t>
            </w:r>
            <w:r w:rsidR="00000EAF">
              <w:rPr>
                <w:rFonts w:asciiTheme="minorHAnsi" w:hAnsiTheme="minorHAnsi"/>
                <w:b/>
                <w:bCs/>
                <w:color w:val="000000"/>
                <w:szCs w:val="24"/>
              </w:rPr>
              <w:t>–</w:t>
            </w:r>
            <w:r w:rsidRPr="003F7CB5">
              <w:rPr>
                <w:rFonts w:asciiTheme="minorHAnsi" w:hAnsiTheme="minorHAnsi"/>
                <w:b/>
                <w:bCs/>
                <w:color w:val="000000"/>
                <w:szCs w:val="24"/>
              </w:rPr>
              <w:t xml:space="preserve"> Diagnostic</w:t>
            </w:r>
          </w:p>
        </w:tc>
        <w:tc>
          <w:tcPr>
            <w:tcW w:w="1625" w:type="dxa"/>
            <w:vAlign w:val="center"/>
            <w:hideMark/>
          </w:tcPr>
          <w:p w14:paraId="055E7BB7" w14:textId="77777777" w:rsidR="00236E0F" w:rsidRPr="003F7CB5" w:rsidRDefault="00236E0F">
            <w:pPr>
              <w:spacing w:after="40"/>
              <w:rPr>
                <w:rFonts w:asciiTheme="minorHAnsi" w:hAnsiTheme="minorHAnsi"/>
                <w:color w:val="000000"/>
                <w:szCs w:val="24"/>
              </w:rPr>
            </w:pPr>
            <w:r w:rsidRPr="003F7CB5">
              <w:rPr>
                <w:rFonts w:asciiTheme="minorHAnsi" w:hAnsiTheme="minorHAnsi"/>
                <w:bCs/>
                <w:color w:val="000000"/>
                <w:szCs w:val="24"/>
              </w:rPr>
              <w:t xml:space="preserve">$621 </w:t>
            </w:r>
          </w:p>
        </w:tc>
        <w:tc>
          <w:tcPr>
            <w:tcW w:w="1626" w:type="dxa"/>
            <w:vAlign w:val="center"/>
            <w:hideMark/>
          </w:tcPr>
          <w:p w14:paraId="14BCCB70" w14:textId="77777777" w:rsidR="00236E0F" w:rsidRPr="003F7CB5" w:rsidRDefault="00236E0F">
            <w:pPr>
              <w:spacing w:after="40"/>
              <w:rPr>
                <w:rFonts w:asciiTheme="minorHAnsi" w:hAnsiTheme="minorHAnsi"/>
                <w:color w:val="000000"/>
                <w:szCs w:val="24"/>
              </w:rPr>
            </w:pPr>
            <w:r w:rsidRPr="003F7CB5">
              <w:rPr>
                <w:rFonts w:asciiTheme="minorHAnsi" w:hAnsiTheme="minorHAnsi"/>
                <w:bCs/>
                <w:color w:val="000000"/>
                <w:szCs w:val="24"/>
              </w:rPr>
              <w:t xml:space="preserve">$1,055 </w:t>
            </w:r>
          </w:p>
        </w:tc>
        <w:tc>
          <w:tcPr>
            <w:tcW w:w="1626" w:type="dxa"/>
            <w:vAlign w:val="center"/>
          </w:tcPr>
          <w:p w14:paraId="29D544C1" w14:textId="77777777" w:rsidR="00236E0F" w:rsidRPr="003F7CB5" w:rsidRDefault="00236E0F">
            <w:pPr>
              <w:spacing w:after="40"/>
              <w:rPr>
                <w:rFonts w:asciiTheme="minorHAnsi" w:hAnsiTheme="minorHAnsi"/>
                <w:color w:val="000000"/>
                <w:szCs w:val="24"/>
              </w:rPr>
            </w:pPr>
            <w:r w:rsidRPr="003F7CB5">
              <w:rPr>
                <w:rFonts w:asciiTheme="minorHAnsi" w:hAnsiTheme="minorHAnsi"/>
                <w:color w:val="000000"/>
                <w:szCs w:val="24"/>
              </w:rPr>
              <w:t xml:space="preserve">$434 </w:t>
            </w:r>
          </w:p>
        </w:tc>
        <w:tc>
          <w:tcPr>
            <w:tcW w:w="1626" w:type="dxa"/>
            <w:vAlign w:val="center"/>
          </w:tcPr>
          <w:p w14:paraId="75BB7B5F" w14:textId="77777777" w:rsidR="00236E0F" w:rsidRPr="003F7CB5" w:rsidRDefault="00236E0F">
            <w:pPr>
              <w:spacing w:after="40"/>
              <w:rPr>
                <w:rFonts w:asciiTheme="minorHAnsi" w:hAnsiTheme="minorHAnsi"/>
                <w:color w:val="000000"/>
                <w:szCs w:val="24"/>
              </w:rPr>
            </w:pPr>
            <w:r w:rsidRPr="003F7CB5">
              <w:rPr>
                <w:rFonts w:asciiTheme="minorHAnsi" w:hAnsiTheme="minorHAnsi"/>
                <w:color w:val="000000"/>
                <w:szCs w:val="24"/>
              </w:rPr>
              <w:t>41%</w:t>
            </w:r>
          </w:p>
        </w:tc>
      </w:tr>
      <w:tr w:rsidR="00236E0F" w:rsidRPr="003F7CB5" w14:paraId="458392DE" w14:textId="77777777" w:rsidTr="00223EC1">
        <w:trPr>
          <w:cantSplit/>
          <w:trHeight w:val="300"/>
          <w:jc w:val="center"/>
        </w:trPr>
        <w:tc>
          <w:tcPr>
            <w:tcW w:w="2847" w:type="dxa"/>
            <w:vAlign w:val="center"/>
            <w:hideMark/>
          </w:tcPr>
          <w:p w14:paraId="1F564D74" w14:textId="12CBC9DB" w:rsidR="00236E0F" w:rsidRPr="003F7CB5" w:rsidRDefault="00236E0F">
            <w:pPr>
              <w:spacing w:after="40"/>
              <w:rPr>
                <w:rFonts w:asciiTheme="minorHAnsi" w:hAnsiTheme="minorHAnsi"/>
                <w:b/>
                <w:bCs/>
                <w:color w:val="000000"/>
                <w:szCs w:val="24"/>
              </w:rPr>
            </w:pPr>
            <w:r w:rsidRPr="003F7CB5">
              <w:rPr>
                <w:rFonts w:asciiTheme="minorHAnsi" w:hAnsiTheme="minorHAnsi"/>
                <w:b/>
                <w:bCs/>
                <w:color w:val="000000"/>
                <w:szCs w:val="24"/>
              </w:rPr>
              <w:t xml:space="preserve">EGD </w:t>
            </w:r>
            <w:r w:rsidR="00000EAF">
              <w:rPr>
                <w:rFonts w:asciiTheme="minorHAnsi" w:hAnsiTheme="minorHAnsi"/>
                <w:b/>
                <w:bCs/>
                <w:color w:val="000000"/>
                <w:szCs w:val="24"/>
              </w:rPr>
              <w:t>–</w:t>
            </w:r>
            <w:r w:rsidRPr="003F7CB5">
              <w:rPr>
                <w:rFonts w:asciiTheme="minorHAnsi" w:hAnsiTheme="minorHAnsi"/>
                <w:b/>
                <w:bCs/>
                <w:color w:val="000000"/>
                <w:szCs w:val="24"/>
              </w:rPr>
              <w:t xml:space="preserve"> Procedural</w:t>
            </w:r>
          </w:p>
        </w:tc>
        <w:tc>
          <w:tcPr>
            <w:tcW w:w="1625" w:type="dxa"/>
            <w:vAlign w:val="center"/>
            <w:hideMark/>
          </w:tcPr>
          <w:p w14:paraId="4CE61117" w14:textId="77777777" w:rsidR="00236E0F" w:rsidRPr="003F7CB5" w:rsidRDefault="00236E0F">
            <w:pPr>
              <w:spacing w:after="40"/>
              <w:rPr>
                <w:rFonts w:asciiTheme="minorHAnsi" w:hAnsiTheme="minorHAnsi"/>
                <w:color w:val="000000"/>
                <w:szCs w:val="24"/>
              </w:rPr>
            </w:pPr>
            <w:r w:rsidRPr="003F7CB5">
              <w:rPr>
                <w:rFonts w:asciiTheme="minorHAnsi" w:hAnsiTheme="minorHAnsi"/>
                <w:bCs/>
                <w:color w:val="000000"/>
                <w:szCs w:val="24"/>
              </w:rPr>
              <w:t xml:space="preserve">$635 </w:t>
            </w:r>
          </w:p>
        </w:tc>
        <w:tc>
          <w:tcPr>
            <w:tcW w:w="1626" w:type="dxa"/>
            <w:vAlign w:val="center"/>
            <w:hideMark/>
          </w:tcPr>
          <w:p w14:paraId="312A70CE" w14:textId="77777777" w:rsidR="00236E0F" w:rsidRPr="003F7CB5" w:rsidRDefault="00236E0F">
            <w:pPr>
              <w:spacing w:after="40"/>
              <w:rPr>
                <w:rFonts w:asciiTheme="minorHAnsi" w:hAnsiTheme="minorHAnsi"/>
                <w:color w:val="000000"/>
                <w:szCs w:val="24"/>
              </w:rPr>
            </w:pPr>
            <w:r w:rsidRPr="003F7CB5">
              <w:rPr>
                <w:rFonts w:asciiTheme="minorHAnsi" w:hAnsiTheme="minorHAnsi"/>
                <w:bCs/>
                <w:color w:val="000000"/>
                <w:szCs w:val="24"/>
              </w:rPr>
              <w:t xml:space="preserve">$1,069 </w:t>
            </w:r>
          </w:p>
        </w:tc>
        <w:tc>
          <w:tcPr>
            <w:tcW w:w="1626" w:type="dxa"/>
            <w:vAlign w:val="center"/>
          </w:tcPr>
          <w:p w14:paraId="44365352" w14:textId="77777777" w:rsidR="00236E0F" w:rsidRPr="003F7CB5" w:rsidRDefault="00236E0F">
            <w:pPr>
              <w:spacing w:after="40"/>
              <w:rPr>
                <w:rFonts w:asciiTheme="minorHAnsi" w:hAnsiTheme="minorHAnsi"/>
                <w:color w:val="000000"/>
                <w:szCs w:val="24"/>
              </w:rPr>
            </w:pPr>
            <w:r w:rsidRPr="003F7CB5">
              <w:rPr>
                <w:rFonts w:asciiTheme="minorHAnsi" w:hAnsiTheme="minorHAnsi"/>
                <w:color w:val="000000"/>
                <w:szCs w:val="24"/>
              </w:rPr>
              <w:t>$434</w:t>
            </w:r>
          </w:p>
        </w:tc>
        <w:tc>
          <w:tcPr>
            <w:tcW w:w="1626" w:type="dxa"/>
            <w:vAlign w:val="center"/>
          </w:tcPr>
          <w:p w14:paraId="73274B60" w14:textId="77777777" w:rsidR="00236E0F" w:rsidRPr="003F7CB5" w:rsidRDefault="00236E0F">
            <w:pPr>
              <w:spacing w:after="40"/>
              <w:rPr>
                <w:rFonts w:asciiTheme="minorHAnsi" w:hAnsiTheme="minorHAnsi"/>
                <w:color w:val="000000"/>
                <w:szCs w:val="24"/>
              </w:rPr>
            </w:pPr>
            <w:r w:rsidRPr="003F7CB5">
              <w:rPr>
                <w:rFonts w:asciiTheme="minorHAnsi" w:hAnsiTheme="minorHAnsi"/>
                <w:color w:val="000000"/>
                <w:szCs w:val="24"/>
              </w:rPr>
              <w:t>41%</w:t>
            </w:r>
          </w:p>
        </w:tc>
      </w:tr>
      <w:tr w:rsidR="00236E0F" w:rsidRPr="003F7CB5" w14:paraId="6297069A" w14:textId="77777777" w:rsidTr="00223EC1">
        <w:trPr>
          <w:cantSplit/>
          <w:trHeight w:val="300"/>
          <w:jc w:val="center"/>
        </w:trPr>
        <w:tc>
          <w:tcPr>
            <w:tcW w:w="2847" w:type="dxa"/>
            <w:vAlign w:val="center"/>
            <w:hideMark/>
          </w:tcPr>
          <w:p w14:paraId="63A62530" w14:textId="2F0B8C82" w:rsidR="00236E0F" w:rsidRPr="003F7CB5" w:rsidRDefault="00236E0F">
            <w:pPr>
              <w:spacing w:after="40"/>
              <w:rPr>
                <w:rFonts w:asciiTheme="minorHAnsi" w:hAnsiTheme="minorHAnsi"/>
                <w:b/>
                <w:bCs/>
                <w:color w:val="000000"/>
                <w:szCs w:val="24"/>
              </w:rPr>
            </w:pPr>
            <w:r w:rsidRPr="003F7CB5">
              <w:rPr>
                <w:rFonts w:asciiTheme="minorHAnsi" w:hAnsiTheme="minorHAnsi"/>
                <w:b/>
                <w:bCs/>
                <w:color w:val="000000"/>
                <w:szCs w:val="24"/>
              </w:rPr>
              <w:t xml:space="preserve">Esophagoscopy </w:t>
            </w:r>
            <w:r w:rsidR="00000EAF">
              <w:rPr>
                <w:rFonts w:asciiTheme="minorHAnsi" w:hAnsiTheme="minorHAnsi"/>
                <w:b/>
                <w:bCs/>
                <w:color w:val="000000"/>
                <w:szCs w:val="24"/>
              </w:rPr>
              <w:t>–</w:t>
            </w:r>
            <w:r w:rsidRPr="003F7CB5">
              <w:rPr>
                <w:rFonts w:asciiTheme="minorHAnsi" w:hAnsiTheme="minorHAnsi"/>
                <w:b/>
                <w:bCs/>
                <w:color w:val="000000"/>
                <w:szCs w:val="24"/>
              </w:rPr>
              <w:t xml:space="preserve"> Diagnostic</w:t>
            </w:r>
          </w:p>
        </w:tc>
        <w:tc>
          <w:tcPr>
            <w:tcW w:w="1625" w:type="dxa"/>
            <w:vAlign w:val="center"/>
            <w:hideMark/>
          </w:tcPr>
          <w:p w14:paraId="77ED9AC5" w14:textId="77777777" w:rsidR="00236E0F" w:rsidRPr="003F7CB5" w:rsidRDefault="00236E0F">
            <w:pPr>
              <w:spacing w:after="40"/>
              <w:rPr>
                <w:rFonts w:asciiTheme="minorHAnsi" w:hAnsiTheme="minorHAnsi"/>
                <w:color w:val="000000"/>
                <w:szCs w:val="24"/>
              </w:rPr>
            </w:pPr>
            <w:r w:rsidRPr="003F7CB5">
              <w:rPr>
                <w:rFonts w:asciiTheme="minorHAnsi" w:hAnsiTheme="minorHAnsi"/>
                <w:bCs/>
                <w:color w:val="000000"/>
                <w:szCs w:val="24"/>
              </w:rPr>
              <w:t xml:space="preserve">$587 </w:t>
            </w:r>
          </w:p>
        </w:tc>
        <w:tc>
          <w:tcPr>
            <w:tcW w:w="1626" w:type="dxa"/>
            <w:vAlign w:val="center"/>
            <w:hideMark/>
          </w:tcPr>
          <w:p w14:paraId="71576CD4" w14:textId="77777777" w:rsidR="00236E0F" w:rsidRPr="003F7CB5" w:rsidRDefault="00236E0F">
            <w:pPr>
              <w:spacing w:after="40"/>
              <w:rPr>
                <w:rFonts w:asciiTheme="minorHAnsi" w:hAnsiTheme="minorHAnsi"/>
                <w:color w:val="000000"/>
                <w:szCs w:val="24"/>
              </w:rPr>
            </w:pPr>
            <w:r w:rsidRPr="003F7CB5">
              <w:rPr>
                <w:rFonts w:asciiTheme="minorHAnsi" w:hAnsiTheme="minorHAnsi"/>
                <w:bCs/>
                <w:color w:val="000000"/>
                <w:szCs w:val="24"/>
              </w:rPr>
              <w:t xml:space="preserve">$1,021 </w:t>
            </w:r>
          </w:p>
        </w:tc>
        <w:tc>
          <w:tcPr>
            <w:tcW w:w="1626" w:type="dxa"/>
            <w:vAlign w:val="center"/>
          </w:tcPr>
          <w:p w14:paraId="41F6E532" w14:textId="77777777" w:rsidR="00236E0F" w:rsidRPr="003F7CB5" w:rsidRDefault="00236E0F">
            <w:pPr>
              <w:spacing w:after="40"/>
              <w:rPr>
                <w:rFonts w:asciiTheme="minorHAnsi" w:hAnsiTheme="minorHAnsi"/>
                <w:color w:val="000000"/>
                <w:szCs w:val="24"/>
              </w:rPr>
            </w:pPr>
            <w:r w:rsidRPr="003F7CB5">
              <w:rPr>
                <w:rFonts w:asciiTheme="minorHAnsi" w:hAnsiTheme="minorHAnsi"/>
                <w:color w:val="000000"/>
                <w:szCs w:val="24"/>
              </w:rPr>
              <w:t xml:space="preserve">$434 </w:t>
            </w:r>
          </w:p>
        </w:tc>
        <w:tc>
          <w:tcPr>
            <w:tcW w:w="1626" w:type="dxa"/>
            <w:vAlign w:val="center"/>
          </w:tcPr>
          <w:p w14:paraId="37C38376" w14:textId="77777777" w:rsidR="00236E0F" w:rsidRPr="003F7CB5" w:rsidRDefault="00236E0F">
            <w:pPr>
              <w:spacing w:after="40"/>
              <w:rPr>
                <w:rFonts w:asciiTheme="minorHAnsi" w:hAnsiTheme="minorHAnsi"/>
                <w:color w:val="000000"/>
                <w:szCs w:val="24"/>
              </w:rPr>
            </w:pPr>
            <w:r w:rsidRPr="003F7CB5">
              <w:rPr>
                <w:rFonts w:asciiTheme="minorHAnsi" w:hAnsiTheme="minorHAnsi"/>
                <w:color w:val="000000"/>
                <w:szCs w:val="24"/>
              </w:rPr>
              <w:t>43%</w:t>
            </w:r>
          </w:p>
        </w:tc>
      </w:tr>
      <w:tr w:rsidR="00236E0F" w:rsidRPr="003F7CB5" w14:paraId="3B39BD2E" w14:textId="77777777" w:rsidTr="00223EC1">
        <w:trPr>
          <w:cantSplit/>
          <w:trHeight w:val="300"/>
          <w:jc w:val="center"/>
        </w:trPr>
        <w:tc>
          <w:tcPr>
            <w:tcW w:w="2847" w:type="dxa"/>
            <w:vAlign w:val="center"/>
            <w:hideMark/>
          </w:tcPr>
          <w:p w14:paraId="56E53FC0" w14:textId="77777777" w:rsidR="00236E0F" w:rsidRPr="003F7CB5" w:rsidRDefault="00236E0F">
            <w:pPr>
              <w:spacing w:after="40"/>
              <w:rPr>
                <w:rFonts w:asciiTheme="minorHAnsi" w:hAnsiTheme="minorHAnsi"/>
                <w:b/>
                <w:bCs/>
                <w:color w:val="000000"/>
                <w:szCs w:val="24"/>
              </w:rPr>
            </w:pPr>
            <w:r w:rsidRPr="003F7CB5">
              <w:rPr>
                <w:rFonts w:asciiTheme="minorHAnsi" w:hAnsiTheme="minorHAnsi"/>
                <w:b/>
                <w:bCs/>
                <w:color w:val="000000"/>
                <w:szCs w:val="24"/>
              </w:rPr>
              <w:t>Colonoscopy - Screening</w:t>
            </w:r>
          </w:p>
        </w:tc>
        <w:tc>
          <w:tcPr>
            <w:tcW w:w="1625" w:type="dxa"/>
            <w:vAlign w:val="center"/>
            <w:hideMark/>
          </w:tcPr>
          <w:p w14:paraId="33CB819E" w14:textId="77777777" w:rsidR="00236E0F" w:rsidRPr="003F7CB5" w:rsidRDefault="00236E0F">
            <w:pPr>
              <w:spacing w:after="40"/>
              <w:rPr>
                <w:rFonts w:asciiTheme="minorHAnsi" w:hAnsiTheme="minorHAnsi"/>
                <w:color w:val="000000"/>
                <w:szCs w:val="24"/>
              </w:rPr>
            </w:pPr>
            <w:r w:rsidRPr="003F7CB5">
              <w:rPr>
                <w:rFonts w:asciiTheme="minorHAnsi" w:hAnsiTheme="minorHAnsi"/>
                <w:bCs/>
                <w:color w:val="000000"/>
                <w:szCs w:val="24"/>
              </w:rPr>
              <w:t xml:space="preserve">$666 </w:t>
            </w:r>
          </w:p>
        </w:tc>
        <w:tc>
          <w:tcPr>
            <w:tcW w:w="1626" w:type="dxa"/>
            <w:vAlign w:val="center"/>
            <w:hideMark/>
          </w:tcPr>
          <w:p w14:paraId="21384E36" w14:textId="77777777" w:rsidR="00236E0F" w:rsidRPr="003F7CB5" w:rsidRDefault="00236E0F">
            <w:pPr>
              <w:spacing w:after="40"/>
              <w:rPr>
                <w:rFonts w:asciiTheme="minorHAnsi" w:hAnsiTheme="minorHAnsi"/>
                <w:color w:val="000000"/>
                <w:szCs w:val="24"/>
              </w:rPr>
            </w:pPr>
            <w:r w:rsidRPr="003F7CB5">
              <w:rPr>
                <w:rFonts w:asciiTheme="minorHAnsi" w:hAnsiTheme="minorHAnsi"/>
                <w:bCs/>
                <w:color w:val="000000"/>
                <w:szCs w:val="24"/>
              </w:rPr>
              <w:t xml:space="preserve">$1,088 </w:t>
            </w:r>
          </w:p>
        </w:tc>
        <w:bookmarkEnd w:id="26"/>
        <w:tc>
          <w:tcPr>
            <w:tcW w:w="1626" w:type="dxa"/>
            <w:vAlign w:val="center"/>
          </w:tcPr>
          <w:p w14:paraId="081D2FDC" w14:textId="77777777" w:rsidR="00236E0F" w:rsidRPr="003F7CB5" w:rsidRDefault="00236E0F">
            <w:pPr>
              <w:spacing w:after="40"/>
              <w:rPr>
                <w:rFonts w:asciiTheme="minorHAnsi" w:hAnsiTheme="minorHAnsi"/>
                <w:color w:val="000000"/>
                <w:szCs w:val="24"/>
              </w:rPr>
            </w:pPr>
            <w:r w:rsidRPr="003F7CB5">
              <w:rPr>
                <w:rFonts w:asciiTheme="minorHAnsi" w:hAnsiTheme="minorHAnsi"/>
                <w:color w:val="000000"/>
                <w:szCs w:val="24"/>
              </w:rPr>
              <w:t xml:space="preserve">$422 </w:t>
            </w:r>
          </w:p>
        </w:tc>
        <w:tc>
          <w:tcPr>
            <w:tcW w:w="1626" w:type="dxa"/>
            <w:vAlign w:val="center"/>
          </w:tcPr>
          <w:p w14:paraId="62C1ADE9" w14:textId="77777777" w:rsidR="00236E0F" w:rsidRPr="003F7CB5" w:rsidRDefault="00236E0F">
            <w:pPr>
              <w:spacing w:after="40"/>
              <w:rPr>
                <w:rFonts w:asciiTheme="minorHAnsi" w:hAnsiTheme="minorHAnsi"/>
                <w:color w:val="000000"/>
                <w:szCs w:val="24"/>
              </w:rPr>
            </w:pPr>
            <w:r w:rsidRPr="003F7CB5">
              <w:rPr>
                <w:rFonts w:asciiTheme="minorHAnsi" w:hAnsiTheme="minorHAnsi"/>
                <w:color w:val="000000"/>
                <w:szCs w:val="24"/>
              </w:rPr>
              <w:t>39%</w:t>
            </w:r>
          </w:p>
        </w:tc>
      </w:tr>
    </w:tbl>
    <w:p w14:paraId="7A3B41CA" w14:textId="77777777" w:rsidR="00236E0F" w:rsidRDefault="00236E0F" w:rsidP="003F7CB5">
      <w:pPr>
        <w:rPr>
          <w:rFonts w:asciiTheme="minorHAnsi" w:eastAsia="Arial" w:hAnsiTheme="minorHAnsi"/>
          <w:szCs w:val="24"/>
        </w:rPr>
      </w:pPr>
    </w:p>
    <w:p w14:paraId="7473ED03" w14:textId="40B4C2FC" w:rsidR="003F7CB5" w:rsidRPr="00236E0F" w:rsidRDefault="003F7CB5" w:rsidP="00875CAE">
      <w:pPr>
        <w:ind w:left="720"/>
        <w:rPr>
          <w:rFonts w:asciiTheme="minorHAnsi" w:eastAsia="Arial" w:hAnsiTheme="minorHAnsi"/>
          <w:szCs w:val="24"/>
        </w:rPr>
      </w:pPr>
      <w:r w:rsidRPr="003F7CB5">
        <w:rPr>
          <w:rFonts w:asciiTheme="minorHAnsi" w:eastAsia="Arial" w:hAnsiTheme="minorHAnsi"/>
          <w:szCs w:val="24"/>
        </w:rPr>
        <w:t xml:space="preserve">The data highlight the substantial cost advantages associated with shifting eligible procedures to ASCs. The total procedure price for endoscopy services performed in ASCs ranges from $291 to $1,016, significantly lower than the $1,021 to $2,049 range in HOPDs. </w:t>
      </w:r>
    </w:p>
    <w:p w14:paraId="45F0AEEC" w14:textId="77777777" w:rsidR="003F087B" w:rsidRDefault="003F087B" w:rsidP="003F7CB5">
      <w:pPr>
        <w:spacing w:after="120"/>
        <w:rPr>
          <w:rFonts w:asciiTheme="minorHAnsi" w:hAnsiTheme="minorHAnsi"/>
          <w:kern w:val="2"/>
          <w:szCs w:val="24"/>
        </w:rPr>
      </w:pPr>
    </w:p>
    <w:p w14:paraId="789D5EE4" w14:textId="0FE59F62" w:rsidR="003F7CB5" w:rsidRPr="003F7CB5" w:rsidRDefault="003F7CB5" w:rsidP="003F7CB5">
      <w:pPr>
        <w:spacing w:after="120"/>
        <w:rPr>
          <w:rFonts w:asciiTheme="minorHAnsi" w:hAnsiTheme="minorHAnsi"/>
          <w:szCs w:val="24"/>
        </w:rPr>
      </w:pPr>
      <w:r w:rsidRPr="003F7CB5">
        <w:rPr>
          <w:rFonts w:asciiTheme="minorHAnsi" w:hAnsiTheme="minorHAnsi"/>
          <w:bCs/>
          <w:szCs w:val="24"/>
        </w:rPr>
        <w:t xml:space="preserve">By increasing the number of ASCs in Massachusetts, the Commonwealth can expand access to high-value healthcare services which will contribute to earlier detection of colorectal cancer and reduce TME. </w:t>
      </w:r>
      <w:r w:rsidR="001944BD">
        <w:rPr>
          <w:rFonts w:asciiTheme="minorHAnsi" w:hAnsiTheme="minorHAnsi"/>
          <w:bCs/>
          <w:szCs w:val="24"/>
        </w:rPr>
        <w:t>S</w:t>
      </w:r>
      <w:r w:rsidRPr="003F7CB5">
        <w:rPr>
          <w:rFonts w:asciiTheme="minorHAnsi" w:hAnsiTheme="minorHAnsi"/>
          <w:bCs/>
          <w:szCs w:val="24"/>
        </w:rPr>
        <w:t xml:space="preserve">hifting low-acuity endoscopy procedures to the proposed ASC will reduce capacity constraints at the AMCs, further contributing to cost savings by reducing the length of stay for inpatients with endoscopy needs. </w:t>
      </w:r>
    </w:p>
    <w:p w14:paraId="3FF7DAB4" w14:textId="7A040F4A" w:rsidR="00A76D7B" w:rsidRPr="00C85257" w:rsidRDefault="00A76D7B" w:rsidP="00C316C3">
      <w:pPr>
        <w:rPr>
          <w:highlight w:val="yellow"/>
        </w:rPr>
      </w:pPr>
    </w:p>
    <w:p w14:paraId="6AF82A6F" w14:textId="62F1C886" w:rsidR="00B447F3" w:rsidRPr="00236E0F" w:rsidRDefault="00A4110F" w:rsidP="00C316C3">
      <w:pPr>
        <w:rPr>
          <w:rFonts w:asciiTheme="minorHAnsi" w:hAnsiTheme="minorHAnsi"/>
          <w:b/>
          <w:bCs/>
          <w:i/>
          <w:iCs/>
          <w:szCs w:val="24"/>
        </w:rPr>
      </w:pPr>
      <w:r w:rsidRPr="00236E0F">
        <w:rPr>
          <w:rFonts w:asciiTheme="minorHAnsi" w:hAnsiTheme="minorHAnsi"/>
          <w:b/>
          <w:bCs/>
          <w:i/>
          <w:iCs/>
          <w:szCs w:val="24"/>
        </w:rPr>
        <w:t>Analysis</w:t>
      </w:r>
    </w:p>
    <w:p w14:paraId="0A7F0A56" w14:textId="52E77F44" w:rsidR="002102E6" w:rsidRPr="00236E0F" w:rsidRDefault="47EA00A6" w:rsidP="28157CC0">
      <w:pPr>
        <w:rPr>
          <w:rFonts w:asciiTheme="minorHAnsi" w:hAnsiTheme="minorHAnsi"/>
        </w:rPr>
      </w:pPr>
      <w:r w:rsidRPr="00236E0F">
        <w:rPr>
          <w:rFonts w:asciiTheme="minorHAnsi" w:hAnsiTheme="minorHAnsi"/>
        </w:rPr>
        <w:t xml:space="preserve">Staff finds that, on balance, the requirement that the Proposed Project will likely compete on the basis of price, TME provider costs, and other measures of health care </w:t>
      </w:r>
      <w:r w:rsidR="00E2759A" w:rsidRPr="00236E0F">
        <w:rPr>
          <w:rFonts w:asciiTheme="minorHAnsi" w:hAnsiTheme="minorHAnsi"/>
        </w:rPr>
        <w:t>spending</w:t>
      </w:r>
      <w:r w:rsidR="00E2759A">
        <w:rPr>
          <w:rFonts w:asciiTheme="minorHAnsi" w:hAnsiTheme="minorHAnsi"/>
        </w:rPr>
        <w:t>. With</w:t>
      </w:r>
      <w:r w:rsidR="004201E9">
        <w:rPr>
          <w:rFonts w:asciiTheme="minorHAnsi" w:hAnsiTheme="minorHAnsi"/>
        </w:rPr>
        <w:t xml:space="preserve"> the addition of Condition 5</w:t>
      </w:r>
      <w:r w:rsidR="00C22EE0">
        <w:rPr>
          <w:rFonts w:asciiTheme="minorHAnsi" w:hAnsiTheme="minorHAnsi"/>
        </w:rPr>
        <w:t xml:space="preserve"> to track the shift of procedures to the lower cost ASC, </w:t>
      </w:r>
      <w:r w:rsidR="0E5A8D97" w:rsidRPr="00236E0F">
        <w:rPr>
          <w:rFonts w:asciiTheme="minorHAnsi" w:hAnsiTheme="minorHAnsi"/>
        </w:rPr>
        <w:t>the requirements of Factor 1</w:t>
      </w:r>
      <w:r w:rsidR="00024A9E" w:rsidRPr="00236E0F">
        <w:rPr>
          <w:rFonts w:asciiTheme="minorHAnsi" w:hAnsiTheme="minorHAnsi"/>
        </w:rPr>
        <w:t>(</w:t>
      </w:r>
      <w:r w:rsidR="0E5A8D97" w:rsidRPr="00236E0F">
        <w:rPr>
          <w:rFonts w:asciiTheme="minorHAnsi" w:hAnsiTheme="minorHAnsi"/>
        </w:rPr>
        <w:t>f</w:t>
      </w:r>
      <w:r w:rsidR="00024A9E" w:rsidRPr="00236E0F">
        <w:rPr>
          <w:rFonts w:asciiTheme="minorHAnsi" w:hAnsiTheme="minorHAnsi"/>
        </w:rPr>
        <w:t>)</w:t>
      </w:r>
      <w:r w:rsidR="0E5A8D97" w:rsidRPr="00236E0F">
        <w:rPr>
          <w:rFonts w:asciiTheme="minorHAnsi" w:hAnsiTheme="minorHAnsi"/>
        </w:rPr>
        <w:t xml:space="preserve"> </w:t>
      </w:r>
      <w:r w:rsidRPr="00236E0F">
        <w:rPr>
          <w:rFonts w:asciiTheme="minorHAnsi" w:hAnsiTheme="minorHAnsi"/>
        </w:rPr>
        <w:t>have been met.</w:t>
      </w:r>
    </w:p>
    <w:p w14:paraId="7AF6CC77" w14:textId="77777777" w:rsidR="00F9056B" w:rsidRPr="00C85257" w:rsidRDefault="00F9056B" w:rsidP="00C316C3">
      <w:pPr>
        <w:rPr>
          <w:rFonts w:asciiTheme="minorHAnsi" w:hAnsiTheme="minorHAnsi"/>
          <w:szCs w:val="24"/>
          <w:highlight w:val="yellow"/>
        </w:rPr>
      </w:pPr>
    </w:p>
    <w:p w14:paraId="7A94A1AC" w14:textId="5F05B601" w:rsidR="00B447F3" w:rsidRPr="00236E0F" w:rsidRDefault="0060024E" w:rsidP="00C316C3">
      <w:pPr>
        <w:pStyle w:val="Heading1"/>
        <w:ind w:left="0"/>
        <w:rPr>
          <w:color w:val="1F497D" w:themeColor="text2"/>
        </w:rPr>
      </w:pPr>
      <w:bookmarkStart w:id="27" w:name="_Toc218863255"/>
      <w:r w:rsidRPr="00236E0F">
        <w:rPr>
          <w:color w:val="1F497D" w:themeColor="text2"/>
        </w:rPr>
        <w:t>Summary</w:t>
      </w:r>
      <w:r w:rsidR="00A63487" w:rsidRPr="00236E0F">
        <w:rPr>
          <w:color w:val="1F497D" w:themeColor="text2"/>
        </w:rPr>
        <w:t>, Factor 1</w:t>
      </w:r>
      <w:bookmarkEnd w:id="27"/>
      <w:r w:rsidR="00A63487" w:rsidRPr="00236E0F">
        <w:rPr>
          <w:color w:val="1F497D" w:themeColor="text2"/>
        </w:rPr>
        <w:t xml:space="preserve"> </w:t>
      </w:r>
      <w:r w:rsidRPr="00236E0F">
        <w:rPr>
          <w:color w:val="1F497D" w:themeColor="text2"/>
        </w:rPr>
        <w:t xml:space="preserve"> </w:t>
      </w:r>
    </w:p>
    <w:p w14:paraId="15015229" w14:textId="29618CFF" w:rsidR="00D47105" w:rsidRPr="00236E0F" w:rsidRDefault="0060024E" w:rsidP="00C316C3">
      <w:pPr>
        <w:rPr>
          <w:rFonts w:asciiTheme="minorHAnsi" w:hAnsiTheme="minorHAnsi"/>
          <w:szCs w:val="24"/>
        </w:rPr>
      </w:pPr>
      <w:r w:rsidRPr="00236E0F">
        <w:rPr>
          <w:rFonts w:asciiTheme="minorHAnsi" w:hAnsiTheme="minorHAnsi"/>
          <w:szCs w:val="24"/>
        </w:rPr>
        <w:t>As a result of information provided by the Applicant and additional analysis, staff finds that the Applicant has demonstrated that the Proposed Project has met Factor 1(a-f).</w:t>
      </w:r>
    </w:p>
    <w:p w14:paraId="158E0F39" w14:textId="77777777" w:rsidR="00970AA3" w:rsidRPr="00C85257" w:rsidRDefault="00970AA3" w:rsidP="00C316C3">
      <w:pPr>
        <w:rPr>
          <w:rFonts w:asciiTheme="minorHAnsi" w:hAnsiTheme="minorHAnsi"/>
          <w:szCs w:val="24"/>
          <w:highlight w:val="yellow"/>
        </w:rPr>
      </w:pPr>
    </w:p>
    <w:p w14:paraId="1CE0B37B" w14:textId="71E7D783" w:rsidR="009A0C61" w:rsidRPr="000A0CB7" w:rsidRDefault="00A4110F" w:rsidP="000A0CB7">
      <w:pPr>
        <w:pStyle w:val="Heading1"/>
        <w:ind w:left="0" w:right="467"/>
        <w:rPr>
          <w:rFonts w:asciiTheme="minorHAnsi" w:hAnsiTheme="minorHAnsi"/>
        </w:rPr>
      </w:pPr>
      <w:bookmarkStart w:id="28" w:name="Factor_2:_Cost_containment,_Improved_Pub"/>
      <w:bookmarkStart w:id="29" w:name="_Toc218863256"/>
      <w:bookmarkEnd w:id="28"/>
      <w:r w:rsidRPr="00236E0F">
        <w:rPr>
          <w:rFonts w:asciiTheme="minorHAnsi" w:hAnsiTheme="minorHAnsi"/>
          <w:color w:val="42558C"/>
        </w:rPr>
        <w:t xml:space="preserve">Factor 2: Cost containment, Improved Public Health Outcomes and Delivery </w:t>
      </w:r>
      <w:r w:rsidRPr="00236E0F">
        <w:rPr>
          <w:rFonts w:asciiTheme="minorHAnsi" w:hAnsiTheme="minorHAnsi"/>
          <w:color w:val="42558C"/>
        </w:rPr>
        <w:lastRenderedPageBreak/>
        <w:t>System Transformation</w:t>
      </w:r>
      <w:bookmarkEnd w:id="29"/>
    </w:p>
    <w:p w14:paraId="567B3969" w14:textId="4051CADF" w:rsidR="00B447F3" w:rsidRPr="001944BD" w:rsidRDefault="00A4110F" w:rsidP="00C316C3">
      <w:pPr>
        <w:rPr>
          <w:rFonts w:asciiTheme="minorHAnsi" w:hAnsiTheme="minorHAnsi"/>
          <w:b/>
          <w:bCs/>
          <w:szCs w:val="24"/>
        </w:rPr>
      </w:pPr>
      <w:r w:rsidRPr="001944BD">
        <w:rPr>
          <w:rFonts w:asciiTheme="minorHAnsi" w:hAnsiTheme="minorHAnsi"/>
          <w:b/>
          <w:bCs/>
          <w:szCs w:val="24"/>
        </w:rPr>
        <w:t>Cost Containment</w:t>
      </w:r>
    </w:p>
    <w:p w14:paraId="6B47E84E" w14:textId="0024D208" w:rsidR="004162D6" w:rsidRPr="00130D51" w:rsidRDefault="00E03608" w:rsidP="00130D51">
      <w:pPr>
        <w:spacing w:after="120"/>
        <w:rPr>
          <w:rFonts w:ascii="Aptos" w:hAnsi="Aptos"/>
          <w:bCs/>
          <w:sz w:val="21"/>
          <w:szCs w:val="21"/>
        </w:rPr>
      </w:pPr>
      <w:r w:rsidRPr="00E03608">
        <w:rPr>
          <w:rFonts w:asciiTheme="minorHAnsi" w:hAnsiTheme="minorHAnsi"/>
          <w:bCs/>
          <w:szCs w:val="24"/>
        </w:rPr>
        <w:t xml:space="preserve">The Proposed Project will meaningfully contribute to the Commonwealth’s goals for cost containment by expanding access to endoscopy in a lower cost setting than existing options for the Patient Panel. </w:t>
      </w:r>
      <w:r w:rsidR="00AF40F0">
        <w:rPr>
          <w:rFonts w:asciiTheme="minorHAnsi" w:hAnsiTheme="minorHAnsi"/>
          <w:bCs/>
          <w:szCs w:val="24"/>
        </w:rPr>
        <w:t xml:space="preserve">As previously noted in </w:t>
      </w:r>
      <w:r w:rsidR="00AF40F0" w:rsidRPr="000139A7">
        <w:rPr>
          <w:rFonts w:asciiTheme="minorHAnsi" w:hAnsiTheme="minorHAnsi"/>
          <w:bCs/>
          <w:szCs w:val="24"/>
        </w:rPr>
        <w:t xml:space="preserve">sections </w:t>
      </w:r>
      <w:r w:rsidR="00C505B4" w:rsidRPr="000139A7">
        <w:rPr>
          <w:rFonts w:asciiTheme="minorHAnsi" w:hAnsiTheme="minorHAnsi"/>
          <w:bCs/>
          <w:szCs w:val="24"/>
        </w:rPr>
        <w:t>1b and 1e,</w:t>
      </w:r>
      <w:r w:rsidR="00C505B4">
        <w:rPr>
          <w:rFonts w:asciiTheme="minorHAnsi" w:hAnsiTheme="minorHAnsi"/>
          <w:bCs/>
          <w:szCs w:val="24"/>
        </w:rPr>
        <w:t xml:space="preserve"> </w:t>
      </w:r>
      <w:r w:rsidRPr="00E03608">
        <w:rPr>
          <w:rFonts w:asciiTheme="minorHAnsi" w:hAnsiTheme="minorHAnsi"/>
          <w:bCs/>
          <w:szCs w:val="24"/>
        </w:rPr>
        <w:t>ASCs maximiz</w:t>
      </w:r>
      <w:r>
        <w:rPr>
          <w:rFonts w:asciiTheme="minorHAnsi" w:hAnsiTheme="minorHAnsi"/>
          <w:bCs/>
        </w:rPr>
        <w:t>e</w:t>
      </w:r>
      <w:r w:rsidRPr="00E03608">
        <w:rPr>
          <w:rFonts w:asciiTheme="minorHAnsi" w:hAnsiTheme="minorHAnsi"/>
          <w:bCs/>
          <w:szCs w:val="24"/>
        </w:rPr>
        <w:t xml:space="preserve"> operational efficiencies, which translate into lower healthcare costs.</w:t>
      </w:r>
      <w:r w:rsidR="007B71D7" w:rsidRPr="007B71D7">
        <w:rPr>
          <w:rFonts w:asciiTheme="minorHAnsi" w:hAnsiTheme="minorHAnsi"/>
          <w:bCs/>
          <w:szCs w:val="24"/>
        </w:rPr>
        <w:t xml:space="preserve"> </w:t>
      </w:r>
    </w:p>
    <w:p w14:paraId="61E77144" w14:textId="3ABA13DE" w:rsidR="00FA2491" w:rsidRDefault="00FA2491" w:rsidP="00FA2491">
      <w:pPr>
        <w:spacing w:after="120"/>
        <w:rPr>
          <w:rFonts w:asciiTheme="minorHAnsi" w:eastAsia="Arial" w:hAnsiTheme="minorHAnsi"/>
          <w:szCs w:val="24"/>
        </w:rPr>
      </w:pPr>
      <w:r w:rsidRPr="00FA2491">
        <w:rPr>
          <w:rFonts w:asciiTheme="minorHAnsi" w:eastAsia="Arial" w:hAnsiTheme="minorHAnsi"/>
          <w:szCs w:val="24"/>
        </w:rPr>
        <w:t xml:space="preserve">Table </w:t>
      </w:r>
      <w:r w:rsidR="007776C0">
        <w:rPr>
          <w:rFonts w:asciiTheme="minorHAnsi" w:eastAsia="Arial" w:hAnsiTheme="minorHAnsi"/>
          <w:szCs w:val="24"/>
        </w:rPr>
        <w:t>13</w:t>
      </w:r>
      <w:r w:rsidR="001944BD">
        <w:rPr>
          <w:rFonts w:asciiTheme="minorHAnsi" w:eastAsia="Arial" w:hAnsiTheme="minorHAnsi"/>
          <w:szCs w:val="24"/>
        </w:rPr>
        <w:t xml:space="preserve"> </w:t>
      </w:r>
      <w:r w:rsidRPr="00FA2491">
        <w:rPr>
          <w:rFonts w:asciiTheme="minorHAnsi" w:eastAsia="Arial" w:hAnsiTheme="minorHAnsi"/>
          <w:szCs w:val="24"/>
        </w:rPr>
        <w:t xml:space="preserve">below </w:t>
      </w:r>
      <w:r>
        <w:rPr>
          <w:rFonts w:asciiTheme="minorHAnsi" w:eastAsia="Arial" w:hAnsiTheme="minorHAnsi"/>
          <w:szCs w:val="24"/>
        </w:rPr>
        <w:t xml:space="preserve">demonstrates </w:t>
      </w:r>
      <w:proofErr w:type="gramStart"/>
      <w:r>
        <w:rPr>
          <w:rFonts w:asciiTheme="minorHAnsi" w:eastAsia="Arial" w:hAnsiTheme="minorHAnsi"/>
          <w:szCs w:val="24"/>
        </w:rPr>
        <w:t xml:space="preserve">the </w:t>
      </w:r>
      <w:r w:rsidR="00025C2E">
        <w:rPr>
          <w:rFonts w:asciiTheme="minorHAnsi" w:eastAsia="Arial" w:hAnsiTheme="minorHAnsi"/>
          <w:szCs w:val="24"/>
        </w:rPr>
        <w:t>cost</w:t>
      </w:r>
      <w:proofErr w:type="gramEnd"/>
      <w:r w:rsidR="00025C2E">
        <w:rPr>
          <w:rFonts w:asciiTheme="minorHAnsi" w:eastAsia="Arial" w:hAnsiTheme="minorHAnsi"/>
          <w:szCs w:val="24"/>
        </w:rPr>
        <w:t xml:space="preserve"> disparity of</w:t>
      </w:r>
      <w:r w:rsidRPr="00FA2491">
        <w:rPr>
          <w:rFonts w:asciiTheme="minorHAnsi" w:eastAsia="Arial" w:hAnsiTheme="minorHAnsi"/>
          <w:szCs w:val="24"/>
        </w:rPr>
        <w:t xml:space="preserve"> out-of-pocket costs </w:t>
      </w:r>
      <w:r w:rsidR="00025C2E">
        <w:rPr>
          <w:rFonts w:asciiTheme="minorHAnsi" w:eastAsia="Arial" w:hAnsiTheme="minorHAnsi"/>
          <w:szCs w:val="24"/>
        </w:rPr>
        <w:t>for</w:t>
      </w:r>
      <w:r w:rsidRPr="00FA2491">
        <w:rPr>
          <w:rFonts w:asciiTheme="minorHAnsi" w:eastAsia="Arial" w:hAnsiTheme="minorHAnsi"/>
          <w:szCs w:val="24"/>
        </w:rPr>
        <w:t xml:space="preserve"> Medicare</w:t>
      </w:r>
      <w:r w:rsidR="00025C2E">
        <w:rPr>
          <w:rFonts w:asciiTheme="minorHAnsi" w:eastAsia="Arial" w:hAnsiTheme="minorHAnsi"/>
          <w:szCs w:val="24"/>
        </w:rPr>
        <w:t xml:space="preserve"> patients </w:t>
      </w:r>
      <w:r w:rsidRPr="00FA2491">
        <w:rPr>
          <w:rFonts w:asciiTheme="minorHAnsi" w:eastAsia="Arial" w:hAnsiTheme="minorHAnsi"/>
          <w:szCs w:val="24"/>
        </w:rPr>
        <w:t xml:space="preserve">based on the setting in which services are received. The </w:t>
      </w:r>
      <w:r w:rsidR="0075747B">
        <w:rPr>
          <w:rFonts w:asciiTheme="minorHAnsi" w:eastAsia="Arial" w:hAnsiTheme="minorHAnsi"/>
          <w:szCs w:val="24"/>
        </w:rPr>
        <w:t>Applicant asserts that e</w:t>
      </w:r>
      <w:r w:rsidRPr="00FA2491">
        <w:rPr>
          <w:rFonts w:asciiTheme="minorHAnsi" w:eastAsia="Arial" w:hAnsiTheme="minorHAnsi"/>
          <w:szCs w:val="24"/>
        </w:rPr>
        <w:t xml:space="preserve">xpanding access to lower-cost endoscopy services </w:t>
      </w:r>
      <w:r w:rsidR="0075747B">
        <w:rPr>
          <w:rFonts w:asciiTheme="minorHAnsi" w:eastAsia="Arial" w:hAnsiTheme="minorHAnsi"/>
          <w:szCs w:val="24"/>
        </w:rPr>
        <w:t>at an</w:t>
      </w:r>
      <w:r w:rsidRPr="00FA2491">
        <w:rPr>
          <w:rFonts w:asciiTheme="minorHAnsi" w:eastAsia="Arial" w:hAnsiTheme="minorHAnsi"/>
          <w:szCs w:val="24"/>
        </w:rPr>
        <w:t xml:space="preserve"> ASC</w:t>
      </w:r>
      <w:r w:rsidR="0075747B">
        <w:rPr>
          <w:rFonts w:asciiTheme="minorHAnsi" w:eastAsia="Arial" w:hAnsiTheme="minorHAnsi"/>
          <w:szCs w:val="24"/>
        </w:rPr>
        <w:t xml:space="preserve"> will </w:t>
      </w:r>
      <w:r w:rsidRPr="00FA2491">
        <w:rPr>
          <w:rFonts w:asciiTheme="minorHAnsi" w:eastAsia="Arial" w:hAnsiTheme="minorHAnsi"/>
          <w:szCs w:val="24"/>
        </w:rPr>
        <w:t xml:space="preserve">help reduce the financial burden on patients. By receiving endoscopy services in ASCs rather than HOPDs, patients can significantly lower their out-of-pocket expenses and may be more likely to comply with recommendations for endoscopy. </w:t>
      </w:r>
    </w:p>
    <w:p w14:paraId="3AED9EFA" w14:textId="77777777" w:rsidR="00BB2B56" w:rsidRPr="00FA2491" w:rsidRDefault="00BB2B56" w:rsidP="00FA2491">
      <w:pPr>
        <w:spacing w:after="120"/>
        <w:rPr>
          <w:rFonts w:asciiTheme="minorHAnsi" w:hAnsiTheme="minorHAnsi"/>
          <w:bCs/>
          <w:szCs w:val="24"/>
        </w:rPr>
      </w:pPr>
    </w:p>
    <w:p w14:paraId="06F133DE" w14:textId="77C3DE08" w:rsidR="00A0769D" w:rsidRPr="00BB2B56" w:rsidRDefault="00FA2491" w:rsidP="00BB2B56">
      <w:pPr>
        <w:spacing w:after="120"/>
        <w:jc w:val="center"/>
        <w:rPr>
          <w:rFonts w:ascii="Aptos" w:hAnsi="Aptos"/>
          <w:b/>
          <w:szCs w:val="24"/>
        </w:rPr>
      </w:pPr>
      <w:r w:rsidRPr="00BB2B56">
        <w:rPr>
          <w:rFonts w:ascii="Aptos" w:hAnsi="Aptos"/>
          <w:b/>
          <w:szCs w:val="24"/>
          <w:u w:val="single"/>
        </w:rPr>
        <w:t xml:space="preserve">Table </w:t>
      </w:r>
      <w:r w:rsidR="007776C0">
        <w:rPr>
          <w:rFonts w:ascii="Aptos" w:hAnsi="Aptos"/>
          <w:b/>
          <w:szCs w:val="24"/>
          <w:u w:val="single"/>
        </w:rPr>
        <w:t>13</w:t>
      </w:r>
      <w:r w:rsidRPr="00BB2B56">
        <w:rPr>
          <w:rFonts w:ascii="Aptos" w:hAnsi="Aptos"/>
          <w:b/>
          <w:szCs w:val="24"/>
          <w:u w:val="single"/>
        </w:rPr>
        <w:t>:</w:t>
      </w:r>
      <w:r w:rsidRPr="00BB2B56">
        <w:rPr>
          <w:rFonts w:ascii="Aptos" w:hAnsi="Aptos"/>
          <w:b/>
          <w:szCs w:val="24"/>
        </w:rPr>
        <w:t xml:space="preserve"> 2025 Medicare Procedural Out-of-Pocket Costs for Patients</w:t>
      </w:r>
      <w:r w:rsidR="00A0769D" w:rsidRPr="00BB2B56">
        <w:rPr>
          <w:rStyle w:val="FootnoteReference"/>
          <w:rFonts w:ascii="Aptos" w:hAnsi="Aptos"/>
          <w:szCs w:val="24"/>
        </w:rPr>
        <w:footnoteReference w:id="29"/>
      </w:r>
    </w:p>
    <w:tbl>
      <w:tblPr>
        <w:tblStyle w:val="TableGrid"/>
        <w:tblW w:w="5000" w:type="pct"/>
        <w:tblLook w:val="04A0" w:firstRow="1" w:lastRow="0" w:firstColumn="1" w:lastColumn="0" w:noHBand="0" w:noVBand="1"/>
      </w:tblPr>
      <w:tblGrid>
        <w:gridCol w:w="2546"/>
        <w:gridCol w:w="2424"/>
        <w:gridCol w:w="2424"/>
        <w:gridCol w:w="2426"/>
      </w:tblGrid>
      <w:tr w:rsidR="008A75A0" w:rsidRPr="009555DC" w14:paraId="7D6C6D66" w14:textId="77777777" w:rsidTr="00223EC1">
        <w:trPr>
          <w:cantSplit/>
          <w:tblHeader/>
        </w:trPr>
        <w:tc>
          <w:tcPr>
            <w:tcW w:w="1297" w:type="pct"/>
            <w:vAlign w:val="center"/>
          </w:tcPr>
          <w:p w14:paraId="6E5F9048" w14:textId="77777777" w:rsidR="008A75A0" w:rsidRPr="0075747B" w:rsidRDefault="008A75A0">
            <w:pPr>
              <w:rPr>
                <w:rFonts w:asciiTheme="minorHAnsi" w:hAnsiTheme="minorHAnsi"/>
                <w:b/>
                <w:szCs w:val="24"/>
              </w:rPr>
            </w:pPr>
            <w:r w:rsidRPr="0075747B">
              <w:rPr>
                <w:rFonts w:asciiTheme="minorHAnsi" w:hAnsiTheme="minorHAnsi"/>
                <w:b/>
                <w:szCs w:val="24"/>
              </w:rPr>
              <w:t>Procedure</w:t>
            </w:r>
          </w:p>
        </w:tc>
        <w:tc>
          <w:tcPr>
            <w:tcW w:w="1234" w:type="pct"/>
          </w:tcPr>
          <w:p w14:paraId="632F02AE" w14:textId="77777777" w:rsidR="008A75A0" w:rsidRPr="0075747B" w:rsidRDefault="008A75A0">
            <w:pPr>
              <w:jc w:val="center"/>
              <w:rPr>
                <w:rFonts w:asciiTheme="minorHAnsi" w:hAnsiTheme="minorHAnsi"/>
                <w:b/>
                <w:szCs w:val="24"/>
              </w:rPr>
            </w:pPr>
            <w:r w:rsidRPr="0075747B">
              <w:rPr>
                <w:rFonts w:asciiTheme="minorHAnsi" w:hAnsiTheme="minorHAnsi"/>
                <w:b/>
                <w:szCs w:val="24"/>
              </w:rPr>
              <w:t xml:space="preserve">ASC </w:t>
            </w:r>
          </w:p>
          <w:p w14:paraId="1D86B60A" w14:textId="77777777" w:rsidR="008A75A0" w:rsidRPr="0075747B" w:rsidRDefault="008A75A0">
            <w:pPr>
              <w:jc w:val="center"/>
              <w:rPr>
                <w:rFonts w:asciiTheme="minorHAnsi" w:hAnsiTheme="minorHAnsi"/>
                <w:b/>
                <w:szCs w:val="24"/>
              </w:rPr>
            </w:pPr>
            <w:r w:rsidRPr="0075747B">
              <w:rPr>
                <w:rFonts w:asciiTheme="minorHAnsi" w:hAnsiTheme="minorHAnsi"/>
                <w:b/>
                <w:szCs w:val="24"/>
              </w:rPr>
              <w:t>Out-of-Pocket Costs</w:t>
            </w:r>
          </w:p>
        </w:tc>
        <w:tc>
          <w:tcPr>
            <w:tcW w:w="1234" w:type="pct"/>
          </w:tcPr>
          <w:p w14:paraId="54025587" w14:textId="77777777" w:rsidR="008A75A0" w:rsidRPr="0075747B" w:rsidRDefault="008A75A0">
            <w:pPr>
              <w:jc w:val="center"/>
              <w:rPr>
                <w:rFonts w:asciiTheme="minorHAnsi" w:hAnsiTheme="minorHAnsi"/>
                <w:b/>
                <w:szCs w:val="24"/>
              </w:rPr>
            </w:pPr>
            <w:r w:rsidRPr="0075747B">
              <w:rPr>
                <w:rFonts w:asciiTheme="minorHAnsi" w:hAnsiTheme="minorHAnsi"/>
                <w:b/>
                <w:szCs w:val="24"/>
              </w:rPr>
              <w:t xml:space="preserve">HOPD </w:t>
            </w:r>
          </w:p>
          <w:p w14:paraId="78980936" w14:textId="77777777" w:rsidR="008A75A0" w:rsidRPr="0075747B" w:rsidRDefault="008A75A0">
            <w:pPr>
              <w:jc w:val="center"/>
              <w:rPr>
                <w:rFonts w:asciiTheme="minorHAnsi" w:hAnsiTheme="minorHAnsi"/>
                <w:b/>
                <w:szCs w:val="24"/>
              </w:rPr>
            </w:pPr>
            <w:r w:rsidRPr="0075747B">
              <w:rPr>
                <w:rFonts w:asciiTheme="minorHAnsi" w:hAnsiTheme="minorHAnsi"/>
                <w:b/>
                <w:szCs w:val="24"/>
              </w:rPr>
              <w:t>Out-of-Pocket Costs</w:t>
            </w:r>
          </w:p>
        </w:tc>
        <w:tc>
          <w:tcPr>
            <w:tcW w:w="1235" w:type="pct"/>
          </w:tcPr>
          <w:p w14:paraId="7BA64F67" w14:textId="77777777" w:rsidR="008A75A0" w:rsidRPr="0075747B" w:rsidRDefault="008A75A0">
            <w:pPr>
              <w:jc w:val="center"/>
              <w:rPr>
                <w:rFonts w:asciiTheme="minorHAnsi" w:hAnsiTheme="minorHAnsi"/>
                <w:b/>
                <w:szCs w:val="24"/>
              </w:rPr>
            </w:pPr>
            <w:r w:rsidRPr="0075747B">
              <w:rPr>
                <w:rFonts w:asciiTheme="minorHAnsi" w:hAnsiTheme="minorHAnsi"/>
                <w:b/>
                <w:szCs w:val="24"/>
              </w:rPr>
              <w:t xml:space="preserve">ASC Patient </w:t>
            </w:r>
          </w:p>
          <w:p w14:paraId="36412D1C" w14:textId="77777777" w:rsidR="008A75A0" w:rsidRPr="0075747B" w:rsidRDefault="008A75A0">
            <w:pPr>
              <w:jc w:val="center"/>
              <w:rPr>
                <w:rFonts w:asciiTheme="minorHAnsi" w:hAnsiTheme="minorHAnsi"/>
                <w:b/>
                <w:szCs w:val="24"/>
              </w:rPr>
            </w:pPr>
            <w:r w:rsidRPr="0075747B">
              <w:rPr>
                <w:rFonts w:asciiTheme="minorHAnsi" w:hAnsiTheme="minorHAnsi"/>
                <w:b/>
                <w:szCs w:val="24"/>
              </w:rPr>
              <w:t>Out-of-Pocket Savings</w:t>
            </w:r>
          </w:p>
        </w:tc>
      </w:tr>
      <w:tr w:rsidR="008A75A0" w:rsidRPr="009555DC" w14:paraId="33439E2D" w14:textId="77777777" w:rsidTr="00223EC1">
        <w:trPr>
          <w:cantSplit/>
        </w:trPr>
        <w:tc>
          <w:tcPr>
            <w:tcW w:w="1297" w:type="pct"/>
          </w:tcPr>
          <w:p w14:paraId="43ADE747" w14:textId="77777777" w:rsidR="008A75A0" w:rsidRPr="0075747B" w:rsidRDefault="008A75A0">
            <w:pPr>
              <w:rPr>
                <w:rFonts w:asciiTheme="minorHAnsi" w:hAnsiTheme="minorHAnsi"/>
                <w:b/>
                <w:bCs/>
                <w:color w:val="000000" w:themeColor="text1"/>
                <w:szCs w:val="24"/>
              </w:rPr>
            </w:pPr>
            <w:r w:rsidRPr="0075747B">
              <w:rPr>
                <w:rFonts w:asciiTheme="minorHAnsi" w:hAnsiTheme="minorHAnsi"/>
                <w:b/>
                <w:bCs/>
                <w:color w:val="000000" w:themeColor="text1"/>
                <w:szCs w:val="24"/>
              </w:rPr>
              <w:t>Colonoscopy</w:t>
            </w:r>
          </w:p>
        </w:tc>
        <w:tc>
          <w:tcPr>
            <w:tcW w:w="1234" w:type="pct"/>
          </w:tcPr>
          <w:p w14:paraId="018E6723" w14:textId="77777777" w:rsidR="008A75A0" w:rsidRPr="0075747B" w:rsidRDefault="008A75A0">
            <w:pPr>
              <w:jc w:val="center"/>
              <w:rPr>
                <w:rFonts w:asciiTheme="minorHAnsi" w:hAnsiTheme="minorHAnsi"/>
                <w:color w:val="000000" w:themeColor="text1"/>
                <w:szCs w:val="24"/>
              </w:rPr>
            </w:pPr>
            <w:r w:rsidRPr="0075747B">
              <w:rPr>
                <w:rFonts w:asciiTheme="minorHAnsi" w:hAnsiTheme="minorHAnsi"/>
                <w:color w:val="000000" w:themeColor="text1"/>
                <w:szCs w:val="24"/>
              </w:rPr>
              <w:t>$164</w:t>
            </w:r>
          </w:p>
        </w:tc>
        <w:tc>
          <w:tcPr>
            <w:tcW w:w="1234" w:type="pct"/>
          </w:tcPr>
          <w:p w14:paraId="4F17631C" w14:textId="77777777" w:rsidR="008A75A0" w:rsidRPr="0075747B" w:rsidRDefault="008A75A0">
            <w:pPr>
              <w:jc w:val="center"/>
              <w:rPr>
                <w:rFonts w:asciiTheme="minorHAnsi" w:hAnsiTheme="minorHAnsi"/>
                <w:color w:val="000000" w:themeColor="text1"/>
                <w:szCs w:val="24"/>
              </w:rPr>
            </w:pPr>
            <w:r w:rsidRPr="0075747B">
              <w:rPr>
                <w:rFonts w:asciiTheme="minorHAnsi" w:hAnsiTheme="minorHAnsi"/>
                <w:color w:val="000000" w:themeColor="text1"/>
                <w:szCs w:val="24"/>
              </w:rPr>
              <w:t>$273</w:t>
            </w:r>
          </w:p>
        </w:tc>
        <w:tc>
          <w:tcPr>
            <w:tcW w:w="1235" w:type="pct"/>
          </w:tcPr>
          <w:p w14:paraId="4F420842" w14:textId="77777777" w:rsidR="008A75A0" w:rsidRPr="0075747B" w:rsidRDefault="008A75A0">
            <w:pPr>
              <w:jc w:val="center"/>
              <w:rPr>
                <w:rFonts w:asciiTheme="minorHAnsi" w:hAnsiTheme="minorHAnsi"/>
                <w:color w:val="000000" w:themeColor="text1"/>
                <w:szCs w:val="24"/>
              </w:rPr>
            </w:pPr>
            <w:r w:rsidRPr="0075747B">
              <w:rPr>
                <w:rFonts w:asciiTheme="minorHAnsi" w:hAnsiTheme="minorHAnsi"/>
                <w:color w:val="000000" w:themeColor="text1"/>
                <w:szCs w:val="24"/>
              </w:rPr>
              <w:t>$109</w:t>
            </w:r>
          </w:p>
        </w:tc>
      </w:tr>
      <w:tr w:rsidR="008A75A0" w:rsidRPr="009555DC" w14:paraId="6D114B09" w14:textId="77777777" w:rsidTr="00223EC1">
        <w:trPr>
          <w:cantSplit/>
        </w:trPr>
        <w:tc>
          <w:tcPr>
            <w:tcW w:w="1297" w:type="pct"/>
          </w:tcPr>
          <w:p w14:paraId="4417E1CA" w14:textId="77777777" w:rsidR="008A75A0" w:rsidRPr="0075747B" w:rsidRDefault="008A75A0">
            <w:pPr>
              <w:rPr>
                <w:rFonts w:asciiTheme="minorHAnsi" w:hAnsiTheme="minorHAnsi"/>
                <w:b/>
                <w:bCs/>
                <w:color w:val="000000" w:themeColor="text1"/>
                <w:szCs w:val="24"/>
              </w:rPr>
            </w:pPr>
            <w:r w:rsidRPr="0075747B">
              <w:rPr>
                <w:rFonts w:asciiTheme="minorHAnsi" w:hAnsiTheme="minorHAnsi"/>
                <w:b/>
                <w:bCs/>
                <w:color w:val="000000" w:themeColor="text1"/>
                <w:szCs w:val="24"/>
              </w:rPr>
              <w:t xml:space="preserve">EGD </w:t>
            </w:r>
          </w:p>
        </w:tc>
        <w:tc>
          <w:tcPr>
            <w:tcW w:w="1234" w:type="pct"/>
          </w:tcPr>
          <w:p w14:paraId="633DDA1F" w14:textId="77777777" w:rsidR="008A75A0" w:rsidRPr="0075747B" w:rsidRDefault="008A75A0">
            <w:pPr>
              <w:jc w:val="center"/>
              <w:rPr>
                <w:rFonts w:asciiTheme="minorHAnsi" w:hAnsiTheme="minorHAnsi"/>
                <w:color w:val="000000" w:themeColor="text1"/>
                <w:szCs w:val="24"/>
              </w:rPr>
            </w:pPr>
            <w:r w:rsidRPr="0075747B">
              <w:rPr>
                <w:rFonts w:asciiTheme="minorHAnsi" w:hAnsiTheme="minorHAnsi"/>
                <w:color w:val="000000" w:themeColor="text1"/>
                <w:szCs w:val="24"/>
              </w:rPr>
              <w:t>$126</w:t>
            </w:r>
          </w:p>
        </w:tc>
        <w:tc>
          <w:tcPr>
            <w:tcW w:w="1234" w:type="pct"/>
          </w:tcPr>
          <w:p w14:paraId="56E5CC00" w14:textId="77777777" w:rsidR="008A75A0" w:rsidRPr="0075747B" w:rsidRDefault="008A75A0">
            <w:pPr>
              <w:jc w:val="center"/>
              <w:rPr>
                <w:rFonts w:asciiTheme="minorHAnsi" w:hAnsiTheme="minorHAnsi"/>
                <w:color w:val="000000" w:themeColor="text1"/>
                <w:szCs w:val="24"/>
              </w:rPr>
            </w:pPr>
            <w:r w:rsidRPr="0075747B">
              <w:rPr>
                <w:rFonts w:asciiTheme="minorHAnsi" w:hAnsiTheme="minorHAnsi"/>
                <w:color w:val="000000" w:themeColor="text1"/>
                <w:szCs w:val="24"/>
              </w:rPr>
              <w:t>$213</w:t>
            </w:r>
          </w:p>
        </w:tc>
        <w:tc>
          <w:tcPr>
            <w:tcW w:w="1235" w:type="pct"/>
          </w:tcPr>
          <w:p w14:paraId="48CFF5B0" w14:textId="77777777" w:rsidR="008A75A0" w:rsidRPr="0075747B" w:rsidRDefault="008A75A0">
            <w:pPr>
              <w:jc w:val="center"/>
              <w:rPr>
                <w:rFonts w:asciiTheme="minorHAnsi" w:hAnsiTheme="minorHAnsi"/>
                <w:color w:val="000000" w:themeColor="text1"/>
                <w:szCs w:val="24"/>
              </w:rPr>
            </w:pPr>
            <w:r w:rsidRPr="0075747B">
              <w:rPr>
                <w:rFonts w:asciiTheme="minorHAnsi" w:hAnsiTheme="minorHAnsi"/>
                <w:color w:val="000000" w:themeColor="text1"/>
                <w:szCs w:val="24"/>
              </w:rPr>
              <w:t>$87</w:t>
            </w:r>
          </w:p>
        </w:tc>
      </w:tr>
      <w:tr w:rsidR="008A75A0" w:rsidRPr="009555DC" w14:paraId="59B68A36" w14:textId="77777777" w:rsidTr="00223EC1">
        <w:trPr>
          <w:cantSplit/>
        </w:trPr>
        <w:tc>
          <w:tcPr>
            <w:tcW w:w="1297" w:type="pct"/>
          </w:tcPr>
          <w:p w14:paraId="4B7879E7" w14:textId="77777777" w:rsidR="008A75A0" w:rsidRPr="0075747B" w:rsidRDefault="008A75A0">
            <w:pPr>
              <w:rPr>
                <w:rFonts w:asciiTheme="minorHAnsi" w:hAnsiTheme="minorHAnsi"/>
                <w:b/>
                <w:bCs/>
                <w:color w:val="000000" w:themeColor="text1"/>
                <w:szCs w:val="24"/>
              </w:rPr>
            </w:pPr>
            <w:r w:rsidRPr="0075747B">
              <w:rPr>
                <w:rFonts w:asciiTheme="minorHAnsi" w:hAnsiTheme="minorHAnsi"/>
                <w:b/>
                <w:bCs/>
                <w:color w:val="000000" w:themeColor="text1"/>
                <w:szCs w:val="24"/>
              </w:rPr>
              <w:t xml:space="preserve">Enteroscopy </w:t>
            </w:r>
          </w:p>
        </w:tc>
        <w:tc>
          <w:tcPr>
            <w:tcW w:w="1234" w:type="pct"/>
          </w:tcPr>
          <w:p w14:paraId="67E96077" w14:textId="77777777" w:rsidR="008A75A0" w:rsidRPr="0075747B" w:rsidRDefault="008A75A0">
            <w:pPr>
              <w:jc w:val="center"/>
              <w:rPr>
                <w:rFonts w:asciiTheme="minorHAnsi" w:hAnsiTheme="minorHAnsi"/>
                <w:color w:val="000000" w:themeColor="text1"/>
                <w:szCs w:val="24"/>
              </w:rPr>
            </w:pPr>
            <w:r w:rsidRPr="0075747B">
              <w:rPr>
                <w:rFonts w:asciiTheme="minorHAnsi" w:hAnsiTheme="minorHAnsi"/>
                <w:color w:val="000000" w:themeColor="text1"/>
                <w:szCs w:val="24"/>
              </w:rPr>
              <w:t>$202</w:t>
            </w:r>
          </w:p>
        </w:tc>
        <w:tc>
          <w:tcPr>
            <w:tcW w:w="1234" w:type="pct"/>
          </w:tcPr>
          <w:p w14:paraId="7F26B55B" w14:textId="77777777" w:rsidR="008A75A0" w:rsidRPr="0075747B" w:rsidRDefault="008A75A0">
            <w:pPr>
              <w:jc w:val="center"/>
              <w:rPr>
                <w:rFonts w:asciiTheme="minorHAnsi" w:hAnsiTheme="minorHAnsi"/>
                <w:color w:val="000000" w:themeColor="text1"/>
                <w:szCs w:val="24"/>
              </w:rPr>
            </w:pPr>
            <w:r w:rsidRPr="0075747B">
              <w:rPr>
                <w:rFonts w:asciiTheme="minorHAnsi" w:hAnsiTheme="minorHAnsi"/>
                <w:color w:val="000000" w:themeColor="text1"/>
                <w:szCs w:val="24"/>
              </w:rPr>
              <w:t>$409</w:t>
            </w:r>
          </w:p>
        </w:tc>
        <w:tc>
          <w:tcPr>
            <w:tcW w:w="1235" w:type="pct"/>
          </w:tcPr>
          <w:p w14:paraId="0B085521" w14:textId="77777777" w:rsidR="008A75A0" w:rsidRPr="0075747B" w:rsidRDefault="008A75A0">
            <w:pPr>
              <w:jc w:val="center"/>
              <w:rPr>
                <w:rFonts w:asciiTheme="minorHAnsi" w:hAnsiTheme="minorHAnsi"/>
                <w:color w:val="000000" w:themeColor="text1"/>
                <w:szCs w:val="24"/>
              </w:rPr>
            </w:pPr>
            <w:r w:rsidRPr="0075747B">
              <w:rPr>
                <w:rFonts w:asciiTheme="minorHAnsi" w:hAnsiTheme="minorHAnsi"/>
                <w:color w:val="000000" w:themeColor="text1"/>
                <w:szCs w:val="24"/>
              </w:rPr>
              <w:t>$207</w:t>
            </w:r>
          </w:p>
        </w:tc>
      </w:tr>
      <w:tr w:rsidR="008A75A0" w:rsidRPr="009555DC" w14:paraId="35F0E67F" w14:textId="77777777" w:rsidTr="00223EC1">
        <w:trPr>
          <w:cantSplit/>
        </w:trPr>
        <w:tc>
          <w:tcPr>
            <w:tcW w:w="1297" w:type="pct"/>
          </w:tcPr>
          <w:p w14:paraId="4AE10E70" w14:textId="77777777" w:rsidR="008A75A0" w:rsidRPr="0075747B" w:rsidRDefault="008A75A0">
            <w:pPr>
              <w:rPr>
                <w:rFonts w:asciiTheme="minorHAnsi" w:hAnsiTheme="minorHAnsi"/>
                <w:b/>
                <w:bCs/>
                <w:color w:val="000000" w:themeColor="text1"/>
                <w:szCs w:val="24"/>
              </w:rPr>
            </w:pPr>
            <w:r w:rsidRPr="0075747B">
              <w:rPr>
                <w:rFonts w:asciiTheme="minorHAnsi" w:hAnsiTheme="minorHAnsi"/>
                <w:b/>
                <w:bCs/>
                <w:color w:val="000000" w:themeColor="text1"/>
                <w:szCs w:val="24"/>
              </w:rPr>
              <w:t xml:space="preserve">Esophagoscopy </w:t>
            </w:r>
          </w:p>
        </w:tc>
        <w:tc>
          <w:tcPr>
            <w:tcW w:w="1234" w:type="pct"/>
          </w:tcPr>
          <w:p w14:paraId="36F3A9D7" w14:textId="77777777" w:rsidR="008A75A0" w:rsidRPr="0075747B" w:rsidRDefault="008A75A0">
            <w:pPr>
              <w:jc w:val="center"/>
              <w:rPr>
                <w:rFonts w:asciiTheme="minorHAnsi" w:hAnsiTheme="minorHAnsi"/>
                <w:color w:val="000000" w:themeColor="text1"/>
                <w:szCs w:val="24"/>
              </w:rPr>
            </w:pPr>
            <w:r w:rsidRPr="0075747B">
              <w:rPr>
                <w:rFonts w:asciiTheme="minorHAnsi" w:hAnsiTheme="minorHAnsi"/>
                <w:color w:val="000000" w:themeColor="text1"/>
                <w:szCs w:val="24"/>
              </w:rPr>
              <w:t>$191</w:t>
            </w:r>
          </w:p>
        </w:tc>
        <w:tc>
          <w:tcPr>
            <w:tcW w:w="1234" w:type="pct"/>
          </w:tcPr>
          <w:p w14:paraId="3CC77E10" w14:textId="77777777" w:rsidR="008A75A0" w:rsidRPr="0075747B" w:rsidRDefault="008A75A0">
            <w:pPr>
              <w:jc w:val="center"/>
              <w:rPr>
                <w:rFonts w:asciiTheme="minorHAnsi" w:hAnsiTheme="minorHAnsi"/>
                <w:color w:val="000000" w:themeColor="text1"/>
                <w:szCs w:val="24"/>
              </w:rPr>
            </w:pPr>
            <w:r w:rsidRPr="0075747B">
              <w:rPr>
                <w:rFonts w:asciiTheme="minorHAnsi" w:hAnsiTheme="minorHAnsi"/>
                <w:color w:val="000000" w:themeColor="text1"/>
                <w:szCs w:val="24"/>
              </w:rPr>
              <w:t>$398</w:t>
            </w:r>
          </w:p>
        </w:tc>
        <w:tc>
          <w:tcPr>
            <w:tcW w:w="1235" w:type="pct"/>
          </w:tcPr>
          <w:p w14:paraId="4C3C074D" w14:textId="77777777" w:rsidR="008A75A0" w:rsidRPr="0075747B" w:rsidRDefault="008A75A0">
            <w:pPr>
              <w:jc w:val="center"/>
              <w:rPr>
                <w:rFonts w:asciiTheme="minorHAnsi" w:hAnsiTheme="minorHAnsi"/>
                <w:color w:val="000000" w:themeColor="text1"/>
                <w:szCs w:val="24"/>
              </w:rPr>
            </w:pPr>
            <w:r w:rsidRPr="0075747B">
              <w:rPr>
                <w:rFonts w:asciiTheme="minorHAnsi" w:hAnsiTheme="minorHAnsi"/>
                <w:color w:val="000000" w:themeColor="text1"/>
                <w:szCs w:val="24"/>
              </w:rPr>
              <w:t>$208</w:t>
            </w:r>
          </w:p>
        </w:tc>
      </w:tr>
    </w:tbl>
    <w:p w14:paraId="56825AEF" w14:textId="77777777" w:rsidR="008A75A0" w:rsidRDefault="008A75A0" w:rsidP="00C316C3">
      <w:pPr>
        <w:pStyle w:val="BodyText"/>
        <w:rPr>
          <w:rFonts w:asciiTheme="minorHAnsi" w:hAnsiTheme="minorHAnsi"/>
          <w:bCs/>
        </w:rPr>
      </w:pPr>
    </w:p>
    <w:p w14:paraId="6AB27920" w14:textId="209FDB51" w:rsidR="000139A7" w:rsidRPr="00835392" w:rsidRDefault="008A75A0" w:rsidP="000D3B34">
      <w:pPr>
        <w:spacing w:after="120"/>
        <w:rPr>
          <w:rFonts w:asciiTheme="minorHAnsi" w:hAnsiTheme="minorHAnsi"/>
        </w:rPr>
      </w:pPr>
      <w:r w:rsidRPr="28C59B04">
        <w:rPr>
          <w:rFonts w:asciiTheme="minorHAnsi" w:hAnsiTheme="minorHAnsi"/>
        </w:rPr>
        <w:t>The Applicant notes that, at the time of this Application, only 18 of the Commonwealth’s ASCs are offering endoscopy services (12 single-specialty and 6 multi-specialty)</w:t>
      </w:r>
      <w:r w:rsidR="00C5499C">
        <w:rPr>
          <w:rFonts w:asciiTheme="minorHAnsi" w:hAnsiTheme="minorHAnsi"/>
        </w:rPr>
        <w:t>,</w:t>
      </w:r>
      <w:r w:rsidRPr="28C59B04">
        <w:rPr>
          <w:rStyle w:val="EndnoteReference"/>
          <w:rFonts w:asciiTheme="minorHAnsi" w:hAnsiTheme="minorHAnsi"/>
        </w:rPr>
        <w:endnoteReference w:id="34"/>
      </w:r>
      <w:r w:rsidR="00626BBD">
        <w:rPr>
          <w:rFonts w:asciiTheme="minorHAnsi" w:hAnsiTheme="minorHAnsi"/>
        </w:rPr>
        <w:t xml:space="preserve"> </w:t>
      </w:r>
      <w:r w:rsidR="00C5499C">
        <w:rPr>
          <w:rFonts w:asciiTheme="minorHAnsi" w:hAnsiTheme="minorHAnsi"/>
        </w:rPr>
        <w:t>w</w:t>
      </w:r>
      <w:r w:rsidR="00626BBD">
        <w:rPr>
          <w:rFonts w:asciiTheme="minorHAnsi" w:hAnsiTheme="minorHAnsi"/>
        </w:rPr>
        <w:t>ith only one in the Boston metro area</w:t>
      </w:r>
      <w:r w:rsidR="00C5499C">
        <w:rPr>
          <w:rFonts w:asciiTheme="minorHAnsi" w:hAnsiTheme="minorHAnsi"/>
        </w:rPr>
        <w:t>.</w:t>
      </w:r>
      <w:r w:rsidRPr="28C59B04">
        <w:rPr>
          <w:rFonts w:asciiTheme="minorHAnsi" w:hAnsiTheme="minorHAnsi"/>
        </w:rPr>
        <w:t xml:space="preserve"> </w:t>
      </w:r>
      <w:r w:rsidR="00C5499C">
        <w:rPr>
          <w:rFonts w:asciiTheme="minorHAnsi" w:hAnsiTheme="minorHAnsi"/>
        </w:rPr>
        <w:t>T</w:t>
      </w:r>
      <w:r w:rsidR="00EC757E">
        <w:rPr>
          <w:rFonts w:asciiTheme="minorHAnsi" w:hAnsiTheme="minorHAnsi"/>
        </w:rPr>
        <w:t xml:space="preserve">he Applicant asserts that </w:t>
      </w:r>
      <w:r w:rsidR="00626BBD">
        <w:rPr>
          <w:rFonts w:asciiTheme="minorHAnsi" w:hAnsiTheme="minorHAnsi"/>
        </w:rPr>
        <w:t xml:space="preserve">due to </w:t>
      </w:r>
      <w:r w:rsidR="008F59ED">
        <w:rPr>
          <w:rFonts w:asciiTheme="minorHAnsi" w:hAnsiTheme="minorHAnsi"/>
        </w:rPr>
        <w:t xml:space="preserve">the low </w:t>
      </w:r>
      <w:r w:rsidR="00EC2A1A" w:rsidRPr="28C59B04">
        <w:rPr>
          <w:rFonts w:asciiTheme="minorHAnsi" w:hAnsiTheme="minorHAnsi"/>
        </w:rPr>
        <w:t xml:space="preserve">availability </w:t>
      </w:r>
      <w:r w:rsidR="008F59ED">
        <w:rPr>
          <w:rFonts w:asciiTheme="minorHAnsi" w:hAnsiTheme="minorHAnsi"/>
        </w:rPr>
        <w:t xml:space="preserve">of </w:t>
      </w:r>
      <w:r w:rsidR="003A6C2E">
        <w:rPr>
          <w:rFonts w:asciiTheme="minorHAnsi" w:hAnsiTheme="minorHAnsi"/>
        </w:rPr>
        <w:t xml:space="preserve">ASC’s, </w:t>
      </w:r>
      <w:r w:rsidR="003A6C2E" w:rsidRPr="28C59B04">
        <w:rPr>
          <w:rFonts w:asciiTheme="minorHAnsi" w:hAnsiTheme="minorHAnsi"/>
        </w:rPr>
        <w:t>patients</w:t>
      </w:r>
      <w:r w:rsidR="00EC2A1A" w:rsidRPr="28C59B04">
        <w:rPr>
          <w:rFonts w:asciiTheme="minorHAnsi" w:hAnsiTheme="minorHAnsi"/>
        </w:rPr>
        <w:t xml:space="preserve"> must rely on HOPD services to receive low-acuity procedures. To address this problem, the Proposed Project </w:t>
      </w:r>
      <w:r w:rsidR="000D3B34" w:rsidRPr="28C59B04">
        <w:rPr>
          <w:rFonts w:asciiTheme="minorHAnsi" w:hAnsiTheme="minorHAnsi"/>
        </w:rPr>
        <w:t xml:space="preserve">seeks to </w:t>
      </w:r>
      <w:r w:rsidR="00EC2A1A" w:rsidRPr="28C59B04">
        <w:rPr>
          <w:rFonts w:asciiTheme="minorHAnsi" w:hAnsiTheme="minorHAnsi"/>
        </w:rPr>
        <w:t>create an additional ASC, thereby improving the rat</w:t>
      </w:r>
      <w:r w:rsidR="30923F23" w:rsidRPr="28C59B04">
        <w:rPr>
          <w:rFonts w:asciiTheme="minorHAnsi" w:hAnsiTheme="minorHAnsi"/>
        </w:rPr>
        <w:t>io</w:t>
      </w:r>
      <w:r w:rsidR="00EC2A1A" w:rsidRPr="28C59B04">
        <w:rPr>
          <w:rFonts w:asciiTheme="minorHAnsi" w:hAnsiTheme="minorHAnsi"/>
        </w:rPr>
        <w:t xml:space="preserve"> of ASCs per capita in the Commonwealth.</w:t>
      </w:r>
    </w:p>
    <w:p w14:paraId="0A37A78C" w14:textId="5AD2F94A" w:rsidR="00AB5B73" w:rsidRPr="000D3B34" w:rsidRDefault="00AB5B73" w:rsidP="000D3B34">
      <w:pPr>
        <w:spacing w:after="120"/>
        <w:rPr>
          <w:rFonts w:cs="Calibri"/>
          <w:bCs/>
          <w:szCs w:val="24"/>
        </w:rPr>
      </w:pPr>
      <w:r w:rsidRPr="000D3B34">
        <w:rPr>
          <w:rFonts w:cs="Calibri"/>
          <w:bCs/>
          <w:szCs w:val="24"/>
        </w:rPr>
        <w:t>Increasing the availability of colonoscopies through additional procedural capacity also impacts TME through the overall reduction of colorectal cancers that require treatment. In 2020, the cost of colorectal cancer care was $24.3 billion and accounted for 11.6% of all cancer treatment costs.</w:t>
      </w:r>
      <w:r w:rsidR="008A75A0" w:rsidRPr="000D3B34">
        <w:rPr>
          <w:rStyle w:val="EndnoteReference"/>
          <w:rFonts w:cs="Calibri"/>
          <w:bCs/>
          <w:szCs w:val="24"/>
        </w:rPr>
        <w:endnoteReference w:id="35"/>
      </w:r>
      <w:r w:rsidR="008A75A0" w:rsidRPr="000D3B34">
        <w:rPr>
          <w:rFonts w:cs="Calibri"/>
          <w:bCs/>
          <w:szCs w:val="24"/>
        </w:rPr>
        <w:t xml:space="preserve"> The average per-patient costs for medical services during the first year after diagnosis is $66,500.</w:t>
      </w:r>
      <w:r w:rsidR="008A75A0" w:rsidRPr="000D3B34">
        <w:rPr>
          <w:rStyle w:val="EndnoteReference"/>
          <w:rFonts w:cs="Calibri"/>
          <w:bCs/>
          <w:szCs w:val="24"/>
        </w:rPr>
        <w:endnoteReference w:id="36"/>
      </w:r>
      <w:r w:rsidR="008A75A0" w:rsidRPr="000D3B34">
        <w:rPr>
          <w:rFonts w:cs="Calibri"/>
          <w:bCs/>
          <w:szCs w:val="24"/>
        </w:rPr>
        <w:t xml:space="preserve"> Increasing screening prevalence to 70% among adults age 50 to 64 could reduce Medicare spending by $14 billion (in 2010 dollars) by 2050.</w:t>
      </w:r>
      <w:r w:rsidR="008A75A0" w:rsidRPr="000D3B34">
        <w:rPr>
          <w:rStyle w:val="EndnoteReference"/>
          <w:rFonts w:cs="Calibri"/>
          <w:bCs/>
          <w:szCs w:val="24"/>
        </w:rPr>
        <w:endnoteReference w:id="37"/>
      </w:r>
      <w:r w:rsidR="008A75A0" w:rsidRPr="000D3B34">
        <w:rPr>
          <w:rFonts w:cs="Calibri"/>
          <w:bCs/>
          <w:szCs w:val="24"/>
        </w:rPr>
        <w:t xml:space="preserve"> </w:t>
      </w:r>
      <w:r w:rsidRPr="000D3B34">
        <w:rPr>
          <w:rFonts w:cs="Calibri"/>
          <w:bCs/>
          <w:szCs w:val="24"/>
        </w:rPr>
        <w:t xml:space="preserve">Increasing the availability of colonoscopy has a direct impact on patient outcomes and health care spending. </w:t>
      </w:r>
    </w:p>
    <w:p w14:paraId="0C3ADD9F" w14:textId="77777777" w:rsidR="00E03608" w:rsidRPr="00C85257" w:rsidRDefault="00E03608" w:rsidP="00C316C3">
      <w:pPr>
        <w:pStyle w:val="BodyText"/>
        <w:rPr>
          <w:rFonts w:asciiTheme="minorHAnsi" w:hAnsiTheme="minorHAnsi"/>
          <w:highlight w:val="yellow"/>
        </w:rPr>
      </w:pPr>
    </w:p>
    <w:p w14:paraId="33FC7E4D" w14:textId="26C09E20" w:rsidR="00B447F3" w:rsidRPr="00174D85" w:rsidRDefault="00A4110F" w:rsidP="00C316C3">
      <w:pPr>
        <w:rPr>
          <w:rFonts w:asciiTheme="minorHAnsi" w:hAnsiTheme="minorHAnsi"/>
          <w:b/>
          <w:bCs/>
          <w:i/>
          <w:iCs/>
          <w:szCs w:val="24"/>
        </w:rPr>
      </w:pPr>
      <w:r w:rsidRPr="00174D85">
        <w:rPr>
          <w:rFonts w:asciiTheme="minorHAnsi" w:hAnsiTheme="minorHAnsi"/>
          <w:b/>
          <w:bCs/>
          <w:i/>
          <w:iCs/>
          <w:szCs w:val="24"/>
        </w:rPr>
        <w:t>Analysis: Cost Containment</w:t>
      </w:r>
    </w:p>
    <w:p w14:paraId="4E5249FC" w14:textId="586BAFE8" w:rsidR="00B447F3" w:rsidRPr="00C85257" w:rsidRDefault="4A59A93C" w:rsidP="28157CC0">
      <w:pPr>
        <w:pStyle w:val="BodyText"/>
        <w:rPr>
          <w:rFonts w:asciiTheme="minorHAnsi" w:hAnsiTheme="minorHAnsi"/>
          <w:highlight w:val="yellow"/>
        </w:rPr>
      </w:pPr>
      <w:r w:rsidRPr="00174D85">
        <w:rPr>
          <w:rFonts w:asciiTheme="minorHAnsi" w:hAnsiTheme="minorHAnsi"/>
        </w:rPr>
        <w:t xml:space="preserve">Staff finds that the Applicant </w:t>
      </w:r>
      <w:r w:rsidR="7AE78C2B" w:rsidRPr="00174D85">
        <w:rPr>
          <w:rFonts w:asciiTheme="minorHAnsi" w:hAnsiTheme="minorHAnsi"/>
        </w:rPr>
        <w:t>demonstrated</w:t>
      </w:r>
      <w:r w:rsidRPr="00174D85">
        <w:rPr>
          <w:rFonts w:asciiTheme="minorHAnsi" w:hAnsiTheme="minorHAnsi"/>
        </w:rPr>
        <w:t xml:space="preserve"> how the Proposed Project aligns with the Commonwealth’s cost containment goals through the </w:t>
      </w:r>
      <w:r w:rsidRPr="00AB7B6F">
        <w:rPr>
          <w:rFonts w:asciiTheme="minorHAnsi" w:hAnsiTheme="minorHAnsi"/>
        </w:rPr>
        <w:t>expansion of access to</w:t>
      </w:r>
      <w:r w:rsidR="7AE78C2B" w:rsidRPr="00AB7B6F">
        <w:rPr>
          <w:rFonts w:asciiTheme="minorHAnsi" w:hAnsiTheme="minorHAnsi"/>
        </w:rPr>
        <w:t xml:space="preserve"> </w:t>
      </w:r>
      <w:r w:rsidR="00174D85" w:rsidRPr="00AB7B6F">
        <w:rPr>
          <w:rFonts w:asciiTheme="minorHAnsi" w:hAnsiTheme="minorHAnsi"/>
        </w:rPr>
        <w:t>endoscopy</w:t>
      </w:r>
      <w:r w:rsidRPr="00AB7B6F">
        <w:rPr>
          <w:rFonts w:asciiTheme="minorHAnsi" w:hAnsiTheme="minorHAnsi"/>
        </w:rPr>
        <w:t xml:space="preserve"> </w:t>
      </w:r>
      <w:r w:rsidR="00AD5F5B">
        <w:rPr>
          <w:rFonts w:asciiTheme="minorHAnsi" w:hAnsiTheme="minorHAnsi"/>
        </w:rPr>
        <w:t xml:space="preserve">services </w:t>
      </w:r>
      <w:r w:rsidRPr="00AB7B6F">
        <w:rPr>
          <w:rFonts w:asciiTheme="minorHAnsi" w:hAnsiTheme="minorHAnsi"/>
        </w:rPr>
        <w:t>in a lower</w:t>
      </w:r>
      <w:r w:rsidR="00EB72CD" w:rsidRPr="00AB7B6F">
        <w:rPr>
          <w:rFonts w:asciiTheme="minorHAnsi" w:hAnsiTheme="minorHAnsi"/>
        </w:rPr>
        <w:t xml:space="preserve"> </w:t>
      </w:r>
      <w:r w:rsidRPr="00AB7B6F">
        <w:rPr>
          <w:rFonts w:asciiTheme="minorHAnsi" w:hAnsiTheme="minorHAnsi"/>
        </w:rPr>
        <w:t>cost setting</w:t>
      </w:r>
      <w:r w:rsidR="5111E12A" w:rsidRPr="00AB7B6F">
        <w:rPr>
          <w:rFonts w:asciiTheme="minorHAnsi" w:hAnsiTheme="minorHAnsi"/>
        </w:rPr>
        <w:t xml:space="preserve">. </w:t>
      </w:r>
      <w:r w:rsidR="7AE78C2B" w:rsidRPr="00AB7B6F">
        <w:rPr>
          <w:rFonts w:asciiTheme="minorHAnsi" w:hAnsiTheme="minorHAnsi"/>
        </w:rPr>
        <w:t>Therefore, DoN Staff conclude that the Proposed Project will likely meet the cost containment component of Factor 2.</w:t>
      </w:r>
    </w:p>
    <w:p w14:paraId="04479D09" w14:textId="77777777" w:rsidR="00517020" w:rsidRPr="00C85257" w:rsidRDefault="00517020" w:rsidP="00C316C3">
      <w:pPr>
        <w:pStyle w:val="BodyText"/>
        <w:rPr>
          <w:rFonts w:asciiTheme="minorHAnsi" w:hAnsiTheme="minorHAnsi"/>
          <w:sz w:val="25"/>
          <w:highlight w:val="yellow"/>
        </w:rPr>
      </w:pPr>
    </w:p>
    <w:p w14:paraId="539AD4E0" w14:textId="0E47D07D" w:rsidR="0048470A" w:rsidRPr="00A32CB6" w:rsidRDefault="00A4110F" w:rsidP="00C316C3">
      <w:pPr>
        <w:pStyle w:val="Heading4"/>
        <w:spacing w:line="240" w:lineRule="auto"/>
        <w:ind w:left="0"/>
        <w:rPr>
          <w:rFonts w:asciiTheme="minorHAnsi" w:hAnsiTheme="minorHAnsi"/>
        </w:rPr>
      </w:pPr>
      <w:r w:rsidRPr="00A32CB6">
        <w:rPr>
          <w:rFonts w:asciiTheme="minorHAnsi" w:hAnsiTheme="minorHAnsi"/>
        </w:rPr>
        <w:t>Improved Public Health Outcomes</w:t>
      </w:r>
    </w:p>
    <w:p w14:paraId="159CBBD8" w14:textId="40531C2A" w:rsidR="005C1E53" w:rsidRPr="00A32CB6" w:rsidRDefault="00363607" w:rsidP="00C316C3">
      <w:pPr>
        <w:pStyle w:val="Heading4"/>
        <w:spacing w:line="240" w:lineRule="auto"/>
        <w:ind w:left="0"/>
        <w:rPr>
          <w:rFonts w:asciiTheme="minorHAnsi" w:hAnsiTheme="minorHAnsi"/>
          <w:b w:val="0"/>
          <w:bCs w:val="0"/>
        </w:rPr>
      </w:pPr>
      <w:r w:rsidRPr="00A32CB6">
        <w:rPr>
          <w:rFonts w:asciiTheme="minorHAnsi" w:hAnsiTheme="minorHAnsi"/>
          <w:b w:val="0"/>
          <w:bCs w:val="0"/>
        </w:rPr>
        <w:t xml:space="preserve">As </w:t>
      </w:r>
      <w:r w:rsidR="00315D2E">
        <w:rPr>
          <w:rFonts w:asciiTheme="minorHAnsi" w:hAnsiTheme="minorHAnsi"/>
          <w:b w:val="0"/>
          <w:bCs w:val="0"/>
        </w:rPr>
        <w:t>detailed</w:t>
      </w:r>
      <w:r w:rsidRPr="00A32CB6">
        <w:rPr>
          <w:rFonts w:asciiTheme="minorHAnsi" w:hAnsiTheme="minorHAnsi"/>
          <w:b w:val="0"/>
          <w:bCs w:val="0"/>
        </w:rPr>
        <w:t xml:space="preserve"> in Factor 1b, </w:t>
      </w:r>
      <w:r w:rsidR="00E21364">
        <w:rPr>
          <w:rFonts w:asciiTheme="minorHAnsi" w:hAnsiTheme="minorHAnsi"/>
          <w:b w:val="0"/>
          <w:bCs w:val="0"/>
        </w:rPr>
        <w:t>i</w:t>
      </w:r>
      <w:r w:rsidRPr="00A32CB6">
        <w:rPr>
          <w:rFonts w:asciiTheme="minorHAnsi" w:hAnsiTheme="minorHAnsi"/>
          <w:b w:val="0"/>
          <w:bCs w:val="0"/>
        </w:rPr>
        <w:t>mprove</w:t>
      </w:r>
      <w:r w:rsidR="00E21364">
        <w:rPr>
          <w:rFonts w:asciiTheme="minorHAnsi" w:hAnsiTheme="minorHAnsi"/>
          <w:b w:val="0"/>
          <w:bCs w:val="0"/>
        </w:rPr>
        <w:t>d</w:t>
      </w:r>
      <w:r w:rsidRPr="00A32CB6">
        <w:rPr>
          <w:rFonts w:asciiTheme="minorHAnsi" w:hAnsiTheme="minorHAnsi"/>
          <w:b w:val="0"/>
          <w:bCs w:val="0"/>
        </w:rPr>
        <w:t xml:space="preserve"> access to endoscopy services </w:t>
      </w:r>
      <w:r w:rsidR="00F6070E">
        <w:rPr>
          <w:rFonts w:asciiTheme="minorHAnsi" w:hAnsiTheme="minorHAnsi"/>
          <w:b w:val="0"/>
          <w:bCs w:val="0"/>
        </w:rPr>
        <w:t>through the Proposed Project has the potential to</w:t>
      </w:r>
      <w:r w:rsidRPr="00A32CB6">
        <w:rPr>
          <w:rFonts w:asciiTheme="minorHAnsi" w:hAnsiTheme="minorHAnsi"/>
          <w:b w:val="0"/>
          <w:bCs w:val="0"/>
        </w:rPr>
        <w:t xml:space="preserve"> improve health outcomes. The Applicant states that improved access to endoscopy services </w:t>
      </w:r>
      <w:r w:rsidR="00EF4EF8">
        <w:rPr>
          <w:rFonts w:asciiTheme="minorHAnsi" w:hAnsiTheme="minorHAnsi"/>
          <w:b w:val="0"/>
          <w:bCs w:val="0"/>
        </w:rPr>
        <w:t>is expected to</w:t>
      </w:r>
      <w:r w:rsidRPr="00A32CB6">
        <w:rPr>
          <w:rFonts w:asciiTheme="minorHAnsi" w:hAnsiTheme="minorHAnsi"/>
          <w:b w:val="0"/>
          <w:bCs w:val="0"/>
        </w:rPr>
        <w:t xml:space="preserve"> improve patient </w:t>
      </w:r>
      <w:r w:rsidR="009C63A6" w:rsidRPr="00A32CB6">
        <w:rPr>
          <w:rFonts w:asciiTheme="minorHAnsi" w:hAnsiTheme="minorHAnsi"/>
          <w:b w:val="0"/>
          <w:bCs w:val="0"/>
        </w:rPr>
        <w:t>adherence to</w:t>
      </w:r>
      <w:r w:rsidRPr="00A32CB6">
        <w:rPr>
          <w:rFonts w:asciiTheme="minorHAnsi" w:hAnsiTheme="minorHAnsi"/>
          <w:b w:val="0"/>
          <w:bCs w:val="0"/>
        </w:rPr>
        <w:t xml:space="preserve"> screening recommendations</w:t>
      </w:r>
      <w:r w:rsidR="00EF4EF8">
        <w:rPr>
          <w:rFonts w:asciiTheme="minorHAnsi" w:hAnsiTheme="minorHAnsi"/>
          <w:b w:val="0"/>
          <w:bCs w:val="0"/>
        </w:rPr>
        <w:t>.</w:t>
      </w:r>
      <w:r w:rsidRPr="00A32CB6">
        <w:rPr>
          <w:rFonts w:asciiTheme="minorHAnsi" w:hAnsiTheme="minorHAnsi"/>
          <w:b w:val="0"/>
          <w:bCs w:val="0"/>
        </w:rPr>
        <w:t xml:space="preserve"> </w:t>
      </w:r>
      <w:r w:rsidR="00EF4EF8">
        <w:rPr>
          <w:rFonts w:asciiTheme="minorHAnsi" w:hAnsiTheme="minorHAnsi"/>
          <w:b w:val="0"/>
          <w:bCs w:val="0"/>
        </w:rPr>
        <w:t>H</w:t>
      </w:r>
      <w:r w:rsidRPr="00A32CB6">
        <w:rPr>
          <w:rFonts w:asciiTheme="minorHAnsi" w:hAnsiTheme="minorHAnsi"/>
          <w:b w:val="0"/>
          <w:bCs w:val="0"/>
        </w:rPr>
        <w:t xml:space="preserve">igher screening rates </w:t>
      </w:r>
      <w:r w:rsidR="009C63A6" w:rsidRPr="00A32CB6">
        <w:rPr>
          <w:rFonts w:asciiTheme="minorHAnsi" w:hAnsiTheme="minorHAnsi"/>
          <w:b w:val="0"/>
          <w:bCs w:val="0"/>
        </w:rPr>
        <w:t xml:space="preserve">will </w:t>
      </w:r>
      <w:r w:rsidRPr="00A32CB6">
        <w:rPr>
          <w:rFonts w:asciiTheme="minorHAnsi" w:hAnsiTheme="minorHAnsi"/>
          <w:b w:val="0"/>
          <w:bCs w:val="0"/>
        </w:rPr>
        <w:t>improve de</w:t>
      </w:r>
      <w:r w:rsidR="00B739F5" w:rsidRPr="00A32CB6">
        <w:rPr>
          <w:rFonts w:asciiTheme="minorHAnsi" w:hAnsiTheme="minorHAnsi"/>
          <w:b w:val="0"/>
          <w:bCs w:val="0"/>
        </w:rPr>
        <w:t>t</w:t>
      </w:r>
      <w:r w:rsidRPr="00A32CB6">
        <w:rPr>
          <w:rFonts w:asciiTheme="minorHAnsi" w:hAnsiTheme="minorHAnsi"/>
          <w:b w:val="0"/>
          <w:bCs w:val="0"/>
        </w:rPr>
        <w:t>ection of cancer earlier, when treatment is more effective</w:t>
      </w:r>
      <w:r w:rsidR="00EF4EF8">
        <w:rPr>
          <w:rFonts w:asciiTheme="minorHAnsi" w:hAnsiTheme="minorHAnsi"/>
          <w:b w:val="0"/>
          <w:bCs w:val="0"/>
        </w:rPr>
        <w:t xml:space="preserve"> </w:t>
      </w:r>
      <w:r w:rsidRPr="00A32CB6">
        <w:rPr>
          <w:rFonts w:asciiTheme="minorHAnsi" w:hAnsiTheme="minorHAnsi"/>
          <w:b w:val="0"/>
          <w:bCs w:val="0"/>
        </w:rPr>
        <w:t>and less costl</w:t>
      </w:r>
      <w:r w:rsidR="00B739F5" w:rsidRPr="00A32CB6">
        <w:rPr>
          <w:rFonts w:asciiTheme="minorHAnsi" w:hAnsiTheme="minorHAnsi"/>
          <w:b w:val="0"/>
          <w:bCs w:val="0"/>
        </w:rPr>
        <w:t>y</w:t>
      </w:r>
      <w:r w:rsidR="001C5201">
        <w:rPr>
          <w:rFonts w:asciiTheme="minorHAnsi" w:hAnsiTheme="minorHAnsi"/>
          <w:b w:val="0"/>
          <w:bCs w:val="0"/>
        </w:rPr>
        <w:t xml:space="preserve">. </w:t>
      </w:r>
      <w:r w:rsidR="00B739F5" w:rsidRPr="00A32CB6">
        <w:rPr>
          <w:rFonts w:asciiTheme="minorHAnsi" w:hAnsiTheme="minorHAnsi"/>
          <w:b w:val="0"/>
          <w:bCs w:val="0"/>
        </w:rPr>
        <w:t xml:space="preserve">The Applicant states further that patient experience will be improved with scheduling that will reduce wait times for appointments and scheduling delays. </w:t>
      </w:r>
    </w:p>
    <w:p w14:paraId="7AAEC4DD" w14:textId="77777777" w:rsidR="007F6446" w:rsidRPr="00C85257" w:rsidRDefault="007F6446" w:rsidP="00C316C3">
      <w:pPr>
        <w:pStyle w:val="Heading4"/>
        <w:spacing w:line="240" w:lineRule="auto"/>
        <w:ind w:left="0"/>
        <w:rPr>
          <w:rFonts w:asciiTheme="minorHAnsi" w:hAnsiTheme="minorHAnsi"/>
          <w:b w:val="0"/>
          <w:bCs w:val="0"/>
          <w:highlight w:val="yellow"/>
        </w:rPr>
      </w:pPr>
    </w:p>
    <w:p w14:paraId="259E9A4D" w14:textId="1B37272B" w:rsidR="00B447F3" w:rsidRPr="003B5F9C" w:rsidRDefault="00A4110F" w:rsidP="00C316C3">
      <w:pPr>
        <w:rPr>
          <w:rFonts w:asciiTheme="minorHAnsi" w:hAnsiTheme="minorHAnsi"/>
          <w:b/>
          <w:bCs/>
          <w:i/>
          <w:iCs/>
          <w:szCs w:val="24"/>
        </w:rPr>
      </w:pPr>
      <w:r w:rsidRPr="003B5F9C">
        <w:rPr>
          <w:rFonts w:asciiTheme="minorHAnsi" w:hAnsiTheme="minorHAnsi"/>
          <w:b/>
          <w:bCs/>
          <w:i/>
          <w:iCs/>
          <w:szCs w:val="24"/>
        </w:rPr>
        <w:t>Analysis: Public Health Outcomes</w:t>
      </w:r>
    </w:p>
    <w:p w14:paraId="0F0EDC1B" w14:textId="1A258369" w:rsidR="00A903C8" w:rsidRPr="003B5F9C" w:rsidRDefault="5C2AE65A" w:rsidP="28157CC0">
      <w:pPr>
        <w:pStyle w:val="BodyText"/>
        <w:rPr>
          <w:rFonts w:asciiTheme="minorHAnsi" w:hAnsiTheme="minorHAnsi"/>
        </w:rPr>
      </w:pPr>
      <w:r w:rsidRPr="003B5F9C">
        <w:rPr>
          <w:rFonts w:asciiTheme="minorHAnsi" w:hAnsiTheme="minorHAnsi"/>
        </w:rPr>
        <w:t>Staff finds that the Applicant</w:t>
      </w:r>
      <w:r w:rsidR="00470B8C" w:rsidRPr="003B5F9C">
        <w:rPr>
          <w:rFonts w:asciiTheme="minorHAnsi" w:hAnsiTheme="minorHAnsi"/>
        </w:rPr>
        <w:t xml:space="preserve"> </w:t>
      </w:r>
      <w:r w:rsidRPr="003B5F9C">
        <w:rPr>
          <w:rFonts w:asciiTheme="minorHAnsi" w:hAnsiTheme="minorHAnsi"/>
        </w:rPr>
        <w:t xml:space="preserve">demonstrated how the Proposed Project will improve health outcomes through increasing access to </w:t>
      </w:r>
      <w:r w:rsidR="007F6446" w:rsidRPr="003B5F9C">
        <w:rPr>
          <w:rFonts w:asciiTheme="minorHAnsi" w:hAnsiTheme="minorHAnsi"/>
        </w:rPr>
        <w:t xml:space="preserve">the </w:t>
      </w:r>
      <w:r w:rsidR="00A32CB6" w:rsidRPr="003B5F9C">
        <w:rPr>
          <w:rFonts w:asciiTheme="minorHAnsi" w:hAnsiTheme="minorHAnsi"/>
        </w:rPr>
        <w:t>endoscopy</w:t>
      </w:r>
      <w:r w:rsidR="003B5F9C" w:rsidRPr="003B5F9C">
        <w:rPr>
          <w:rFonts w:asciiTheme="minorHAnsi" w:hAnsiTheme="minorHAnsi"/>
        </w:rPr>
        <w:t>,</w:t>
      </w:r>
      <w:r w:rsidR="2117EFDD" w:rsidRPr="003B5F9C">
        <w:rPr>
          <w:rFonts w:asciiTheme="minorHAnsi" w:hAnsiTheme="minorHAnsi"/>
        </w:rPr>
        <w:t xml:space="preserve"> reducing</w:t>
      </w:r>
      <w:r w:rsidR="00C12671" w:rsidRPr="003B5F9C">
        <w:rPr>
          <w:rFonts w:asciiTheme="minorHAnsi" w:hAnsiTheme="minorHAnsi"/>
        </w:rPr>
        <w:t xml:space="preserve"> scheduling delays, a</w:t>
      </w:r>
      <w:r w:rsidR="003B5F9C" w:rsidRPr="003B5F9C">
        <w:rPr>
          <w:rFonts w:asciiTheme="minorHAnsi" w:hAnsiTheme="minorHAnsi"/>
        </w:rPr>
        <w:t xml:space="preserve">s well as </w:t>
      </w:r>
      <w:r w:rsidR="2117EFDD" w:rsidRPr="003B5F9C">
        <w:rPr>
          <w:rFonts w:asciiTheme="minorHAnsi" w:hAnsiTheme="minorHAnsi"/>
        </w:rPr>
        <w:t>delays in diagnosis and treatment</w:t>
      </w:r>
      <w:r w:rsidR="4FDC3106" w:rsidRPr="003B5F9C">
        <w:rPr>
          <w:rFonts w:asciiTheme="minorHAnsi" w:hAnsiTheme="minorHAnsi"/>
        </w:rPr>
        <w:t xml:space="preserve">. </w:t>
      </w:r>
      <w:r w:rsidRPr="003B5F9C">
        <w:rPr>
          <w:rFonts w:asciiTheme="minorHAnsi" w:hAnsiTheme="minorHAnsi"/>
        </w:rPr>
        <w:t>Therefore, DoN Staff</w:t>
      </w:r>
      <w:r w:rsidRPr="003B5F9C" w:rsidDel="00A123C8">
        <w:rPr>
          <w:rFonts w:asciiTheme="minorHAnsi" w:hAnsiTheme="minorHAnsi"/>
        </w:rPr>
        <w:t xml:space="preserve"> </w:t>
      </w:r>
      <w:r w:rsidRPr="003B5F9C">
        <w:rPr>
          <w:rFonts w:asciiTheme="minorHAnsi" w:hAnsiTheme="minorHAnsi"/>
        </w:rPr>
        <w:t>conclude that the Proposed Project will likely meet the Public Health Outcomes component of Factor 2.</w:t>
      </w:r>
    </w:p>
    <w:p w14:paraId="451016C6" w14:textId="77777777" w:rsidR="00EE2998" w:rsidRPr="00003691" w:rsidRDefault="00EE2998" w:rsidP="00C316C3">
      <w:pPr>
        <w:pStyle w:val="BodyText"/>
        <w:rPr>
          <w:rFonts w:asciiTheme="minorHAnsi" w:hAnsiTheme="minorHAnsi"/>
        </w:rPr>
      </w:pPr>
    </w:p>
    <w:p w14:paraId="5A5B5207" w14:textId="15BDBFAC" w:rsidR="00B447F3" w:rsidRPr="00003691" w:rsidRDefault="00A4110F" w:rsidP="00C316C3">
      <w:pPr>
        <w:rPr>
          <w:rFonts w:asciiTheme="minorHAnsi" w:hAnsiTheme="minorHAnsi"/>
          <w:b/>
          <w:bCs/>
          <w:szCs w:val="24"/>
        </w:rPr>
      </w:pPr>
      <w:r w:rsidRPr="0506BC97">
        <w:rPr>
          <w:rFonts w:asciiTheme="minorHAnsi" w:hAnsiTheme="minorHAnsi"/>
          <w:b/>
          <w:bCs/>
        </w:rPr>
        <w:t>Delivery System Transformation</w:t>
      </w:r>
    </w:p>
    <w:p w14:paraId="2661FBA6" w14:textId="45570EAC" w:rsidR="00C621BB" w:rsidRPr="00FC54A0" w:rsidRDefault="3300F58F" w:rsidP="00FC54A0">
      <w:pPr>
        <w:pStyle w:val="BodyText"/>
        <w:rPr>
          <w:rFonts w:asciiTheme="minorHAnsi" w:hAnsiTheme="minorHAnsi"/>
        </w:rPr>
      </w:pPr>
      <w:r w:rsidRPr="462BE3EA">
        <w:rPr>
          <w:rFonts w:asciiTheme="minorHAnsi" w:hAnsiTheme="minorHAnsi"/>
        </w:rPr>
        <w:t>The</w:t>
      </w:r>
      <w:r w:rsidR="099505FD" w:rsidRPr="462BE3EA">
        <w:rPr>
          <w:rFonts w:asciiTheme="minorHAnsi" w:hAnsiTheme="minorHAnsi"/>
        </w:rPr>
        <w:t xml:space="preserve"> anticipated Patient Panel is based on existing MGB patients, </w:t>
      </w:r>
      <w:r w:rsidRPr="462BE3EA">
        <w:rPr>
          <w:rFonts w:asciiTheme="minorHAnsi" w:hAnsiTheme="minorHAnsi"/>
        </w:rPr>
        <w:t xml:space="preserve">and </w:t>
      </w:r>
      <w:r w:rsidR="099505FD" w:rsidRPr="462BE3EA">
        <w:rPr>
          <w:rFonts w:asciiTheme="minorHAnsi" w:hAnsiTheme="minorHAnsi"/>
        </w:rPr>
        <w:t xml:space="preserve">the Applicant </w:t>
      </w:r>
      <w:r w:rsidRPr="462BE3EA">
        <w:rPr>
          <w:rFonts w:asciiTheme="minorHAnsi" w:hAnsiTheme="minorHAnsi"/>
        </w:rPr>
        <w:t>states that</w:t>
      </w:r>
      <w:r w:rsidR="099505FD" w:rsidRPr="462BE3EA">
        <w:rPr>
          <w:rFonts w:asciiTheme="minorHAnsi" w:hAnsiTheme="minorHAnsi"/>
        </w:rPr>
        <w:t xml:space="preserve"> the majority of patients will be referred to the proposed ASC from an MGB provider</w:t>
      </w:r>
      <w:r w:rsidR="2F542432" w:rsidRPr="462BE3EA">
        <w:rPr>
          <w:rFonts w:asciiTheme="minorHAnsi" w:hAnsiTheme="minorHAnsi"/>
        </w:rPr>
        <w:t xml:space="preserve">, where </w:t>
      </w:r>
      <w:r w:rsidR="145FA1EC" w:rsidRPr="462BE3EA">
        <w:rPr>
          <w:rFonts w:asciiTheme="minorHAnsi" w:hAnsiTheme="minorHAnsi"/>
        </w:rPr>
        <w:t xml:space="preserve">most patients will be screened for </w:t>
      </w:r>
      <w:r w:rsidRPr="462BE3EA">
        <w:rPr>
          <w:rFonts w:asciiTheme="minorHAnsi" w:hAnsiTheme="minorHAnsi"/>
        </w:rPr>
        <w:t>social determinants of health (</w:t>
      </w:r>
      <w:r w:rsidR="145FA1EC" w:rsidRPr="462BE3EA">
        <w:rPr>
          <w:rFonts w:asciiTheme="minorHAnsi" w:hAnsiTheme="minorHAnsi"/>
        </w:rPr>
        <w:t>SDoH</w:t>
      </w:r>
      <w:r w:rsidRPr="462BE3EA">
        <w:rPr>
          <w:rFonts w:asciiTheme="minorHAnsi" w:hAnsiTheme="minorHAnsi"/>
        </w:rPr>
        <w:t>)</w:t>
      </w:r>
      <w:r w:rsidR="145FA1EC" w:rsidRPr="462BE3EA">
        <w:rPr>
          <w:rFonts w:asciiTheme="minorHAnsi" w:hAnsiTheme="minorHAnsi"/>
        </w:rPr>
        <w:t xml:space="preserve"> needs</w:t>
      </w:r>
      <w:r w:rsidR="099505FD" w:rsidRPr="462BE3EA">
        <w:rPr>
          <w:rFonts w:asciiTheme="minorHAnsi" w:hAnsiTheme="minorHAnsi"/>
        </w:rPr>
        <w:t xml:space="preserve">. </w:t>
      </w:r>
      <w:r w:rsidR="145FA1EC" w:rsidRPr="462BE3EA">
        <w:rPr>
          <w:rFonts w:asciiTheme="minorHAnsi" w:hAnsiTheme="minorHAnsi"/>
        </w:rPr>
        <w:t xml:space="preserve">The Applicant adds that </w:t>
      </w:r>
      <w:r w:rsidRPr="462BE3EA">
        <w:rPr>
          <w:rFonts w:asciiTheme="minorHAnsi" w:hAnsiTheme="minorHAnsi"/>
        </w:rPr>
        <w:t>i</w:t>
      </w:r>
      <w:r w:rsidR="099505FD" w:rsidRPr="462BE3EA">
        <w:rPr>
          <w:rFonts w:asciiTheme="minorHAnsi" w:hAnsiTheme="minorHAnsi"/>
        </w:rPr>
        <w:t>t is MGB’s policy to screen all Medicaid ACO patients annually, while many MGB primary care practices are screening all patients regardless of payer. In addition, every inpatient admission and emergency department encounter initiates a screening.</w:t>
      </w:r>
      <w:r w:rsidR="2F542432" w:rsidRPr="462BE3EA">
        <w:rPr>
          <w:rFonts w:asciiTheme="minorHAnsi" w:hAnsiTheme="minorHAnsi"/>
        </w:rPr>
        <w:t xml:space="preserve"> </w:t>
      </w:r>
      <w:r w:rsidR="4F5DD477" w:rsidRPr="462BE3EA">
        <w:rPr>
          <w:rFonts w:asciiTheme="minorHAnsi" w:hAnsiTheme="minorHAnsi"/>
        </w:rPr>
        <w:t>While the new facility will not be involved in SDoH screenings</w:t>
      </w:r>
      <w:r w:rsidR="5C2B43E8" w:rsidRPr="462BE3EA">
        <w:rPr>
          <w:rFonts w:asciiTheme="minorHAnsi" w:hAnsiTheme="minorHAnsi"/>
        </w:rPr>
        <w:t>,</w:t>
      </w:r>
      <w:r w:rsidR="4F5DD477" w:rsidRPr="462BE3EA">
        <w:rPr>
          <w:rFonts w:asciiTheme="minorHAnsi" w:hAnsiTheme="minorHAnsi"/>
        </w:rPr>
        <w:t xml:space="preserve"> the ASC</w:t>
      </w:r>
      <w:r w:rsidR="5C2B43E8" w:rsidRPr="462BE3EA">
        <w:rPr>
          <w:rFonts w:asciiTheme="minorHAnsi" w:hAnsiTheme="minorHAnsi"/>
        </w:rPr>
        <w:t xml:space="preserve"> </w:t>
      </w:r>
      <w:r w:rsidR="002C6272">
        <w:rPr>
          <w:rFonts w:asciiTheme="minorHAnsi" w:hAnsiTheme="minorHAnsi"/>
        </w:rPr>
        <w:t xml:space="preserve">pre-screening and </w:t>
      </w:r>
      <w:r w:rsidR="5C2B43E8" w:rsidRPr="462BE3EA">
        <w:rPr>
          <w:rFonts w:asciiTheme="minorHAnsi" w:hAnsiTheme="minorHAnsi"/>
        </w:rPr>
        <w:t>discharge process</w:t>
      </w:r>
      <w:r w:rsidR="4F5DD477" w:rsidRPr="462BE3EA">
        <w:rPr>
          <w:rFonts w:asciiTheme="minorHAnsi" w:hAnsiTheme="minorHAnsi"/>
        </w:rPr>
        <w:t xml:space="preserve"> will provide</w:t>
      </w:r>
      <w:r w:rsidR="5C2B43E8" w:rsidRPr="462BE3EA">
        <w:rPr>
          <w:rFonts w:asciiTheme="minorHAnsi" w:hAnsiTheme="minorHAnsi"/>
        </w:rPr>
        <w:t xml:space="preserve"> connection to community resources</w:t>
      </w:r>
      <w:r w:rsidR="2E7BC107" w:rsidRPr="462BE3EA">
        <w:rPr>
          <w:rFonts w:asciiTheme="minorHAnsi" w:hAnsiTheme="minorHAnsi"/>
        </w:rPr>
        <w:t xml:space="preserve"> such as</w:t>
      </w:r>
      <w:r w:rsidR="4F5DD477" w:rsidRPr="462BE3EA">
        <w:rPr>
          <w:rFonts w:asciiTheme="minorHAnsi" w:hAnsiTheme="minorHAnsi"/>
        </w:rPr>
        <w:t xml:space="preserve"> home helpers, support groups, social workers and transportation resources.</w:t>
      </w:r>
      <w:r w:rsidR="00C621BB" w:rsidRPr="462BE3EA">
        <w:rPr>
          <w:rFonts w:asciiTheme="minorHAnsi" w:hAnsiTheme="minorHAnsi"/>
        </w:rPr>
        <w:t xml:space="preserve"> </w:t>
      </w:r>
      <w:r w:rsidR="00FF4F58" w:rsidRPr="462BE3EA">
        <w:rPr>
          <w:rFonts w:asciiTheme="minorHAnsi" w:hAnsiTheme="minorHAnsi"/>
        </w:rPr>
        <w:t>To accomplis</w:t>
      </w:r>
      <w:r w:rsidR="007062EE" w:rsidRPr="462BE3EA">
        <w:rPr>
          <w:rFonts w:asciiTheme="minorHAnsi" w:hAnsiTheme="minorHAnsi"/>
        </w:rPr>
        <w:t>h this, t</w:t>
      </w:r>
      <w:r w:rsidR="00FF4F58" w:rsidRPr="462BE3EA">
        <w:rPr>
          <w:rFonts w:asciiTheme="minorHAnsi" w:hAnsiTheme="minorHAnsi"/>
        </w:rPr>
        <w:t xml:space="preserve">he ASC </w:t>
      </w:r>
      <w:r w:rsidR="00C621BB" w:rsidRPr="00FC54A0">
        <w:rPr>
          <w:rFonts w:asciiTheme="minorHAnsi" w:hAnsiTheme="minorHAnsi"/>
        </w:rPr>
        <w:t>will incorporate structured clinical and situational assessments during the Pre-Admission Testing (PAT) process to identify barriers that may impact perioperative safety and post-operative recovery. This includes evaluating transportation reliability, caregiver availability, communication or health literacy needs, functional status, and the patient’s ability to comply with discharge instructions, several of which align with common SDoH domains.</w:t>
      </w:r>
      <w:r w:rsidR="00D475C0" w:rsidRPr="462BE3EA">
        <w:rPr>
          <w:rFonts w:asciiTheme="minorHAnsi" w:hAnsiTheme="minorHAnsi"/>
        </w:rPr>
        <w:t xml:space="preserve"> </w:t>
      </w:r>
      <w:r w:rsidR="00D475C0" w:rsidRPr="00FC54A0">
        <w:rPr>
          <w:rFonts w:asciiTheme="minorHAnsi" w:hAnsiTheme="minorHAnsi"/>
        </w:rPr>
        <w:t xml:space="preserve">When these assessments identify a risk that could compromise a safe surgical experience, ASC staff </w:t>
      </w:r>
      <w:r w:rsidR="00B80AD8" w:rsidRPr="462BE3EA">
        <w:rPr>
          <w:rFonts w:asciiTheme="minorHAnsi" w:hAnsiTheme="minorHAnsi"/>
        </w:rPr>
        <w:t>follow</w:t>
      </w:r>
      <w:r w:rsidR="00D475C0" w:rsidRPr="00FC54A0">
        <w:rPr>
          <w:rFonts w:asciiTheme="minorHAnsi" w:hAnsiTheme="minorHAnsi"/>
        </w:rPr>
        <w:t xml:space="preserve"> a defined, nurse-led process to connect patients with appropriate community resources.</w:t>
      </w:r>
    </w:p>
    <w:p w14:paraId="72730643" w14:textId="17FFE4F3" w:rsidR="00AC5421" w:rsidRDefault="00AC5421" w:rsidP="6D717258">
      <w:pPr>
        <w:pStyle w:val="BodyText"/>
        <w:rPr>
          <w:rFonts w:asciiTheme="minorHAnsi" w:hAnsiTheme="minorHAnsi"/>
        </w:rPr>
      </w:pPr>
    </w:p>
    <w:p w14:paraId="4F53B8A6" w14:textId="77777777" w:rsidR="00C12671" w:rsidRPr="009659B9" w:rsidRDefault="00C12671" w:rsidP="6D717258">
      <w:pPr>
        <w:pStyle w:val="BodyText"/>
        <w:rPr>
          <w:rFonts w:asciiTheme="minorHAnsi" w:hAnsiTheme="minorHAnsi"/>
        </w:rPr>
      </w:pPr>
    </w:p>
    <w:p w14:paraId="070B40EB" w14:textId="77777777" w:rsidR="00B447F3" w:rsidRPr="009659B9" w:rsidRDefault="00A4110F" w:rsidP="00C316C3">
      <w:pPr>
        <w:rPr>
          <w:rFonts w:asciiTheme="minorHAnsi" w:hAnsiTheme="minorHAnsi"/>
          <w:b/>
          <w:bCs/>
          <w:i/>
          <w:iCs/>
          <w:szCs w:val="24"/>
        </w:rPr>
      </w:pPr>
      <w:r w:rsidRPr="009659B9">
        <w:rPr>
          <w:rFonts w:asciiTheme="minorHAnsi" w:hAnsiTheme="minorHAnsi"/>
          <w:b/>
          <w:bCs/>
          <w:i/>
          <w:iCs/>
          <w:szCs w:val="24"/>
        </w:rPr>
        <w:t>Analysis: Delivery System Transformation</w:t>
      </w:r>
    </w:p>
    <w:p w14:paraId="20D413FB" w14:textId="36483DB6" w:rsidR="006E5ABF" w:rsidRPr="009659B9" w:rsidRDefault="3F5760F4" w:rsidP="28157CC0">
      <w:pPr>
        <w:rPr>
          <w:rFonts w:asciiTheme="minorHAnsi" w:hAnsiTheme="minorHAnsi"/>
        </w:rPr>
      </w:pPr>
      <w:r w:rsidRPr="009659B9">
        <w:rPr>
          <w:rFonts w:asciiTheme="minorHAnsi" w:hAnsiTheme="minorHAnsi"/>
        </w:rPr>
        <w:t xml:space="preserve">The Applicant </w:t>
      </w:r>
      <w:r w:rsidR="002E0341" w:rsidRPr="009659B9">
        <w:rPr>
          <w:rFonts w:asciiTheme="minorHAnsi" w:hAnsiTheme="minorHAnsi"/>
        </w:rPr>
        <w:t>demonstrated that MGB has a system in place for screening patients for SDoH needs</w:t>
      </w:r>
      <w:r w:rsidR="00A33813" w:rsidRPr="009659B9">
        <w:rPr>
          <w:rFonts w:asciiTheme="minorHAnsi" w:hAnsiTheme="minorHAnsi"/>
        </w:rPr>
        <w:t xml:space="preserve">. The Applicant also plans to provide community resource connections to </w:t>
      </w:r>
      <w:r w:rsidR="009659B9" w:rsidRPr="009659B9">
        <w:rPr>
          <w:rFonts w:asciiTheme="minorHAnsi" w:hAnsiTheme="minorHAnsi"/>
        </w:rPr>
        <w:t xml:space="preserve">patients in </w:t>
      </w:r>
      <w:r w:rsidR="00D663E7" w:rsidRPr="009659B9">
        <w:rPr>
          <w:rFonts w:asciiTheme="minorHAnsi" w:hAnsiTheme="minorHAnsi"/>
        </w:rPr>
        <w:t>need of</w:t>
      </w:r>
      <w:r w:rsidR="009659B9" w:rsidRPr="009659B9">
        <w:rPr>
          <w:rFonts w:asciiTheme="minorHAnsi" w:hAnsiTheme="minorHAnsi"/>
        </w:rPr>
        <w:t xml:space="preserve"> post-</w:t>
      </w:r>
      <w:r w:rsidR="009C0E1D" w:rsidRPr="009659B9">
        <w:rPr>
          <w:rFonts w:asciiTheme="minorHAnsi" w:hAnsiTheme="minorHAnsi"/>
        </w:rPr>
        <w:t>procedure</w:t>
      </w:r>
      <w:r w:rsidR="009659B9" w:rsidRPr="009659B9">
        <w:rPr>
          <w:rFonts w:asciiTheme="minorHAnsi" w:hAnsiTheme="minorHAnsi"/>
        </w:rPr>
        <w:t>.</w:t>
      </w:r>
      <w:r w:rsidR="00627584" w:rsidRPr="009659B9">
        <w:rPr>
          <w:rFonts w:asciiTheme="minorHAnsi" w:hAnsiTheme="minorHAnsi"/>
        </w:rPr>
        <w:t xml:space="preserve"> </w:t>
      </w:r>
      <w:r w:rsidR="00614347" w:rsidRPr="009659B9">
        <w:rPr>
          <w:rFonts w:asciiTheme="minorHAnsi" w:hAnsiTheme="minorHAnsi"/>
        </w:rPr>
        <w:t xml:space="preserve">Therefore, DoN Staff can conclude that the Proposed Project </w:t>
      </w:r>
      <w:r w:rsidR="00630B42">
        <w:rPr>
          <w:rFonts w:asciiTheme="minorHAnsi" w:hAnsiTheme="minorHAnsi"/>
        </w:rPr>
        <w:t>meets</w:t>
      </w:r>
      <w:r w:rsidR="00614347" w:rsidRPr="009659B9">
        <w:rPr>
          <w:rFonts w:asciiTheme="minorHAnsi" w:hAnsiTheme="minorHAnsi"/>
        </w:rPr>
        <w:t xml:space="preserve"> the Delivery System Transformation component of Factor 2.</w:t>
      </w:r>
    </w:p>
    <w:p w14:paraId="60BFBCEB" w14:textId="77777777" w:rsidR="001A7803" w:rsidRPr="00C85257" w:rsidRDefault="001A7803" w:rsidP="00C316C3">
      <w:pPr>
        <w:rPr>
          <w:rFonts w:asciiTheme="minorHAnsi" w:hAnsiTheme="minorHAnsi"/>
          <w:szCs w:val="24"/>
          <w:highlight w:val="yellow"/>
        </w:rPr>
      </w:pPr>
    </w:p>
    <w:p w14:paraId="62929AAA" w14:textId="419763CD" w:rsidR="00B447F3" w:rsidRPr="00F61BC8" w:rsidRDefault="0037406F" w:rsidP="00C316C3">
      <w:pPr>
        <w:pStyle w:val="Heading1"/>
        <w:ind w:left="0"/>
        <w:rPr>
          <w:rFonts w:asciiTheme="minorHAnsi" w:hAnsiTheme="minorHAnsi"/>
          <w:color w:val="42558C"/>
        </w:rPr>
      </w:pPr>
      <w:bookmarkStart w:id="30" w:name="_Toc218863257"/>
      <w:r w:rsidRPr="00F61BC8">
        <w:rPr>
          <w:rFonts w:asciiTheme="minorHAnsi" w:hAnsiTheme="minorHAnsi"/>
          <w:color w:val="42558C"/>
        </w:rPr>
        <w:t>Summary</w:t>
      </w:r>
      <w:r w:rsidR="00A63487" w:rsidRPr="00F61BC8">
        <w:rPr>
          <w:rFonts w:asciiTheme="minorHAnsi" w:hAnsiTheme="minorHAnsi"/>
          <w:color w:val="42558C"/>
        </w:rPr>
        <w:t>, Factor 2</w:t>
      </w:r>
      <w:bookmarkEnd w:id="30"/>
      <w:r w:rsidRPr="00F61BC8">
        <w:rPr>
          <w:rFonts w:asciiTheme="minorHAnsi" w:hAnsiTheme="minorHAnsi"/>
          <w:color w:val="42558C"/>
        </w:rPr>
        <w:t xml:space="preserve"> </w:t>
      </w:r>
    </w:p>
    <w:p w14:paraId="49BF185E" w14:textId="5CFC3B3B" w:rsidR="009659B9" w:rsidRPr="00F61BC8" w:rsidRDefault="0037406F" w:rsidP="009659B9">
      <w:pPr>
        <w:rPr>
          <w:rFonts w:asciiTheme="minorHAnsi" w:hAnsiTheme="minorHAnsi"/>
        </w:rPr>
      </w:pPr>
      <w:r w:rsidRPr="00F61BC8">
        <w:rPr>
          <w:rFonts w:asciiTheme="minorHAnsi" w:hAnsiTheme="minorHAnsi"/>
          <w:szCs w:val="24"/>
        </w:rPr>
        <w:t xml:space="preserve">As a result of information provided by the Applicant and additional analysis, staff finds that </w:t>
      </w:r>
    </w:p>
    <w:p w14:paraId="285765B0" w14:textId="64D6EB68" w:rsidR="0037406F" w:rsidRPr="00F61BC8" w:rsidRDefault="25D2D344" w:rsidP="28157CC0">
      <w:pPr>
        <w:rPr>
          <w:rFonts w:asciiTheme="minorHAnsi" w:hAnsiTheme="minorHAnsi"/>
        </w:rPr>
      </w:pPr>
      <w:r w:rsidRPr="00F61BC8">
        <w:rPr>
          <w:rFonts w:asciiTheme="minorHAnsi" w:hAnsiTheme="minorHAnsi"/>
        </w:rPr>
        <w:t>the Applicant demonstrated that the Proposed Project</w:t>
      </w:r>
      <w:r w:rsidR="74B4F20B" w:rsidRPr="00F61BC8">
        <w:rPr>
          <w:rFonts w:asciiTheme="minorHAnsi" w:hAnsiTheme="minorHAnsi"/>
        </w:rPr>
        <w:t xml:space="preserve"> </w:t>
      </w:r>
      <w:r w:rsidRPr="00F61BC8">
        <w:rPr>
          <w:rFonts w:asciiTheme="minorHAnsi" w:hAnsiTheme="minorHAnsi"/>
        </w:rPr>
        <w:t>has met Factor 2.</w:t>
      </w:r>
    </w:p>
    <w:p w14:paraId="26EE917E" w14:textId="77777777" w:rsidR="00361238" w:rsidRPr="00F61BC8" w:rsidRDefault="00361238" w:rsidP="00C316C3">
      <w:pPr>
        <w:rPr>
          <w:rFonts w:asciiTheme="minorHAnsi" w:hAnsiTheme="minorHAnsi"/>
          <w:szCs w:val="24"/>
        </w:rPr>
      </w:pPr>
    </w:p>
    <w:p w14:paraId="0BE36815" w14:textId="6BC86298" w:rsidR="00B447F3" w:rsidRPr="00F61BC8" w:rsidRDefault="00A4110F" w:rsidP="00C316C3">
      <w:pPr>
        <w:pStyle w:val="Heading1"/>
        <w:ind w:left="0"/>
        <w:rPr>
          <w:rFonts w:asciiTheme="minorHAnsi" w:hAnsiTheme="minorHAnsi"/>
        </w:rPr>
      </w:pPr>
      <w:bookmarkStart w:id="31" w:name="Factor_3:_Relevant_Licensure/Oversight_C"/>
      <w:bookmarkStart w:id="32" w:name="_Toc218863258"/>
      <w:bookmarkEnd w:id="31"/>
      <w:r w:rsidRPr="00F61BC8">
        <w:rPr>
          <w:rFonts w:asciiTheme="minorHAnsi" w:hAnsiTheme="minorHAnsi"/>
          <w:color w:val="42558C"/>
        </w:rPr>
        <w:t>Factor 3: Relevant Licensure/Oversight Compliance</w:t>
      </w:r>
      <w:bookmarkEnd w:id="32"/>
    </w:p>
    <w:p w14:paraId="01533F5A" w14:textId="16FF34CB" w:rsidR="00B447F3" w:rsidRPr="00F61BC8" w:rsidRDefault="305CB7EF" w:rsidP="28157CC0">
      <w:pPr>
        <w:pStyle w:val="BodyText"/>
        <w:ind w:right="321"/>
        <w:rPr>
          <w:rFonts w:asciiTheme="minorHAnsi" w:hAnsiTheme="minorHAnsi"/>
        </w:rPr>
      </w:pPr>
      <w:r w:rsidRPr="00F61BC8">
        <w:rPr>
          <w:rFonts w:asciiTheme="minorHAnsi" w:hAnsiTheme="minorHAnsi"/>
        </w:rPr>
        <w:lastRenderedPageBreak/>
        <w:t>The Applicant provided evidence of compliance and good standing with federal, state, and local laws and regulation</w:t>
      </w:r>
      <w:r w:rsidR="5F57E9ED" w:rsidRPr="00F61BC8">
        <w:rPr>
          <w:rFonts w:asciiTheme="minorHAnsi" w:hAnsiTheme="minorHAnsi"/>
        </w:rPr>
        <w:t xml:space="preserve">s. This </w:t>
      </w:r>
      <w:r w:rsidRPr="00F61BC8">
        <w:rPr>
          <w:rFonts w:asciiTheme="minorHAnsi" w:hAnsiTheme="minorHAnsi"/>
        </w:rPr>
        <w:t>will not be addressed further in this report. As a result of information provided by the Applicant, staff finds the Applicant has reasonably met the standards of Factor 3.</w:t>
      </w:r>
    </w:p>
    <w:p w14:paraId="0F6A597B" w14:textId="77777777" w:rsidR="001750B6" w:rsidRPr="00C85257" w:rsidRDefault="001750B6" w:rsidP="00C316C3">
      <w:pPr>
        <w:pStyle w:val="BodyText"/>
        <w:ind w:right="321"/>
        <w:rPr>
          <w:rFonts w:asciiTheme="minorHAnsi" w:hAnsiTheme="minorHAnsi"/>
          <w:highlight w:val="yellow"/>
        </w:rPr>
      </w:pPr>
    </w:p>
    <w:p w14:paraId="3DDFCA58" w14:textId="4840B850" w:rsidR="00B447F3" w:rsidRPr="00003691" w:rsidRDefault="00A4110F" w:rsidP="00C316C3">
      <w:pPr>
        <w:pStyle w:val="Heading1"/>
        <w:ind w:left="0" w:right="441"/>
        <w:rPr>
          <w:rFonts w:asciiTheme="minorHAnsi" w:hAnsiTheme="minorHAnsi"/>
        </w:rPr>
      </w:pPr>
      <w:bookmarkStart w:id="33" w:name="Factor_4:_Demonstration_of_Sufficient_Fu"/>
      <w:bookmarkStart w:id="34" w:name="_Toc218863259"/>
      <w:bookmarkEnd w:id="33"/>
      <w:r w:rsidRPr="00003691">
        <w:rPr>
          <w:rFonts w:asciiTheme="minorHAnsi" w:hAnsiTheme="minorHAnsi"/>
          <w:color w:val="42558C"/>
        </w:rPr>
        <w:t xml:space="preserve">Factor 4: </w:t>
      </w:r>
      <w:r w:rsidR="0076798C" w:rsidRPr="00003691">
        <w:rPr>
          <w:rFonts w:asciiTheme="minorHAnsi" w:hAnsiTheme="minorHAnsi"/>
          <w:color w:val="42558C"/>
        </w:rPr>
        <w:t xml:space="preserve">Financial </w:t>
      </w:r>
      <w:r w:rsidR="00AE7940" w:rsidRPr="00003691">
        <w:rPr>
          <w:rFonts w:asciiTheme="minorHAnsi" w:hAnsiTheme="minorHAnsi"/>
          <w:color w:val="42558C"/>
        </w:rPr>
        <w:t>Feasibility</w:t>
      </w:r>
      <w:bookmarkEnd w:id="34"/>
    </w:p>
    <w:p w14:paraId="18B8CB97" w14:textId="5D4552AD" w:rsidR="001F0B6B" w:rsidRPr="00720D88" w:rsidRDefault="001F0B6B" w:rsidP="00720D88">
      <w:pPr>
        <w:pStyle w:val="BodyText"/>
        <w:rPr>
          <w:rFonts w:ascii="Times New Roman" w:hAnsi="Times New Roman" w:cs="Times New Roman"/>
        </w:rPr>
      </w:pPr>
      <w:r w:rsidRPr="008440BF">
        <w:rPr>
          <w:rFonts w:asciiTheme="minorHAnsi" w:hAnsiTheme="minorHAnsi"/>
        </w:rPr>
        <w:t xml:space="preserve">Under Factor 4, the Applicant must demonstrate that it has sufficient funds available for capital and operating costs necessary to support the Proposed Project without negative effects or consequences to the existing Patient Panel. Documentation sufficient to make such a finding must be supported by an analysis conducted by an independent CPA. The Applicant submitted a report conducted </w:t>
      </w:r>
      <w:r w:rsidRPr="00720D88">
        <w:rPr>
          <w:rFonts w:asciiTheme="minorHAnsi" w:hAnsiTheme="minorHAnsi"/>
        </w:rPr>
        <w:t xml:space="preserve">by </w:t>
      </w:r>
      <w:r w:rsidR="00720D88" w:rsidRPr="00720D88">
        <w:rPr>
          <w:rFonts w:asciiTheme="minorHAnsi" w:hAnsiTheme="minorHAnsi"/>
        </w:rPr>
        <w:t>Bernard L. Donohue, III, CPA</w:t>
      </w:r>
      <w:r w:rsidR="00720D88">
        <w:rPr>
          <w:rFonts w:ascii="Times New Roman" w:hAnsi="Times New Roman" w:cs="Times New Roman"/>
        </w:rPr>
        <w:t xml:space="preserve"> </w:t>
      </w:r>
      <w:r w:rsidRPr="008440BF">
        <w:rPr>
          <w:rFonts w:asciiTheme="minorHAnsi" w:hAnsiTheme="minorHAnsi"/>
        </w:rPr>
        <w:t>(CPA Report).</w:t>
      </w:r>
    </w:p>
    <w:p w14:paraId="04671249" w14:textId="77777777" w:rsidR="001F0B6B" w:rsidRPr="008440BF" w:rsidRDefault="001F0B6B" w:rsidP="001F0B6B">
      <w:pPr>
        <w:pStyle w:val="BodyText"/>
        <w:rPr>
          <w:rFonts w:asciiTheme="minorHAnsi" w:hAnsiTheme="minorHAnsi"/>
          <w:highlight w:val="yellow"/>
        </w:rPr>
      </w:pPr>
    </w:p>
    <w:p w14:paraId="0135375E" w14:textId="4CE7EC7A" w:rsidR="001F0B6B" w:rsidRPr="00003691" w:rsidRDefault="001F0B6B" w:rsidP="001F0B6B">
      <w:pPr>
        <w:adjustRightInd w:val="0"/>
        <w:rPr>
          <w:rFonts w:asciiTheme="minorHAnsi" w:hAnsiTheme="minorHAnsi"/>
          <w:highlight w:val="yellow"/>
        </w:rPr>
      </w:pPr>
      <w:r w:rsidRPr="00720D88">
        <w:rPr>
          <w:rFonts w:asciiTheme="minorHAnsi" w:hAnsiTheme="minorHAnsi"/>
        </w:rPr>
        <w:t>The CPA analysis included a review of numerous documents in order to form an opinion as to the reasonableness and feasibility of the projections regarding the Proposed Project including</w:t>
      </w:r>
      <w:r w:rsidRPr="009A6BD9">
        <w:rPr>
          <w:rFonts w:asciiTheme="minorHAnsi" w:hAnsiTheme="minorHAnsi"/>
        </w:rPr>
        <w:t xml:space="preserve">: </w:t>
      </w:r>
      <w:r w:rsidR="00CF256E" w:rsidRPr="009A6BD9">
        <w:rPr>
          <w:rFonts w:asciiTheme="minorHAnsi" w:hAnsiTheme="minorHAnsi"/>
        </w:rPr>
        <w:t>Mass General Brigham Ambulatory Surgery - Cambridge, LLC 5-Year Projected Financial Statements and Assumptions</w:t>
      </w:r>
      <w:r w:rsidR="007279AB" w:rsidRPr="009A6BD9">
        <w:rPr>
          <w:rFonts w:asciiTheme="minorHAnsi" w:hAnsiTheme="minorHAnsi"/>
        </w:rPr>
        <w:t xml:space="preserve"> covering FY2027-FY2031,</w:t>
      </w:r>
      <w:r w:rsidR="008305B8" w:rsidRPr="009A6BD9">
        <w:rPr>
          <w:rFonts w:asciiTheme="minorHAnsi" w:hAnsiTheme="minorHAnsi"/>
        </w:rPr>
        <w:t xml:space="preserve"> documentation supporting calculations included in the projected financial statements, </w:t>
      </w:r>
      <w:r w:rsidR="00E77368" w:rsidRPr="009A6BD9">
        <w:rPr>
          <w:rFonts w:asciiTheme="minorHAnsi" w:hAnsiTheme="minorHAnsi"/>
        </w:rPr>
        <w:t xml:space="preserve">Medicare rates and base rate calculations, </w:t>
      </w:r>
      <w:r w:rsidR="00D04CBF" w:rsidRPr="009A6BD9">
        <w:rPr>
          <w:rFonts w:asciiTheme="minorHAnsi" w:hAnsiTheme="minorHAnsi"/>
        </w:rPr>
        <w:t>operating agreements for both Mass General Brigham Ambulatory Surgery - Cambridge, LLC</w:t>
      </w:r>
      <w:r w:rsidR="00695242" w:rsidRPr="009A6BD9">
        <w:rPr>
          <w:rFonts w:asciiTheme="minorHAnsi" w:hAnsiTheme="minorHAnsi"/>
        </w:rPr>
        <w:t xml:space="preserve"> as well as </w:t>
      </w:r>
      <w:r w:rsidR="003D54DE" w:rsidRPr="009A6BD9">
        <w:rPr>
          <w:rFonts w:asciiTheme="minorHAnsi" w:hAnsiTheme="minorHAnsi"/>
        </w:rPr>
        <w:t xml:space="preserve">New England Surgery Center </w:t>
      </w:r>
      <w:r w:rsidR="003D54DE" w:rsidRPr="0077480F">
        <w:rPr>
          <w:rFonts w:asciiTheme="minorHAnsi" w:hAnsiTheme="minorHAnsi"/>
        </w:rPr>
        <w:t>Holdings, LLC</w:t>
      </w:r>
      <w:r w:rsidR="009A6BD9" w:rsidRPr="0077480F">
        <w:rPr>
          <w:rFonts w:asciiTheme="minorHAnsi" w:hAnsiTheme="minorHAnsi"/>
        </w:rPr>
        <w:t>, and building lease terms.</w:t>
      </w:r>
      <w:r w:rsidR="009A6BD9" w:rsidRPr="0077480F">
        <w:rPr>
          <w:rFonts w:ascii="Times New Roman" w:hAnsi="Times New Roman" w:cs="Times New Roman"/>
        </w:rPr>
        <w:t xml:space="preserve"> </w:t>
      </w:r>
      <w:r w:rsidR="00CF256E" w:rsidRPr="0077480F">
        <w:rPr>
          <w:rFonts w:asciiTheme="minorHAnsi" w:hAnsiTheme="minorHAnsi"/>
        </w:rPr>
        <w:t xml:space="preserve"> </w:t>
      </w:r>
      <w:r w:rsidRPr="0077480F">
        <w:rPr>
          <w:rFonts w:asciiTheme="minorHAnsi" w:hAnsiTheme="minorHAnsi"/>
        </w:rPr>
        <w:t>The CPA assessed the reasonableness</w:t>
      </w:r>
      <w:r w:rsidRPr="0077480F">
        <w:rPr>
          <w:rStyle w:val="FootnoteReference"/>
          <w:rFonts w:asciiTheme="minorHAnsi" w:hAnsiTheme="minorHAnsi"/>
        </w:rPr>
        <w:footnoteReference w:id="30"/>
      </w:r>
      <w:r w:rsidRPr="0077480F">
        <w:rPr>
          <w:rFonts w:asciiTheme="minorHAnsi" w:hAnsiTheme="minorHAnsi"/>
        </w:rPr>
        <w:t xml:space="preserve"> of assumptions used in the preparation and feasibility</w:t>
      </w:r>
      <w:r w:rsidRPr="0077480F">
        <w:rPr>
          <w:rStyle w:val="FootnoteReference"/>
          <w:rFonts w:asciiTheme="minorHAnsi" w:hAnsiTheme="minorHAnsi"/>
        </w:rPr>
        <w:footnoteReference w:id="31"/>
      </w:r>
      <w:r w:rsidRPr="0077480F">
        <w:rPr>
          <w:rFonts w:asciiTheme="minorHAnsi" w:hAnsiTheme="minorHAnsi"/>
        </w:rPr>
        <w:t xml:space="preserve"> of the projections with regards to the Proposed Project.</w:t>
      </w:r>
    </w:p>
    <w:p w14:paraId="7199B124" w14:textId="77777777" w:rsidR="001F0B6B" w:rsidRPr="00003691" w:rsidRDefault="001F0B6B" w:rsidP="001F0B6B">
      <w:pPr>
        <w:pStyle w:val="BodyText"/>
        <w:rPr>
          <w:rFonts w:asciiTheme="minorHAnsi" w:hAnsiTheme="minorHAnsi"/>
          <w:highlight w:val="yellow"/>
        </w:rPr>
      </w:pPr>
    </w:p>
    <w:p w14:paraId="61968E77" w14:textId="0C742E36" w:rsidR="001F0B6B" w:rsidRPr="00B4547E" w:rsidRDefault="001F0B6B" w:rsidP="00B758AE">
      <w:pPr>
        <w:pStyle w:val="BodyText"/>
        <w:spacing w:after="240"/>
        <w:rPr>
          <w:rFonts w:asciiTheme="minorHAnsi" w:hAnsiTheme="minorHAnsi"/>
        </w:rPr>
      </w:pPr>
      <w:r w:rsidRPr="00917F99">
        <w:rPr>
          <w:rFonts w:asciiTheme="minorHAnsi" w:hAnsiTheme="minorHAnsi"/>
          <w:b/>
          <w:bCs/>
        </w:rPr>
        <w:t>Revenues:</w:t>
      </w:r>
      <w:r w:rsidRPr="00917F99">
        <w:rPr>
          <w:rFonts w:asciiTheme="minorHAnsi" w:hAnsiTheme="minorHAnsi"/>
        </w:rPr>
        <w:t xml:space="preserve"> </w:t>
      </w:r>
      <w:r w:rsidR="00A26A10" w:rsidRPr="00110EEA">
        <w:rPr>
          <w:rFonts w:asciiTheme="minorHAnsi" w:hAnsiTheme="minorHAnsi"/>
        </w:rPr>
        <w:t>The CPA Report analyzed the revenue projections for the Proposed Project</w:t>
      </w:r>
      <w:r w:rsidR="00A26A10">
        <w:rPr>
          <w:rFonts w:asciiTheme="minorHAnsi" w:hAnsiTheme="minorHAnsi"/>
        </w:rPr>
        <w:t>, which</w:t>
      </w:r>
      <w:r w:rsidR="00A26A10" w:rsidRPr="00A26A10">
        <w:rPr>
          <w:rFonts w:asciiTheme="minorHAnsi" w:hAnsiTheme="minorHAnsi"/>
        </w:rPr>
        <w:t xml:space="preserve"> exhibit a net pre-tax profit margin ranging from 8.2% to 13.7% for the fiscal years 2028 through 2031.</w:t>
      </w:r>
      <w:r w:rsidR="00A26A10">
        <w:rPr>
          <w:rFonts w:asciiTheme="minorHAnsi" w:hAnsiTheme="minorHAnsi"/>
        </w:rPr>
        <w:t xml:space="preserve"> </w:t>
      </w:r>
      <w:r w:rsidR="00583B4D" w:rsidRPr="00110EEA">
        <w:rPr>
          <w:rFonts w:asciiTheme="minorHAnsi" w:hAnsiTheme="minorHAnsi"/>
        </w:rPr>
        <w:t>The payer mix was based on the historical data at MGH and BWH. Reimbursement rates were based upon current Medicare ASC rates, Medicaid rates and expected Commercial Insurance contracted rates based on discussions with Commercial Insurance providers. Starting with a partial year of the historical number of cases in fiscal year 2027, full ramp up was achieved in fiscal year 2028, with a modest annual increase in cases of 1.5% for fiscal years 2029 through 2031.</w:t>
      </w:r>
      <w:r w:rsidR="008A3D58" w:rsidRPr="00110EEA">
        <w:rPr>
          <w:rFonts w:asciiTheme="minorHAnsi" w:hAnsiTheme="minorHAnsi"/>
        </w:rPr>
        <w:t xml:space="preserve"> The CPA found that the projection data </w:t>
      </w:r>
      <w:r w:rsidR="001E3D88" w:rsidRPr="00110EEA">
        <w:rPr>
          <w:rFonts w:asciiTheme="minorHAnsi" w:hAnsiTheme="minorHAnsi"/>
        </w:rPr>
        <w:t xml:space="preserve">compared to other data available </w:t>
      </w:r>
      <w:r w:rsidR="008A3D58" w:rsidRPr="00110EEA">
        <w:rPr>
          <w:rFonts w:asciiTheme="minorHAnsi" w:hAnsiTheme="minorHAnsi"/>
        </w:rPr>
        <w:t>for</w:t>
      </w:r>
      <w:r w:rsidR="001E3D88" w:rsidRPr="00110EEA">
        <w:rPr>
          <w:rFonts w:asciiTheme="minorHAnsi" w:hAnsiTheme="minorHAnsi"/>
        </w:rPr>
        <w:t xml:space="preserve"> gastroenterology centers was reasonable, and that the number of projected cases were within the ranges of currently operating gastroenterology centers as determined by the survey of the other data.</w:t>
      </w:r>
      <w:r w:rsidR="00917F99" w:rsidRPr="00110EEA">
        <w:rPr>
          <w:rFonts w:asciiTheme="minorHAnsi" w:hAnsiTheme="minorHAnsi"/>
        </w:rPr>
        <w:t xml:space="preserve"> Based </w:t>
      </w:r>
      <w:r w:rsidR="008A3D58" w:rsidRPr="00110EEA">
        <w:rPr>
          <w:rFonts w:asciiTheme="minorHAnsi" w:hAnsiTheme="minorHAnsi"/>
        </w:rPr>
        <w:t>on this analysis, the CPA</w:t>
      </w:r>
      <w:r w:rsidR="00110EEA" w:rsidRPr="00110EEA">
        <w:rPr>
          <w:rFonts w:asciiTheme="minorHAnsi" w:hAnsiTheme="minorHAnsi"/>
        </w:rPr>
        <w:t xml:space="preserve"> concluded that</w:t>
      </w:r>
      <w:r w:rsidR="00917F99" w:rsidRPr="00110EEA">
        <w:rPr>
          <w:rFonts w:asciiTheme="minorHAnsi" w:hAnsiTheme="minorHAnsi"/>
        </w:rPr>
        <w:t xml:space="preserve"> the revenue projected by Management reflects a reasonable estimation of future revenues </w:t>
      </w:r>
      <w:r w:rsidR="0053265D" w:rsidRPr="00110EEA">
        <w:rPr>
          <w:rFonts w:asciiTheme="minorHAnsi" w:hAnsiTheme="minorHAnsi"/>
        </w:rPr>
        <w:t>for</w:t>
      </w:r>
      <w:r w:rsidR="00917F99" w:rsidRPr="00110EEA">
        <w:rPr>
          <w:rFonts w:asciiTheme="minorHAnsi" w:hAnsiTheme="minorHAnsi"/>
        </w:rPr>
        <w:t xml:space="preserve"> </w:t>
      </w:r>
      <w:r w:rsidR="00917F99" w:rsidRPr="00B4547E">
        <w:rPr>
          <w:rFonts w:asciiTheme="minorHAnsi" w:hAnsiTheme="minorHAnsi"/>
        </w:rPr>
        <w:t xml:space="preserve">the Applicant. </w:t>
      </w:r>
    </w:p>
    <w:p w14:paraId="3BFB2C8C" w14:textId="3F2D488A" w:rsidR="001F0B6B" w:rsidRPr="008447C9" w:rsidRDefault="001F0B6B" w:rsidP="0506BC97">
      <w:pPr>
        <w:pStyle w:val="BodyText"/>
        <w:spacing w:after="240"/>
        <w:rPr>
          <w:rFonts w:asciiTheme="minorHAnsi" w:hAnsiTheme="minorHAnsi"/>
        </w:rPr>
      </w:pPr>
      <w:r w:rsidRPr="0506BC97">
        <w:rPr>
          <w:rFonts w:asciiTheme="minorHAnsi" w:hAnsiTheme="minorHAnsi"/>
          <w:b/>
          <w:bCs/>
        </w:rPr>
        <w:t>Expenses:</w:t>
      </w:r>
      <w:r w:rsidRPr="0506BC97">
        <w:rPr>
          <w:rFonts w:asciiTheme="minorHAnsi" w:hAnsiTheme="minorHAnsi"/>
        </w:rPr>
        <w:t xml:space="preserve"> The CPA analyzed Salary and Benefits, as well as </w:t>
      </w:r>
      <w:r w:rsidR="00B4547E" w:rsidRPr="0506BC97">
        <w:rPr>
          <w:rFonts w:asciiTheme="minorHAnsi" w:hAnsiTheme="minorHAnsi"/>
        </w:rPr>
        <w:t>Medical and Surgical Supplies</w:t>
      </w:r>
      <w:r w:rsidRPr="0506BC97">
        <w:rPr>
          <w:rFonts w:asciiTheme="minorHAnsi" w:hAnsiTheme="minorHAnsi"/>
        </w:rPr>
        <w:t xml:space="preserve"> for reasonableness and feasibility as related to the Projections of the ASC. </w:t>
      </w:r>
      <w:r w:rsidR="0037291D" w:rsidRPr="00FC54A0">
        <w:rPr>
          <w:rFonts w:asciiTheme="minorHAnsi" w:eastAsiaTheme="minorEastAsia" w:hAnsiTheme="minorHAnsi" w:cstheme="minorBidi"/>
        </w:rPr>
        <w:t>Salaries and benefits are</w:t>
      </w:r>
      <w:r w:rsidR="0037291D" w:rsidRPr="0506BC97">
        <w:rPr>
          <w:rFonts w:ascii="Times New Roman" w:hAnsi="Times New Roman" w:cs="Times New Roman"/>
        </w:rPr>
        <w:t xml:space="preserve"> </w:t>
      </w:r>
      <w:r w:rsidR="0037291D" w:rsidRPr="0506BC97">
        <w:rPr>
          <w:rFonts w:asciiTheme="minorHAnsi" w:hAnsiTheme="minorHAnsi"/>
        </w:rPr>
        <w:t>projected to increase by about 2.7% per year. Clinical expenses are projected to increase by 3% per year on a per case basis. Most other expenses are also projected to increase by 3% per year on a per case basis. The only exception is the management fee which is calculated as a percent of NPSR (net patient service revenue). This percentage remains constant at 5% and is deemed reasonable.</w:t>
      </w:r>
      <w:r w:rsidR="00B60213" w:rsidRPr="0506BC97">
        <w:rPr>
          <w:rFonts w:asciiTheme="minorHAnsi" w:hAnsiTheme="minorHAnsi"/>
        </w:rPr>
        <w:t xml:space="preserve"> Based on this analysis, the CPA concluded that the operating expenses projected by Management are </w:t>
      </w:r>
      <w:r w:rsidR="00B60213" w:rsidRPr="0506BC97">
        <w:rPr>
          <w:rFonts w:asciiTheme="minorHAnsi" w:hAnsiTheme="minorHAnsi"/>
        </w:rPr>
        <w:lastRenderedPageBreak/>
        <w:t>reasonable in nature.</w:t>
      </w:r>
    </w:p>
    <w:p w14:paraId="2DE8C8AF" w14:textId="77777777" w:rsidR="001F0B6B" w:rsidRPr="008447C9" w:rsidRDefault="001F0B6B" w:rsidP="001F0B6B">
      <w:pPr>
        <w:pStyle w:val="BodyText"/>
        <w:rPr>
          <w:rFonts w:asciiTheme="minorHAnsi" w:hAnsiTheme="minorHAnsi"/>
          <w:b/>
          <w:bCs/>
        </w:rPr>
      </w:pPr>
      <w:r w:rsidRPr="008447C9">
        <w:rPr>
          <w:rFonts w:asciiTheme="minorHAnsi" w:hAnsiTheme="minorHAnsi"/>
          <w:b/>
          <w:bCs/>
        </w:rPr>
        <w:t>Lease agreement, Capital Expenses, and Cash Flows</w:t>
      </w:r>
    </w:p>
    <w:p w14:paraId="60D34E1D" w14:textId="0E2BE38A" w:rsidR="001F0B6B" w:rsidRPr="007776C0" w:rsidRDefault="009A13E4" w:rsidP="007776C0">
      <w:pPr>
        <w:pStyle w:val="BodyText"/>
        <w:spacing w:after="240"/>
        <w:rPr>
          <w:rFonts w:asciiTheme="minorHAnsi" w:hAnsiTheme="minorHAnsi"/>
        </w:rPr>
      </w:pPr>
      <w:r w:rsidRPr="008447C9">
        <w:rPr>
          <w:rFonts w:asciiTheme="minorHAnsi" w:hAnsiTheme="minorHAnsi"/>
        </w:rPr>
        <w:t xml:space="preserve">The CPA Report reviewed lease terms, projected capital expenditures and future cash flows of the Applicant in order to determine whether sufficient funds would be available to support the building lease of the Applicant, construction and equipment costs, including payment of the related debt service and whether the cash flow would be able to support the continued operations. </w:t>
      </w:r>
      <w:r w:rsidR="004A0C4B" w:rsidRPr="008447C9">
        <w:rPr>
          <w:rFonts w:asciiTheme="minorHAnsi" w:hAnsiTheme="minorHAnsi"/>
        </w:rPr>
        <w:t>It is noted that the Applicant will</w:t>
      </w:r>
      <w:r w:rsidR="00B744BC" w:rsidRPr="008447C9">
        <w:rPr>
          <w:rFonts w:asciiTheme="minorHAnsi" w:hAnsiTheme="minorHAnsi"/>
        </w:rPr>
        <w:t xml:space="preserve"> lease</w:t>
      </w:r>
      <w:r w:rsidR="00842A2F" w:rsidRPr="008447C9">
        <w:rPr>
          <w:rFonts w:asciiTheme="minorHAnsi" w:hAnsiTheme="minorHAnsi"/>
        </w:rPr>
        <w:t xml:space="preserve"> 6,095 square feet of space</w:t>
      </w:r>
      <w:r w:rsidR="00B744BC" w:rsidRPr="008447C9">
        <w:rPr>
          <w:rFonts w:asciiTheme="minorHAnsi" w:hAnsiTheme="minorHAnsi"/>
        </w:rPr>
        <w:t xml:space="preserve"> and r</w:t>
      </w:r>
      <w:r w:rsidR="00842A2F" w:rsidRPr="008447C9">
        <w:rPr>
          <w:rFonts w:asciiTheme="minorHAnsi" w:hAnsiTheme="minorHAnsi"/>
        </w:rPr>
        <w:t>ent will be $42.50 per square foot. The building lease is expected to include a 3% increase every year.</w:t>
      </w:r>
      <w:r w:rsidR="00471255" w:rsidRPr="008447C9">
        <w:rPr>
          <w:rFonts w:asciiTheme="minorHAnsi" w:hAnsiTheme="minorHAnsi"/>
        </w:rPr>
        <w:t xml:space="preserve"> The </w:t>
      </w:r>
      <w:r w:rsidR="00B744BC" w:rsidRPr="008447C9">
        <w:rPr>
          <w:rFonts w:asciiTheme="minorHAnsi" w:hAnsiTheme="minorHAnsi"/>
        </w:rPr>
        <w:t>p</w:t>
      </w:r>
      <w:r w:rsidR="00471255" w:rsidRPr="008447C9">
        <w:rPr>
          <w:rFonts w:asciiTheme="minorHAnsi" w:hAnsiTheme="minorHAnsi"/>
        </w:rPr>
        <w:t>rojections also include capital costs for construction (build-out) and equipment at the 799 Concord Ave, Cambridge, MA location. Leasehold improvements are being depreciated on a straight-line basis over a 10-year useful life and equipment is being depreciated on a straight-line basis over a 5-year useful life. The Applicant expects to finance $4,000,000 of the capital costs</w:t>
      </w:r>
      <w:r w:rsidR="00B744BC" w:rsidRPr="008447C9">
        <w:rPr>
          <w:rFonts w:asciiTheme="minorHAnsi" w:hAnsiTheme="minorHAnsi"/>
        </w:rPr>
        <w:t xml:space="preserve">, payable </w:t>
      </w:r>
      <w:r w:rsidR="00471255" w:rsidRPr="008447C9">
        <w:rPr>
          <w:rFonts w:asciiTheme="minorHAnsi" w:hAnsiTheme="minorHAnsi"/>
        </w:rPr>
        <w:t>in equal monthly installments over eighty-four (84) months at an interest rate of 7% per annum</w:t>
      </w:r>
      <w:r w:rsidR="008447C9">
        <w:rPr>
          <w:rFonts w:asciiTheme="minorHAnsi" w:hAnsiTheme="minorHAnsi"/>
        </w:rPr>
        <w:t>, which the CPA stated</w:t>
      </w:r>
      <w:r w:rsidR="00471255" w:rsidRPr="008447C9">
        <w:rPr>
          <w:rFonts w:asciiTheme="minorHAnsi" w:hAnsiTheme="minorHAnsi"/>
        </w:rPr>
        <w:t xml:space="preserve"> is reasonable for a commercial loan for quality borrowers in the current interest rate environment.</w:t>
      </w:r>
      <w:r w:rsidR="008447C9">
        <w:rPr>
          <w:rFonts w:asciiTheme="minorHAnsi" w:hAnsiTheme="minorHAnsi"/>
        </w:rPr>
        <w:t xml:space="preserve"> </w:t>
      </w:r>
      <w:r w:rsidR="001F0B6B" w:rsidRPr="008447C9">
        <w:rPr>
          <w:rFonts w:asciiTheme="minorHAnsi" w:hAnsiTheme="minorHAnsi"/>
        </w:rPr>
        <w:t xml:space="preserve">The CPA </w:t>
      </w:r>
      <w:r w:rsidR="008447C9" w:rsidRPr="008447C9">
        <w:rPr>
          <w:rFonts w:asciiTheme="minorHAnsi" w:hAnsiTheme="minorHAnsi"/>
        </w:rPr>
        <w:t>concluded that the pro-forma capital expenditures, facility lease and the resulting impact on the cash flows of the Applicant are reasonable.</w:t>
      </w:r>
    </w:p>
    <w:p w14:paraId="2568A167" w14:textId="77777777" w:rsidR="001F0B6B" w:rsidRPr="006A4733" w:rsidRDefault="001F0B6B" w:rsidP="001F0B6B">
      <w:pPr>
        <w:pStyle w:val="BodyText"/>
        <w:rPr>
          <w:rFonts w:asciiTheme="minorHAnsi" w:hAnsiTheme="minorHAnsi"/>
          <w:b/>
          <w:bCs/>
        </w:rPr>
      </w:pPr>
      <w:r w:rsidRPr="006A4733">
        <w:rPr>
          <w:rFonts w:asciiTheme="minorHAnsi" w:hAnsiTheme="minorHAnsi"/>
          <w:b/>
          <w:bCs/>
        </w:rPr>
        <w:t>CPA’s Conclusion of Feasibility</w:t>
      </w:r>
    </w:p>
    <w:p w14:paraId="3A04B15A" w14:textId="77777777" w:rsidR="001F0B6B" w:rsidRPr="006A4733" w:rsidRDefault="001F0B6B" w:rsidP="001F0B6B">
      <w:pPr>
        <w:pStyle w:val="BodyText"/>
        <w:rPr>
          <w:rFonts w:asciiTheme="minorHAnsi" w:hAnsiTheme="minorHAnsi"/>
        </w:rPr>
      </w:pPr>
      <w:r w:rsidRPr="006A4733">
        <w:rPr>
          <w:rFonts w:asciiTheme="minorHAnsi" w:hAnsiTheme="minorHAnsi"/>
        </w:rPr>
        <w:t>As a result of its analysis the CPA states that:</w:t>
      </w:r>
    </w:p>
    <w:p w14:paraId="70738932" w14:textId="1357044C" w:rsidR="001F0B6B" w:rsidRPr="006A4733" w:rsidRDefault="001F0B6B" w:rsidP="006A4733">
      <w:pPr>
        <w:pStyle w:val="BodyText"/>
        <w:spacing w:after="240"/>
        <w:ind w:left="720"/>
        <w:rPr>
          <w:rFonts w:asciiTheme="minorHAnsi" w:hAnsiTheme="minorHAnsi"/>
          <w:i/>
          <w:iCs/>
        </w:rPr>
      </w:pPr>
      <w:r w:rsidRPr="006A4733">
        <w:rPr>
          <w:rFonts w:asciiTheme="minorHAnsi" w:hAnsiTheme="minorHAnsi"/>
          <w:i/>
          <w:iCs/>
        </w:rPr>
        <w:t>“</w:t>
      </w:r>
      <w:r w:rsidR="006A4733" w:rsidRPr="006A4733">
        <w:rPr>
          <w:rFonts w:asciiTheme="minorHAnsi" w:hAnsiTheme="minorHAnsi"/>
          <w:i/>
          <w:iCs/>
        </w:rPr>
        <w:t>Based upon my review of the relevant documents and analysis of the projected financial statements, I determined the project and continued operating surplus are reasonable and are based upon feasible financial assumptions. Accordingly, I determined that the Projections are feasible and sustainable and not likely to have a negative impact on the patient panel or result in a liquidation of assets of Mass General Brigham Ambulatory Surgery - Cambridge, LLC.”</w:t>
      </w:r>
    </w:p>
    <w:p w14:paraId="1B634252" w14:textId="77777777" w:rsidR="001F0B6B" w:rsidRPr="008440BF" w:rsidRDefault="001F0B6B" w:rsidP="001F0B6B">
      <w:pPr>
        <w:pStyle w:val="BodyText"/>
        <w:ind w:left="-144"/>
        <w:rPr>
          <w:rFonts w:asciiTheme="minorHAnsi" w:hAnsiTheme="minorHAnsi"/>
          <w:b/>
          <w:bCs/>
          <w:i/>
          <w:iCs/>
        </w:rPr>
      </w:pPr>
      <w:r w:rsidRPr="008440BF">
        <w:rPr>
          <w:rFonts w:asciiTheme="minorHAnsi" w:hAnsiTheme="minorHAnsi"/>
          <w:b/>
          <w:bCs/>
          <w:i/>
          <w:iCs/>
        </w:rPr>
        <w:t xml:space="preserve">   Analysis</w:t>
      </w:r>
    </w:p>
    <w:p w14:paraId="24C754E8" w14:textId="197905A8" w:rsidR="00350EC1" w:rsidRPr="001F4353" w:rsidRDefault="001F0B6B" w:rsidP="001F4353">
      <w:pPr>
        <w:pStyle w:val="BodyText"/>
        <w:ind w:hanging="144"/>
        <w:rPr>
          <w:rFonts w:asciiTheme="minorHAnsi" w:hAnsiTheme="minorHAnsi"/>
        </w:rPr>
      </w:pPr>
      <w:r w:rsidRPr="008440BF">
        <w:rPr>
          <w:rFonts w:asciiTheme="minorHAnsi" w:hAnsiTheme="minorHAnsi"/>
          <w:sz w:val="26"/>
        </w:rPr>
        <w:t xml:space="preserve">   </w:t>
      </w:r>
      <w:r w:rsidRPr="008440BF">
        <w:rPr>
          <w:rFonts w:asciiTheme="minorHAnsi" w:hAnsiTheme="minorHAnsi"/>
        </w:rPr>
        <w:t>Staff is satisfied with the CPA’s analysis of the Applicant’s decision to proceed with the Proposed Project. As a result, staff finds the CPA analysis to be acceptable and that the Applicant has met the requirements of Factor 4.</w:t>
      </w:r>
    </w:p>
    <w:p w14:paraId="54707BC6" w14:textId="5E01AE3B" w:rsidR="003A7B86" w:rsidRPr="001F4353" w:rsidRDefault="00A4110F" w:rsidP="00C316C3">
      <w:pPr>
        <w:pStyle w:val="BodyText"/>
        <w:rPr>
          <w:rFonts w:asciiTheme="minorHAnsi" w:hAnsiTheme="minorHAnsi"/>
          <w:sz w:val="21"/>
        </w:rPr>
      </w:pPr>
      <w:r w:rsidRPr="001F4353">
        <w:rPr>
          <w:rFonts w:asciiTheme="minorHAnsi" w:hAnsiTheme="minorHAnsi"/>
          <w:sz w:val="21"/>
        </w:rPr>
        <w:tab/>
      </w:r>
      <w:bookmarkStart w:id="35" w:name="Factor_5:_Assessment_of_the_Proposed_Pro"/>
      <w:bookmarkEnd w:id="35"/>
    </w:p>
    <w:p w14:paraId="39D90124" w14:textId="51480EE6" w:rsidR="00B447F3" w:rsidRPr="001F4353" w:rsidRDefault="00A4110F" w:rsidP="005656E3">
      <w:pPr>
        <w:pStyle w:val="Heading1"/>
        <w:ind w:left="-144" w:firstLine="144"/>
        <w:rPr>
          <w:rFonts w:asciiTheme="minorHAnsi" w:hAnsiTheme="minorHAnsi"/>
        </w:rPr>
      </w:pPr>
      <w:bookmarkStart w:id="36" w:name="_Toc218863260"/>
      <w:r w:rsidRPr="001F4353">
        <w:rPr>
          <w:rFonts w:asciiTheme="minorHAnsi" w:hAnsiTheme="minorHAnsi"/>
          <w:color w:val="42558C"/>
        </w:rPr>
        <w:t>Factor 5: Assessment of the Proposed Project’s Relative Merit</w:t>
      </w:r>
      <w:bookmarkEnd w:id="36"/>
    </w:p>
    <w:p w14:paraId="4FC717A7" w14:textId="24946567" w:rsidR="00B447F3" w:rsidRPr="001F4353" w:rsidRDefault="006D7D58" w:rsidP="005656E3">
      <w:pPr>
        <w:pStyle w:val="BodyText"/>
        <w:rPr>
          <w:rFonts w:asciiTheme="minorHAnsi" w:hAnsiTheme="minorHAnsi"/>
        </w:rPr>
      </w:pPr>
      <w:r w:rsidRPr="001F4353">
        <w:rPr>
          <w:rFonts w:asciiTheme="minorHAnsi" w:hAnsiTheme="minorHAnsi"/>
        </w:rPr>
        <w:t xml:space="preserve">The Applicant has provided sufficient evidence that the Proposed Project, on balance, is superior to alternative and substitute methods for meeting the existing Patient Panel needs identified by the Applicant pursuant to 105 CMR 100.210(A)(1). Evaluation of 105 CMR 100.210(A)(5) shall </w:t>
      </w:r>
      <w:bookmarkStart w:id="37" w:name="_Int_BedYxzXG"/>
      <w:r w:rsidRPr="001F4353">
        <w:rPr>
          <w:rFonts w:asciiTheme="minorHAnsi" w:hAnsiTheme="minorHAnsi"/>
        </w:rPr>
        <w:t>take into account</w:t>
      </w:r>
      <w:bookmarkEnd w:id="37"/>
      <w:r w:rsidRPr="001F4353">
        <w:rPr>
          <w:rFonts w:asciiTheme="minorHAnsi" w:hAnsiTheme="minorHAnsi"/>
        </w:rPr>
        <w:t>, at a minimum, the quality, efficiency, and capital and operating costs of the Proposed Project relative to potential alternatives or substitutes, including alternative evidence-based strategies and public health interventions.</w:t>
      </w:r>
    </w:p>
    <w:p w14:paraId="6C02E44D" w14:textId="45FD4D8A" w:rsidR="006D7D58" w:rsidRPr="00C85257" w:rsidRDefault="006D7D58" w:rsidP="00405ACB">
      <w:pPr>
        <w:pStyle w:val="BodyText"/>
        <w:rPr>
          <w:rFonts w:asciiTheme="minorHAnsi" w:hAnsiTheme="minorHAnsi"/>
          <w:highlight w:val="yellow"/>
        </w:rPr>
      </w:pPr>
    </w:p>
    <w:p w14:paraId="219492CF" w14:textId="66980B45" w:rsidR="006D7D58" w:rsidRPr="00A01194" w:rsidRDefault="00090BD7" w:rsidP="00FC54A0">
      <w:pPr>
        <w:pStyle w:val="ListParagraph"/>
        <w:spacing w:after="120"/>
        <w:ind w:left="0" w:firstLine="0"/>
        <w:rPr>
          <w:rFonts w:asciiTheme="minorHAnsi" w:hAnsiTheme="minorHAnsi"/>
        </w:rPr>
      </w:pPr>
      <w:r>
        <w:rPr>
          <w:rFonts w:asciiTheme="minorHAnsi" w:hAnsiTheme="minorHAnsi"/>
          <w:szCs w:val="24"/>
        </w:rPr>
        <w:t>As previously noted, t</w:t>
      </w:r>
      <w:r w:rsidR="00DA2E36">
        <w:rPr>
          <w:rFonts w:asciiTheme="minorHAnsi" w:hAnsiTheme="minorHAnsi"/>
          <w:szCs w:val="24"/>
        </w:rPr>
        <w:t xml:space="preserve">he Applicant </w:t>
      </w:r>
      <w:r>
        <w:rPr>
          <w:rFonts w:asciiTheme="minorHAnsi" w:hAnsiTheme="minorHAnsi"/>
          <w:szCs w:val="24"/>
        </w:rPr>
        <w:t xml:space="preserve">reports that they are </w:t>
      </w:r>
      <w:r w:rsidR="00922EDC" w:rsidRPr="00FC54A0">
        <w:rPr>
          <w:rFonts w:asciiTheme="minorHAnsi" w:hAnsiTheme="minorHAnsi"/>
          <w:szCs w:val="24"/>
        </w:rPr>
        <w:t xml:space="preserve">experiencing a system-wide backlog of endoscopy cases because there is more demand for endoscopy than OR capacity. As </w:t>
      </w:r>
      <w:r w:rsidR="005F2841">
        <w:rPr>
          <w:rFonts w:asciiTheme="minorHAnsi" w:hAnsiTheme="minorHAnsi"/>
          <w:szCs w:val="24"/>
        </w:rPr>
        <w:t>detailed in factor 1a</w:t>
      </w:r>
      <w:r w:rsidR="00922EDC" w:rsidRPr="00FC54A0">
        <w:rPr>
          <w:rFonts w:asciiTheme="minorHAnsi" w:hAnsiTheme="minorHAnsi"/>
          <w:szCs w:val="24"/>
        </w:rPr>
        <w:t xml:space="preserve">, MG Waltham and </w:t>
      </w:r>
      <w:r w:rsidRPr="00124F97">
        <w:rPr>
          <w:rFonts w:asciiTheme="minorHAnsi" w:hAnsiTheme="minorHAnsi"/>
          <w:szCs w:val="24"/>
        </w:rPr>
        <w:t>Newton Wellesley Hospital</w:t>
      </w:r>
      <w:r w:rsidRPr="00090BD7">
        <w:rPr>
          <w:rFonts w:asciiTheme="minorHAnsi" w:hAnsiTheme="minorHAnsi"/>
          <w:szCs w:val="24"/>
        </w:rPr>
        <w:t xml:space="preserve"> </w:t>
      </w:r>
      <w:r w:rsidR="00A01194">
        <w:rPr>
          <w:rFonts w:asciiTheme="minorHAnsi" w:hAnsiTheme="minorHAnsi"/>
          <w:szCs w:val="24"/>
        </w:rPr>
        <w:t>(</w:t>
      </w:r>
      <w:r w:rsidR="00922EDC" w:rsidRPr="00FC54A0">
        <w:rPr>
          <w:rFonts w:asciiTheme="minorHAnsi" w:hAnsiTheme="minorHAnsi"/>
          <w:szCs w:val="24"/>
        </w:rPr>
        <w:t xml:space="preserve">the only MGB community hospital easily accessible to the Applicant’s </w:t>
      </w:r>
      <w:r>
        <w:rPr>
          <w:rFonts w:asciiTheme="minorHAnsi" w:hAnsiTheme="minorHAnsi"/>
          <w:szCs w:val="24"/>
        </w:rPr>
        <w:t>P</w:t>
      </w:r>
      <w:r w:rsidR="00922EDC" w:rsidRPr="00FC54A0">
        <w:rPr>
          <w:rFonts w:asciiTheme="minorHAnsi" w:hAnsiTheme="minorHAnsi"/>
          <w:szCs w:val="24"/>
        </w:rPr>
        <w:t xml:space="preserve">atient </w:t>
      </w:r>
      <w:r>
        <w:rPr>
          <w:rFonts w:asciiTheme="minorHAnsi" w:hAnsiTheme="minorHAnsi"/>
          <w:szCs w:val="24"/>
        </w:rPr>
        <w:t>P</w:t>
      </w:r>
      <w:r w:rsidR="00922EDC" w:rsidRPr="00FC54A0">
        <w:rPr>
          <w:rFonts w:asciiTheme="minorHAnsi" w:hAnsiTheme="minorHAnsi"/>
          <w:szCs w:val="24"/>
        </w:rPr>
        <w:t>anel</w:t>
      </w:r>
      <w:r w:rsidR="00A01194">
        <w:rPr>
          <w:rFonts w:asciiTheme="minorHAnsi" w:hAnsiTheme="minorHAnsi"/>
          <w:szCs w:val="24"/>
        </w:rPr>
        <w:t>)</w:t>
      </w:r>
      <w:r w:rsidR="00922EDC" w:rsidRPr="00FC54A0">
        <w:rPr>
          <w:rFonts w:asciiTheme="minorHAnsi" w:hAnsiTheme="minorHAnsi"/>
          <w:szCs w:val="24"/>
        </w:rPr>
        <w:t>, cannot accept enough volume to meaningfully address the need for endoscopy by the MGB AMC’s patients.</w:t>
      </w:r>
      <w:r w:rsidR="00A01194">
        <w:rPr>
          <w:rFonts w:asciiTheme="minorHAnsi" w:hAnsiTheme="minorHAnsi"/>
          <w:szCs w:val="24"/>
        </w:rPr>
        <w:t xml:space="preserve"> </w:t>
      </w:r>
      <w:r w:rsidR="008C074F">
        <w:rPr>
          <w:rFonts w:asciiTheme="minorHAnsi" w:hAnsiTheme="minorHAnsi"/>
          <w:szCs w:val="24"/>
        </w:rPr>
        <w:t xml:space="preserve">With this limitation in mind, </w:t>
      </w:r>
      <w:r w:rsidR="0053265D" w:rsidRPr="00E90879">
        <w:rPr>
          <w:rFonts w:asciiTheme="minorHAnsi" w:hAnsiTheme="minorHAnsi"/>
        </w:rPr>
        <w:t>the</w:t>
      </w:r>
      <w:r w:rsidR="00697135" w:rsidRPr="00E90879">
        <w:rPr>
          <w:rFonts w:asciiTheme="minorHAnsi" w:hAnsiTheme="minorHAnsi"/>
        </w:rPr>
        <w:t xml:space="preserve"> Applicant </w:t>
      </w:r>
      <w:r w:rsidR="00697135" w:rsidRPr="00E90879">
        <w:rPr>
          <w:rFonts w:asciiTheme="minorHAnsi" w:hAnsiTheme="minorHAnsi"/>
        </w:rPr>
        <w:lastRenderedPageBreak/>
        <w:t xml:space="preserve">considered and rejected </w:t>
      </w:r>
      <w:r w:rsidR="0061268B" w:rsidRPr="00E90879">
        <w:rPr>
          <w:rFonts w:asciiTheme="minorHAnsi" w:hAnsiTheme="minorHAnsi"/>
        </w:rPr>
        <w:t>two</w:t>
      </w:r>
      <w:r w:rsidR="00697135" w:rsidRPr="00E90879">
        <w:rPr>
          <w:rFonts w:asciiTheme="minorHAnsi" w:hAnsiTheme="minorHAnsi"/>
        </w:rPr>
        <w:t xml:space="preserve"> alternative</w:t>
      </w:r>
      <w:r w:rsidR="0061268B" w:rsidRPr="00E90879">
        <w:rPr>
          <w:rFonts w:asciiTheme="minorHAnsi" w:hAnsiTheme="minorHAnsi"/>
        </w:rPr>
        <w:t>s</w:t>
      </w:r>
      <w:r w:rsidR="00697135" w:rsidRPr="00E90879">
        <w:rPr>
          <w:rFonts w:asciiTheme="minorHAnsi" w:hAnsiTheme="minorHAnsi"/>
        </w:rPr>
        <w:t xml:space="preserve"> to the Proposed Project.</w:t>
      </w:r>
    </w:p>
    <w:p w14:paraId="4FD1BF2D" w14:textId="77777777" w:rsidR="00FD1315" w:rsidRPr="00E90879" w:rsidRDefault="00FD1315" w:rsidP="00C316C3">
      <w:pPr>
        <w:pStyle w:val="BodyText"/>
        <w:rPr>
          <w:rFonts w:asciiTheme="minorHAnsi" w:hAnsiTheme="minorHAnsi"/>
        </w:rPr>
      </w:pPr>
    </w:p>
    <w:p w14:paraId="427C6045" w14:textId="77777777" w:rsidR="00E90879" w:rsidRPr="00E90879" w:rsidRDefault="0FB04589" w:rsidP="00E90879">
      <w:pPr>
        <w:tabs>
          <w:tab w:val="left" w:pos="1440"/>
        </w:tabs>
        <w:adjustRightInd w:val="0"/>
        <w:ind w:left="1440" w:hanging="1440"/>
        <w:jc w:val="both"/>
        <w:rPr>
          <w:rFonts w:asciiTheme="minorHAnsi" w:hAnsiTheme="minorHAnsi"/>
          <w:b/>
          <w:szCs w:val="24"/>
        </w:rPr>
      </w:pPr>
      <w:r w:rsidRPr="00E90879">
        <w:rPr>
          <w:rFonts w:asciiTheme="minorHAnsi" w:hAnsiTheme="minorHAnsi"/>
          <w:b/>
          <w:bCs/>
          <w:u w:val="single"/>
        </w:rPr>
        <w:t>Alternative #1</w:t>
      </w:r>
      <w:r w:rsidRPr="00E90879">
        <w:rPr>
          <w:rFonts w:asciiTheme="minorHAnsi" w:hAnsiTheme="minorHAnsi"/>
        </w:rPr>
        <w:t xml:space="preserve">: </w:t>
      </w:r>
      <w:r w:rsidR="00E90879" w:rsidRPr="00E90879">
        <w:rPr>
          <w:rFonts w:asciiTheme="minorHAnsi" w:hAnsiTheme="minorHAnsi"/>
          <w:b/>
          <w:szCs w:val="24"/>
        </w:rPr>
        <w:t xml:space="preserve">Use the existing procedure rooms in the HOPDs at BWH and MGH to continue to </w:t>
      </w:r>
    </w:p>
    <w:p w14:paraId="2A777278" w14:textId="159B4BB9" w:rsidR="006B3BB3" w:rsidRPr="008B0ACD" w:rsidRDefault="00E90879" w:rsidP="00E90879">
      <w:pPr>
        <w:tabs>
          <w:tab w:val="left" w:pos="1440"/>
        </w:tabs>
        <w:adjustRightInd w:val="0"/>
        <w:ind w:left="1440" w:hanging="1440"/>
        <w:jc w:val="both"/>
        <w:rPr>
          <w:rFonts w:asciiTheme="minorHAnsi" w:hAnsiTheme="minorHAnsi"/>
          <w:b/>
          <w:szCs w:val="24"/>
        </w:rPr>
      </w:pPr>
      <w:r w:rsidRPr="00E90879">
        <w:rPr>
          <w:rFonts w:asciiTheme="minorHAnsi" w:hAnsiTheme="minorHAnsi"/>
          <w:b/>
          <w:szCs w:val="24"/>
        </w:rPr>
        <w:t>pro</w:t>
      </w:r>
      <w:r w:rsidRPr="008B0ACD">
        <w:rPr>
          <w:rFonts w:asciiTheme="minorHAnsi" w:hAnsiTheme="minorHAnsi"/>
          <w:b/>
          <w:szCs w:val="24"/>
        </w:rPr>
        <w:t xml:space="preserve">vide endoscopy procedures. </w:t>
      </w:r>
    </w:p>
    <w:p w14:paraId="0365CE13" w14:textId="71F537FF" w:rsidR="00E16E9C" w:rsidRPr="00F927D2" w:rsidRDefault="00E16E9C" w:rsidP="0000234D">
      <w:pPr>
        <w:pStyle w:val="BodyText"/>
        <w:numPr>
          <w:ilvl w:val="0"/>
          <w:numId w:val="5"/>
        </w:numPr>
        <w:rPr>
          <w:rFonts w:asciiTheme="minorHAnsi" w:hAnsiTheme="minorHAnsi"/>
        </w:rPr>
      </w:pPr>
      <w:r w:rsidRPr="00F927D2">
        <w:rPr>
          <w:rFonts w:asciiTheme="minorHAnsi" w:hAnsiTheme="minorHAnsi"/>
          <w:u w:val="single"/>
        </w:rPr>
        <w:t>Quality</w:t>
      </w:r>
      <w:r w:rsidRPr="00F927D2">
        <w:rPr>
          <w:rFonts w:asciiTheme="minorHAnsi" w:hAnsiTheme="minorHAnsi"/>
        </w:rPr>
        <w:t xml:space="preserve">: </w:t>
      </w:r>
      <w:r w:rsidR="002B0C22" w:rsidRPr="00F927D2">
        <w:rPr>
          <w:rFonts w:asciiTheme="minorHAnsi" w:hAnsiTheme="minorHAnsi"/>
          <w:bCs/>
        </w:rPr>
        <w:t>Compared to HOPDs, ASCs have higher patient satisfaction rates and lower incidences of post-procedure hospitalization. This alternative would not increase capacity and expand access</w:t>
      </w:r>
      <w:r w:rsidR="00F927D2" w:rsidRPr="00F927D2">
        <w:rPr>
          <w:rFonts w:asciiTheme="minorHAnsi" w:hAnsiTheme="minorHAnsi"/>
          <w:bCs/>
        </w:rPr>
        <w:t xml:space="preserve"> for the people in the </w:t>
      </w:r>
      <w:r w:rsidR="002C37E5">
        <w:rPr>
          <w:rFonts w:asciiTheme="minorHAnsi" w:hAnsiTheme="minorHAnsi"/>
          <w:bCs/>
        </w:rPr>
        <w:t>PSA</w:t>
      </w:r>
      <w:r w:rsidR="00F927D2" w:rsidRPr="00F927D2">
        <w:rPr>
          <w:rFonts w:asciiTheme="minorHAnsi" w:hAnsiTheme="minorHAnsi"/>
          <w:bCs/>
        </w:rPr>
        <w:t>.</w:t>
      </w:r>
    </w:p>
    <w:p w14:paraId="5062B8C3" w14:textId="76ED0945" w:rsidR="00E16E9C" w:rsidRPr="00CA3B69" w:rsidRDefault="00E16E9C" w:rsidP="007776C0">
      <w:pPr>
        <w:pStyle w:val="BodyText"/>
        <w:numPr>
          <w:ilvl w:val="0"/>
          <w:numId w:val="5"/>
        </w:numPr>
        <w:rPr>
          <w:rFonts w:asciiTheme="minorHAnsi" w:hAnsiTheme="minorHAnsi"/>
        </w:rPr>
      </w:pPr>
      <w:r w:rsidRPr="00CA3B69">
        <w:rPr>
          <w:rFonts w:asciiTheme="minorHAnsi" w:hAnsiTheme="minorHAnsi"/>
          <w:u w:val="single"/>
        </w:rPr>
        <w:t>Efficiency</w:t>
      </w:r>
      <w:r w:rsidRPr="00CA3B69">
        <w:rPr>
          <w:rFonts w:asciiTheme="minorHAnsi" w:hAnsiTheme="minorHAnsi"/>
        </w:rPr>
        <w:t xml:space="preserve">: </w:t>
      </w:r>
      <w:r w:rsidR="00CA3B69" w:rsidRPr="00CA3B69">
        <w:rPr>
          <w:rFonts w:asciiTheme="minorHAnsi" w:hAnsiTheme="minorHAnsi"/>
          <w:bCs/>
        </w:rPr>
        <w:t xml:space="preserve">This alternative continues </w:t>
      </w:r>
      <w:r w:rsidR="00F12FAB" w:rsidRPr="00CA3B69">
        <w:rPr>
          <w:rFonts w:asciiTheme="minorHAnsi" w:hAnsiTheme="minorHAnsi"/>
          <w:bCs/>
        </w:rPr>
        <w:t xml:space="preserve">to rely on the AMC procedure rooms </w:t>
      </w:r>
      <w:r w:rsidR="00CA3B69" w:rsidRPr="00CA3B69">
        <w:rPr>
          <w:rFonts w:asciiTheme="minorHAnsi" w:hAnsiTheme="minorHAnsi"/>
          <w:bCs/>
        </w:rPr>
        <w:t>which</w:t>
      </w:r>
      <w:r w:rsidR="00F12FAB" w:rsidRPr="00CA3B69">
        <w:rPr>
          <w:rFonts w:asciiTheme="minorHAnsi" w:hAnsiTheme="minorHAnsi"/>
          <w:bCs/>
        </w:rPr>
        <w:t xml:space="preserve"> further strain</w:t>
      </w:r>
      <w:r w:rsidR="00CA3B69" w:rsidRPr="00CA3B69">
        <w:rPr>
          <w:rFonts w:asciiTheme="minorHAnsi" w:hAnsiTheme="minorHAnsi"/>
          <w:bCs/>
        </w:rPr>
        <w:t>s</w:t>
      </w:r>
      <w:r w:rsidR="00F12FAB" w:rsidRPr="00CA3B69">
        <w:rPr>
          <w:rFonts w:asciiTheme="minorHAnsi" w:hAnsiTheme="minorHAnsi"/>
          <w:bCs/>
        </w:rPr>
        <w:t xml:space="preserve"> an already inefficient system, leading to longer wait times for endoscopy access. </w:t>
      </w:r>
      <w:r w:rsidR="00CA3B69" w:rsidRPr="00CA3B69">
        <w:rPr>
          <w:rFonts w:asciiTheme="minorHAnsi" w:hAnsiTheme="minorHAnsi"/>
          <w:bCs/>
        </w:rPr>
        <w:t>Extended wait times increase the risk that patients will for</w:t>
      </w:r>
      <w:r w:rsidR="00C42546">
        <w:rPr>
          <w:rFonts w:asciiTheme="minorHAnsi" w:hAnsiTheme="minorHAnsi"/>
          <w:bCs/>
        </w:rPr>
        <w:t>e</w:t>
      </w:r>
      <w:r w:rsidR="00CA3B69" w:rsidRPr="00CA3B69">
        <w:rPr>
          <w:rFonts w:asciiTheme="minorHAnsi" w:hAnsiTheme="minorHAnsi"/>
          <w:bCs/>
        </w:rPr>
        <w:t xml:space="preserve">go their appointments altogether, perceiving the service as non-essential. Inefficient throughput in the AMC setting contributes to longer inpatient lengths of stay as patients awaiting procedures occupy beds that could otherwise be used for admissions from the ED or for patients who need a higher level of care than available in the community. This bottleneck affects the entire hospital system, delaying care for all patients waiting for a bed. </w:t>
      </w:r>
    </w:p>
    <w:p w14:paraId="4599406B" w14:textId="0D6DBAC9" w:rsidR="00E16E9C" w:rsidRPr="00897942" w:rsidRDefault="00E16E9C" w:rsidP="007776C0">
      <w:pPr>
        <w:pStyle w:val="ListParagraph"/>
        <w:numPr>
          <w:ilvl w:val="0"/>
          <w:numId w:val="5"/>
        </w:numPr>
        <w:tabs>
          <w:tab w:val="left" w:pos="1440"/>
        </w:tabs>
        <w:adjustRightInd w:val="0"/>
        <w:rPr>
          <w:rFonts w:asciiTheme="minorHAnsi" w:hAnsiTheme="minorHAnsi"/>
          <w:bCs/>
          <w:szCs w:val="24"/>
        </w:rPr>
      </w:pPr>
      <w:r w:rsidRPr="00897942">
        <w:rPr>
          <w:rFonts w:asciiTheme="minorHAnsi" w:hAnsiTheme="minorHAnsi"/>
          <w:szCs w:val="24"/>
          <w:u w:val="single"/>
        </w:rPr>
        <w:t>Capital Expense</w:t>
      </w:r>
      <w:r w:rsidRPr="00897942">
        <w:rPr>
          <w:rFonts w:asciiTheme="minorHAnsi" w:hAnsiTheme="minorHAnsi"/>
          <w:szCs w:val="24"/>
        </w:rPr>
        <w:t xml:space="preserve">: </w:t>
      </w:r>
      <w:r w:rsidR="00897942" w:rsidRPr="00897942">
        <w:rPr>
          <w:rFonts w:asciiTheme="minorHAnsi" w:hAnsiTheme="minorHAnsi"/>
          <w:bCs/>
          <w:szCs w:val="24"/>
        </w:rPr>
        <w:t xml:space="preserve">There are no capital expenses under this alternative. </w:t>
      </w:r>
    </w:p>
    <w:p w14:paraId="520B6FC0" w14:textId="4E710457" w:rsidR="00E16E9C" w:rsidRPr="00C96B17" w:rsidRDefault="00E16E9C" w:rsidP="007776C0">
      <w:pPr>
        <w:pStyle w:val="ListParagraph"/>
        <w:numPr>
          <w:ilvl w:val="0"/>
          <w:numId w:val="5"/>
        </w:numPr>
        <w:tabs>
          <w:tab w:val="left" w:pos="1440"/>
        </w:tabs>
        <w:adjustRightInd w:val="0"/>
        <w:spacing w:after="120"/>
        <w:rPr>
          <w:rFonts w:asciiTheme="minorHAnsi" w:hAnsiTheme="minorHAnsi"/>
          <w:bCs/>
          <w:szCs w:val="24"/>
        </w:rPr>
      </w:pPr>
      <w:r w:rsidRPr="00C96B17">
        <w:rPr>
          <w:rFonts w:asciiTheme="minorHAnsi" w:hAnsiTheme="minorHAnsi"/>
          <w:szCs w:val="24"/>
          <w:u w:val="single"/>
        </w:rPr>
        <w:t>Operating Costs</w:t>
      </w:r>
      <w:r w:rsidRPr="00C96B17">
        <w:rPr>
          <w:rFonts w:asciiTheme="minorHAnsi" w:hAnsiTheme="minorHAnsi"/>
          <w:szCs w:val="24"/>
        </w:rPr>
        <w:t xml:space="preserve">: </w:t>
      </w:r>
      <w:r w:rsidR="00CF44BB" w:rsidRPr="00C96B17">
        <w:rPr>
          <w:rFonts w:asciiTheme="minorHAnsi" w:hAnsiTheme="minorHAnsi"/>
          <w:bCs/>
          <w:szCs w:val="24"/>
        </w:rPr>
        <w:t>Operating costs will remain the same under this alternative.</w:t>
      </w:r>
      <w:r w:rsidR="00CF44BB">
        <w:rPr>
          <w:rFonts w:asciiTheme="minorHAnsi" w:hAnsiTheme="minorHAnsi"/>
          <w:bCs/>
          <w:szCs w:val="24"/>
        </w:rPr>
        <w:t xml:space="preserve"> </w:t>
      </w:r>
      <w:r w:rsidR="00404312">
        <w:rPr>
          <w:rFonts w:asciiTheme="minorHAnsi" w:hAnsiTheme="minorHAnsi"/>
          <w:bCs/>
          <w:szCs w:val="24"/>
        </w:rPr>
        <w:t>However, t</w:t>
      </w:r>
      <w:r w:rsidR="00C96B17" w:rsidRPr="00C96B17">
        <w:rPr>
          <w:rFonts w:asciiTheme="minorHAnsi" w:hAnsiTheme="minorHAnsi"/>
          <w:bCs/>
          <w:szCs w:val="24"/>
        </w:rPr>
        <w:t>he</w:t>
      </w:r>
      <w:r w:rsidR="00C96B17" w:rsidRPr="00C96B17">
        <w:rPr>
          <w:rFonts w:asciiTheme="minorHAnsi" w:hAnsiTheme="minorHAnsi"/>
          <w:b/>
          <w:szCs w:val="24"/>
        </w:rPr>
        <w:t xml:space="preserve"> </w:t>
      </w:r>
      <w:r w:rsidR="00C96B17" w:rsidRPr="00C96B17">
        <w:rPr>
          <w:rFonts w:asciiTheme="minorHAnsi" w:hAnsiTheme="minorHAnsi"/>
          <w:bCs/>
          <w:szCs w:val="24"/>
        </w:rPr>
        <w:t xml:space="preserve">HOPDs at BWH and MGH have higher operating expenses than the Proposed Project due to the overhead costs required of a hospital, including clinical and administrative workforces, capital investments, utility expenses, and equipment costs. </w:t>
      </w:r>
    </w:p>
    <w:p w14:paraId="4A21495B" w14:textId="77777777" w:rsidR="007036F8" w:rsidRPr="00C85257" w:rsidRDefault="007036F8" w:rsidP="00C316C3">
      <w:pPr>
        <w:pStyle w:val="BodyText"/>
        <w:rPr>
          <w:rFonts w:asciiTheme="minorHAnsi" w:hAnsiTheme="minorHAnsi"/>
          <w:highlight w:val="yellow"/>
        </w:rPr>
      </w:pPr>
    </w:p>
    <w:p w14:paraId="4A74737A" w14:textId="77777777" w:rsidR="007378D9" w:rsidRPr="007378D9" w:rsidRDefault="59B67AA5" w:rsidP="007378D9">
      <w:pPr>
        <w:tabs>
          <w:tab w:val="left" w:pos="1440"/>
        </w:tabs>
        <w:adjustRightInd w:val="0"/>
        <w:ind w:left="1440" w:hanging="1440"/>
        <w:jc w:val="both"/>
        <w:rPr>
          <w:rFonts w:asciiTheme="minorHAnsi" w:hAnsiTheme="minorHAnsi"/>
          <w:b/>
          <w:szCs w:val="24"/>
        </w:rPr>
      </w:pPr>
      <w:r w:rsidRPr="007378D9">
        <w:rPr>
          <w:rFonts w:asciiTheme="minorHAnsi" w:hAnsiTheme="minorHAnsi"/>
          <w:b/>
          <w:bCs/>
          <w:szCs w:val="24"/>
          <w:u w:val="single"/>
        </w:rPr>
        <w:t>Alternative #2</w:t>
      </w:r>
      <w:r w:rsidRPr="007378D9">
        <w:rPr>
          <w:rFonts w:asciiTheme="minorHAnsi" w:hAnsiTheme="minorHAnsi"/>
          <w:szCs w:val="24"/>
        </w:rPr>
        <w:t xml:space="preserve">: </w:t>
      </w:r>
      <w:r w:rsidR="007378D9" w:rsidRPr="007378D9">
        <w:rPr>
          <w:rFonts w:asciiTheme="minorHAnsi" w:hAnsiTheme="minorHAnsi"/>
          <w:b/>
          <w:szCs w:val="24"/>
        </w:rPr>
        <w:t xml:space="preserve">Construct and license additional endoscopy procedures rooms at BWH and </w:t>
      </w:r>
    </w:p>
    <w:p w14:paraId="44FBC6F2" w14:textId="66978065" w:rsidR="003567E6" w:rsidRPr="0089239A" w:rsidRDefault="007378D9" w:rsidP="007378D9">
      <w:pPr>
        <w:tabs>
          <w:tab w:val="left" w:pos="1440"/>
        </w:tabs>
        <w:adjustRightInd w:val="0"/>
        <w:ind w:left="1440" w:hanging="1440"/>
        <w:jc w:val="both"/>
        <w:rPr>
          <w:rFonts w:asciiTheme="minorHAnsi" w:hAnsiTheme="minorHAnsi"/>
          <w:b/>
          <w:szCs w:val="24"/>
        </w:rPr>
      </w:pPr>
      <w:r w:rsidRPr="0089239A">
        <w:rPr>
          <w:rFonts w:asciiTheme="minorHAnsi" w:hAnsiTheme="minorHAnsi"/>
          <w:b/>
          <w:szCs w:val="24"/>
        </w:rPr>
        <w:t>MGH.</w:t>
      </w:r>
    </w:p>
    <w:p w14:paraId="1CAD0C9B" w14:textId="67721AFC" w:rsidR="00AE7940" w:rsidRPr="0060590D" w:rsidRDefault="00AE7940" w:rsidP="0000234D">
      <w:pPr>
        <w:pStyle w:val="BodyText"/>
        <w:numPr>
          <w:ilvl w:val="0"/>
          <w:numId w:val="6"/>
        </w:numPr>
        <w:rPr>
          <w:rFonts w:asciiTheme="minorHAnsi" w:hAnsiTheme="minorHAnsi"/>
        </w:rPr>
      </w:pPr>
      <w:r w:rsidRPr="006820D4">
        <w:rPr>
          <w:rFonts w:asciiTheme="minorHAnsi" w:hAnsiTheme="minorHAnsi"/>
          <w:u w:val="single"/>
        </w:rPr>
        <w:t>Quality</w:t>
      </w:r>
      <w:r w:rsidRPr="006820D4">
        <w:rPr>
          <w:rFonts w:asciiTheme="minorHAnsi" w:hAnsiTheme="minorHAnsi"/>
        </w:rPr>
        <w:t xml:space="preserve">: </w:t>
      </w:r>
      <w:r w:rsidR="00F71F47" w:rsidRPr="006820D4">
        <w:rPr>
          <w:rFonts w:asciiTheme="minorHAnsi" w:hAnsiTheme="minorHAnsi"/>
          <w:bCs/>
        </w:rPr>
        <w:t xml:space="preserve">This alternative would not increase capacity and expand access for the </w:t>
      </w:r>
      <w:r w:rsidR="00A26A27" w:rsidRPr="006820D4">
        <w:rPr>
          <w:rFonts w:asciiTheme="minorHAnsi" w:hAnsiTheme="minorHAnsi"/>
          <w:bCs/>
        </w:rPr>
        <w:t>p</w:t>
      </w:r>
      <w:r w:rsidR="00A26A27">
        <w:rPr>
          <w:rFonts w:asciiTheme="minorHAnsi" w:hAnsiTheme="minorHAnsi"/>
          <w:bCs/>
        </w:rPr>
        <w:t>atients previously identified as part of</w:t>
      </w:r>
      <w:r w:rsidR="00A26A27" w:rsidRPr="006820D4">
        <w:rPr>
          <w:rFonts w:asciiTheme="minorHAnsi" w:hAnsiTheme="minorHAnsi"/>
          <w:bCs/>
        </w:rPr>
        <w:t xml:space="preserve"> </w:t>
      </w:r>
      <w:r w:rsidR="00F71F47" w:rsidRPr="0060590D">
        <w:rPr>
          <w:rFonts w:asciiTheme="minorHAnsi" w:hAnsiTheme="minorHAnsi"/>
          <w:bCs/>
        </w:rPr>
        <w:t xml:space="preserve">proposed </w:t>
      </w:r>
      <w:r w:rsidR="00A26A27">
        <w:rPr>
          <w:rFonts w:asciiTheme="minorHAnsi" w:hAnsiTheme="minorHAnsi"/>
          <w:bCs/>
        </w:rPr>
        <w:t>Patient Panel</w:t>
      </w:r>
      <w:r w:rsidR="00F71F47" w:rsidRPr="0060590D">
        <w:rPr>
          <w:rFonts w:asciiTheme="minorHAnsi" w:hAnsiTheme="minorHAnsi"/>
          <w:bCs/>
        </w:rPr>
        <w:t xml:space="preserve"> area.</w:t>
      </w:r>
      <w:r w:rsidR="0089239A" w:rsidRPr="0060590D">
        <w:rPr>
          <w:rFonts w:asciiTheme="minorHAnsi" w:hAnsiTheme="minorHAnsi"/>
          <w:bCs/>
        </w:rPr>
        <w:t xml:space="preserve"> </w:t>
      </w:r>
      <w:r w:rsidR="00A26A27">
        <w:rPr>
          <w:rFonts w:asciiTheme="minorHAnsi" w:hAnsiTheme="minorHAnsi"/>
        </w:rPr>
        <w:t>W</w:t>
      </w:r>
      <w:r w:rsidR="00A26A27" w:rsidRPr="00A26A27">
        <w:rPr>
          <w:rFonts w:asciiTheme="minorHAnsi" w:hAnsiTheme="minorHAnsi"/>
        </w:rPr>
        <w:t>hile th</w:t>
      </w:r>
      <w:r w:rsidR="00A26A27">
        <w:rPr>
          <w:rFonts w:asciiTheme="minorHAnsi" w:hAnsiTheme="minorHAnsi"/>
        </w:rPr>
        <w:t>is</w:t>
      </w:r>
      <w:r w:rsidR="00A26A27" w:rsidRPr="00A26A27">
        <w:rPr>
          <w:rFonts w:asciiTheme="minorHAnsi" w:hAnsiTheme="minorHAnsi"/>
        </w:rPr>
        <w:t xml:space="preserve"> alternative would increase capacity, it would not support access to endoscopy services within the </w:t>
      </w:r>
      <w:r w:rsidR="00A26A27">
        <w:rPr>
          <w:rFonts w:asciiTheme="minorHAnsi" w:hAnsiTheme="minorHAnsi"/>
        </w:rPr>
        <w:t>P</w:t>
      </w:r>
      <w:r w:rsidR="00A26A27" w:rsidRPr="00A26A27">
        <w:rPr>
          <w:rFonts w:asciiTheme="minorHAnsi" w:hAnsiTheme="minorHAnsi"/>
        </w:rPr>
        <w:t xml:space="preserve">roposed </w:t>
      </w:r>
      <w:r w:rsidR="00A26A27">
        <w:rPr>
          <w:rFonts w:asciiTheme="minorHAnsi" w:hAnsiTheme="minorHAnsi"/>
        </w:rPr>
        <w:t>P</w:t>
      </w:r>
      <w:r w:rsidR="00A26A27" w:rsidRPr="00A26A27">
        <w:rPr>
          <w:rFonts w:asciiTheme="minorHAnsi" w:hAnsiTheme="minorHAnsi"/>
        </w:rPr>
        <w:t xml:space="preserve">roject’s geographic area. The </w:t>
      </w:r>
      <w:r w:rsidR="00A26A27">
        <w:rPr>
          <w:rFonts w:asciiTheme="minorHAnsi" w:hAnsiTheme="minorHAnsi"/>
        </w:rPr>
        <w:t>proposed P</w:t>
      </w:r>
      <w:r w:rsidR="00A26A27" w:rsidRPr="00A26A27">
        <w:rPr>
          <w:rFonts w:asciiTheme="minorHAnsi" w:hAnsiTheme="minorHAnsi"/>
        </w:rPr>
        <w:t xml:space="preserve">atient </w:t>
      </w:r>
      <w:r w:rsidR="00A26A27">
        <w:rPr>
          <w:rFonts w:asciiTheme="minorHAnsi" w:hAnsiTheme="minorHAnsi"/>
        </w:rPr>
        <w:t>P</w:t>
      </w:r>
      <w:r w:rsidR="00A26A27" w:rsidRPr="00A26A27">
        <w:rPr>
          <w:rFonts w:asciiTheme="minorHAnsi" w:hAnsiTheme="minorHAnsi"/>
        </w:rPr>
        <w:t>anel supported by the Proposed Project would still need to access services at one of the MGB AMCs</w:t>
      </w:r>
    </w:p>
    <w:p w14:paraId="0E144273" w14:textId="33F15171" w:rsidR="00AE7940" w:rsidRPr="00C9169B" w:rsidRDefault="00AE7940" w:rsidP="0000234D">
      <w:pPr>
        <w:pStyle w:val="ListParagraph"/>
        <w:numPr>
          <w:ilvl w:val="0"/>
          <w:numId w:val="6"/>
        </w:numPr>
        <w:tabs>
          <w:tab w:val="left" w:pos="1440"/>
        </w:tabs>
        <w:adjustRightInd w:val="0"/>
        <w:rPr>
          <w:rFonts w:asciiTheme="minorHAnsi" w:hAnsiTheme="minorHAnsi"/>
          <w:bCs/>
          <w:szCs w:val="24"/>
        </w:rPr>
      </w:pPr>
      <w:r w:rsidRPr="0060590D">
        <w:rPr>
          <w:rFonts w:asciiTheme="minorHAnsi" w:hAnsiTheme="minorHAnsi"/>
          <w:szCs w:val="24"/>
          <w:u w:val="single"/>
        </w:rPr>
        <w:t>Efficiency</w:t>
      </w:r>
      <w:r w:rsidRPr="0060590D">
        <w:rPr>
          <w:rFonts w:asciiTheme="minorHAnsi" w:hAnsiTheme="minorHAnsi"/>
          <w:szCs w:val="24"/>
        </w:rPr>
        <w:t xml:space="preserve">: </w:t>
      </w:r>
      <w:r w:rsidR="00630ED5" w:rsidRPr="0060590D">
        <w:rPr>
          <w:rFonts w:asciiTheme="minorHAnsi" w:hAnsiTheme="minorHAnsi"/>
          <w:bCs/>
          <w:szCs w:val="24"/>
        </w:rPr>
        <w:t xml:space="preserve">The construction projects necessary to complete this alternative option will impact patient care, potentially increasing wait times above what they are now.  </w:t>
      </w:r>
      <w:r w:rsidR="006820D4" w:rsidRPr="0060590D">
        <w:rPr>
          <w:rFonts w:asciiTheme="minorHAnsi" w:hAnsiTheme="minorHAnsi"/>
          <w:bCs/>
          <w:szCs w:val="24"/>
        </w:rPr>
        <w:t xml:space="preserve">This alternative </w:t>
      </w:r>
      <w:r w:rsidR="0060590D" w:rsidRPr="0060590D">
        <w:rPr>
          <w:rFonts w:asciiTheme="minorHAnsi" w:hAnsiTheme="minorHAnsi"/>
          <w:bCs/>
          <w:szCs w:val="24"/>
        </w:rPr>
        <w:t>does not have</w:t>
      </w:r>
      <w:r w:rsidR="006820D4" w:rsidRPr="0060590D">
        <w:rPr>
          <w:rFonts w:asciiTheme="minorHAnsi" w:hAnsiTheme="minorHAnsi"/>
          <w:bCs/>
          <w:szCs w:val="24"/>
        </w:rPr>
        <w:t xml:space="preserve"> the operational efficiencies and financial benefits that the </w:t>
      </w:r>
      <w:r w:rsidR="006820D4" w:rsidRPr="00C9169B">
        <w:rPr>
          <w:rFonts w:asciiTheme="minorHAnsi" w:hAnsiTheme="minorHAnsi"/>
          <w:bCs/>
          <w:szCs w:val="24"/>
        </w:rPr>
        <w:t>Proposed Project offers patients and payers.</w:t>
      </w:r>
    </w:p>
    <w:p w14:paraId="6DD5A97A" w14:textId="77777777" w:rsidR="00C9169B" w:rsidRPr="00C9169B" w:rsidRDefault="00AE7940" w:rsidP="0000234D">
      <w:pPr>
        <w:pStyle w:val="ListParagraph"/>
        <w:numPr>
          <w:ilvl w:val="0"/>
          <w:numId w:val="6"/>
        </w:numPr>
        <w:tabs>
          <w:tab w:val="left" w:pos="1440"/>
        </w:tabs>
        <w:adjustRightInd w:val="0"/>
        <w:rPr>
          <w:rFonts w:ascii="Aptos" w:hAnsi="Aptos" w:cs="Arial"/>
          <w:bCs/>
          <w:sz w:val="21"/>
          <w:szCs w:val="21"/>
        </w:rPr>
      </w:pPr>
      <w:r w:rsidRPr="00C9169B">
        <w:rPr>
          <w:rFonts w:asciiTheme="minorHAnsi" w:hAnsiTheme="minorHAnsi"/>
          <w:u w:val="single"/>
        </w:rPr>
        <w:t>Capital Expense</w:t>
      </w:r>
      <w:r w:rsidRPr="00C9169B">
        <w:rPr>
          <w:rFonts w:asciiTheme="minorHAnsi" w:hAnsiTheme="minorHAnsi"/>
        </w:rPr>
        <w:t xml:space="preserve">: </w:t>
      </w:r>
      <w:r w:rsidR="00C9169B" w:rsidRPr="00C9169B">
        <w:rPr>
          <w:rFonts w:asciiTheme="minorHAnsi" w:hAnsiTheme="minorHAnsi"/>
          <w:bCs/>
          <w:szCs w:val="24"/>
        </w:rPr>
        <w:t>The capital expenses under this alternative would be significant as there is not currently available space at the AMCs to add more procedure rooms.</w:t>
      </w:r>
      <w:r w:rsidR="00C9169B" w:rsidRPr="00C9169B">
        <w:rPr>
          <w:rFonts w:ascii="Aptos" w:hAnsi="Aptos" w:cs="Arial"/>
          <w:bCs/>
          <w:sz w:val="21"/>
          <w:szCs w:val="21"/>
        </w:rPr>
        <w:t xml:space="preserve"> </w:t>
      </w:r>
    </w:p>
    <w:p w14:paraId="6DF349B2" w14:textId="4685E79A" w:rsidR="00CC6E88" w:rsidRPr="00A74445" w:rsidRDefault="00AE7940" w:rsidP="0000234D">
      <w:pPr>
        <w:pStyle w:val="BodyText"/>
        <w:numPr>
          <w:ilvl w:val="0"/>
          <w:numId w:val="6"/>
        </w:numPr>
        <w:rPr>
          <w:rFonts w:asciiTheme="minorHAnsi" w:hAnsiTheme="minorHAnsi"/>
        </w:rPr>
      </w:pPr>
      <w:r w:rsidRPr="00A74445">
        <w:rPr>
          <w:rFonts w:asciiTheme="minorHAnsi" w:hAnsiTheme="minorHAnsi"/>
          <w:u w:val="single"/>
        </w:rPr>
        <w:t>Operating costs</w:t>
      </w:r>
      <w:r w:rsidRPr="00A74445">
        <w:rPr>
          <w:rFonts w:asciiTheme="minorHAnsi" w:hAnsiTheme="minorHAnsi"/>
        </w:rPr>
        <w:t xml:space="preserve">: </w:t>
      </w:r>
      <w:r w:rsidR="00404312" w:rsidRPr="00A74445">
        <w:rPr>
          <w:rFonts w:asciiTheme="minorHAnsi" w:hAnsiTheme="minorHAnsi"/>
          <w:bCs/>
        </w:rPr>
        <w:t>Operating costs will remain the same under this alternative.</w:t>
      </w:r>
      <w:r w:rsidR="00A74445" w:rsidRPr="00A74445">
        <w:rPr>
          <w:rFonts w:asciiTheme="minorHAnsi" w:hAnsiTheme="minorHAnsi"/>
          <w:bCs/>
        </w:rPr>
        <w:t xml:space="preserve"> However, as previously noted, the endoscopy rooms at the MGB AMCs require higher operating costs compared to the Proposed Project due to the associated overhead expenses of a hospital, including clinical and administrative workforces, capital investments, utility expenses, and equipment costs.</w:t>
      </w:r>
    </w:p>
    <w:p w14:paraId="14AB7E18" w14:textId="77777777" w:rsidR="00404312" w:rsidRPr="00A74445" w:rsidRDefault="00404312" w:rsidP="00A74445">
      <w:pPr>
        <w:pStyle w:val="BodyText"/>
        <w:ind w:left="360"/>
        <w:rPr>
          <w:rFonts w:asciiTheme="minorHAnsi" w:hAnsiTheme="minorHAnsi"/>
        </w:rPr>
      </w:pPr>
    </w:p>
    <w:p w14:paraId="4517F930" w14:textId="2606992B" w:rsidR="00A4110F" w:rsidRPr="00A74445" w:rsidRDefault="00A4110F" w:rsidP="00C316C3">
      <w:pPr>
        <w:pStyle w:val="BodyText"/>
        <w:rPr>
          <w:rFonts w:asciiTheme="minorHAnsi" w:hAnsiTheme="minorHAnsi"/>
          <w:b/>
          <w:bCs/>
          <w:i/>
          <w:iCs/>
        </w:rPr>
      </w:pPr>
      <w:r w:rsidRPr="00A74445">
        <w:rPr>
          <w:rFonts w:asciiTheme="minorHAnsi" w:hAnsiTheme="minorHAnsi"/>
          <w:b/>
          <w:bCs/>
          <w:i/>
          <w:iCs/>
        </w:rPr>
        <w:t xml:space="preserve">Analysis </w:t>
      </w:r>
    </w:p>
    <w:p w14:paraId="4610C39B" w14:textId="2B1BC208" w:rsidR="00A4110F" w:rsidRPr="00A74445" w:rsidRDefault="00374DEC" w:rsidP="00C316C3">
      <w:pPr>
        <w:pStyle w:val="BodyText"/>
        <w:rPr>
          <w:rFonts w:asciiTheme="minorHAnsi" w:hAnsiTheme="minorHAnsi"/>
        </w:rPr>
      </w:pPr>
      <w:r w:rsidRPr="00A74445">
        <w:rPr>
          <w:rFonts w:asciiTheme="minorHAnsi" w:hAnsiTheme="minorHAnsi"/>
        </w:rPr>
        <w:t>Staff finds that the Applicant has appropriately considered the quality, efficiency, and capital</w:t>
      </w:r>
      <w:r w:rsidR="0047754F" w:rsidRPr="00A74445">
        <w:rPr>
          <w:rFonts w:asciiTheme="minorHAnsi" w:hAnsiTheme="minorHAnsi"/>
        </w:rPr>
        <w:t xml:space="preserve"> </w:t>
      </w:r>
      <w:r w:rsidRPr="00A74445">
        <w:rPr>
          <w:rFonts w:asciiTheme="minorHAnsi" w:hAnsiTheme="minorHAnsi"/>
        </w:rPr>
        <w:t>and operating costs of the Proposed Project relative to potential alternatives. As a result of</w:t>
      </w:r>
      <w:r w:rsidR="0047754F" w:rsidRPr="00A74445">
        <w:rPr>
          <w:rFonts w:asciiTheme="minorHAnsi" w:hAnsiTheme="minorHAnsi"/>
        </w:rPr>
        <w:t xml:space="preserve"> </w:t>
      </w:r>
      <w:r w:rsidRPr="00A74445">
        <w:rPr>
          <w:rFonts w:asciiTheme="minorHAnsi" w:hAnsiTheme="minorHAnsi"/>
        </w:rPr>
        <w:t xml:space="preserve">information </w:t>
      </w:r>
      <w:r w:rsidRPr="00A74445">
        <w:rPr>
          <w:rFonts w:asciiTheme="minorHAnsi" w:hAnsiTheme="minorHAnsi"/>
        </w:rPr>
        <w:lastRenderedPageBreak/>
        <w:t>provided by the Applicant and additional analysis, staff finds the Applicant has</w:t>
      </w:r>
      <w:r w:rsidR="0047754F" w:rsidRPr="00A74445">
        <w:rPr>
          <w:rFonts w:asciiTheme="minorHAnsi" w:hAnsiTheme="minorHAnsi"/>
        </w:rPr>
        <w:t xml:space="preserve"> </w:t>
      </w:r>
      <w:r w:rsidRPr="00A74445">
        <w:rPr>
          <w:rFonts w:asciiTheme="minorHAnsi" w:hAnsiTheme="minorHAnsi"/>
        </w:rPr>
        <w:t>reasonably met the standards of Factor 5.</w:t>
      </w:r>
    </w:p>
    <w:p w14:paraId="6D49ACE4" w14:textId="77777777" w:rsidR="00C9338C" w:rsidRPr="00C85257" w:rsidRDefault="00C9338C" w:rsidP="00C316C3">
      <w:pPr>
        <w:pStyle w:val="BodyText"/>
        <w:rPr>
          <w:rFonts w:asciiTheme="minorHAnsi" w:hAnsiTheme="minorHAnsi"/>
          <w:highlight w:val="yellow"/>
        </w:rPr>
      </w:pPr>
    </w:p>
    <w:p w14:paraId="23E345B3" w14:textId="0C5929E5" w:rsidR="00B447F3" w:rsidRPr="003B14A5" w:rsidRDefault="00A4110F" w:rsidP="00C316C3">
      <w:pPr>
        <w:pStyle w:val="Heading1"/>
        <w:ind w:left="0" w:right="424"/>
        <w:rPr>
          <w:rFonts w:asciiTheme="minorHAnsi" w:hAnsiTheme="minorHAnsi"/>
          <w:color w:val="42558C"/>
        </w:rPr>
      </w:pPr>
      <w:bookmarkStart w:id="38" w:name="Factor_6:_Fulfillment_of_DPH_Community-b"/>
      <w:bookmarkStart w:id="39" w:name="_Toc218863261"/>
      <w:bookmarkEnd w:id="38"/>
      <w:r w:rsidRPr="003B14A5">
        <w:rPr>
          <w:rFonts w:asciiTheme="minorHAnsi" w:hAnsiTheme="minorHAnsi"/>
          <w:color w:val="42558C"/>
        </w:rPr>
        <w:t>Factor 6: Fulfillment of DPH Community-based Health Initiatives Guideline</w:t>
      </w:r>
      <w:bookmarkEnd w:id="39"/>
    </w:p>
    <w:p w14:paraId="3FDFF0CC" w14:textId="2207DC86" w:rsidR="00AD1D72" w:rsidRPr="003B14A5" w:rsidRDefault="00AD1D72" w:rsidP="00C316C3"/>
    <w:p w14:paraId="1C55651A" w14:textId="09BBC750" w:rsidR="000C6038" w:rsidRPr="000C6038" w:rsidRDefault="4BDAF9AB" w:rsidP="000C6038">
      <w:r w:rsidRPr="219152C3">
        <w:rPr>
          <w:i/>
          <w:iCs/>
        </w:rPr>
        <w:t xml:space="preserve">Summary and context for this application: </w:t>
      </w:r>
      <w:r>
        <w:t xml:space="preserve">This is a DoN project that will result in a Tier 1 CHI. </w:t>
      </w:r>
      <w:r w:rsidR="0A078FA7">
        <w:t>DPH approved the Applicant’s request</w:t>
      </w:r>
      <w:r w:rsidR="6F64C2C3">
        <w:t xml:space="preserve"> to invest the local CHI dollars associated with this application in</w:t>
      </w:r>
      <w:r w:rsidR="67A27244">
        <w:t xml:space="preserve"> the city of</w:t>
      </w:r>
      <w:r w:rsidR="6F64C2C3">
        <w:t xml:space="preserve"> Cambridge. </w:t>
      </w:r>
      <w:r w:rsidR="26D44371">
        <w:t>Justification for this request</w:t>
      </w:r>
      <w:r w:rsidR="5493E1B8">
        <w:t xml:space="preserve"> included</w:t>
      </w:r>
      <w:r w:rsidR="26D44371">
        <w:t xml:space="preserve"> the </w:t>
      </w:r>
      <w:r w:rsidR="5493E1B8">
        <w:t xml:space="preserve">needs highlighted in Cambridge’s 2025 </w:t>
      </w:r>
      <w:r w:rsidR="751CED75">
        <w:t>Community Health Needs Assessment</w:t>
      </w:r>
      <w:r w:rsidR="3277AA8F">
        <w:t xml:space="preserve"> (CHNA)</w:t>
      </w:r>
      <w:r w:rsidR="5493E1B8">
        <w:t>,</w:t>
      </w:r>
      <w:r w:rsidR="26D44371">
        <w:t xml:space="preserve"> the </w:t>
      </w:r>
      <w:r w:rsidR="5D20F91C">
        <w:t>location</w:t>
      </w:r>
      <w:r w:rsidR="26D44371">
        <w:t xml:space="preserve"> of the proposed</w:t>
      </w:r>
      <w:r w:rsidR="7892364A">
        <w:t xml:space="preserve"> ASC</w:t>
      </w:r>
      <w:r w:rsidR="26D44371">
        <w:t>, the low CHI dollars</w:t>
      </w:r>
      <w:r w:rsidR="79B654A2">
        <w:t xml:space="preserve"> available to Cambridge in recent years in comparison to Boston and a desire to distribute the funds in one geographic </w:t>
      </w:r>
      <w:r w:rsidR="1AA96EAC">
        <w:t>community</w:t>
      </w:r>
      <w:r w:rsidR="79B654A2">
        <w:t xml:space="preserve"> t</w:t>
      </w:r>
      <w:r w:rsidR="704B33F4">
        <w:t>o</w:t>
      </w:r>
      <w:r w:rsidR="79B654A2">
        <w:t xml:space="preserve"> maximize impact. </w:t>
      </w:r>
    </w:p>
    <w:p w14:paraId="12DAF549" w14:textId="3656A5E7" w:rsidR="000C6038" w:rsidRPr="000C6038" w:rsidRDefault="000C6038" w:rsidP="000C6038"/>
    <w:p w14:paraId="75034CF7" w14:textId="0B2A6A9D" w:rsidR="000C6038" w:rsidRPr="000C6038" w:rsidRDefault="4BDAF9AB" w:rsidP="000C6038">
      <w:r>
        <w:t xml:space="preserve">To fulfill Factor 6 requirements, the Applicant submitted the CHNA, a Self-Assessment, and a CHI Narrative. Partner Assessments will be submitted once the Cambridge-specific Advisory Committee established. The CHNA </w:t>
      </w:r>
      <w:r w:rsidR="006B7247">
        <w:t>highlights social</w:t>
      </w:r>
      <w:r>
        <w:t xml:space="preserve"> determinants of health (SDoH) needs for specific communities residing in Cambridge. The Applicant and the Advisory Body should focus CHI planning and implementation efforts in these key areas to ensure selection of funding priorities and strategies meet the CHI Guidelines. </w:t>
      </w:r>
      <w:r w:rsidR="000C6038" w:rsidRPr="000C6038">
        <w:t> </w:t>
      </w:r>
    </w:p>
    <w:p w14:paraId="3BC0778D" w14:textId="0FCE9946" w:rsidR="328A85CD" w:rsidRDefault="328A85CD"/>
    <w:p w14:paraId="1AAC9F69" w14:textId="77777777" w:rsidR="000C6038" w:rsidRPr="000C6038" w:rsidRDefault="000C6038" w:rsidP="000C6038">
      <w:r w:rsidRPr="000C6038">
        <w:t>DPH staff have determined that if the Applicant agrees to address community conditions and root causes while engaging in ongoing work with their Advisory Committee, the CHI investment will align appropriately with the CHI Guidelines. </w:t>
      </w:r>
    </w:p>
    <w:p w14:paraId="6B6C4666" w14:textId="77777777" w:rsidR="000C6038" w:rsidRPr="000C6038" w:rsidRDefault="000C6038" w:rsidP="000C6038">
      <w:r w:rsidRPr="000C6038">
        <w:t> </w:t>
      </w:r>
    </w:p>
    <w:p w14:paraId="33D5AD4B" w14:textId="77777777" w:rsidR="000C6038" w:rsidRPr="000C6038" w:rsidRDefault="000C6038" w:rsidP="000C6038">
      <w:r w:rsidRPr="000C6038">
        <w:rPr>
          <w:b/>
          <w:bCs/>
        </w:rPr>
        <w:t xml:space="preserve">The City of Cambridge 2025 CHNA </w:t>
      </w:r>
      <w:r w:rsidRPr="000C6038">
        <w:t>was conducted by the Cambridge Public Health Department. The CHNA analyzed primary (key informant interviews) and secondary quantitative and qualitative data capturing community demographics, health status/behaviors, community assets, resources and barriers to care, and SDoH. With a focus on community engagement and health equity, the CHNA highlighted the experiences of residents who identify as: immigrants, refugees, and people of color, older adults and folks with disabilities, low-income families/individuals, persons who are unhoused and survivors of abuse, neglect, and exploitation, and youth, young adults and the LGBTQIA+ community. Key SDoH health needs identified in the CHNA that align with CHI guidelines include: </w:t>
      </w:r>
    </w:p>
    <w:p w14:paraId="2765E200" w14:textId="77777777" w:rsidR="000C6038" w:rsidRPr="000C6038" w:rsidRDefault="000C6038" w:rsidP="000C6038">
      <w:r w:rsidRPr="000C6038">
        <w:t> </w:t>
      </w:r>
    </w:p>
    <w:p w14:paraId="0A9BE5FB" w14:textId="77777777" w:rsidR="000C6038" w:rsidRPr="000C6038" w:rsidRDefault="000C6038" w:rsidP="000C6038">
      <w:pPr>
        <w:numPr>
          <w:ilvl w:val="0"/>
          <w:numId w:val="13"/>
        </w:numPr>
      </w:pPr>
      <w:r w:rsidRPr="000C6038">
        <w:rPr>
          <w:i/>
          <w:iCs/>
        </w:rPr>
        <w:t>Neighborhood and Built Environment</w:t>
      </w:r>
      <w:r w:rsidRPr="000C6038">
        <w:t>—housing cost, quality and continuity </w:t>
      </w:r>
    </w:p>
    <w:p w14:paraId="19D288B5" w14:textId="77777777" w:rsidR="000C6038" w:rsidRPr="000C6038" w:rsidRDefault="000C6038" w:rsidP="000C6038">
      <w:pPr>
        <w:numPr>
          <w:ilvl w:val="0"/>
          <w:numId w:val="14"/>
        </w:numPr>
      </w:pPr>
      <w:r w:rsidRPr="000C6038">
        <w:rPr>
          <w:i/>
          <w:iCs/>
        </w:rPr>
        <w:t>Food access</w:t>
      </w:r>
      <w:r w:rsidRPr="000C6038">
        <w:t> </w:t>
      </w:r>
    </w:p>
    <w:p w14:paraId="3CD335E9" w14:textId="77777777" w:rsidR="000C6038" w:rsidRPr="000C6038" w:rsidRDefault="000C6038" w:rsidP="000C6038">
      <w:pPr>
        <w:numPr>
          <w:ilvl w:val="0"/>
          <w:numId w:val="15"/>
        </w:numPr>
      </w:pPr>
      <w:r w:rsidRPr="000C6038">
        <w:rPr>
          <w:i/>
          <w:iCs/>
        </w:rPr>
        <w:t>Transportation</w:t>
      </w:r>
      <w:r w:rsidRPr="000C6038">
        <w:t> </w:t>
      </w:r>
    </w:p>
    <w:p w14:paraId="0DC8014A" w14:textId="77777777" w:rsidR="000C6038" w:rsidRPr="000C6038" w:rsidRDefault="000C6038" w:rsidP="000C6038">
      <w:pPr>
        <w:numPr>
          <w:ilvl w:val="0"/>
          <w:numId w:val="16"/>
        </w:numPr>
      </w:pPr>
      <w:r w:rsidRPr="000C6038">
        <w:rPr>
          <w:i/>
          <w:iCs/>
        </w:rPr>
        <w:t>Environmental Justice</w:t>
      </w:r>
      <w:r w:rsidRPr="000C6038">
        <w:t>—exposure to environmental hazards known to cause or exacerbate cancer risk/respiratory ailments </w:t>
      </w:r>
    </w:p>
    <w:p w14:paraId="4CE63EF6" w14:textId="77777777" w:rsidR="000C6038" w:rsidRPr="000C6038" w:rsidRDefault="000C6038" w:rsidP="000C6038">
      <w:pPr>
        <w:numPr>
          <w:ilvl w:val="0"/>
          <w:numId w:val="17"/>
        </w:numPr>
      </w:pPr>
      <w:r w:rsidRPr="000C6038">
        <w:rPr>
          <w:i/>
          <w:iCs/>
        </w:rPr>
        <w:t>Education</w:t>
      </w:r>
      <w:r w:rsidRPr="000C6038">
        <w:t>—access and quality for recent immigrants and families with children who are unhoused </w:t>
      </w:r>
    </w:p>
    <w:p w14:paraId="380A3D5B" w14:textId="77777777" w:rsidR="000C6038" w:rsidRPr="000C6038" w:rsidRDefault="000C6038" w:rsidP="000C6038">
      <w:pPr>
        <w:numPr>
          <w:ilvl w:val="0"/>
          <w:numId w:val="18"/>
        </w:numPr>
      </w:pPr>
      <w:r w:rsidRPr="000C6038">
        <w:rPr>
          <w:i/>
          <w:iCs/>
        </w:rPr>
        <w:t>Economic Stability</w:t>
      </w:r>
      <w:r w:rsidRPr="000C6038">
        <w:t>—specifically among residents who identify as Black/African American and more than one race </w:t>
      </w:r>
    </w:p>
    <w:p w14:paraId="7BE0ABAA" w14:textId="77777777" w:rsidR="000C6038" w:rsidRPr="000C6038" w:rsidRDefault="000C6038" w:rsidP="000C6038">
      <w:r w:rsidRPr="000C6038">
        <w:t> </w:t>
      </w:r>
    </w:p>
    <w:p w14:paraId="75269044" w14:textId="77777777" w:rsidR="000C6038" w:rsidRPr="000C6038" w:rsidRDefault="000C6038" w:rsidP="000C6038">
      <w:r w:rsidRPr="000C6038">
        <w:t xml:space="preserve">Using the 2025 Cambridge CHNA findings, the Applicant will work with the community partners who make up their Cambridge-specific Advisory Committee to select CHI health priorities and strategies </w:t>
      </w:r>
      <w:r w:rsidRPr="000C6038">
        <w:lastRenderedPageBreak/>
        <w:t>that allow for implementation and intervention at the SDoH and root cause level.   </w:t>
      </w:r>
    </w:p>
    <w:p w14:paraId="6379761D" w14:textId="77777777" w:rsidR="000C6038" w:rsidRPr="000C6038" w:rsidRDefault="000C6038" w:rsidP="000C6038">
      <w:r w:rsidRPr="000C6038">
        <w:t> </w:t>
      </w:r>
    </w:p>
    <w:p w14:paraId="45B528A7" w14:textId="77777777" w:rsidR="000C6038" w:rsidRPr="000C6038" w:rsidRDefault="000C6038" w:rsidP="000C6038">
      <w:r w:rsidRPr="000C6038">
        <w:rPr>
          <w:b/>
          <w:bCs/>
        </w:rPr>
        <w:t xml:space="preserve">The Self-Assessment </w:t>
      </w:r>
      <w:r w:rsidRPr="000C6038">
        <w:t>provided a summary of community engagement processes and socio-demographic information, data and highlights related to topics and themes of community needs related to the Cambridge CHNA. Through primary data collection such as key informant interviews and secondary data analysis, the Cambridge Public Health Department and participating community partners identified the key needs outlined in the CHNA. </w:t>
      </w:r>
    </w:p>
    <w:p w14:paraId="51E55AA5" w14:textId="77777777" w:rsidR="000C6038" w:rsidRPr="000C6038" w:rsidRDefault="000C6038" w:rsidP="000C6038">
      <w:r w:rsidRPr="000C6038">
        <w:t> </w:t>
      </w:r>
    </w:p>
    <w:p w14:paraId="66D34CD2" w14:textId="77777777" w:rsidR="000C6038" w:rsidRPr="000C6038" w:rsidRDefault="000C6038" w:rsidP="000C6038">
      <w:r w:rsidRPr="000C6038">
        <w:rPr>
          <w:b/>
          <w:bCs/>
        </w:rPr>
        <w:t>Partner Assessments</w:t>
      </w:r>
      <w:r w:rsidRPr="000C6038">
        <w:t xml:space="preserve"> (formally known as Stakeholder Assessments) will be submitted to DPH within 3 months following the Cambridge-specific advisory committee’s first meeting in relation to this CHI project. Assessments will be reviewed upon receipt and are expected to justify strong levels of community engagement. Individuals who make up the Applicant’s Advisory Committee will provide information on their individual engagement levels (e.g., their personal participation and role) and their analysis of how MGB engaged the community in CHI project planning and implementation.   </w:t>
      </w:r>
    </w:p>
    <w:p w14:paraId="53370F2C" w14:textId="77777777" w:rsidR="000C6038" w:rsidRPr="000C6038" w:rsidRDefault="000C6038" w:rsidP="000C6038">
      <w:r w:rsidRPr="000C6038">
        <w:t> </w:t>
      </w:r>
    </w:p>
    <w:p w14:paraId="024DE0A2" w14:textId="77777777" w:rsidR="000C6038" w:rsidRPr="000C6038" w:rsidRDefault="000C6038" w:rsidP="000C6038">
      <w:r w:rsidRPr="000C6038">
        <w:rPr>
          <w:b/>
          <w:bCs/>
        </w:rPr>
        <w:t>The CHI Narrative</w:t>
      </w:r>
      <w:r w:rsidRPr="000C6038">
        <w:t xml:space="preserve"> provided background information for the CHI processes related to project oversight, fund distribution and breakdown, and a timeline for partner assessment submissions. Upon DoN approval, the Applicant must update the CHI team on project timeline, planned use of administrative funds and evaluation activities to ensure alignment with CHI planning guidelines. A reminder that administrative funds must support community participation activities in the CHI planning and implementation process by reducing barriers to engagement. Examples of appropriate uses of administrative dollars include stipends for advisory committee members, translation and/or facilitation services, childcare, etc.  </w:t>
      </w:r>
    </w:p>
    <w:p w14:paraId="00AF4B92" w14:textId="77777777" w:rsidR="000C6038" w:rsidRPr="000C6038" w:rsidRDefault="000C6038" w:rsidP="000C6038">
      <w:r w:rsidRPr="000C6038">
        <w:t> </w:t>
      </w:r>
    </w:p>
    <w:p w14:paraId="30A8ADA7" w14:textId="77777777" w:rsidR="003B14A5" w:rsidRDefault="000C6038" w:rsidP="000C6038">
      <w:pPr>
        <w:rPr>
          <w:b/>
          <w:bCs/>
        </w:rPr>
      </w:pPr>
      <w:r w:rsidRPr="000C6038">
        <w:rPr>
          <w:b/>
          <w:bCs/>
          <w:i/>
          <w:iCs/>
        </w:rPr>
        <w:t>Analysis</w:t>
      </w:r>
    </w:p>
    <w:p w14:paraId="5FF2D3AA" w14:textId="5A8B64D9" w:rsidR="000C6038" w:rsidRPr="000C6038" w:rsidRDefault="000C6038" w:rsidP="000C6038">
      <w:r w:rsidRPr="000C6038">
        <w:t>As a result of the information provided by the Applicant and additional analysis, staff finds that with the conditions outlined below, and ongoing communication on items outlined above, the Applicant will have demonstrated that the Proposed Project has met Factor 6.    </w:t>
      </w:r>
    </w:p>
    <w:p w14:paraId="01AF175E" w14:textId="77777777" w:rsidR="000C6038" w:rsidRPr="000C6038" w:rsidRDefault="000C6038" w:rsidP="000C6038">
      <w:r w:rsidRPr="000C6038">
        <w:t> </w:t>
      </w:r>
    </w:p>
    <w:p w14:paraId="620B996B" w14:textId="77777777" w:rsidR="00E91FCD" w:rsidRPr="00C85257" w:rsidRDefault="00E91FCD" w:rsidP="00C316C3">
      <w:pPr>
        <w:rPr>
          <w:highlight w:val="yellow"/>
        </w:rPr>
      </w:pPr>
    </w:p>
    <w:p w14:paraId="5DD29CEB" w14:textId="7E1D779B" w:rsidR="00B447F3" w:rsidRPr="00F61BC8" w:rsidRDefault="00A4110F" w:rsidP="00C316C3">
      <w:pPr>
        <w:pStyle w:val="Heading1"/>
        <w:ind w:left="0"/>
        <w:rPr>
          <w:rFonts w:asciiTheme="minorHAnsi" w:hAnsiTheme="minorHAnsi"/>
          <w:color w:val="1F497D" w:themeColor="text2"/>
        </w:rPr>
      </w:pPr>
      <w:bookmarkStart w:id="40" w:name="_Toc218863262"/>
      <w:r w:rsidRPr="00F61BC8">
        <w:rPr>
          <w:rFonts w:asciiTheme="minorHAnsi" w:hAnsiTheme="minorHAnsi"/>
          <w:color w:val="1F497D" w:themeColor="text2"/>
        </w:rPr>
        <w:t>Findings and Recommendations</w:t>
      </w:r>
      <w:bookmarkEnd w:id="40"/>
    </w:p>
    <w:p w14:paraId="427942CC" w14:textId="4221BDD5" w:rsidR="00A57CB7" w:rsidRPr="00F61BC8" w:rsidRDefault="00A4110F" w:rsidP="6ACB936F">
      <w:pPr>
        <w:pStyle w:val="BodyText"/>
        <w:ind w:right="226"/>
        <w:rPr>
          <w:rFonts w:asciiTheme="minorHAnsi" w:hAnsiTheme="minorHAnsi"/>
        </w:rPr>
      </w:pPr>
      <w:r w:rsidRPr="00F61BC8">
        <w:rPr>
          <w:rFonts w:asciiTheme="minorHAnsi" w:hAnsiTheme="minorHAnsi"/>
        </w:rPr>
        <w:t>Based upon a review of the materials submitted, Staff finds that</w:t>
      </w:r>
      <w:r w:rsidR="003A68FA">
        <w:rPr>
          <w:rFonts w:asciiTheme="minorHAnsi" w:hAnsiTheme="minorHAnsi"/>
        </w:rPr>
        <w:t xml:space="preserve"> </w:t>
      </w:r>
      <w:r w:rsidRPr="00F61BC8">
        <w:rPr>
          <w:rFonts w:asciiTheme="minorHAnsi" w:hAnsiTheme="minorHAnsi"/>
        </w:rPr>
        <w:t xml:space="preserve">the Applicant has met each DoN Factor for the Proposed </w:t>
      </w:r>
      <w:r w:rsidR="3A1D917F" w:rsidRPr="00F61BC8">
        <w:rPr>
          <w:rFonts w:asciiTheme="minorHAnsi" w:hAnsiTheme="minorHAnsi"/>
        </w:rPr>
        <w:t>Project and</w:t>
      </w:r>
      <w:r w:rsidRPr="00F61BC8">
        <w:rPr>
          <w:rFonts w:asciiTheme="minorHAnsi" w:hAnsiTheme="minorHAnsi"/>
        </w:rPr>
        <w:t xml:space="preserve"> recommends that the Department approve this</w:t>
      </w:r>
      <w:r w:rsidR="003A68FA">
        <w:rPr>
          <w:rFonts w:asciiTheme="minorHAnsi" w:hAnsiTheme="minorHAnsi"/>
        </w:rPr>
        <w:t xml:space="preserve"> </w:t>
      </w:r>
      <w:r w:rsidRPr="00F61BC8">
        <w:rPr>
          <w:rFonts w:asciiTheme="minorHAnsi" w:hAnsiTheme="minorHAnsi"/>
        </w:rPr>
        <w:t>Determination of Need, subject to all applicable Standard and Other Conditions.</w:t>
      </w:r>
    </w:p>
    <w:p w14:paraId="0AFA6C1B" w14:textId="75B7C7C3" w:rsidR="00D556CE" w:rsidRPr="00974F24" w:rsidRDefault="00A4110F" w:rsidP="000545D3">
      <w:pPr>
        <w:pStyle w:val="Heading1"/>
        <w:spacing w:before="184"/>
        <w:ind w:left="0"/>
        <w:rPr>
          <w:rFonts w:asciiTheme="minorHAnsi" w:hAnsiTheme="minorHAnsi"/>
          <w:color w:val="42558C"/>
        </w:rPr>
      </w:pPr>
      <w:bookmarkStart w:id="41" w:name="Other_Conditions"/>
      <w:bookmarkStart w:id="42" w:name="_Toc218863263"/>
      <w:bookmarkEnd w:id="41"/>
      <w:r w:rsidRPr="00974F24">
        <w:rPr>
          <w:rFonts w:asciiTheme="minorHAnsi" w:hAnsiTheme="minorHAnsi"/>
          <w:color w:val="42558C"/>
        </w:rPr>
        <w:t>Other Conditions</w:t>
      </w:r>
      <w:bookmarkEnd w:id="42"/>
    </w:p>
    <w:p w14:paraId="431DC958" w14:textId="77777777" w:rsidR="00457FB0" w:rsidRDefault="00D556CE" w:rsidP="00457FB0">
      <w:pPr>
        <w:pStyle w:val="ListParagraph"/>
        <w:numPr>
          <w:ilvl w:val="0"/>
          <w:numId w:val="7"/>
        </w:numPr>
        <w:rPr>
          <w:color w:val="000000" w:themeColor="text1"/>
          <w:bdr w:val="none" w:sz="0" w:space="0" w:color="auto" w:frame="1"/>
        </w:rPr>
      </w:pPr>
      <w:r w:rsidRPr="00B76624">
        <w:rPr>
          <w:b/>
          <w:bCs/>
          <w:color w:val="000000" w:themeColor="text1"/>
          <w:bdr w:val="none" w:sz="0" w:space="0" w:color="auto" w:frame="1"/>
        </w:rPr>
        <w:t>Factor 6</w:t>
      </w:r>
      <w:r>
        <w:rPr>
          <w:color w:val="000000" w:themeColor="text1"/>
          <w:bdr w:val="none" w:sz="0" w:space="0" w:color="auto" w:frame="1"/>
        </w:rPr>
        <w:t>: CHI Contribution</w:t>
      </w:r>
    </w:p>
    <w:p w14:paraId="68EC6CA0" w14:textId="6D6B2956" w:rsidR="00D62C86" w:rsidRPr="00457FB0" w:rsidRDefault="00D62C86" w:rsidP="00457FB0">
      <w:pPr>
        <w:pStyle w:val="ListParagraph"/>
        <w:numPr>
          <w:ilvl w:val="1"/>
          <w:numId w:val="7"/>
        </w:numPr>
        <w:rPr>
          <w:color w:val="000000" w:themeColor="text1"/>
          <w:bdr w:val="none" w:sz="0" w:space="0" w:color="auto" w:frame="1"/>
        </w:rPr>
      </w:pPr>
      <w:r w:rsidRPr="00457FB0">
        <w:rPr>
          <w:color w:val="000000" w:themeColor="text1"/>
          <w:bdr w:val="none" w:sz="0" w:space="0" w:color="auto" w:frame="1"/>
        </w:rPr>
        <w:t>Of the total required CHI contribution of $</w:t>
      </w:r>
      <w:r w:rsidR="00974F24" w:rsidRPr="00457FB0">
        <w:rPr>
          <w:color w:val="000000" w:themeColor="text1"/>
          <w:bdr w:val="none" w:sz="0" w:space="0" w:color="auto" w:frame="1"/>
        </w:rPr>
        <w:t>367,472.50</w:t>
      </w:r>
    </w:p>
    <w:p w14:paraId="5110253E" w14:textId="1D9F030B" w:rsidR="00D62C86" w:rsidRPr="000804A8" w:rsidRDefault="00D62C86" w:rsidP="00457FB0">
      <w:pPr>
        <w:pStyle w:val="ListParagraph"/>
        <w:numPr>
          <w:ilvl w:val="2"/>
          <w:numId w:val="7"/>
        </w:numPr>
        <w:rPr>
          <w:color w:val="000000" w:themeColor="text1"/>
          <w:bdr w:val="none" w:sz="0" w:space="0" w:color="auto" w:frame="1"/>
        </w:rPr>
      </w:pPr>
      <w:r w:rsidRPr="000804A8">
        <w:rPr>
          <w:color w:val="000000" w:themeColor="text1"/>
          <w:bdr w:val="none" w:sz="0" w:space="0" w:color="auto" w:frame="1"/>
        </w:rPr>
        <w:t>$</w:t>
      </w:r>
      <w:r w:rsidR="00024486" w:rsidRPr="000804A8">
        <w:rPr>
          <w:color w:val="000000" w:themeColor="text1"/>
          <w:bdr w:val="none" w:sz="0" w:space="0" w:color="auto" w:frame="1"/>
        </w:rPr>
        <w:t xml:space="preserve">35,277.36 </w:t>
      </w:r>
      <w:r w:rsidRPr="000804A8">
        <w:rPr>
          <w:color w:val="000000" w:themeColor="text1"/>
          <w:bdr w:val="none" w:sz="0" w:space="0" w:color="auto" w:frame="1"/>
        </w:rPr>
        <w:t>will be directed to the CHI Statewide Initiative. </w:t>
      </w:r>
    </w:p>
    <w:p w14:paraId="7371A3AC" w14:textId="151AE5E6" w:rsidR="00D62C86" w:rsidRPr="000804A8" w:rsidRDefault="00D62C86" w:rsidP="00457FB0">
      <w:pPr>
        <w:pStyle w:val="ListParagraph"/>
        <w:numPr>
          <w:ilvl w:val="2"/>
          <w:numId w:val="7"/>
        </w:numPr>
        <w:rPr>
          <w:color w:val="000000" w:themeColor="text1"/>
          <w:bdr w:val="none" w:sz="0" w:space="0" w:color="auto" w:frame="1"/>
        </w:rPr>
      </w:pPr>
      <w:r w:rsidRPr="000804A8">
        <w:rPr>
          <w:color w:val="000000" w:themeColor="text1"/>
          <w:bdr w:val="none" w:sz="0" w:space="0" w:color="auto" w:frame="1"/>
        </w:rPr>
        <w:t>$</w:t>
      </w:r>
      <w:r w:rsidR="000804A8" w:rsidRPr="000804A8">
        <w:rPr>
          <w:color w:val="000000" w:themeColor="text1"/>
          <w:bdr w:val="none" w:sz="0" w:space="0" w:color="auto" w:frame="1"/>
        </w:rPr>
        <w:t xml:space="preserve">317,495.24 </w:t>
      </w:r>
      <w:r w:rsidRPr="000804A8">
        <w:rPr>
          <w:color w:val="000000" w:themeColor="text1"/>
          <w:bdr w:val="none" w:sz="0" w:space="0" w:color="auto" w:frame="1"/>
        </w:rPr>
        <w:t>will be dedicated to local approaches to the DoN Health Priorities.   </w:t>
      </w:r>
    </w:p>
    <w:p w14:paraId="5D347D15" w14:textId="13444B81" w:rsidR="00D62C86" w:rsidRPr="000804A8" w:rsidRDefault="00D62C86" w:rsidP="00457FB0">
      <w:pPr>
        <w:pStyle w:val="ListParagraph"/>
        <w:numPr>
          <w:ilvl w:val="2"/>
          <w:numId w:val="7"/>
        </w:numPr>
        <w:rPr>
          <w:color w:val="000000" w:themeColor="text1"/>
          <w:bdr w:val="none" w:sz="0" w:space="0" w:color="auto" w:frame="1"/>
        </w:rPr>
      </w:pPr>
      <w:r w:rsidRPr="000804A8">
        <w:rPr>
          <w:color w:val="000000" w:themeColor="text1"/>
          <w:bdr w:val="none" w:sz="0" w:space="0" w:color="auto" w:frame="1"/>
        </w:rPr>
        <w:t>$</w:t>
      </w:r>
      <w:r w:rsidR="000804A8" w:rsidRPr="000804A8">
        <w:rPr>
          <w:color w:val="000000" w:themeColor="text1"/>
          <w:bdr w:val="none" w:sz="0" w:space="0" w:color="auto" w:frame="1"/>
        </w:rPr>
        <w:t xml:space="preserve">14,698.90 </w:t>
      </w:r>
      <w:r w:rsidRPr="000804A8">
        <w:rPr>
          <w:color w:val="000000" w:themeColor="text1"/>
          <w:bdr w:val="none" w:sz="0" w:space="0" w:color="auto" w:frame="1"/>
        </w:rPr>
        <w:t>will be designated as the administrative fee.   </w:t>
      </w:r>
    </w:p>
    <w:p w14:paraId="126EA606" w14:textId="77777777" w:rsidR="00420726" w:rsidRPr="00420726" w:rsidRDefault="00420726" w:rsidP="00420726">
      <w:pPr>
        <w:rPr>
          <w:color w:val="000000" w:themeColor="text1"/>
          <w:bdr w:val="none" w:sz="0" w:space="0" w:color="auto" w:frame="1"/>
        </w:rPr>
      </w:pPr>
    </w:p>
    <w:p w14:paraId="41AF8504" w14:textId="6125E354" w:rsidR="00D62C86" w:rsidRPr="00495140" w:rsidRDefault="00D62C86" w:rsidP="00457FB0">
      <w:pPr>
        <w:pStyle w:val="ListParagraph"/>
        <w:numPr>
          <w:ilvl w:val="1"/>
          <w:numId w:val="7"/>
        </w:numPr>
        <w:rPr>
          <w:color w:val="000000" w:themeColor="text1"/>
          <w:bdr w:val="none" w:sz="0" w:space="0" w:color="auto" w:frame="1"/>
        </w:rPr>
      </w:pPr>
      <w:r w:rsidRPr="00495140">
        <w:rPr>
          <w:color w:val="000000" w:themeColor="text1"/>
          <w:bdr w:val="none" w:sz="0" w:space="0" w:color="auto" w:frame="1"/>
        </w:rPr>
        <w:t xml:space="preserve">To comply with the Holder’s obligation to contribute to the CHI Statewide Initiative, </w:t>
      </w:r>
      <w:r w:rsidRPr="00495140">
        <w:rPr>
          <w:color w:val="000000" w:themeColor="text1"/>
          <w:bdr w:val="none" w:sz="0" w:space="0" w:color="auto" w:frame="1"/>
        </w:rPr>
        <w:lastRenderedPageBreak/>
        <w:t>the Holder must submit a check for $</w:t>
      </w:r>
      <w:r w:rsidR="00495140" w:rsidRPr="00495140">
        <w:rPr>
          <w:color w:val="000000" w:themeColor="text1"/>
          <w:bdr w:val="none" w:sz="0" w:space="0" w:color="auto" w:frame="1"/>
        </w:rPr>
        <w:t xml:space="preserve">35,277.36 </w:t>
      </w:r>
      <w:r w:rsidRPr="00495140">
        <w:rPr>
          <w:color w:val="000000" w:themeColor="text1"/>
          <w:bdr w:val="none" w:sz="0" w:space="0" w:color="auto" w:frame="1"/>
        </w:rPr>
        <w:t xml:space="preserve">to Health Resources in Action (the fiscal agent for the CHI Statewide Initiative) </w:t>
      </w:r>
      <w:r w:rsidRPr="00495140">
        <w:rPr>
          <w:b/>
          <w:bCs/>
          <w:color w:val="000000" w:themeColor="text1"/>
          <w:bdr w:val="none" w:sz="0" w:space="0" w:color="auto" w:frame="1"/>
        </w:rPr>
        <w:t>within 30 days</w:t>
      </w:r>
      <w:r w:rsidRPr="00495140">
        <w:rPr>
          <w:color w:val="000000" w:themeColor="text1"/>
          <w:bdr w:val="none" w:sz="0" w:space="0" w:color="auto" w:frame="1"/>
        </w:rPr>
        <w:t xml:space="preserve"> from the date of the Notice of Approval.   </w:t>
      </w:r>
    </w:p>
    <w:p w14:paraId="058EC3FF" w14:textId="452B3B65" w:rsidR="00D62C86" w:rsidRPr="00457FB0" w:rsidRDefault="00D62C86" w:rsidP="00457FB0">
      <w:pPr>
        <w:pStyle w:val="ListParagraph"/>
        <w:numPr>
          <w:ilvl w:val="2"/>
          <w:numId w:val="7"/>
        </w:numPr>
        <w:rPr>
          <w:color w:val="000000" w:themeColor="text1"/>
          <w:bdr w:val="none" w:sz="0" w:space="0" w:color="auto" w:frame="1"/>
        </w:rPr>
      </w:pPr>
      <w:r w:rsidRPr="00457FB0">
        <w:rPr>
          <w:color w:val="000000" w:themeColor="text1"/>
          <w:bdr w:val="none" w:sz="0" w:space="0" w:color="auto" w:frame="1"/>
        </w:rPr>
        <w:t>Payments should be made out to: </w:t>
      </w:r>
    </w:p>
    <w:p w14:paraId="5101C36F" w14:textId="77777777" w:rsidR="00D62C86" w:rsidRPr="00495140" w:rsidRDefault="00D62C86" w:rsidP="00457FB0">
      <w:pPr>
        <w:pStyle w:val="ListParagraph"/>
        <w:ind w:left="2160" w:firstLine="0"/>
        <w:rPr>
          <w:color w:val="000000" w:themeColor="text1"/>
          <w:bdr w:val="none" w:sz="0" w:space="0" w:color="auto" w:frame="1"/>
        </w:rPr>
      </w:pPr>
      <w:r w:rsidRPr="00495140">
        <w:rPr>
          <w:color w:val="000000" w:themeColor="text1"/>
          <w:bdr w:val="none" w:sz="0" w:space="0" w:color="auto" w:frame="1"/>
        </w:rPr>
        <w:t>Health Resources in Action, Inc. (HRiA)  </w:t>
      </w:r>
    </w:p>
    <w:p w14:paraId="4BB36333" w14:textId="77777777" w:rsidR="00D62C86" w:rsidRPr="00495140" w:rsidRDefault="00D62C86" w:rsidP="00457FB0">
      <w:pPr>
        <w:pStyle w:val="ListParagraph"/>
        <w:ind w:left="2160" w:firstLine="0"/>
        <w:rPr>
          <w:color w:val="000000" w:themeColor="text1"/>
          <w:bdr w:val="none" w:sz="0" w:space="0" w:color="auto" w:frame="1"/>
        </w:rPr>
      </w:pPr>
      <w:r w:rsidRPr="00495140">
        <w:rPr>
          <w:color w:val="000000" w:themeColor="text1"/>
          <w:bdr w:val="none" w:sz="0" w:space="0" w:color="auto" w:frame="1"/>
        </w:rPr>
        <w:t>2 Boylston Street, 4th Floor  </w:t>
      </w:r>
    </w:p>
    <w:p w14:paraId="3BF16841" w14:textId="77777777" w:rsidR="00D62C86" w:rsidRPr="00495140" w:rsidRDefault="00D62C86" w:rsidP="00457FB0">
      <w:pPr>
        <w:pStyle w:val="ListParagraph"/>
        <w:ind w:left="2160" w:firstLine="0"/>
        <w:rPr>
          <w:color w:val="000000" w:themeColor="text1"/>
          <w:bdr w:val="none" w:sz="0" w:space="0" w:color="auto" w:frame="1"/>
        </w:rPr>
      </w:pPr>
      <w:r w:rsidRPr="00495140">
        <w:rPr>
          <w:color w:val="000000" w:themeColor="text1"/>
          <w:bdr w:val="none" w:sz="0" w:space="0" w:color="auto" w:frame="1"/>
        </w:rPr>
        <w:t>Boston, MA 02116 Attn: MACHHAF c/o Bora Toro  </w:t>
      </w:r>
    </w:p>
    <w:p w14:paraId="37395F74" w14:textId="6EB4CE96" w:rsidR="00D62C86" w:rsidRPr="003C72A8" w:rsidRDefault="00D62C86" w:rsidP="00457FB0">
      <w:pPr>
        <w:pStyle w:val="ListParagraph"/>
        <w:ind w:left="2160" w:firstLine="0"/>
        <w:rPr>
          <w:color w:val="000000" w:themeColor="text1"/>
          <w:bdr w:val="none" w:sz="0" w:space="0" w:color="auto" w:frame="1"/>
        </w:rPr>
      </w:pPr>
      <w:r w:rsidRPr="003C72A8">
        <w:rPr>
          <w:color w:val="000000" w:themeColor="text1"/>
          <w:bdr w:val="none" w:sz="0" w:space="0" w:color="auto" w:frame="1"/>
        </w:rPr>
        <w:t xml:space="preserve">DoN project: # </w:t>
      </w:r>
      <w:r w:rsidR="003C72A8" w:rsidRPr="003C72A8">
        <w:rPr>
          <w:color w:val="000000" w:themeColor="text1"/>
          <w:bdr w:val="none" w:sz="0" w:space="0" w:color="auto" w:frame="1"/>
        </w:rPr>
        <w:t>MGB-C-25070908-AS</w:t>
      </w:r>
    </w:p>
    <w:p w14:paraId="2F0FB6D0" w14:textId="52D38B33" w:rsidR="00D62C86" w:rsidRPr="003C72A8" w:rsidRDefault="00D62C86" w:rsidP="00850E56">
      <w:pPr>
        <w:pStyle w:val="ListParagraph"/>
        <w:ind w:left="720" w:firstLine="0"/>
        <w:rPr>
          <w:color w:val="000000" w:themeColor="text1"/>
          <w:bdr w:val="none" w:sz="0" w:space="0" w:color="auto" w:frame="1"/>
        </w:rPr>
      </w:pPr>
    </w:p>
    <w:p w14:paraId="4DA0DEA2" w14:textId="2FFAD5D6" w:rsidR="00B72496" w:rsidRDefault="00D62C86" w:rsidP="007776C0">
      <w:pPr>
        <w:pStyle w:val="ListParagraph"/>
        <w:ind w:left="2160" w:firstLine="0"/>
        <w:rPr>
          <w:color w:val="000000" w:themeColor="text1"/>
          <w:bdr w:val="none" w:sz="0" w:space="0" w:color="auto" w:frame="1"/>
        </w:rPr>
      </w:pPr>
      <w:r w:rsidRPr="003C72A8">
        <w:rPr>
          <w:color w:val="000000" w:themeColor="text1"/>
          <w:bdr w:val="none" w:sz="0" w:space="0" w:color="auto" w:frame="1"/>
        </w:rPr>
        <w:t>Please send a PDF image of the check or</w:t>
      </w:r>
      <w:r w:rsidRPr="003C72A8">
        <w:rPr>
          <w:b/>
          <w:bCs/>
          <w:color w:val="000000" w:themeColor="text1"/>
          <w:bdr w:val="none" w:sz="0" w:space="0" w:color="auto" w:frame="1"/>
        </w:rPr>
        <w:t xml:space="preserve"> confirmation of payment</w:t>
      </w:r>
      <w:r w:rsidRPr="003C72A8">
        <w:rPr>
          <w:color w:val="000000" w:themeColor="text1"/>
          <w:bdr w:val="none" w:sz="0" w:space="0" w:color="auto" w:frame="1"/>
        </w:rPr>
        <w:t xml:space="preserve"> to </w:t>
      </w:r>
      <w:hyperlink r:id="rId14" w:tgtFrame="_blank" w:history="1">
        <w:r w:rsidRPr="00B72496">
          <w:rPr>
            <w:rStyle w:val="Hyperlink"/>
            <w:color w:val="365F91" w:themeColor="accent1" w:themeShade="BF"/>
            <w:bdr w:val="none" w:sz="0" w:space="0" w:color="auto" w:frame="1"/>
          </w:rPr>
          <w:t>DONCHI@Mass.gov</w:t>
        </w:r>
      </w:hyperlink>
      <w:r w:rsidRPr="00B72496">
        <w:rPr>
          <w:color w:val="365F91" w:themeColor="accent1" w:themeShade="BF"/>
          <w:bdr w:val="none" w:sz="0" w:space="0" w:color="auto" w:frame="1"/>
        </w:rPr>
        <w:t xml:space="preserve"> </w:t>
      </w:r>
      <w:r w:rsidRPr="003C72A8">
        <w:rPr>
          <w:color w:val="000000" w:themeColor="text1"/>
          <w:bdr w:val="none" w:sz="0" w:space="0" w:color="auto" w:frame="1"/>
        </w:rPr>
        <w:t>and</w:t>
      </w:r>
      <w:r w:rsidRPr="00B72496">
        <w:rPr>
          <w:color w:val="365F91" w:themeColor="accent1" w:themeShade="BF"/>
          <w:bdr w:val="none" w:sz="0" w:space="0" w:color="auto" w:frame="1"/>
        </w:rPr>
        <w:t xml:space="preserve"> </w:t>
      </w:r>
      <w:hyperlink r:id="rId15" w:tgtFrame="_blank" w:history="1">
        <w:r w:rsidRPr="00B72496">
          <w:rPr>
            <w:rStyle w:val="Hyperlink"/>
            <w:color w:val="365F91" w:themeColor="accent1" w:themeShade="BF"/>
            <w:bdr w:val="none" w:sz="0" w:space="0" w:color="auto" w:frame="1"/>
            <w:lang w:val="fr-FR"/>
          </w:rPr>
          <w:t>dongrants@hria.org.</w:t>
        </w:r>
      </w:hyperlink>
      <w:r w:rsidRPr="003C72A8">
        <w:rPr>
          <w:color w:val="000000" w:themeColor="text1"/>
          <w:bdr w:val="none" w:sz="0" w:space="0" w:color="auto" w:frame="1"/>
        </w:rPr>
        <w:t xml:space="preserve"> If you should have any questions or concerns regarding the payment, please contact the CHI team at </w:t>
      </w:r>
      <w:hyperlink r:id="rId16" w:tgtFrame="_blank" w:history="1">
        <w:r w:rsidRPr="00B72496">
          <w:rPr>
            <w:rStyle w:val="Hyperlink"/>
            <w:color w:val="365F91" w:themeColor="accent1" w:themeShade="BF"/>
            <w:bdr w:val="none" w:sz="0" w:space="0" w:color="auto" w:frame="1"/>
          </w:rPr>
          <w:t>DONCHI@Mass.gov</w:t>
        </w:r>
      </w:hyperlink>
      <w:r w:rsidRPr="003C72A8">
        <w:rPr>
          <w:color w:val="000000" w:themeColor="text1"/>
          <w:bdr w:val="none" w:sz="0" w:space="0" w:color="auto" w:frame="1"/>
        </w:rPr>
        <w:t>. </w:t>
      </w:r>
    </w:p>
    <w:p w14:paraId="05474DEB" w14:textId="77777777" w:rsidR="004428D2" w:rsidRDefault="004428D2" w:rsidP="00420726">
      <w:pPr>
        <w:rPr>
          <w:color w:val="000000" w:themeColor="text1"/>
          <w:bdr w:val="none" w:sz="0" w:space="0" w:color="auto" w:frame="1"/>
        </w:rPr>
      </w:pPr>
    </w:p>
    <w:p w14:paraId="7CC5E163" w14:textId="5DD400C5" w:rsidR="00420726" w:rsidRPr="00420726" w:rsidRDefault="00420726" w:rsidP="00420726">
      <w:pPr>
        <w:pStyle w:val="ListParagraph"/>
        <w:numPr>
          <w:ilvl w:val="0"/>
          <w:numId w:val="7"/>
        </w:numPr>
      </w:pPr>
      <w:r w:rsidRPr="00B76624">
        <w:rPr>
          <w:b/>
          <w:bCs/>
          <w:color w:val="000000" w:themeColor="text1"/>
          <w:bdr w:val="none" w:sz="0" w:space="0" w:color="auto" w:frame="1"/>
        </w:rPr>
        <w:t>Factor 1</w:t>
      </w:r>
      <w:r w:rsidR="00B472AF">
        <w:rPr>
          <w:b/>
          <w:bCs/>
          <w:color w:val="000000" w:themeColor="text1"/>
          <w:bdr w:val="none" w:sz="0" w:space="0" w:color="auto" w:frame="1"/>
        </w:rPr>
        <w:t>(b)</w:t>
      </w:r>
      <w:r w:rsidRPr="00B76624">
        <w:rPr>
          <w:b/>
          <w:bCs/>
          <w:color w:val="000000" w:themeColor="text1"/>
          <w:bdr w:val="none" w:sz="0" w:space="0" w:color="auto" w:frame="1"/>
        </w:rPr>
        <w:t>:</w:t>
      </w:r>
      <w:r>
        <w:rPr>
          <w:color w:val="000000" w:themeColor="text1"/>
          <w:bdr w:val="none" w:sz="0" w:space="0" w:color="auto" w:frame="1"/>
        </w:rPr>
        <w:t xml:space="preserve"> </w:t>
      </w:r>
      <w:r w:rsidRPr="00FC54A0">
        <w:rPr>
          <w:color w:val="000000" w:themeColor="text1"/>
          <w:bdr w:val="none" w:sz="0" w:space="0" w:color="auto" w:frame="1"/>
        </w:rPr>
        <w:t>In addition to MG</w:t>
      </w:r>
      <w:r w:rsidR="002853FC">
        <w:rPr>
          <w:color w:val="000000" w:themeColor="text1"/>
          <w:bdr w:val="none" w:sz="0" w:space="0" w:color="auto" w:frame="1"/>
        </w:rPr>
        <w:t>B</w:t>
      </w:r>
      <w:r w:rsidRPr="00FC54A0">
        <w:rPr>
          <w:color w:val="000000" w:themeColor="text1"/>
          <w:bdr w:val="none" w:sz="0" w:space="0" w:color="auto" w:frame="1"/>
        </w:rPr>
        <w:t xml:space="preserve"> Cambridge ASC’s obligation to participate in MassHealth, pursuant to 105 CMR 100.310(11), the Holder must certify annually that all physicians and health professionals who practice at the facility are enrolled as participating providers of MassHealth to support equitable access to all clinicians at the facility regardless of payer.</w:t>
      </w:r>
    </w:p>
    <w:p w14:paraId="016C9EDA" w14:textId="77777777" w:rsidR="00420726" w:rsidRPr="00420726" w:rsidRDefault="00420726" w:rsidP="00420726">
      <w:pPr>
        <w:pStyle w:val="ListParagraph"/>
        <w:ind w:left="720" w:firstLine="0"/>
      </w:pPr>
    </w:p>
    <w:p w14:paraId="66BC5124" w14:textId="292E72BD" w:rsidR="00420726" w:rsidRPr="00FC54A0" w:rsidRDefault="00B472AF" w:rsidP="00511037">
      <w:pPr>
        <w:pStyle w:val="ListParagraph"/>
        <w:numPr>
          <w:ilvl w:val="0"/>
          <w:numId w:val="7"/>
        </w:numPr>
        <w:rPr>
          <w:color w:val="000000" w:themeColor="text1"/>
          <w:bdr w:val="none" w:sz="0" w:space="0" w:color="auto" w:frame="1"/>
        </w:rPr>
      </w:pPr>
      <w:r w:rsidRPr="00B76624">
        <w:rPr>
          <w:b/>
          <w:bCs/>
          <w:color w:val="000000" w:themeColor="text1"/>
          <w:bdr w:val="none" w:sz="0" w:space="0" w:color="auto" w:frame="1"/>
        </w:rPr>
        <w:t>Factor 1</w:t>
      </w:r>
      <w:r>
        <w:rPr>
          <w:b/>
          <w:bCs/>
          <w:color w:val="000000" w:themeColor="text1"/>
          <w:bdr w:val="none" w:sz="0" w:space="0" w:color="auto" w:frame="1"/>
        </w:rPr>
        <w:t>(b)</w:t>
      </w:r>
      <w:r w:rsidRPr="00B76624">
        <w:rPr>
          <w:b/>
          <w:bCs/>
          <w:color w:val="000000" w:themeColor="text1"/>
          <w:bdr w:val="none" w:sz="0" w:space="0" w:color="auto" w:frame="1"/>
        </w:rPr>
        <w:t>:</w:t>
      </w:r>
      <w:r>
        <w:rPr>
          <w:color w:val="000000" w:themeColor="text1"/>
          <w:bdr w:val="none" w:sz="0" w:space="0" w:color="auto" w:frame="1"/>
        </w:rPr>
        <w:t xml:space="preserve"> </w:t>
      </w:r>
      <w:r w:rsidR="00E77B2A" w:rsidRPr="00E77B2A">
        <w:rPr>
          <w:color w:val="000000" w:themeColor="text1"/>
          <w:bdr w:val="none" w:sz="0" w:space="0" w:color="auto" w:frame="1"/>
        </w:rPr>
        <w:t>The Department requires the new facility to maintain or increase the percentage of MassHealth patients within its Payer Mix as compared with the Applicant's AMCs.  If, during the pendency of the DoN, the Department determines that the MassHealth payer mix of the Holder is not meeting this standard or showing a material decrease over the course of the reporting period, the Holder shall submit a plan to the Department detailing its plan to increase its MassHealth payer mix. The plan shall be submitted no later than six months after such time as the Department notifies the Holder that such a plan is required. The Holder shall provide, with its annual report to the Department, a report on implementation of said plan to demonstrate measurable progress resulting from its efforts to increase its MassHealth payer mix.</w:t>
      </w:r>
    </w:p>
    <w:p w14:paraId="397A0D0B" w14:textId="77777777" w:rsidR="00420726" w:rsidRPr="00420726" w:rsidRDefault="00420726" w:rsidP="00420726"/>
    <w:p w14:paraId="659B5FD4" w14:textId="413BF552" w:rsidR="00CF6736" w:rsidRDefault="00420726" w:rsidP="00CF6736">
      <w:pPr>
        <w:pStyle w:val="ListParagraph"/>
        <w:numPr>
          <w:ilvl w:val="0"/>
          <w:numId w:val="7"/>
        </w:numPr>
      </w:pPr>
      <w:r w:rsidRPr="00457FB0">
        <w:rPr>
          <w:b/>
          <w:bCs/>
          <w:color w:val="000000" w:themeColor="text1"/>
          <w:bdr w:val="none" w:sz="0" w:space="0" w:color="auto" w:frame="1"/>
        </w:rPr>
        <w:t>Factor 1</w:t>
      </w:r>
      <w:r w:rsidR="002C5741">
        <w:rPr>
          <w:b/>
          <w:bCs/>
          <w:color w:val="000000" w:themeColor="text1"/>
          <w:bdr w:val="none" w:sz="0" w:space="0" w:color="auto" w:frame="1"/>
        </w:rPr>
        <w:t>(f)</w:t>
      </w:r>
      <w:r w:rsidRPr="00457FB0">
        <w:rPr>
          <w:b/>
          <w:bCs/>
          <w:color w:val="000000" w:themeColor="text1"/>
          <w:bdr w:val="none" w:sz="0" w:space="0" w:color="auto" w:frame="1"/>
        </w:rPr>
        <w:t xml:space="preserve"> and </w:t>
      </w:r>
      <w:r w:rsidR="002C5741">
        <w:rPr>
          <w:b/>
          <w:bCs/>
          <w:color w:val="000000" w:themeColor="text1"/>
          <w:bdr w:val="none" w:sz="0" w:space="0" w:color="auto" w:frame="1"/>
        </w:rPr>
        <w:t xml:space="preserve">Factor </w:t>
      </w:r>
      <w:r w:rsidRPr="00457FB0">
        <w:rPr>
          <w:b/>
          <w:bCs/>
          <w:color w:val="000000" w:themeColor="text1"/>
          <w:bdr w:val="none" w:sz="0" w:space="0" w:color="auto" w:frame="1"/>
        </w:rPr>
        <w:t>2:</w:t>
      </w:r>
      <w:r w:rsidRPr="00420726">
        <w:rPr>
          <w:color w:val="000000" w:themeColor="text1"/>
          <w:bdr w:val="none" w:sz="0" w:space="0" w:color="auto" w:frame="1"/>
        </w:rPr>
        <w:t xml:space="preserve"> </w:t>
      </w:r>
      <w:r>
        <w:t>The Holder will report on Endoscopy Volume by procedure for MGB Cambridge ASC, MGH Main Campus, and BWH. Annual reporting should demonstrate a shift of ASC eligible</w:t>
      </w:r>
      <w:r w:rsidRPr="00FB4F58">
        <w:t xml:space="preserve"> procedures from </w:t>
      </w:r>
      <w:r>
        <w:t>the AMC’s</w:t>
      </w:r>
      <w:r w:rsidRPr="00FB4F58">
        <w:t xml:space="preserve"> </w:t>
      </w:r>
      <w:r>
        <w:t>to M</w:t>
      </w:r>
      <w:r w:rsidR="005D027F">
        <w:t>G</w:t>
      </w:r>
      <w:r w:rsidR="002853FC">
        <w:t>B</w:t>
      </w:r>
      <w:r>
        <w:t xml:space="preserve"> Cambridge ASC.</w:t>
      </w:r>
      <w:r w:rsidR="00CF6736">
        <w:t xml:space="preserve"> </w:t>
      </w:r>
      <w:r>
        <w:t xml:space="preserve">The DoN program shall review the data received in accordance with Condition 5 to determine whether one or more of the following Referral Indicators is present: </w:t>
      </w:r>
    </w:p>
    <w:p w14:paraId="14B83843" w14:textId="77777777" w:rsidR="00CF6736" w:rsidRDefault="00CF6736" w:rsidP="00CF6736">
      <w:pPr>
        <w:pStyle w:val="ListParagraph"/>
      </w:pPr>
    </w:p>
    <w:p w14:paraId="34FA45C3" w14:textId="6534C394" w:rsidR="00420726" w:rsidRDefault="00420726" w:rsidP="00CF6736">
      <w:pPr>
        <w:pStyle w:val="ListParagraph"/>
        <w:numPr>
          <w:ilvl w:val="1"/>
          <w:numId w:val="7"/>
        </w:numPr>
      </w:pPr>
      <w:r>
        <w:t xml:space="preserve"> A material increase in total volume of the </w:t>
      </w:r>
      <w:r w:rsidR="00C05C66">
        <w:t>outpatient</w:t>
      </w:r>
      <w:r>
        <w:t xml:space="preserve"> endoscopy at MGH Main Campus and BWH</w:t>
      </w:r>
      <w:r w:rsidR="00B76624">
        <w:t xml:space="preserve">; and/or </w:t>
      </w:r>
    </w:p>
    <w:p w14:paraId="0053190B" w14:textId="3D8CBC8F" w:rsidR="00420726" w:rsidRDefault="00420726" w:rsidP="00B76624">
      <w:pPr>
        <w:pStyle w:val="ListParagraph"/>
        <w:numPr>
          <w:ilvl w:val="1"/>
          <w:numId w:val="7"/>
        </w:numPr>
      </w:pPr>
      <w:r>
        <w:t xml:space="preserve">A material decrease in total volume of endoscopy at MGB Cambridge ASC. </w:t>
      </w:r>
    </w:p>
    <w:p w14:paraId="0EF46E40" w14:textId="77777777" w:rsidR="00420726" w:rsidRDefault="00420726" w:rsidP="00420726"/>
    <w:p w14:paraId="52364A04" w14:textId="77777777" w:rsidR="00420726" w:rsidRDefault="00420726" w:rsidP="00420726">
      <w:pPr>
        <w:ind w:left="720"/>
      </w:pPr>
      <w:r>
        <w:t xml:space="preserve">If the DoN Program finds any one or more of the Referral Indicators, the matter shall be </w:t>
      </w:r>
    </w:p>
    <w:p w14:paraId="07C26F94" w14:textId="343F2D05" w:rsidR="00420726" w:rsidRDefault="00420726" w:rsidP="00420726">
      <w:pPr>
        <w:ind w:left="720"/>
      </w:pPr>
      <w:r>
        <w:t xml:space="preserve">referred to the Public Health Council (PHC) for review to determine whether </w:t>
      </w:r>
      <w:r w:rsidR="003013B4">
        <w:t>the Holder</w:t>
      </w:r>
      <w:r>
        <w:t xml:space="preserve"> is in violation of one or more of the conditions and thus out of compliance with the terms of this Notice of DoN. </w:t>
      </w:r>
    </w:p>
    <w:p w14:paraId="493F2A93" w14:textId="77777777" w:rsidR="00420726" w:rsidRDefault="00420726" w:rsidP="00420726">
      <w:pPr>
        <w:ind w:left="720"/>
      </w:pPr>
    </w:p>
    <w:p w14:paraId="104F88F9" w14:textId="76AEF7AC" w:rsidR="004428D2" w:rsidRPr="00B76624" w:rsidRDefault="00420726" w:rsidP="00FD42B6">
      <w:pPr>
        <w:ind w:left="720"/>
      </w:pPr>
      <w:r>
        <w:t xml:space="preserve">Upon referral to the PHC based upon any one or more of the Referral Indicators, </w:t>
      </w:r>
      <w:r w:rsidR="00FD42B6">
        <w:t>the Holder</w:t>
      </w:r>
      <w:r>
        <w:t xml:space="preserve"> shall have an opportunity to show cause why the PHC shall not find one or more of the Referral Indicators.</w:t>
      </w:r>
    </w:p>
    <w:p w14:paraId="0793B536" w14:textId="77777777" w:rsidR="00DE02DC" w:rsidRPr="00B76624" w:rsidRDefault="00DE02DC" w:rsidP="00B76624">
      <w:pPr>
        <w:rPr>
          <w:color w:val="000000" w:themeColor="text1"/>
          <w:highlight w:val="yellow"/>
          <w:bdr w:val="none" w:sz="0" w:space="0" w:color="auto" w:frame="1"/>
        </w:rPr>
      </w:pPr>
    </w:p>
    <w:p w14:paraId="1681E1B5" w14:textId="230C3577" w:rsidR="00507877" w:rsidRPr="00B82A69" w:rsidRDefault="00507877" w:rsidP="00507877">
      <w:pPr>
        <w:pStyle w:val="Heading1"/>
        <w:ind w:left="0"/>
        <w:rPr>
          <w:color w:val="1F497D" w:themeColor="text2"/>
        </w:rPr>
      </w:pPr>
      <w:bookmarkStart w:id="43" w:name="_Toc218863264"/>
      <w:r w:rsidRPr="00B82A69">
        <w:rPr>
          <w:color w:val="1F497D" w:themeColor="text2"/>
          <w:bdr w:val="none" w:sz="0" w:space="0" w:color="auto" w:frame="1"/>
        </w:rPr>
        <w:t>Appendix I: Required Measures for Annual Reporting</w:t>
      </w:r>
      <w:bookmarkEnd w:id="43"/>
      <w:r w:rsidRPr="00B82A69">
        <w:rPr>
          <w:color w:val="1F497D" w:themeColor="text2"/>
          <w:bdr w:val="none" w:sz="0" w:space="0" w:color="auto" w:frame="1"/>
        </w:rPr>
        <w:t> </w:t>
      </w:r>
    </w:p>
    <w:p w14:paraId="0FBC9447" w14:textId="4A82CE4C" w:rsidR="00507877" w:rsidRPr="00B82A69" w:rsidRDefault="00507877" w:rsidP="00507877">
      <w:pPr>
        <w:rPr>
          <w:rFonts w:eastAsia="Times New Roman" w:cs="Calibri"/>
          <w:color w:val="000000"/>
          <w:szCs w:val="24"/>
        </w:rPr>
      </w:pPr>
      <w:r w:rsidRPr="00B82A69">
        <w:rPr>
          <w:rFonts w:eastAsia="Times New Roman" w:cs="Calibri"/>
          <w:color w:val="000000"/>
          <w:szCs w:val="24"/>
          <w:bdr w:val="none" w:sz="0" w:space="0" w:color="auto" w:frame="1"/>
        </w:rPr>
        <w:t>The Holder shall, on an annual basis, commencing with approval of this DoN, and continuing annually for a period of five years after the Project is complete, report on the following data elements, pursuant to 105 CMR 100.310(A)(12). Reporting will include a description of numerators and denominators. </w:t>
      </w:r>
      <w:r w:rsidR="003F19E2" w:rsidRPr="00B82A69">
        <w:rPr>
          <w:rFonts w:eastAsia="Times New Roman" w:cs="Calibri"/>
          <w:color w:val="000000"/>
          <w:szCs w:val="24"/>
          <w:bdr w:val="none" w:sz="0" w:space="0" w:color="auto" w:frame="1"/>
        </w:rPr>
        <w:t>If applicable, include baseline data for measures (a year prior to implementation of DoN-approved project).</w:t>
      </w:r>
    </w:p>
    <w:p w14:paraId="375EE198" w14:textId="7C21CB76" w:rsidR="00FC4602" w:rsidRPr="00B82A69" w:rsidRDefault="00507877" w:rsidP="0036645F">
      <w:pPr>
        <w:outlineLvl w:val="3"/>
        <w:rPr>
          <w:rFonts w:asciiTheme="minorHAnsi" w:eastAsia="Times New Roman" w:hAnsiTheme="minorHAnsi"/>
          <w:b/>
          <w:bCs/>
          <w:color w:val="000000"/>
          <w:szCs w:val="24"/>
        </w:rPr>
      </w:pPr>
      <w:r w:rsidRPr="00B82A69">
        <w:rPr>
          <w:rFonts w:eastAsia="Times New Roman" w:cs="Calibri"/>
          <w:b/>
          <w:bCs/>
          <w:color w:val="000000"/>
          <w:szCs w:val="24"/>
          <w:bdr w:val="none" w:sz="0" w:space="0" w:color="auto" w:frame="1"/>
        </w:rPr>
        <w:t> </w:t>
      </w:r>
    </w:p>
    <w:p w14:paraId="12123CD1" w14:textId="7C0DBFFA" w:rsidR="004C5733" w:rsidRPr="00B76624" w:rsidRDefault="001820CA" w:rsidP="00B76624">
      <w:pPr>
        <w:pStyle w:val="ListParagraph"/>
        <w:numPr>
          <w:ilvl w:val="1"/>
          <w:numId w:val="1"/>
        </w:numPr>
        <w:spacing w:after="120"/>
        <w:ind w:left="720"/>
        <w:jc w:val="both"/>
        <w:rPr>
          <w:rFonts w:ascii="Aptos" w:hAnsi="Aptos"/>
          <w:u w:val="single"/>
        </w:rPr>
      </w:pPr>
      <w:r w:rsidRPr="00B76624">
        <w:rPr>
          <w:rFonts w:asciiTheme="minorHAnsi" w:hAnsiTheme="minorHAnsi"/>
          <w:b/>
          <w:bCs/>
          <w:kern w:val="2"/>
        </w:rPr>
        <w:t xml:space="preserve">Wait Time for procedure: </w:t>
      </w:r>
    </w:p>
    <w:p w14:paraId="255205D7" w14:textId="77777777" w:rsidR="004C5733" w:rsidRPr="00B76624" w:rsidRDefault="004C5733" w:rsidP="004C5733">
      <w:pPr>
        <w:spacing w:after="120"/>
        <w:ind w:left="720"/>
        <w:jc w:val="both"/>
        <w:rPr>
          <w:rFonts w:asciiTheme="minorHAnsi" w:hAnsiTheme="minorHAnsi"/>
        </w:rPr>
      </w:pPr>
      <w:r w:rsidRPr="00B76624">
        <w:rPr>
          <w:rFonts w:asciiTheme="minorHAnsi" w:hAnsiTheme="minorHAnsi"/>
          <w:u w:val="single"/>
        </w:rPr>
        <w:t>Wait Time from Scheduling to Procedure</w:t>
      </w:r>
      <w:r w:rsidRPr="00B76624">
        <w:rPr>
          <w:rFonts w:asciiTheme="minorHAnsi" w:hAnsiTheme="minorHAnsi"/>
        </w:rPr>
        <w:t xml:space="preserve">: The Center will monitor and report the average time patients wait from the date the procedure is scheduled to the date the procedure is performed. </w:t>
      </w:r>
    </w:p>
    <w:p w14:paraId="56B6D77B" w14:textId="77777777" w:rsidR="004C5733" w:rsidRPr="00B76624" w:rsidRDefault="004C5733" w:rsidP="004C5733">
      <w:pPr>
        <w:spacing w:after="120"/>
        <w:ind w:left="720"/>
        <w:jc w:val="both"/>
        <w:rPr>
          <w:rFonts w:asciiTheme="minorHAnsi" w:hAnsiTheme="minorHAnsi"/>
        </w:rPr>
      </w:pPr>
      <w:r w:rsidRPr="00B76624">
        <w:rPr>
          <w:rFonts w:asciiTheme="minorHAnsi" w:hAnsiTheme="minorHAnsi"/>
          <w:u w:val="single"/>
        </w:rPr>
        <w:t>Measure</w:t>
      </w:r>
      <w:r w:rsidRPr="00B76624">
        <w:rPr>
          <w:rFonts w:asciiTheme="minorHAnsi" w:hAnsiTheme="minorHAnsi"/>
        </w:rPr>
        <w:t>: Average number of days between the date a procedure is scheduled and the date the procedure is performed.</w:t>
      </w:r>
    </w:p>
    <w:p w14:paraId="3F756360" w14:textId="77777777" w:rsidR="004C5733" w:rsidRPr="00B76624" w:rsidRDefault="004C5733" w:rsidP="004C5733">
      <w:pPr>
        <w:spacing w:after="120"/>
        <w:ind w:left="1440"/>
        <w:jc w:val="both"/>
        <w:rPr>
          <w:rFonts w:asciiTheme="minorHAnsi" w:hAnsiTheme="minorHAnsi"/>
        </w:rPr>
      </w:pPr>
      <w:r w:rsidRPr="00B76624">
        <w:rPr>
          <w:rFonts w:asciiTheme="minorHAnsi" w:hAnsiTheme="minorHAnsi"/>
        </w:rPr>
        <w:t xml:space="preserve">Numerator: Total number of days waited by all patients from scheduling to procedure date. </w:t>
      </w:r>
      <w:r w:rsidRPr="00B76624">
        <w:rPr>
          <w:rFonts w:asciiTheme="minorHAnsi" w:hAnsiTheme="minorHAnsi"/>
        </w:rPr>
        <w:tab/>
      </w:r>
    </w:p>
    <w:p w14:paraId="15721D9D" w14:textId="77777777" w:rsidR="004C5733" w:rsidRPr="00B76624" w:rsidRDefault="004C5733" w:rsidP="004C5733">
      <w:pPr>
        <w:spacing w:after="120"/>
        <w:ind w:left="720" w:firstLine="720"/>
        <w:jc w:val="both"/>
        <w:rPr>
          <w:rFonts w:asciiTheme="minorHAnsi" w:hAnsiTheme="minorHAnsi"/>
        </w:rPr>
      </w:pPr>
      <w:r w:rsidRPr="00B76624">
        <w:rPr>
          <w:rFonts w:asciiTheme="minorHAnsi" w:hAnsiTheme="minorHAnsi"/>
        </w:rPr>
        <w:t>Denominator: Total number of scheduled procedures.</w:t>
      </w:r>
    </w:p>
    <w:p w14:paraId="6080F74B" w14:textId="66C078A0" w:rsidR="001820CA" w:rsidRDefault="001820CA" w:rsidP="00C86DF1">
      <w:pPr>
        <w:pStyle w:val="BodyText"/>
        <w:widowControl/>
        <w:autoSpaceDE/>
        <w:autoSpaceDN/>
        <w:spacing w:after="120"/>
        <w:rPr>
          <w:rFonts w:asciiTheme="minorHAnsi" w:hAnsiTheme="minorHAnsi"/>
          <w:b/>
          <w:bCs/>
          <w:kern w:val="2"/>
        </w:rPr>
      </w:pPr>
    </w:p>
    <w:p w14:paraId="176BFBD4" w14:textId="451FAFA3" w:rsidR="00F30C22" w:rsidRPr="0036645F" w:rsidRDefault="00CC1163" w:rsidP="00B76624">
      <w:pPr>
        <w:pStyle w:val="BodyText"/>
        <w:widowControl/>
        <w:numPr>
          <w:ilvl w:val="1"/>
          <w:numId w:val="1"/>
        </w:numPr>
        <w:autoSpaceDE/>
        <w:autoSpaceDN/>
        <w:spacing w:after="120"/>
        <w:ind w:left="720"/>
        <w:rPr>
          <w:rFonts w:asciiTheme="minorHAnsi" w:hAnsiTheme="minorHAnsi"/>
          <w:b/>
          <w:bCs/>
          <w:kern w:val="2"/>
        </w:rPr>
      </w:pPr>
      <w:r>
        <w:rPr>
          <w:rFonts w:asciiTheme="minorHAnsi" w:hAnsiTheme="minorHAnsi"/>
          <w:b/>
          <w:bCs/>
          <w:kern w:val="2"/>
        </w:rPr>
        <w:t xml:space="preserve">Colonoscopy Screening </w:t>
      </w:r>
      <w:r w:rsidR="00F30C22" w:rsidRPr="0036645F">
        <w:rPr>
          <w:rFonts w:asciiTheme="minorHAnsi" w:hAnsiTheme="minorHAnsi"/>
          <w:b/>
          <w:bCs/>
          <w:kern w:val="2"/>
        </w:rPr>
        <w:t xml:space="preserve">Withdrawal Time: </w:t>
      </w:r>
      <w:r w:rsidR="00F30C22" w:rsidRPr="0036645F">
        <w:rPr>
          <w:rFonts w:asciiTheme="minorHAnsi" w:hAnsiTheme="minorHAnsi"/>
          <w:kern w:val="2"/>
        </w:rPr>
        <w:t xml:space="preserve">Withdrawal time is based on the average number of minutes a physician took to withdraw the scope from the cecum during a screening colonoscopy when no maneuvers were performed. Longer withdrawal times during screening colonoscopies are associated with increased adenoma (polyp) detection rates, which is essential to making safe recommendations for intervals between screening and surveillance examinations. </w:t>
      </w:r>
      <w:r w:rsidR="00E9224A">
        <w:rPr>
          <w:rFonts w:asciiTheme="minorHAnsi" w:hAnsiTheme="minorHAnsi"/>
          <w:kern w:val="2"/>
        </w:rPr>
        <w:t>Staff notes that t</w:t>
      </w:r>
      <w:r w:rsidR="00E9224A" w:rsidRPr="00E9224A">
        <w:rPr>
          <w:rFonts w:asciiTheme="minorHAnsi" w:hAnsiTheme="minorHAnsi"/>
          <w:kern w:val="2"/>
        </w:rPr>
        <w:t>he recommended e</w:t>
      </w:r>
      <w:r w:rsidR="00E9224A" w:rsidRPr="007776C0">
        <w:rPr>
          <w:rFonts w:asciiTheme="minorHAnsi" w:hAnsiTheme="minorHAnsi"/>
          <w:kern w:val="2"/>
        </w:rPr>
        <w:t>ndoscopy withdrawal time is at least 6 minutes, with a target of 9 to 10 minutes</w:t>
      </w:r>
      <w:r w:rsidR="002242AA" w:rsidRPr="007776C0">
        <w:rPr>
          <w:rFonts w:asciiTheme="minorHAnsi" w:hAnsiTheme="minorHAnsi"/>
          <w:kern w:val="2"/>
        </w:rPr>
        <w:t>.</w:t>
      </w:r>
      <w:r w:rsidR="002242AA" w:rsidRPr="007776C0">
        <w:rPr>
          <w:rStyle w:val="EndnoteReference"/>
          <w:rFonts w:asciiTheme="minorHAnsi" w:hAnsiTheme="minorHAnsi"/>
          <w:kern w:val="2"/>
        </w:rPr>
        <w:endnoteReference w:id="38"/>
      </w:r>
    </w:p>
    <w:p w14:paraId="24A8BF8C" w14:textId="77777777" w:rsidR="00F30C22" w:rsidRPr="0036645F" w:rsidRDefault="00F30C22" w:rsidP="0036645F">
      <w:pPr>
        <w:pStyle w:val="BodyText"/>
        <w:widowControl/>
        <w:spacing w:after="120"/>
        <w:ind w:left="720"/>
        <w:rPr>
          <w:rFonts w:asciiTheme="minorHAnsi" w:hAnsiTheme="minorHAnsi"/>
          <w:kern w:val="2"/>
        </w:rPr>
      </w:pPr>
      <w:bookmarkStart w:id="44" w:name="_Hlk48813784"/>
      <w:r w:rsidRPr="0036645F">
        <w:rPr>
          <w:rFonts w:asciiTheme="minorHAnsi" w:hAnsiTheme="minorHAnsi"/>
          <w:b/>
          <w:bCs/>
          <w:kern w:val="2"/>
        </w:rPr>
        <w:t xml:space="preserve">Measure: </w:t>
      </w:r>
      <w:r w:rsidRPr="0036645F">
        <w:rPr>
          <w:rFonts w:asciiTheme="minorHAnsi" w:hAnsiTheme="minorHAnsi"/>
          <w:kern w:val="2"/>
        </w:rPr>
        <w:t>Average withdrawal time in normal-result colonoscopies performed for colorectal cancer screening in average-risk patients with intact colons.</w:t>
      </w:r>
    </w:p>
    <w:p w14:paraId="78C914EE" w14:textId="77777777" w:rsidR="00F30C22" w:rsidRPr="0036645F" w:rsidRDefault="00F30C22" w:rsidP="0036645F">
      <w:pPr>
        <w:pStyle w:val="BodyText"/>
        <w:widowControl/>
        <w:ind w:left="720" w:firstLine="720"/>
        <w:rPr>
          <w:rFonts w:asciiTheme="minorHAnsi" w:hAnsiTheme="minorHAnsi"/>
          <w:kern w:val="2"/>
        </w:rPr>
      </w:pPr>
      <w:r w:rsidRPr="0036645F">
        <w:rPr>
          <w:rFonts w:asciiTheme="minorHAnsi" w:hAnsiTheme="minorHAnsi"/>
          <w:b/>
          <w:bCs/>
          <w:kern w:val="2"/>
        </w:rPr>
        <w:t xml:space="preserve">Numerator: </w:t>
      </w:r>
      <w:r w:rsidRPr="0036645F">
        <w:rPr>
          <w:rFonts w:asciiTheme="minorHAnsi" w:hAnsiTheme="minorHAnsi"/>
          <w:kern w:val="2"/>
        </w:rPr>
        <w:t xml:space="preserve">Total number of withdrawal minutes for all patients. </w:t>
      </w:r>
      <w:r w:rsidRPr="0036645F">
        <w:rPr>
          <w:rFonts w:asciiTheme="minorHAnsi" w:hAnsiTheme="minorHAnsi"/>
          <w:b/>
          <w:bCs/>
          <w:kern w:val="2"/>
        </w:rPr>
        <w:tab/>
      </w:r>
    </w:p>
    <w:p w14:paraId="5534DBB5" w14:textId="77777777" w:rsidR="00F30C22" w:rsidRPr="0036645F" w:rsidRDefault="00F30C22" w:rsidP="0036645F">
      <w:pPr>
        <w:pStyle w:val="BodyText"/>
        <w:widowControl/>
        <w:spacing w:after="120"/>
        <w:ind w:left="720" w:firstLine="720"/>
        <w:rPr>
          <w:rFonts w:asciiTheme="minorHAnsi" w:hAnsiTheme="minorHAnsi"/>
          <w:kern w:val="2"/>
        </w:rPr>
      </w:pPr>
      <w:r w:rsidRPr="0036645F">
        <w:rPr>
          <w:rFonts w:asciiTheme="minorHAnsi" w:hAnsiTheme="minorHAnsi"/>
          <w:b/>
          <w:bCs/>
          <w:kern w:val="2"/>
        </w:rPr>
        <w:t xml:space="preserve">Denominator: </w:t>
      </w:r>
      <w:r w:rsidRPr="0036645F">
        <w:rPr>
          <w:rFonts w:asciiTheme="minorHAnsi" w:hAnsiTheme="minorHAnsi"/>
          <w:kern w:val="2"/>
        </w:rPr>
        <w:t xml:space="preserve">Total number of patients. </w:t>
      </w:r>
      <w:bookmarkEnd w:id="44"/>
    </w:p>
    <w:p w14:paraId="67DD824C" w14:textId="753E932D" w:rsidR="00F30C22" w:rsidRPr="0036645F" w:rsidRDefault="00F30C22" w:rsidP="00B76624">
      <w:pPr>
        <w:pStyle w:val="BodyText"/>
        <w:widowControl/>
        <w:numPr>
          <w:ilvl w:val="1"/>
          <w:numId w:val="1"/>
        </w:numPr>
        <w:autoSpaceDE/>
        <w:autoSpaceDN/>
        <w:spacing w:after="120"/>
        <w:ind w:left="720"/>
        <w:rPr>
          <w:rFonts w:asciiTheme="minorHAnsi" w:hAnsiTheme="minorHAnsi"/>
          <w:b/>
          <w:bCs/>
          <w:kern w:val="2"/>
        </w:rPr>
      </w:pPr>
      <w:r w:rsidRPr="0036645F">
        <w:rPr>
          <w:rFonts w:asciiTheme="minorHAnsi" w:hAnsiTheme="minorHAnsi"/>
          <w:b/>
          <w:bCs/>
          <w:kern w:val="2"/>
        </w:rPr>
        <w:t xml:space="preserve">Adenoma Detection Rate: </w:t>
      </w:r>
      <w:r w:rsidRPr="0036645F">
        <w:rPr>
          <w:rFonts w:asciiTheme="minorHAnsi" w:hAnsiTheme="minorHAnsi"/>
          <w:kern w:val="2"/>
        </w:rPr>
        <w:t>The Adenoma Detection Rate (ADR) is the minimum target for adenomas detected among an individual provider’s patient panel.  An increased ADR is associated with a reduction in CRC incidence and a reduction of cancer mortality.</w:t>
      </w:r>
      <w:r w:rsidR="00D06713" w:rsidRPr="0036645F">
        <w:rPr>
          <w:rStyle w:val="EndnoteReference"/>
          <w:rFonts w:asciiTheme="minorHAnsi" w:hAnsiTheme="minorHAnsi"/>
          <w:kern w:val="2"/>
        </w:rPr>
        <w:endnoteReference w:id="39"/>
      </w:r>
      <w:r w:rsidR="00D06713" w:rsidRPr="0036645F">
        <w:rPr>
          <w:rFonts w:asciiTheme="minorHAnsi" w:hAnsiTheme="minorHAnsi"/>
          <w:kern w:val="2"/>
        </w:rPr>
        <w:t xml:space="preserve"> </w:t>
      </w:r>
    </w:p>
    <w:p w14:paraId="37DC8BC1" w14:textId="77777777" w:rsidR="00F30C22" w:rsidRPr="0036645F" w:rsidRDefault="00F30C22" w:rsidP="0036645F">
      <w:pPr>
        <w:pStyle w:val="BodyText"/>
        <w:spacing w:after="120"/>
        <w:ind w:left="720"/>
        <w:rPr>
          <w:rFonts w:asciiTheme="minorHAnsi" w:hAnsiTheme="minorHAnsi"/>
          <w:kern w:val="2"/>
        </w:rPr>
      </w:pPr>
      <w:r w:rsidRPr="0036645F">
        <w:rPr>
          <w:rFonts w:asciiTheme="minorHAnsi" w:hAnsiTheme="minorHAnsi"/>
          <w:b/>
          <w:bCs/>
          <w:kern w:val="2"/>
        </w:rPr>
        <w:t xml:space="preserve">Measure: </w:t>
      </w:r>
      <w:r w:rsidRPr="0036645F">
        <w:rPr>
          <w:rFonts w:asciiTheme="minorHAnsi" w:hAnsiTheme="minorHAnsi"/>
          <w:kern w:val="2"/>
        </w:rPr>
        <w:t xml:space="preserve">Average rate of adenoma detection among an endoscopist’s patient panel ages 50 years or older. </w:t>
      </w:r>
    </w:p>
    <w:p w14:paraId="22EA4567" w14:textId="77777777" w:rsidR="00F30C22" w:rsidRPr="0036645F" w:rsidRDefault="00F30C22" w:rsidP="0036645F">
      <w:pPr>
        <w:adjustRightInd w:val="0"/>
        <w:ind w:left="1440"/>
        <w:rPr>
          <w:rFonts w:asciiTheme="minorHAnsi" w:hAnsiTheme="minorHAnsi"/>
          <w:szCs w:val="24"/>
        </w:rPr>
      </w:pPr>
      <w:r w:rsidRPr="0036645F">
        <w:rPr>
          <w:rFonts w:asciiTheme="minorHAnsi" w:hAnsiTheme="minorHAnsi"/>
          <w:b/>
          <w:bCs/>
          <w:szCs w:val="24"/>
        </w:rPr>
        <w:t>Numerator:</w:t>
      </w:r>
      <w:r w:rsidRPr="0036645F">
        <w:rPr>
          <w:rFonts w:asciiTheme="minorHAnsi" w:hAnsiTheme="minorHAnsi"/>
          <w:szCs w:val="24"/>
        </w:rPr>
        <w:t xml:space="preserve"> The number of procedures for patients over 50 years of age where at </w:t>
      </w:r>
      <w:r w:rsidRPr="0036645F">
        <w:rPr>
          <w:rFonts w:asciiTheme="minorHAnsi" w:hAnsiTheme="minorHAnsi"/>
          <w:szCs w:val="24"/>
        </w:rPr>
        <w:lastRenderedPageBreak/>
        <w:t>least one adenoma was detected.</w:t>
      </w:r>
    </w:p>
    <w:p w14:paraId="1075558A" w14:textId="77777777" w:rsidR="00F30C22" w:rsidRPr="0036645F" w:rsidRDefault="00F30C22" w:rsidP="0036645F">
      <w:pPr>
        <w:adjustRightInd w:val="0"/>
        <w:spacing w:after="120"/>
        <w:ind w:left="720" w:firstLine="720"/>
        <w:rPr>
          <w:rFonts w:asciiTheme="minorHAnsi" w:hAnsiTheme="minorHAnsi"/>
          <w:szCs w:val="24"/>
        </w:rPr>
      </w:pPr>
      <w:r w:rsidRPr="0036645F">
        <w:rPr>
          <w:rFonts w:asciiTheme="minorHAnsi" w:hAnsiTheme="minorHAnsi"/>
          <w:b/>
          <w:bCs/>
          <w:szCs w:val="24"/>
        </w:rPr>
        <w:t xml:space="preserve">Denominator: </w:t>
      </w:r>
      <w:r w:rsidRPr="0036645F">
        <w:rPr>
          <w:rFonts w:asciiTheme="minorHAnsi" w:hAnsiTheme="minorHAnsi"/>
          <w:szCs w:val="24"/>
        </w:rPr>
        <w:t>Total number of procedures for patients over 50 years of age.</w:t>
      </w:r>
    </w:p>
    <w:p w14:paraId="005F4FCD" w14:textId="1FFD2B39" w:rsidR="00F30C22" w:rsidRPr="0036645F" w:rsidRDefault="00F30C22" w:rsidP="00B76624">
      <w:pPr>
        <w:pStyle w:val="BodyText"/>
        <w:widowControl/>
        <w:numPr>
          <w:ilvl w:val="1"/>
          <w:numId w:val="1"/>
        </w:numPr>
        <w:autoSpaceDE/>
        <w:autoSpaceDN/>
        <w:spacing w:after="120"/>
        <w:ind w:left="720"/>
        <w:rPr>
          <w:rFonts w:asciiTheme="minorHAnsi" w:hAnsiTheme="minorHAnsi"/>
          <w:kern w:val="2"/>
        </w:rPr>
      </w:pPr>
      <w:r w:rsidRPr="0036645F">
        <w:rPr>
          <w:rFonts w:asciiTheme="minorHAnsi" w:hAnsiTheme="minorHAnsi"/>
          <w:b/>
          <w:kern w:val="2"/>
        </w:rPr>
        <w:t xml:space="preserve">Patient Satisfaction: </w:t>
      </w:r>
      <w:r w:rsidRPr="0036645F">
        <w:rPr>
          <w:rFonts w:asciiTheme="minorHAnsi" w:hAnsiTheme="minorHAnsi"/>
          <w:kern w:val="2"/>
        </w:rPr>
        <w:t xml:space="preserve">Patients that are satisfied with their care are more likely to seek additional treatment when needed. The Applicant will continue to review patient satisfaction levels with the ASC’s surgical services and compare across like-facilities and regional benchmarks. </w:t>
      </w:r>
    </w:p>
    <w:p w14:paraId="63851595" w14:textId="77777777" w:rsidR="00F30C22" w:rsidRPr="0036645F" w:rsidRDefault="00F30C22" w:rsidP="0036645F">
      <w:pPr>
        <w:pStyle w:val="BodyText"/>
        <w:widowControl/>
        <w:spacing w:after="120"/>
        <w:ind w:left="720"/>
        <w:rPr>
          <w:rFonts w:asciiTheme="minorHAnsi" w:hAnsiTheme="minorHAnsi"/>
          <w:kern w:val="2"/>
        </w:rPr>
      </w:pPr>
      <w:r w:rsidRPr="0036645F">
        <w:rPr>
          <w:rFonts w:asciiTheme="minorHAnsi" w:hAnsiTheme="minorHAnsi"/>
          <w:b/>
          <w:kern w:val="2"/>
        </w:rPr>
        <w:t>Measure:</w:t>
      </w:r>
      <w:r w:rsidRPr="0036645F">
        <w:rPr>
          <w:rFonts w:asciiTheme="minorHAnsi" w:hAnsiTheme="minorHAnsi"/>
          <w:kern w:val="2"/>
        </w:rPr>
        <w:t xml:space="preserve"> A Press Ganey Patient Satisfaction survey is provided to all eligible patients following their procedure. This survey focuses on the patient’s experience in multiple areas, including, net promoter score (NPS), wait times, facility operations, care communication, nurse/physician treatment, and discharge. The survey also allows for anonymous comments from patients to further provide insight into areas of improvements and praises or concerns.  </w:t>
      </w:r>
    </w:p>
    <w:p w14:paraId="0208F648" w14:textId="77777777" w:rsidR="00B04291" w:rsidRPr="00C85257" w:rsidRDefault="00B04291">
      <w:pPr>
        <w:rPr>
          <w:rFonts w:asciiTheme="minorHAnsi" w:hAnsiTheme="minorHAnsi"/>
          <w:b/>
          <w:bCs/>
          <w:color w:val="1F497D" w:themeColor="text2"/>
          <w:sz w:val="28"/>
          <w:szCs w:val="28"/>
          <w:highlight w:val="yellow"/>
        </w:rPr>
      </w:pPr>
    </w:p>
    <w:p w14:paraId="32582B34" w14:textId="77777777" w:rsidR="00B04291" w:rsidRPr="00C85257" w:rsidRDefault="00B04291">
      <w:pPr>
        <w:rPr>
          <w:rFonts w:asciiTheme="minorHAnsi" w:hAnsiTheme="minorHAnsi"/>
          <w:b/>
          <w:bCs/>
          <w:color w:val="1F497D" w:themeColor="text2"/>
          <w:sz w:val="28"/>
          <w:szCs w:val="28"/>
          <w:highlight w:val="yellow"/>
        </w:rPr>
      </w:pPr>
    </w:p>
    <w:p w14:paraId="0306810F" w14:textId="6A310899" w:rsidR="00B447F3" w:rsidRDefault="00A4110F" w:rsidP="00014053">
      <w:pPr>
        <w:pStyle w:val="Heading1"/>
        <w:ind w:left="0"/>
        <w:rPr>
          <w:rFonts w:asciiTheme="minorHAnsi" w:hAnsiTheme="minorHAnsi"/>
          <w:color w:val="1F497D" w:themeColor="text2"/>
        </w:rPr>
      </w:pPr>
      <w:bookmarkStart w:id="45" w:name="_Toc218863265"/>
      <w:r w:rsidRPr="00F61BC8">
        <w:rPr>
          <w:rFonts w:asciiTheme="minorHAnsi" w:hAnsiTheme="minorHAnsi"/>
          <w:color w:val="1F497D" w:themeColor="text2"/>
        </w:rPr>
        <w:t>REFERENCES</w:t>
      </w:r>
      <w:bookmarkEnd w:id="45"/>
    </w:p>
    <w:sectPr w:rsidR="00B447F3">
      <w:headerReference w:type="even" r:id="rId17"/>
      <w:headerReference w:type="default" r:id="rId18"/>
      <w:footerReference w:type="default" r:id="rId19"/>
      <w:headerReference w:type="first" r:id="rId20"/>
      <w:endnotePr>
        <w:numFmt w:val="lowerLetter"/>
      </w:endnotePr>
      <w:pgSz w:w="12240" w:h="15840"/>
      <w:pgMar w:top="1140" w:right="1200" w:bottom="1240" w:left="1220" w:header="0" w:footer="105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CF2381" w14:textId="77777777" w:rsidR="00224A66" w:rsidRDefault="00224A66">
      <w:r>
        <w:separator/>
      </w:r>
    </w:p>
  </w:endnote>
  <w:endnote w:type="continuationSeparator" w:id="0">
    <w:p w14:paraId="5DF1FE5F" w14:textId="77777777" w:rsidR="00224A66" w:rsidRDefault="00224A66">
      <w:r>
        <w:continuationSeparator/>
      </w:r>
    </w:p>
  </w:endnote>
  <w:endnote w:type="continuationNotice" w:id="1">
    <w:p w14:paraId="69FA74FD" w14:textId="77777777" w:rsidR="00224A66" w:rsidRDefault="00224A66"/>
  </w:endnote>
  <w:endnote w:id="2">
    <w:p w14:paraId="107E5860" w14:textId="51EB72AF" w:rsidR="00EA5883" w:rsidRPr="00D06713" w:rsidRDefault="00EA5883" w:rsidP="00EA5883">
      <w:pPr>
        <w:pStyle w:val="EndnoteText"/>
        <w:rPr>
          <w:rFonts w:asciiTheme="minorHAnsi" w:hAnsiTheme="minorHAnsi"/>
          <w:color w:val="17365D" w:themeColor="text2" w:themeShade="BF"/>
        </w:rPr>
      </w:pPr>
      <w:r w:rsidRPr="00D06713">
        <w:rPr>
          <w:rStyle w:val="EndnoteReference"/>
          <w:rFonts w:asciiTheme="minorHAnsi" w:hAnsiTheme="minorHAnsi"/>
        </w:rPr>
        <w:endnoteRef/>
      </w:r>
      <w:r w:rsidRPr="00D06713">
        <w:rPr>
          <w:rFonts w:asciiTheme="minorHAnsi" w:hAnsiTheme="minorHAnsi"/>
        </w:rPr>
        <w:t xml:space="preserve"> Center for Health Information and Analysis.</w:t>
      </w:r>
      <w:r w:rsidRPr="00D06713">
        <w:rPr>
          <w:rFonts w:asciiTheme="minorHAnsi" w:hAnsiTheme="minorHAnsi"/>
          <w:color w:val="17365D" w:themeColor="text2" w:themeShade="BF"/>
        </w:rPr>
        <w:t xml:space="preserve"> </w:t>
      </w:r>
      <w:hyperlink r:id="rId1" w:history="1">
        <w:r w:rsidRPr="00D06713">
          <w:rPr>
            <w:rStyle w:val="Hyperlink"/>
            <w:rFonts w:asciiTheme="minorHAnsi" w:hAnsiTheme="minorHAnsi"/>
            <w:color w:val="17365D" w:themeColor="text2" w:themeShade="BF"/>
          </w:rPr>
          <w:t>Massachusetts Hospital Profiles.</w:t>
        </w:r>
      </w:hyperlink>
      <w:r w:rsidRPr="00D06713">
        <w:rPr>
          <w:rFonts w:asciiTheme="minorHAnsi" w:hAnsiTheme="minorHAnsi"/>
        </w:rPr>
        <w:t xml:space="preserve"> Technical Appendix. </w:t>
      </w:r>
      <w:hyperlink r:id="rId2" w:history="1">
        <w:r w:rsidRPr="00D06713">
          <w:rPr>
            <w:rStyle w:val="Hyperlink"/>
            <w:rFonts w:asciiTheme="minorHAnsi" w:hAnsiTheme="minorHAnsi"/>
            <w:color w:val="17365D" w:themeColor="text2" w:themeShade="BF"/>
          </w:rPr>
          <w:t>https://www.chiamass.gov/assets/docs/r/hospital-profiles/2023/FY23-Massachusetts-Hospital-Profiles-Technical-Appendix.pdf</w:t>
        </w:r>
      </w:hyperlink>
      <w:r w:rsidRPr="00D06713">
        <w:rPr>
          <w:rFonts w:asciiTheme="minorHAnsi" w:hAnsiTheme="minorHAnsi"/>
        </w:rPr>
        <w:t xml:space="preserve"> </w:t>
      </w:r>
    </w:p>
  </w:endnote>
  <w:endnote w:id="3">
    <w:p w14:paraId="73BEFA4C" w14:textId="2FEF989B" w:rsidR="00EB2E92" w:rsidRPr="00D06713" w:rsidRDefault="00EB2E92" w:rsidP="00EB2E92">
      <w:pPr>
        <w:pStyle w:val="EndnoteText"/>
        <w:rPr>
          <w:rFonts w:asciiTheme="minorHAnsi" w:hAnsiTheme="minorHAnsi"/>
          <w:color w:val="365F91" w:themeColor="accent1" w:themeShade="BF"/>
        </w:rPr>
      </w:pPr>
      <w:r w:rsidRPr="00D06713">
        <w:rPr>
          <w:rStyle w:val="EndnoteReference"/>
          <w:rFonts w:asciiTheme="minorHAnsi" w:hAnsiTheme="minorHAnsi"/>
        </w:rPr>
        <w:endnoteRef/>
      </w:r>
      <w:r w:rsidRPr="00D06713">
        <w:rPr>
          <w:rFonts w:asciiTheme="minorHAnsi" w:hAnsiTheme="minorHAnsi"/>
        </w:rPr>
        <w:t xml:space="preserve"> </w:t>
      </w:r>
      <w:hyperlink r:id="rId3" w:history="1">
        <w:r w:rsidRPr="00FD7076">
          <w:rPr>
            <w:rStyle w:val="Hyperlink"/>
            <w:rFonts w:asciiTheme="minorHAnsi" w:hAnsiTheme="minorHAnsi"/>
            <w:color w:val="000000" w:themeColor="text1"/>
            <w:u w:val="none"/>
          </w:rPr>
          <w:t>Data USA County Profile</w:t>
        </w:r>
      </w:hyperlink>
      <w:r w:rsidRPr="00FD7076">
        <w:rPr>
          <w:rFonts w:asciiTheme="minorHAnsi" w:hAnsiTheme="minorHAnsi"/>
          <w:color w:val="000000" w:themeColor="text1"/>
        </w:rPr>
        <w:t xml:space="preserve">. </w:t>
      </w:r>
      <w:hyperlink r:id="rId4" w:history="1">
        <w:r w:rsidRPr="00D06713">
          <w:rPr>
            <w:rStyle w:val="Hyperlink"/>
            <w:rFonts w:asciiTheme="minorHAnsi" w:hAnsiTheme="minorHAnsi"/>
            <w:color w:val="365F91" w:themeColor="accent1" w:themeShade="BF"/>
          </w:rPr>
          <w:t>https://datausa.io/profile/geo/suffolk-county-ma</w:t>
        </w:r>
      </w:hyperlink>
      <w:r w:rsidRPr="00D06713">
        <w:rPr>
          <w:rFonts w:asciiTheme="minorHAnsi" w:hAnsiTheme="minorHAnsi"/>
        </w:rPr>
        <w:t xml:space="preserve">; </w:t>
      </w:r>
      <w:hyperlink r:id="rId5" w:history="1">
        <w:r w:rsidRPr="00D06713">
          <w:rPr>
            <w:rStyle w:val="Hyperlink"/>
            <w:rFonts w:asciiTheme="minorHAnsi" w:hAnsiTheme="minorHAnsi"/>
            <w:color w:val="365F91" w:themeColor="accent1" w:themeShade="BF"/>
          </w:rPr>
          <w:t>https://datausa.io/profile/geo/middlesex-county-ma</w:t>
        </w:r>
      </w:hyperlink>
      <w:r w:rsidRPr="00D06713">
        <w:rPr>
          <w:rFonts w:asciiTheme="minorHAnsi" w:hAnsiTheme="minorHAnsi"/>
          <w:color w:val="365F91" w:themeColor="accent1" w:themeShade="BF"/>
        </w:rPr>
        <w:t xml:space="preserve"> </w:t>
      </w:r>
    </w:p>
  </w:endnote>
  <w:endnote w:id="4">
    <w:p w14:paraId="11CF8D40" w14:textId="32022695" w:rsidR="0066181D" w:rsidRPr="00D06713" w:rsidRDefault="0066181D" w:rsidP="00D36E98">
      <w:pPr>
        <w:pStyle w:val="EndnoteText"/>
        <w:rPr>
          <w:rFonts w:asciiTheme="minorHAnsi" w:hAnsiTheme="minorHAnsi"/>
        </w:rPr>
      </w:pPr>
      <w:r w:rsidRPr="00D06713">
        <w:rPr>
          <w:rStyle w:val="EndnoteReference"/>
          <w:rFonts w:asciiTheme="minorHAnsi" w:hAnsiTheme="minorHAnsi"/>
        </w:rPr>
        <w:endnoteRef/>
      </w:r>
      <w:r w:rsidRPr="00D06713">
        <w:rPr>
          <w:rFonts w:asciiTheme="minorHAnsi" w:hAnsiTheme="minorHAnsi"/>
        </w:rPr>
        <w:t xml:space="preserve"> </w:t>
      </w:r>
      <w:hyperlink r:id="rId6" w:history="1">
        <w:r w:rsidRPr="00A857AF">
          <w:rPr>
            <w:rStyle w:val="Hyperlink"/>
            <w:rFonts w:asciiTheme="minorHAnsi" w:hAnsiTheme="minorHAnsi"/>
            <w:i/>
            <w:iCs/>
            <w:color w:val="000000" w:themeColor="text1"/>
            <w:u w:val="none"/>
          </w:rPr>
          <w:t>How Well Do Colonoscopies Prevent Colorectal Cancer? What You Need To Know</w:t>
        </w:r>
        <w:r w:rsidRPr="00A857AF">
          <w:rPr>
            <w:rStyle w:val="Hyperlink"/>
            <w:rFonts w:asciiTheme="minorHAnsi" w:hAnsiTheme="minorHAnsi"/>
            <w:color w:val="000000" w:themeColor="text1"/>
            <w:u w:val="none"/>
          </w:rPr>
          <w:t>,</w:t>
        </w:r>
      </w:hyperlink>
      <w:r w:rsidRPr="00A857AF">
        <w:rPr>
          <w:rFonts w:asciiTheme="minorHAnsi" w:hAnsiTheme="minorHAnsi"/>
          <w:color w:val="000000" w:themeColor="text1"/>
        </w:rPr>
        <w:t xml:space="preserve"> HARVARD </w:t>
      </w:r>
      <w:r w:rsidRPr="00D06713">
        <w:rPr>
          <w:rFonts w:asciiTheme="minorHAnsi" w:hAnsiTheme="minorHAnsi"/>
        </w:rPr>
        <w:t xml:space="preserve">MEDICAL SCHOOL, </w:t>
      </w:r>
      <w:hyperlink r:id="rId7" w:history="1">
        <w:r w:rsidRPr="00D06713">
          <w:rPr>
            <w:rStyle w:val="Hyperlink"/>
            <w:rFonts w:asciiTheme="minorHAnsi" w:hAnsiTheme="minorHAnsi"/>
            <w:color w:val="365F91" w:themeColor="accent1" w:themeShade="BF"/>
          </w:rPr>
          <w:t>https://www.health.harvard.edu/blog/how-well-do-colonoscopies-prevent-colorectal-cancer-what-you-need-to-know-202210182834</w:t>
        </w:r>
      </w:hyperlink>
      <w:r w:rsidRPr="00D06713">
        <w:rPr>
          <w:rFonts w:asciiTheme="minorHAnsi" w:hAnsiTheme="minorHAnsi"/>
          <w:color w:val="365F91" w:themeColor="accent1" w:themeShade="BF"/>
        </w:rPr>
        <w:t xml:space="preserve"> </w:t>
      </w:r>
      <w:r w:rsidRPr="00D06713">
        <w:rPr>
          <w:rFonts w:asciiTheme="minorHAnsi" w:hAnsiTheme="minorHAnsi"/>
        </w:rPr>
        <w:t>(last visited July 11, 2025).</w:t>
      </w:r>
    </w:p>
  </w:endnote>
  <w:endnote w:id="5">
    <w:p w14:paraId="53BFD300" w14:textId="32C5E007" w:rsidR="004E0F75" w:rsidRPr="00D06713" w:rsidRDefault="004E0F75" w:rsidP="004E0F75">
      <w:pPr>
        <w:pStyle w:val="EndnoteText"/>
        <w:rPr>
          <w:rFonts w:asciiTheme="minorHAnsi" w:hAnsiTheme="minorHAnsi"/>
        </w:rPr>
      </w:pPr>
      <w:r w:rsidRPr="00D06713">
        <w:rPr>
          <w:rStyle w:val="EndnoteReference"/>
          <w:rFonts w:asciiTheme="minorHAnsi" w:hAnsiTheme="minorHAnsi"/>
        </w:rPr>
        <w:endnoteRef/>
      </w:r>
      <w:r w:rsidRPr="00D06713">
        <w:rPr>
          <w:rFonts w:asciiTheme="minorHAnsi" w:hAnsiTheme="minorHAnsi"/>
        </w:rPr>
        <w:t xml:space="preserve"> Siyu Wang et al., </w:t>
      </w:r>
      <w:hyperlink r:id="rId8" w:history="1">
        <w:r w:rsidRPr="008C50F1">
          <w:rPr>
            <w:rStyle w:val="Hyperlink"/>
            <w:rFonts w:asciiTheme="minorHAnsi" w:hAnsiTheme="minorHAnsi"/>
            <w:i/>
            <w:iCs/>
            <w:color w:val="000000" w:themeColor="text1"/>
            <w:u w:val="none"/>
          </w:rPr>
          <w:t>Colorectal Cancer: Epidemiology, Risk Factors, and Prevention</w:t>
        </w:r>
        <w:r w:rsidRPr="008C50F1">
          <w:rPr>
            <w:rStyle w:val="Hyperlink"/>
            <w:rFonts w:asciiTheme="minorHAnsi" w:hAnsiTheme="minorHAnsi"/>
            <w:color w:val="000000" w:themeColor="text1"/>
            <w:u w:val="none"/>
          </w:rPr>
          <w:t>,</w:t>
        </w:r>
      </w:hyperlink>
      <w:r w:rsidRPr="008C50F1">
        <w:rPr>
          <w:rFonts w:asciiTheme="minorHAnsi" w:hAnsiTheme="minorHAnsi"/>
          <w:color w:val="000000" w:themeColor="text1"/>
        </w:rPr>
        <w:t xml:space="preserve"> </w:t>
      </w:r>
      <w:r w:rsidRPr="008C50F1">
        <w:rPr>
          <w:rFonts w:asciiTheme="minorHAnsi" w:hAnsiTheme="minorHAnsi"/>
          <w:smallCaps/>
          <w:color w:val="000000" w:themeColor="text1"/>
        </w:rPr>
        <w:t xml:space="preserve">Preventive </w:t>
      </w:r>
      <w:r w:rsidRPr="00D06713">
        <w:rPr>
          <w:rFonts w:asciiTheme="minorHAnsi" w:hAnsiTheme="minorHAnsi"/>
          <w:smallCaps/>
        </w:rPr>
        <w:t>Medicine Reports</w:t>
      </w:r>
      <w:r w:rsidRPr="00D06713">
        <w:rPr>
          <w:rFonts w:asciiTheme="minorHAnsi" w:hAnsiTheme="minorHAnsi"/>
        </w:rPr>
        <w:t xml:space="preserve"> (Jan. 2024), </w:t>
      </w:r>
      <w:hyperlink r:id="rId9" w:history="1">
        <w:r w:rsidRPr="00D06713">
          <w:rPr>
            <w:rStyle w:val="Hyperlink"/>
            <w:rFonts w:asciiTheme="minorHAnsi" w:hAnsiTheme="minorHAnsi"/>
            <w:color w:val="365F91" w:themeColor="accent1" w:themeShade="BF"/>
          </w:rPr>
          <w:t>https://pmc.ncbi.nlm.nih.gov/articles/PMC10788250/</w:t>
        </w:r>
      </w:hyperlink>
      <w:r w:rsidRPr="00D06713">
        <w:rPr>
          <w:rFonts w:asciiTheme="minorHAnsi" w:hAnsiTheme="minorHAnsi"/>
        </w:rPr>
        <w:t>.</w:t>
      </w:r>
    </w:p>
  </w:endnote>
  <w:endnote w:id="6">
    <w:p w14:paraId="2A3B3488" w14:textId="2CA14466" w:rsidR="0066181D" w:rsidRPr="00D06713" w:rsidRDefault="0066181D" w:rsidP="00D36E98">
      <w:pPr>
        <w:pStyle w:val="EndnoteText"/>
        <w:rPr>
          <w:rFonts w:asciiTheme="minorHAnsi" w:hAnsiTheme="minorHAnsi"/>
        </w:rPr>
      </w:pPr>
      <w:r w:rsidRPr="00D06713">
        <w:rPr>
          <w:rStyle w:val="EndnoteReference"/>
          <w:rFonts w:asciiTheme="minorHAnsi" w:hAnsiTheme="minorHAnsi"/>
        </w:rPr>
        <w:endnoteRef/>
      </w:r>
      <w:r w:rsidRPr="00D06713">
        <w:rPr>
          <w:rFonts w:asciiTheme="minorHAnsi" w:hAnsiTheme="minorHAnsi"/>
        </w:rPr>
        <w:t xml:space="preserve"> </w:t>
      </w:r>
      <w:hyperlink r:id="rId10" w:history="1">
        <w:r w:rsidRPr="008C50F1">
          <w:rPr>
            <w:rStyle w:val="Hyperlink"/>
            <w:rFonts w:asciiTheme="minorHAnsi" w:hAnsiTheme="minorHAnsi"/>
            <w:i/>
            <w:iCs/>
            <w:color w:val="000000" w:themeColor="text1"/>
            <w:u w:val="none"/>
          </w:rPr>
          <w:t>Archive of COVID-19 Public Health Guidance and Directives</w:t>
        </w:r>
      </w:hyperlink>
      <w:r w:rsidRPr="008C50F1">
        <w:rPr>
          <w:rFonts w:asciiTheme="minorHAnsi" w:hAnsiTheme="minorHAnsi"/>
          <w:color w:val="000000" w:themeColor="text1"/>
        </w:rPr>
        <w:t xml:space="preserve">, </w:t>
      </w:r>
      <w:r w:rsidRPr="008C50F1">
        <w:rPr>
          <w:rFonts w:asciiTheme="minorHAnsi" w:hAnsiTheme="minorHAnsi"/>
          <w:smallCaps/>
          <w:color w:val="000000" w:themeColor="text1"/>
        </w:rPr>
        <w:t>Mass</w:t>
      </w:r>
      <w:r w:rsidRPr="00D06713">
        <w:rPr>
          <w:rFonts w:asciiTheme="minorHAnsi" w:hAnsiTheme="minorHAnsi"/>
          <w:smallCaps/>
        </w:rPr>
        <w:t>. Dep’t Pub. Health</w:t>
      </w:r>
      <w:r w:rsidRPr="00D06713">
        <w:rPr>
          <w:rFonts w:asciiTheme="minorHAnsi" w:hAnsiTheme="minorHAnsi"/>
        </w:rPr>
        <w:t xml:space="preserve">, </w:t>
      </w:r>
      <w:hyperlink r:id="rId11" w:history="1">
        <w:r w:rsidRPr="00D06713">
          <w:rPr>
            <w:rStyle w:val="Hyperlink"/>
            <w:rFonts w:asciiTheme="minorHAnsi" w:hAnsiTheme="minorHAnsi"/>
            <w:color w:val="365F91" w:themeColor="accent1" w:themeShade="BF"/>
          </w:rPr>
          <w:t>https://www.mass.gov/info-details/archive-of-covid-19-public-health-guidance-and-directives</w:t>
        </w:r>
      </w:hyperlink>
      <w:r w:rsidRPr="00D06713">
        <w:rPr>
          <w:rFonts w:asciiTheme="minorHAnsi" w:hAnsiTheme="minorHAnsi"/>
          <w:color w:val="365F91" w:themeColor="accent1" w:themeShade="BF"/>
        </w:rPr>
        <w:t xml:space="preserve"> </w:t>
      </w:r>
      <w:r w:rsidRPr="00D06713">
        <w:rPr>
          <w:rFonts w:asciiTheme="minorHAnsi" w:hAnsiTheme="minorHAnsi"/>
        </w:rPr>
        <w:t>(last visited July 11, 2025).</w:t>
      </w:r>
    </w:p>
  </w:endnote>
  <w:endnote w:id="7">
    <w:p w14:paraId="3C5B004D" w14:textId="71778303" w:rsidR="0066181D" w:rsidRPr="00D06713" w:rsidRDefault="0066181D" w:rsidP="00D36E98">
      <w:pPr>
        <w:pStyle w:val="EndnoteText"/>
        <w:rPr>
          <w:rFonts w:asciiTheme="minorHAnsi" w:hAnsiTheme="minorHAnsi"/>
        </w:rPr>
      </w:pPr>
      <w:r w:rsidRPr="00D06713">
        <w:rPr>
          <w:rStyle w:val="EndnoteReference"/>
          <w:rFonts w:asciiTheme="minorHAnsi" w:hAnsiTheme="minorHAnsi"/>
        </w:rPr>
        <w:endnoteRef/>
      </w:r>
      <w:r w:rsidRPr="00D06713">
        <w:rPr>
          <w:rFonts w:asciiTheme="minorHAnsi" w:hAnsiTheme="minorHAnsi"/>
        </w:rPr>
        <w:t xml:space="preserve"> Robert King, </w:t>
      </w:r>
      <w:hyperlink r:id="rId12" w:history="1">
        <w:r w:rsidRPr="008C50F1">
          <w:rPr>
            <w:rStyle w:val="Hyperlink"/>
            <w:rFonts w:asciiTheme="minorHAnsi" w:hAnsiTheme="minorHAnsi"/>
            <w:i/>
            <w:iCs/>
            <w:color w:val="000000" w:themeColor="text1"/>
            <w:u w:val="none"/>
          </w:rPr>
          <w:t>Massachusetts Calls on Hospitals to Reduce Elective Procedures Amid Staffing Shortages</w:t>
        </w:r>
      </w:hyperlink>
      <w:r w:rsidRPr="008C50F1">
        <w:rPr>
          <w:rFonts w:asciiTheme="minorHAnsi" w:hAnsiTheme="minorHAnsi"/>
          <w:color w:val="000000" w:themeColor="text1"/>
        </w:rPr>
        <w:t xml:space="preserve">, </w:t>
      </w:r>
      <w:r w:rsidRPr="008C50F1">
        <w:rPr>
          <w:rFonts w:asciiTheme="minorHAnsi" w:hAnsiTheme="minorHAnsi"/>
          <w:smallCaps/>
          <w:color w:val="000000" w:themeColor="text1"/>
        </w:rPr>
        <w:t xml:space="preserve">Fierce </w:t>
      </w:r>
      <w:r w:rsidRPr="00D06713">
        <w:rPr>
          <w:rFonts w:asciiTheme="minorHAnsi" w:hAnsiTheme="minorHAnsi"/>
          <w:smallCaps/>
        </w:rPr>
        <w:t>Healthcare</w:t>
      </w:r>
      <w:r w:rsidRPr="00D06713">
        <w:rPr>
          <w:rFonts w:asciiTheme="minorHAnsi" w:hAnsiTheme="minorHAnsi"/>
        </w:rPr>
        <w:t xml:space="preserve"> (Nov. 27, 2021),</w:t>
      </w:r>
      <w:r w:rsidRPr="00D06713">
        <w:rPr>
          <w:rFonts w:asciiTheme="minorHAnsi" w:hAnsiTheme="minorHAnsi"/>
          <w:color w:val="365F91" w:themeColor="accent1" w:themeShade="BF"/>
        </w:rPr>
        <w:t xml:space="preserve"> </w:t>
      </w:r>
      <w:hyperlink r:id="rId13" w:history="1">
        <w:r w:rsidRPr="00D06713">
          <w:rPr>
            <w:rStyle w:val="Hyperlink"/>
            <w:rFonts w:asciiTheme="minorHAnsi" w:hAnsiTheme="minorHAnsi"/>
            <w:color w:val="365F91" w:themeColor="accent1" w:themeShade="BF"/>
          </w:rPr>
          <w:t>https://www.fiercehealthcare.com/hospitals/mass-calls-hospitals-to-reduce-elective-procedures-amid-staffing-shortages</w:t>
        </w:r>
      </w:hyperlink>
      <w:r w:rsidRPr="00D06713">
        <w:rPr>
          <w:rFonts w:asciiTheme="minorHAnsi" w:hAnsiTheme="minorHAnsi"/>
        </w:rPr>
        <w:t xml:space="preserve">. </w:t>
      </w:r>
    </w:p>
  </w:endnote>
  <w:endnote w:id="8">
    <w:p w14:paraId="0A275AF9" w14:textId="439B9500" w:rsidR="0066181D" w:rsidRPr="00D06713" w:rsidRDefault="0066181D" w:rsidP="00D36E98">
      <w:pPr>
        <w:pStyle w:val="EndnoteText"/>
        <w:rPr>
          <w:rFonts w:asciiTheme="minorHAnsi" w:hAnsiTheme="minorHAnsi"/>
        </w:rPr>
      </w:pPr>
      <w:r w:rsidRPr="00D06713">
        <w:rPr>
          <w:rStyle w:val="EndnoteReference"/>
          <w:rFonts w:asciiTheme="minorHAnsi" w:hAnsiTheme="minorHAnsi"/>
        </w:rPr>
        <w:endnoteRef/>
      </w:r>
      <w:r w:rsidRPr="00D06713">
        <w:rPr>
          <w:rFonts w:asciiTheme="minorHAnsi" w:hAnsiTheme="minorHAnsi"/>
        </w:rPr>
        <w:t xml:space="preserve"> Jackie Fortier, </w:t>
      </w:r>
      <w:hyperlink r:id="rId14" w:history="1">
        <w:r w:rsidRPr="00954168">
          <w:rPr>
            <w:rStyle w:val="Hyperlink"/>
            <w:rFonts w:asciiTheme="minorHAnsi" w:hAnsiTheme="minorHAnsi"/>
            <w:i/>
            <w:iCs/>
            <w:color w:val="000000" w:themeColor="text1"/>
            <w:u w:val="none"/>
          </w:rPr>
          <w:t>Nationwide IV Fluid Shortage Changing How Hospitals Manage Patient Hydration</w:t>
        </w:r>
        <w:r w:rsidRPr="00954168">
          <w:rPr>
            <w:rStyle w:val="Hyperlink"/>
            <w:rFonts w:asciiTheme="minorHAnsi" w:hAnsiTheme="minorHAnsi"/>
            <w:color w:val="000000" w:themeColor="text1"/>
            <w:u w:val="none"/>
          </w:rPr>
          <w:t>,</w:t>
        </w:r>
      </w:hyperlink>
      <w:r w:rsidRPr="00954168">
        <w:rPr>
          <w:rFonts w:asciiTheme="minorHAnsi" w:hAnsiTheme="minorHAnsi"/>
          <w:color w:val="000000" w:themeColor="text1"/>
        </w:rPr>
        <w:t xml:space="preserve"> </w:t>
      </w:r>
      <w:r w:rsidRPr="00954168">
        <w:rPr>
          <w:rFonts w:asciiTheme="minorHAnsi" w:hAnsiTheme="minorHAnsi"/>
          <w:smallCaps/>
          <w:color w:val="000000" w:themeColor="text1"/>
        </w:rPr>
        <w:t>NPR</w:t>
      </w:r>
      <w:r w:rsidRPr="00954168">
        <w:rPr>
          <w:rFonts w:asciiTheme="minorHAnsi" w:hAnsiTheme="minorHAnsi"/>
          <w:color w:val="000000" w:themeColor="text1"/>
        </w:rPr>
        <w:t xml:space="preserve"> </w:t>
      </w:r>
      <w:r w:rsidRPr="00D06713">
        <w:rPr>
          <w:rFonts w:asciiTheme="minorHAnsi" w:hAnsiTheme="minorHAnsi"/>
        </w:rPr>
        <w:t xml:space="preserve">(Nov. 19, 2024), </w:t>
      </w:r>
      <w:hyperlink r:id="rId15" w:history="1">
        <w:r w:rsidRPr="00D06713">
          <w:rPr>
            <w:rStyle w:val="Hyperlink"/>
            <w:rFonts w:asciiTheme="minorHAnsi" w:hAnsiTheme="minorHAnsi"/>
            <w:color w:val="365F91" w:themeColor="accent1" w:themeShade="BF"/>
          </w:rPr>
          <w:t>https://www.npr.org/sections/shots-health-news/2024/11/19/nx-s1-5193027/nationwide-iv-fluid-shortage-intravenous-drugs-hospitals-patient-hydration-helene-hurricane-baxter</w:t>
        </w:r>
      </w:hyperlink>
      <w:r w:rsidRPr="00D06713">
        <w:rPr>
          <w:rFonts w:asciiTheme="minorHAnsi" w:hAnsiTheme="minorHAnsi"/>
        </w:rPr>
        <w:t xml:space="preserve">. </w:t>
      </w:r>
    </w:p>
  </w:endnote>
  <w:endnote w:id="9">
    <w:p w14:paraId="172DAC17" w14:textId="0EA1BF26" w:rsidR="0066181D" w:rsidRPr="00D06713" w:rsidRDefault="0066181D" w:rsidP="00D36E98">
      <w:pPr>
        <w:pStyle w:val="EndnoteText"/>
        <w:rPr>
          <w:rFonts w:asciiTheme="minorHAnsi" w:hAnsiTheme="minorHAnsi"/>
          <w:color w:val="365F91" w:themeColor="accent1" w:themeShade="BF"/>
        </w:rPr>
      </w:pPr>
      <w:r w:rsidRPr="00D06713">
        <w:rPr>
          <w:rStyle w:val="EndnoteReference"/>
          <w:rFonts w:asciiTheme="minorHAnsi" w:hAnsiTheme="minorHAnsi"/>
        </w:rPr>
        <w:endnoteRef/>
      </w:r>
      <w:r w:rsidRPr="00D06713">
        <w:rPr>
          <w:rFonts w:asciiTheme="minorHAnsi" w:hAnsiTheme="minorHAnsi"/>
        </w:rPr>
        <w:t xml:space="preserve"> </w:t>
      </w:r>
      <w:hyperlink r:id="rId16" w:history="1">
        <w:r w:rsidRPr="00C46CD5">
          <w:rPr>
            <w:rStyle w:val="Hyperlink"/>
            <w:rFonts w:asciiTheme="minorHAnsi" w:hAnsiTheme="minorHAnsi"/>
            <w:i/>
            <w:iCs/>
            <w:color w:val="000000" w:themeColor="text1"/>
            <w:u w:val="none"/>
          </w:rPr>
          <w:t>Colorectal Cancer Rates Are Skyrocketing in Young Adults – Is Your Lifestyle Putting you at Risk?</w:t>
        </w:r>
        <w:r w:rsidRPr="00C46CD5">
          <w:rPr>
            <w:rStyle w:val="Hyperlink"/>
            <w:rFonts w:asciiTheme="minorHAnsi" w:hAnsiTheme="minorHAnsi"/>
            <w:color w:val="000000" w:themeColor="text1"/>
            <w:u w:val="none"/>
          </w:rPr>
          <w:t>,</w:t>
        </w:r>
      </w:hyperlink>
      <w:r w:rsidRPr="00C46CD5">
        <w:rPr>
          <w:rFonts w:asciiTheme="minorHAnsi" w:hAnsiTheme="minorHAnsi"/>
          <w:color w:val="000000" w:themeColor="text1"/>
        </w:rPr>
        <w:t xml:space="preserve"> CANCER </w:t>
      </w:r>
      <w:r w:rsidRPr="00D06713">
        <w:rPr>
          <w:rFonts w:asciiTheme="minorHAnsi" w:hAnsiTheme="minorHAnsi"/>
        </w:rPr>
        <w:t xml:space="preserve">RESEARCH INSTITUTE, </w:t>
      </w:r>
      <w:hyperlink r:id="rId17" w:history="1">
        <w:r w:rsidRPr="00D06713">
          <w:rPr>
            <w:rStyle w:val="Hyperlink"/>
            <w:rFonts w:asciiTheme="minorHAnsi" w:hAnsiTheme="minorHAnsi"/>
            <w:color w:val="365F91" w:themeColor="accent1" w:themeShade="BF"/>
          </w:rPr>
          <w:t>https://www.cancerresearch.org/blog/colorectal-cancer-awareness-month</w:t>
        </w:r>
      </w:hyperlink>
      <w:r w:rsidRPr="00D06713">
        <w:rPr>
          <w:rFonts w:asciiTheme="minorHAnsi" w:hAnsiTheme="minorHAnsi"/>
          <w:color w:val="365F91" w:themeColor="accent1" w:themeShade="BF"/>
        </w:rPr>
        <w:t xml:space="preserve"> (last visited July 11, 2025). </w:t>
      </w:r>
    </w:p>
  </w:endnote>
  <w:endnote w:id="10">
    <w:p w14:paraId="56F305C6" w14:textId="75E453F1" w:rsidR="004A036B" w:rsidRPr="00D06713" w:rsidRDefault="004A036B" w:rsidP="0005638B">
      <w:pPr>
        <w:pStyle w:val="EndnoteText"/>
        <w:rPr>
          <w:rFonts w:asciiTheme="minorHAnsi" w:hAnsiTheme="minorHAnsi"/>
        </w:rPr>
      </w:pPr>
      <w:r w:rsidRPr="00D06713">
        <w:rPr>
          <w:rStyle w:val="EndnoteReference"/>
          <w:rFonts w:asciiTheme="minorHAnsi" w:hAnsiTheme="minorHAnsi"/>
        </w:rPr>
        <w:endnoteRef/>
      </w:r>
      <w:r w:rsidRPr="00D06713">
        <w:rPr>
          <w:rFonts w:asciiTheme="minorHAnsi" w:hAnsiTheme="minorHAnsi"/>
        </w:rPr>
        <w:t xml:space="preserve"> David W. Bates et al, </w:t>
      </w:r>
      <w:hyperlink r:id="rId18" w:history="1">
        <w:r w:rsidRPr="00721B9A">
          <w:rPr>
            <w:rStyle w:val="Hyperlink"/>
            <w:rFonts w:asciiTheme="minorHAnsi" w:hAnsiTheme="minorHAnsi"/>
            <w:i/>
            <w:iCs/>
            <w:color w:val="000000" w:themeColor="text1"/>
            <w:u w:val="none"/>
          </w:rPr>
          <w:t>The Safety of Inpatient Health Care</w:t>
        </w:r>
      </w:hyperlink>
      <w:r w:rsidRPr="00721B9A">
        <w:rPr>
          <w:rFonts w:asciiTheme="minorHAnsi" w:hAnsiTheme="minorHAnsi"/>
          <w:color w:val="000000" w:themeColor="text1"/>
        </w:rPr>
        <w:t xml:space="preserve">, NEW </w:t>
      </w:r>
      <w:r w:rsidRPr="00D06713">
        <w:rPr>
          <w:rFonts w:asciiTheme="minorHAnsi" w:hAnsiTheme="minorHAnsi"/>
        </w:rPr>
        <w:t xml:space="preserve">ENGLAND JOURNAL OF MEDICINE, available at </w:t>
      </w:r>
      <w:hyperlink r:id="rId19" w:history="1">
        <w:r w:rsidRPr="00D06713">
          <w:rPr>
            <w:rStyle w:val="Hyperlink"/>
            <w:rFonts w:asciiTheme="minorHAnsi" w:hAnsiTheme="minorHAnsi"/>
            <w:color w:val="365F91" w:themeColor="accent1" w:themeShade="BF"/>
          </w:rPr>
          <w:t>https://www.nejm.org/doi/full/10.1056/NEJMsa2206117</w:t>
        </w:r>
      </w:hyperlink>
      <w:r w:rsidRPr="00D06713">
        <w:rPr>
          <w:rFonts w:asciiTheme="minorHAnsi" w:hAnsiTheme="minorHAnsi"/>
        </w:rPr>
        <w:t xml:space="preserve">. </w:t>
      </w:r>
    </w:p>
  </w:endnote>
  <w:endnote w:id="11">
    <w:p w14:paraId="15E8CAB7" w14:textId="50BC36AE" w:rsidR="004A036B" w:rsidRPr="00D06713" w:rsidRDefault="004A036B" w:rsidP="00A814AB">
      <w:pPr>
        <w:rPr>
          <w:rFonts w:asciiTheme="minorHAnsi" w:hAnsiTheme="minorHAnsi"/>
          <w:sz w:val="20"/>
        </w:rPr>
      </w:pPr>
      <w:r w:rsidRPr="00D06713">
        <w:rPr>
          <w:rStyle w:val="EndnoteReference"/>
          <w:rFonts w:asciiTheme="minorHAnsi" w:hAnsiTheme="minorHAnsi"/>
          <w:sz w:val="20"/>
        </w:rPr>
        <w:endnoteRef/>
      </w:r>
      <w:r w:rsidRPr="00D06713">
        <w:rPr>
          <w:rFonts w:asciiTheme="minorHAnsi" w:hAnsiTheme="minorHAnsi"/>
          <w:sz w:val="20"/>
        </w:rPr>
        <w:t xml:space="preserve"> </w:t>
      </w:r>
      <w:hyperlink r:id="rId20" w:history="1">
        <w:r w:rsidRPr="008940BB">
          <w:rPr>
            <w:rStyle w:val="Hyperlink"/>
            <w:rFonts w:asciiTheme="minorHAnsi" w:hAnsiTheme="minorHAnsi"/>
            <w:i/>
            <w:iCs/>
            <w:color w:val="000000" w:themeColor="text1"/>
            <w:sz w:val="20"/>
            <w:u w:val="none"/>
          </w:rPr>
          <w:t>UMDI-V2024 Massachusetts Population Projections</w:t>
        </w:r>
        <w:r w:rsidRPr="008940BB">
          <w:rPr>
            <w:rStyle w:val="Hyperlink"/>
            <w:rFonts w:asciiTheme="minorHAnsi" w:hAnsiTheme="minorHAnsi"/>
            <w:color w:val="000000" w:themeColor="text1"/>
            <w:sz w:val="20"/>
            <w:u w:val="none"/>
          </w:rPr>
          <w:t>,</w:t>
        </w:r>
      </w:hyperlink>
      <w:r w:rsidRPr="008940BB">
        <w:rPr>
          <w:rFonts w:asciiTheme="minorHAnsi" w:hAnsiTheme="minorHAnsi"/>
          <w:color w:val="000000" w:themeColor="text1"/>
          <w:sz w:val="20"/>
        </w:rPr>
        <w:t xml:space="preserve"> </w:t>
      </w:r>
      <w:r w:rsidRPr="00D06713">
        <w:rPr>
          <w:rFonts w:asciiTheme="minorHAnsi" w:hAnsiTheme="minorHAnsi"/>
          <w:sz w:val="20"/>
        </w:rPr>
        <w:t xml:space="preserve">UMASS DONAHUE INSTITUTE, </w:t>
      </w:r>
      <w:hyperlink r:id="rId21" w:history="1">
        <w:r w:rsidR="00D06713" w:rsidRPr="00D06713">
          <w:rPr>
            <w:rStyle w:val="Hyperlink"/>
            <w:rFonts w:asciiTheme="minorHAnsi" w:hAnsiTheme="minorHAnsi"/>
            <w:color w:val="365F91" w:themeColor="accent1" w:themeShade="BF"/>
            <w:sz w:val="20"/>
          </w:rPr>
          <w:t>https://donahue.umass.edu/documents/UMDI_V2024_Long-Term_Population_Projections_MCD%2C_County%2C_RPA%2C_State_Age_Sex_detail_2010-2050.xlsx</w:t>
        </w:r>
      </w:hyperlink>
      <w:r w:rsidRPr="00D06713">
        <w:rPr>
          <w:rFonts w:asciiTheme="minorHAnsi" w:hAnsiTheme="minorHAnsi"/>
          <w:sz w:val="20"/>
        </w:rPr>
        <w:t xml:space="preserve"> (last visited July 11, 2025).</w:t>
      </w:r>
    </w:p>
  </w:endnote>
  <w:endnote w:id="12">
    <w:p w14:paraId="1EB57FEF" w14:textId="261977D5" w:rsidR="004A036B" w:rsidRPr="000A21B6" w:rsidRDefault="004A036B" w:rsidP="00A814AB">
      <w:pPr>
        <w:pStyle w:val="EndnoteText"/>
        <w:rPr>
          <w:rFonts w:asciiTheme="minorHAnsi" w:hAnsiTheme="minorHAnsi"/>
        </w:rPr>
      </w:pPr>
      <w:r w:rsidRPr="000A21B6">
        <w:rPr>
          <w:rStyle w:val="EndnoteReference"/>
          <w:rFonts w:asciiTheme="minorHAnsi" w:hAnsiTheme="minorHAnsi"/>
        </w:rPr>
        <w:endnoteRef/>
      </w:r>
      <w:r w:rsidRPr="000A21B6">
        <w:rPr>
          <w:rFonts w:asciiTheme="minorHAnsi" w:hAnsiTheme="minorHAnsi"/>
        </w:rPr>
        <w:t xml:space="preserve"> </w:t>
      </w:r>
      <w:hyperlink r:id="rId22" w:history="1">
        <w:r w:rsidR="00D33AF0" w:rsidRPr="00543966">
          <w:rPr>
            <w:rStyle w:val="Hyperlink"/>
            <w:rFonts w:asciiTheme="minorHAnsi" w:hAnsiTheme="minorHAnsi"/>
            <w:i/>
            <w:iCs/>
            <w:color w:val="000000" w:themeColor="text1"/>
            <w:u w:val="none"/>
          </w:rPr>
          <w:t>UMDI-V2024 Massachusetts Population Projections</w:t>
        </w:r>
        <w:r w:rsidR="00D33AF0" w:rsidRPr="00543966">
          <w:rPr>
            <w:rStyle w:val="Hyperlink"/>
            <w:rFonts w:asciiTheme="minorHAnsi" w:hAnsiTheme="minorHAnsi"/>
            <w:color w:val="000000" w:themeColor="text1"/>
            <w:u w:val="none"/>
          </w:rPr>
          <w:t>,</w:t>
        </w:r>
      </w:hyperlink>
      <w:r w:rsidR="00D33AF0" w:rsidRPr="00543966">
        <w:rPr>
          <w:rFonts w:asciiTheme="minorHAnsi" w:hAnsiTheme="minorHAnsi"/>
          <w:color w:val="000000" w:themeColor="text1"/>
        </w:rPr>
        <w:t xml:space="preserve"> UMASS </w:t>
      </w:r>
      <w:r w:rsidR="00D33AF0" w:rsidRPr="000A21B6">
        <w:rPr>
          <w:rFonts w:asciiTheme="minorHAnsi" w:hAnsiTheme="minorHAnsi"/>
        </w:rPr>
        <w:t xml:space="preserve">DONAHUE INSTITUTE, </w:t>
      </w:r>
      <w:hyperlink r:id="rId23" w:history="1">
        <w:r w:rsidR="00D33AF0" w:rsidRPr="000A21B6">
          <w:rPr>
            <w:rStyle w:val="Hyperlink"/>
            <w:rFonts w:asciiTheme="minorHAnsi" w:hAnsiTheme="minorHAnsi"/>
            <w:color w:val="365F91" w:themeColor="accent1" w:themeShade="BF"/>
          </w:rPr>
          <w:t>https://donahue.umass.edu/documents/UMDI_V2024_Long-Term_Population_Projections_MCD%2C_County%2C_RPA%2C_State_Age_Sex_detail_2010-2050.xlsx</w:t>
        </w:r>
      </w:hyperlink>
      <w:r w:rsidR="00D33AF0" w:rsidRPr="000A21B6">
        <w:rPr>
          <w:rFonts w:asciiTheme="minorHAnsi" w:hAnsiTheme="minorHAnsi"/>
        </w:rPr>
        <w:t xml:space="preserve"> (last visited July 11, 2025).</w:t>
      </w:r>
    </w:p>
  </w:endnote>
  <w:endnote w:id="13">
    <w:p w14:paraId="7FEBB52E" w14:textId="303229FE" w:rsidR="004A036B" w:rsidRPr="00D06713" w:rsidRDefault="004A036B" w:rsidP="00D612FA">
      <w:pPr>
        <w:pStyle w:val="EndnoteText"/>
        <w:rPr>
          <w:rFonts w:asciiTheme="minorHAnsi" w:hAnsiTheme="minorHAnsi"/>
        </w:rPr>
      </w:pPr>
      <w:r w:rsidRPr="00D06713">
        <w:rPr>
          <w:rStyle w:val="EndnoteReference"/>
          <w:rFonts w:asciiTheme="minorHAnsi" w:hAnsiTheme="minorHAnsi"/>
        </w:rPr>
        <w:endnoteRef/>
      </w:r>
      <w:r w:rsidRPr="00D06713">
        <w:rPr>
          <w:rFonts w:asciiTheme="minorHAnsi" w:hAnsiTheme="minorHAnsi"/>
        </w:rPr>
        <w:t xml:space="preserve"> </w:t>
      </w:r>
      <w:hyperlink r:id="rId24" w:history="1">
        <w:r w:rsidRPr="00543966">
          <w:rPr>
            <w:rStyle w:val="Hyperlink"/>
            <w:rFonts w:asciiTheme="minorHAnsi" w:hAnsiTheme="minorHAnsi"/>
            <w:i/>
            <w:iCs/>
            <w:color w:val="000000" w:themeColor="text1"/>
            <w:u w:val="none"/>
          </w:rPr>
          <w:t>Endoscopy</w:t>
        </w:r>
      </w:hyperlink>
      <w:r w:rsidRPr="00543966">
        <w:rPr>
          <w:rFonts w:asciiTheme="minorHAnsi" w:hAnsiTheme="minorHAnsi"/>
          <w:color w:val="000000" w:themeColor="text1"/>
        </w:rPr>
        <w:t xml:space="preserve">, </w:t>
      </w:r>
      <w:r w:rsidRPr="00D06713">
        <w:rPr>
          <w:rFonts w:asciiTheme="minorHAnsi" w:hAnsiTheme="minorHAnsi"/>
        </w:rPr>
        <w:t xml:space="preserve">CLEVELAND CLINIC, </w:t>
      </w:r>
      <w:hyperlink r:id="rId25" w:history="1">
        <w:r w:rsidRPr="00D06713">
          <w:rPr>
            <w:rStyle w:val="Hyperlink"/>
            <w:rFonts w:asciiTheme="minorHAnsi" w:hAnsiTheme="minorHAnsi"/>
            <w:color w:val="365F91" w:themeColor="accent1" w:themeShade="BF"/>
          </w:rPr>
          <w:t>https://my.clevelandclinic.org/health/diagnostics/25126-endoscopy</w:t>
        </w:r>
      </w:hyperlink>
      <w:r w:rsidRPr="00D06713">
        <w:rPr>
          <w:rFonts w:asciiTheme="minorHAnsi" w:hAnsiTheme="minorHAnsi"/>
        </w:rPr>
        <w:t xml:space="preserve"> (last visited June 4, 2025).</w:t>
      </w:r>
    </w:p>
  </w:endnote>
  <w:endnote w:id="14">
    <w:p w14:paraId="10929C8D" w14:textId="319492B5" w:rsidR="004A036B" w:rsidRPr="00D06713" w:rsidRDefault="004A036B" w:rsidP="00D612FA">
      <w:pPr>
        <w:pStyle w:val="EndnoteText"/>
        <w:rPr>
          <w:rFonts w:asciiTheme="minorHAnsi" w:hAnsiTheme="minorHAnsi"/>
        </w:rPr>
      </w:pPr>
      <w:r w:rsidRPr="00D06713">
        <w:rPr>
          <w:rStyle w:val="EndnoteReference"/>
          <w:rFonts w:asciiTheme="minorHAnsi" w:hAnsiTheme="minorHAnsi"/>
        </w:rPr>
        <w:endnoteRef/>
      </w:r>
      <w:r w:rsidRPr="00D06713">
        <w:rPr>
          <w:rFonts w:asciiTheme="minorHAnsi" w:hAnsiTheme="minorHAnsi"/>
        </w:rPr>
        <w:t xml:space="preserve"> </w:t>
      </w:r>
      <w:hyperlink r:id="rId26" w:history="1">
        <w:r w:rsidRPr="00543966">
          <w:rPr>
            <w:rStyle w:val="Hyperlink"/>
            <w:rFonts w:asciiTheme="minorHAnsi" w:hAnsiTheme="minorHAnsi"/>
            <w:i/>
            <w:iCs/>
            <w:color w:val="000000" w:themeColor="text1"/>
            <w:u w:val="none"/>
          </w:rPr>
          <w:t>Upper Endoscopy</w:t>
        </w:r>
      </w:hyperlink>
      <w:r w:rsidRPr="00543966">
        <w:rPr>
          <w:rFonts w:asciiTheme="minorHAnsi" w:hAnsiTheme="minorHAnsi"/>
          <w:color w:val="000000" w:themeColor="text1"/>
        </w:rPr>
        <w:t xml:space="preserve">, </w:t>
      </w:r>
      <w:r w:rsidRPr="00D06713">
        <w:rPr>
          <w:rFonts w:asciiTheme="minorHAnsi" w:hAnsiTheme="minorHAnsi"/>
        </w:rPr>
        <w:t xml:space="preserve">MAYO CLINIC, </w:t>
      </w:r>
      <w:hyperlink r:id="rId27" w:history="1">
        <w:r w:rsidRPr="00D06713">
          <w:rPr>
            <w:rStyle w:val="Hyperlink"/>
            <w:rFonts w:asciiTheme="minorHAnsi" w:hAnsiTheme="minorHAnsi"/>
            <w:color w:val="365F91" w:themeColor="accent1" w:themeShade="BF"/>
          </w:rPr>
          <w:t>https://www.mayoclinic.org/tests-procedures/endoscopy/about/pac-20395197</w:t>
        </w:r>
      </w:hyperlink>
      <w:r w:rsidRPr="00D06713">
        <w:rPr>
          <w:rFonts w:asciiTheme="minorHAnsi" w:hAnsiTheme="minorHAnsi"/>
        </w:rPr>
        <w:t xml:space="preserve"> (last visited June 4, 2025).</w:t>
      </w:r>
    </w:p>
  </w:endnote>
  <w:endnote w:id="15">
    <w:p w14:paraId="0537A828" w14:textId="29BDD256" w:rsidR="004A036B" w:rsidRPr="00D06713" w:rsidRDefault="004A036B" w:rsidP="008303BC">
      <w:pPr>
        <w:pStyle w:val="EndnoteText"/>
        <w:rPr>
          <w:rFonts w:asciiTheme="minorHAnsi" w:hAnsiTheme="minorHAnsi"/>
        </w:rPr>
      </w:pPr>
      <w:r w:rsidRPr="00D06713">
        <w:rPr>
          <w:rStyle w:val="EndnoteReference"/>
          <w:rFonts w:asciiTheme="minorHAnsi" w:hAnsiTheme="minorHAnsi"/>
        </w:rPr>
        <w:endnoteRef/>
      </w:r>
      <w:r w:rsidRPr="00D06713">
        <w:rPr>
          <w:rFonts w:asciiTheme="minorHAnsi" w:hAnsiTheme="minorHAnsi"/>
        </w:rPr>
        <w:t xml:space="preserve"> Johnathan Y </w:t>
      </w:r>
      <w:proofErr w:type="gramStart"/>
      <w:r w:rsidRPr="00D06713">
        <w:rPr>
          <w:rFonts w:asciiTheme="minorHAnsi" w:hAnsiTheme="minorHAnsi"/>
        </w:rPr>
        <w:t>Xia  and</w:t>
      </w:r>
      <w:proofErr w:type="gramEnd"/>
      <w:r w:rsidRPr="00D06713">
        <w:rPr>
          <w:rFonts w:asciiTheme="minorHAnsi" w:hAnsiTheme="minorHAnsi"/>
        </w:rPr>
        <w:t xml:space="preserve"> Aziz Aadam, </w:t>
      </w:r>
      <w:hyperlink r:id="rId28" w:history="1">
        <w:r w:rsidRPr="00543966">
          <w:rPr>
            <w:rStyle w:val="Hyperlink"/>
            <w:rFonts w:asciiTheme="minorHAnsi" w:hAnsiTheme="minorHAnsi"/>
            <w:i/>
            <w:iCs/>
            <w:color w:val="000000" w:themeColor="text1"/>
            <w:u w:val="none"/>
          </w:rPr>
          <w:t>Advances in Screening and Detection of Gastric Cancer</w:t>
        </w:r>
      </w:hyperlink>
      <w:r w:rsidRPr="00543966">
        <w:rPr>
          <w:rFonts w:asciiTheme="minorHAnsi" w:hAnsiTheme="minorHAnsi"/>
          <w:color w:val="000000" w:themeColor="text1"/>
        </w:rPr>
        <w:t xml:space="preserve">, J </w:t>
      </w:r>
      <w:r w:rsidRPr="00D06713">
        <w:rPr>
          <w:rFonts w:asciiTheme="minorHAnsi" w:hAnsiTheme="minorHAnsi"/>
        </w:rPr>
        <w:t xml:space="preserve">Surg Oncol. 125(7) (2022), available at </w:t>
      </w:r>
      <w:hyperlink r:id="rId29" w:history="1">
        <w:r w:rsidRPr="00D06713">
          <w:rPr>
            <w:rStyle w:val="Hyperlink"/>
            <w:rFonts w:asciiTheme="minorHAnsi" w:hAnsiTheme="minorHAnsi"/>
            <w:color w:val="365F91" w:themeColor="accent1" w:themeShade="BF"/>
          </w:rPr>
          <w:t>https://pmc.ncbi.nlm.nih.gov/articles/PMC9322671/</w:t>
        </w:r>
      </w:hyperlink>
      <w:r w:rsidRPr="00D06713">
        <w:rPr>
          <w:rFonts w:asciiTheme="minorHAnsi" w:hAnsiTheme="minorHAnsi"/>
        </w:rPr>
        <w:t>.</w:t>
      </w:r>
    </w:p>
  </w:endnote>
  <w:endnote w:id="16">
    <w:p w14:paraId="3F4C63E7" w14:textId="6F3856F8" w:rsidR="002452E1" w:rsidRPr="00D06713" w:rsidRDefault="002452E1" w:rsidP="008303BC">
      <w:pPr>
        <w:pStyle w:val="EndnoteText"/>
        <w:rPr>
          <w:rFonts w:asciiTheme="minorHAnsi" w:hAnsiTheme="minorHAnsi"/>
        </w:rPr>
      </w:pPr>
      <w:r w:rsidRPr="00D06713">
        <w:rPr>
          <w:rStyle w:val="EndnoteReference"/>
          <w:rFonts w:asciiTheme="minorHAnsi" w:hAnsiTheme="minorHAnsi"/>
        </w:rPr>
        <w:endnoteRef/>
      </w:r>
      <w:r w:rsidRPr="00D06713">
        <w:rPr>
          <w:rFonts w:asciiTheme="minorHAnsi" w:hAnsiTheme="minorHAnsi"/>
        </w:rPr>
        <w:t xml:space="preserve"> </w:t>
      </w:r>
      <w:hyperlink r:id="rId30" w:history="1">
        <w:r w:rsidRPr="00543966">
          <w:rPr>
            <w:rStyle w:val="Hyperlink"/>
            <w:rFonts w:asciiTheme="minorHAnsi" w:hAnsiTheme="minorHAnsi"/>
            <w:color w:val="000000" w:themeColor="text1"/>
            <w:u w:val="none"/>
          </w:rPr>
          <w:t>Upper Endoscopy</w:t>
        </w:r>
      </w:hyperlink>
      <w:r w:rsidRPr="00543966">
        <w:rPr>
          <w:rFonts w:asciiTheme="minorHAnsi" w:hAnsiTheme="minorHAnsi"/>
          <w:color w:val="000000" w:themeColor="text1"/>
        </w:rPr>
        <w:t xml:space="preserve">, </w:t>
      </w:r>
      <w:r w:rsidRPr="00D06713">
        <w:rPr>
          <w:rFonts w:asciiTheme="minorHAnsi" w:hAnsiTheme="minorHAnsi"/>
        </w:rPr>
        <w:t xml:space="preserve">American Cancer Society, </w:t>
      </w:r>
      <w:hyperlink r:id="rId31" w:history="1">
        <w:r w:rsidRPr="00D06713">
          <w:rPr>
            <w:rStyle w:val="Hyperlink"/>
            <w:rFonts w:asciiTheme="minorHAnsi" w:hAnsiTheme="minorHAnsi"/>
            <w:color w:val="365F91" w:themeColor="accent1" w:themeShade="BF"/>
          </w:rPr>
          <w:t>https://www.cancer.org/cancer/diagnosis-staging/tests/endoscopy/upper-endoscopy.html</w:t>
        </w:r>
      </w:hyperlink>
      <w:r w:rsidRPr="00D06713">
        <w:rPr>
          <w:rFonts w:asciiTheme="minorHAnsi" w:hAnsiTheme="minorHAnsi"/>
          <w:color w:val="365F91" w:themeColor="accent1" w:themeShade="BF"/>
        </w:rPr>
        <w:t xml:space="preserve"> </w:t>
      </w:r>
      <w:r w:rsidRPr="00D06713">
        <w:rPr>
          <w:rFonts w:asciiTheme="minorHAnsi" w:hAnsiTheme="minorHAnsi"/>
        </w:rPr>
        <w:t>(last visited June 4, 2025).</w:t>
      </w:r>
    </w:p>
  </w:endnote>
  <w:endnote w:id="17">
    <w:p w14:paraId="70A159C6" w14:textId="1139E909" w:rsidR="002452E1" w:rsidRPr="00D06713" w:rsidRDefault="002452E1" w:rsidP="008303BC">
      <w:pPr>
        <w:pStyle w:val="EndnoteText"/>
        <w:rPr>
          <w:rFonts w:asciiTheme="minorHAnsi" w:hAnsiTheme="minorHAnsi"/>
        </w:rPr>
      </w:pPr>
      <w:r w:rsidRPr="00D06713">
        <w:rPr>
          <w:rStyle w:val="EndnoteReference"/>
          <w:rFonts w:asciiTheme="minorHAnsi" w:hAnsiTheme="minorHAnsi"/>
        </w:rPr>
        <w:endnoteRef/>
      </w:r>
      <w:r w:rsidRPr="00D06713">
        <w:rPr>
          <w:rFonts w:asciiTheme="minorHAnsi" w:hAnsiTheme="minorHAnsi"/>
        </w:rPr>
        <w:t xml:space="preserve"> </w:t>
      </w:r>
      <w:hyperlink r:id="rId32" w:history="1">
        <w:r w:rsidRPr="00543966">
          <w:rPr>
            <w:rStyle w:val="Hyperlink"/>
            <w:rFonts w:asciiTheme="minorHAnsi" w:hAnsiTheme="minorHAnsi"/>
            <w:i/>
            <w:iCs/>
            <w:color w:val="000000" w:themeColor="text1"/>
            <w:u w:val="none"/>
          </w:rPr>
          <w:t>EGD Procedure (Upper Endoscopy)</w:t>
        </w:r>
        <w:r w:rsidRPr="00543966">
          <w:rPr>
            <w:rStyle w:val="Hyperlink"/>
            <w:rFonts w:asciiTheme="minorHAnsi" w:hAnsiTheme="minorHAnsi"/>
            <w:color w:val="000000" w:themeColor="text1"/>
            <w:u w:val="none"/>
          </w:rPr>
          <w:t>,</w:t>
        </w:r>
      </w:hyperlink>
      <w:r w:rsidRPr="00543966">
        <w:rPr>
          <w:rFonts w:asciiTheme="minorHAnsi" w:hAnsiTheme="minorHAnsi"/>
          <w:color w:val="000000" w:themeColor="text1"/>
        </w:rPr>
        <w:t xml:space="preserve"> CLEVELAND </w:t>
      </w:r>
      <w:r w:rsidRPr="00D06713">
        <w:rPr>
          <w:rFonts w:asciiTheme="minorHAnsi" w:hAnsiTheme="minorHAnsi"/>
        </w:rPr>
        <w:t xml:space="preserve">CLINIC, </w:t>
      </w:r>
      <w:hyperlink r:id="rId33" w:history="1">
        <w:r w:rsidRPr="00D06713">
          <w:rPr>
            <w:rStyle w:val="Hyperlink"/>
            <w:rFonts w:asciiTheme="minorHAnsi" w:hAnsiTheme="minorHAnsi"/>
            <w:color w:val="365F91" w:themeColor="accent1" w:themeShade="BF"/>
          </w:rPr>
          <w:t>https://my.clevelandclinic.org/health/procedures/22549-egd-procedure-upper-endoscopy</w:t>
        </w:r>
      </w:hyperlink>
      <w:r w:rsidRPr="00D06713">
        <w:rPr>
          <w:rFonts w:asciiTheme="minorHAnsi" w:hAnsiTheme="minorHAnsi"/>
          <w:color w:val="365F91" w:themeColor="accent1" w:themeShade="BF"/>
        </w:rPr>
        <w:t xml:space="preserve"> </w:t>
      </w:r>
      <w:r w:rsidRPr="00D06713">
        <w:rPr>
          <w:rFonts w:asciiTheme="minorHAnsi" w:hAnsiTheme="minorHAnsi"/>
        </w:rPr>
        <w:t>(last visited June 4, 2025).</w:t>
      </w:r>
    </w:p>
  </w:endnote>
  <w:endnote w:id="18">
    <w:p w14:paraId="78FDFE5B" w14:textId="44F39183" w:rsidR="002452E1" w:rsidRPr="00D06713" w:rsidRDefault="002452E1" w:rsidP="008303BC">
      <w:pPr>
        <w:pStyle w:val="EndnoteText"/>
        <w:rPr>
          <w:rFonts w:asciiTheme="minorHAnsi" w:hAnsiTheme="minorHAnsi"/>
        </w:rPr>
      </w:pPr>
      <w:r w:rsidRPr="00D06713">
        <w:rPr>
          <w:rStyle w:val="EndnoteReference"/>
          <w:rFonts w:asciiTheme="minorHAnsi" w:hAnsiTheme="minorHAnsi"/>
        </w:rPr>
        <w:endnoteRef/>
      </w:r>
      <w:r w:rsidRPr="00D06713">
        <w:rPr>
          <w:rFonts w:asciiTheme="minorHAnsi" w:hAnsiTheme="minorHAnsi"/>
        </w:rPr>
        <w:t xml:space="preserve"> </w:t>
      </w:r>
      <w:hyperlink r:id="rId34" w:history="1">
        <w:r w:rsidRPr="00543966">
          <w:rPr>
            <w:rStyle w:val="Hyperlink"/>
            <w:rFonts w:asciiTheme="minorHAnsi" w:hAnsiTheme="minorHAnsi"/>
            <w:i/>
            <w:iCs/>
            <w:color w:val="000000" w:themeColor="text1"/>
            <w:u w:val="none"/>
          </w:rPr>
          <w:t>Colonoscopy</w:t>
        </w:r>
      </w:hyperlink>
      <w:r w:rsidRPr="00543966">
        <w:rPr>
          <w:rFonts w:asciiTheme="minorHAnsi" w:hAnsiTheme="minorHAnsi"/>
          <w:color w:val="000000" w:themeColor="text1"/>
        </w:rPr>
        <w:t xml:space="preserve">, </w:t>
      </w:r>
      <w:r w:rsidRPr="00D06713">
        <w:rPr>
          <w:rFonts w:asciiTheme="minorHAnsi" w:hAnsiTheme="minorHAnsi"/>
        </w:rPr>
        <w:t xml:space="preserve">AMERICAN CANCER SOCIETY, </w:t>
      </w:r>
      <w:hyperlink r:id="rId35" w:history="1">
        <w:r w:rsidRPr="00D06713">
          <w:rPr>
            <w:rStyle w:val="Hyperlink"/>
            <w:rFonts w:asciiTheme="minorHAnsi" w:hAnsiTheme="minorHAnsi"/>
            <w:color w:val="365F91" w:themeColor="accent1" w:themeShade="BF"/>
          </w:rPr>
          <w:t>https://www.cancer.org/cancer/diagnosis-staging/tests/endoscopy/colonoscopy.html</w:t>
        </w:r>
      </w:hyperlink>
      <w:r w:rsidRPr="00D06713">
        <w:rPr>
          <w:rFonts w:asciiTheme="minorHAnsi" w:hAnsiTheme="minorHAnsi"/>
        </w:rPr>
        <w:t xml:space="preserve"> (last visited June 4, 2025).</w:t>
      </w:r>
    </w:p>
  </w:endnote>
  <w:endnote w:id="19">
    <w:p w14:paraId="5648D4DA" w14:textId="781CE2E2" w:rsidR="002452E1" w:rsidRPr="00D06713" w:rsidRDefault="002452E1" w:rsidP="00B17934">
      <w:pPr>
        <w:pStyle w:val="EndnoteText"/>
        <w:rPr>
          <w:rFonts w:asciiTheme="minorHAnsi" w:hAnsiTheme="minorHAnsi"/>
        </w:rPr>
      </w:pPr>
      <w:r w:rsidRPr="00D06713">
        <w:rPr>
          <w:rStyle w:val="EndnoteReference"/>
          <w:rFonts w:asciiTheme="minorHAnsi" w:hAnsiTheme="minorHAnsi"/>
        </w:rPr>
        <w:endnoteRef/>
      </w:r>
      <w:r w:rsidRPr="00D06713">
        <w:rPr>
          <w:rFonts w:asciiTheme="minorHAnsi" w:hAnsiTheme="minorHAnsi"/>
        </w:rPr>
        <w:t xml:space="preserve"> </w:t>
      </w:r>
      <w:hyperlink r:id="rId36" w:history="1">
        <w:r w:rsidR="00225E8A" w:rsidRPr="00543966">
          <w:rPr>
            <w:rStyle w:val="Hyperlink"/>
            <w:rFonts w:asciiTheme="minorHAnsi" w:hAnsiTheme="minorHAnsi"/>
            <w:i/>
            <w:iCs/>
            <w:color w:val="000000" w:themeColor="text1"/>
            <w:u w:val="none"/>
          </w:rPr>
          <w:t>Key Statistics for Colorectal Cancer</w:t>
        </w:r>
        <w:r w:rsidR="00225E8A" w:rsidRPr="00543966">
          <w:rPr>
            <w:rStyle w:val="Hyperlink"/>
            <w:rFonts w:asciiTheme="minorHAnsi" w:hAnsiTheme="minorHAnsi"/>
            <w:color w:val="000000" w:themeColor="text1"/>
            <w:u w:val="none"/>
          </w:rPr>
          <w:t>,</w:t>
        </w:r>
      </w:hyperlink>
      <w:r w:rsidR="00225E8A" w:rsidRPr="00543966">
        <w:rPr>
          <w:rFonts w:asciiTheme="minorHAnsi" w:hAnsiTheme="minorHAnsi"/>
          <w:color w:val="000000" w:themeColor="text1"/>
        </w:rPr>
        <w:t xml:space="preserve"> </w:t>
      </w:r>
      <w:r w:rsidR="00225E8A" w:rsidRPr="00543966">
        <w:rPr>
          <w:rFonts w:asciiTheme="minorHAnsi" w:hAnsiTheme="minorHAnsi"/>
          <w:smallCaps/>
          <w:color w:val="000000" w:themeColor="text1"/>
        </w:rPr>
        <w:t xml:space="preserve">American </w:t>
      </w:r>
      <w:r w:rsidR="00225E8A" w:rsidRPr="00225E8A">
        <w:rPr>
          <w:rFonts w:asciiTheme="minorHAnsi" w:hAnsiTheme="minorHAnsi"/>
          <w:smallCaps/>
        </w:rPr>
        <w:t>Cancer Society</w:t>
      </w:r>
      <w:r w:rsidR="00225E8A" w:rsidRPr="00225E8A">
        <w:rPr>
          <w:rFonts w:asciiTheme="minorHAnsi" w:hAnsiTheme="minorHAnsi"/>
        </w:rPr>
        <w:t xml:space="preserve">, </w:t>
      </w:r>
      <w:hyperlink r:id="rId37" w:history="1">
        <w:r w:rsidR="00225E8A" w:rsidRPr="00225E8A">
          <w:rPr>
            <w:rStyle w:val="Hyperlink"/>
            <w:rFonts w:asciiTheme="minorHAnsi" w:hAnsiTheme="minorHAnsi"/>
            <w:color w:val="365F91" w:themeColor="accent1" w:themeShade="BF"/>
          </w:rPr>
          <w:t>https://www.cancer.org/cancer/types/colon-rectal-cancer/about/key-statistics.html</w:t>
        </w:r>
      </w:hyperlink>
      <w:r w:rsidR="00225E8A" w:rsidRPr="00225E8A">
        <w:rPr>
          <w:rFonts w:asciiTheme="minorHAnsi" w:hAnsiTheme="minorHAnsi"/>
        </w:rPr>
        <w:t xml:space="preserve"> (last revised Apr. 28, 2025).</w:t>
      </w:r>
    </w:p>
  </w:endnote>
  <w:endnote w:id="20">
    <w:p w14:paraId="6704C503" w14:textId="591FE1D9" w:rsidR="00CC14C5" w:rsidRDefault="00CC14C5">
      <w:pPr>
        <w:pStyle w:val="EndnoteText"/>
      </w:pPr>
      <w:r w:rsidRPr="00DF382C">
        <w:rPr>
          <w:rStyle w:val="EndnoteReference"/>
        </w:rPr>
        <w:endnoteRef/>
      </w:r>
      <w:r w:rsidRPr="00DF382C">
        <w:t xml:space="preserve"> </w:t>
      </w:r>
      <w:r w:rsidR="00854DD1" w:rsidRPr="00DF382C">
        <w:t xml:space="preserve">Bisola Ojikutu, MD. </w:t>
      </w:r>
      <w:r w:rsidR="00A81740" w:rsidRPr="00DF382C">
        <w:t xml:space="preserve"> </w:t>
      </w:r>
      <w:hyperlink r:id="rId38" w:history="1">
        <w:r w:rsidR="00DF382C" w:rsidRPr="00543966">
          <w:rPr>
            <w:rStyle w:val="Hyperlink"/>
            <w:i/>
            <w:iCs/>
            <w:color w:val="000000" w:themeColor="text1"/>
            <w:u w:val="none"/>
          </w:rPr>
          <w:t>Health of Boston</w:t>
        </w:r>
      </w:hyperlink>
      <w:r w:rsidR="00DF382C" w:rsidRPr="00543966">
        <w:rPr>
          <w:color w:val="000000" w:themeColor="text1"/>
        </w:rPr>
        <w:t xml:space="preserve"> (2023</w:t>
      </w:r>
      <w:r w:rsidR="00DF382C" w:rsidRPr="00DF382C">
        <w:t xml:space="preserve">) </w:t>
      </w:r>
      <w:hyperlink r:id="rId39" w:history="1">
        <w:r w:rsidR="00DF382C" w:rsidRPr="00DF382C">
          <w:rPr>
            <w:rStyle w:val="Hyperlink"/>
            <w:rFonts w:ascii="Aptos" w:hAnsi="Aptos"/>
            <w:color w:val="365F91" w:themeColor="accent1" w:themeShade="BF"/>
          </w:rPr>
          <w:t>https://www.boston.gov/sites/default/files/file/2023/05/HOB_Cancer_2023_FINAL_May11.pdf</w:t>
        </w:r>
      </w:hyperlink>
    </w:p>
  </w:endnote>
  <w:endnote w:id="21">
    <w:p w14:paraId="64EED914" w14:textId="74E412D3" w:rsidR="002452E1" w:rsidRPr="00D06713" w:rsidRDefault="002452E1" w:rsidP="00B54B7B">
      <w:pPr>
        <w:pStyle w:val="EndnoteText"/>
        <w:rPr>
          <w:rFonts w:asciiTheme="minorHAnsi" w:hAnsiTheme="minorHAnsi"/>
        </w:rPr>
      </w:pPr>
      <w:r w:rsidRPr="00D06713">
        <w:rPr>
          <w:rStyle w:val="EndnoteReference"/>
          <w:rFonts w:asciiTheme="minorHAnsi" w:hAnsiTheme="minorHAnsi"/>
        </w:rPr>
        <w:endnoteRef/>
      </w:r>
      <w:r w:rsidRPr="00D06713">
        <w:rPr>
          <w:rFonts w:asciiTheme="minorHAnsi" w:hAnsiTheme="minorHAnsi"/>
        </w:rPr>
        <w:t xml:space="preserve"> Meester RG, Doubeni CA, Zauber AG, et al.</w:t>
      </w:r>
      <w:r w:rsidRPr="00543966">
        <w:rPr>
          <w:rFonts w:asciiTheme="minorHAnsi" w:hAnsiTheme="minorHAnsi"/>
          <w:color w:val="000000" w:themeColor="text1"/>
        </w:rPr>
        <w:t xml:space="preserve"> </w:t>
      </w:r>
      <w:hyperlink r:id="rId40" w:history="1">
        <w:r w:rsidRPr="00543966">
          <w:rPr>
            <w:rStyle w:val="Hyperlink"/>
            <w:rFonts w:asciiTheme="minorHAnsi" w:hAnsiTheme="minorHAnsi"/>
            <w:color w:val="000000" w:themeColor="text1"/>
            <w:u w:val="none"/>
          </w:rPr>
          <w:t>Public Health Impact Of Achieving 80% Colorectal Cancer Screening Rates In The United States By 2018</w:t>
        </w:r>
      </w:hyperlink>
      <w:r w:rsidRPr="00543966">
        <w:rPr>
          <w:rFonts w:asciiTheme="minorHAnsi" w:hAnsiTheme="minorHAnsi"/>
          <w:color w:val="000000" w:themeColor="text1"/>
        </w:rPr>
        <w:t>. </w:t>
      </w:r>
      <w:r w:rsidRPr="00543966">
        <w:rPr>
          <w:rFonts w:asciiTheme="minorHAnsi" w:hAnsiTheme="minorHAnsi"/>
          <w:i/>
          <w:iCs/>
          <w:color w:val="000000" w:themeColor="text1"/>
        </w:rPr>
        <w:t>Cancer</w:t>
      </w:r>
      <w:r w:rsidRPr="00543966">
        <w:rPr>
          <w:rFonts w:asciiTheme="minorHAnsi" w:hAnsiTheme="minorHAnsi"/>
          <w:color w:val="000000" w:themeColor="text1"/>
        </w:rPr>
        <w:t>. 2015;121</w:t>
      </w:r>
      <w:r w:rsidRPr="00D06713">
        <w:rPr>
          <w:rFonts w:asciiTheme="minorHAnsi" w:hAnsiTheme="minorHAnsi"/>
        </w:rPr>
        <w:t xml:space="preserve">(13):2281–2285, </w:t>
      </w:r>
      <w:hyperlink r:id="rId41" w:history="1">
        <w:r w:rsidRPr="00D06713">
          <w:rPr>
            <w:rStyle w:val="Hyperlink"/>
            <w:rFonts w:asciiTheme="minorHAnsi" w:hAnsiTheme="minorHAnsi"/>
            <w:color w:val="365F91" w:themeColor="accent1" w:themeShade="BF"/>
          </w:rPr>
          <w:t>https://acsjournals.onlinelibrary.wiley.com/doi/10.3322/caac.21772</w:t>
        </w:r>
      </w:hyperlink>
      <w:r w:rsidRPr="00D06713">
        <w:rPr>
          <w:rFonts w:asciiTheme="minorHAnsi" w:hAnsiTheme="minorHAnsi"/>
          <w:color w:val="365F91" w:themeColor="accent1" w:themeShade="BF"/>
        </w:rPr>
        <w:t>.</w:t>
      </w:r>
    </w:p>
  </w:endnote>
  <w:endnote w:id="22">
    <w:p w14:paraId="3A0AB84C" w14:textId="0FADDF78" w:rsidR="002452E1" w:rsidRPr="00D06713" w:rsidRDefault="002452E1" w:rsidP="00B54B7B">
      <w:pPr>
        <w:pStyle w:val="EndnoteText"/>
        <w:rPr>
          <w:rFonts w:asciiTheme="minorHAnsi" w:hAnsiTheme="minorHAnsi"/>
        </w:rPr>
      </w:pPr>
      <w:r w:rsidRPr="00D06713">
        <w:rPr>
          <w:rStyle w:val="EndnoteReference"/>
          <w:rFonts w:asciiTheme="minorHAnsi" w:hAnsiTheme="minorHAnsi"/>
        </w:rPr>
        <w:endnoteRef/>
      </w:r>
      <w:r w:rsidRPr="00D06713">
        <w:rPr>
          <w:rFonts w:asciiTheme="minorHAnsi" w:hAnsiTheme="minorHAnsi"/>
        </w:rPr>
        <w:t xml:space="preserve"> </w:t>
      </w:r>
      <w:hyperlink r:id="rId42" w:history="1">
        <w:r w:rsidRPr="00543966">
          <w:rPr>
            <w:rStyle w:val="Hyperlink"/>
            <w:rFonts w:asciiTheme="minorHAnsi" w:hAnsiTheme="minorHAnsi"/>
            <w:i/>
            <w:iCs/>
            <w:color w:val="000000" w:themeColor="text1"/>
            <w:u w:val="none"/>
          </w:rPr>
          <w:t>Colorectal Cancer</w:t>
        </w:r>
        <w:r w:rsidRPr="00543966">
          <w:rPr>
            <w:rStyle w:val="Hyperlink"/>
            <w:rFonts w:asciiTheme="minorHAnsi" w:hAnsiTheme="minorHAnsi"/>
            <w:color w:val="000000" w:themeColor="text1"/>
            <w:u w:val="none"/>
          </w:rPr>
          <w:t>,</w:t>
        </w:r>
      </w:hyperlink>
      <w:r w:rsidRPr="00543966">
        <w:rPr>
          <w:rFonts w:asciiTheme="minorHAnsi" w:hAnsiTheme="minorHAnsi"/>
          <w:color w:val="000000" w:themeColor="text1"/>
        </w:rPr>
        <w:t xml:space="preserve"> </w:t>
      </w:r>
      <w:r w:rsidRPr="00543966">
        <w:rPr>
          <w:rFonts w:asciiTheme="minorHAnsi" w:hAnsiTheme="minorHAnsi"/>
          <w:smallCaps/>
          <w:color w:val="000000" w:themeColor="text1"/>
        </w:rPr>
        <w:t xml:space="preserve">Centers </w:t>
      </w:r>
      <w:r w:rsidRPr="00D06713">
        <w:rPr>
          <w:rFonts w:asciiTheme="minorHAnsi" w:hAnsiTheme="minorHAnsi"/>
          <w:smallCaps/>
        </w:rPr>
        <w:t>for Disease Control &amp; Prevention</w:t>
      </w:r>
      <w:r w:rsidRPr="00D06713">
        <w:rPr>
          <w:rFonts w:asciiTheme="minorHAnsi" w:hAnsiTheme="minorHAnsi"/>
        </w:rPr>
        <w:t xml:space="preserve">, </w:t>
      </w:r>
      <w:hyperlink r:id="rId43" w:history="1">
        <w:r w:rsidRPr="00D06713">
          <w:rPr>
            <w:rStyle w:val="Hyperlink"/>
            <w:rFonts w:asciiTheme="minorHAnsi" w:hAnsiTheme="minorHAnsi"/>
            <w:color w:val="365F91" w:themeColor="accent1" w:themeShade="BF"/>
          </w:rPr>
          <w:t>https://www.cdc.gov/nccdphp/priorities/colorectal-cancer.html</w:t>
        </w:r>
      </w:hyperlink>
      <w:r w:rsidRPr="00D06713">
        <w:rPr>
          <w:rFonts w:asciiTheme="minorHAnsi" w:hAnsiTheme="minorHAnsi"/>
        </w:rPr>
        <w:t xml:space="preserve"> (Oct. 16, 2024).</w:t>
      </w:r>
    </w:p>
  </w:endnote>
  <w:endnote w:id="23">
    <w:p w14:paraId="4F62AAB5" w14:textId="05010BC4" w:rsidR="002452E1" w:rsidRPr="00D06713" w:rsidRDefault="002452E1" w:rsidP="005613C7">
      <w:pPr>
        <w:pStyle w:val="EndnoteText"/>
        <w:rPr>
          <w:rFonts w:asciiTheme="minorHAnsi" w:hAnsiTheme="minorHAnsi"/>
        </w:rPr>
      </w:pPr>
      <w:r w:rsidRPr="00D06713">
        <w:rPr>
          <w:rStyle w:val="EndnoteReference"/>
          <w:rFonts w:asciiTheme="minorHAnsi" w:hAnsiTheme="minorHAnsi"/>
        </w:rPr>
        <w:endnoteRef/>
      </w:r>
      <w:r w:rsidRPr="00D06713">
        <w:rPr>
          <w:rFonts w:asciiTheme="minorHAnsi" w:hAnsiTheme="minorHAnsi"/>
        </w:rPr>
        <w:t xml:space="preserve"> Beverly B. Green MD, MPH, Richard T. Meenan PhD, MPH, </w:t>
      </w:r>
      <w:hyperlink r:id="rId44" w:history="1">
        <w:r w:rsidRPr="00AD635C">
          <w:rPr>
            <w:rStyle w:val="Hyperlink"/>
            <w:rFonts w:asciiTheme="minorHAnsi" w:hAnsiTheme="minorHAnsi"/>
            <w:i/>
            <w:iCs/>
            <w:color w:val="000000" w:themeColor="text1"/>
            <w:u w:val="none"/>
          </w:rPr>
          <w:t>Colorectal Cancer Screening: The Costs and Benefits of Getting to 80% in Every Community</w:t>
        </w:r>
        <w:r w:rsidRPr="00AD635C">
          <w:rPr>
            <w:rStyle w:val="Hyperlink"/>
            <w:rFonts w:asciiTheme="minorHAnsi" w:hAnsiTheme="minorHAnsi"/>
            <w:color w:val="000000" w:themeColor="text1"/>
            <w:u w:val="none"/>
          </w:rPr>
          <w:t>,</w:t>
        </w:r>
      </w:hyperlink>
      <w:r w:rsidRPr="00AD635C">
        <w:rPr>
          <w:rFonts w:asciiTheme="minorHAnsi" w:hAnsiTheme="minorHAnsi"/>
          <w:color w:val="000000" w:themeColor="text1"/>
        </w:rPr>
        <w:t xml:space="preserve"> </w:t>
      </w:r>
      <w:r w:rsidRPr="00AD635C">
        <w:rPr>
          <w:rFonts w:asciiTheme="minorHAnsi" w:hAnsiTheme="minorHAnsi"/>
          <w:smallCaps/>
          <w:color w:val="000000" w:themeColor="text1"/>
        </w:rPr>
        <w:t>Cancer</w:t>
      </w:r>
      <w:r w:rsidRPr="00AD635C">
        <w:rPr>
          <w:rFonts w:asciiTheme="minorHAnsi" w:hAnsiTheme="minorHAnsi"/>
          <w:color w:val="000000" w:themeColor="text1"/>
        </w:rPr>
        <w:t xml:space="preserve"> </w:t>
      </w:r>
      <w:r w:rsidRPr="00D06713">
        <w:rPr>
          <w:rFonts w:asciiTheme="minorHAnsi" w:hAnsiTheme="minorHAnsi"/>
        </w:rPr>
        <w:t>(July 20, 2020),</w:t>
      </w:r>
      <w:r w:rsidRPr="00D06713">
        <w:rPr>
          <w:rFonts w:asciiTheme="minorHAnsi" w:hAnsiTheme="minorHAnsi"/>
          <w:color w:val="365F91" w:themeColor="accent1" w:themeShade="BF"/>
        </w:rPr>
        <w:t xml:space="preserve"> </w:t>
      </w:r>
      <w:hyperlink r:id="rId45" w:history="1">
        <w:r w:rsidRPr="00D06713">
          <w:rPr>
            <w:rStyle w:val="Hyperlink"/>
            <w:rFonts w:asciiTheme="minorHAnsi" w:hAnsiTheme="minorHAnsi"/>
            <w:color w:val="365F91" w:themeColor="accent1" w:themeShade="BF"/>
          </w:rPr>
          <w:t>https://acsjournals.onlinelibrary.wiley.com/doi/10.1002/cncr.32990</w:t>
        </w:r>
      </w:hyperlink>
      <w:r w:rsidRPr="00D06713">
        <w:rPr>
          <w:rFonts w:asciiTheme="minorHAnsi" w:hAnsiTheme="minorHAnsi"/>
        </w:rPr>
        <w:t xml:space="preserve">. </w:t>
      </w:r>
    </w:p>
  </w:endnote>
  <w:endnote w:id="24">
    <w:p w14:paraId="5B02CA32" w14:textId="3455C5F1" w:rsidR="00CB4F79" w:rsidRPr="00D06713" w:rsidRDefault="00CB4F79">
      <w:pPr>
        <w:pStyle w:val="EndnoteText"/>
        <w:rPr>
          <w:rFonts w:asciiTheme="minorHAnsi" w:hAnsiTheme="minorHAnsi"/>
        </w:rPr>
      </w:pPr>
      <w:r w:rsidRPr="00D06713">
        <w:rPr>
          <w:rStyle w:val="EndnoteReference"/>
          <w:rFonts w:asciiTheme="minorHAnsi" w:hAnsiTheme="minorHAnsi"/>
        </w:rPr>
        <w:endnoteRef/>
      </w:r>
      <w:r w:rsidRPr="00D06713">
        <w:rPr>
          <w:rFonts w:asciiTheme="minorHAnsi" w:hAnsiTheme="minorHAnsi"/>
        </w:rPr>
        <w:t xml:space="preserve"> </w:t>
      </w:r>
      <w:hyperlink r:id="rId46" w:history="1">
        <w:r w:rsidR="00034F5E" w:rsidRPr="00155556">
          <w:rPr>
            <w:rStyle w:val="Hyperlink"/>
            <w:rFonts w:asciiTheme="minorHAnsi" w:hAnsiTheme="minorHAnsi"/>
            <w:i/>
            <w:iCs/>
            <w:color w:val="000000" w:themeColor="text1"/>
            <w:u w:val="none"/>
          </w:rPr>
          <w:t>Ambulatory Surgery Centers Versus Hospital-Based Outpatient Departments: What’s the Difference?,</w:t>
        </w:r>
      </w:hyperlink>
      <w:r w:rsidR="00034F5E" w:rsidRPr="00155556">
        <w:rPr>
          <w:rFonts w:asciiTheme="minorHAnsi" w:hAnsiTheme="minorHAnsi"/>
          <w:color w:val="000000" w:themeColor="text1"/>
        </w:rPr>
        <w:t xml:space="preserve"> AMERICAN </w:t>
      </w:r>
      <w:r w:rsidR="00034F5E" w:rsidRPr="00D06713">
        <w:rPr>
          <w:rFonts w:asciiTheme="minorHAnsi" w:hAnsiTheme="minorHAnsi"/>
        </w:rPr>
        <w:t xml:space="preserve">ACADEMY OF ORTHOPEDIC SURGEONS, </w:t>
      </w:r>
      <w:hyperlink r:id="rId47" w:history="1">
        <w:r w:rsidR="00034F5E" w:rsidRPr="00D06713">
          <w:rPr>
            <w:rStyle w:val="Hyperlink"/>
            <w:rFonts w:asciiTheme="minorHAnsi" w:hAnsiTheme="minorHAnsi"/>
            <w:color w:val="365F91" w:themeColor="accent1" w:themeShade="BF"/>
          </w:rPr>
          <w:t>https://www.aaos.org/aaosnow/2019/sep/managing/managing02/</w:t>
        </w:r>
      </w:hyperlink>
      <w:r w:rsidR="00034F5E" w:rsidRPr="00D06713">
        <w:rPr>
          <w:rFonts w:asciiTheme="minorHAnsi" w:hAnsiTheme="minorHAnsi"/>
          <w:color w:val="365F91" w:themeColor="accent1" w:themeShade="BF"/>
        </w:rPr>
        <w:t xml:space="preserve"> (</w:t>
      </w:r>
      <w:r w:rsidR="00034F5E" w:rsidRPr="00D06713">
        <w:rPr>
          <w:rFonts w:asciiTheme="minorHAnsi" w:hAnsiTheme="minorHAnsi"/>
        </w:rPr>
        <w:t>last visited June 4, 2025).</w:t>
      </w:r>
    </w:p>
  </w:endnote>
  <w:endnote w:id="25">
    <w:p w14:paraId="1275BE76" w14:textId="2168D65D" w:rsidR="00370D43" w:rsidRPr="00D06713" w:rsidRDefault="00370D43">
      <w:pPr>
        <w:pStyle w:val="EndnoteText"/>
        <w:rPr>
          <w:rFonts w:asciiTheme="minorHAnsi" w:hAnsiTheme="minorHAnsi"/>
        </w:rPr>
      </w:pPr>
      <w:r w:rsidRPr="00D06713">
        <w:rPr>
          <w:rStyle w:val="EndnoteReference"/>
          <w:rFonts w:asciiTheme="minorHAnsi" w:hAnsiTheme="minorHAnsi"/>
        </w:rPr>
        <w:endnoteRef/>
      </w:r>
      <w:r w:rsidRPr="00D06713">
        <w:rPr>
          <w:rFonts w:asciiTheme="minorHAnsi" w:hAnsiTheme="minorHAnsi"/>
        </w:rPr>
        <w:t xml:space="preserve"> James C. Robinson and Christoper </w:t>
      </w:r>
      <w:r w:rsidRPr="00155556">
        <w:rPr>
          <w:rFonts w:asciiTheme="minorHAnsi" w:hAnsiTheme="minorHAnsi"/>
          <w:color w:val="000000" w:themeColor="text1"/>
        </w:rPr>
        <w:t xml:space="preserve">M. Whaley, </w:t>
      </w:r>
      <w:hyperlink r:id="rId48" w:history="1">
        <w:r w:rsidRPr="00155556">
          <w:rPr>
            <w:rStyle w:val="Hyperlink"/>
            <w:rFonts w:asciiTheme="minorHAnsi" w:hAnsiTheme="minorHAnsi"/>
            <w:i/>
            <w:iCs/>
            <w:color w:val="000000" w:themeColor="text1"/>
            <w:u w:val="none"/>
          </w:rPr>
          <w:t>Prices and Complications in Hospital-Based and Freestanding Surgery Centers</w:t>
        </w:r>
        <w:r w:rsidRPr="00155556">
          <w:rPr>
            <w:rStyle w:val="Hyperlink"/>
            <w:rFonts w:asciiTheme="minorHAnsi" w:hAnsiTheme="minorHAnsi"/>
            <w:color w:val="000000" w:themeColor="text1"/>
            <w:u w:val="none"/>
          </w:rPr>
          <w:t>,</w:t>
        </w:r>
      </w:hyperlink>
      <w:r w:rsidRPr="00155556">
        <w:rPr>
          <w:rFonts w:asciiTheme="minorHAnsi" w:hAnsiTheme="minorHAnsi"/>
          <w:color w:val="000000" w:themeColor="text1"/>
        </w:rPr>
        <w:t xml:space="preserve"> AMERICAN </w:t>
      </w:r>
      <w:r w:rsidRPr="00D06713">
        <w:rPr>
          <w:rFonts w:asciiTheme="minorHAnsi" w:hAnsiTheme="minorHAnsi"/>
        </w:rPr>
        <w:t xml:space="preserve">JOURNAL OF MANAGED CARE, (2024) </w:t>
      </w:r>
      <w:hyperlink r:id="rId49" w:history="1">
        <w:r w:rsidR="00D06713" w:rsidRPr="00D06713">
          <w:rPr>
            <w:rStyle w:val="Hyperlink"/>
            <w:rFonts w:asciiTheme="minorHAnsi" w:hAnsiTheme="minorHAnsi"/>
            <w:color w:val="365F91" w:themeColor="accent1" w:themeShade="BF"/>
          </w:rPr>
          <w:t>https://www.ajmc.com/view/prices-and-complications-in-hospital-based-and-freestanding-surgery-centers</w:t>
        </w:r>
      </w:hyperlink>
      <w:r w:rsidR="00D06713" w:rsidRPr="00D06713">
        <w:rPr>
          <w:rFonts w:asciiTheme="minorHAnsi" w:hAnsiTheme="minorHAnsi"/>
        </w:rPr>
        <w:t xml:space="preserve"> </w:t>
      </w:r>
      <w:r w:rsidRPr="00D06713">
        <w:rPr>
          <w:rFonts w:asciiTheme="minorHAnsi" w:hAnsiTheme="minorHAnsi"/>
        </w:rPr>
        <w:t>.</w:t>
      </w:r>
    </w:p>
  </w:endnote>
  <w:endnote w:id="26">
    <w:p w14:paraId="484E3B14" w14:textId="55C33993" w:rsidR="008A75A0" w:rsidRPr="00D06713" w:rsidRDefault="008A75A0" w:rsidP="003F7CB5">
      <w:pPr>
        <w:pStyle w:val="EndnoteText"/>
        <w:rPr>
          <w:rFonts w:asciiTheme="minorHAnsi" w:hAnsiTheme="minorHAnsi"/>
        </w:rPr>
      </w:pPr>
      <w:r w:rsidRPr="00D06713">
        <w:rPr>
          <w:rStyle w:val="EndnoteReference"/>
          <w:rFonts w:asciiTheme="minorHAnsi" w:hAnsiTheme="minorHAnsi"/>
        </w:rPr>
        <w:endnoteRef/>
      </w:r>
      <w:r w:rsidRPr="00D06713">
        <w:rPr>
          <w:rFonts w:asciiTheme="minorHAnsi" w:hAnsiTheme="minorHAnsi"/>
        </w:rPr>
        <w:t xml:space="preserve"> Johnathan B. Imran et al, </w:t>
      </w:r>
      <w:hyperlink r:id="rId50" w:history="1">
        <w:r w:rsidRPr="00E36A91">
          <w:rPr>
            <w:rStyle w:val="Hyperlink"/>
            <w:rFonts w:asciiTheme="minorHAnsi" w:hAnsiTheme="minorHAnsi"/>
            <w:color w:val="000000" w:themeColor="text1"/>
            <w:u w:val="none"/>
          </w:rPr>
          <w:t>A</w:t>
        </w:r>
        <w:r w:rsidRPr="00E36A91">
          <w:rPr>
            <w:rStyle w:val="Hyperlink"/>
            <w:rFonts w:asciiTheme="minorHAnsi" w:hAnsiTheme="minorHAnsi"/>
            <w:i/>
            <w:iCs/>
            <w:color w:val="000000" w:themeColor="text1"/>
            <w:u w:val="none"/>
          </w:rPr>
          <w:t>nalysis of Operating Room Efficiency Between a Hospital-Owned Ambulatory Surgical Center and Hospital Outpatient Department</w:t>
        </w:r>
      </w:hyperlink>
      <w:r w:rsidRPr="00E36A91">
        <w:rPr>
          <w:rFonts w:asciiTheme="minorHAnsi" w:hAnsiTheme="minorHAnsi"/>
          <w:color w:val="000000" w:themeColor="text1"/>
        </w:rPr>
        <w:t xml:space="preserve">, AMERICAN </w:t>
      </w:r>
      <w:r w:rsidRPr="00D06713">
        <w:rPr>
          <w:rFonts w:asciiTheme="minorHAnsi" w:hAnsiTheme="minorHAnsi"/>
        </w:rPr>
        <w:t xml:space="preserve">JOURNAL OF SURGERY (2019), available at </w:t>
      </w:r>
      <w:hyperlink r:id="rId51" w:history="1">
        <w:r w:rsidRPr="00D06713">
          <w:rPr>
            <w:rStyle w:val="Hyperlink"/>
            <w:rFonts w:asciiTheme="minorHAnsi" w:hAnsiTheme="minorHAnsi"/>
            <w:color w:val="365F91" w:themeColor="accent1" w:themeShade="BF"/>
          </w:rPr>
          <w:t>https://www.americanjournalofsurgery.com/article/S0002-9610(18)31528-9/abstract</w:t>
        </w:r>
      </w:hyperlink>
      <w:r w:rsidRPr="00D06713">
        <w:rPr>
          <w:rFonts w:asciiTheme="minorHAnsi" w:hAnsiTheme="minorHAnsi"/>
        </w:rPr>
        <w:t>.</w:t>
      </w:r>
    </w:p>
  </w:endnote>
  <w:endnote w:id="27">
    <w:p w14:paraId="7C3D4E8C" w14:textId="6EF81ED2" w:rsidR="008A75A0" w:rsidRPr="00D06713" w:rsidRDefault="008A75A0" w:rsidP="003F7CB5">
      <w:pPr>
        <w:pStyle w:val="EndnoteText"/>
        <w:rPr>
          <w:rFonts w:asciiTheme="minorHAnsi" w:hAnsiTheme="minorHAnsi"/>
        </w:rPr>
      </w:pPr>
      <w:r w:rsidRPr="00D06713">
        <w:rPr>
          <w:rStyle w:val="EndnoteReference"/>
          <w:rFonts w:asciiTheme="minorHAnsi" w:hAnsiTheme="minorHAnsi"/>
        </w:rPr>
        <w:endnoteRef/>
      </w:r>
      <w:r w:rsidRPr="00D06713">
        <w:rPr>
          <w:rFonts w:asciiTheme="minorHAnsi" w:hAnsiTheme="minorHAnsi"/>
        </w:rPr>
        <w:t xml:space="preserve"> </w:t>
      </w:r>
      <w:hyperlink r:id="rId52" w:history="1">
        <w:r w:rsidRPr="00047650">
          <w:rPr>
            <w:rStyle w:val="Hyperlink"/>
            <w:rFonts w:asciiTheme="minorHAnsi" w:hAnsiTheme="minorHAnsi"/>
            <w:i/>
            <w:iCs/>
            <w:color w:val="000000" w:themeColor="text1"/>
            <w:u w:val="none"/>
          </w:rPr>
          <w:t>Procedure Price Lookup</w:t>
        </w:r>
        <w:r w:rsidRPr="00047650">
          <w:rPr>
            <w:rStyle w:val="Hyperlink"/>
            <w:rFonts w:asciiTheme="minorHAnsi" w:hAnsiTheme="minorHAnsi"/>
            <w:color w:val="000000" w:themeColor="text1"/>
            <w:u w:val="none"/>
          </w:rPr>
          <w:t>,</w:t>
        </w:r>
      </w:hyperlink>
      <w:r w:rsidRPr="00047650">
        <w:rPr>
          <w:rFonts w:asciiTheme="minorHAnsi" w:hAnsiTheme="minorHAnsi"/>
          <w:color w:val="000000" w:themeColor="text1"/>
        </w:rPr>
        <w:t xml:space="preserve"> MEDICARE</w:t>
      </w:r>
      <w:r w:rsidRPr="00D06713">
        <w:rPr>
          <w:rFonts w:asciiTheme="minorHAnsi" w:hAnsiTheme="minorHAnsi"/>
        </w:rPr>
        <w:t xml:space="preserve">.GOV, </w:t>
      </w:r>
      <w:hyperlink r:id="rId53" w:history="1">
        <w:r w:rsidRPr="00D06713">
          <w:rPr>
            <w:rStyle w:val="Hyperlink"/>
            <w:rFonts w:asciiTheme="minorHAnsi" w:hAnsiTheme="minorHAnsi"/>
            <w:color w:val="365F91" w:themeColor="accent1" w:themeShade="BF"/>
          </w:rPr>
          <w:t>https://www.medicare.gov/procedure-price-lookup/</w:t>
        </w:r>
      </w:hyperlink>
      <w:r w:rsidRPr="00D06713">
        <w:rPr>
          <w:rFonts w:asciiTheme="minorHAnsi" w:hAnsiTheme="minorHAnsi"/>
          <w:color w:val="365F91" w:themeColor="accent1" w:themeShade="BF"/>
        </w:rPr>
        <w:t xml:space="preserve"> </w:t>
      </w:r>
      <w:r w:rsidRPr="00D06713">
        <w:rPr>
          <w:rFonts w:asciiTheme="minorHAnsi" w:hAnsiTheme="minorHAnsi"/>
        </w:rPr>
        <w:t>(last visited July 1, 2025).</w:t>
      </w:r>
    </w:p>
  </w:endnote>
  <w:endnote w:id="28">
    <w:p w14:paraId="7EFAABAB" w14:textId="001ABD0C" w:rsidR="008A75A0" w:rsidRPr="00FA6D0E" w:rsidRDefault="008A75A0" w:rsidP="003F7CB5">
      <w:pPr>
        <w:pStyle w:val="EndnoteText"/>
        <w:rPr>
          <w:rFonts w:asciiTheme="minorHAnsi" w:hAnsiTheme="minorHAnsi"/>
        </w:rPr>
      </w:pPr>
      <w:r w:rsidRPr="00D06713">
        <w:rPr>
          <w:rStyle w:val="EndnoteReference"/>
          <w:rFonts w:asciiTheme="minorHAnsi" w:hAnsiTheme="minorHAnsi"/>
        </w:rPr>
        <w:endnoteRef/>
      </w:r>
      <w:r w:rsidRPr="00D06713">
        <w:rPr>
          <w:rFonts w:asciiTheme="minorHAnsi" w:hAnsiTheme="minorHAnsi"/>
        </w:rPr>
        <w:t xml:space="preserve"> </w:t>
      </w:r>
      <w:r w:rsidR="00FA6D0E" w:rsidRPr="00FA6D0E">
        <w:rPr>
          <w:rFonts w:asciiTheme="minorHAnsi" w:hAnsiTheme="minorHAnsi"/>
        </w:rPr>
        <w:t>Beverly B. Green MD, MPH, Richard T. Meenan PhD, MPH,</w:t>
      </w:r>
      <w:r w:rsidR="00FA6D0E" w:rsidRPr="00F65BFC">
        <w:rPr>
          <w:rFonts w:asciiTheme="minorHAnsi" w:hAnsiTheme="minorHAnsi"/>
          <w:color w:val="000000" w:themeColor="text1"/>
        </w:rPr>
        <w:t xml:space="preserve"> </w:t>
      </w:r>
      <w:hyperlink r:id="rId54" w:history="1">
        <w:r w:rsidR="00FA6D0E" w:rsidRPr="00F65BFC">
          <w:rPr>
            <w:rStyle w:val="Hyperlink"/>
            <w:rFonts w:asciiTheme="minorHAnsi" w:hAnsiTheme="minorHAnsi"/>
            <w:i/>
            <w:iCs/>
            <w:color w:val="000000" w:themeColor="text1"/>
            <w:u w:val="none"/>
          </w:rPr>
          <w:t>Colorectal Cancer Screening: The Costs and Benefits of Getting to 80% in Every Community</w:t>
        </w:r>
      </w:hyperlink>
      <w:r w:rsidR="00FA6D0E" w:rsidRPr="00F65BFC">
        <w:rPr>
          <w:rFonts w:asciiTheme="minorHAnsi" w:hAnsiTheme="minorHAnsi"/>
          <w:color w:val="000000" w:themeColor="text1"/>
        </w:rPr>
        <w:t xml:space="preserve">, </w:t>
      </w:r>
      <w:r w:rsidR="00FA6D0E" w:rsidRPr="00F65BFC">
        <w:rPr>
          <w:rFonts w:asciiTheme="minorHAnsi" w:hAnsiTheme="minorHAnsi"/>
          <w:smallCaps/>
          <w:color w:val="000000" w:themeColor="text1"/>
        </w:rPr>
        <w:t>Cancer</w:t>
      </w:r>
      <w:r w:rsidR="00FA6D0E" w:rsidRPr="00F65BFC">
        <w:rPr>
          <w:rFonts w:asciiTheme="minorHAnsi" w:hAnsiTheme="minorHAnsi"/>
          <w:color w:val="000000" w:themeColor="text1"/>
        </w:rPr>
        <w:t xml:space="preserve"> (July 20, 2020), </w:t>
      </w:r>
      <w:hyperlink r:id="rId55" w:history="1">
        <w:r w:rsidR="00FA6D0E" w:rsidRPr="00FA6D0E">
          <w:rPr>
            <w:rStyle w:val="Hyperlink"/>
            <w:rFonts w:asciiTheme="minorHAnsi" w:hAnsiTheme="minorHAnsi"/>
            <w:color w:val="365F91" w:themeColor="accent1" w:themeShade="BF"/>
          </w:rPr>
          <w:t>https://acsjournals.onlinelibrary.wiley.com/doi/10.1002/cncr.32990</w:t>
        </w:r>
      </w:hyperlink>
      <w:r w:rsidR="00FA6D0E" w:rsidRPr="00FA6D0E">
        <w:rPr>
          <w:rFonts w:asciiTheme="minorHAnsi" w:hAnsiTheme="minorHAnsi"/>
        </w:rPr>
        <w:t>.</w:t>
      </w:r>
    </w:p>
  </w:endnote>
  <w:endnote w:id="29">
    <w:p w14:paraId="12C5C3C6" w14:textId="30F2CB39" w:rsidR="008A75A0" w:rsidRPr="00A0769D" w:rsidRDefault="008A75A0" w:rsidP="003F7CB5">
      <w:pPr>
        <w:pStyle w:val="EndnoteText"/>
        <w:rPr>
          <w:rFonts w:asciiTheme="minorHAnsi" w:hAnsiTheme="minorHAnsi"/>
        </w:rPr>
      </w:pPr>
      <w:r w:rsidRPr="00A0769D">
        <w:rPr>
          <w:rStyle w:val="EndnoteReference"/>
          <w:rFonts w:asciiTheme="minorHAnsi" w:hAnsiTheme="minorHAnsi"/>
        </w:rPr>
        <w:endnoteRef/>
      </w:r>
      <w:r w:rsidRPr="00A0769D">
        <w:rPr>
          <w:rFonts w:asciiTheme="minorHAnsi" w:hAnsiTheme="minorHAnsi"/>
        </w:rPr>
        <w:t xml:space="preserve"> </w:t>
      </w:r>
      <w:r w:rsidR="00A0769D" w:rsidRPr="00A0769D">
        <w:rPr>
          <w:rFonts w:asciiTheme="minorHAnsi" w:hAnsiTheme="minorHAnsi"/>
          <w:lang w:val="de-DE"/>
        </w:rPr>
        <w:t xml:space="preserve">Goede SL, Kuntz KM, van Ballegooijen M, et al. </w:t>
      </w:r>
      <w:r w:rsidR="00A0769D" w:rsidRPr="00A0769D">
        <w:rPr>
          <w:rFonts w:asciiTheme="minorHAnsi" w:hAnsiTheme="minorHAnsi"/>
        </w:rPr>
        <w:t>Cost-savings to Medicare from pre-Medicare colorectal cancer screening. </w:t>
      </w:r>
      <w:r w:rsidR="00A0769D" w:rsidRPr="00A0769D">
        <w:rPr>
          <w:rFonts w:asciiTheme="minorHAnsi" w:hAnsiTheme="minorHAnsi"/>
          <w:i/>
          <w:iCs/>
        </w:rPr>
        <w:t>Medical Care</w:t>
      </w:r>
      <w:r w:rsidR="00A0769D" w:rsidRPr="00A0769D">
        <w:rPr>
          <w:rFonts w:asciiTheme="minorHAnsi" w:hAnsiTheme="minorHAnsi"/>
        </w:rPr>
        <w:t>. 2015;53(7):630–638.</w:t>
      </w:r>
    </w:p>
  </w:endnote>
  <w:endnote w:id="30">
    <w:p w14:paraId="47F443D1" w14:textId="1F743175" w:rsidR="008A75A0" w:rsidRPr="00D06713" w:rsidRDefault="008A75A0" w:rsidP="003F7CB5">
      <w:pPr>
        <w:pStyle w:val="EndnoteText"/>
        <w:rPr>
          <w:rFonts w:asciiTheme="minorHAnsi" w:hAnsiTheme="minorHAnsi"/>
        </w:rPr>
      </w:pPr>
      <w:r w:rsidRPr="00D06713">
        <w:rPr>
          <w:rStyle w:val="EndnoteReference"/>
          <w:rFonts w:asciiTheme="minorHAnsi" w:hAnsiTheme="minorHAnsi"/>
        </w:rPr>
        <w:endnoteRef/>
      </w:r>
      <w:r w:rsidRPr="00D06713">
        <w:rPr>
          <w:rFonts w:asciiTheme="minorHAnsi" w:hAnsiTheme="minorHAnsi"/>
        </w:rPr>
        <w:t xml:space="preserve"> </w:t>
      </w:r>
      <w:hyperlink r:id="rId56" w:history="1">
        <w:r w:rsidRPr="00F65BFC">
          <w:rPr>
            <w:rStyle w:val="Hyperlink"/>
            <w:rFonts w:asciiTheme="minorHAnsi" w:hAnsiTheme="minorHAnsi"/>
            <w:i/>
            <w:iCs/>
            <w:color w:val="000000" w:themeColor="text1"/>
            <w:u w:val="none"/>
          </w:rPr>
          <w:t>Medicare Cost Savings Tied to ASCs</w:t>
        </w:r>
        <w:r w:rsidRPr="00F65BFC">
          <w:rPr>
            <w:rStyle w:val="Hyperlink"/>
            <w:rFonts w:asciiTheme="minorHAnsi" w:hAnsiTheme="minorHAnsi"/>
            <w:color w:val="000000" w:themeColor="text1"/>
            <w:u w:val="none"/>
          </w:rPr>
          <w:t>,</w:t>
        </w:r>
      </w:hyperlink>
      <w:r w:rsidRPr="00F65BFC">
        <w:rPr>
          <w:rFonts w:asciiTheme="minorHAnsi" w:hAnsiTheme="minorHAnsi"/>
          <w:color w:val="000000" w:themeColor="text1"/>
        </w:rPr>
        <w:t xml:space="preserve"> AMBULATORY </w:t>
      </w:r>
      <w:r w:rsidRPr="00D06713">
        <w:rPr>
          <w:rFonts w:asciiTheme="minorHAnsi" w:hAnsiTheme="minorHAnsi"/>
        </w:rPr>
        <w:t xml:space="preserve">SURGERY CENTER ASSOCIATION, </w:t>
      </w:r>
      <w:hyperlink r:id="rId57" w:history="1">
        <w:r w:rsidRPr="00D06713">
          <w:rPr>
            <w:rStyle w:val="Hyperlink"/>
            <w:rFonts w:asciiTheme="minorHAnsi" w:hAnsiTheme="minorHAnsi"/>
            <w:color w:val="365F91" w:themeColor="accent1" w:themeShade="BF"/>
          </w:rPr>
          <w:t>https://www.ascassociation.org/asca/about-ascs/savings/medicare-cost-savings/medicare-cost-savings-tied-to-ascs</w:t>
        </w:r>
      </w:hyperlink>
      <w:r w:rsidRPr="00D06713">
        <w:rPr>
          <w:rFonts w:asciiTheme="minorHAnsi" w:hAnsiTheme="minorHAnsi"/>
        </w:rPr>
        <w:t xml:space="preserve"> (last visited June 18, 2025).</w:t>
      </w:r>
    </w:p>
  </w:endnote>
  <w:endnote w:id="31">
    <w:p w14:paraId="00DA8E4F" w14:textId="412C147C" w:rsidR="008A75A0" w:rsidRPr="00D06713" w:rsidRDefault="008A75A0" w:rsidP="003F7CB5">
      <w:pPr>
        <w:pStyle w:val="EndnoteText"/>
        <w:rPr>
          <w:rFonts w:asciiTheme="minorHAnsi" w:hAnsiTheme="minorHAnsi"/>
        </w:rPr>
      </w:pPr>
      <w:r w:rsidRPr="00D06713">
        <w:rPr>
          <w:rStyle w:val="EndnoteReference"/>
          <w:rFonts w:asciiTheme="minorHAnsi" w:hAnsiTheme="minorHAnsi"/>
        </w:rPr>
        <w:endnoteRef/>
      </w:r>
      <w:r w:rsidRPr="00D06713">
        <w:rPr>
          <w:rFonts w:asciiTheme="minorHAnsi" w:hAnsiTheme="minorHAnsi"/>
        </w:rPr>
        <w:t xml:space="preserve"> </w:t>
      </w:r>
      <w:hyperlink r:id="rId58" w:history="1">
        <w:r w:rsidRPr="00963214">
          <w:rPr>
            <w:rStyle w:val="Hyperlink"/>
            <w:rFonts w:asciiTheme="minorHAnsi" w:hAnsiTheme="minorHAnsi"/>
            <w:i/>
            <w:iCs/>
            <w:color w:val="000000" w:themeColor="text1"/>
            <w:u w:val="none"/>
          </w:rPr>
          <w:t>Medicare Cost Savings: An Overview</w:t>
        </w:r>
        <w:r w:rsidRPr="00963214">
          <w:rPr>
            <w:rStyle w:val="Hyperlink"/>
            <w:rFonts w:asciiTheme="minorHAnsi" w:hAnsiTheme="minorHAnsi"/>
            <w:color w:val="000000" w:themeColor="text1"/>
            <w:u w:val="none"/>
          </w:rPr>
          <w:t>,</w:t>
        </w:r>
      </w:hyperlink>
      <w:r w:rsidRPr="00963214">
        <w:rPr>
          <w:rFonts w:asciiTheme="minorHAnsi" w:hAnsiTheme="minorHAnsi"/>
          <w:color w:val="000000" w:themeColor="text1"/>
        </w:rPr>
        <w:t xml:space="preserve"> AMBULATORY </w:t>
      </w:r>
      <w:r w:rsidRPr="00D06713">
        <w:rPr>
          <w:rFonts w:asciiTheme="minorHAnsi" w:hAnsiTheme="minorHAnsi"/>
        </w:rPr>
        <w:t xml:space="preserve">SURGERY CENTER ASSOCIATION, </w:t>
      </w:r>
      <w:hyperlink r:id="rId59" w:history="1">
        <w:r w:rsidRPr="00D06713">
          <w:rPr>
            <w:rStyle w:val="Hyperlink"/>
            <w:rFonts w:asciiTheme="minorHAnsi" w:hAnsiTheme="minorHAnsi"/>
            <w:color w:val="365F91" w:themeColor="accent1" w:themeShade="BF"/>
          </w:rPr>
          <w:t>https://www.ascassociation.org/asca/about-ascs/savings/overview</w:t>
        </w:r>
      </w:hyperlink>
      <w:r w:rsidRPr="00D06713">
        <w:rPr>
          <w:rFonts w:asciiTheme="minorHAnsi" w:hAnsiTheme="minorHAnsi"/>
        </w:rPr>
        <w:t xml:space="preserve"> (last visited June 18, 2025).</w:t>
      </w:r>
    </w:p>
  </w:endnote>
  <w:endnote w:id="32">
    <w:p w14:paraId="5B9216F5" w14:textId="73C6C28D" w:rsidR="008A75A0" w:rsidRPr="00D06713" w:rsidRDefault="008A75A0" w:rsidP="003F7CB5">
      <w:pPr>
        <w:pStyle w:val="EndnoteText"/>
        <w:rPr>
          <w:rFonts w:asciiTheme="minorHAnsi" w:hAnsiTheme="minorHAnsi"/>
        </w:rPr>
      </w:pPr>
      <w:r w:rsidRPr="00D06713">
        <w:rPr>
          <w:rStyle w:val="EndnoteReference"/>
          <w:rFonts w:asciiTheme="minorHAnsi" w:hAnsiTheme="minorHAnsi"/>
        </w:rPr>
        <w:endnoteRef/>
      </w:r>
      <w:r w:rsidRPr="00D06713">
        <w:rPr>
          <w:rFonts w:asciiTheme="minorHAnsi" w:hAnsiTheme="minorHAnsi"/>
        </w:rPr>
        <w:t xml:space="preserve"> </w:t>
      </w:r>
      <w:hyperlink r:id="rId60" w:history="1">
        <w:r w:rsidRPr="00963214">
          <w:rPr>
            <w:rStyle w:val="Hyperlink"/>
            <w:rFonts w:asciiTheme="minorHAnsi" w:hAnsiTheme="minorHAnsi"/>
            <w:i/>
            <w:iCs/>
            <w:color w:val="000000" w:themeColor="text1"/>
            <w:u w:val="none"/>
          </w:rPr>
          <w:t>Reducing Medicare Costs</w:t>
        </w:r>
        <w:r w:rsidRPr="00963214">
          <w:rPr>
            <w:rStyle w:val="Hyperlink"/>
            <w:rFonts w:asciiTheme="minorHAnsi" w:hAnsiTheme="minorHAnsi"/>
            <w:color w:val="000000" w:themeColor="text1"/>
            <w:u w:val="none"/>
          </w:rPr>
          <w:t>,</w:t>
        </w:r>
      </w:hyperlink>
      <w:r w:rsidRPr="00963214">
        <w:rPr>
          <w:rFonts w:asciiTheme="minorHAnsi" w:hAnsiTheme="minorHAnsi"/>
          <w:color w:val="000000" w:themeColor="text1"/>
        </w:rPr>
        <w:t xml:space="preserve"> AMBULATORY </w:t>
      </w:r>
      <w:r w:rsidRPr="00D06713">
        <w:rPr>
          <w:rFonts w:asciiTheme="minorHAnsi" w:hAnsiTheme="minorHAnsi"/>
        </w:rPr>
        <w:t xml:space="preserve">SURGERY CENTER ASSOCIATION, </w:t>
      </w:r>
      <w:hyperlink r:id="rId61" w:history="1">
        <w:r w:rsidRPr="00D06713">
          <w:rPr>
            <w:rStyle w:val="Hyperlink"/>
            <w:rFonts w:asciiTheme="minorHAnsi" w:hAnsiTheme="minorHAnsi"/>
            <w:color w:val="365F91" w:themeColor="accent1" w:themeShade="BF"/>
          </w:rPr>
          <w:t>https://www.ascassociation.org/asca/about-ascs/savings/medicare-cost-savings/reducing-medicare-costs</w:t>
        </w:r>
      </w:hyperlink>
      <w:r w:rsidRPr="00D06713">
        <w:rPr>
          <w:rFonts w:asciiTheme="minorHAnsi" w:hAnsiTheme="minorHAnsi"/>
        </w:rPr>
        <w:t xml:space="preserve"> (last visited June 18, 2025).</w:t>
      </w:r>
    </w:p>
  </w:endnote>
  <w:endnote w:id="33">
    <w:p w14:paraId="2BBD9F73" w14:textId="5D7714AD" w:rsidR="0040090A" w:rsidRDefault="0040090A">
      <w:pPr>
        <w:pStyle w:val="EndnoteText"/>
      </w:pPr>
      <w:r w:rsidRPr="00281946">
        <w:rPr>
          <w:rStyle w:val="EndnoteReference"/>
        </w:rPr>
        <w:endnoteRef/>
      </w:r>
      <w:r w:rsidRPr="00281946">
        <w:t xml:space="preserve"> </w:t>
      </w:r>
      <w:r w:rsidR="005A770C" w:rsidRPr="00281946">
        <w:t xml:space="preserve">ASC Data. </w:t>
      </w:r>
      <w:hyperlink r:id="rId62" w:history="1">
        <w:r w:rsidR="005A770C" w:rsidRPr="0095252F">
          <w:rPr>
            <w:rStyle w:val="Hyperlink"/>
            <w:i/>
            <w:iCs/>
            <w:color w:val="000000" w:themeColor="text1"/>
            <w:u w:val="none"/>
          </w:rPr>
          <w:t xml:space="preserve">ASC </w:t>
        </w:r>
        <w:r w:rsidR="00281946" w:rsidRPr="0095252F">
          <w:rPr>
            <w:rStyle w:val="Hyperlink"/>
            <w:i/>
            <w:iCs/>
            <w:color w:val="000000" w:themeColor="text1"/>
            <w:u w:val="none"/>
          </w:rPr>
          <w:t>Industry Overview.</w:t>
        </w:r>
      </w:hyperlink>
      <w:r w:rsidR="00281946" w:rsidRPr="0095252F">
        <w:rPr>
          <w:color w:val="000000" w:themeColor="text1"/>
        </w:rPr>
        <w:t xml:space="preserve"> </w:t>
      </w:r>
      <w:r w:rsidR="00281946" w:rsidRPr="00281946">
        <w:t>February 2025.</w:t>
      </w:r>
      <w:r w:rsidR="00281946" w:rsidRPr="00281946">
        <w:rPr>
          <w:color w:val="365F91" w:themeColor="accent1" w:themeShade="BF"/>
        </w:rPr>
        <w:t xml:space="preserve"> </w:t>
      </w:r>
      <w:hyperlink r:id="rId63" w:history="1">
        <w:r w:rsidR="00281946" w:rsidRPr="00281946">
          <w:rPr>
            <w:rStyle w:val="Hyperlink"/>
            <w:rFonts w:ascii="Aptos" w:hAnsi="Aptos"/>
            <w:color w:val="365F91" w:themeColor="accent1" w:themeShade="BF"/>
          </w:rPr>
          <w:t>https://ascdata.com/wp-content/uploads/2025/02/ASC-Data-Industry-Overview-February-2025.pdf</w:t>
        </w:r>
      </w:hyperlink>
    </w:p>
  </w:endnote>
  <w:endnote w:id="34">
    <w:p w14:paraId="1F50AC69" w14:textId="2DCBDA57" w:rsidR="008A75A0" w:rsidRPr="00CA2D9E" w:rsidRDefault="008A75A0" w:rsidP="00CA2D9E">
      <w:pPr>
        <w:pStyle w:val="FootnoteText"/>
        <w:rPr>
          <w:rFonts w:asciiTheme="minorHAnsi" w:hAnsiTheme="minorHAnsi"/>
        </w:rPr>
      </w:pPr>
      <w:r w:rsidRPr="00CA2D9E">
        <w:rPr>
          <w:rStyle w:val="EndnoteReference"/>
          <w:rFonts w:asciiTheme="minorHAnsi" w:hAnsiTheme="minorHAnsi"/>
        </w:rPr>
        <w:endnoteRef/>
      </w:r>
      <w:r w:rsidRPr="00CA2D9E">
        <w:rPr>
          <w:rFonts w:asciiTheme="minorHAnsi" w:hAnsiTheme="minorHAnsi"/>
        </w:rPr>
        <w:t xml:space="preserve"> </w:t>
      </w:r>
      <w:hyperlink r:id="rId64" w:history="1">
        <w:r w:rsidR="00CA2D9E" w:rsidRPr="0095252F">
          <w:rPr>
            <w:rStyle w:val="Hyperlink"/>
            <w:rFonts w:asciiTheme="minorHAnsi" w:hAnsiTheme="minorHAnsi"/>
            <w:i/>
            <w:iCs/>
            <w:color w:val="000000" w:themeColor="text1"/>
            <w:u w:val="none"/>
          </w:rPr>
          <w:t>HPC DataPoints, Issue 26: Trends in Ambulatory Surgical Centers in Massachusetts</w:t>
        </w:r>
        <w:r w:rsidR="00CA2D9E" w:rsidRPr="0095252F">
          <w:rPr>
            <w:rStyle w:val="Hyperlink"/>
            <w:rFonts w:asciiTheme="minorHAnsi" w:hAnsiTheme="minorHAnsi"/>
            <w:color w:val="000000" w:themeColor="text1"/>
            <w:u w:val="none"/>
          </w:rPr>
          <w:t>,</w:t>
        </w:r>
      </w:hyperlink>
      <w:r w:rsidR="00CA2D9E" w:rsidRPr="0095252F">
        <w:rPr>
          <w:rFonts w:asciiTheme="minorHAnsi" w:hAnsiTheme="minorHAnsi"/>
          <w:color w:val="000000" w:themeColor="text1"/>
        </w:rPr>
        <w:t xml:space="preserve"> MASSACHUSETTS </w:t>
      </w:r>
      <w:r w:rsidR="00CA2D9E" w:rsidRPr="00CA2D9E">
        <w:rPr>
          <w:rFonts w:asciiTheme="minorHAnsi" w:hAnsiTheme="minorHAnsi"/>
        </w:rPr>
        <w:t xml:space="preserve">HEALTH POLICY COMMISSION, </w:t>
      </w:r>
      <w:hyperlink r:id="rId65" w:history="1">
        <w:r w:rsidR="00CA2D9E" w:rsidRPr="00CA2D9E">
          <w:rPr>
            <w:rStyle w:val="Hyperlink"/>
            <w:rFonts w:asciiTheme="minorHAnsi" w:hAnsiTheme="minorHAnsi"/>
            <w:color w:val="365F91" w:themeColor="accent1" w:themeShade="BF"/>
          </w:rPr>
          <w:t>https://www.mass.gov/doc/datapoints-issue-26-printable-version/download</w:t>
        </w:r>
      </w:hyperlink>
      <w:r w:rsidR="00CA2D9E" w:rsidRPr="00CA2D9E">
        <w:rPr>
          <w:rFonts w:asciiTheme="minorHAnsi" w:hAnsiTheme="minorHAnsi"/>
        </w:rPr>
        <w:t xml:space="preserve"> (last visited June 18, 2025).</w:t>
      </w:r>
    </w:p>
  </w:endnote>
  <w:endnote w:id="35">
    <w:p w14:paraId="14235D4F" w14:textId="0C6E7489" w:rsidR="008A75A0" w:rsidRPr="00D06713" w:rsidRDefault="008A75A0" w:rsidP="00AB5B73">
      <w:pPr>
        <w:pStyle w:val="EndnoteText"/>
        <w:rPr>
          <w:rFonts w:asciiTheme="minorHAnsi" w:hAnsiTheme="minorHAnsi"/>
        </w:rPr>
      </w:pPr>
      <w:r w:rsidRPr="00D06713">
        <w:rPr>
          <w:rStyle w:val="EndnoteReference"/>
          <w:rFonts w:asciiTheme="minorHAnsi" w:hAnsiTheme="minorHAnsi"/>
        </w:rPr>
        <w:endnoteRef/>
      </w:r>
      <w:r w:rsidRPr="00D06713">
        <w:rPr>
          <w:rFonts w:asciiTheme="minorHAnsi" w:hAnsiTheme="minorHAnsi"/>
        </w:rPr>
        <w:t xml:space="preserve"> </w:t>
      </w:r>
      <w:hyperlink r:id="rId66" w:history="1">
        <w:r w:rsidRPr="00667187">
          <w:rPr>
            <w:rStyle w:val="Hyperlink"/>
            <w:rFonts w:asciiTheme="minorHAnsi" w:hAnsiTheme="minorHAnsi"/>
            <w:i/>
            <w:iCs/>
            <w:color w:val="000000" w:themeColor="text1"/>
            <w:u w:val="none"/>
          </w:rPr>
          <w:t>Health and Economic Benefits of Colorectal Cancer Interventions</w:t>
        </w:r>
      </w:hyperlink>
      <w:r w:rsidRPr="00667187">
        <w:rPr>
          <w:rFonts w:asciiTheme="minorHAnsi" w:hAnsiTheme="minorHAnsi"/>
          <w:i/>
          <w:iCs/>
          <w:color w:val="000000" w:themeColor="text1"/>
        </w:rPr>
        <w:t xml:space="preserve">, </w:t>
      </w:r>
      <w:r w:rsidRPr="00667187">
        <w:rPr>
          <w:rFonts w:asciiTheme="minorHAnsi" w:hAnsiTheme="minorHAnsi"/>
          <w:smallCaps/>
          <w:color w:val="000000" w:themeColor="text1"/>
        </w:rPr>
        <w:t xml:space="preserve">Centers </w:t>
      </w:r>
      <w:r w:rsidRPr="00D06713">
        <w:rPr>
          <w:rFonts w:asciiTheme="minorHAnsi" w:hAnsiTheme="minorHAnsi"/>
          <w:smallCaps/>
        </w:rPr>
        <w:t>for Disease Control &amp; Prevention</w:t>
      </w:r>
      <w:r w:rsidRPr="00D06713">
        <w:rPr>
          <w:rFonts w:asciiTheme="minorHAnsi" w:hAnsiTheme="minorHAnsi"/>
        </w:rPr>
        <w:t xml:space="preserve"> (Oct. 16, 2024), </w:t>
      </w:r>
      <w:hyperlink r:id="rId67" w:history="1">
        <w:r w:rsidRPr="00D06713">
          <w:rPr>
            <w:rStyle w:val="Hyperlink"/>
            <w:rFonts w:asciiTheme="minorHAnsi" w:hAnsiTheme="minorHAnsi"/>
            <w:color w:val="365F91" w:themeColor="accent1" w:themeShade="BF"/>
          </w:rPr>
          <w:t>https://www.cdc.gov/nccdphp/priorities/colorectal-cancer.html</w:t>
        </w:r>
      </w:hyperlink>
      <w:r w:rsidRPr="00D06713">
        <w:rPr>
          <w:rFonts w:asciiTheme="minorHAnsi" w:hAnsiTheme="minorHAnsi"/>
        </w:rPr>
        <w:t xml:space="preserve">. </w:t>
      </w:r>
    </w:p>
  </w:endnote>
  <w:endnote w:id="36">
    <w:p w14:paraId="2BBF6310" w14:textId="64B06CA7" w:rsidR="008A75A0" w:rsidRPr="00B87240" w:rsidRDefault="008A75A0" w:rsidP="00AB5B73">
      <w:pPr>
        <w:pStyle w:val="EndnoteText"/>
        <w:rPr>
          <w:rFonts w:asciiTheme="minorHAnsi" w:hAnsiTheme="minorHAnsi"/>
          <w:i/>
          <w:iCs/>
        </w:rPr>
      </w:pPr>
      <w:r w:rsidRPr="00B87240">
        <w:rPr>
          <w:rStyle w:val="EndnoteReference"/>
          <w:rFonts w:asciiTheme="minorHAnsi" w:hAnsiTheme="minorHAnsi"/>
        </w:rPr>
        <w:endnoteRef/>
      </w:r>
      <w:r w:rsidRPr="00B87240">
        <w:rPr>
          <w:rFonts w:asciiTheme="minorHAnsi" w:hAnsiTheme="minorHAnsi"/>
        </w:rPr>
        <w:t xml:space="preserve"> </w:t>
      </w:r>
      <w:hyperlink r:id="rId68" w:history="1">
        <w:r w:rsidR="00B87240" w:rsidRPr="00BF0CDB">
          <w:rPr>
            <w:rStyle w:val="Hyperlink"/>
            <w:rFonts w:asciiTheme="minorHAnsi" w:hAnsiTheme="minorHAnsi"/>
            <w:i/>
            <w:iCs/>
            <w:color w:val="000000" w:themeColor="text1"/>
            <w:u w:val="none"/>
          </w:rPr>
          <w:t>Health and Economic Benefits of Colorectal Cancer Interventions</w:t>
        </w:r>
      </w:hyperlink>
      <w:r w:rsidR="00B87240" w:rsidRPr="00BF0CDB">
        <w:rPr>
          <w:rFonts w:asciiTheme="minorHAnsi" w:hAnsiTheme="minorHAnsi"/>
          <w:i/>
          <w:iCs/>
          <w:color w:val="000000" w:themeColor="text1"/>
        </w:rPr>
        <w:t xml:space="preserve">, </w:t>
      </w:r>
      <w:r w:rsidR="00B87240" w:rsidRPr="00BF0CDB">
        <w:rPr>
          <w:rFonts w:asciiTheme="minorHAnsi" w:hAnsiTheme="minorHAnsi"/>
          <w:smallCaps/>
          <w:color w:val="000000" w:themeColor="text1"/>
        </w:rPr>
        <w:t xml:space="preserve">Centers </w:t>
      </w:r>
      <w:r w:rsidR="00B87240" w:rsidRPr="00B87240">
        <w:rPr>
          <w:rFonts w:asciiTheme="minorHAnsi" w:hAnsiTheme="minorHAnsi"/>
          <w:smallCaps/>
        </w:rPr>
        <w:t>for Disease Control &amp; Prevention</w:t>
      </w:r>
      <w:r w:rsidR="00B87240" w:rsidRPr="00B87240">
        <w:rPr>
          <w:rFonts w:asciiTheme="minorHAnsi" w:hAnsiTheme="minorHAnsi"/>
        </w:rPr>
        <w:t xml:space="preserve"> (Oct. 16, 2024), </w:t>
      </w:r>
      <w:hyperlink r:id="rId69" w:history="1">
        <w:r w:rsidR="00B87240" w:rsidRPr="00B87240">
          <w:rPr>
            <w:rStyle w:val="Hyperlink"/>
            <w:rFonts w:asciiTheme="minorHAnsi" w:hAnsiTheme="minorHAnsi"/>
            <w:color w:val="365F91" w:themeColor="accent1" w:themeShade="BF"/>
          </w:rPr>
          <w:t>https://www.cdc.gov/nccdphp/priorities/colorectal-cancer.html</w:t>
        </w:r>
      </w:hyperlink>
      <w:r w:rsidR="00B87240" w:rsidRPr="00B87240">
        <w:rPr>
          <w:rFonts w:asciiTheme="minorHAnsi" w:hAnsiTheme="minorHAnsi"/>
        </w:rPr>
        <w:t>.</w:t>
      </w:r>
    </w:p>
  </w:endnote>
  <w:endnote w:id="37">
    <w:p w14:paraId="68481B9A" w14:textId="19EC08FE" w:rsidR="008A75A0" w:rsidRPr="000A42EE" w:rsidRDefault="008A75A0" w:rsidP="00AB5B73">
      <w:pPr>
        <w:pStyle w:val="EndnoteText"/>
        <w:rPr>
          <w:rFonts w:asciiTheme="minorHAnsi" w:hAnsiTheme="minorHAnsi"/>
        </w:rPr>
      </w:pPr>
      <w:r w:rsidRPr="000A42EE">
        <w:rPr>
          <w:rStyle w:val="EndnoteReference"/>
          <w:rFonts w:asciiTheme="minorHAnsi" w:hAnsiTheme="minorHAnsi"/>
        </w:rPr>
        <w:endnoteRef/>
      </w:r>
      <w:r w:rsidRPr="000A42EE">
        <w:rPr>
          <w:rFonts w:asciiTheme="minorHAnsi" w:hAnsiTheme="minorHAnsi"/>
        </w:rPr>
        <w:t xml:space="preserve"> </w:t>
      </w:r>
      <w:r w:rsidR="000A42EE" w:rsidRPr="000A42EE">
        <w:rPr>
          <w:rFonts w:asciiTheme="minorHAnsi" w:hAnsiTheme="minorHAnsi"/>
          <w:lang w:val="de-DE"/>
        </w:rPr>
        <w:t xml:space="preserve">Goede SL, Kuntz KM, van Ballegooijen M, et al. </w:t>
      </w:r>
      <w:r w:rsidR="000A42EE" w:rsidRPr="000A42EE">
        <w:rPr>
          <w:rFonts w:asciiTheme="minorHAnsi" w:hAnsiTheme="minorHAnsi"/>
        </w:rPr>
        <w:t>Cost-savings to Medicare from pre-Medicare colorectal cancer screening. </w:t>
      </w:r>
      <w:r w:rsidR="000A42EE" w:rsidRPr="000A42EE">
        <w:rPr>
          <w:rFonts w:asciiTheme="minorHAnsi" w:hAnsiTheme="minorHAnsi"/>
          <w:i/>
          <w:iCs/>
        </w:rPr>
        <w:t>Medical Care</w:t>
      </w:r>
      <w:r w:rsidR="000A42EE" w:rsidRPr="000A42EE">
        <w:rPr>
          <w:rFonts w:asciiTheme="minorHAnsi" w:hAnsiTheme="minorHAnsi"/>
        </w:rPr>
        <w:t>. 2015;53(7):630–638.</w:t>
      </w:r>
    </w:p>
  </w:endnote>
  <w:endnote w:id="38">
    <w:p w14:paraId="3402D1CD" w14:textId="179FDFD5" w:rsidR="002242AA" w:rsidRDefault="002242AA">
      <w:pPr>
        <w:pStyle w:val="EndnoteText"/>
      </w:pPr>
      <w:r>
        <w:rPr>
          <w:rStyle w:val="EndnoteReference"/>
        </w:rPr>
        <w:endnoteRef/>
      </w:r>
      <w:r>
        <w:t xml:space="preserve"> </w:t>
      </w:r>
      <w:r w:rsidRPr="002242AA">
        <w:t>Haghbin H, Zakirkhodjaev N, Aziz M. Withdrawal time in colonoscopy, past, present, and future, a narrative review. Transl Gastroenterol Hepatol. 2023 Apr 12;8:19. doi: 10.21037/tgh-23-8. PMID: 37197256; PMCID: PMC10184034.</w:t>
      </w:r>
    </w:p>
  </w:endnote>
  <w:endnote w:id="39">
    <w:p w14:paraId="0399D21F" w14:textId="11F943E5" w:rsidR="00D06713" w:rsidRPr="00763E26" w:rsidRDefault="00D06713" w:rsidP="00F30C22">
      <w:pPr>
        <w:pStyle w:val="EndnoteText"/>
        <w:rPr>
          <w:sz w:val="16"/>
          <w:szCs w:val="16"/>
        </w:rPr>
      </w:pPr>
      <w:r w:rsidRPr="00D06713">
        <w:rPr>
          <w:rStyle w:val="EndnoteReference"/>
          <w:rFonts w:asciiTheme="minorHAnsi" w:hAnsiTheme="minorHAnsi"/>
        </w:rPr>
        <w:endnoteRef/>
      </w:r>
      <w:r w:rsidRPr="00D06713">
        <w:rPr>
          <w:rFonts w:asciiTheme="minorHAnsi" w:hAnsiTheme="minorHAnsi"/>
        </w:rPr>
        <w:t xml:space="preserve"> </w:t>
      </w:r>
      <w:hyperlink r:id="rId70" w:history="1">
        <w:r w:rsidRPr="00403A26">
          <w:rPr>
            <w:rStyle w:val="Hyperlink"/>
            <w:rFonts w:asciiTheme="minorHAnsi" w:hAnsiTheme="minorHAnsi"/>
            <w:i/>
            <w:iCs/>
            <w:color w:val="000000" w:themeColor="text1"/>
            <w:u w:val="none"/>
          </w:rPr>
          <w:t>Quality Indicators for GI Endoscopic Procedures</w:t>
        </w:r>
      </w:hyperlink>
      <w:r w:rsidRPr="00403A26">
        <w:rPr>
          <w:rFonts w:asciiTheme="minorHAnsi" w:hAnsiTheme="minorHAnsi"/>
          <w:color w:val="000000" w:themeColor="text1"/>
        </w:rPr>
        <w:t xml:space="preserve">, </w:t>
      </w:r>
      <w:r w:rsidRPr="00403A26">
        <w:rPr>
          <w:rFonts w:asciiTheme="minorHAnsi" w:hAnsiTheme="minorHAnsi"/>
          <w:smallCaps/>
          <w:color w:val="000000" w:themeColor="text1"/>
        </w:rPr>
        <w:t xml:space="preserve">American </w:t>
      </w:r>
      <w:r w:rsidRPr="00D06713">
        <w:rPr>
          <w:rFonts w:asciiTheme="minorHAnsi" w:hAnsiTheme="minorHAnsi"/>
          <w:smallCaps/>
        </w:rPr>
        <w:t>Society for Gastrointestinal Endoscopy</w:t>
      </w:r>
      <w:r w:rsidRPr="00D06713">
        <w:rPr>
          <w:rFonts w:asciiTheme="minorHAnsi" w:hAnsiTheme="minorHAnsi"/>
        </w:rPr>
        <w:t>,</w:t>
      </w:r>
      <w:r w:rsidRPr="00D06713">
        <w:rPr>
          <w:rFonts w:asciiTheme="minorHAnsi" w:hAnsiTheme="minorHAnsi"/>
          <w:i/>
          <w:iCs/>
        </w:rPr>
        <w:t xml:space="preserve">  </w:t>
      </w:r>
      <w:hyperlink r:id="rId71" w:history="1">
        <w:r w:rsidRPr="00D06713">
          <w:rPr>
            <w:rStyle w:val="Hyperlink"/>
            <w:rFonts w:asciiTheme="minorHAnsi" w:hAnsiTheme="minorHAnsi"/>
            <w:color w:val="365F91" w:themeColor="accent1" w:themeShade="BF"/>
          </w:rPr>
          <w:t>https://www.asge.org/docs/default-source/default-document-library/quality-indicators-for-gi-endoscopic-procedures.pdf?sfvrsn=e0d2ea51_0</w:t>
        </w:r>
      </w:hyperlink>
      <w:r w:rsidRPr="00D06713">
        <w:rPr>
          <w:rFonts w:asciiTheme="minorHAnsi" w:hAnsiTheme="minorHAnsi"/>
        </w:rPr>
        <w:t xml:space="preserve"> (last visited July 11, 2025).</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3A007" w14:textId="6A78658F" w:rsidR="00E54588" w:rsidRDefault="00E54588">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14:anchorId="143DB562" wp14:editId="280532BE">
              <wp:simplePos x="0" y="0"/>
              <wp:positionH relativeFrom="page">
                <wp:posOffset>3813175</wp:posOffset>
              </wp:positionH>
              <wp:positionV relativeFrom="page">
                <wp:posOffset>9272905</wp:posOffset>
              </wp:positionV>
              <wp:extent cx="147320" cy="16573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6F466C" w14:textId="77777777" w:rsidR="00E54588" w:rsidRDefault="00E54588">
                          <w:pPr>
                            <w:spacing w:line="245" w:lineRule="exact"/>
                            <w:ind w:left="60"/>
                          </w:pPr>
                          <w:r>
                            <w:fldChar w:fldCharType="begin"/>
                          </w:r>
                          <w: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3DB562" id="_x0000_t202" coordsize="21600,21600" o:spt="202" path="m,l,21600r21600,l21600,xe">
              <v:stroke joinstyle="miter"/>
              <v:path gradientshapeok="t" o:connecttype="rect"/>
            </v:shapetype>
            <v:shape id="Text Box 2" o:spid="_x0000_s1026" type="#_x0000_t202" style="position:absolute;margin-left:300.25pt;margin-top:730.15pt;width:11.6pt;height:13.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" filled="f" stroked="f">
              <v:textbox inset="0,0,0,0">
                <w:txbxContent>
                  <w:p w14:paraId="056F466C" w14:textId="77777777" w:rsidR="00E54588" w:rsidRDefault="00E54588">
                    <w:pPr>
                      <w:spacing w:line="245" w:lineRule="exact"/>
                      <w:ind w:left="60"/>
                    </w:pPr>
                    <w:r>
                      <w:fldChar w:fldCharType="begin"/>
                    </w:r>
                    <w:r>
                      <w:instrText xml:space="preserve"> PAGE </w:instrText>
                    </w:r>
                    <w:r>
                      <w:fldChar w:fldCharType="separate"/>
                    </w:r>
                    <w:r>
                      <w:t>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8573723"/>
      <w:docPartObj>
        <w:docPartGallery w:val="Page Numbers (Bottom of Page)"/>
        <w:docPartUnique/>
      </w:docPartObj>
    </w:sdtPr>
    <w:sdtEndPr>
      <w:rPr>
        <w:noProof/>
      </w:rPr>
    </w:sdtEndPr>
    <w:sdtContent>
      <w:p w14:paraId="16AC19D4" w14:textId="17302680" w:rsidR="00E54588" w:rsidRDefault="00E54588">
        <w:pPr>
          <w:pStyle w:val="Footer"/>
          <w:jc w:val="center"/>
        </w:pPr>
        <w:r w:rsidRPr="00542854">
          <w:rPr>
            <w:rFonts w:asciiTheme="minorHAnsi" w:hAnsiTheme="minorHAnsi"/>
          </w:rPr>
          <w:fldChar w:fldCharType="begin"/>
        </w:r>
        <w:r w:rsidRPr="00542854">
          <w:rPr>
            <w:rFonts w:asciiTheme="minorHAnsi" w:hAnsiTheme="minorHAnsi"/>
          </w:rPr>
          <w:instrText xml:space="preserve"> PAGE   \* MERGEFORMAT </w:instrText>
        </w:r>
        <w:r w:rsidRPr="00542854">
          <w:rPr>
            <w:rFonts w:asciiTheme="minorHAnsi" w:hAnsiTheme="minorHAnsi"/>
          </w:rPr>
          <w:fldChar w:fldCharType="separate"/>
        </w:r>
        <w:r w:rsidRPr="00542854">
          <w:rPr>
            <w:rFonts w:asciiTheme="minorHAnsi" w:hAnsiTheme="minorHAnsi"/>
            <w:noProof/>
          </w:rPr>
          <w:t>2</w:t>
        </w:r>
        <w:r w:rsidRPr="00542854">
          <w:rPr>
            <w:rFonts w:asciiTheme="minorHAnsi" w:hAnsiTheme="minorHAnsi"/>
            <w:noProof/>
          </w:rPr>
          <w:fldChar w:fldCharType="end"/>
        </w:r>
      </w:p>
    </w:sdtContent>
  </w:sdt>
  <w:p w14:paraId="525B5754" w14:textId="78558AD7" w:rsidR="00E54588" w:rsidRPr="00542854" w:rsidRDefault="00E54588" w:rsidP="005428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A010DB" w14:textId="77777777" w:rsidR="00224A66" w:rsidRDefault="00224A66">
      <w:r>
        <w:separator/>
      </w:r>
    </w:p>
  </w:footnote>
  <w:footnote w:type="continuationSeparator" w:id="0">
    <w:p w14:paraId="57059E1B" w14:textId="77777777" w:rsidR="00224A66" w:rsidRDefault="00224A66">
      <w:r>
        <w:continuationSeparator/>
      </w:r>
    </w:p>
  </w:footnote>
  <w:footnote w:type="continuationNotice" w:id="1">
    <w:p w14:paraId="4C26AE95" w14:textId="77777777" w:rsidR="00224A66" w:rsidRDefault="00224A66"/>
  </w:footnote>
  <w:footnote w:id="2">
    <w:p w14:paraId="6738649D" w14:textId="77777777" w:rsidR="00EA5883" w:rsidRPr="005F6C26" w:rsidRDefault="00EA5883" w:rsidP="00EA5883">
      <w:pPr>
        <w:pStyle w:val="FootnoteText"/>
        <w:rPr>
          <w:sz w:val="16"/>
          <w:szCs w:val="16"/>
        </w:rPr>
      </w:pPr>
      <w:r w:rsidRPr="005F6C26">
        <w:rPr>
          <w:rStyle w:val="FootnoteReference"/>
          <w:sz w:val="16"/>
          <w:szCs w:val="16"/>
        </w:rPr>
        <w:footnoteRef/>
      </w:r>
      <w:r w:rsidRPr="005F6C26">
        <w:rPr>
          <w:sz w:val="16"/>
          <w:szCs w:val="16"/>
        </w:rPr>
        <w:t xml:space="preserve"> The hospitals listed in Table 1 are principal teaching affiliates of the medical and dental schools of Harvard University. Additionally, the Applicant operates a graduate level program for health sciences and maintains both the Mass General Research Institute as well as the Brigham Research Institute (both are private, non-profit medical research enterprises). </w:t>
      </w:r>
    </w:p>
  </w:footnote>
  <w:footnote w:id="3">
    <w:p w14:paraId="7978B94B" w14:textId="77777777" w:rsidR="00EA5883" w:rsidRDefault="00EA5883" w:rsidP="00EA5883">
      <w:pPr>
        <w:pStyle w:val="FootnoteText"/>
      </w:pPr>
      <w:r w:rsidRPr="005F6C26">
        <w:rPr>
          <w:rStyle w:val="FootnoteReference"/>
          <w:sz w:val="16"/>
          <w:szCs w:val="16"/>
        </w:rPr>
        <w:footnoteRef/>
      </w:r>
      <w:r w:rsidRPr="005F6C26">
        <w:rPr>
          <w:sz w:val="16"/>
          <w:szCs w:val="16"/>
        </w:rPr>
        <w:t xml:space="preserve"> The Applicant operated a non-profit insurance company for MassHealth (Medicaid) and ConnectorCare members, as well as for-profit insurance company for commercial populations.</w:t>
      </w:r>
      <w:r>
        <w:t xml:space="preserve"> </w:t>
      </w:r>
    </w:p>
  </w:footnote>
  <w:footnote w:id="4">
    <w:p w14:paraId="1195F1EA" w14:textId="77777777" w:rsidR="005D7479" w:rsidRPr="005D7479" w:rsidRDefault="005D7479" w:rsidP="005D7479">
      <w:pPr>
        <w:pStyle w:val="pf0"/>
        <w:spacing w:before="0" w:beforeAutospacing="0" w:after="120" w:afterAutospacing="0"/>
        <w:rPr>
          <w:rFonts w:asciiTheme="minorHAnsi" w:hAnsiTheme="minorHAnsi" w:cstheme="minorHAnsi"/>
          <w:sz w:val="16"/>
          <w:szCs w:val="16"/>
        </w:rPr>
      </w:pPr>
      <w:r w:rsidRPr="005D7479">
        <w:rPr>
          <w:rStyle w:val="FootnoteReference"/>
          <w:rFonts w:asciiTheme="minorHAnsi" w:hAnsiTheme="minorHAnsi" w:cstheme="minorHAnsi"/>
          <w:sz w:val="16"/>
          <w:szCs w:val="16"/>
        </w:rPr>
        <w:footnoteRef/>
      </w:r>
      <w:r w:rsidRPr="005D7479">
        <w:rPr>
          <w:rFonts w:asciiTheme="minorHAnsi" w:hAnsiTheme="minorHAnsi" w:cstheme="minorHAnsi"/>
          <w:sz w:val="16"/>
          <w:szCs w:val="16"/>
        </w:rPr>
        <w:t xml:space="preserve"> Regent manages surgery center locations in AK, AL, FL, IL, IN, MI, NJ, NY, OH, OR, TN, </w:t>
      </w:r>
      <w:r w:rsidRPr="005D7479">
        <w:rPr>
          <w:rFonts w:asciiTheme="minorHAnsi" w:eastAsiaTheme="minorHAnsi" w:hAnsiTheme="minorHAnsi" w:cstheme="minorHAnsi"/>
          <w:sz w:val="16"/>
          <w:szCs w:val="16"/>
        </w:rPr>
        <w:t>TX, and WI.</w:t>
      </w:r>
    </w:p>
    <w:p w14:paraId="087B9161" w14:textId="406E5049" w:rsidR="005D7479" w:rsidRDefault="005D7479">
      <w:pPr>
        <w:pStyle w:val="FootnoteText"/>
      </w:pPr>
    </w:p>
  </w:footnote>
  <w:footnote w:id="5">
    <w:p w14:paraId="43F1E1DC" w14:textId="79D35ADE" w:rsidR="00B95EA4" w:rsidRPr="00FD5579" w:rsidRDefault="00B95EA4">
      <w:pPr>
        <w:pStyle w:val="FootnoteText"/>
        <w:rPr>
          <w:rFonts w:asciiTheme="minorHAnsi" w:hAnsiTheme="minorHAnsi"/>
          <w:sz w:val="16"/>
          <w:szCs w:val="16"/>
        </w:rPr>
      </w:pPr>
      <w:r w:rsidRPr="00FD5579">
        <w:rPr>
          <w:rStyle w:val="FootnoteReference"/>
          <w:rFonts w:asciiTheme="minorHAnsi" w:hAnsiTheme="minorHAnsi"/>
          <w:sz w:val="16"/>
          <w:szCs w:val="16"/>
        </w:rPr>
        <w:footnoteRef/>
      </w:r>
      <w:r w:rsidRPr="00FD5579">
        <w:rPr>
          <w:rFonts w:asciiTheme="minorHAnsi" w:hAnsiTheme="minorHAnsi"/>
          <w:sz w:val="16"/>
          <w:szCs w:val="16"/>
        </w:rPr>
        <w:t xml:space="preserve"> As defined in 105 CMR 100.100, Patient Panel is the total of the individual patients regardless of payer, including those patients seen within an emergency department(s) if applicable, seen over the course of the most recent complete 36-month period by the Applicant or Holder. Patient Panel also means: (1) If the Applicant or Holder has no Patient Panel itself, the Patient Panel includes the Patient Panel of the health care facilities affiliated with the Applicant; or (2) If the Proposed Project is for a new facility and there is no existing Patient Panel, Patient Panel means the anticipated patients; or (3) In the case of a Transfer of Ownership, Patient Panel also includes the Patient Panel of the Entity to be acquired.</w:t>
      </w:r>
    </w:p>
  </w:footnote>
  <w:footnote w:id="6">
    <w:p w14:paraId="532AC6C8" w14:textId="77777777" w:rsidR="00607B95" w:rsidRPr="00763E26" w:rsidRDefault="00607B95" w:rsidP="004A036B">
      <w:pPr>
        <w:pStyle w:val="FootnoteText"/>
        <w:rPr>
          <w:sz w:val="16"/>
          <w:szCs w:val="16"/>
        </w:rPr>
      </w:pPr>
      <w:r w:rsidRPr="00FD5579">
        <w:rPr>
          <w:rStyle w:val="FootnoteReference"/>
          <w:rFonts w:asciiTheme="minorHAnsi" w:hAnsiTheme="minorHAnsi"/>
          <w:sz w:val="16"/>
          <w:szCs w:val="16"/>
        </w:rPr>
        <w:footnoteRef/>
      </w:r>
      <w:r w:rsidRPr="00FD5579">
        <w:rPr>
          <w:rFonts w:asciiTheme="minorHAnsi" w:hAnsiTheme="minorHAnsi"/>
          <w:sz w:val="16"/>
          <w:szCs w:val="16"/>
        </w:rPr>
        <w:t xml:space="preserve"> </w:t>
      </w:r>
      <w:bookmarkStart w:id="4" w:name="_Hlk204262714"/>
      <w:r w:rsidRPr="00FD5579">
        <w:rPr>
          <w:rFonts w:asciiTheme="minorHAnsi" w:hAnsiTheme="minorHAnsi"/>
          <w:sz w:val="16"/>
          <w:szCs w:val="16"/>
        </w:rPr>
        <w:t>Colonoscopy - Diagnostic/Screening; Colonoscopy – Procedural; EGD – Diagnostic; EGD – Procedural; Anoscopy – Procedural; Enteroscopy – Diagnostic; Enteroscopy – Procedural; Esophagoscopy – Diagnostic; Esophagoscopy – Procedural; Other GI Procedures - Dilation – Esophagus; Other GI Procedures - GI Tube Insertion/Replacement/Service – Percutaneous; Other GI Procedures - Other Tube Placement; Proctosigmoidoscopy – Diagnostic; Proctosigmoidoscopy – Procedural; Sigmoidoscopy - Diagnostic/Screening; Sigmoidoscopy - Procedural</w:t>
      </w:r>
      <w:bookmarkEnd w:id="4"/>
    </w:p>
  </w:footnote>
  <w:footnote w:id="7">
    <w:p w14:paraId="70102042" w14:textId="3DDE92A3" w:rsidR="00BC1D15" w:rsidRPr="00FC54A0" w:rsidRDefault="00BC1D15" w:rsidP="00BC1D15">
      <w:pPr>
        <w:pStyle w:val="FootnoteText"/>
        <w:rPr>
          <w:sz w:val="16"/>
          <w:szCs w:val="16"/>
        </w:rPr>
      </w:pPr>
      <w:r w:rsidRPr="00FC54A0">
        <w:rPr>
          <w:rStyle w:val="FootnoteReference"/>
          <w:sz w:val="16"/>
          <w:szCs w:val="16"/>
        </w:rPr>
        <w:footnoteRef/>
      </w:r>
      <w:r w:rsidRPr="00FC54A0">
        <w:rPr>
          <w:sz w:val="16"/>
          <w:szCs w:val="16"/>
        </w:rPr>
        <w:t xml:space="preserve"> The Applicant notes that the number of unique patients presented here are based on the PSA for Proposed Project.</w:t>
      </w:r>
      <w:r>
        <w:rPr>
          <w:sz w:val="16"/>
          <w:szCs w:val="16"/>
        </w:rPr>
        <w:t xml:space="preserve"> </w:t>
      </w:r>
      <w:r w:rsidRPr="00FC54A0">
        <w:rPr>
          <w:sz w:val="16"/>
          <w:szCs w:val="16"/>
        </w:rPr>
        <w:t>Therefore, the total volumes for the likely Patient Panel would not capture all MGH patients and as such the shift of patients from MGH main campus to MG Waltham</w:t>
      </w:r>
      <w:r>
        <w:rPr>
          <w:sz w:val="16"/>
          <w:szCs w:val="16"/>
        </w:rPr>
        <w:t xml:space="preserve">, resulting from the recent addition of operating rooms </w:t>
      </w:r>
      <w:r w:rsidRPr="00FC54A0">
        <w:rPr>
          <w:sz w:val="16"/>
          <w:szCs w:val="16"/>
        </w:rPr>
        <w:t>would not be reflected in this Patient Panel Data.</w:t>
      </w:r>
    </w:p>
    <w:p w14:paraId="40463279" w14:textId="35B2671C" w:rsidR="00BC1D15" w:rsidRDefault="00BC1D15">
      <w:pPr>
        <w:pStyle w:val="FootnoteText"/>
      </w:pPr>
    </w:p>
  </w:footnote>
  <w:footnote w:id="8">
    <w:p w14:paraId="4DC3EFDB" w14:textId="77777777" w:rsidR="00BB733F" w:rsidRPr="004A036B" w:rsidRDefault="00BB733F" w:rsidP="00F10D8D">
      <w:pPr>
        <w:pStyle w:val="FootnoteText"/>
        <w:rPr>
          <w:rFonts w:asciiTheme="minorHAnsi" w:hAnsiTheme="minorHAnsi"/>
          <w:sz w:val="16"/>
          <w:szCs w:val="16"/>
        </w:rPr>
      </w:pPr>
      <w:r w:rsidRPr="004A036B">
        <w:rPr>
          <w:rStyle w:val="FootnoteReference"/>
          <w:rFonts w:asciiTheme="minorHAnsi" w:hAnsiTheme="minorHAnsi"/>
          <w:sz w:val="16"/>
          <w:szCs w:val="16"/>
        </w:rPr>
        <w:footnoteRef/>
      </w:r>
      <w:r w:rsidRPr="004A036B">
        <w:rPr>
          <w:rFonts w:asciiTheme="minorHAnsi" w:hAnsiTheme="minorHAnsi"/>
          <w:sz w:val="16"/>
          <w:szCs w:val="16"/>
        </w:rPr>
        <w:t xml:space="preserve"> Includes Native Hawaiian, Race Not Listed, Unavailable, and Declined.</w:t>
      </w:r>
    </w:p>
  </w:footnote>
  <w:footnote w:id="9">
    <w:p w14:paraId="6CE6F6DA" w14:textId="61BF79D9" w:rsidR="0049267D" w:rsidRPr="004A036B" w:rsidRDefault="0049267D" w:rsidP="0012381F">
      <w:pPr>
        <w:rPr>
          <w:rFonts w:asciiTheme="minorHAnsi" w:hAnsiTheme="minorHAnsi"/>
          <w:sz w:val="16"/>
          <w:szCs w:val="16"/>
        </w:rPr>
      </w:pPr>
      <w:r w:rsidRPr="004A036B">
        <w:rPr>
          <w:rStyle w:val="FootnoteReference"/>
          <w:rFonts w:asciiTheme="minorHAnsi" w:hAnsiTheme="minorHAnsi"/>
          <w:sz w:val="16"/>
          <w:szCs w:val="16"/>
        </w:rPr>
        <w:footnoteRef/>
      </w:r>
      <w:r w:rsidRPr="004A036B">
        <w:rPr>
          <w:rFonts w:asciiTheme="minorHAnsi" w:hAnsiTheme="minorHAnsi"/>
          <w:sz w:val="16"/>
          <w:szCs w:val="16"/>
        </w:rPr>
        <w:t xml:space="preserve"> </w:t>
      </w:r>
      <w:r w:rsidR="00BE6D0C" w:rsidRPr="004A036B">
        <w:rPr>
          <w:rFonts w:asciiTheme="minorHAnsi" w:hAnsiTheme="minorHAnsi"/>
          <w:sz w:val="16"/>
          <w:szCs w:val="16"/>
        </w:rPr>
        <w:t xml:space="preserve">Includes the following zip codes: </w:t>
      </w:r>
      <w:r w:rsidR="00BE6D0C" w:rsidRPr="004A036B">
        <w:rPr>
          <w:rFonts w:asciiTheme="minorHAnsi" w:hAnsiTheme="minorHAnsi"/>
          <w:color w:val="000000"/>
          <w:sz w:val="16"/>
          <w:szCs w:val="16"/>
        </w:rPr>
        <w:t>02108, 02109, 02110, 02111, 02113, 02114, 02115, 02118, 02199, 02210, 02215, 02130, 02131, 02124, 02127, 02136, 02125, 02119, 02121, 02126, 02122, 02134, 02135, 02129</w:t>
      </w:r>
      <w:r w:rsidR="002B03B1" w:rsidRPr="004A036B">
        <w:rPr>
          <w:rFonts w:asciiTheme="minorHAnsi" w:hAnsiTheme="minorHAnsi"/>
          <w:color w:val="000000"/>
          <w:sz w:val="16"/>
          <w:szCs w:val="16"/>
        </w:rPr>
        <w:t>.</w:t>
      </w:r>
    </w:p>
  </w:footnote>
  <w:footnote w:id="10">
    <w:p w14:paraId="00C38F30" w14:textId="09B269C7" w:rsidR="0012381F" w:rsidRPr="004A036B" w:rsidRDefault="0012381F" w:rsidP="0012381F">
      <w:pPr>
        <w:rPr>
          <w:rFonts w:asciiTheme="minorHAnsi" w:hAnsiTheme="minorHAnsi"/>
          <w:color w:val="000000"/>
          <w:sz w:val="16"/>
          <w:szCs w:val="16"/>
        </w:rPr>
      </w:pPr>
      <w:r w:rsidRPr="004A036B">
        <w:rPr>
          <w:rFonts w:asciiTheme="minorHAnsi" w:hAnsiTheme="minorHAnsi"/>
          <w:color w:val="000000"/>
          <w:sz w:val="16"/>
          <w:szCs w:val="16"/>
          <w:vertAlign w:val="superscript"/>
        </w:rPr>
        <w:footnoteRef/>
      </w:r>
      <w:r w:rsidRPr="004A036B">
        <w:rPr>
          <w:rFonts w:asciiTheme="minorHAnsi" w:hAnsiTheme="minorHAnsi"/>
          <w:color w:val="000000"/>
          <w:sz w:val="16"/>
          <w:szCs w:val="16"/>
          <w:vertAlign w:val="superscript"/>
        </w:rPr>
        <w:t xml:space="preserve"> </w:t>
      </w:r>
      <w:r w:rsidRPr="004A036B">
        <w:rPr>
          <w:rFonts w:asciiTheme="minorHAnsi" w:hAnsiTheme="minorHAnsi"/>
          <w:color w:val="000000"/>
          <w:sz w:val="16"/>
          <w:szCs w:val="16"/>
        </w:rPr>
        <w:t>Includes the following zip codes: 02138, 02139, 02140, 02141, 02142</w:t>
      </w:r>
      <w:r w:rsidR="002B03B1" w:rsidRPr="004A036B">
        <w:rPr>
          <w:rFonts w:asciiTheme="minorHAnsi" w:hAnsiTheme="minorHAnsi"/>
          <w:color w:val="000000"/>
          <w:sz w:val="16"/>
          <w:szCs w:val="16"/>
        </w:rPr>
        <w:t>.</w:t>
      </w:r>
    </w:p>
  </w:footnote>
  <w:footnote w:id="11">
    <w:p w14:paraId="6902CC2E" w14:textId="45A7B482" w:rsidR="002B03B1" w:rsidRPr="004A036B" w:rsidRDefault="002B03B1" w:rsidP="002B03B1">
      <w:pPr>
        <w:rPr>
          <w:rFonts w:asciiTheme="minorHAnsi" w:hAnsiTheme="minorHAnsi"/>
        </w:rPr>
      </w:pPr>
      <w:r w:rsidRPr="004A036B">
        <w:rPr>
          <w:rFonts w:asciiTheme="minorHAnsi" w:hAnsiTheme="minorHAnsi"/>
          <w:color w:val="000000"/>
          <w:sz w:val="16"/>
          <w:szCs w:val="16"/>
          <w:vertAlign w:val="superscript"/>
        </w:rPr>
        <w:footnoteRef/>
      </w:r>
      <w:r w:rsidRPr="004A036B">
        <w:rPr>
          <w:rFonts w:asciiTheme="minorHAnsi" w:hAnsiTheme="minorHAnsi"/>
          <w:color w:val="000000"/>
          <w:sz w:val="16"/>
          <w:szCs w:val="16"/>
          <w:vertAlign w:val="superscript"/>
        </w:rPr>
        <w:t xml:space="preserve"> </w:t>
      </w:r>
      <w:r w:rsidRPr="004A036B">
        <w:rPr>
          <w:rFonts w:asciiTheme="minorHAnsi" w:hAnsiTheme="minorHAnsi"/>
          <w:color w:val="000000"/>
          <w:sz w:val="16"/>
          <w:szCs w:val="16"/>
        </w:rPr>
        <w:t>Includes the following zip codes: 02144, 02143, 02145.</w:t>
      </w:r>
    </w:p>
  </w:footnote>
  <w:footnote w:id="12">
    <w:p w14:paraId="15831E4D" w14:textId="63831CA8" w:rsidR="00B87561" w:rsidRPr="00B87561" w:rsidRDefault="00B87561">
      <w:pPr>
        <w:pStyle w:val="FootnoteText"/>
        <w:rPr>
          <w:sz w:val="16"/>
          <w:szCs w:val="16"/>
        </w:rPr>
      </w:pPr>
      <w:r w:rsidRPr="004A036B">
        <w:rPr>
          <w:rStyle w:val="FootnoteReference"/>
          <w:rFonts w:asciiTheme="minorHAnsi" w:hAnsiTheme="minorHAnsi"/>
          <w:sz w:val="16"/>
          <w:szCs w:val="16"/>
        </w:rPr>
        <w:footnoteRef/>
      </w:r>
      <w:r w:rsidRPr="004A036B">
        <w:rPr>
          <w:rFonts w:asciiTheme="minorHAnsi" w:hAnsiTheme="minorHAnsi"/>
          <w:sz w:val="16"/>
          <w:szCs w:val="16"/>
        </w:rPr>
        <w:t xml:space="preserve"> Includes the following zip codes: </w:t>
      </w:r>
      <w:r w:rsidRPr="004A036B">
        <w:rPr>
          <w:rFonts w:asciiTheme="minorHAnsi" w:hAnsiTheme="minorHAnsi"/>
          <w:color w:val="000000"/>
          <w:sz w:val="16"/>
          <w:szCs w:val="16"/>
        </w:rPr>
        <w:t>02445, 02446.</w:t>
      </w:r>
    </w:p>
  </w:footnote>
  <w:footnote w:id="13">
    <w:p w14:paraId="0AAE8903" w14:textId="3310E8ED" w:rsidR="00852495" w:rsidRPr="005E283A" w:rsidRDefault="00852495">
      <w:pPr>
        <w:pStyle w:val="FootnoteText"/>
        <w:rPr>
          <w:rFonts w:asciiTheme="minorHAnsi" w:hAnsiTheme="minorHAnsi"/>
          <w:sz w:val="16"/>
          <w:szCs w:val="16"/>
        </w:rPr>
      </w:pPr>
      <w:r w:rsidRPr="005E283A">
        <w:rPr>
          <w:rStyle w:val="FootnoteReference"/>
          <w:rFonts w:asciiTheme="minorHAnsi" w:hAnsiTheme="minorHAnsi"/>
          <w:sz w:val="16"/>
          <w:szCs w:val="16"/>
        </w:rPr>
        <w:footnoteRef/>
      </w:r>
      <w:r w:rsidRPr="005E283A">
        <w:rPr>
          <w:rFonts w:asciiTheme="minorHAnsi" w:hAnsiTheme="minorHAnsi"/>
          <w:sz w:val="16"/>
          <w:szCs w:val="16"/>
        </w:rPr>
        <w:t xml:space="preserve"> Includes the following zip codes: </w:t>
      </w:r>
      <w:r w:rsidRPr="005E283A">
        <w:rPr>
          <w:rFonts w:asciiTheme="minorHAnsi" w:hAnsiTheme="minorHAnsi"/>
          <w:color w:val="000000"/>
          <w:sz w:val="16"/>
          <w:szCs w:val="16"/>
        </w:rPr>
        <w:t>02474, 02476.</w:t>
      </w:r>
    </w:p>
  </w:footnote>
  <w:footnote w:id="14">
    <w:p w14:paraId="140D3CC6" w14:textId="77777777" w:rsidR="00B34C8B" w:rsidRPr="00FC54A0" w:rsidRDefault="00B34C8B" w:rsidP="00B34C8B">
      <w:pPr>
        <w:pStyle w:val="FootnoteText"/>
        <w:rPr>
          <w:sz w:val="16"/>
          <w:szCs w:val="16"/>
        </w:rPr>
      </w:pPr>
      <w:r w:rsidRPr="00FC54A0">
        <w:rPr>
          <w:rStyle w:val="FootnoteReference"/>
          <w:sz w:val="16"/>
          <w:szCs w:val="16"/>
        </w:rPr>
        <w:footnoteRef/>
      </w:r>
      <w:r w:rsidRPr="00FC54A0">
        <w:rPr>
          <w:sz w:val="16"/>
          <w:szCs w:val="16"/>
        </w:rPr>
        <w:t xml:space="preserve"> NWH opened a ninth endoscopy room in FY2023 to perform interventional endoscopy. </w:t>
      </w:r>
    </w:p>
  </w:footnote>
  <w:footnote w:id="15">
    <w:p w14:paraId="75C3672F" w14:textId="77777777" w:rsidR="00C81109" w:rsidRPr="00BB55DF" w:rsidRDefault="00C81109" w:rsidP="00C81109">
      <w:pPr>
        <w:pStyle w:val="FootnoteText"/>
      </w:pPr>
      <w:r w:rsidRPr="00FC54A0">
        <w:rPr>
          <w:rStyle w:val="FootnoteReference"/>
          <w:sz w:val="16"/>
          <w:szCs w:val="16"/>
        </w:rPr>
        <w:footnoteRef/>
      </w:r>
      <w:r w:rsidRPr="00FC54A0">
        <w:rPr>
          <w:sz w:val="16"/>
          <w:szCs w:val="16"/>
        </w:rPr>
        <w:t xml:space="preserve"> Case capacity per room represents a weighted average of interventional case lengths and all other case lengths.  </w:t>
      </w:r>
    </w:p>
  </w:footnote>
  <w:footnote w:id="16">
    <w:p w14:paraId="645A724E" w14:textId="77777777" w:rsidR="00C81109" w:rsidRPr="00FC54A0" w:rsidRDefault="00C81109" w:rsidP="00C81109">
      <w:pPr>
        <w:pStyle w:val="FootnoteText"/>
        <w:rPr>
          <w:sz w:val="16"/>
          <w:szCs w:val="16"/>
        </w:rPr>
      </w:pPr>
      <w:r w:rsidRPr="00FC54A0">
        <w:rPr>
          <w:rStyle w:val="FootnoteReference"/>
          <w:sz w:val="16"/>
          <w:szCs w:val="16"/>
        </w:rPr>
        <w:footnoteRef/>
      </w:r>
      <w:r w:rsidRPr="00FC54A0">
        <w:rPr>
          <w:sz w:val="16"/>
          <w:szCs w:val="16"/>
        </w:rPr>
        <w:t xml:space="preserve"> </w:t>
      </w:r>
      <w:bookmarkStart w:id="9" w:name="_Hlk218542488"/>
      <w:r w:rsidRPr="00FC54A0">
        <w:rPr>
          <w:sz w:val="16"/>
          <w:szCs w:val="16"/>
        </w:rPr>
        <w:t xml:space="preserve">Projected volume and capacity for FY2026 are based on i) Q1 actual volume, ii) Q1 utilization, and iii) increased physician capacity. </w:t>
      </w:r>
      <w:bookmarkEnd w:id="9"/>
    </w:p>
  </w:footnote>
  <w:footnote w:id="17">
    <w:p w14:paraId="7CE69A70" w14:textId="77777777" w:rsidR="00E03B15" w:rsidRPr="00400E27" w:rsidRDefault="00E03B15" w:rsidP="00E03B15">
      <w:pPr>
        <w:pStyle w:val="FootnoteText"/>
        <w:rPr>
          <w:sz w:val="16"/>
          <w:szCs w:val="16"/>
        </w:rPr>
      </w:pPr>
      <w:r w:rsidRPr="00400E27">
        <w:rPr>
          <w:rStyle w:val="FootnoteReference"/>
          <w:sz w:val="16"/>
          <w:szCs w:val="16"/>
        </w:rPr>
        <w:footnoteRef/>
      </w:r>
      <w:r w:rsidRPr="00400E27">
        <w:rPr>
          <w:sz w:val="16"/>
          <w:szCs w:val="16"/>
        </w:rPr>
        <w:t xml:space="preserve"> Two dedicated endoscopy rooms opened in FY2024. Prior to FY2024, endoscopy procedures at MG Waltham were performed in one OR room 2 days per week.  </w:t>
      </w:r>
    </w:p>
  </w:footnote>
  <w:footnote w:id="18">
    <w:p w14:paraId="35BFAF94" w14:textId="77777777" w:rsidR="00E03B15" w:rsidRPr="00BB55DF" w:rsidRDefault="00E03B15" w:rsidP="00E03B15">
      <w:pPr>
        <w:pStyle w:val="FootnoteText"/>
      </w:pPr>
      <w:r w:rsidRPr="00400E27">
        <w:rPr>
          <w:rStyle w:val="FootnoteReference"/>
          <w:sz w:val="16"/>
          <w:szCs w:val="16"/>
        </w:rPr>
        <w:footnoteRef/>
      </w:r>
      <w:r w:rsidRPr="00400E27">
        <w:rPr>
          <w:sz w:val="16"/>
          <w:szCs w:val="16"/>
        </w:rPr>
        <w:t xml:space="preserve"> Case capacity increased year-over-year due to decreasing case lengths: 30 minutes in FY22, 29 minutes in FY23, 26 minutes in FY24, and 25 minutes in FY25.</w:t>
      </w:r>
    </w:p>
  </w:footnote>
  <w:footnote w:id="19">
    <w:p w14:paraId="6413576F" w14:textId="03838DF1" w:rsidR="00EE31E7" w:rsidRPr="00FC54A0" w:rsidRDefault="00EE31E7">
      <w:pPr>
        <w:pStyle w:val="FootnoteText"/>
        <w:rPr>
          <w:sz w:val="16"/>
          <w:szCs w:val="16"/>
        </w:rPr>
      </w:pPr>
      <w:r w:rsidRPr="00FC54A0">
        <w:rPr>
          <w:rStyle w:val="FootnoteReference"/>
          <w:sz w:val="16"/>
          <w:szCs w:val="16"/>
        </w:rPr>
        <w:footnoteRef/>
      </w:r>
      <w:r w:rsidRPr="00FC54A0">
        <w:rPr>
          <w:sz w:val="16"/>
          <w:szCs w:val="16"/>
        </w:rPr>
        <w:t xml:space="preserve"> </w:t>
      </w:r>
      <w:r w:rsidR="00970476" w:rsidRPr="00FC54A0">
        <w:rPr>
          <w:sz w:val="16"/>
          <w:szCs w:val="16"/>
        </w:rPr>
        <w:t>Rate of screening among a</w:t>
      </w:r>
      <w:r w:rsidRPr="00FC54A0">
        <w:rPr>
          <w:sz w:val="16"/>
          <w:szCs w:val="16"/>
        </w:rPr>
        <w:t>dults ages 50–74 years due for CRC screening who received primary care at one of 35 primary care practices affiliated with Massachusetts General Hospital or Brigham and Women’s Hospital (Boston, MA), 3/1/2020 to 3/1/2022. </w:t>
      </w:r>
    </w:p>
  </w:footnote>
  <w:footnote w:id="20">
    <w:p w14:paraId="33364B33" w14:textId="2FED2A97" w:rsidR="00827BEC" w:rsidRDefault="00827BEC">
      <w:pPr>
        <w:pStyle w:val="FootnoteText"/>
      </w:pPr>
      <w:r w:rsidRPr="005E283A">
        <w:rPr>
          <w:rStyle w:val="FootnoteReference"/>
          <w:rFonts w:asciiTheme="minorHAnsi" w:hAnsiTheme="minorHAnsi"/>
          <w:sz w:val="16"/>
          <w:szCs w:val="16"/>
        </w:rPr>
        <w:footnoteRef/>
      </w:r>
      <w:r w:rsidRPr="005E283A">
        <w:rPr>
          <w:rFonts w:asciiTheme="minorHAnsi" w:hAnsiTheme="minorHAnsi"/>
          <w:sz w:val="16"/>
          <w:szCs w:val="16"/>
        </w:rPr>
        <w:t xml:space="preserve"> </w:t>
      </w:r>
      <w:r w:rsidR="005E283A" w:rsidRPr="005E283A">
        <w:rPr>
          <w:rFonts w:asciiTheme="minorHAnsi" w:hAnsiTheme="minorHAnsi"/>
          <w:sz w:val="16"/>
          <w:szCs w:val="16"/>
        </w:rPr>
        <w:t xml:space="preserve">The American Cancer society recommends screenings beginning at age 45 </w:t>
      </w:r>
      <w:hyperlink r:id="rId1" w:history="1">
        <w:r w:rsidR="005E283A" w:rsidRPr="005E283A">
          <w:rPr>
            <w:rStyle w:val="Hyperlink"/>
            <w:rFonts w:asciiTheme="minorHAnsi" w:hAnsiTheme="minorHAnsi"/>
            <w:color w:val="365F91" w:themeColor="accent1" w:themeShade="BF"/>
            <w:sz w:val="16"/>
            <w:szCs w:val="16"/>
          </w:rPr>
          <w:t>https://www.cancer.org/cancer/types/colon-rectal-cancer/detection-diagnosis-staging/acs-recommendations.html</w:t>
        </w:r>
      </w:hyperlink>
    </w:p>
  </w:footnote>
  <w:footnote w:id="21">
    <w:p w14:paraId="0182F499" w14:textId="77777777" w:rsidR="00CE68F2" w:rsidRPr="00763E26" w:rsidRDefault="00CE68F2" w:rsidP="00CE68F2">
      <w:pPr>
        <w:pStyle w:val="FootnoteText"/>
        <w:rPr>
          <w:rFonts w:ascii="Aptos" w:hAnsi="Aptos"/>
          <w:sz w:val="16"/>
          <w:szCs w:val="16"/>
        </w:rPr>
      </w:pPr>
      <w:r w:rsidRPr="00763E26">
        <w:rPr>
          <w:rStyle w:val="FootnoteReference"/>
          <w:rFonts w:ascii="Aptos" w:hAnsi="Aptos"/>
          <w:sz w:val="16"/>
          <w:szCs w:val="16"/>
        </w:rPr>
        <w:footnoteRef/>
      </w:r>
      <w:r w:rsidRPr="00763E26">
        <w:rPr>
          <w:rFonts w:ascii="Aptos" w:hAnsi="Aptos"/>
          <w:sz w:val="16"/>
          <w:szCs w:val="16"/>
        </w:rPr>
        <w:t xml:space="preserve"> Includes follow-up for positive FIT/Cologuard and surveillance for history of polyps.</w:t>
      </w:r>
    </w:p>
  </w:footnote>
  <w:footnote w:id="22">
    <w:p w14:paraId="67522F72" w14:textId="77777777" w:rsidR="0005638B" w:rsidRPr="00763E26" w:rsidRDefault="0005638B" w:rsidP="0005638B">
      <w:pPr>
        <w:pStyle w:val="FootnoteText"/>
        <w:rPr>
          <w:rFonts w:ascii="Aptos" w:hAnsi="Aptos"/>
          <w:sz w:val="16"/>
          <w:szCs w:val="16"/>
        </w:rPr>
      </w:pPr>
      <w:r w:rsidRPr="00763E26">
        <w:rPr>
          <w:rStyle w:val="FootnoteReference"/>
          <w:rFonts w:ascii="Aptos" w:hAnsi="Aptos"/>
          <w:sz w:val="16"/>
          <w:szCs w:val="16"/>
        </w:rPr>
        <w:footnoteRef/>
      </w:r>
      <w:r w:rsidRPr="00763E26">
        <w:rPr>
          <w:rFonts w:ascii="Aptos" w:hAnsi="Aptos"/>
          <w:sz w:val="16"/>
          <w:szCs w:val="16"/>
        </w:rPr>
        <w:t xml:space="preserve"> MGH’s current endoscopy room utilization is down 10 percentage points from FY24 (85%) due to the opening of a second inpatient room in the afternoon to accommodate the growing number of inpatient endoscopy cases. </w:t>
      </w:r>
    </w:p>
  </w:footnote>
  <w:footnote w:id="23">
    <w:p w14:paraId="07327381" w14:textId="31592993" w:rsidR="007114D8" w:rsidRPr="00EC1119" w:rsidRDefault="007114D8" w:rsidP="0017187C">
      <w:pPr>
        <w:pStyle w:val="FootnoteText"/>
        <w:rPr>
          <w:sz w:val="16"/>
          <w:szCs w:val="16"/>
        </w:rPr>
      </w:pPr>
    </w:p>
  </w:footnote>
  <w:footnote w:id="24">
    <w:p w14:paraId="586045BC" w14:textId="77777777" w:rsidR="00783043" w:rsidRPr="00FC54A0" w:rsidRDefault="00B77626" w:rsidP="00FC54A0">
      <w:pPr>
        <w:widowControl/>
        <w:autoSpaceDE/>
        <w:autoSpaceDN/>
        <w:spacing w:after="60"/>
        <w:rPr>
          <w:rFonts w:asciiTheme="minorHAnsi" w:hAnsiTheme="minorHAnsi"/>
          <w:sz w:val="16"/>
          <w:szCs w:val="16"/>
        </w:rPr>
      </w:pPr>
      <w:r w:rsidRPr="00FC54A0">
        <w:rPr>
          <w:rStyle w:val="FootnoteReference"/>
          <w:rFonts w:asciiTheme="minorHAnsi" w:hAnsiTheme="minorHAnsi"/>
          <w:sz w:val="16"/>
          <w:szCs w:val="16"/>
        </w:rPr>
        <w:footnoteRef/>
      </w:r>
      <w:r w:rsidRPr="00FC54A0">
        <w:rPr>
          <w:rFonts w:asciiTheme="minorHAnsi" w:hAnsiTheme="minorHAnsi"/>
          <w:sz w:val="16"/>
          <w:szCs w:val="16"/>
        </w:rPr>
        <w:t xml:space="preserve"> The Proposed ASC will perform </w:t>
      </w:r>
      <w:r w:rsidR="00783043" w:rsidRPr="00FC54A0">
        <w:rPr>
          <w:rFonts w:asciiTheme="minorHAnsi" w:hAnsiTheme="minorHAnsi"/>
          <w:sz w:val="16"/>
          <w:szCs w:val="16"/>
        </w:rPr>
        <w:t xml:space="preserve">Colonoscopy - Diagnostic/Screening; Colonoscopy – Procedural; EGD – Diagnostic; EGD – Procedural; Anoscopy – Procedural; Enteroscopy – Diagnostic; Enteroscopy – Procedural; Esophagoscopy – Diagnostic; Esophagoscopy – Procedural; Other GI Procedures - Dilation – Esophagus; Other GI Procedures - GI Tube Insertion/Replacement/Service – Percutaneous; Other GI Procedures - Other Tube Placement; Proctosigmoidoscopy – Diagnostic; Proctosigmoidoscopy – Procedural; Sigmoidoscopy - Diagnostic/Screening; Sigmoidoscopy – Procedural. </w:t>
      </w:r>
    </w:p>
    <w:p w14:paraId="050C90BF" w14:textId="2593982B" w:rsidR="00B77626" w:rsidRDefault="00B77626">
      <w:pPr>
        <w:pStyle w:val="FootnoteText"/>
      </w:pPr>
    </w:p>
  </w:footnote>
  <w:footnote w:id="25">
    <w:p w14:paraId="27237CE9" w14:textId="77777777" w:rsidR="002B22C3" w:rsidRPr="00763E26" w:rsidRDefault="002B22C3" w:rsidP="002B22C3">
      <w:pPr>
        <w:pStyle w:val="FootnoteText"/>
        <w:rPr>
          <w:rFonts w:asciiTheme="minorHAnsi" w:hAnsiTheme="minorHAnsi"/>
          <w:sz w:val="16"/>
          <w:szCs w:val="16"/>
        </w:rPr>
      </w:pPr>
      <w:r w:rsidRPr="00763E26">
        <w:rPr>
          <w:rStyle w:val="FootnoteReference"/>
          <w:rFonts w:asciiTheme="minorHAnsi" w:hAnsiTheme="minorHAnsi"/>
          <w:sz w:val="16"/>
          <w:szCs w:val="16"/>
        </w:rPr>
        <w:footnoteRef/>
      </w:r>
      <w:r w:rsidRPr="00763E26">
        <w:rPr>
          <w:rFonts w:asciiTheme="minorHAnsi" w:hAnsiTheme="minorHAnsi"/>
          <w:sz w:val="16"/>
          <w:szCs w:val="16"/>
        </w:rPr>
        <w:t xml:space="preserve"> </w:t>
      </w:r>
      <w:r w:rsidRPr="00763E26">
        <w:rPr>
          <w:rFonts w:asciiTheme="minorHAnsi" w:hAnsiTheme="minorHAnsi"/>
          <w:i/>
          <w:iCs/>
          <w:sz w:val="16"/>
          <w:szCs w:val="16"/>
        </w:rPr>
        <w:t xml:space="preserve">HPC DataPoints, Issue 26, </w:t>
      </w:r>
      <w:r w:rsidRPr="00763E26">
        <w:rPr>
          <w:rFonts w:ascii="Aptos" w:hAnsi="Aptos"/>
          <w:i/>
          <w:iCs/>
          <w:sz w:val="16"/>
          <w:szCs w:val="16"/>
        </w:rPr>
        <w:t>supra</w:t>
      </w:r>
      <w:r w:rsidRPr="00763E26">
        <w:rPr>
          <w:rFonts w:ascii="Aptos" w:hAnsi="Aptos"/>
          <w:sz w:val="16"/>
          <w:szCs w:val="16"/>
        </w:rPr>
        <w:t xml:space="preserve"> note </w:t>
      </w:r>
      <w:r w:rsidRPr="00763E26">
        <w:rPr>
          <w:rFonts w:ascii="Aptos" w:hAnsi="Aptos"/>
          <w:sz w:val="16"/>
          <w:szCs w:val="16"/>
        </w:rPr>
        <w:fldChar w:fldCharType="begin"/>
      </w:r>
      <w:r w:rsidRPr="00763E26">
        <w:rPr>
          <w:rFonts w:ascii="Aptos" w:hAnsi="Aptos"/>
          <w:sz w:val="16"/>
          <w:szCs w:val="16"/>
        </w:rPr>
        <w:instrText xml:space="preserve"> NOTEREF _Ref207177121 \h </w:instrText>
      </w:r>
      <w:r>
        <w:rPr>
          <w:rFonts w:ascii="Aptos" w:hAnsi="Aptos"/>
          <w:sz w:val="16"/>
          <w:szCs w:val="16"/>
        </w:rPr>
        <w:instrText xml:space="preserve"> \* MERGEFORMAT </w:instrText>
      </w:r>
      <w:r w:rsidRPr="00763E26">
        <w:rPr>
          <w:rFonts w:ascii="Aptos" w:hAnsi="Aptos"/>
          <w:sz w:val="16"/>
          <w:szCs w:val="16"/>
        </w:rPr>
      </w:r>
      <w:r w:rsidRPr="00763E26">
        <w:rPr>
          <w:rFonts w:ascii="Aptos" w:hAnsi="Aptos"/>
          <w:sz w:val="16"/>
          <w:szCs w:val="16"/>
        </w:rPr>
        <w:fldChar w:fldCharType="separate"/>
      </w:r>
      <w:r>
        <w:rPr>
          <w:rFonts w:ascii="Aptos" w:hAnsi="Aptos"/>
          <w:sz w:val="16"/>
          <w:szCs w:val="16"/>
        </w:rPr>
        <w:t>6</w:t>
      </w:r>
      <w:r w:rsidRPr="00763E26">
        <w:rPr>
          <w:rFonts w:ascii="Aptos" w:hAnsi="Aptos"/>
          <w:sz w:val="16"/>
          <w:szCs w:val="16"/>
        </w:rPr>
        <w:fldChar w:fldCharType="end"/>
      </w:r>
      <w:r w:rsidRPr="00763E26">
        <w:rPr>
          <w:rFonts w:ascii="Aptos" w:hAnsi="Aptos"/>
          <w:sz w:val="16"/>
          <w:szCs w:val="16"/>
        </w:rPr>
        <w:t>.</w:t>
      </w:r>
    </w:p>
  </w:footnote>
  <w:footnote w:id="26">
    <w:p w14:paraId="177BC326" w14:textId="77777777" w:rsidR="002B22C3" w:rsidRPr="00763E26" w:rsidRDefault="002B22C3" w:rsidP="002B22C3">
      <w:pPr>
        <w:pStyle w:val="FootnoteText"/>
        <w:rPr>
          <w:rFonts w:asciiTheme="minorHAnsi" w:hAnsiTheme="minorHAnsi"/>
          <w:sz w:val="16"/>
          <w:szCs w:val="16"/>
        </w:rPr>
      </w:pPr>
      <w:r w:rsidRPr="00763E26">
        <w:rPr>
          <w:rStyle w:val="FootnoteReference"/>
          <w:rFonts w:asciiTheme="minorHAnsi" w:hAnsiTheme="minorHAnsi"/>
          <w:sz w:val="16"/>
          <w:szCs w:val="16"/>
        </w:rPr>
        <w:footnoteRef/>
      </w:r>
      <w:r w:rsidRPr="00763E26">
        <w:rPr>
          <w:rFonts w:asciiTheme="minorHAnsi" w:hAnsiTheme="minorHAnsi"/>
          <w:sz w:val="16"/>
          <w:szCs w:val="16"/>
        </w:rPr>
        <w:t xml:space="preserve"> </w:t>
      </w:r>
      <w:r w:rsidRPr="00763E26">
        <w:rPr>
          <w:rFonts w:asciiTheme="minorHAnsi" w:hAnsiTheme="minorHAnsi"/>
          <w:i/>
          <w:iCs/>
          <w:sz w:val="16"/>
          <w:szCs w:val="16"/>
        </w:rPr>
        <w:t xml:space="preserve">HPC DataPoints, Issue 26, </w:t>
      </w:r>
      <w:r w:rsidRPr="00763E26">
        <w:rPr>
          <w:rFonts w:ascii="Aptos" w:hAnsi="Aptos"/>
          <w:i/>
          <w:iCs/>
          <w:sz w:val="16"/>
          <w:szCs w:val="16"/>
        </w:rPr>
        <w:t>supra</w:t>
      </w:r>
      <w:r w:rsidRPr="00763E26">
        <w:rPr>
          <w:rFonts w:ascii="Aptos" w:hAnsi="Aptos"/>
          <w:sz w:val="16"/>
          <w:szCs w:val="16"/>
        </w:rPr>
        <w:t xml:space="preserve"> note </w:t>
      </w:r>
      <w:r w:rsidRPr="00763E26">
        <w:rPr>
          <w:rFonts w:ascii="Aptos" w:hAnsi="Aptos"/>
          <w:sz w:val="16"/>
          <w:szCs w:val="16"/>
        </w:rPr>
        <w:fldChar w:fldCharType="begin"/>
      </w:r>
      <w:r w:rsidRPr="00763E26">
        <w:rPr>
          <w:rFonts w:ascii="Aptos" w:hAnsi="Aptos"/>
          <w:sz w:val="16"/>
          <w:szCs w:val="16"/>
        </w:rPr>
        <w:instrText xml:space="preserve"> NOTEREF _Ref207177121 \h </w:instrText>
      </w:r>
      <w:r>
        <w:rPr>
          <w:rFonts w:ascii="Aptos" w:hAnsi="Aptos"/>
          <w:sz w:val="16"/>
          <w:szCs w:val="16"/>
        </w:rPr>
        <w:instrText xml:space="preserve"> \* MERGEFORMAT </w:instrText>
      </w:r>
      <w:r w:rsidRPr="00763E26">
        <w:rPr>
          <w:rFonts w:ascii="Aptos" w:hAnsi="Aptos"/>
          <w:sz w:val="16"/>
          <w:szCs w:val="16"/>
        </w:rPr>
      </w:r>
      <w:r w:rsidRPr="00763E26">
        <w:rPr>
          <w:rFonts w:ascii="Aptos" w:hAnsi="Aptos"/>
          <w:sz w:val="16"/>
          <w:szCs w:val="16"/>
        </w:rPr>
        <w:fldChar w:fldCharType="separate"/>
      </w:r>
      <w:r>
        <w:rPr>
          <w:rFonts w:ascii="Aptos" w:hAnsi="Aptos"/>
          <w:sz w:val="16"/>
          <w:szCs w:val="16"/>
        </w:rPr>
        <w:t>6</w:t>
      </w:r>
      <w:r w:rsidRPr="00763E26">
        <w:rPr>
          <w:rFonts w:ascii="Aptos" w:hAnsi="Aptos"/>
          <w:sz w:val="16"/>
          <w:szCs w:val="16"/>
        </w:rPr>
        <w:fldChar w:fldCharType="end"/>
      </w:r>
      <w:r w:rsidRPr="00763E26">
        <w:rPr>
          <w:rFonts w:ascii="Aptos" w:hAnsi="Aptos"/>
          <w:sz w:val="16"/>
          <w:szCs w:val="16"/>
        </w:rPr>
        <w:t>.</w:t>
      </w:r>
    </w:p>
  </w:footnote>
  <w:footnote w:id="27">
    <w:p w14:paraId="01FA4DBE" w14:textId="77777777" w:rsidR="002B22C3" w:rsidRPr="00763E26" w:rsidRDefault="002B22C3" w:rsidP="002B22C3">
      <w:pPr>
        <w:pStyle w:val="FootnoteText"/>
        <w:rPr>
          <w:rFonts w:asciiTheme="minorHAnsi" w:hAnsiTheme="minorHAnsi"/>
          <w:sz w:val="16"/>
          <w:szCs w:val="16"/>
        </w:rPr>
      </w:pPr>
      <w:r w:rsidRPr="00763E26">
        <w:rPr>
          <w:rStyle w:val="FootnoteReference"/>
          <w:rFonts w:asciiTheme="minorHAnsi" w:hAnsiTheme="minorHAnsi"/>
          <w:sz w:val="16"/>
          <w:szCs w:val="16"/>
        </w:rPr>
        <w:footnoteRef/>
      </w:r>
      <w:r w:rsidRPr="00763E26">
        <w:rPr>
          <w:rFonts w:asciiTheme="minorHAnsi" w:hAnsiTheme="minorHAnsi"/>
          <w:sz w:val="16"/>
          <w:szCs w:val="16"/>
        </w:rPr>
        <w:t xml:space="preserve"> </w:t>
      </w:r>
      <w:r w:rsidRPr="00763E26">
        <w:rPr>
          <w:rFonts w:asciiTheme="minorHAnsi" w:hAnsiTheme="minorHAnsi"/>
          <w:i/>
          <w:iCs/>
          <w:sz w:val="16"/>
          <w:szCs w:val="16"/>
        </w:rPr>
        <w:t xml:space="preserve">HPC DataPoints, Issue 26, </w:t>
      </w:r>
      <w:r w:rsidRPr="00763E26">
        <w:rPr>
          <w:rFonts w:ascii="Aptos" w:hAnsi="Aptos"/>
          <w:i/>
          <w:iCs/>
          <w:sz w:val="16"/>
          <w:szCs w:val="16"/>
        </w:rPr>
        <w:t>supra</w:t>
      </w:r>
      <w:r w:rsidRPr="00763E26">
        <w:rPr>
          <w:rFonts w:ascii="Aptos" w:hAnsi="Aptos"/>
          <w:sz w:val="16"/>
          <w:szCs w:val="16"/>
        </w:rPr>
        <w:t xml:space="preserve"> note </w:t>
      </w:r>
      <w:r w:rsidRPr="00763E26">
        <w:rPr>
          <w:rFonts w:ascii="Aptos" w:hAnsi="Aptos"/>
          <w:sz w:val="16"/>
          <w:szCs w:val="16"/>
        </w:rPr>
        <w:fldChar w:fldCharType="begin"/>
      </w:r>
      <w:r w:rsidRPr="00763E26">
        <w:rPr>
          <w:rFonts w:ascii="Aptos" w:hAnsi="Aptos"/>
          <w:sz w:val="16"/>
          <w:szCs w:val="16"/>
        </w:rPr>
        <w:instrText xml:space="preserve"> NOTEREF _Ref207177121 \h </w:instrText>
      </w:r>
      <w:r>
        <w:rPr>
          <w:rFonts w:ascii="Aptos" w:hAnsi="Aptos"/>
          <w:sz w:val="16"/>
          <w:szCs w:val="16"/>
        </w:rPr>
        <w:instrText xml:space="preserve"> \* MERGEFORMAT </w:instrText>
      </w:r>
      <w:r w:rsidRPr="00763E26">
        <w:rPr>
          <w:rFonts w:ascii="Aptos" w:hAnsi="Aptos"/>
          <w:sz w:val="16"/>
          <w:szCs w:val="16"/>
        </w:rPr>
      </w:r>
      <w:r w:rsidRPr="00763E26">
        <w:rPr>
          <w:rFonts w:ascii="Aptos" w:hAnsi="Aptos"/>
          <w:sz w:val="16"/>
          <w:szCs w:val="16"/>
        </w:rPr>
        <w:fldChar w:fldCharType="separate"/>
      </w:r>
      <w:r>
        <w:rPr>
          <w:rFonts w:ascii="Aptos" w:hAnsi="Aptos"/>
          <w:sz w:val="16"/>
          <w:szCs w:val="16"/>
        </w:rPr>
        <w:t>6</w:t>
      </w:r>
      <w:r w:rsidRPr="00763E26">
        <w:rPr>
          <w:rFonts w:ascii="Aptos" w:hAnsi="Aptos"/>
          <w:sz w:val="16"/>
          <w:szCs w:val="16"/>
        </w:rPr>
        <w:fldChar w:fldCharType="end"/>
      </w:r>
      <w:r w:rsidRPr="00763E26">
        <w:rPr>
          <w:rFonts w:ascii="Aptos" w:hAnsi="Aptos"/>
          <w:sz w:val="16"/>
          <w:szCs w:val="16"/>
        </w:rPr>
        <w:t>.</w:t>
      </w:r>
    </w:p>
  </w:footnote>
  <w:footnote w:id="28">
    <w:p w14:paraId="311B5904" w14:textId="77777777" w:rsidR="00236E0F" w:rsidRPr="00763E26" w:rsidRDefault="00236E0F" w:rsidP="00236E0F">
      <w:pPr>
        <w:pStyle w:val="FootnoteText"/>
        <w:rPr>
          <w:sz w:val="16"/>
          <w:szCs w:val="16"/>
        </w:rPr>
      </w:pPr>
      <w:r w:rsidRPr="00763E26">
        <w:rPr>
          <w:rStyle w:val="FootnoteReference"/>
          <w:sz w:val="16"/>
          <w:szCs w:val="16"/>
        </w:rPr>
        <w:footnoteRef/>
      </w:r>
      <w:r w:rsidRPr="00763E26">
        <w:rPr>
          <w:sz w:val="16"/>
          <w:szCs w:val="16"/>
        </w:rPr>
        <w:t xml:space="preserve"> </w:t>
      </w:r>
      <w:r w:rsidRPr="00763E26">
        <w:rPr>
          <w:rFonts w:asciiTheme="minorHAnsi" w:hAnsiTheme="minorHAnsi"/>
          <w:sz w:val="16"/>
          <w:szCs w:val="16"/>
        </w:rPr>
        <w:t xml:space="preserve">Please note, the endoscopy services costs are based on Medicare’s 2025 payments and copayments rates, as reviewed on July 1, 2025 and are available at </w:t>
      </w:r>
      <w:hyperlink r:id="rId2" w:history="1">
        <w:r w:rsidRPr="00763E26">
          <w:rPr>
            <w:rStyle w:val="Hyperlink"/>
            <w:rFonts w:asciiTheme="minorHAnsi" w:hAnsiTheme="minorHAnsi"/>
            <w:sz w:val="16"/>
            <w:szCs w:val="16"/>
          </w:rPr>
          <w:t>https://www.medicare.gov/procedure-price-lookup/</w:t>
        </w:r>
      </w:hyperlink>
      <w:r w:rsidRPr="00763E26">
        <w:rPr>
          <w:sz w:val="16"/>
          <w:szCs w:val="16"/>
        </w:rPr>
        <w:t>.</w:t>
      </w:r>
    </w:p>
  </w:footnote>
  <w:footnote w:id="29">
    <w:p w14:paraId="7CF7B452" w14:textId="77777777" w:rsidR="00A0769D" w:rsidRPr="00D06713" w:rsidRDefault="00A0769D" w:rsidP="00FA2491">
      <w:pPr>
        <w:pStyle w:val="FootnoteText"/>
        <w:rPr>
          <w:rFonts w:asciiTheme="minorHAnsi" w:hAnsiTheme="minorHAnsi"/>
        </w:rPr>
      </w:pPr>
      <w:r w:rsidRPr="00D06713">
        <w:rPr>
          <w:rStyle w:val="FootnoteReference"/>
          <w:rFonts w:asciiTheme="minorHAnsi" w:hAnsiTheme="minorHAnsi"/>
        </w:rPr>
        <w:footnoteRef/>
      </w:r>
      <w:r w:rsidRPr="00D06713">
        <w:rPr>
          <w:rFonts w:asciiTheme="minorHAnsi" w:hAnsiTheme="minorHAnsi"/>
        </w:rPr>
        <w:t xml:space="preserve"> Please note, the out-of-pocket costs for patients is based on Medicare’s 2025 payments and copayments rates, as reviewed on July 10, 2025 and are available at </w:t>
      </w:r>
      <w:hyperlink r:id="rId3" w:history="1">
        <w:r w:rsidRPr="00D06713">
          <w:rPr>
            <w:rStyle w:val="Hyperlink"/>
            <w:rFonts w:asciiTheme="minorHAnsi" w:hAnsiTheme="minorHAnsi"/>
            <w:color w:val="365F91" w:themeColor="accent1" w:themeShade="BF"/>
          </w:rPr>
          <w:t>https://www.medicare.gov/procedure-price-lookup/</w:t>
        </w:r>
      </w:hyperlink>
      <w:r w:rsidRPr="00D06713">
        <w:rPr>
          <w:rFonts w:asciiTheme="minorHAnsi" w:hAnsiTheme="minorHAnsi"/>
        </w:rPr>
        <w:t>.</w:t>
      </w:r>
    </w:p>
  </w:footnote>
  <w:footnote w:id="30">
    <w:p w14:paraId="30CBED15" w14:textId="77777777" w:rsidR="001F0B6B" w:rsidRPr="005D77FB" w:rsidRDefault="001F0B6B" w:rsidP="001F0B6B">
      <w:pPr>
        <w:pStyle w:val="FootnoteText"/>
        <w:rPr>
          <w:sz w:val="16"/>
          <w:szCs w:val="16"/>
        </w:rPr>
      </w:pPr>
      <w:r w:rsidRPr="005D77FB">
        <w:rPr>
          <w:rStyle w:val="FootnoteReference"/>
          <w:sz w:val="16"/>
          <w:szCs w:val="16"/>
        </w:rPr>
        <w:footnoteRef/>
      </w:r>
      <w:r w:rsidRPr="005D77FB">
        <w:rPr>
          <w:sz w:val="16"/>
          <w:szCs w:val="16"/>
        </w:rPr>
        <w:t xml:space="preserve"> </w:t>
      </w:r>
      <w:r w:rsidRPr="005D77FB">
        <w:rPr>
          <w:rFonts w:eastAsia="Times New Roman"/>
          <w:sz w:val="16"/>
          <w:szCs w:val="16"/>
        </w:rPr>
        <w:t>Reasonableness is defined within the context of this report as supportable and proper, given the underlying</w:t>
      </w:r>
      <w:r w:rsidRPr="005D77FB">
        <w:rPr>
          <w:sz w:val="16"/>
          <w:szCs w:val="16"/>
        </w:rPr>
        <w:t xml:space="preserve"> </w:t>
      </w:r>
      <w:r w:rsidRPr="005D77FB">
        <w:rPr>
          <w:rFonts w:eastAsia="Times New Roman"/>
          <w:sz w:val="16"/>
          <w:szCs w:val="16"/>
        </w:rPr>
        <w:t>information.</w:t>
      </w:r>
    </w:p>
  </w:footnote>
  <w:footnote w:id="31">
    <w:p w14:paraId="1A53037E" w14:textId="77777777" w:rsidR="001F0B6B" w:rsidRPr="00BB5601" w:rsidRDefault="001F0B6B" w:rsidP="001F0B6B">
      <w:pPr>
        <w:adjustRightInd w:val="0"/>
        <w:rPr>
          <w:rFonts w:asciiTheme="minorHAnsi" w:hAnsiTheme="minorHAnsi"/>
        </w:rPr>
      </w:pPr>
      <w:r w:rsidRPr="005D77FB">
        <w:rPr>
          <w:rStyle w:val="FootnoteReference"/>
          <w:rFonts w:asciiTheme="minorHAnsi" w:hAnsiTheme="minorHAnsi"/>
          <w:sz w:val="16"/>
          <w:szCs w:val="16"/>
        </w:rPr>
        <w:footnoteRef/>
      </w:r>
      <w:r w:rsidRPr="005D77FB">
        <w:rPr>
          <w:sz w:val="16"/>
          <w:szCs w:val="16"/>
        </w:rPr>
        <w:t xml:space="preserve"> </w:t>
      </w:r>
      <w:r w:rsidRPr="005D77FB">
        <w:rPr>
          <w:rFonts w:asciiTheme="minorHAnsi" w:hAnsiTheme="minorHAnsi"/>
          <w:sz w:val="16"/>
          <w:szCs w:val="16"/>
        </w:rPr>
        <w:t>Feasibility is defined as based on the assumptions used, the plan is not likely to result in insufficient funds available for capital and ongoing operating costs necessary to support the proposed project without negative impacts or consequences to existing Patient Panel.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6A0" w:firstRow="1" w:lastRow="0" w:firstColumn="1" w:lastColumn="0" w:noHBand="1" w:noVBand="1"/>
    </w:tblPr>
    <w:tblGrid>
      <w:gridCol w:w="3465"/>
      <w:gridCol w:w="3465"/>
      <w:gridCol w:w="3465"/>
    </w:tblGrid>
    <w:tr w:rsidR="6D717258" w14:paraId="2A30FFC5" w14:textId="77777777" w:rsidTr="6D717258">
      <w:trPr>
        <w:trHeight w:val="300"/>
      </w:trPr>
      <w:tc>
        <w:tcPr>
          <w:tcW w:w="3465" w:type="dxa"/>
        </w:tcPr>
        <w:p w14:paraId="6B187F0A" w14:textId="71BCBF61" w:rsidR="6D717258" w:rsidRDefault="6D717258" w:rsidP="6D717258">
          <w:pPr>
            <w:pStyle w:val="Header"/>
            <w:ind w:left="-115"/>
          </w:pPr>
        </w:p>
      </w:tc>
      <w:tc>
        <w:tcPr>
          <w:tcW w:w="3465" w:type="dxa"/>
        </w:tcPr>
        <w:p w14:paraId="44128148" w14:textId="22B156EF" w:rsidR="6D717258" w:rsidRDefault="6D717258" w:rsidP="6D717258">
          <w:pPr>
            <w:pStyle w:val="Header"/>
            <w:jc w:val="center"/>
          </w:pPr>
        </w:p>
      </w:tc>
      <w:tc>
        <w:tcPr>
          <w:tcW w:w="3465" w:type="dxa"/>
        </w:tcPr>
        <w:p w14:paraId="78DF1EC7" w14:textId="0B7A8495" w:rsidR="6D717258" w:rsidRDefault="6D717258" w:rsidP="6D717258">
          <w:pPr>
            <w:pStyle w:val="Header"/>
            <w:ind w:right="-115"/>
            <w:jc w:val="right"/>
          </w:pPr>
        </w:p>
      </w:tc>
    </w:tr>
  </w:tbl>
  <w:p w14:paraId="479D71D4" w14:textId="0FAB90DE" w:rsidR="6D717258" w:rsidRDefault="6D717258" w:rsidP="6D7172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E6E92" w14:textId="2FB467ED" w:rsidR="00EC4637" w:rsidRDefault="00EC463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6A0" w:firstRow="1" w:lastRow="0" w:firstColumn="1" w:lastColumn="0" w:noHBand="1" w:noVBand="1"/>
    </w:tblPr>
    <w:tblGrid>
      <w:gridCol w:w="3465"/>
      <w:gridCol w:w="3465"/>
      <w:gridCol w:w="3465"/>
    </w:tblGrid>
    <w:tr w:rsidR="1A2CFF01" w14:paraId="4540EB51" w14:textId="77777777" w:rsidTr="1A2CFF01">
      <w:trPr>
        <w:trHeight w:val="300"/>
      </w:trPr>
      <w:tc>
        <w:tcPr>
          <w:tcW w:w="3465" w:type="dxa"/>
        </w:tcPr>
        <w:p w14:paraId="7A44C071" w14:textId="07143871" w:rsidR="1A2CFF01" w:rsidRDefault="1A2CFF01" w:rsidP="1A2CFF01">
          <w:pPr>
            <w:pStyle w:val="Header"/>
            <w:ind w:left="-115"/>
          </w:pPr>
        </w:p>
      </w:tc>
      <w:tc>
        <w:tcPr>
          <w:tcW w:w="3465" w:type="dxa"/>
        </w:tcPr>
        <w:p w14:paraId="53272F70" w14:textId="47809EF2" w:rsidR="1A2CFF01" w:rsidRDefault="1A2CFF01" w:rsidP="1A2CFF01">
          <w:pPr>
            <w:pStyle w:val="Header"/>
            <w:jc w:val="center"/>
          </w:pPr>
        </w:p>
      </w:tc>
      <w:tc>
        <w:tcPr>
          <w:tcW w:w="3465" w:type="dxa"/>
        </w:tcPr>
        <w:p w14:paraId="6A6DFE3D" w14:textId="0F8686AE" w:rsidR="1A2CFF01" w:rsidRDefault="1A2CFF01" w:rsidP="1A2CFF01">
          <w:pPr>
            <w:pStyle w:val="Header"/>
            <w:ind w:right="-115"/>
            <w:jc w:val="right"/>
          </w:pPr>
        </w:p>
      </w:tc>
    </w:tr>
  </w:tbl>
  <w:p w14:paraId="2C549112" w14:textId="3703A93E" w:rsidR="1A2CFF01" w:rsidRDefault="1A2CFF01" w:rsidP="1A2CFF0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48AEC" w14:textId="4BE873EF" w:rsidR="00EC4637" w:rsidRDefault="00EC463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5913E" w14:textId="37DD8990" w:rsidR="00E54588" w:rsidRDefault="00E5458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07A5E" w14:textId="48F32284" w:rsidR="00E54588" w:rsidRDefault="00E54588">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96555" w14:textId="22808791" w:rsidR="00E54588" w:rsidRDefault="00E54588">
    <w:pPr>
      <w:pStyle w:val="Header"/>
    </w:pPr>
  </w:p>
</w:hdr>
</file>

<file path=word/intelligence2.xml><?xml version="1.0" encoding="utf-8"?>
<int2:intelligence xmlns:int2="http://schemas.microsoft.com/office/intelligence/2020/intelligence" xmlns:oel="http://schemas.microsoft.com/office/2019/extlst">
  <int2:observations>
    <int2:textHash int2:hashCode="FXOcqJK+9PPsZh" int2:id="WI5LvmmN">
      <int2:state int2:value="Rejected" int2:type="LegacyProofing"/>
    </int2:textHash>
    <int2:textHash int2:hashCode="BzvN8B/rJ5tKx/" int2:id="axrM9OZY">
      <int2:state int2:value="Rejected" int2:type="LegacyProofing"/>
    </int2:textHash>
    <int2:textHash int2:hashCode="MrGydln25631a1" int2:id="cTAHSydM">
      <int2:state int2:value="Rejected" int2:type="LegacyProofing"/>
    </int2:textHash>
    <int2:textHash int2:hashCode="Hx5n5f2yXS5c0Y" int2:id="g8x8b5mZ">
      <int2:state int2:value="Rejected" int2:type="LegacyProofing"/>
    </int2:textHash>
    <int2:textHash int2:hashCode="H0RIRLHKYWAJwr" int2:id="ye4AxkzS">
      <int2:state int2:value="Rejected" int2:type="LegacyProofing"/>
    </int2:textHash>
    <int2:bookmark int2:bookmarkName="_Int_BedYxzXG" int2:invalidationBookmarkName="" int2:hashCode="6bVNq+N7VCJ8bt" int2:id="YBCJAkw8">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D62CCB"/>
    <w:multiLevelType w:val="hybridMultilevel"/>
    <w:tmpl w:val="438E1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7D0C41"/>
    <w:multiLevelType w:val="hybridMultilevel"/>
    <w:tmpl w:val="8F1A70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040E80"/>
    <w:multiLevelType w:val="hybridMultilevel"/>
    <w:tmpl w:val="9740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5828AC"/>
    <w:multiLevelType w:val="multilevel"/>
    <w:tmpl w:val="2A1A6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4542C8E"/>
    <w:multiLevelType w:val="multilevel"/>
    <w:tmpl w:val="DDA83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50D76A3"/>
    <w:multiLevelType w:val="hybridMultilevel"/>
    <w:tmpl w:val="EFD443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4A079D"/>
    <w:multiLevelType w:val="hybridMultilevel"/>
    <w:tmpl w:val="15F4ACE0"/>
    <w:lvl w:ilvl="0" w:tplc="3A6A5842">
      <w:start w:val="1"/>
      <w:numFmt w:val="decimal"/>
      <w:lvlText w:val="%1."/>
      <w:lvlJc w:val="left"/>
      <w:pPr>
        <w:ind w:left="380" w:hanging="360"/>
      </w:pPr>
      <w:rPr>
        <w:rFonts w:hint="default"/>
      </w:rPr>
    </w:lvl>
    <w:lvl w:ilvl="1" w:tplc="04090019">
      <w:start w:val="1"/>
      <w:numFmt w:val="lowerLetter"/>
      <w:lvlText w:val="%2."/>
      <w:lvlJc w:val="left"/>
      <w:pPr>
        <w:ind w:left="1100" w:hanging="360"/>
      </w:pPr>
    </w:lvl>
    <w:lvl w:ilvl="2" w:tplc="0409001B" w:tentative="1">
      <w:start w:val="1"/>
      <w:numFmt w:val="lowerRoman"/>
      <w:lvlText w:val="%3."/>
      <w:lvlJc w:val="right"/>
      <w:pPr>
        <w:ind w:left="1820" w:hanging="180"/>
      </w:pPr>
    </w:lvl>
    <w:lvl w:ilvl="3" w:tplc="0409000F" w:tentative="1">
      <w:start w:val="1"/>
      <w:numFmt w:val="decimal"/>
      <w:lvlText w:val="%4."/>
      <w:lvlJc w:val="left"/>
      <w:pPr>
        <w:ind w:left="2540" w:hanging="360"/>
      </w:pPr>
    </w:lvl>
    <w:lvl w:ilvl="4" w:tplc="04090019" w:tentative="1">
      <w:start w:val="1"/>
      <w:numFmt w:val="lowerLetter"/>
      <w:lvlText w:val="%5."/>
      <w:lvlJc w:val="left"/>
      <w:pPr>
        <w:ind w:left="3260" w:hanging="360"/>
      </w:pPr>
    </w:lvl>
    <w:lvl w:ilvl="5" w:tplc="0409001B" w:tentative="1">
      <w:start w:val="1"/>
      <w:numFmt w:val="lowerRoman"/>
      <w:lvlText w:val="%6."/>
      <w:lvlJc w:val="right"/>
      <w:pPr>
        <w:ind w:left="3980" w:hanging="180"/>
      </w:pPr>
    </w:lvl>
    <w:lvl w:ilvl="6" w:tplc="0409000F" w:tentative="1">
      <w:start w:val="1"/>
      <w:numFmt w:val="decimal"/>
      <w:lvlText w:val="%7."/>
      <w:lvlJc w:val="left"/>
      <w:pPr>
        <w:ind w:left="4700" w:hanging="360"/>
      </w:pPr>
    </w:lvl>
    <w:lvl w:ilvl="7" w:tplc="04090019" w:tentative="1">
      <w:start w:val="1"/>
      <w:numFmt w:val="lowerLetter"/>
      <w:lvlText w:val="%8."/>
      <w:lvlJc w:val="left"/>
      <w:pPr>
        <w:ind w:left="5420" w:hanging="360"/>
      </w:pPr>
    </w:lvl>
    <w:lvl w:ilvl="8" w:tplc="0409001B" w:tentative="1">
      <w:start w:val="1"/>
      <w:numFmt w:val="lowerRoman"/>
      <w:lvlText w:val="%9."/>
      <w:lvlJc w:val="right"/>
      <w:pPr>
        <w:ind w:left="6140" w:hanging="180"/>
      </w:pPr>
    </w:lvl>
  </w:abstractNum>
  <w:abstractNum w:abstractNumId="7" w15:restartNumberingAfterBreak="0">
    <w:nsid w:val="44662F8B"/>
    <w:multiLevelType w:val="hybridMultilevel"/>
    <w:tmpl w:val="D51C4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21E045F"/>
    <w:multiLevelType w:val="hybridMultilevel"/>
    <w:tmpl w:val="4FFCC60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7800196"/>
    <w:multiLevelType w:val="multilevel"/>
    <w:tmpl w:val="28A84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AF23153"/>
    <w:multiLevelType w:val="hybridMultilevel"/>
    <w:tmpl w:val="16007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C9804A6"/>
    <w:multiLevelType w:val="hybridMultilevel"/>
    <w:tmpl w:val="01741BA4"/>
    <w:lvl w:ilvl="0" w:tplc="A21A4C88">
      <w:start w:val="1"/>
      <w:numFmt w:val="decimal"/>
      <w:lvlText w:val="%1)"/>
      <w:lvlJc w:val="left"/>
      <w:pPr>
        <w:ind w:left="1020" w:hanging="360"/>
      </w:pPr>
    </w:lvl>
    <w:lvl w:ilvl="1" w:tplc="6F022A9C">
      <w:start w:val="1"/>
      <w:numFmt w:val="decimal"/>
      <w:lvlText w:val="%2)"/>
      <w:lvlJc w:val="left"/>
      <w:pPr>
        <w:ind w:left="1020" w:hanging="360"/>
      </w:pPr>
    </w:lvl>
    <w:lvl w:ilvl="2" w:tplc="F77AA66C">
      <w:start w:val="1"/>
      <w:numFmt w:val="decimal"/>
      <w:lvlText w:val="%3)"/>
      <w:lvlJc w:val="left"/>
      <w:pPr>
        <w:ind w:left="1020" w:hanging="360"/>
      </w:pPr>
    </w:lvl>
    <w:lvl w:ilvl="3" w:tplc="2FF0649C">
      <w:start w:val="1"/>
      <w:numFmt w:val="decimal"/>
      <w:lvlText w:val="%4)"/>
      <w:lvlJc w:val="left"/>
      <w:pPr>
        <w:ind w:left="1020" w:hanging="360"/>
      </w:pPr>
    </w:lvl>
    <w:lvl w:ilvl="4" w:tplc="42BA2B10">
      <w:start w:val="1"/>
      <w:numFmt w:val="decimal"/>
      <w:lvlText w:val="%5)"/>
      <w:lvlJc w:val="left"/>
      <w:pPr>
        <w:ind w:left="1020" w:hanging="360"/>
      </w:pPr>
    </w:lvl>
    <w:lvl w:ilvl="5" w:tplc="73CA71F4">
      <w:start w:val="1"/>
      <w:numFmt w:val="decimal"/>
      <w:lvlText w:val="%6)"/>
      <w:lvlJc w:val="left"/>
      <w:pPr>
        <w:ind w:left="1020" w:hanging="360"/>
      </w:pPr>
    </w:lvl>
    <w:lvl w:ilvl="6" w:tplc="2438FD72">
      <w:start w:val="1"/>
      <w:numFmt w:val="decimal"/>
      <w:lvlText w:val="%7)"/>
      <w:lvlJc w:val="left"/>
      <w:pPr>
        <w:ind w:left="1020" w:hanging="360"/>
      </w:pPr>
    </w:lvl>
    <w:lvl w:ilvl="7" w:tplc="C30AEDEE">
      <w:start w:val="1"/>
      <w:numFmt w:val="decimal"/>
      <w:lvlText w:val="%8)"/>
      <w:lvlJc w:val="left"/>
      <w:pPr>
        <w:ind w:left="1020" w:hanging="360"/>
      </w:pPr>
    </w:lvl>
    <w:lvl w:ilvl="8" w:tplc="60AC245C">
      <w:start w:val="1"/>
      <w:numFmt w:val="decimal"/>
      <w:lvlText w:val="%9)"/>
      <w:lvlJc w:val="left"/>
      <w:pPr>
        <w:ind w:left="1020" w:hanging="360"/>
      </w:pPr>
    </w:lvl>
  </w:abstractNum>
  <w:abstractNum w:abstractNumId="12" w15:restartNumberingAfterBreak="0">
    <w:nsid w:val="5E5817E8"/>
    <w:multiLevelType w:val="hybridMultilevel"/>
    <w:tmpl w:val="1DEEB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EAD4D39"/>
    <w:multiLevelType w:val="multilevel"/>
    <w:tmpl w:val="75D26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4196BCC"/>
    <w:multiLevelType w:val="hybridMultilevel"/>
    <w:tmpl w:val="7974C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5715DF3"/>
    <w:multiLevelType w:val="hybridMultilevel"/>
    <w:tmpl w:val="4D2CF8B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9BF11D7"/>
    <w:multiLevelType w:val="hybridMultilevel"/>
    <w:tmpl w:val="2C6ED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BAF6FB2"/>
    <w:multiLevelType w:val="hybridMultilevel"/>
    <w:tmpl w:val="62AA91C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6BF26A91"/>
    <w:multiLevelType w:val="hybridMultilevel"/>
    <w:tmpl w:val="7F28C172"/>
    <w:lvl w:ilvl="0" w:tplc="4830C0BA">
      <w:start w:val="1"/>
      <w:numFmt w:val="decimal"/>
      <w:lvlText w:val="%1)"/>
      <w:lvlJc w:val="left"/>
      <w:pPr>
        <w:ind w:left="720" w:hanging="360"/>
      </w:pPr>
      <w:rPr>
        <w:rFonts w:asciiTheme="minorHAnsi" w:eastAsiaTheme="minorHAnsi" w:hAnsiTheme="minorHAnsi" w:cstheme="minorHAnsi"/>
      </w:rPr>
    </w:lvl>
    <w:lvl w:ilvl="1" w:tplc="0409000F">
      <w:start w:val="1"/>
      <w:numFmt w:val="decimal"/>
      <w:lvlText w:val="%2."/>
      <w:lvlJc w:val="left"/>
      <w:pPr>
        <w:ind w:left="1440" w:hanging="360"/>
      </w:p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1CF693A"/>
    <w:multiLevelType w:val="multilevel"/>
    <w:tmpl w:val="27289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23F348A"/>
    <w:multiLevelType w:val="multilevel"/>
    <w:tmpl w:val="B2A03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82C766B"/>
    <w:multiLevelType w:val="hybridMultilevel"/>
    <w:tmpl w:val="64569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B042D7A"/>
    <w:multiLevelType w:val="hybridMultilevel"/>
    <w:tmpl w:val="0A84C3EE"/>
    <w:lvl w:ilvl="0" w:tplc="FFFFFFFF">
      <w:start w:val="1"/>
      <w:numFmt w:val="decimal"/>
      <w:lvlText w:val="%1)"/>
      <w:lvlJc w:val="left"/>
      <w:pPr>
        <w:ind w:left="720" w:hanging="360"/>
      </w:pPr>
      <w:rPr>
        <w:rFonts w:asciiTheme="minorHAnsi" w:eastAsiaTheme="minorHAnsi" w:hAnsiTheme="minorHAnsi" w:cstheme="minorHAnsi"/>
      </w:rPr>
    </w:lvl>
    <w:lvl w:ilvl="1" w:tplc="04090017">
      <w:start w:val="1"/>
      <w:numFmt w:val="lowerLetter"/>
      <w:lvlText w:val="%2)"/>
      <w:lvlJc w:val="left"/>
      <w:pPr>
        <w:ind w:left="1440" w:hanging="360"/>
      </w:pPr>
    </w:lvl>
    <w:lvl w:ilvl="2" w:tplc="F4F86AAE">
      <w:start w:val="1"/>
      <w:numFmt w:val="upperLetter"/>
      <w:lvlText w:val="%3)"/>
      <w:lvlJc w:val="left"/>
      <w:pPr>
        <w:ind w:left="2160" w:hanging="360"/>
      </w:pPr>
      <w:rPr>
        <w:rFont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002859603">
    <w:abstractNumId w:val="18"/>
  </w:num>
  <w:num w:numId="2" w16cid:durableId="1900826840">
    <w:abstractNumId w:val="7"/>
  </w:num>
  <w:num w:numId="3" w16cid:durableId="109278027">
    <w:abstractNumId w:val="14"/>
  </w:num>
  <w:num w:numId="4" w16cid:durableId="300620005">
    <w:abstractNumId w:val="6"/>
  </w:num>
  <w:num w:numId="5" w16cid:durableId="293296653">
    <w:abstractNumId w:val="12"/>
  </w:num>
  <w:num w:numId="6" w16cid:durableId="645089849">
    <w:abstractNumId w:val="2"/>
  </w:num>
  <w:num w:numId="7" w16cid:durableId="816217190">
    <w:abstractNumId w:val="8"/>
  </w:num>
  <w:num w:numId="8" w16cid:durableId="1981959800">
    <w:abstractNumId w:val="15"/>
  </w:num>
  <w:num w:numId="9" w16cid:durableId="242228292">
    <w:abstractNumId w:val="0"/>
  </w:num>
  <w:num w:numId="10" w16cid:durableId="1482455906">
    <w:abstractNumId w:val="22"/>
  </w:num>
  <w:num w:numId="11" w16cid:durableId="1386368397">
    <w:abstractNumId w:val="17"/>
  </w:num>
  <w:num w:numId="12" w16cid:durableId="1657340088">
    <w:abstractNumId w:val="5"/>
  </w:num>
  <w:num w:numId="13" w16cid:durableId="154348951">
    <w:abstractNumId w:val="13"/>
  </w:num>
  <w:num w:numId="14" w16cid:durableId="910700849">
    <w:abstractNumId w:val="4"/>
  </w:num>
  <w:num w:numId="15" w16cid:durableId="975792261">
    <w:abstractNumId w:val="9"/>
  </w:num>
  <w:num w:numId="16" w16cid:durableId="1242645445">
    <w:abstractNumId w:val="19"/>
  </w:num>
  <w:num w:numId="17" w16cid:durableId="830102583">
    <w:abstractNumId w:val="3"/>
  </w:num>
  <w:num w:numId="18" w16cid:durableId="547225792">
    <w:abstractNumId w:val="20"/>
  </w:num>
  <w:num w:numId="19" w16cid:durableId="2020737042">
    <w:abstractNumId w:val="10"/>
  </w:num>
  <w:num w:numId="20" w16cid:durableId="1935363026">
    <w:abstractNumId w:val="21"/>
  </w:num>
  <w:num w:numId="21" w16cid:durableId="263076339">
    <w:abstractNumId w:val="16"/>
  </w:num>
  <w:num w:numId="22" w16cid:durableId="1378551702">
    <w:abstractNumId w:val="1"/>
  </w:num>
  <w:num w:numId="23" w16cid:durableId="605894126">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7F3"/>
    <w:rsid w:val="000003E0"/>
    <w:rsid w:val="000003FF"/>
    <w:rsid w:val="00000430"/>
    <w:rsid w:val="0000071C"/>
    <w:rsid w:val="00000EAF"/>
    <w:rsid w:val="000012A3"/>
    <w:rsid w:val="00001374"/>
    <w:rsid w:val="00001390"/>
    <w:rsid w:val="00001564"/>
    <w:rsid w:val="0000168E"/>
    <w:rsid w:val="00001815"/>
    <w:rsid w:val="0000234D"/>
    <w:rsid w:val="000027EC"/>
    <w:rsid w:val="00002947"/>
    <w:rsid w:val="00003299"/>
    <w:rsid w:val="0000339B"/>
    <w:rsid w:val="00003423"/>
    <w:rsid w:val="00003691"/>
    <w:rsid w:val="000039A4"/>
    <w:rsid w:val="00003AA5"/>
    <w:rsid w:val="00003B76"/>
    <w:rsid w:val="00004181"/>
    <w:rsid w:val="00004439"/>
    <w:rsid w:val="000046FE"/>
    <w:rsid w:val="000047EA"/>
    <w:rsid w:val="00004A11"/>
    <w:rsid w:val="0000517F"/>
    <w:rsid w:val="000052DC"/>
    <w:rsid w:val="000055EA"/>
    <w:rsid w:val="0000566A"/>
    <w:rsid w:val="000056AD"/>
    <w:rsid w:val="00005944"/>
    <w:rsid w:val="00005A10"/>
    <w:rsid w:val="00005E2A"/>
    <w:rsid w:val="00006021"/>
    <w:rsid w:val="000060CB"/>
    <w:rsid w:val="00006497"/>
    <w:rsid w:val="000068A9"/>
    <w:rsid w:val="0000711B"/>
    <w:rsid w:val="000071D8"/>
    <w:rsid w:val="00007308"/>
    <w:rsid w:val="00007482"/>
    <w:rsid w:val="000074B6"/>
    <w:rsid w:val="000074CF"/>
    <w:rsid w:val="00007959"/>
    <w:rsid w:val="00007EEC"/>
    <w:rsid w:val="000102D3"/>
    <w:rsid w:val="000107D7"/>
    <w:rsid w:val="00010CF5"/>
    <w:rsid w:val="000114E2"/>
    <w:rsid w:val="00011511"/>
    <w:rsid w:val="000119D3"/>
    <w:rsid w:val="00011B77"/>
    <w:rsid w:val="00011C25"/>
    <w:rsid w:val="00011C94"/>
    <w:rsid w:val="00011D83"/>
    <w:rsid w:val="0001293E"/>
    <w:rsid w:val="00012AF8"/>
    <w:rsid w:val="0001311B"/>
    <w:rsid w:val="00013251"/>
    <w:rsid w:val="00013926"/>
    <w:rsid w:val="0001395E"/>
    <w:rsid w:val="0001396F"/>
    <w:rsid w:val="000139A7"/>
    <w:rsid w:val="00013C7D"/>
    <w:rsid w:val="00013CBD"/>
    <w:rsid w:val="00013F9A"/>
    <w:rsid w:val="00014053"/>
    <w:rsid w:val="00014696"/>
    <w:rsid w:val="000148AA"/>
    <w:rsid w:val="00014E94"/>
    <w:rsid w:val="00014FC2"/>
    <w:rsid w:val="0001518C"/>
    <w:rsid w:val="00015491"/>
    <w:rsid w:val="00015683"/>
    <w:rsid w:val="00015AD7"/>
    <w:rsid w:val="000161C6"/>
    <w:rsid w:val="00016354"/>
    <w:rsid w:val="0001693E"/>
    <w:rsid w:val="00016A95"/>
    <w:rsid w:val="00016B4E"/>
    <w:rsid w:val="0001712D"/>
    <w:rsid w:val="000171EC"/>
    <w:rsid w:val="00017230"/>
    <w:rsid w:val="0001744B"/>
    <w:rsid w:val="00017697"/>
    <w:rsid w:val="00017883"/>
    <w:rsid w:val="00017C14"/>
    <w:rsid w:val="00017EDE"/>
    <w:rsid w:val="000201AF"/>
    <w:rsid w:val="00020544"/>
    <w:rsid w:val="00020647"/>
    <w:rsid w:val="00020688"/>
    <w:rsid w:val="00020D91"/>
    <w:rsid w:val="00020EE5"/>
    <w:rsid w:val="00020F56"/>
    <w:rsid w:val="00021538"/>
    <w:rsid w:val="000217BB"/>
    <w:rsid w:val="00021BA7"/>
    <w:rsid w:val="00021C87"/>
    <w:rsid w:val="00022125"/>
    <w:rsid w:val="000221AA"/>
    <w:rsid w:val="000224BA"/>
    <w:rsid w:val="00022A07"/>
    <w:rsid w:val="00022B9F"/>
    <w:rsid w:val="00022FAB"/>
    <w:rsid w:val="00022FD2"/>
    <w:rsid w:val="0002354B"/>
    <w:rsid w:val="00023560"/>
    <w:rsid w:val="000235C7"/>
    <w:rsid w:val="000238B2"/>
    <w:rsid w:val="00023AD5"/>
    <w:rsid w:val="000241C3"/>
    <w:rsid w:val="00024390"/>
    <w:rsid w:val="00024486"/>
    <w:rsid w:val="000244B9"/>
    <w:rsid w:val="000245C1"/>
    <w:rsid w:val="000249C5"/>
    <w:rsid w:val="00024A9E"/>
    <w:rsid w:val="00024B39"/>
    <w:rsid w:val="00024B3F"/>
    <w:rsid w:val="00024C58"/>
    <w:rsid w:val="00024C68"/>
    <w:rsid w:val="00024CF5"/>
    <w:rsid w:val="00024E1F"/>
    <w:rsid w:val="00024FA3"/>
    <w:rsid w:val="00025C2E"/>
    <w:rsid w:val="00025D23"/>
    <w:rsid w:val="00025EBC"/>
    <w:rsid w:val="000261A7"/>
    <w:rsid w:val="00026291"/>
    <w:rsid w:val="0002683C"/>
    <w:rsid w:val="0002693B"/>
    <w:rsid w:val="00026D52"/>
    <w:rsid w:val="00027161"/>
    <w:rsid w:val="000274B7"/>
    <w:rsid w:val="00027B81"/>
    <w:rsid w:val="000300C9"/>
    <w:rsid w:val="0003078F"/>
    <w:rsid w:val="0003095A"/>
    <w:rsid w:val="0003096E"/>
    <w:rsid w:val="0003098F"/>
    <w:rsid w:val="00030B46"/>
    <w:rsid w:val="00030E3F"/>
    <w:rsid w:val="00031546"/>
    <w:rsid w:val="00031818"/>
    <w:rsid w:val="00031A5E"/>
    <w:rsid w:val="00031B37"/>
    <w:rsid w:val="00031C68"/>
    <w:rsid w:val="00031E68"/>
    <w:rsid w:val="0003231C"/>
    <w:rsid w:val="000327F1"/>
    <w:rsid w:val="0003285A"/>
    <w:rsid w:val="00032DA2"/>
    <w:rsid w:val="00032DEB"/>
    <w:rsid w:val="0003302C"/>
    <w:rsid w:val="00033155"/>
    <w:rsid w:val="0003348F"/>
    <w:rsid w:val="00033544"/>
    <w:rsid w:val="000336C2"/>
    <w:rsid w:val="000337B2"/>
    <w:rsid w:val="00033CFA"/>
    <w:rsid w:val="00033D2B"/>
    <w:rsid w:val="00033EE4"/>
    <w:rsid w:val="00034090"/>
    <w:rsid w:val="00034430"/>
    <w:rsid w:val="00034A83"/>
    <w:rsid w:val="00034F5E"/>
    <w:rsid w:val="00035015"/>
    <w:rsid w:val="000359AD"/>
    <w:rsid w:val="00035D1F"/>
    <w:rsid w:val="000363BB"/>
    <w:rsid w:val="00036659"/>
    <w:rsid w:val="000369FE"/>
    <w:rsid w:val="00036AD3"/>
    <w:rsid w:val="00036F01"/>
    <w:rsid w:val="00037206"/>
    <w:rsid w:val="0003739A"/>
    <w:rsid w:val="00037684"/>
    <w:rsid w:val="000376F2"/>
    <w:rsid w:val="00037A8F"/>
    <w:rsid w:val="00040284"/>
    <w:rsid w:val="000403B7"/>
    <w:rsid w:val="0004044D"/>
    <w:rsid w:val="000405A7"/>
    <w:rsid w:val="00040632"/>
    <w:rsid w:val="00040660"/>
    <w:rsid w:val="0004083A"/>
    <w:rsid w:val="00040904"/>
    <w:rsid w:val="00040960"/>
    <w:rsid w:val="00040BA1"/>
    <w:rsid w:val="000413D2"/>
    <w:rsid w:val="00041433"/>
    <w:rsid w:val="000415C7"/>
    <w:rsid w:val="00041766"/>
    <w:rsid w:val="00041E86"/>
    <w:rsid w:val="00042198"/>
    <w:rsid w:val="000423D7"/>
    <w:rsid w:val="00042846"/>
    <w:rsid w:val="00042863"/>
    <w:rsid w:val="00042B14"/>
    <w:rsid w:val="00042BEA"/>
    <w:rsid w:val="00043096"/>
    <w:rsid w:val="0004320F"/>
    <w:rsid w:val="00043618"/>
    <w:rsid w:val="00043639"/>
    <w:rsid w:val="000437AE"/>
    <w:rsid w:val="000438EF"/>
    <w:rsid w:val="00043B95"/>
    <w:rsid w:val="00043BA6"/>
    <w:rsid w:val="00043CAE"/>
    <w:rsid w:val="00043CBB"/>
    <w:rsid w:val="00043E6B"/>
    <w:rsid w:val="00044385"/>
    <w:rsid w:val="0004439D"/>
    <w:rsid w:val="00044442"/>
    <w:rsid w:val="000444EC"/>
    <w:rsid w:val="00045032"/>
    <w:rsid w:val="00045409"/>
    <w:rsid w:val="000461AA"/>
    <w:rsid w:val="00046522"/>
    <w:rsid w:val="00046530"/>
    <w:rsid w:val="000466AD"/>
    <w:rsid w:val="00046A14"/>
    <w:rsid w:val="00046D96"/>
    <w:rsid w:val="000471B1"/>
    <w:rsid w:val="000471D4"/>
    <w:rsid w:val="00047650"/>
    <w:rsid w:val="00047B25"/>
    <w:rsid w:val="00047E0C"/>
    <w:rsid w:val="00050168"/>
    <w:rsid w:val="0005038D"/>
    <w:rsid w:val="00050909"/>
    <w:rsid w:val="000509B2"/>
    <w:rsid w:val="00050C17"/>
    <w:rsid w:val="00050F22"/>
    <w:rsid w:val="00050F90"/>
    <w:rsid w:val="0005114C"/>
    <w:rsid w:val="00051A3B"/>
    <w:rsid w:val="00051C7D"/>
    <w:rsid w:val="00051D0A"/>
    <w:rsid w:val="0005221C"/>
    <w:rsid w:val="0005255E"/>
    <w:rsid w:val="00052966"/>
    <w:rsid w:val="000529FA"/>
    <w:rsid w:val="000530BA"/>
    <w:rsid w:val="00053367"/>
    <w:rsid w:val="0005359C"/>
    <w:rsid w:val="00053822"/>
    <w:rsid w:val="00053B7B"/>
    <w:rsid w:val="00053BDC"/>
    <w:rsid w:val="0005427D"/>
    <w:rsid w:val="00054309"/>
    <w:rsid w:val="000545AE"/>
    <w:rsid w:val="000545D3"/>
    <w:rsid w:val="000547A5"/>
    <w:rsid w:val="00054E4A"/>
    <w:rsid w:val="000552FC"/>
    <w:rsid w:val="00055603"/>
    <w:rsid w:val="00055649"/>
    <w:rsid w:val="00055688"/>
    <w:rsid w:val="000558B4"/>
    <w:rsid w:val="00055984"/>
    <w:rsid w:val="00055E02"/>
    <w:rsid w:val="00055E31"/>
    <w:rsid w:val="00055E56"/>
    <w:rsid w:val="00056155"/>
    <w:rsid w:val="00056189"/>
    <w:rsid w:val="0005638B"/>
    <w:rsid w:val="0005675F"/>
    <w:rsid w:val="00056976"/>
    <w:rsid w:val="00056BEA"/>
    <w:rsid w:val="00056D52"/>
    <w:rsid w:val="00056D64"/>
    <w:rsid w:val="00056F79"/>
    <w:rsid w:val="00057259"/>
    <w:rsid w:val="00057449"/>
    <w:rsid w:val="00057583"/>
    <w:rsid w:val="00057595"/>
    <w:rsid w:val="00057F2D"/>
    <w:rsid w:val="000602A3"/>
    <w:rsid w:val="00060409"/>
    <w:rsid w:val="000604E8"/>
    <w:rsid w:val="00060AA0"/>
    <w:rsid w:val="00060C7E"/>
    <w:rsid w:val="00060D97"/>
    <w:rsid w:val="00061BB7"/>
    <w:rsid w:val="00061D05"/>
    <w:rsid w:val="00061DFF"/>
    <w:rsid w:val="00061F58"/>
    <w:rsid w:val="00062894"/>
    <w:rsid w:val="00062C14"/>
    <w:rsid w:val="00062CEC"/>
    <w:rsid w:val="000631E7"/>
    <w:rsid w:val="0006323D"/>
    <w:rsid w:val="000633DC"/>
    <w:rsid w:val="000635D6"/>
    <w:rsid w:val="0006368F"/>
    <w:rsid w:val="00063D95"/>
    <w:rsid w:val="00063F0A"/>
    <w:rsid w:val="00063F51"/>
    <w:rsid w:val="000641F9"/>
    <w:rsid w:val="0006476D"/>
    <w:rsid w:val="00064D23"/>
    <w:rsid w:val="00064E29"/>
    <w:rsid w:val="0006589B"/>
    <w:rsid w:val="000659F0"/>
    <w:rsid w:val="00065BCA"/>
    <w:rsid w:val="00065C77"/>
    <w:rsid w:val="00065C85"/>
    <w:rsid w:val="0006603E"/>
    <w:rsid w:val="00066130"/>
    <w:rsid w:val="000663A3"/>
    <w:rsid w:val="0006651A"/>
    <w:rsid w:val="00066630"/>
    <w:rsid w:val="00066A91"/>
    <w:rsid w:val="00066B0F"/>
    <w:rsid w:val="00066B6D"/>
    <w:rsid w:val="00066CE9"/>
    <w:rsid w:val="00066F3E"/>
    <w:rsid w:val="000670EA"/>
    <w:rsid w:val="000673D1"/>
    <w:rsid w:val="000675C5"/>
    <w:rsid w:val="00067661"/>
    <w:rsid w:val="00067B08"/>
    <w:rsid w:val="00067E45"/>
    <w:rsid w:val="00067F7F"/>
    <w:rsid w:val="00070132"/>
    <w:rsid w:val="000708E6"/>
    <w:rsid w:val="0007094F"/>
    <w:rsid w:val="00070D17"/>
    <w:rsid w:val="00071268"/>
    <w:rsid w:val="0007128D"/>
    <w:rsid w:val="00071841"/>
    <w:rsid w:val="000718D3"/>
    <w:rsid w:val="00071B40"/>
    <w:rsid w:val="00071C0B"/>
    <w:rsid w:val="00071E8F"/>
    <w:rsid w:val="00072084"/>
    <w:rsid w:val="0007216B"/>
    <w:rsid w:val="00072550"/>
    <w:rsid w:val="000725C4"/>
    <w:rsid w:val="00072D0F"/>
    <w:rsid w:val="000739BE"/>
    <w:rsid w:val="00073C62"/>
    <w:rsid w:val="000741C3"/>
    <w:rsid w:val="000746D1"/>
    <w:rsid w:val="00074A48"/>
    <w:rsid w:val="000752F6"/>
    <w:rsid w:val="00075703"/>
    <w:rsid w:val="0007577A"/>
    <w:rsid w:val="00075ACA"/>
    <w:rsid w:val="00075BF7"/>
    <w:rsid w:val="00076200"/>
    <w:rsid w:val="00076366"/>
    <w:rsid w:val="000763FB"/>
    <w:rsid w:val="0007652C"/>
    <w:rsid w:val="000766E1"/>
    <w:rsid w:val="0007688F"/>
    <w:rsid w:val="000768DC"/>
    <w:rsid w:val="000769AC"/>
    <w:rsid w:val="00076F75"/>
    <w:rsid w:val="000774E0"/>
    <w:rsid w:val="00077815"/>
    <w:rsid w:val="00077D38"/>
    <w:rsid w:val="00077D80"/>
    <w:rsid w:val="00077DD8"/>
    <w:rsid w:val="00077EC2"/>
    <w:rsid w:val="00077F55"/>
    <w:rsid w:val="000804A8"/>
    <w:rsid w:val="00080DD9"/>
    <w:rsid w:val="00080EF8"/>
    <w:rsid w:val="00080F2E"/>
    <w:rsid w:val="00080FDB"/>
    <w:rsid w:val="000815A4"/>
    <w:rsid w:val="00081A2A"/>
    <w:rsid w:val="00081DD3"/>
    <w:rsid w:val="00081E8D"/>
    <w:rsid w:val="00082065"/>
    <w:rsid w:val="00082320"/>
    <w:rsid w:val="00082526"/>
    <w:rsid w:val="00082585"/>
    <w:rsid w:val="00082726"/>
    <w:rsid w:val="00082745"/>
    <w:rsid w:val="00082760"/>
    <w:rsid w:val="000828D4"/>
    <w:rsid w:val="0008299B"/>
    <w:rsid w:val="00082CDA"/>
    <w:rsid w:val="00082DDC"/>
    <w:rsid w:val="00083471"/>
    <w:rsid w:val="00083675"/>
    <w:rsid w:val="00083E4A"/>
    <w:rsid w:val="000843B4"/>
    <w:rsid w:val="00084942"/>
    <w:rsid w:val="00084ABF"/>
    <w:rsid w:val="00084CF7"/>
    <w:rsid w:val="000856DA"/>
    <w:rsid w:val="0008576A"/>
    <w:rsid w:val="000857DB"/>
    <w:rsid w:val="000858B8"/>
    <w:rsid w:val="00085A1B"/>
    <w:rsid w:val="00085A6F"/>
    <w:rsid w:val="00085E95"/>
    <w:rsid w:val="000861A2"/>
    <w:rsid w:val="00086B64"/>
    <w:rsid w:val="00086DA4"/>
    <w:rsid w:val="00086DB3"/>
    <w:rsid w:val="00086E4F"/>
    <w:rsid w:val="000875CA"/>
    <w:rsid w:val="0008771E"/>
    <w:rsid w:val="00087741"/>
    <w:rsid w:val="00087827"/>
    <w:rsid w:val="00087B6B"/>
    <w:rsid w:val="00087E54"/>
    <w:rsid w:val="00087F88"/>
    <w:rsid w:val="00090122"/>
    <w:rsid w:val="0009069D"/>
    <w:rsid w:val="00090817"/>
    <w:rsid w:val="00090BD7"/>
    <w:rsid w:val="00090E9E"/>
    <w:rsid w:val="00091004"/>
    <w:rsid w:val="000910A7"/>
    <w:rsid w:val="00091131"/>
    <w:rsid w:val="0009121E"/>
    <w:rsid w:val="00091302"/>
    <w:rsid w:val="000913BC"/>
    <w:rsid w:val="00091921"/>
    <w:rsid w:val="00091B0D"/>
    <w:rsid w:val="00091E27"/>
    <w:rsid w:val="000920E4"/>
    <w:rsid w:val="00092107"/>
    <w:rsid w:val="000923A9"/>
    <w:rsid w:val="00092916"/>
    <w:rsid w:val="00092CCB"/>
    <w:rsid w:val="00092D59"/>
    <w:rsid w:val="00092ED5"/>
    <w:rsid w:val="000930F1"/>
    <w:rsid w:val="0009338B"/>
    <w:rsid w:val="00093632"/>
    <w:rsid w:val="00093668"/>
    <w:rsid w:val="000941EB"/>
    <w:rsid w:val="00094718"/>
    <w:rsid w:val="00094DB4"/>
    <w:rsid w:val="00094DBE"/>
    <w:rsid w:val="00095307"/>
    <w:rsid w:val="0009537B"/>
    <w:rsid w:val="000954C3"/>
    <w:rsid w:val="000954E5"/>
    <w:rsid w:val="00095920"/>
    <w:rsid w:val="000959B1"/>
    <w:rsid w:val="00095BA9"/>
    <w:rsid w:val="00095CC8"/>
    <w:rsid w:val="00095E13"/>
    <w:rsid w:val="00095FBB"/>
    <w:rsid w:val="000962B8"/>
    <w:rsid w:val="00096344"/>
    <w:rsid w:val="00096813"/>
    <w:rsid w:val="000969A6"/>
    <w:rsid w:val="000971D6"/>
    <w:rsid w:val="0009748F"/>
    <w:rsid w:val="000977C2"/>
    <w:rsid w:val="0009799B"/>
    <w:rsid w:val="00097A6E"/>
    <w:rsid w:val="00097A92"/>
    <w:rsid w:val="00097F77"/>
    <w:rsid w:val="000A03F4"/>
    <w:rsid w:val="000A07B7"/>
    <w:rsid w:val="000A0CB7"/>
    <w:rsid w:val="000A0D7A"/>
    <w:rsid w:val="000A0EFC"/>
    <w:rsid w:val="000A1119"/>
    <w:rsid w:val="000A12F1"/>
    <w:rsid w:val="000A14A4"/>
    <w:rsid w:val="000A14B8"/>
    <w:rsid w:val="000A1583"/>
    <w:rsid w:val="000A1594"/>
    <w:rsid w:val="000A180C"/>
    <w:rsid w:val="000A1814"/>
    <w:rsid w:val="000A1875"/>
    <w:rsid w:val="000A1C03"/>
    <w:rsid w:val="000A1C53"/>
    <w:rsid w:val="000A1E26"/>
    <w:rsid w:val="000A2040"/>
    <w:rsid w:val="000A20C5"/>
    <w:rsid w:val="000A21B6"/>
    <w:rsid w:val="000A2D42"/>
    <w:rsid w:val="000A3081"/>
    <w:rsid w:val="000A3098"/>
    <w:rsid w:val="000A36B7"/>
    <w:rsid w:val="000A396D"/>
    <w:rsid w:val="000A42EE"/>
    <w:rsid w:val="000A43CF"/>
    <w:rsid w:val="000A4495"/>
    <w:rsid w:val="000A44D4"/>
    <w:rsid w:val="000A5243"/>
    <w:rsid w:val="000A5454"/>
    <w:rsid w:val="000A56CE"/>
    <w:rsid w:val="000A5711"/>
    <w:rsid w:val="000A5823"/>
    <w:rsid w:val="000A5EB1"/>
    <w:rsid w:val="000A5F0F"/>
    <w:rsid w:val="000A6048"/>
    <w:rsid w:val="000A60B6"/>
    <w:rsid w:val="000A6578"/>
    <w:rsid w:val="000A6B5E"/>
    <w:rsid w:val="000A6D20"/>
    <w:rsid w:val="000A6FA8"/>
    <w:rsid w:val="000A70AC"/>
    <w:rsid w:val="000A77AE"/>
    <w:rsid w:val="000A7AE2"/>
    <w:rsid w:val="000A7C65"/>
    <w:rsid w:val="000A7F78"/>
    <w:rsid w:val="000B01ED"/>
    <w:rsid w:val="000B04BE"/>
    <w:rsid w:val="000B0613"/>
    <w:rsid w:val="000B0676"/>
    <w:rsid w:val="000B0A71"/>
    <w:rsid w:val="000B113A"/>
    <w:rsid w:val="000B11FC"/>
    <w:rsid w:val="000B15ED"/>
    <w:rsid w:val="000B18C1"/>
    <w:rsid w:val="000B1A89"/>
    <w:rsid w:val="000B1DE2"/>
    <w:rsid w:val="000B2364"/>
    <w:rsid w:val="000B23B4"/>
    <w:rsid w:val="000B2808"/>
    <w:rsid w:val="000B28B6"/>
    <w:rsid w:val="000B2E1D"/>
    <w:rsid w:val="000B3105"/>
    <w:rsid w:val="000B3935"/>
    <w:rsid w:val="000B3F6C"/>
    <w:rsid w:val="000B4027"/>
    <w:rsid w:val="000B42AA"/>
    <w:rsid w:val="000B4947"/>
    <w:rsid w:val="000B4CC6"/>
    <w:rsid w:val="000B522B"/>
    <w:rsid w:val="000B5230"/>
    <w:rsid w:val="000B5405"/>
    <w:rsid w:val="000B5465"/>
    <w:rsid w:val="000B55CB"/>
    <w:rsid w:val="000B5840"/>
    <w:rsid w:val="000B586A"/>
    <w:rsid w:val="000B596C"/>
    <w:rsid w:val="000B5BAF"/>
    <w:rsid w:val="000B5F7C"/>
    <w:rsid w:val="000B63C8"/>
    <w:rsid w:val="000B6A59"/>
    <w:rsid w:val="000B6B61"/>
    <w:rsid w:val="000B719F"/>
    <w:rsid w:val="000B769E"/>
    <w:rsid w:val="000B7919"/>
    <w:rsid w:val="000B7B27"/>
    <w:rsid w:val="000B7B7C"/>
    <w:rsid w:val="000B7F42"/>
    <w:rsid w:val="000C0092"/>
    <w:rsid w:val="000C0193"/>
    <w:rsid w:val="000C04AB"/>
    <w:rsid w:val="000C055A"/>
    <w:rsid w:val="000C07EF"/>
    <w:rsid w:val="000C0834"/>
    <w:rsid w:val="000C0B80"/>
    <w:rsid w:val="000C0C27"/>
    <w:rsid w:val="000C0EE8"/>
    <w:rsid w:val="000C110F"/>
    <w:rsid w:val="000C1442"/>
    <w:rsid w:val="000C20FE"/>
    <w:rsid w:val="000C2CBC"/>
    <w:rsid w:val="000C2E09"/>
    <w:rsid w:val="000C3052"/>
    <w:rsid w:val="000C34C0"/>
    <w:rsid w:val="000C34EC"/>
    <w:rsid w:val="000C35E9"/>
    <w:rsid w:val="000C377B"/>
    <w:rsid w:val="000C37B0"/>
    <w:rsid w:val="000C3A7E"/>
    <w:rsid w:val="000C3AAA"/>
    <w:rsid w:val="000C3BA3"/>
    <w:rsid w:val="000C3CE8"/>
    <w:rsid w:val="000C3FB8"/>
    <w:rsid w:val="000C4064"/>
    <w:rsid w:val="000C42AC"/>
    <w:rsid w:val="000C4998"/>
    <w:rsid w:val="000C4B9F"/>
    <w:rsid w:val="000C4FCD"/>
    <w:rsid w:val="000C5004"/>
    <w:rsid w:val="000C50EF"/>
    <w:rsid w:val="000C518A"/>
    <w:rsid w:val="000C5442"/>
    <w:rsid w:val="000C576B"/>
    <w:rsid w:val="000C5B51"/>
    <w:rsid w:val="000C5D09"/>
    <w:rsid w:val="000C5E8C"/>
    <w:rsid w:val="000C6038"/>
    <w:rsid w:val="000C673D"/>
    <w:rsid w:val="000C6C18"/>
    <w:rsid w:val="000C6E88"/>
    <w:rsid w:val="000C7075"/>
    <w:rsid w:val="000C72EE"/>
    <w:rsid w:val="000C74AF"/>
    <w:rsid w:val="000C76C1"/>
    <w:rsid w:val="000C78BD"/>
    <w:rsid w:val="000C78CA"/>
    <w:rsid w:val="000C7C17"/>
    <w:rsid w:val="000C7FBA"/>
    <w:rsid w:val="000D0172"/>
    <w:rsid w:val="000D028F"/>
    <w:rsid w:val="000D032B"/>
    <w:rsid w:val="000D0AD0"/>
    <w:rsid w:val="000D0CDE"/>
    <w:rsid w:val="000D10FB"/>
    <w:rsid w:val="000D1127"/>
    <w:rsid w:val="000D12A2"/>
    <w:rsid w:val="000D161B"/>
    <w:rsid w:val="000D16C7"/>
    <w:rsid w:val="000D1764"/>
    <w:rsid w:val="000D191B"/>
    <w:rsid w:val="000D1AFD"/>
    <w:rsid w:val="000D1B73"/>
    <w:rsid w:val="000D1D07"/>
    <w:rsid w:val="000D1D51"/>
    <w:rsid w:val="000D23F5"/>
    <w:rsid w:val="000D244C"/>
    <w:rsid w:val="000D25BB"/>
    <w:rsid w:val="000D280E"/>
    <w:rsid w:val="000D2D03"/>
    <w:rsid w:val="000D2F4F"/>
    <w:rsid w:val="000D32C7"/>
    <w:rsid w:val="000D330F"/>
    <w:rsid w:val="000D33CE"/>
    <w:rsid w:val="000D350C"/>
    <w:rsid w:val="000D3B34"/>
    <w:rsid w:val="000D3C1E"/>
    <w:rsid w:val="000D3C6B"/>
    <w:rsid w:val="000D463B"/>
    <w:rsid w:val="000D4AD9"/>
    <w:rsid w:val="000D4DE8"/>
    <w:rsid w:val="000D4E2B"/>
    <w:rsid w:val="000D4FFC"/>
    <w:rsid w:val="000D4FFE"/>
    <w:rsid w:val="000D52A6"/>
    <w:rsid w:val="000D5310"/>
    <w:rsid w:val="000D569B"/>
    <w:rsid w:val="000D570A"/>
    <w:rsid w:val="000D578B"/>
    <w:rsid w:val="000D5986"/>
    <w:rsid w:val="000D5B30"/>
    <w:rsid w:val="000D5C97"/>
    <w:rsid w:val="000D5D93"/>
    <w:rsid w:val="000D5E2F"/>
    <w:rsid w:val="000D6DAC"/>
    <w:rsid w:val="000D7625"/>
    <w:rsid w:val="000D77F4"/>
    <w:rsid w:val="000D7BD9"/>
    <w:rsid w:val="000D7CE5"/>
    <w:rsid w:val="000D7D90"/>
    <w:rsid w:val="000D7D9C"/>
    <w:rsid w:val="000D7E1C"/>
    <w:rsid w:val="000E00EA"/>
    <w:rsid w:val="000E0597"/>
    <w:rsid w:val="000E0613"/>
    <w:rsid w:val="000E074B"/>
    <w:rsid w:val="000E0EA4"/>
    <w:rsid w:val="000E10F4"/>
    <w:rsid w:val="000E1A42"/>
    <w:rsid w:val="000E1B6B"/>
    <w:rsid w:val="000E1E7B"/>
    <w:rsid w:val="000E205D"/>
    <w:rsid w:val="000E20D6"/>
    <w:rsid w:val="000E2236"/>
    <w:rsid w:val="000E2374"/>
    <w:rsid w:val="000E2527"/>
    <w:rsid w:val="000E2A50"/>
    <w:rsid w:val="000E2B07"/>
    <w:rsid w:val="000E2CF0"/>
    <w:rsid w:val="000E2F92"/>
    <w:rsid w:val="000E3255"/>
    <w:rsid w:val="000E3A39"/>
    <w:rsid w:val="000E3E53"/>
    <w:rsid w:val="000E3F18"/>
    <w:rsid w:val="000E4109"/>
    <w:rsid w:val="000E4194"/>
    <w:rsid w:val="000E45D2"/>
    <w:rsid w:val="000E468D"/>
    <w:rsid w:val="000E4C43"/>
    <w:rsid w:val="000E4CDA"/>
    <w:rsid w:val="000E4DFD"/>
    <w:rsid w:val="000E52BE"/>
    <w:rsid w:val="000E549D"/>
    <w:rsid w:val="000E5B35"/>
    <w:rsid w:val="000E5B9F"/>
    <w:rsid w:val="000E5EB0"/>
    <w:rsid w:val="000E5EE1"/>
    <w:rsid w:val="000E5FA3"/>
    <w:rsid w:val="000E6046"/>
    <w:rsid w:val="000E660D"/>
    <w:rsid w:val="000E6825"/>
    <w:rsid w:val="000E6A28"/>
    <w:rsid w:val="000E6F72"/>
    <w:rsid w:val="000E7483"/>
    <w:rsid w:val="000E76AC"/>
    <w:rsid w:val="000E786F"/>
    <w:rsid w:val="000E78D4"/>
    <w:rsid w:val="000E7B25"/>
    <w:rsid w:val="000E7BC1"/>
    <w:rsid w:val="000E7BEE"/>
    <w:rsid w:val="000F0005"/>
    <w:rsid w:val="000F0324"/>
    <w:rsid w:val="000F0382"/>
    <w:rsid w:val="000F0825"/>
    <w:rsid w:val="000F0D05"/>
    <w:rsid w:val="000F0D96"/>
    <w:rsid w:val="000F0F0F"/>
    <w:rsid w:val="000F0F20"/>
    <w:rsid w:val="000F0F61"/>
    <w:rsid w:val="000F13C7"/>
    <w:rsid w:val="000F1587"/>
    <w:rsid w:val="000F1644"/>
    <w:rsid w:val="000F1879"/>
    <w:rsid w:val="000F206F"/>
    <w:rsid w:val="000F20B9"/>
    <w:rsid w:val="000F22C6"/>
    <w:rsid w:val="000F27FF"/>
    <w:rsid w:val="000F2A52"/>
    <w:rsid w:val="000F2B76"/>
    <w:rsid w:val="000F2D1C"/>
    <w:rsid w:val="000F2E2F"/>
    <w:rsid w:val="000F2F31"/>
    <w:rsid w:val="000F359D"/>
    <w:rsid w:val="000F3B31"/>
    <w:rsid w:val="000F3BE8"/>
    <w:rsid w:val="000F3C45"/>
    <w:rsid w:val="000F4026"/>
    <w:rsid w:val="000F4096"/>
    <w:rsid w:val="000F432B"/>
    <w:rsid w:val="000F440C"/>
    <w:rsid w:val="000F4557"/>
    <w:rsid w:val="000F4F04"/>
    <w:rsid w:val="000F4F3A"/>
    <w:rsid w:val="000F51E1"/>
    <w:rsid w:val="000F52F0"/>
    <w:rsid w:val="000F5AA4"/>
    <w:rsid w:val="000F5C26"/>
    <w:rsid w:val="000F6331"/>
    <w:rsid w:val="000F66D5"/>
    <w:rsid w:val="000F6CF1"/>
    <w:rsid w:val="000F736F"/>
    <w:rsid w:val="000F738D"/>
    <w:rsid w:val="000F7593"/>
    <w:rsid w:val="000F7AC6"/>
    <w:rsid w:val="000F7CEB"/>
    <w:rsid w:val="000F7F41"/>
    <w:rsid w:val="00100015"/>
    <w:rsid w:val="001003A4"/>
    <w:rsid w:val="001003D7"/>
    <w:rsid w:val="00100602"/>
    <w:rsid w:val="00100775"/>
    <w:rsid w:val="001007C7"/>
    <w:rsid w:val="001008D4"/>
    <w:rsid w:val="00100DE7"/>
    <w:rsid w:val="001013F2"/>
    <w:rsid w:val="001015E0"/>
    <w:rsid w:val="00101ED7"/>
    <w:rsid w:val="001020AD"/>
    <w:rsid w:val="00102189"/>
    <w:rsid w:val="0010224F"/>
    <w:rsid w:val="0010226F"/>
    <w:rsid w:val="0010234E"/>
    <w:rsid w:val="00102401"/>
    <w:rsid w:val="00102549"/>
    <w:rsid w:val="001026F5"/>
    <w:rsid w:val="00102755"/>
    <w:rsid w:val="00102A07"/>
    <w:rsid w:val="00102B15"/>
    <w:rsid w:val="00102DA2"/>
    <w:rsid w:val="00103800"/>
    <w:rsid w:val="00103999"/>
    <w:rsid w:val="00103D3A"/>
    <w:rsid w:val="00104541"/>
    <w:rsid w:val="00104C48"/>
    <w:rsid w:val="00104E52"/>
    <w:rsid w:val="00104F23"/>
    <w:rsid w:val="001054AB"/>
    <w:rsid w:val="001056CE"/>
    <w:rsid w:val="001058CC"/>
    <w:rsid w:val="001058DA"/>
    <w:rsid w:val="001058FC"/>
    <w:rsid w:val="00105FFF"/>
    <w:rsid w:val="00106188"/>
    <w:rsid w:val="0010642C"/>
    <w:rsid w:val="00106520"/>
    <w:rsid w:val="00106BE6"/>
    <w:rsid w:val="00106C50"/>
    <w:rsid w:val="001070C5"/>
    <w:rsid w:val="00107178"/>
    <w:rsid w:val="00107D2E"/>
    <w:rsid w:val="0011002C"/>
    <w:rsid w:val="00110125"/>
    <w:rsid w:val="00110360"/>
    <w:rsid w:val="00110728"/>
    <w:rsid w:val="00110AA2"/>
    <w:rsid w:val="00110C5E"/>
    <w:rsid w:val="00110D88"/>
    <w:rsid w:val="00110EEA"/>
    <w:rsid w:val="001114AF"/>
    <w:rsid w:val="00111507"/>
    <w:rsid w:val="001115A6"/>
    <w:rsid w:val="00111751"/>
    <w:rsid w:val="00111754"/>
    <w:rsid w:val="00111E1D"/>
    <w:rsid w:val="00112332"/>
    <w:rsid w:val="00112420"/>
    <w:rsid w:val="00112670"/>
    <w:rsid w:val="00112BC7"/>
    <w:rsid w:val="00112D27"/>
    <w:rsid w:val="001131F6"/>
    <w:rsid w:val="0011328C"/>
    <w:rsid w:val="00113569"/>
    <w:rsid w:val="00113681"/>
    <w:rsid w:val="00113825"/>
    <w:rsid w:val="00113947"/>
    <w:rsid w:val="00113A07"/>
    <w:rsid w:val="00113F04"/>
    <w:rsid w:val="001140D7"/>
    <w:rsid w:val="0011441E"/>
    <w:rsid w:val="00114475"/>
    <w:rsid w:val="00114CFC"/>
    <w:rsid w:val="00114E4D"/>
    <w:rsid w:val="00115011"/>
    <w:rsid w:val="0011521C"/>
    <w:rsid w:val="0011542A"/>
    <w:rsid w:val="00115754"/>
    <w:rsid w:val="00115852"/>
    <w:rsid w:val="00115A66"/>
    <w:rsid w:val="00115AA9"/>
    <w:rsid w:val="00115CBD"/>
    <w:rsid w:val="00115EDD"/>
    <w:rsid w:val="00116589"/>
    <w:rsid w:val="0011682E"/>
    <w:rsid w:val="001168D6"/>
    <w:rsid w:val="001169EF"/>
    <w:rsid w:val="001169FC"/>
    <w:rsid w:val="00116B87"/>
    <w:rsid w:val="00116ED8"/>
    <w:rsid w:val="00116FAB"/>
    <w:rsid w:val="001174C6"/>
    <w:rsid w:val="001177D3"/>
    <w:rsid w:val="00117E42"/>
    <w:rsid w:val="001200CB"/>
    <w:rsid w:val="00120946"/>
    <w:rsid w:val="00120992"/>
    <w:rsid w:val="00120F9B"/>
    <w:rsid w:val="001214D7"/>
    <w:rsid w:val="001215E2"/>
    <w:rsid w:val="00121754"/>
    <w:rsid w:val="00121867"/>
    <w:rsid w:val="00121DB5"/>
    <w:rsid w:val="00121F46"/>
    <w:rsid w:val="001221DA"/>
    <w:rsid w:val="0012245E"/>
    <w:rsid w:val="001226EE"/>
    <w:rsid w:val="00122858"/>
    <w:rsid w:val="00122D1F"/>
    <w:rsid w:val="00122D44"/>
    <w:rsid w:val="00122ED2"/>
    <w:rsid w:val="00122F47"/>
    <w:rsid w:val="001231ED"/>
    <w:rsid w:val="0012381F"/>
    <w:rsid w:val="00123B1F"/>
    <w:rsid w:val="00123C43"/>
    <w:rsid w:val="00123DA0"/>
    <w:rsid w:val="00123E4C"/>
    <w:rsid w:val="00124049"/>
    <w:rsid w:val="00124080"/>
    <w:rsid w:val="001241EA"/>
    <w:rsid w:val="001245F9"/>
    <w:rsid w:val="0012464C"/>
    <w:rsid w:val="0012475A"/>
    <w:rsid w:val="0012478D"/>
    <w:rsid w:val="0012479B"/>
    <w:rsid w:val="00124BE4"/>
    <w:rsid w:val="00124D67"/>
    <w:rsid w:val="00125078"/>
    <w:rsid w:val="00125272"/>
    <w:rsid w:val="00125620"/>
    <w:rsid w:val="00125679"/>
    <w:rsid w:val="00125EFD"/>
    <w:rsid w:val="00126445"/>
    <w:rsid w:val="00126AF9"/>
    <w:rsid w:val="00126BB7"/>
    <w:rsid w:val="00126DAB"/>
    <w:rsid w:val="00127183"/>
    <w:rsid w:val="00127518"/>
    <w:rsid w:val="001275F2"/>
    <w:rsid w:val="00127601"/>
    <w:rsid w:val="00127B5C"/>
    <w:rsid w:val="00127F9B"/>
    <w:rsid w:val="00127FE0"/>
    <w:rsid w:val="0013001C"/>
    <w:rsid w:val="00130069"/>
    <w:rsid w:val="00130798"/>
    <w:rsid w:val="00130848"/>
    <w:rsid w:val="00130B5B"/>
    <w:rsid w:val="00130D51"/>
    <w:rsid w:val="00131066"/>
    <w:rsid w:val="001311CD"/>
    <w:rsid w:val="00131992"/>
    <w:rsid w:val="00131E45"/>
    <w:rsid w:val="00131EE6"/>
    <w:rsid w:val="00131F6D"/>
    <w:rsid w:val="00131FDF"/>
    <w:rsid w:val="001326BD"/>
    <w:rsid w:val="00132866"/>
    <w:rsid w:val="001329C3"/>
    <w:rsid w:val="00132B88"/>
    <w:rsid w:val="00132E79"/>
    <w:rsid w:val="001330AE"/>
    <w:rsid w:val="00133407"/>
    <w:rsid w:val="001335F6"/>
    <w:rsid w:val="00133974"/>
    <w:rsid w:val="00133B83"/>
    <w:rsid w:val="00133DBF"/>
    <w:rsid w:val="00133E2E"/>
    <w:rsid w:val="0013447D"/>
    <w:rsid w:val="00134655"/>
    <w:rsid w:val="00134AD4"/>
    <w:rsid w:val="0013510E"/>
    <w:rsid w:val="00135217"/>
    <w:rsid w:val="001355B1"/>
    <w:rsid w:val="0013580A"/>
    <w:rsid w:val="00135A1F"/>
    <w:rsid w:val="0013613C"/>
    <w:rsid w:val="001361B5"/>
    <w:rsid w:val="00136282"/>
    <w:rsid w:val="001362AF"/>
    <w:rsid w:val="001364B5"/>
    <w:rsid w:val="001365A8"/>
    <w:rsid w:val="0013663C"/>
    <w:rsid w:val="00136685"/>
    <w:rsid w:val="00136AB4"/>
    <w:rsid w:val="00136E9F"/>
    <w:rsid w:val="00137165"/>
    <w:rsid w:val="00137646"/>
    <w:rsid w:val="00137B14"/>
    <w:rsid w:val="00137CFF"/>
    <w:rsid w:val="00137FFE"/>
    <w:rsid w:val="001401C9"/>
    <w:rsid w:val="001401CD"/>
    <w:rsid w:val="00140C77"/>
    <w:rsid w:val="00140D74"/>
    <w:rsid w:val="00140DC4"/>
    <w:rsid w:val="00140E2D"/>
    <w:rsid w:val="001410CE"/>
    <w:rsid w:val="00141333"/>
    <w:rsid w:val="0014172F"/>
    <w:rsid w:val="0014187F"/>
    <w:rsid w:val="0014190E"/>
    <w:rsid w:val="00141C27"/>
    <w:rsid w:val="00141D80"/>
    <w:rsid w:val="00141E53"/>
    <w:rsid w:val="00141F7B"/>
    <w:rsid w:val="001420FF"/>
    <w:rsid w:val="001423CE"/>
    <w:rsid w:val="001426FB"/>
    <w:rsid w:val="00142743"/>
    <w:rsid w:val="001428DB"/>
    <w:rsid w:val="00142902"/>
    <w:rsid w:val="00142AEC"/>
    <w:rsid w:val="00142E90"/>
    <w:rsid w:val="00143408"/>
    <w:rsid w:val="001436B2"/>
    <w:rsid w:val="001437DD"/>
    <w:rsid w:val="001437FF"/>
    <w:rsid w:val="00143B53"/>
    <w:rsid w:val="00143E9A"/>
    <w:rsid w:val="00144018"/>
    <w:rsid w:val="00144066"/>
    <w:rsid w:val="001441EC"/>
    <w:rsid w:val="001447E7"/>
    <w:rsid w:val="0014492C"/>
    <w:rsid w:val="00144BB3"/>
    <w:rsid w:val="00144CFF"/>
    <w:rsid w:val="001450E1"/>
    <w:rsid w:val="001456AF"/>
    <w:rsid w:val="001456BF"/>
    <w:rsid w:val="00145C00"/>
    <w:rsid w:val="00145C27"/>
    <w:rsid w:val="00145D15"/>
    <w:rsid w:val="00145D22"/>
    <w:rsid w:val="00145D96"/>
    <w:rsid w:val="00145FC8"/>
    <w:rsid w:val="00146775"/>
    <w:rsid w:val="00146C02"/>
    <w:rsid w:val="00146EA5"/>
    <w:rsid w:val="0014770F"/>
    <w:rsid w:val="00150161"/>
    <w:rsid w:val="001501FD"/>
    <w:rsid w:val="00150868"/>
    <w:rsid w:val="001508F6"/>
    <w:rsid w:val="00150EBC"/>
    <w:rsid w:val="0015163B"/>
    <w:rsid w:val="00151752"/>
    <w:rsid w:val="00151EB5"/>
    <w:rsid w:val="0015217E"/>
    <w:rsid w:val="00152349"/>
    <w:rsid w:val="00152438"/>
    <w:rsid w:val="00152688"/>
    <w:rsid w:val="00152791"/>
    <w:rsid w:val="0015287B"/>
    <w:rsid w:val="00152FE2"/>
    <w:rsid w:val="00153272"/>
    <w:rsid w:val="001532EF"/>
    <w:rsid w:val="001534B2"/>
    <w:rsid w:val="00153555"/>
    <w:rsid w:val="00153805"/>
    <w:rsid w:val="001539B2"/>
    <w:rsid w:val="00153B2E"/>
    <w:rsid w:val="00153CE8"/>
    <w:rsid w:val="0015401B"/>
    <w:rsid w:val="001541F7"/>
    <w:rsid w:val="001544EC"/>
    <w:rsid w:val="001546D5"/>
    <w:rsid w:val="001548D3"/>
    <w:rsid w:val="00154936"/>
    <w:rsid w:val="00154953"/>
    <w:rsid w:val="00155279"/>
    <w:rsid w:val="00155454"/>
    <w:rsid w:val="00155556"/>
    <w:rsid w:val="001559E8"/>
    <w:rsid w:val="00155B14"/>
    <w:rsid w:val="00155BC2"/>
    <w:rsid w:val="00155BFB"/>
    <w:rsid w:val="00155D09"/>
    <w:rsid w:val="00155FE9"/>
    <w:rsid w:val="001562AA"/>
    <w:rsid w:val="001563C6"/>
    <w:rsid w:val="001564CD"/>
    <w:rsid w:val="00156566"/>
    <w:rsid w:val="00156820"/>
    <w:rsid w:val="0015682E"/>
    <w:rsid w:val="001569F9"/>
    <w:rsid w:val="0015702B"/>
    <w:rsid w:val="001572C5"/>
    <w:rsid w:val="001572CA"/>
    <w:rsid w:val="00157478"/>
    <w:rsid w:val="0015763A"/>
    <w:rsid w:val="00157C45"/>
    <w:rsid w:val="00160144"/>
    <w:rsid w:val="0016022A"/>
    <w:rsid w:val="0016050B"/>
    <w:rsid w:val="001605E6"/>
    <w:rsid w:val="00160B81"/>
    <w:rsid w:val="00160D9E"/>
    <w:rsid w:val="00160F06"/>
    <w:rsid w:val="001611C9"/>
    <w:rsid w:val="001613B6"/>
    <w:rsid w:val="00161776"/>
    <w:rsid w:val="001618D0"/>
    <w:rsid w:val="00161A2A"/>
    <w:rsid w:val="00161B5D"/>
    <w:rsid w:val="00161E6C"/>
    <w:rsid w:val="00162146"/>
    <w:rsid w:val="00162713"/>
    <w:rsid w:val="00162B4C"/>
    <w:rsid w:val="00162BA6"/>
    <w:rsid w:val="00162E9F"/>
    <w:rsid w:val="00163C55"/>
    <w:rsid w:val="00163DF5"/>
    <w:rsid w:val="00164181"/>
    <w:rsid w:val="001643BC"/>
    <w:rsid w:val="00164493"/>
    <w:rsid w:val="001648E9"/>
    <w:rsid w:val="001649FD"/>
    <w:rsid w:val="00164CF2"/>
    <w:rsid w:val="001655AD"/>
    <w:rsid w:val="001656D2"/>
    <w:rsid w:val="00165CF1"/>
    <w:rsid w:val="00165F12"/>
    <w:rsid w:val="00165F50"/>
    <w:rsid w:val="001663F9"/>
    <w:rsid w:val="001664DA"/>
    <w:rsid w:val="00167374"/>
    <w:rsid w:val="0016758C"/>
    <w:rsid w:val="001676F4"/>
    <w:rsid w:val="00167881"/>
    <w:rsid w:val="00167A2F"/>
    <w:rsid w:val="00167B71"/>
    <w:rsid w:val="00167B8D"/>
    <w:rsid w:val="00167CA0"/>
    <w:rsid w:val="00167D29"/>
    <w:rsid w:val="001701FC"/>
    <w:rsid w:val="0017025B"/>
    <w:rsid w:val="001706CF"/>
    <w:rsid w:val="00170989"/>
    <w:rsid w:val="00170B16"/>
    <w:rsid w:val="00170C81"/>
    <w:rsid w:val="00170EFB"/>
    <w:rsid w:val="00170FE0"/>
    <w:rsid w:val="00171032"/>
    <w:rsid w:val="0017137A"/>
    <w:rsid w:val="00171671"/>
    <w:rsid w:val="0017187C"/>
    <w:rsid w:val="0017197A"/>
    <w:rsid w:val="00171A03"/>
    <w:rsid w:val="00171B0A"/>
    <w:rsid w:val="00171B15"/>
    <w:rsid w:val="001720FC"/>
    <w:rsid w:val="00172237"/>
    <w:rsid w:val="00172258"/>
    <w:rsid w:val="00172552"/>
    <w:rsid w:val="00172667"/>
    <w:rsid w:val="00172730"/>
    <w:rsid w:val="00173034"/>
    <w:rsid w:val="001733A8"/>
    <w:rsid w:val="001735C7"/>
    <w:rsid w:val="00173675"/>
    <w:rsid w:val="00173E0A"/>
    <w:rsid w:val="001749CD"/>
    <w:rsid w:val="00174CAA"/>
    <w:rsid w:val="00174D85"/>
    <w:rsid w:val="00174FA5"/>
    <w:rsid w:val="00174FAB"/>
    <w:rsid w:val="001750B6"/>
    <w:rsid w:val="00175164"/>
    <w:rsid w:val="001751AC"/>
    <w:rsid w:val="00175422"/>
    <w:rsid w:val="00175AD0"/>
    <w:rsid w:val="00175B7E"/>
    <w:rsid w:val="00175CD6"/>
    <w:rsid w:val="00175D63"/>
    <w:rsid w:val="00175FE4"/>
    <w:rsid w:val="001764E2"/>
    <w:rsid w:val="001765B4"/>
    <w:rsid w:val="00176783"/>
    <w:rsid w:val="001768CD"/>
    <w:rsid w:val="00176AA1"/>
    <w:rsid w:val="00176B14"/>
    <w:rsid w:val="00176B29"/>
    <w:rsid w:val="00177076"/>
    <w:rsid w:val="00177292"/>
    <w:rsid w:val="001773D3"/>
    <w:rsid w:val="00177D16"/>
    <w:rsid w:val="00177E71"/>
    <w:rsid w:val="0018000E"/>
    <w:rsid w:val="00180184"/>
    <w:rsid w:val="00180387"/>
    <w:rsid w:val="00180472"/>
    <w:rsid w:val="00180857"/>
    <w:rsid w:val="0018093E"/>
    <w:rsid w:val="00180976"/>
    <w:rsid w:val="00180984"/>
    <w:rsid w:val="00180C4E"/>
    <w:rsid w:val="00180E53"/>
    <w:rsid w:val="0018117F"/>
    <w:rsid w:val="001814E8"/>
    <w:rsid w:val="00181683"/>
    <w:rsid w:val="0018186C"/>
    <w:rsid w:val="0018198E"/>
    <w:rsid w:val="00181B62"/>
    <w:rsid w:val="00181CD3"/>
    <w:rsid w:val="00182001"/>
    <w:rsid w:val="001820CA"/>
    <w:rsid w:val="00182A00"/>
    <w:rsid w:val="00182A77"/>
    <w:rsid w:val="00182CF1"/>
    <w:rsid w:val="001832B1"/>
    <w:rsid w:val="001833C9"/>
    <w:rsid w:val="001833D2"/>
    <w:rsid w:val="00183762"/>
    <w:rsid w:val="0018388C"/>
    <w:rsid w:val="00183E45"/>
    <w:rsid w:val="00183F26"/>
    <w:rsid w:val="00184147"/>
    <w:rsid w:val="00184315"/>
    <w:rsid w:val="0018451C"/>
    <w:rsid w:val="001849C6"/>
    <w:rsid w:val="00184BFF"/>
    <w:rsid w:val="00184E49"/>
    <w:rsid w:val="00184F38"/>
    <w:rsid w:val="00184FE6"/>
    <w:rsid w:val="001852B6"/>
    <w:rsid w:val="0018557E"/>
    <w:rsid w:val="00185725"/>
    <w:rsid w:val="001857C3"/>
    <w:rsid w:val="001858BC"/>
    <w:rsid w:val="00185ADD"/>
    <w:rsid w:val="00185C2D"/>
    <w:rsid w:val="00186539"/>
    <w:rsid w:val="00186685"/>
    <w:rsid w:val="00186884"/>
    <w:rsid w:val="00186902"/>
    <w:rsid w:val="00186D81"/>
    <w:rsid w:val="001871E5"/>
    <w:rsid w:val="00187499"/>
    <w:rsid w:val="0018781A"/>
    <w:rsid w:val="00187B1C"/>
    <w:rsid w:val="00187D7A"/>
    <w:rsid w:val="00187FCD"/>
    <w:rsid w:val="0019039C"/>
    <w:rsid w:val="001903CF"/>
    <w:rsid w:val="001909E9"/>
    <w:rsid w:val="00190FE4"/>
    <w:rsid w:val="00191389"/>
    <w:rsid w:val="00191C34"/>
    <w:rsid w:val="00191D8D"/>
    <w:rsid w:val="00191E94"/>
    <w:rsid w:val="00192095"/>
    <w:rsid w:val="001922AD"/>
    <w:rsid w:val="001922DA"/>
    <w:rsid w:val="001923DD"/>
    <w:rsid w:val="00192423"/>
    <w:rsid w:val="00192A85"/>
    <w:rsid w:val="00192AC2"/>
    <w:rsid w:val="00192BF3"/>
    <w:rsid w:val="00192CDA"/>
    <w:rsid w:val="0019323A"/>
    <w:rsid w:val="0019358A"/>
    <w:rsid w:val="00193594"/>
    <w:rsid w:val="00193839"/>
    <w:rsid w:val="00193BB2"/>
    <w:rsid w:val="00193BF2"/>
    <w:rsid w:val="00193FED"/>
    <w:rsid w:val="001940F1"/>
    <w:rsid w:val="001944BD"/>
    <w:rsid w:val="00194B41"/>
    <w:rsid w:val="00194F23"/>
    <w:rsid w:val="00195271"/>
    <w:rsid w:val="001955DA"/>
    <w:rsid w:val="00195973"/>
    <w:rsid w:val="00195B61"/>
    <w:rsid w:val="001962A8"/>
    <w:rsid w:val="001963DF"/>
    <w:rsid w:val="00196451"/>
    <w:rsid w:val="00196492"/>
    <w:rsid w:val="001965FD"/>
    <w:rsid w:val="00196D6D"/>
    <w:rsid w:val="001970A6"/>
    <w:rsid w:val="00197269"/>
    <w:rsid w:val="0019757E"/>
    <w:rsid w:val="00197A8D"/>
    <w:rsid w:val="00197CD4"/>
    <w:rsid w:val="00197CEF"/>
    <w:rsid w:val="00197D67"/>
    <w:rsid w:val="001A05F5"/>
    <w:rsid w:val="001A06CA"/>
    <w:rsid w:val="001A0F04"/>
    <w:rsid w:val="001A164D"/>
    <w:rsid w:val="001A1747"/>
    <w:rsid w:val="001A197D"/>
    <w:rsid w:val="001A1ACE"/>
    <w:rsid w:val="001A1C32"/>
    <w:rsid w:val="001A1C6A"/>
    <w:rsid w:val="001A1F87"/>
    <w:rsid w:val="001A217E"/>
    <w:rsid w:val="001A2230"/>
    <w:rsid w:val="001A27B1"/>
    <w:rsid w:val="001A284B"/>
    <w:rsid w:val="001A28DF"/>
    <w:rsid w:val="001A2E86"/>
    <w:rsid w:val="001A313B"/>
    <w:rsid w:val="001A3434"/>
    <w:rsid w:val="001A3537"/>
    <w:rsid w:val="001A3B07"/>
    <w:rsid w:val="001A3DE0"/>
    <w:rsid w:val="001A4002"/>
    <w:rsid w:val="001A5080"/>
    <w:rsid w:val="001A5256"/>
    <w:rsid w:val="001A5377"/>
    <w:rsid w:val="001A5501"/>
    <w:rsid w:val="001A5737"/>
    <w:rsid w:val="001A58ED"/>
    <w:rsid w:val="001A5C4E"/>
    <w:rsid w:val="001A5D31"/>
    <w:rsid w:val="001A62BE"/>
    <w:rsid w:val="001A64BA"/>
    <w:rsid w:val="001A64C6"/>
    <w:rsid w:val="001A671F"/>
    <w:rsid w:val="001A6F21"/>
    <w:rsid w:val="001A6F35"/>
    <w:rsid w:val="001A702C"/>
    <w:rsid w:val="001A7051"/>
    <w:rsid w:val="001A7518"/>
    <w:rsid w:val="001A764A"/>
    <w:rsid w:val="001A7803"/>
    <w:rsid w:val="001A7C8D"/>
    <w:rsid w:val="001B021B"/>
    <w:rsid w:val="001B02AF"/>
    <w:rsid w:val="001B0588"/>
    <w:rsid w:val="001B06A4"/>
    <w:rsid w:val="001B07E0"/>
    <w:rsid w:val="001B08AF"/>
    <w:rsid w:val="001B0B79"/>
    <w:rsid w:val="001B0CAA"/>
    <w:rsid w:val="001B111A"/>
    <w:rsid w:val="001B196E"/>
    <w:rsid w:val="001B1ABB"/>
    <w:rsid w:val="001B1D07"/>
    <w:rsid w:val="001B2408"/>
    <w:rsid w:val="001B2585"/>
    <w:rsid w:val="001B2630"/>
    <w:rsid w:val="001B27A8"/>
    <w:rsid w:val="001B2879"/>
    <w:rsid w:val="001B2AA1"/>
    <w:rsid w:val="001B2AA4"/>
    <w:rsid w:val="001B2DB3"/>
    <w:rsid w:val="001B3AC6"/>
    <w:rsid w:val="001B3B97"/>
    <w:rsid w:val="001B3D0D"/>
    <w:rsid w:val="001B4757"/>
    <w:rsid w:val="001B4808"/>
    <w:rsid w:val="001B4B1E"/>
    <w:rsid w:val="001B4FEF"/>
    <w:rsid w:val="001B51EE"/>
    <w:rsid w:val="001B5343"/>
    <w:rsid w:val="001B5381"/>
    <w:rsid w:val="001B54BB"/>
    <w:rsid w:val="001B5919"/>
    <w:rsid w:val="001B59ED"/>
    <w:rsid w:val="001B5AD9"/>
    <w:rsid w:val="001B5B2C"/>
    <w:rsid w:val="001B5BF7"/>
    <w:rsid w:val="001B60C0"/>
    <w:rsid w:val="001B611E"/>
    <w:rsid w:val="001B62E2"/>
    <w:rsid w:val="001B71E1"/>
    <w:rsid w:val="001B72E3"/>
    <w:rsid w:val="001B758B"/>
    <w:rsid w:val="001B7AA1"/>
    <w:rsid w:val="001C00E1"/>
    <w:rsid w:val="001C0520"/>
    <w:rsid w:val="001C070D"/>
    <w:rsid w:val="001C0B5C"/>
    <w:rsid w:val="001C0C31"/>
    <w:rsid w:val="001C10A9"/>
    <w:rsid w:val="001C10E8"/>
    <w:rsid w:val="001C1343"/>
    <w:rsid w:val="001C13CF"/>
    <w:rsid w:val="001C14C6"/>
    <w:rsid w:val="001C1A36"/>
    <w:rsid w:val="001C2423"/>
    <w:rsid w:val="001C2A61"/>
    <w:rsid w:val="001C2EF1"/>
    <w:rsid w:val="001C2F2E"/>
    <w:rsid w:val="001C2FEE"/>
    <w:rsid w:val="001C2FF9"/>
    <w:rsid w:val="001C367B"/>
    <w:rsid w:val="001C38C4"/>
    <w:rsid w:val="001C39EC"/>
    <w:rsid w:val="001C3D29"/>
    <w:rsid w:val="001C414D"/>
    <w:rsid w:val="001C464B"/>
    <w:rsid w:val="001C4714"/>
    <w:rsid w:val="001C4A18"/>
    <w:rsid w:val="001C4DAE"/>
    <w:rsid w:val="001C4E91"/>
    <w:rsid w:val="001C5201"/>
    <w:rsid w:val="001C556F"/>
    <w:rsid w:val="001C5646"/>
    <w:rsid w:val="001C5891"/>
    <w:rsid w:val="001C58DC"/>
    <w:rsid w:val="001C5C21"/>
    <w:rsid w:val="001C65DC"/>
    <w:rsid w:val="001C692A"/>
    <w:rsid w:val="001C6B5A"/>
    <w:rsid w:val="001C6C8B"/>
    <w:rsid w:val="001C6C8D"/>
    <w:rsid w:val="001C6ED1"/>
    <w:rsid w:val="001C6FFE"/>
    <w:rsid w:val="001C7216"/>
    <w:rsid w:val="001C7217"/>
    <w:rsid w:val="001C7403"/>
    <w:rsid w:val="001C77AA"/>
    <w:rsid w:val="001C785D"/>
    <w:rsid w:val="001C7B0C"/>
    <w:rsid w:val="001C7E6B"/>
    <w:rsid w:val="001C7FC0"/>
    <w:rsid w:val="001D02F1"/>
    <w:rsid w:val="001D0540"/>
    <w:rsid w:val="001D07DF"/>
    <w:rsid w:val="001D0841"/>
    <w:rsid w:val="001D090E"/>
    <w:rsid w:val="001D0DF5"/>
    <w:rsid w:val="001D0EEC"/>
    <w:rsid w:val="001D15AE"/>
    <w:rsid w:val="001D167D"/>
    <w:rsid w:val="001D1BCC"/>
    <w:rsid w:val="001D1E8E"/>
    <w:rsid w:val="001D22E9"/>
    <w:rsid w:val="001D2435"/>
    <w:rsid w:val="001D26BE"/>
    <w:rsid w:val="001D2A0B"/>
    <w:rsid w:val="001D2F72"/>
    <w:rsid w:val="001D2FD2"/>
    <w:rsid w:val="001D3374"/>
    <w:rsid w:val="001D3644"/>
    <w:rsid w:val="001D36EB"/>
    <w:rsid w:val="001D378F"/>
    <w:rsid w:val="001D3C23"/>
    <w:rsid w:val="001D3CCF"/>
    <w:rsid w:val="001D3CD6"/>
    <w:rsid w:val="001D3D35"/>
    <w:rsid w:val="001D3D7C"/>
    <w:rsid w:val="001D3E72"/>
    <w:rsid w:val="001D4109"/>
    <w:rsid w:val="001D4247"/>
    <w:rsid w:val="001D467B"/>
    <w:rsid w:val="001D4C1A"/>
    <w:rsid w:val="001D4C75"/>
    <w:rsid w:val="001D4DDB"/>
    <w:rsid w:val="001D4F77"/>
    <w:rsid w:val="001D50A8"/>
    <w:rsid w:val="001D52C3"/>
    <w:rsid w:val="001D5363"/>
    <w:rsid w:val="001D5617"/>
    <w:rsid w:val="001D57C9"/>
    <w:rsid w:val="001D5D30"/>
    <w:rsid w:val="001D5E1B"/>
    <w:rsid w:val="001D65FA"/>
    <w:rsid w:val="001D6951"/>
    <w:rsid w:val="001D6CC0"/>
    <w:rsid w:val="001D70FC"/>
    <w:rsid w:val="001D755B"/>
    <w:rsid w:val="001D7995"/>
    <w:rsid w:val="001D7F80"/>
    <w:rsid w:val="001E03E0"/>
    <w:rsid w:val="001E045B"/>
    <w:rsid w:val="001E067F"/>
    <w:rsid w:val="001E075C"/>
    <w:rsid w:val="001E082D"/>
    <w:rsid w:val="001E0AEF"/>
    <w:rsid w:val="001E0DD2"/>
    <w:rsid w:val="001E15C2"/>
    <w:rsid w:val="001E16D3"/>
    <w:rsid w:val="001E1812"/>
    <w:rsid w:val="001E1B4C"/>
    <w:rsid w:val="001E1C66"/>
    <w:rsid w:val="001E1E09"/>
    <w:rsid w:val="001E1FB2"/>
    <w:rsid w:val="001E2344"/>
    <w:rsid w:val="001E25BB"/>
    <w:rsid w:val="001E25D9"/>
    <w:rsid w:val="001E27F2"/>
    <w:rsid w:val="001E2C3A"/>
    <w:rsid w:val="001E2C53"/>
    <w:rsid w:val="001E2CE1"/>
    <w:rsid w:val="001E2DC5"/>
    <w:rsid w:val="001E2E85"/>
    <w:rsid w:val="001E32FA"/>
    <w:rsid w:val="001E3C0A"/>
    <w:rsid w:val="001E3D88"/>
    <w:rsid w:val="001E3F3D"/>
    <w:rsid w:val="001E40B7"/>
    <w:rsid w:val="001E4113"/>
    <w:rsid w:val="001E4448"/>
    <w:rsid w:val="001E4DC3"/>
    <w:rsid w:val="001E4ED5"/>
    <w:rsid w:val="001E4F7D"/>
    <w:rsid w:val="001E5284"/>
    <w:rsid w:val="001E57BF"/>
    <w:rsid w:val="001E5B27"/>
    <w:rsid w:val="001E5DA1"/>
    <w:rsid w:val="001E5F94"/>
    <w:rsid w:val="001E62E7"/>
    <w:rsid w:val="001E6432"/>
    <w:rsid w:val="001E64AF"/>
    <w:rsid w:val="001E6948"/>
    <w:rsid w:val="001E694A"/>
    <w:rsid w:val="001E6A0B"/>
    <w:rsid w:val="001E6B15"/>
    <w:rsid w:val="001E6F19"/>
    <w:rsid w:val="001E7041"/>
    <w:rsid w:val="001E70B5"/>
    <w:rsid w:val="001E7607"/>
    <w:rsid w:val="001E77CA"/>
    <w:rsid w:val="001E788A"/>
    <w:rsid w:val="001E7899"/>
    <w:rsid w:val="001E78D2"/>
    <w:rsid w:val="001E7D6F"/>
    <w:rsid w:val="001E7E18"/>
    <w:rsid w:val="001E7EB4"/>
    <w:rsid w:val="001F05FB"/>
    <w:rsid w:val="001F07AE"/>
    <w:rsid w:val="001F0A1B"/>
    <w:rsid w:val="001F0A38"/>
    <w:rsid w:val="001F0B6B"/>
    <w:rsid w:val="001F0EE7"/>
    <w:rsid w:val="001F0FC0"/>
    <w:rsid w:val="001F11F1"/>
    <w:rsid w:val="001F19FF"/>
    <w:rsid w:val="001F204B"/>
    <w:rsid w:val="001F23EA"/>
    <w:rsid w:val="001F23EB"/>
    <w:rsid w:val="001F29E5"/>
    <w:rsid w:val="001F2B70"/>
    <w:rsid w:val="001F2BE3"/>
    <w:rsid w:val="001F2DAE"/>
    <w:rsid w:val="001F316A"/>
    <w:rsid w:val="001F32E4"/>
    <w:rsid w:val="001F353C"/>
    <w:rsid w:val="001F3653"/>
    <w:rsid w:val="001F3687"/>
    <w:rsid w:val="001F36E2"/>
    <w:rsid w:val="001F3884"/>
    <w:rsid w:val="001F4353"/>
    <w:rsid w:val="001F4949"/>
    <w:rsid w:val="001F4CFD"/>
    <w:rsid w:val="001F4D78"/>
    <w:rsid w:val="001F4EB1"/>
    <w:rsid w:val="001F5734"/>
    <w:rsid w:val="001F5A84"/>
    <w:rsid w:val="001F6062"/>
    <w:rsid w:val="001F661D"/>
    <w:rsid w:val="001F6B29"/>
    <w:rsid w:val="001F6C6F"/>
    <w:rsid w:val="001F6D06"/>
    <w:rsid w:val="001F6F48"/>
    <w:rsid w:val="001F73CC"/>
    <w:rsid w:val="001F7616"/>
    <w:rsid w:val="001F780F"/>
    <w:rsid w:val="001F790B"/>
    <w:rsid w:val="001F7AAA"/>
    <w:rsid w:val="001F7B9F"/>
    <w:rsid w:val="001F7DC2"/>
    <w:rsid w:val="001F7E9F"/>
    <w:rsid w:val="002008DF"/>
    <w:rsid w:val="002010BD"/>
    <w:rsid w:val="00201324"/>
    <w:rsid w:val="00201601"/>
    <w:rsid w:val="00201647"/>
    <w:rsid w:val="00201B1A"/>
    <w:rsid w:val="0020226D"/>
    <w:rsid w:val="00202700"/>
    <w:rsid w:val="0020277F"/>
    <w:rsid w:val="00202A08"/>
    <w:rsid w:val="00202F28"/>
    <w:rsid w:val="002033FF"/>
    <w:rsid w:val="002034BC"/>
    <w:rsid w:val="00203513"/>
    <w:rsid w:val="0020377F"/>
    <w:rsid w:val="00203819"/>
    <w:rsid w:val="00203868"/>
    <w:rsid w:val="00203941"/>
    <w:rsid w:val="00203B02"/>
    <w:rsid w:val="00203CE7"/>
    <w:rsid w:val="00203F9A"/>
    <w:rsid w:val="00204617"/>
    <w:rsid w:val="00204947"/>
    <w:rsid w:val="002052AE"/>
    <w:rsid w:val="0020587C"/>
    <w:rsid w:val="002058BC"/>
    <w:rsid w:val="00205F07"/>
    <w:rsid w:val="00205FC9"/>
    <w:rsid w:val="00206889"/>
    <w:rsid w:val="002068CE"/>
    <w:rsid w:val="00206B14"/>
    <w:rsid w:val="00206C37"/>
    <w:rsid w:val="00206D24"/>
    <w:rsid w:val="00206E59"/>
    <w:rsid w:val="0020702F"/>
    <w:rsid w:val="002072DE"/>
    <w:rsid w:val="002073EF"/>
    <w:rsid w:val="002074A3"/>
    <w:rsid w:val="002075EE"/>
    <w:rsid w:val="002076B6"/>
    <w:rsid w:val="0020772D"/>
    <w:rsid w:val="00207AEA"/>
    <w:rsid w:val="00207B57"/>
    <w:rsid w:val="0021003C"/>
    <w:rsid w:val="002102E6"/>
    <w:rsid w:val="00210333"/>
    <w:rsid w:val="00210581"/>
    <w:rsid w:val="00210C9D"/>
    <w:rsid w:val="00210D27"/>
    <w:rsid w:val="002115C6"/>
    <w:rsid w:val="00211B85"/>
    <w:rsid w:val="00211C59"/>
    <w:rsid w:val="002125CC"/>
    <w:rsid w:val="002128E7"/>
    <w:rsid w:val="00212CC4"/>
    <w:rsid w:val="00212DC0"/>
    <w:rsid w:val="00212E62"/>
    <w:rsid w:val="00212ED5"/>
    <w:rsid w:val="00213690"/>
    <w:rsid w:val="002137D1"/>
    <w:rsid w:val="00213B69"/>
    <w:rsid w:val="00213CD0"/>
    <w:rsid w:val="00214040"/>
    <w:rsid w:val="00214091"/>
    <w:rsid w:val="002140A5"/>
    <w:rsid w:val="002141B4"/>
    <w:rsid w:val="00214511"/>
    <w:rsid w:val="00214549"/>
    <w:rsid w:val="002147A4"/>
    <w:rsid w:val="0021482F"/>
    <w:rsid w:val="00214B2D"/>
    <w:rsid w:val="00214D65"/>
    <w:rsid w:val="00214F75"/>
    <w:rsid w:val="0021528C"/>
    <w:rsid w:val="0021544F"/>
    <w:rsid w:val="002156ED"/>
    <w:rsid w:val="00215D16"/>
    <w:rsid w:val="00216302"/>
    <w:rsid w:val="0021636E"/>
    <w:rsid w:val="002164C5"/>
    <w:rsid w:val="002164EA"/>
    <w:rsid w:val="00216973"/>
    <w:rsid w:val="00216A0A"/>
    <w:rsid w:val="00216CBE"/>
    <w:rsid w:val="00216D41"/>
    <w:rsid w:val="00216DFF"/>
    <w:rsid w:val="00216E35"/>
    <w:rsid w:val="0021783C"/>
    <w:rsid w:val="00217943"/>
    <w:rsid w:val="0021798C"/>
    <w:rsid w:val="00217A5D"/>
    <w:rsid w:val="00217C72"/>
    <w:rsid w:val="00220606"/>
    <w:rsid w:val="002206DB"/>
    <w:rsid w:val="00220783"/>
    <w:rsid w:val="00220A2B"/>
    <w:rsid w:val="00220A41"/>
    <w:rsid w:val="00220B6E"/>
    <w:rsid w:val="00220DB4"/>
    <w:rsid w:val="00221231"/>
    <w:rsid w:val="00221331"/>
    <w:rsid w:val="00221A80"/>
    <w:rsid w:val="00221F25"/>
    <w:rsid w:val="0022200E"/>
    <w:rsid w:val="00222328"/>
    <w:rsid w:val="002225F1"/>
    <w:rsid w:val="002228B2"/>
    <w:rsid w:val="00223257"/>
    <w:rsid w:val="0022352B"/>
    <w:rsid w:val="00223B71"/>
    <w:rsid w:val="00223EC1"/>
    <w:rsid w:val="0022418B"/>
    <w:rsid w:val="002241D0"/>
    <w:rsid w:val="002242AA"/>
    <w:rsid w:val="00224A66"/>
    <w:rsid w:val="00224B5F"/>
    <w:rsid w:val="00224E05"/>
    <w:rsid w:val="00224E97"/>
    <w:rsid w:val="0022573A"/>
    <w:rsid w:val="002257FC"/>
    <w:rsid w:val="00225800"/>
    <w:rsid w:val="00225AC4"/>
    <w:rsid w:val="00225E8A"/>
    <w:rsid w:val="00225F70"/>
    <w:rsid w:val="002261D7"/>
    <w:rsid w:val="0022622A"/>
    <w:rsid w:val="0022645D"/>
    <w:rsid w:val="0022679E"/>
    <w:rsid w:val="00226F04"/>
    <w:rsid w:val="00227540"/>
    <w:rsid w:val="0022755A"/>
    <w:rsid w:val="0022792C"/>
    <w:rsid w:val="00227936"/>
    <w:rsid w:val="00227D5A"/>
    <w:rsid w:val="00227FFE"/>
    <w:rsid w:val="00230B0E"/>
    <w:rsid w:val="00230BC1"/>
    <w:rsid w:val="00230E7C"/>
    <w:rsid w:val="0023119A"/>
    <w:rsid w:val="002313D9"/>
    <w:rsid w:val="00231813"/>
    <w:rsid w:val="00231B44"/>
    <w:rsid w:val="00231D84"/>
    <w:rsid w:val="00231FBF"/>
    <w:rsid w:val="00232015"/>
    <w:rsid w:val="0023215B"/>
    <w:rsid w:val="00232313"/>
    <w:rsid w:val="002323F8"/>
    <w:rsid w:val="002325AA"/>
    <w:rsid w:val="00232E62"/>
    <w:rsid w:val="002335B9"/>
    <w:rsid w:val="00233FE3"/>
    <w:rsid w:val="002345E5"/>
    <w:rsid w:val="00234800"/>
    <w:rsid w:val="0023488B"/>
    <w:rsid w:val="00234C52"/>
    <w:rsid w:val="00234F7D"/>
    <w:rsid w:val="0023503C"/>
    <w:rsid w:val="00235196"/>
    <w:rsid w:val="00235226"/>
    <w:rsid w:val="002352C4"/>
    <w:rsid w:val="00235724"/>
    <w:rsid w:val="00235903"/>
    <w:rsid w:val="00235BA2"/>
    <w:rsid w:val="00235F91"/>
    <w:rsid w:val="0023607C"/>
    <w:rsid w:val="00236081"/>
    <w:rsid w:val="00236234"/>
    <w:rsid w:val="0023644A"/>
    <w:rsid w:val="002364B4"/>
    <w:rsid w:val="00236702"/>
    <w:rsid w:val="00236D84"/>
    <w:rsid w:val="00236E0F"/>
    <w:rsid w:val="00236E7F"/>
    <w:rsid w:val="0023704F"/>
    <w:rsid w:val="00237369"/>
    <w:rsid w:val="00237372"/>
    <w:rsid w:val="00237706"/>
    <w:rsid w:val="00237AA7"/>
    <w:rsid w:val="00237C4E"/>
    <w:rsid w:val="00240115"/>
    <w:rsid w:val="00240381"/>
    <w:rsid w:val="0024127C"/>
    <w:rsid w:val="00241603"/>
    <w:rsid w:val="002416AE"/>
    <w:rsid w:val="00241F64"/>
    <w:rsid w:val="002421C7"/>
    <w:rsid w:val="002423EB"/>
    <w:rsid w:val="00242904"/>
    <w:rsid w:val="00242B83"/>
    <w:rsid w:val="002431F9"/>
    <w:rsid w:val="002435F5"/>
    <w:rsid w:val="0024400B"/>
    <w:rsid w:val="002443C0"/>
    <w:rsid w:val="00244597"/>
    <w:rsid w:val="00244853"/>
    <w:rsid w:val="00244983"/>
    <w:rsid w:val="002449C0"/>
    <w:rsid w:val="00244D1F"/>
    <w:rsid w:val="00244E51"/>
    <w:rsid w:val="00245288"/>
    <w:rsid w:val="002452E1"/>
    <w:rsid w:val="00245696"/>
    <w:rsid w:val="00245992"/>
    <w:rsid w:val="00245CE6"/>
    <w:rsid w:val="00246153"/>
    <w:rsid w:val="002463BF"/>
    <w:rsid w:val="002463E0"/>
    <w:rsid w:val="002467AB"/>
    <w:rsid w:val="00246805"/>
    <w:rsid w:val="00246BFC"/>
    <w:rsid w:val="00246C6D"/>
    <w:rsid w:val="00246F7D"/>
    <w:rsid w:val="002470BE"/>
    <w:rsid w:val="002471F3"/>
    <w:rsid w:val="002472F0"/>
    <w:rsid w:val="0024732C"/>
    <w:rsid w:val="00247384"/>
    <w:rsid w:val="0024767B"/>
    <w:rsid w:val="00247B83"/>
    <w:rsid w:val="00247CBF"/>
    <w:rsid w:val="00247DE9"/>
    <w:rsid w:val="002502C8"/>
    <w:rsid w:val="002505E0"/>
    <w:rsid w:val="002509F3"/>
    <w:rsid w:val="00250AF0"/>
    <w:rsid w:val="00250C14"/>
    <w:rsid w:val="00250CCF"/>
    <w:rsid w:val="00250E19"/>
    <w:rsid w:val="00250E2D"/>
    <w:rsid w:val="00250FC3"/>
    <w:rsid w:val="00251035"/>
    <w:rsid w:val="00251335"/>
    <w:rsid w:val="0025164F"/>
    <w:rsid w:val="00251BF9"/>
    <w:rsid w:val="00251FB9"/>
    <w:rsid w:val="002521BB"/>
    <w:rsid w:val="002521C4"/>
    <w:rsid w:val="002528B2"/>
    <w:rsid w:val="00252BB9"/>
    <w:rsid w:val="0025342C"/>
    <w:rsid w:val="0025383D"/>
    <w:rsid w:val="002538EB"/>
    <w:rsid w:val="002538FB"/>
    <w:rsid w:val="0025394F"/>
    <w:rsid w:val="00253E1D"/>
    <w:rsid w:val="00254008"/>
    <w:rsid w:val="0025470A"/>
    <w:rsid w:val="00254E27"/>
    <w:rsid w:val="00254EEC"/>
    <w:rsid w:val="0025543B"/>
    <w:rsid w:val="00255562"/>
    <w:rsid w:val="00255641"/>
    <w:rsid w:val="002557B4"/>
    <w:rsid w:val="002559B2"/>
    <w:rsid w:val="00255CC8"/>
    <w:rsid w:val="00255E68"/>
    <w:rsid w:val="002561BE"/>
    <w:rsid w:val="00256475"/>
    <w:rsid w:val="00256600"/>
    <w:rsid w:val="0025663F"/>
    <w:rsid w:val="002568BC"/>
    <w:rsid w:val="00257165"/>
    <w:rsid w:val="0025738C"/>
    <w:rsid w:val="002578FE"/>
    <w:rsid w:val="002600B8"/>
    <w:rsid w:val="002603A6"/>
    <w:rsid w:val="0026079B"/>
    <w:rsid w:val="00260D0A"/>
    <w:rsid w:val="00260E74"/>
    <w:rsid w:val="00260EC4"/>
    <w:rsid w:val="002613CE"/>
    <w:rsid w:val="002615E2"/>
    <w:rsid w:val="002616CA"/>
    <w:rsid w:val="002616F5"/>
    <w:rsid w:val="00261D54"/>
    <w:rsid w:val="00261DB0"/>
    <w:rsid w:val="00262421"/>
    <w:rsid w:val="00262891"/>
    <w:rsid w:val="00262B02"/>
    <w:rsid w:val="00262B36"/>
    <w:rsid w:val="00262E0E"/>
    <w:rsid w:val="00262E2F"/>
    <w:rsid w:val="00262F69"/>
    <w:rsid w:val="002630DB"/>
    <w:rsid w:val="00263331"/>
    <w:rsid w:val="00263386"/>
    <w:rsid w:val="002634A6"/>
    <w:rsid w:val="00263755"/>
    <w:rsid w:val="00263CF4"/>
    <w:rsid w:val="00263D80"/>
    <w:rsid w:val="0026442D"/>
    <w:rsid w:val="00264625"/>
    <w:rsid w:val="0026535F"/>
    <w:rsid w:val="002656F8"/>
    <w:rsid w:val="00265BEB"/>
    <w:rsid w:val="00265BF5"/>
    <w:rsid w:val="00265C4A"/>
    <w:rsid w:val="00265C6D"/>
    <w:rsid w:val="0026623A"/>
    <w:rsid w:val="002662A4"/>
    <w:rsid w:val="002663CF"/>
    <w:rsid w:val="002665B4"/>
    <w:rsid w:val="00266676"/>
    <w:rsid w:val="00266A34"/>
    <w:rsid w:val="00266B02"/>
    <w:rsid w:val="00266B1E"/>
    <w:rsid w:val="00266D99"/>
    <w:rsid w:val="00266E79"/>
    <w:rsid w:val="002670A5"/>
    <w:rsid w:val="0026761D"/>
    <w:rsid w:val="00267866"/>
    <w:rsid w:val="0026786E"/>
    <w:rsid w:val="00267A6A"/>
    <w:rsid w:val="00267BCF"/>
    <w:rsid w:val="00267CFF"/>
    <w:rsid w:val="00267D18"/>
    <w:rsid w:val="00267F9A"/>
    <w:rsid w:val="002700F3"/>
    <w:rsid w:val="00270113"/>
    <w:rsid w:val="0027036C"/>
    <w:rsid w:val="002703BF"/>
    <w:rsid w:val="002706D3"/>
    <w:rsid w:val="00271251"/>
    <w:rsid w:val="00271665"/>
    <w:rsid w:val="00271851"/>
    <w:rsid w:val="00271975"/>
    <w:rsid w:val="00271B3A"/>
    <w:rsid w:val="00271DC6"/>
    <w:rsid w:val="00271E4A"/>
    <w:rsid w:val="00271EE7"/>
    <w:rsid w:val="00271F15"/>
    <w:rsid w:val="00272095"/>
    <w:rsid w:val="00272233"/>
    <w:rsid w:val="002723FA"/>
    <w:rsid w:val="00272C6B"/>
    <w:rsid w:val="00272D07"/>
    <w:rsid w:val="00272D2E"/>
    <w:rsid w:val="00272D3B"/>
    <w:rsid w:val="00273190"/>
    <w:rsid w:val="0027320E"/>
    <w:rsid w:val="002732B5"/>
    <w:rsid w:val="002732E5"/>
    <w:rsid w:val="002736E1"/>
    <w:rsid w:val="00273856"/>
    <w:rsid w:val="00273CBA"/>
    <w:rsid w:val="00273EB0"/>
    <w:rsid w:val="00273EB3"/>
    <w:rsid w:val="00274031"/>
    <w:rsid w:val="002740CE"/>
    <w:rsid w:val="002743D9"/>
    <w:rsid w:val="00274893"/>
    <w:rsid w:val="0027499A"/>
    <w:rsid w:val="00274BBF"/>
    <w:rsid w:val="00274E32"/>
    <w:rsid w:val="00274F7C"/>
    <w:rsid w:val="0027575D"/>
    <w:rsid w:val="002758B0"/>
    <w:rsid w:val="00275B12"/>
    <w:rsid w:val="00275BAD"/>
    <w:rsid w:val="002760B1"/>
    <w:rsid w:val="00276365"/>
    <w:rsid w:val="0027639C"/>
    <w:rsid w:val="00276A75"/>
    <w:rsid w:val="00276C2E"/>
    <w:rsid w:val="00276D12"/>
    <w:rsid w:val="00277031"/>
    <w:rsid w:val="002770F0"/>
    <w:rsid w:val="0027781F"/>
    <w:rsid w:val="0027799C"/>
    <w:rsid w:val="00277B90"/>
    <w:rsid w:val="00277CED"/>
    <w:rsid w:val="00277E4A"/>
    <w:rsid w:val="00277EC4"/>
    <w:rsid w:val="0028005A"/>
    <w:rsid w:val="00280076"/>
    <w:rsid w:val="0028047D"/>
    <w:rsid w:val="00280620"/>
    <w:rsid w:val="00280E3B"/>
    <w:rsid w:val="002810AA"/>
    <w:rsid w:val="00281373"/>
    <w:rsid w:val="00281472"/>
    <w:rsid w:val="002814BB"/>
    <w:rsid w:val="00281946"/>
    <w:rsid w:val="0028196E"/>
    <w:rsid w:val="002819D0"/>
    <w:rsid w:val="00281B32"/>
    <w:rsid w:val="00282153"/>
    <w:rsid w:val="0028282F"/>
    <w:rsid w:val="0028289A"/>
    <w:rsid w:val="0028308B"/>
    <w:rsid w:val="0028348D"/>
    <w:rsid w:val="00283665"/>
    <w:rsid w:val="00283BD0"/>
    <w:rsid w:val="00283BDB"/>
    <w:rsid w:val="00283E5F"/>
    <w:rsid w:val="0028412A"/>
    <w:rsid w:val="002841AC"/>
    <w:rsid w:val="0028427B"/>
    <w:rsid w:val="00284312"/>
    <w:rsid w:val="00284392"/>
    <w:rsid w:val="0028496B"/>
    <w:rsid w:val="00284DBC"/>
    <w:rsid w:val="00284E90"/>
    <w:rsid w:val="002852DB"/>
    <w:rsid w:val="002853FC"/>
    <w:rsid w:val="002859F8"/>
    <w:rsid w:val="00285C78"/>
    <w:rsid w:val="00285C94"/>
    <w:rsid w:val="00285CA4"/>
    <w:rsid w:val="00285D07"/>
    <w:rsid w:val="00286061"/>
    <w:rsid w:val="0028622B"/>
    <w:rsid w:val="00286427"/>
    <w:rsid w:val="002867BE"/>
    <w:rsid w:val="002867F4"/>
    <w:rsid w:val="002868FE"/>
    <w:rsid w:val="00286C2A"/>
    <w:rsid w:val="00286D6A"/>
    <w:rsid w:val="00286D78"/>
    <w:rsid w:val="002872B8"/>
    <w:rsid w:val="00287525"/>
    <w:rsid w:val="002875B7"/>
    <w:rsid w:val="00287F68"/>
    <w:rsid w:val="00287FAA"/>
    <w:rsid w:val="0029006D"/>
    <w:rsid w:val="00290124"/>
    <w:rsid w:val="00290279"/>
    <w:rsid w:val="0029071C"/>
    <w:rsid w:val="00290761"/>
    <w:rsid w:val="0029089C"/>
    <w:rsid w:val="00290A66"/>
    <w:rsid w:val="00290BF6"/>
    <w:rsid w:val="00290C2B"/>
    <w:rsid w:val="00290DBB"/>
    <w:rsid w:val="00290F34"/>
    <w:rsid w:val="002914EF"/>
    <w:rsid w:val="002916B1"/>
    <w:rsid w:val="002919A6"/>
    <w:rsid w:val="00291A84"/>
    <w:rsid w:val="00291ADC"/>
    <w:rsid w:val="00291C87"/>
    <w:rsid w:val="00291DAA"/>
    <w:rsid w:val="00291F1F"/>
    <w:rsid w:val="00292037"/>
    <w:rsid w:val="002924C2"/>
    <w:rsid w:val="0029273F"/>
    <w:rsid w:val="00292A9A"/>
    <w:rsid w:val="00293387"/>
    <w:rsid w:val="00293753"/>
    <w:rsid w:val="00293844"/>
    <w:rsid w:val="00293FE5"/>
    <w:rsid w:val="002946A5"/>
    <w:rsid w:val="0029491D"/>
    <w:rsid w:val="00294C24"/>
    <w:rsid w:val="00294DAA"/>
    <w:rsid w:val="00294E2F"/>
    <w:rsid w:val="00294F35"/>
    <w:rsid w:val="002953EC"/>
    <w:rsid w:val="0029545B"/>
    <w:rsid w:val="00296032"/>
    <w:rsid w:val="002960B8"/>
    <w:rsid w:val="00296895"/>
    <w:rsid w:val="00296C47"/>
    <w:rsid w:val="00296CBB"/>
    <w:rsid w:val="00296CBD"/>
    <w:rsid w:val="00296D38"/>
    <w:rsid w:val="00296EBD"/>
    <w:rsid w:val="00296F85"/>
    <w:rsid w:val="00297096"/>
    <w:rsid w:val="002976C1"/>
    <w:rsid w:val="002976C3"/>
    <w:rsid w:val="00297824"/>
    <w:rsid w:val="00297926"/>
    <w:rsid w:val="00297C7E"/>
    <w:rsid w:val="00297F6D"/>
    <w:rsid w:val="002A0038"/>
    <w:rsid w:val="002A0709"/>
    <w:rsid w:val="002A0752"/>
    <w:rsid w:val="002A09C6"/>
    <w:rsid w:val="002A124D"/>
    <w:rsid w:val="002A1297"/>
    <w:rsid w:val="002A1504"/>
    <w:rsid w:val="002A156A"/>
    <w:rsid w:val="002A17CB"/>
    <w:rsid w:val="002A1C1D"/>
    <w:rsid w:val="002A1CB9"/>
    <w:rsid w:val="002A1D7E"/>
    <w:rsid w:val="002A2018"/>
    <w:rsid w:val="002A217F"/>
    <w:rsid w:val="002A2213"/>
    <w:rsid w:val="002A22BD"/>
    <w:rsid w:val="002A2424"/>
    <w:rsid w:val="002A24E9"/>
    <w:rsid w:val="002A29FD"/>
    <w:rsid w:val="002A2B2F"/>
    <w:rsid w:val="002A2B6A"/>
    <w:rsid w:val="002A2C71"/>
    <w:rsid w:val="002A2FB6"/>
    <w:rsid w:val="002A3030"/>
    <w:rsid w:val="002A395B"/>
    <w:rsid w:val="002A3C8D"/>
    <w:rsid w:val="002A3CA3"/>
    <w:rsid w:val="002A3EAD"/>
    <w:rsid w:val="002A453D"/>
    <w:rsid w:val="002A4553"/>
    <w:rsid w:val="002A4575"/>
    <w:rsid w:val="002A4713"/>
    <w:rsid w:val="002A47E0"/>
    <w:rsid w:val="002A48A8"/>
    <w:rsid w:val="002A4CBF"/>
    <w:rsid w:val="002A4EA1"/>
    <w:rsid w:val="002A4EA9"/>
    <w:rsid w:val="002A5618"/>
    <w:rsid w:val="002A5665"/>
    <w:rsid w:val="002A56D5"/>
    <w:rsid w:val="002A5CA8"/>
    <w:rsid w:val="002A5E19"/>
    <w:rsid w:val="002A602D"/>
    <w:rsid w:val="002A63A7"/>
    <w:rsid w:val="002A647D"/>
    <w:rsid w:val="002A667A"/>
    <w:rsid w:val="002A68FA"/>
    <w:rsid w:val="002A6C16"/>
    <w:rsid w:val="002A6C1C"/>
    <w:rsid w:val="002A6DAC"/>
    <w:rsid w:val="002A6DFB"/>
    <w:rsid w:val="002A6F29"/>
    <w:rsid w:val="002A7499"/>
    <w:rsid w:val="002A7827"/>
    <w:rsid w:val="002A7A4B"/>
    <w:rsid w:val="002A7D4C"/>
    <w:rsid w:val="002A7E76"/>
    <w:rsid w:val="002B03B1"/>
    <w:rsid w:val="002B046D"/>
    <w:rsid w:val="002B0755"/>
    <w:rsid w:val="002B07BF"/>
    <w:rsid w:val="002B09E2"/>
    <w:rsid w:val="002B0B2F"/>
    <w:rsid w:val="002B0C22"/>
    <w:rsid w:val="002B0CBF"/>
    <w:rsid w:val="002B0EC4"/>
    <w:rsid w:val="002B1E73"/>
    <w:rsid w:val="002B1FB2"/>
    <w:rsid w:val="002B22BB"/>
    <w:rsid w:val="002B22C3"/>
    <w:rsid w:val="002B257F"/>
    <w:rsid w:val="002B2666"/>
    <w:rsid w:val="002B26A8"/>
    <w:rsid w:val="002B27CF"/>
    <w:rsid w:val="002B29EB"/>
    <w:rsid w:val="002B2AF8"/>
    <w:rsid w:val="002B2C4D"/>
    <w:rsid w:val="002B2FDB"/>
    <w:rsid w:val="002B320E"/>
    <w:rsid w:val="002B332D"/>
    <w:rsid w:val="002B3369"/>
    <w:rsid w:val="002B3662"/>
    <w:rsid w:val="002B3A2D"/>
    <w:rsid w:val="002B3CC3"/>
    <w:rsid w:val="002B3E0C"/>
    <w:rsid w:val="002B3FAD"/>
    <w:rsid w:val="002B4060"/>
    <w:rsid w:val="002B40A5"/>
    <w:rsid w:val="002B443F"/>
    <w:rsid w:val="002B4655"/>
    <w:rsid w:val="002B4747"/>
    <w:rsid w:val="002B4A0E"/>
    <w:rsid w:val="002B4A30"/>
    <w:rsid w:val="002B4CB2"/>
    <w:rsid w:val="002B4CD6"/>
    <w:rsid w:val="002B4D09"/>
    <w:rsid w:val="002B4D55"/>
    <w:rsid w:val="002B4D90"/>
    <w:rsid w:val="002B5505"/>
    <w:rsid w:val="002B5E13"/>
    <w:rsid w:val="002B5EF4"/>
    <w:rsid w:val="002B5F4B"/>
    <w:rsid w:val="002B6502"/>
    <w:rsid w:val="002B66DB"/>
    <w:rsid w:val="002B7032"/>
    <w:rsid w:val="002B71B7"/>
    <w:rsid w:val="002B73A1"/>
    <w:rsid w:val="002B781C"/>
    <w:rsid w:val="002B7845"/>
    <w:rsid w:val="002B795B"/>
    <w:rsid w:val="002B7D29"/>
    <w:rsid w:val="002C0180"/>
    <w:rsid w:val="002C01B3"/>
    <w:rsid w:val="002C02BB"/>
    <w:rsid w:val="002C031F"/>
    <w:rsid w:val="002C0446"/>
    <w:rsid w:val="002C0A96"/>
    <w:rsid w:val="002C0ADB"/>
    <w:rsid w:val="002C0B7B"/>
    <w:rsid w:val="002C0B8C"/>
    <w:rsid w:val="002C1535"/>
    <w:rsid w:val="002C160A"/>
    <w:rsid w:val="002C16FE"/>
    <w:rsid w:val="002C170F"/>
    <w:rsid w:val="002C1786"/>
    <w:rsid w:val="002C1E76"/>
    <w:rsid w:val="002C1ED0"/>
    <w:rsid w:val="002C2294"/>
    <w:rsid w:val="002C26A2"/>
    <w:rsid w:val="002C2B67"/>
    <w:rsid w:val="002C2BFA"/>
    <w:rsid w:val="002C2D77"/>
    <w:rsid w:val="002C2EBE"/>
    <w:rsid w:val="002C2FB6"/>
    <w:rsid w:val="002C3173"/>
    <w:rsid w:val="002C3398"/>
    <w:rsid w:val="002C37A3"/>
    <w:rsid w:val="002C37D3"/>
    <w:rsid w:val="002C37E5"/>
    <w:rsid w:val="002C38FD"/>
    <w:rsid w:val="002C3CAE"/>
    <w:rsid w:val="002C3D4F"/>
    <w:rsid w:val="002C3DB6"/>
    <w:rsid w:val="002C41B0"/>
    <w:rsid w:val="002C4427"/>
    <w:rsid w:val="002C4756"/>
    <w:rsid w:val="002C4A5F"/>
    <w:rsid w:val="002C5082"/>
    <w:rsid w:val="002C508D"/>
    <w:rsid w:val="002C52D4"/>
    <w:rsid w:val="002C5670"/>
    <w:rsid w:val="002C5741"/>
    <w:rsid w:val="002C596F"/>
    <w:rsid w:val="002C5C6A"/>
    <w:rsid w:val="002C5EB9"/>
    <w:rsid w:val="002C6272"/>
    <w:rsid w:val="002C63E9"/>
    <w:rsid w:val="002C6D9A"/>
    <w:rsid w:val="002C6E72"/>
    <w:rsid w:val="002C6F0E"/>
    <w:rsid w:val="002C6F27"/>
    <w:rsid w:val="002C756D"/>
    <w:rsid w:val="002C771B"/>
    <w:rsid w:val="002C794C"/>
    <w:rsid w:val="002C7D41"/>
    <w:rsid w:val="002C7DA0"/>
    <w:rsid w:val="002D044B"/>
    <w:rsid w:val="002D0A84"/>
    <w:rsid w:val="002D0B6A"/>
    <w:rsid w:val="002D14DD"/>
    <w:rsid w:val="002D151F"/>
    <w:rsid w:val="002D1886"/>
    <w:rsid w:val="002D1958"/>
    <w:rsid w:val="002D1CC6"/>
    <w:rsid w:val="002D1D7B"/>
    <w:rsid w:val="002D1F2A"/>
    <w:rsid w:val="002D20E9"/>
    <w:rsid w:val="002D2420"/>
    <w:rsid w:val="002D2637"/>
    <w:rsid w:val="002D2911"/>
    <w:rsid w:val="002D297B"/>
    <w:rsid w:val="002D2B6B"/>
    <w:rsid w:val="002D2CE9"/>
    <w:rsid w:val="002D32FC"/>
    <w:rsid w:val="002D3606"/>
    <w:rsid w:val="002D3611"/>
    <w:rsid w:val="002D3644"/>
    <w:rsid w:val="002D3B42"/>
    <w:rsid w:val="002D3F98"/>
    <w:rsid w:val="002D4072"/>
    <w:rsid w:val="002D4164"/>
    <w:rsid w:val="002D426A"/>
    <w:rsid w:val="002D4546"/>
    <w:rsid w:val="002D4629"/>
    <w:rsid w:val="002D49C1"/>
    <w:rsid w:val="002D526B"/>
    <w:rsid w:val="002D58AD"/>
    <w:rsid w:val="002D5AEC"/>
    <w:rsid w:val="002D5BB8"/>
    <w:rsid w:val="002D5BE1"/>
    <w:rsid w:val="002D5C02"/>
    <w:rsid w:val="002D5C51"/>
    <w:rsid w:val="002D6029"/>
    <w:rsid w:val="002D60C6"/>
    <w:rsid w:val="002D66B3"/>
    <w:rsid w:val="002D67C9"/>
    <w:rsid w:val="002D67DB"/>
    <w:rsid w:val="002D694C"/>
    <w:rsid w:val="002D6ADD"/>
    <w:rsid w:val="002D6EDE"/>
    <w:rsid w:val="002D72A4"/>
    <w:rsid w:val="002D73F6"/>
    <w:rsid w:val="002D771A"/>
    <w:rsid w:val="002E0341"/>
    <w:rsid w:val="002E0ED9"/>
    <w:rsid w:val="002E14A5"/>
    <w:rsid w:val="002E156E"/>
    <w:rsid w:val="002E17E1"/>
    <w:rsid w:val="002E1AE0"/>
    <w:rsid w:val="002E1BCE"/>
    <w:rsid w:val="002E1C8F"/>
    <w:rsid w:val="002E1FE7"/>
    <w:rsid w:val="002E24AB"/>
    <w:rsid w:val="002E2B02"/>
    <w:rsid w:val="002E2B52"/>
    <w:rsid w:val="002E305A"/>
    <w:rsid w:val="002E3234"/>
    <w:rsid w:val="002E3806"/>
    <w:rsid w:val="002E38F1"/>
    <w:rsid w:val="002E395F"/>
    <w:rsid w:val="002E3BAE"/>
    <w:rsid w:val="002E3CFB"/>
    <w:rsid w:val="002E3D1A"/>
    <w:rsid w:val="002E44C0"/>
    <w:rsid w:val="002E45B5"/>
    <w:rsid w:val="002E4CB5"/>
    <w:rsid w:val="002E4F3B"/>
    <w:rsid w:val="002E5742"/>
    <w:rsid w:val="002E5847"/>
    <w:rsid w:val="002E58B2"/>
    <w:rsid w:val="002E5FAB"/>
    <w:rsid w:val="002E6020"/>
    <w:rsid w:val="002E6108"/>
    <w:rsid w:val="002E617F"/>
    <w:rsid w:val="002E623C"/>
    <w:rsid w:val="002E6682"/>
    <w:rsid w:val="002E6792"/>
    <w:rsid w:val="002E6E51"/>
    <w:rsid w:val="002E6EC3"/>
    <w:rsid w:val="002E6F86"/>
    <w:rsid w:val="002E76B1"/>
    <w:rsid w:val="002E7789"/>
    <w:rsid w:val="002E7899"/>
    <w:rsid w:val="002E7AB2"/>
    <w:rsid w:val="002E7D69"/>
    <w:rsid w:val="002F02EE"/>
    <w:rsid w:val="002F0392"/>
    <w:rsid w:val="002F08C6"/>
    <w:rsid w:val="002F0A1F"/>
    <w:rsid w:val="002F0A42"/>
    <w:rsid w:val="002F0AAB"/>
    <w:rsid w:val="002F0C9C"/>
    <w:rsid w:val="002F105F"/>
    <w:rsid w:val="002F1494"/>
    <w:rsid w:val="002F155A"/>
    <w:rsid w:val="002F16A5"/>
    <w:rsid w:val="002F2075"/>
    <w:rsid w:val="002F2344"/>
    <w:rsid w:val="002F238C"/>
    <w:rsid w:val="002F2AA2"/>
    <w:rsid w:val="002F2C44"/>
    <w:rsid w:val="002F2DEB"/>
    <w:rsid w:val="002F3133"/>
    <w:rsid w:val="002F3331"/>
    <w:rsid w:val="002F33A6"/>
    <w:rsid w:val="002F3506"/>
    <w:rsid w:val="002F35A0"/>
    <w:rsid w:val="002F3686"/>
    <w:rsid w:val="002F39BB"/>
    <w:rsid w:val="002F3AF0"/>
    <w:rsid w:val="002F3D60"/>
    <w:rsid w:val="002F41CA"/>
    <w:rsid w:val="002F45A3"/>
    <w:rsid w:val="002F4902"/>
    <w:rsid w:val="002F49CF"/>
    <w:rsid w:val="002F4E48"/>
    <w:rsid w:val="002F5269"/>
    <w:rsid w:val="002F56DA"/>
    <w:rsid w:val="002F5D83"/>
    <w:rsid w:val="002F6000"/>
    <w:rsid w:val="002F6152"/>
    <w:rsid w:val="002F6423"/>
    <w:rsid w:val="002F66C4"/>
    <w:rsid w:val="002F6B55"/>
    <w:rsid w:val="002F6F8A"/>
    <w:rsid w:val="002F7016"/>
    <w:rsid w:val="002F703F"/>
    <w:rsid w:val="002F7157"/>
    <w:rsid w:val="002F7410"/>
    <w:rsid w:val="002F7601"/>
    <w:rsid w:val="002F784B"/>
    <w:rsid w:val="002F7D33"/>
    <w:rsid w:val="0030019D"/>
    <w:rsid w:val="003001B6"/>
    <w:rsid w:val="0030045E"/>
    <w:rsid w:val="003006CC"/>
    <w:rsid w:val="003007A6"/>
    <w:rsid w:val="00300A2F"/>
    <w:rsid w:val="00300A42"/>
    <w:rsid w:val="00300B97"/>
    <w:rsid w:val="00300BEB"/>
    <w:rsid w:val="00300D44"/>
    <w:rsid w:val="003010A2"/>
    <w:rsid w:val="00301250"/>
    <w:rsid w:val="00301278"/>
    <w:rsid w:val="003013B4"/>
    <w:rsid w:val="00301709"/>
    <w:rsid w:val="00301848"/>
    <w:rsid w:val="00301D9F"/>
    <w:rsid w:val="0030282E"/>
    <w:rsid w:val="00302A52"/>
    <w:rsid w:val="00302F45"/>
    <w:rsid w:val="00302F7F"/>
    <w:rsid w:val="00303323"/>
    <w:rsid w:val="00303426"/>
    <w:rsid w:val="00303512"/>
    <w:rsid w:val="00303C0E"/>
    <w:rsid w:val="00303D73"/>
    <w:rsid w:val="00303E85"/>
    <w:rsid w:val="00303EDE"/>
    <w:rsid w:val="003040BF"/>
    <w:rsid w:val="00304599"/>
    <w:rsid w:val="00304A94"/>
    <w:rsid w:val="00304C19"/>
    <w:rsid w:val="00304C88"/>
    <w:rsid w:val="00304CF3"/>
    <w:rsid w:val="00304D07"/>
    <w:rsid w:val="00304DFC"/>
    <w:rsid w:val="00304F9F"/>
    <w:rsid w:val="00305449"/>
    <w:rsid w:val="0030553E"/>
    <w:rsid w:val="003055AC"/>
    <w:rsid w:val="0030596F"/>
    <w:rsid w:val="00305B02"/>
    <w:rsid w:val="0030603A"/>
    <w:rsid w:val="00306249"/>
    <w:rsid w:val="0030630B"/>
    <w:rsid w:val="003066B0"/>
    <w:rsid w:val="003066B7"/>
    <w:rsid w:val="003069DE"/>
    <w:rsid w:val="00307C3E"/>
    <w:rsid w:val="00307E43"/>
    <w:rsid w:val="0031061A"/>
    <w:rsid w:val="00310EA4"/>
    <w:rsid w:val="00311138"/>
    <w:rsid w:val="00311321"/>
    <w:rsid w:val="003118E1"/>
    <w:rsid w:val="00312161"/>
    <w:rsid w:val="0031235D"/>
    <w:rsid w:val="003124F7"/>
    <w:rsid w:val="00312952"/>
    <w:rsid w:val="00312D4A"/>
    <w:rsid w:val="00313E8E"/>
    <w:rsid w:val="00313FF1"/>
    <w:rsid w:val="00314086"/>
    <w:rsid w:val="003143BC"/>
    <w:rsid w:val="00314ADF"/>
    <w:rsid w:val="00314B12"/>
    <w:rsid w:val="00314CAC"/>
    <w:rsid w:val="00314E0C"/>
    <w:rsid w:val="003151AE"/>
    <w:rsid w:val="0031526D"/>
    <w:rsid w:val="003152CB"/>
    <w:rsid w:val="0031551E"/>
    <w:rsid w:val="0031589A"/>
    <w:rsid w:val="0031596B"/>
    <w:rsid w:val="00315996"/>
    <w:rsid w:val="00315D2E"/>
    <w:rsid w:val="0031636C"/>
    <w:rsid w:val="003164D8"/>
    <w:rsid w:val="00316617"/>
    <w:rsid w:val="003169EC"/>
    <w:rsid w:val="00316A5E"/>
    <w:rsid w:val="00316DFF"/>
    <w:rsid w:val="0031703B"/>
    <w:rsid w:val="00317101"/>
    <w:rsid w:val="003171AE"/>
    <w:rsid w:val="0031730D"/>
    <w:rsid w:val="003175B6"/>
    <w:rsid w:val="00317A20"/>
    <w:rsid w:val="00320058"/>
    <w:rsid w:val="003200E8"/>
    <w:rsid w:val="00320235"/>
    <w:rsid w:val="00320290"/>
    <w:rsid w:val="003202BC"/>
    <w:rsid w:val="003205A0"/>
    <w:rsid w:val="003206CD"/>
    <w:rsid w:val="003207C7"/>
    <w:rsid w:val="0032082F"/>
    <w:rsid w:val="0032096D"/>
    <w:rsid w:val="00320E0C"/>
    <w:rsid w:val="00320FD1"/>
    <w:rsid w:val="00321205"/>
    <w:rsid w:val="0032122A"/>
    <w:rsid w:val="003212ED"/>
    <w:rsid w:val="003214C5"/>
    <w:rsid w:val="00321631"/>
    <w:rsid w:val="00321E23"/>
    <w:rsid w:val="00321E3A"/>
    <w:rsid w:val="00322172"/>
    <w:rsid w:val="003225E1"/>
    <w:rsid w:val="00322612"/>
    <w:rsid w:val="00322A62"/>
    <w:rsid w:val="00322E7D"/>
    <w:rsid w:val="00322EAF"/>
    <w:rsid w:val="003231BF"/>
    <w:rsid w:val="003238AC"/>
    <w:rsid w:val="00323A82"/>
    <w:rsid w:val="00323B7A"/>
    <w:rsid w:val="00323CE5"/>
    <w:rsid w:val="00323FF2"/>
    <w:rsid w:val="003242F4"/>
    <w:rsid w:val="0032435F"/>
    <w:rsid w:val="00324863"/>
    <w:rsid w:val="00324988"/>
    <w:rsid w:val="00324B36"/>
    <w:rsid w:val="00324D79"/>
    <w:rsid w:val="00324E21"/>
    <w:rsid w:val="00324F27"/>
    <w:rsid w:val="0032505A"/>
    <w:rsid w:val="003252E7"/>
    <w:rsid w:val="003254FF"/>
    <w:rsid w:val="00325919"/>
    <w:rsid w:val="00325B51"/>
    <w:rsid w:val="00325BBB"/>
    <w:rsid w:val="00325CD6"/>
    <w:rsid w:val="0032617A"/>
    <w:rsid w:val="0032644D"/>
    <w:rsid w:val="0032680B"/>
    <w:rsid w:val="00326A2C"/>
    <w:rsid w:val="00326F35"/>
    <w:rsid w:val="00326F56"/>
    <w:rsid w:val="00327659"/>
    <w:rsid w:val="00327A58"/>
    <w:rsid w:val="00327C48"/>
    <w:rsid w:val="00327F71"/>
    <w:rsid w:val="003302D5"/>
    <w:rsid w:val="00330525"/>
    <w:rsid w:val="0033075B"/>
    <w:rsid w:val="0033077F"/>
    <w:rsid w:val="00330F55"/>
    <w:rsid w:val="00331084"/>
    <w:rsid w:val="003310EC"/>
    <w:rsid w:val="00331251"/>
    <w:rsid w:val="003314ED"/>
    <w:rsid w:val="00331836"/>
    <w:rsid w:val="0033186F"/>
    <w:rsid w:val="003318E6"/>
    <w:rsid w:val="00331BD8"/>
    <w:rsid w:val="00331FCF"/>
    <w:rsid w:val="00332046"/>
    <w:rsid w:val="003320C4"/>
    <w:rsid w:val="0033213D"/>
    <w:rsid w:val="00332497"/>
    <w:rsid w:val="00332A68"/>
    <w:rsid w:val="00332A97"/>
    <w:rsid w:val="00332FD8"/>
    <w:rsid w:val="00333018"/>
    <w:rsid w:val="0033344A"/>
    <w:rsid w:val="003334F4"/>
    <w:rsid w:val="00333586"/>
    <w:rsid w:val="00333784"/>
    <w:rsid w:val="00333AD9"/>
    <w:rsid w:val="00333BF7"/>
    <w:rsid w:val="003343E1"/>
    <w:rsid w:val="00334508"/>
    <w:rsid w:val="003346BB"/>
    <w:rsid w:val="0033478B"/>
    <w:rsid w:val="00334A00"/>
    <w:rsid w:val="00334B6E"/>
    <w:rsid w:val="00334EE6"/>
    <w:rsid w:val="00335037"/>
    <w:rsid w:val="003353C7"/>
    <w:rsid w:val="00335D0A"/>
    <w:rsid w:val="00335E2B"/>
    <w:rsid w:val="00335ED3"/>
    <w:rsid w:val="00335F57"/>
    <w:rsid w:val="00335F59"/>
    <w:rsid w:val="00336545"/>
    <w:rsid w:val="003366F4"/>
    <w:rsid w:val="003366FF"/>
    <w:rsid w:val="00336A35"/>
    <w:rsid w:val="00336DBA"/>
    <w:rsid w:val="00336E5E"/>
    <w:rsid w:val="00337018"/>
    <w:rsid w:val="003372EF"/>
    <w:rsid w:val="00337446"/>
    <w:rsid w:val="0033746F"/>
    <w:rsid w:val="00337568"/>
    <w:rsid w:val="00337853"/>
    <w:rsid w:val="00337FA3"/>
    <w:rsid w:val="00340107"/>
    <w:rsid w:val="00340422"/>
    <w:rsid w:val="0034063F"/>
    <w:rsid w:val="00340822"/>
    <w:rsid w:val="00340993"/>
    <w:rsid w:val="00340C56"/>
    <w:rsid w:val="00340F16"/>
    <w:rsid w:val="003411E5"/>
    <w:rsid w:val="003416B6"/>
    <w:rsid w:val="00341794"/>
    <w:rsid w:val="00341858"/>
    <w:rsid w:val="00341944"/>
    <w:rsid w:val="00341D22"/>
    <w:rsid w:val="00342138"/>
    <w:rsid w:val="003422A8"/>
    <w:rsid w:val="00342571"/>
    <w:rsid w:val="003427CC"/>
    <w:rsid w:val="00342A5C"/>
    <w:rsid w:val="00342B2F"/>
    <w:rsid w:val="00342C30"/>
    <w:rsid w:val="00342EA3"/>
    <w:rsid w:val="00342EA8"/>
    <w:rsid w:val="00343506"/>
    <w:rsid w:val="003436F0"/>
    <w:rsid w:val="00343767"/>
    <w:rsid w:val="00343A45"/>
    <w:rsid w:val="00343D5D"/>
    <w:rsid w:val="00343D81"/>
    <w:rsid w:val="00343EC9"/>
    <w:rsid w:val="00344173"/>
    <w:rsid w:val="003445C2"/>
    <w:rsid w:val="003445C6"/>
    <w:rsid w:val="00344C62"/>
    <w:rsid w:val="00344FCD"/>
    <w:rsid w:val="003452AA"/>
    <w:rsid w:val="00345425"/>
    <w:rsid w:val="003454BB"/>
    <w:rsid w:val="003459B0"/>
    <w:rsid w:val="00346113"/>
    <w:rsid w:val="003461D7"/>
    <w:rsid w:val="003466D6"/>
    <w:rsid w:val="003469C0"/>
    <w:rsid w:val="00346AE3"/>
    <w:rsid w:val="00346BA2"/>
    <w:rsid w:val="00346EB0"/>
    <w:rsid w:val="00346F78"/>
    <w:rsid w:val="00347486"/>
    <w:rsid w:val="00347541"/>
    <w:rsid w:val="003477B6"/>
    <w:rsid w:val="00347957"/>
    <w:rsid w:val="00347973"/>
    <w:rsid w:val="003479FC"/>
    <w:rsid w:val="00347AE3"/>
    <w:rsid w:val="00347B95"/>
    <w:rsid w:val="00347F2C"/>
    <w:rsid w:val="00350889"/>
    <w:rsid w:val="00350A13"/>
    <w:rsid w:val="00350EC1"/>
    <w:rsid w:val="00351066"/>
    <w:rsid w:val="003512D4"/>
    <w:rsid w:val="00351350"/>
    <w:rsid w:val="0035159E"/>
    <w:rsid w:val="003515AC"/>
    <w:rsid w:val="003515BF"/>
    <w:rsid w:val="003516C7"/>
    <w:rsid w:val="003519F3"/>
    <w:rsid w:val="00351D24"/>
    <w:rsid w:val="00352585"/>
    <w:rsid w:val="003529EF"/>
    <w:rsid w:val="00352A08"/>
    <w:rsid w:val="00352C05"/>
    <w:rsid w:val="003530C2"/>
    <w:rsid w:val="00353827"/>
    <w:rsid w:val="0035384A"/>
    <w:rsid w:val="0035389B"/>
    <w:rsid w:val="00353990"/>
    <w:rsid w:val="00353FF9"/>
    <w:rsid w:val="0035401E"/>
    <w:rsid w:val="003540E4"/>
    <w:rsid w:val="003547DB"/>
    <w:rsid w:val="00354CD8"/>
    <w:rsid w:val="00355421"/>
    <w:rsid w:val="0035599B"/>
    <w:rsid w:val="00355E11"/>
    <w:rsid w:val="00355E62"/>
    <w:rsid w:val="0035653B"/>
    <w:rsid w:val="003565CA"/>
    <w:rsid w:val="003567E6"/>
    <w:rsid w:val="00356C21"/>
    <w:rsid w:val="00356E0A"/>
    <w:rsid w:val="00356E83"/>
    <w:rsid w:val="0035714A"/>
    <w:rsid w:val="0035727E"/>
    <w:rsid w:val="003575B6"/>
    <w:rsid w:val="0035774F"/>
    <w:rsid w:val="00357AED"/>
    <w:rsid w:val="00357C2C"/>
    <w:rsid w:val="00357DD1"/>
    <w:rsid w:val="00357F21"/>
    <w:rsid w:val="003601A8"/>
    <w:rsid w:val="00360571"/>
    <w:rsid w:val="003606AF"/>
    <w:rsid w:val="00360888"/>
    <w:rsid w:val="00360B54"/>
    <w:rsid w:val="00360B99"/>
    <w:rsid w:val="00360C3F"/>
    <w:rsid w:val="0036100F"/>
    <w:rsid w:val="0036110B"/>
    <w:rsid w:val="00361238"/>
    <w:rsid w:val="003614C0"/>
    <w:rsid w:val="00361558"/>
    <w:rsid w:val="0036182F"/>
    <w:rsid w:val="0036193E"/>
    <w:rsid w:val="00361980"/>
    <w:rsid w:val="00361BFD"/>
    <w:rsid w:val="00361E48"/>
    <w:rsid w:val="00361E64"/>
    <w:rsid w:val="00362066"/>
    <w:rsid w:val="0036220B"/>
    <w:rsid w:val="00362289"/>
    <w:rsid w:val="00362295"/>
    <w:rsid w:val="00362392"/>
    <w:rsid w:val="003627AF"/>
    <w:rsid w:val="003627CF"/>
    <w:rsid w:val="0036330F"/>
    <w:rsid w:val="00363590"/>
    <w:rsid w:val="00363607"/>
    <w:rsid w:val="00363CC3"/>
    <w:rsid w:val="00364160"/>
    <w:rsid w:val="00364236"/>
    <w:rsid w:val="0036448C"/>
    <w:rsid w:val="003644AD"/>
    <w:rsid w:val="00364BBB"/>
    <w:rsid w:val="00364D5F"/>
    <w:rsid w:val="00365435"/>
    <w:rsid w:val="00365577"/>
    <w:rsid w:val="00365592"/>
    <w:rsid w:val="0036582C"/>
    <w:rsid w:val="00365C4D"/>
    <w:rsid w:val="00365F2C"/>
    <w:rsid w:val="00365FF9"/>
    <w:rsid w:val="00366030"/>
    <w:rsid w:val="0036617F"/>
    <w:rsid w:val="003661DD"/>
    <w:rsid w:val="0036645F"/>
    <w:rsid w:val="003664C2"/>
    <w:rsid w:val="00366575"/>
    <w:rsid w:val="0036670D"/>
    <w:rsid w:val="00366C6C"/>
    <w:rsid w:val="00366DDE"/>
    <w:rsid w:val="00366FFF"/>
    <w:rsid w:val="0036750E"/>
    <w:rsid w:val="003677E8"/>
    <w:rsid w:val="00367AFA"/>
    <w:rsid w:val="00367BEC"/>
    <w:rsid w:val="00367EC6"/>
    <w:rsid w:val="003700FA"/>
    <w:rsid w:val="00370486"/>
    <w:rsid w:val="003704B0"/>
    <w:rsid w:val="003708C8"/>
    <w:rsid w:val="003708FC"/>
    <w:rsid w:val="00370C03"/>
    <w:rsid w:val="00370D43"/>
    <w:rsid w:val="00371150"/>
    <w:rsid w:val="00371224"/>
    <w:rsid w:val="00371784"/>
    <w:rsid w:val="00371864"/>
    <w:rsid w:val="0037199A"/>
    <w:rsid w:val="003719B8"/>
    <w:rsid w:val="00371EFE"/>
    <w:rsid w:val="003724EA"/>
    <w:rsid w:val="0037285E"/>
    <w:rsid w:val="00372890"/>
    <w:rsid w:val="0037291D"/>
    <w:rsid w:val="00372AA7"/>
    <w:rsid w:val="00372ECD"/>
    <w:rsid w:val="003733A9"/>
    <w:rsid w:val="003734DB"/>
    <w:rsid w:val="00373A1A"/>
    <w:rsid w:val="00373B26"/>
    <w:rsid w:val="00373E5D"/>
    <w:rsid w:val="00373E65"/>
    <w:rsid w:val="00373EF2"/>
    <w:rsid w:val="00373F1F"/>
    <w:rsid w:val="0037406F"/>
    <w:rsid w:val="00374406"/>
    <w:rsid w:val="00374542"/>
    <w:rsid w:val="003745A2"/>
    <w:rsid w:val="00374C06"/>
    <w:rsid w:val="00374D6B"/>
    <w:rsid w:val="00374DEC"/>
    <w:rsid w:val="003750DF"/>
    <w:rsid w:val="003755F4"/>
    <w:rsid w:val="0037566C"/>
    <w:rsid w:val="00375B0B"/>
    <w:rsid w:val="00375DBA"/>
    <w:rsid w:val="00375E9B"/>
    <w:rsid w:val="00376134"/>
    <w:rsid w:val="003767A8"/>
    <w:rsid w:val="003767C5"/>
    <w:rsid w:val="00376947"/>
    <w:rsid w:val="00376A20"/>
    <w:rsid w:val="00376C09"/>
    <w:rsid w:val="00376CC3"/>
    <w:rsid w:val="003770AF"/>
    <w:rsid w:val="003770B8"/>
    <w:rsid w:val="00377186"/>
    <w:rsid w:val="0037780E"/>
    <w:rsid w:val="00377B70"/>
    <w:rsid w:val="00377D33"/>
    <w:rsid w:val="00380115"/>
    <w:rsid w:val="00380514"/>
    <w:rsid w:val="003807DF"/>
    <w:rsid w:val="00380A1B"/>
    <w:rsid w:val="00380A22"/>
    <w:rsid w:val="00380B05"/>
    <w:rsid w:val="00380B0A"/>
    <w:rsid w:val="00380BCC"/>
    <w:rsid w:val="00380D3A"/>
    <w:rsid w:val="00380F85"/>
    <w:rsid w:val="00381088"/>
    <w:rsid w:val="00381191"/>
    <w:rsid w:val="003817DE"/>
    <w:rsid w:val="00381BA1"/>
    <w:rsid w:val="00381E30"/>
    <w:rsid w:val="00381EF3"/>
    <w:rsid w:val="0038234C"/>
    <w:rsid w:val="00382481"/>
    <w:rsid w:val="00382717"/>
    <w:rsid w:val="00382D3D"/>
    <w:rsid w:val="00382D80"/>
    <w:rsid w:val="00382EB6"/>
    <w:rsid w:val="003838CE"/>
    <w:rsid w:val="00383C06"/>
    <w:rsid w:val="003841A5"/>
    <w:rsid w:val="0038474C"/>
    <w:rsid w:val="0038482A"/>
    <w:rsid w:val="00384887"/>
    <w:rsid w:val="00384DBF"/>
    <w:rsid w:val="00385254"/>
    <w:rsid w:val="003853E8"/>
    <w:rsid w:val="00385414"/>
    <w:rsid w:val="00385546"/>
    <w:rsid w:val="00385621"/>
    <w:rsid w:val="00385665"/>
    <w:rsid w:val="00385AAE"/>
    <w:rsid w:val="00385D02"/>
    <w:rsid w:val="00385EFB"/>
    <w:rsid w:val="0038672F"/>
    <w:rsid w:val="00386928"/>
    <w:rsid w:val="003869F8"/>
    <w:rsid w:val="00386D27"/>
    <w:rsid w:val="00386FC2"/>
    <w:rsid w:val="00386FD0"/>
    <w:rsid w:val="003872E9"/>
    <w:rsid w:val="00387328"/>
    <w:rsid w:val="003873F2"/>
    <w:rsid w:val="0038744E"/>
    <w:rsid w:val="003876EF"/>
    <w:rsid w:val="00387D29"/>
    <w:rsid w:val="00387FD2"/>
    <w:rsid w:val="00390075"/>
    <w:rsid w:val="0039089B"/>
    <w:rsid w:val="00390BAF"/>
    <w:rsid w:val="00391027"/>
    <w:rsid w:val="003915D6"/>
    <w:rsid w:val="00391645"/>
    <w:rsid w:val="003916AA"/>
    <w:rsid w:val="00391A37"/>
    <w:rsid w:val="00391DAB"/>
    <w:rsid w:val="00391FAE"/>
    <w:rsid w:val="00391FB3"/>
    <w:rsid w:val="0039203B"/>
    <w:rsid w:val="00392395"/>
    <w:rsid w:val="00392426"/>
    <w:rsid w:val="003926CF"/>
    <w:rsid w:val="00392CD6"/>
    <w:rsid w:val="003931B1"/>
    <w:rsid w:val="003931CF"/>
    <w:rsid w:val="003931DE"/>
    <w:rsid w:val="003931F2"/>
    <w:rsid w:val="003934FF"/>
    <w:rsid w:val="003937D9"/>
    <w:rsid w:val="00393C02"/>
    <w:rsid w:val="00393D3D"/>
    <w:rsid w:val="00393FDB"/>
    <w:rsid w:val="00394146"/>
    <w:rsid w:val="00394750"/>
    <w:rsid w:val="003947BE"/>
    <w:rsid w:val="00394A0F"/>
    <w:rsid w:val="0039526F"/>
    <w:rsid w:val="00395338"/>
    <w:rsid w:val="0039564F"/>
    <w:rsid w:val="00395863"/>
    <w:rsid w:val="003959C1"/>
    <w:rsid w:val="00395CB8"/>
    <w:rsid w:val="00395F54"/>
    <w:rsid w:val="00396013"/>
    <w:rsid w:val="00396183"/>
    <w:rsid w:val="003961B3"/>
    <w:rsid w:val="003962AD"/>
    <w:rsid w:val="0039634E"/>
    <w:rsid w:val="0039669F"/>
    <w:rsid w:val="003967FE"/>
    <w:rsid w:val="00396AB7"/>
    <w:rsid w:val="00396B86"/>
    <w:rsid w:val="00396CAB"/>
    <w:rsid w:val="00396D1A"/>
    <w:rsid w:val="00397273"/>
    <w:rsid w:val="0039737A"/>
    <w:rsid w:val="003975C1"/>
    <w:rsid w:val="003976F9"/>
    <w:rsid w:val="00397769"/>
    <w:rsid w:val="00397857"/>
    <w:rsid w:val="003979CA"/>
    <w:rsid w:val="00397B60"/>
    <w:rsid w:val="003A020A"/>
    <w:rsid w:val="003A02CB"/>
    <w:rsid w:val="003A0ED1"/>
    <w:rsid w:val="003A0F10"/>
    <w:rsid w:val="003A1600"/>
    <w:rsid w:val="003A1671"/>
    <w:rsid w:val="003A175F"/>
    <w:rsid w:val="003A185A"/>
    <w:rsid w:val="003A1998"/>
    <w:rsid w:val="003A1BCE"/>
    <w:rsid w:val="003A1DB5"/>
    <w:rsid w:val="003A237E"/>
    <w:rsid w:val="003A2495"/>
    <w:rsid w:val="003A2721"/>
    <w:rsid w:val="003A2837"/>
    <w:rsid w:val="003A28A7"/>
    <w:rsid w:val="003A2C01"/>
    <w:rsid w:val="003A3416"/>
    <w:rsid w:val="003A3844"/>
    <w:rsid w:val="003A3AAB"/>
    <w:rsid w:val="003A3B5E"/>
    <w:rsid w:val="003A3CE1"/>
    <w:rsid w:val="003A4547"/>
    <w:rsid w:val="003A48B0"/>
    <w:rsid w:val="003A4CBF"/>
    <w:rsid w:val="003A4F09"/>
    <w:rsid w:val="003A509B"/>
    <w:rsid w:val="003A50D3"/>
    <w:rsid w:val="003A5548"/>
    <w:rsid w:val="003A57C2"/>
    <w:rsid w:val="003A5B6A"/>
    <w:rsid w:val="003A5D9E"/>
    <w:rsid w:val="003A5E0B"/>
    <w:rsid w:val="003A5E3B"/>
    <w:rsid w:val="003A6509"/>
    <w:rsid w:val="003A685B"/>
    <w:rsid w:val="003A68FA"/>
    <w:rsid w:val="003A6A6E"/>
    <w:rsid w:val="003A6C2E"/>
    <w:rsid w:val="003A6EB3"/>
    <w:rsid w:val="003A6F70"/>
    <w:rsid w:val="003A7084"/>
    <w:rsid w:val="003A70DA"/>
    <w:rsid w:val="003A730C"/>
    <w:rsid w:val="003A78F8"/>
    <w:rsid w:val="003A7A0B"/>
    <w:rsid w:val="003A7B86"/>
    <w:rsid w:val="003A7C56"/>
    <w:rsid w:val="003A7D73"/>
    <w:rsid w:val="003B005C"/>
    <w:rsid w:val="003B05C1"/>
    <w:rsid w:val="003B063D"/>
    <w:rsid w:val="003B0B96"/>
    <w:rsid w:val="003B14A5"/>
    <w:rsid w:val="003B18AB"/>
    <w:rsid w:val="003B1A7D"/>
    <w:rsid w:val="003B1B83"/>
    <w:rsid w:val="003B1C3E"/>
    <w:rsid w:val="003B2331"/>
    <w:rsid w:val="003B2C12"/>
    <w:rsid w:val="003B2D03"/>
    <w:rsid w:val="003B32C5"/>
    <w:rsid w:val="003B38C6"/>
    <w:rsid w:val="003B3A82"/>
    <w:rsid w:val="003B3DA5"/>
    <w:rsid w:val="003B3DC6"/>
    <w:rsid w:val="003B3E29"/>
    <w:rsid w:val="003B487D"/>
    <w:rsid w:val="003B48D3"/>
    <w:rsid w:val="003B4C6E"/>
    <w:rsid w:val="003B4FDC"/>
    <w:rsid w:val="003B5F65"/>
    <w:rsid w:val="003B5F9C"/>
    <w:rsid w:val="003B606E"/>
    <w:rsid w:val="003B60A2"/>
    <w:rsid w:val="003B6263"/>
    <w:rsid w:val="003B62A9"/>
    <w:rsid w:val="003B63C7"/>
    <w:rsid w:val="003B678D"/>
    <w:rsid w:val="003B68E0"/>
    <w:rsid w:val="003B72DA"/>
    <w:rsid w:val="003B75A3"/>
    <w:rsid w:val="003B7FB3"/>
    <w:rsid w:val="003B7FF8"/>
    <w:rsid w:val="003C024B"/>
    <w:rsid w:val="003C0D63"/>
    <w:rsid w:val="003C11C4"/>
    <w:rsid w:val="003C178F"/>
    <w:rsid w:val="003C1BDC"/>
    <w:rsid w:val="003C1D27"/>
    <w:rsid w:val="003C20D1"/>
    <w:rsid w:val="003C22AC"/>
    <w:rsid w:val="003C274B"/>
    <w:rsid w:val="003C2867"/>
    <w:rsid w:val="003C28CC"/>
    <w:rsid w:val="003C2EE2"/>
    <w:rsid w:val="003C3554"/>
    <w:rsid w:val="003C360F"/>
    <w:rsid w:val="003C405C"/>
    <w:rsid w:val="003C407D"/>
    <w:rsid w:val="003C40A4"/>
    <w:rsid w:val="003C4236"/>
    <w:rsid w:val="003C4516"/>
    <w:rsid w:val="003C4534"/>
    <w:rsid w:val="003C49A5"/>
    <w:rsid w:val="003C54E8"/>
    <w:rsid w:val="003C5517"/>
    <w:rsid w:val="003C5D20"/>
    <w:rsid w:val="003C6119"/>
    <w:rsid w:val="003C62AC"/>
    <w:rsid w:val="003C6E46"/>
    <w:rsid w:val="003C6F36"/>
    <w:rsid w:val="003C71D4"/>
    <w:rsid w:val="003C72A8"/>
    <w:rsid w:val="003C756D"/>
    <w:rsid w:val="003C795F"/>
    <w:rsid w:val="003C7A91"/>
    <w:rsid w:val="003C7E48"/>
    <w:rsid w:val="003D0301"/>
    <w:rsid w:val="003D049B"/>
    <w:rsid w:val="003D055F"/>
    <w:rsid w:val="003D08A1"/>
    <w:rsid w:val="003D0B0E"/>
    <w:rsid w:val="003D0D03"/>
    <w:rsid w:val="003D0D77"/>
    <w:rsid w:val="003D0EA6"/>
    <w:rsid w:val="003D1042"/>
    <w:rsid w:val="003D1076"/>
    <w:rsid w:val="003D1924"/>
    <w:rsid w:val="003D1BFB"/>
    <w:rsid w:val="003D225C"/>
    <w:rsid w:val="003D2504"/>
    <w:rsid w:val="003D25C1"/>
    <w:rsid w:val="003D2657"/>
    <w:rsid w:val="003D29CC"/>
    <w:rsid w:val="003D333B"/>
    <w:rsid w:val="003D34D7"/>
    <w:rsid w:val="003D3641"/>
    <w:rsid w:val="003D3A29"/>
    <w:rsid w:val="003D3BA6"/>
    <w:rsid w:val="003D41EA"/>
    <w:rsid w:val="003D4320"/>
    <w:rsid w:val="003D4AFF"/>
    <w:rsid w:val="003D4B02"/>
    <w:rsid w:val="003D525E"/>
    <w:rsid w:val="003D54DE"/>
    <w:rsid w:val="003D54ED"/>
    <w:rsid w:val="003D59E8"/>
    <w:rsid w:val="003D600D"/>
    <w:rsid w:val="003D6209"/>
    <w:rsid w:val="003D627F"/>
    <w:rsid w:val="003D6687"/>
    <w:rsid w:val="003D68B2"/>
    <w:rsid w:val="003D6AD2"/>
    <w:rsid w:val="003D6D3C"/>
    <w:rsid w:val="003D6EFA"/>
    <w:rsid w:val="003D73DD"/>
    <w:rsid w:val="003D78B3"/>
    <w:rsid w:val="003D7CED"/>
    <w:rsid w:val="003D7F0C"/>
    <w:rsid w:val="003E026B"/>
    <w:rsid w:val="003E03FE"/>
    <w:rsid w:val="003E044B"/>
    <w:rsid w:val="003E0979"/>
    <w:rsid w:val="003E0D3F"/>
    <w:rsid w:val="003E0D7E"/>
    <w:rsid w:val="003E0E46"/>
    <w:rsid w:val="003E17D6"/>
    <w:rsid w:val="003E1B03"/>
    <w:rsid w:val="003E1B80"/>
    <w:rsid w:val="003E1C4C"/>
    <w:rsid w:val="003E274D"/>
    <w:rsid w:val="003E28C8"/>
    <w:rsid w:val="003E29BA"/>
    <w:rsid w:val="003E2D72"/>
    <w:rsid w:val="003E2EAC"/>
    <w:rsid w:val="003E30FD"/>
    <w:rsid w:val="003E322E"/>
    <w:rsid w:val="003E33AB"/>
    <w:rsid w:val="003E3400"/>
    <w:rsid w:val="003E343B"/>
    <w:rsid w:val="003E379C"/>
    <w:rsid w:val="003E3C6A"/>
    <w:rsid w:val="003E445D"/>
    <w:rsid w:val="003E446B"/>
    <w:rsid w:val="003E4BB0"/>
    <w:rsid w:val="003E4CAA"/>
    <w:rsid w:val="003E4D22"/>
    <w:rsid w:val="003E5589"/>
    <w:rsid w:val="003E55CD"/>
    <w:rsid w:val="003E55D8"/>
    <w:rsid w:val="003E560F"/>
    <w:rsid w:val="003E5A68"/>
    <w:rsid w:val="003E5CA2"/>
    <w:rsid w:val="003E5FD4"/>
    <w:rsid w:val="003E6014"/>
    <w:rsid w:val="003E641F"/>
    <w:rsid w:val="003E6A59"/>
    <w:rsid w:val="003E6AA9"/>
    <w:rsid w:val="003E6C4A"/>
    <w:rsid w:val="003E6DA1"/>
    <w:rsid w:val="003E6EF3"/>
    <w:rsid w:val="003E6F65"/>
    <w:rsid w:val="003E6FE6"/>
    <w:rsid w:val="003E7092"/>
    <w:rsid w:val="003E7178"/>
    <w:rsid w:val="003E726D"/>
    <w:rsid w:val="003E72A4"/>
    <w:rsid w:val="003E7521"/>
    <w:rsid w:val="003E76C0"/>
    <w:rsid w:val="003E7A4D"/>
    <w:rsid w:val="003E7B76"/>
    <w:rsid w:val="003E7BD7"/>
    <w:rsid w:val="003F03BC"/>
    <w:rsid w:val="003F046D"/>
    <w:rsid w:val="003F0595"/>
    <w:rsid w:val="003F0675"/>
    <w:rsid w:val="003F087B"/>
    <w:rsid w:val="003F0BF4"/>
    <w:rsid w:val="003F0C88"/>
    <w:rsid w:val="003F0D63"/>
    <w:rsid w:val="003F10CD"/>
    <w:rsid w:val="003F1403"/>
    <w:rsid w:val="003F18C3"/>
    <w:rsid w:val="003F19E2"/>
    <w:rsid w:val="003F211A"/>
    <w:rsid w:val="003F24CC"/>
    <w:rsid w:val="003F24D7"/>
    <w:rsid w:val="003F255A"/>
    <w:rsid w:val="003F2912"/>
    <w:rsid w:val="003F2A12"/>
    <w:rsid w:val="003F3000"/>
    <w:rsid w:val="003F30CA"/>
    <w:rsid w:val="003F3136"/>
    <w:rsid w:val="003F38A2"/>
    <w:rsid w:val="003F391F"/>
    <w:rsid w:val="003F3DAF"/>
    <w:rsid w:val="003F442B"/>
    <w:rsid w:val="003F47E2"/>
    <w:rsid w:val="003F485A"/>
    <w:rsid w:val="003F4BC0"/>
    <w:rsid w:val="003F4C84"/>
    <w:rsid w:val="003F51C7"/>
    <w:rsid w:val="003F5216"/>
    <w:rsid w:val="003F554B"/>
    <w:rsid w:val="003F57EB"/>
    <w:rsid w:val="003F585C"/>
    <w:rsid w:val="003F587B"/>
    <w:rsid w:val="003F5A47"/>
    <w:rsid w:val="003F5A59"/>
    <w:rsid w:val="003F61C3"/>
    <w:rsid w:val="003F63DD"/>
    <w:rsid w:val="003F6A05"/>
    <w:rsid w:val="003F7014"/>
    <w:rsid w:val="003F72E2"/>
    <w:rsid w:val="003F769D"/>
    <w:rsid w:val="003F7CB5"/>
    <w:rsid w:val="003F7D04"/>
    <w:rsid w:val="003F7E8E"/>
    <w:rsid w:val="003F7ED8"/>
    <w:rsid w:val="00400546"/>
    <w:rsid w:val="00400584"/>
    <w:rsid w:val="0040090A"/>
    <w:rsid w:val="00400935"/>
    <w:rsid w:val="0040096E"/>
    <w:rsid w:val="00400D28"/>
    <w:rsid w:val="00400E27"/>
    <w:rsid w:val="00400FF4"/>
    <w:rsid w:val="004014D0"/>
    <w:rsid w:val="004015C1"/>
    <w:rsid w:val="004016D1"/>
    <w:rsid w:val="00401736"/>
    <w:rsid w:val="00401BDA"/>
    <w:rsid w:val="00401CDB"/>
    <w:rsid w:val="004020BF"/>
    <w:rsid w:val="0040211A"/>
    <w:rsid w:val="00402B3C"/>
    <w:rsid w:val="00402C71"/>
    <w:rsid w:val="00402E2A"/>
    <w:rsid w:val="00402E48"/>
    <w:rsid w:val="0040333C"/>
    <w:rsid w:val="00403A26"/>
    <w:rsid w:val="00403DE8"/>
    <w:rsid w:val="00404312"/>
    <w:rsid w:val="0040459D"/>
    <w:rsid w:val="004045E3"/>
    <w:rsid w:val="0040474F"/>
    <w:rsid w:val="00404860"/>
    <w:rsid w:val="00404B11"/>
    <w:rsid w:val="004051C4"/>
    <w:rsid w:val="004053CB"/>
    <w:rsid w:val="004053DF"/>
    <w:rsid w:val="00405646"/>
    <w:rsid w:val="00405ACB"/>
    <w:rsid w:val="00405CE2"/>
    <w:rsid w:val="00405D25"/>
    <w:rsid w:val="00406541"/>
    <w:rsid w:val="00406612"/>
    <w:rsid w:val="00406642"/>
    <w:rsid w:val="0040668D"/>
    <w:rsid w:val="00406702"/>
    <w:rsid w:val="004069FD"/>
    <w:rsid w:val="00406DC4"/>
    <w:rsid w:val="00406E6C"/>
    <w:rsid w:val="00406EE8"/>
    <w:rsid w:val="004070AC"/>
    <w:rsid w:val="00407230"/>
    <w:rsid w:val="00407376"/>
    <w:rsid w:val="00407492"/>
    <w:rsid w:val="004078A0"/>
    <w:rsid w:val="0040792D"/>
    <w:rsid w:val="00407D11"/>
    <w:rsid w:val="00407E15"/>
    <w:rsid w:val="004101D5"/>
    <w:rsid w:val="004106D9"/>
    <w:rsid w:val="00410D9D"/>
    <w:rsid w:val="00410DF1"/>
    <w:rsid w:val="004111F1"/>
    <w:rsid w:val="00411FD4"/>
    <w:rsid w:val="0041272B"/>
    <w:rsid w:val="004128E4"/>
    <w:rsid w:val="0041293D"/>
    <w:rsid w:val="00412EAD"/>
    <w:rsid w:val="004130C0"/>
    <w:rsid w:val="00413201"/>
    <w:rsid w:val="0041326E"/>
    <w:rsid w:val="004133D6"/>
    <w:rsid w:val="004135AE"/>
    <w:rsid w:val="004140A8"/>
    <w:rsid w:val="00414103"/>
    <w:rsid w:val="0041465D"/>
    <w:rsid w:val="00414789"/>
    <w:rsid w:val="004147F2"/>
    <w:rsid w:val="00414AFF"/>
    <w:rsid w:val="00414F24"/>
    <w:rsid w:val="00415001"/>
    <w:rsid w:val="00415118"/>
    <w:rsid w:val="00415268"/>
    <w:rsid w:val="004152D8"/>
    <w:rsid w:val="00415E8F"/>
    <w:rsid w:val="004162D6"/>
    <w:rsid w:val="00416456"/>
    <w:rsid w:val="00416655"/>
    <w:rsid w:val="00416737"/>
    <w:rsid w:val="004168C0"/>
    <w:rsid w:val="0041729E"/>
    <w:rsid w:val="00417332"/>
    <w:rsid w:val="00417429"/>
    <w:rsid w:val="00417461"/>
    <w:rsid w:val="004179C0"/>
    <w:rsid w:val="00417BCA"/>
    <w:rsid w:val="00417E7D"/>
    <w:rsid w:val="004201A3"/>
    <w:rsid w:val="004201E9"/>
    <w:rsid w:val="00420726"/>
    <w:rsid w:val="004210B4"/>
    <w:rsid w:val="004214A7"/>
    <w:rsid w:val="00421507"/>
    <w:rsid w:val="0042188A"/>
    <w:rsid w:val="00421A66"/>
    <w:rsid w:val="00421CB2"/>
    <w:rsid w:val="00421D28"/>
    <w:rsid w:val="004221B3"/>
    <w:rsid w:val="0042260C"/>
    <w:rsid w:val="00422811"/>
    <w:rsid w:val="004231A3"/>
    <w:rsid w:val="004232A3"/>
    <w:rsid w:val="004233EA"/>
    <w:rsid w:val="004235BC"/>
    <w:rsid w:val="0042380A"/>
    <w:rsid w:val="00423888"/>
    <w:rsid w:val="00423FB7"/>
    <w:rsid w:val="00423FFC"/>
    <w:rsid w:val="0042428F"/>
    <w:rsid w:val="00424683"/>
    <w:rsid w:val="004247EC"/>
    <w:rsid w:val="00424CD9"/>
    <w:rsid w:val="00424E8B"/>
    <w:rsid w:val="00424F6B"/>
    <w:rsid w:val="0042514A"/>
    <w:rsid w:val="0042523C"/>
    <w:rsid w:val="0042551C"/>
    <w:rsid w:val="004255A7"/>
    <w:rsid w:val="004257D2"/>
    <w:rsid w:val="004257D5"/>
    <w:rsid w:val="00425883"/>
    <w:rsid w:val="00425C2F"/>
    <w:rsid w:val="00425E48"/>
    <w:rsid w:val="00425FC1"/>
    <w:rsid w:val="004262E8"/>
    <w:rsid w:val="004266A8"/>
    <w:rsid w:val="00426AF4"/>
    <w:rsid w:val="00426E38"/>
    <w:rsid w:val="00427254"/>
    <w:rsid w:val="004272E2"/>
    <w:rsid w:val="0042761F"/>
    <w:rsid w:val="0043015D"/>
    <w:rsid w:val="0043051E"/>
    <w:rsid w:val="004309B1"/>
    <w:rsid w:val="00430D37"/>
    <w:rsid w:val="00430FC6"/>
    <w:rsid w:val="00430FEC"/>
    <w:rsid w:val="004313B3"/>
    <w:rsid w:val="0043199A"/>
    <w:rsid w:val="00431C36"/>
    <w:rsid w:val="00431C7A"/>
    <w:rsid w:val="00431FBE"/>
    <w:rsid w:val="004325E1"/>
    <w:rsid w:val="004326CE"/>
    <w:rsid w:val="00432760"/>
    <w:rsid w:val="00432F06"/>
    <w:rsid w:val="00433429"/>
    <w:rsid w:val="004336CF"/>
    <w:rsid w:val="00433952"/>
    <w:rsid w:val="00433A7B"/>
    <w:rsid w:val="00433ABF"/>
    <w:rsid w:val="00433DF0"/>
    <w:rsid w:val="0043408E"/>
    <w:rsid w:val="0043419C"/>
    <w:rsid w:val="00434387"/>
    <w:rsid w:val="004348CA"/>
    <w:rsid w:val="00434EAD"/>
    <w:rsid w:val="0043577A"/>
    <w:rsid w:val="00435B83"/>
    <w:rsid w:val="00435F6C"/>
    <w:rsid w:val="0043602D"/>
    <w:rsid w:val="0043604C"/>
    <w:rsid w:val="004361F0"/>
    <w:rsid w:val="004361FB"/>
    <w:rsid w:val="0043623C"/>
    <w:rsid w:val="0043626A"/>
    <w:rsid w:val="00436608"/>
    <w:rsid w:val="00436849"/>
    <w:rsid w:val="00436FFA"/>
    <w:rsid w:val="00437675"/>
    <w:rsid w:val="004379A4"/>
    <w:rsid w:val="00437FAE"/>
    <w:rsid w:val="004401CB"/>
    <w:rsid w:val="004401F9"/>
    <w:rsid w:val="00440E98"/>
    <w:rsid w:val="00441031"/>
    <w:rsid w:val="004412D8"/>
    <w:rsid w:val="0044166A"/>
    <w:rsid w:val="004416AA"/>
    <w:rsid w:val="004417A8"/>
    <w:rsid w:val="004419EA"/>
    <w:rsid w:val="00441E49"/>
    <w:rsid w:val="00442020"/>
    <w:rsid w:val="00442106"/>
    <w:rsid w:val="0044224E"/>
    <w:rsid w:val="004422AC"/>
    <w:rsid w:val="00442327"/>
    <w:rsid w:val="00442504"/>
    <w:rsid w:val="004427EC"/>
    <w:rsid w:val="004428A2"/>
    <w:rsid w:val="004428D2"/>
    <w:rsid w:val="00442B9B"/>
    <w:rsid w:val="00442B9F"/>
    <w:rsid w:val="00442BBD"/>
    <w:rsid w:val="00442BF8"/>
    <w:rsid w:val="004431CD"/>
    <w:rsid w:val="00443354"/>
    <w:rsid w:val="004434B0"/>
    <w:rsid w:val="00443584"/>
    <w:rsid w:val="00443658"/>
    <w:rsid w:val="0044378F"/>
    <w:rsid w:val="00443886"/>
    <w:rsid w:val="004438F0"/>
    <w:rsid w:val="00443ACF"/>
    <w:rsid w:val="00443EFF"/>
    <w:rsid w:val="004442F8"/>
    <w:rsid w:val="00444396"/>
    <w:rsid w:val="00444864"/>
    <w:rsid w:val="004448E2"/>
    <w:rsid w:val="004449AF"/>
    <w:rsid w:val="004449DB"/>
    <w:rsid w:val="00444A28"/>
    <w:rsid w:val="00444B95"/>
    <w:rsid w:val="00444C60"/>
    <w:rsid w:val="00444D85"/>
    <w:rsid w:val="00445242"/>
    <w:rsid w:val="004452ED"/>
    <w:rsid w:val="0044574C"/>
    <w:rsid w:val="004458F9"/>
    <w:rsid w:val="00445926"/>
    <w:rsid w:val="00445AE5"/>
    <w:rsid w:val="00445E48"/>
    <w:rsid w:val="00445EF8"/>
    <w:rsid w:val="004466F3"/>
    <w:rsid w:val="00446719"/>
    <w:rsid w:val="004469FF"/>
    <w:rsid w:val="00446BEF"/>
    <w:rsid w:val="004471F9"/>
    <w:rsid w:val="00447346"/>
    <w:rsid w:val="00447F31"/>
    <w:rsid w:val="00450736"/>
    <w:rsid w:val="00451146"/>
    <w:rsid w:val="00451796"/>
    <w:rsid w:val="0045179B"/>
    <w:rsid w:val="004517EE"/>
    <w:rsid w:val="00451895"/>
    <w:rsid w:val="00452085"/>
    <w:rsid w:val="0045219D"/>
    <w:rsid w:val="00452289"/>
    <w:rsid w:val="004527B1"/>
    <w:rsid w:val="00452B35"/>
    <w:rsid w:val="00452EC6"/>
    <w:rsid w:val="00452F41"/>
    <w:rsid w:val="00453270"/>
    <w:rsid w:val="004536D0"/>
    <w:rsid w:val="0045370D"/>
    <w:rsid w:val="00453A45"/>
    <w:rsid w:val="00453D68"/>
    <w:rsid w:val="00453E28"/>
    <w:rsid w:val="00454741"/>
    <w:rsid w:val="0045483C"/>
    <w:rsid w:val="00454A9B"/>
    <w:rsid w:val="00454D66"/>
    <w:rsid w:val="00454EE3"/>
    <w:rsid w:val="00454FDD"/>
    <w:rsid w:val="004551A1"/>
    <w:rsid w:val="0045545E"/>
    <w:rsid w:val="004558B1"/>
    <w:rsid w:val="00455E2C"/>
    <w:rsid w:val="00456180"/>
    <w:rsid w:val="00456286"/>
    <w:rsid w:val="0045628E"/>
    <w:rsid w:val="00456752"/>
    <w:rsid w:val="00456A71"/>
    <w:rsid w:val="00456D7F"/>
    <w:rsid w:val="004571BC"/>
    <w:rsid w:val="00457240"/>
    <w:rsid w:val="0045771F"/>
    <w:rsid w:val="00457F6E"/>
    <w:rsid w:val="00457FB0"/>
    <w:rsid w:val="00460061"/>
    <w:rsid w:val="00460097"/>
    <w:rsid w:val="00460391"/>
    <w:rsid w:val="00460407"/>
    <w:rsid w:val="004604F2"/>
    <w:rsid w:val="004607D6"/>
    <w:rsid w:val="004609EF"/>
    <w:rsid w:val="00460A6A"/>
    <w:rsid w:val="00460B8B"/>
    <w:rsid w:val="00460BAC"/>
    <w:rsid w:val="0046146E"/>
    <w:rsid w:val="00461887"/>
    <w:rsid w:val="00461B08"/>
    <w:rsid w:val="00461C3E"/>
    <w:rsid w:val="00462187"/>
    <w:rsid w:val="0046240C"/>
    <w:rsid w:val="004624CE"/>
    <w:rsid w:val="00462599"/>
    <w:rsid w:val="00462AAD"/>
    <w:rsid w:val="00462B2E"/>
    <w:rsid w:val="00462D0C"/>
    <w:rsid w:val="00462E11"/>
    <w:rsid w:val="004630B5"/>
    <w:rsid w:val="0046328A"/>
    <w:rsid w:val="00463BE0"/>
    <w:rsid w:val="00463C0D"/>
    <w:rsid w:val="00463CC4"/>
    <w:rsid w:val="00463F9A"/>
    <w:rsid w:val="00463FC0"/>
    <w:rsid w:val="00464006"/>
    <w:rsid w:val="004642AC"/>
    <w:rsid w:val="0046448E"/>
    <w:rsid w:val="004645DA"/>
    <w:rsid w:val="0046469D"/>
    <w:rsid w:val="00464968"/>
    <w:rsid w:val="00464AB5"/>
    <w:rsid w:val="00464C42"/>
    <w:rsid w:val="00465241"/>
    <w:rsid w:val="004653BF"/>
    <w:rsid w:val="00465402"/>
    <w:rsid w:val="004655DF"/>
    <w:rsid w:val="004658B7"/>
    <w:rsid w:val="00465A56"/>
    <w:rsid w:val="00465ADE"/>
    <w:rsid w:val="00465B56"/>
    <w:rsid w:val="00465EEC"/>
    <w:rsid w:val="00466183"/>
    <w:rsid w:val="004667AF"/>
    <w:rsid w:val="00466C8C"/>
    <w:rsid w:val="00466DF4"/>
    <w:rsid w:val="00466E20"/>
    <w:rsid w:val="00467060"/>
    <w:rsid w:val="004670B3"/>
    <w:rsid w:val="00467263"/>
    <w:rsid w:val="004677BD"/>
    <w:rsid w:val="00470016"/>
    <w:rsid w:val="00470543"/>
    <w:rsid w:val="00470564"/>
    <w:rsid w:val="004707B9"/>
    <w:rsid w:val="00470B8C"/>
    <w:rsid w:val="00470E9B"/>
    <w:rsid w:val="00471255"/>
    <w:rsid w:val="004715B6"/>
    <w:rsid w:val="004720C5"/>
    <w:rsid w:val="00472386"/>
    <w:rsid w:val="004726E7"/>
    <w:rsid w:val="00472933"/>
    <w:rsid w:val="00472A60"/>
    <w:rsid w:val="00472AB5"/>
    <w:rsid w:val="00472B8B"/>
    <w:rsid w:val="0047339C"/>
    <w:rsid w:val="004735DF"/>
    <w:rsid w:val="0047366C"/>
    <w:rsid w:val="004736AF"/>
    <w:rsid w:val="00473A6C"/>
    <w:rsid w:val="00473DCD"/>
    <w:rsid w:val="0047427B"/>
    <w:rsid w:val="00474427"/>
    <w:rsid w:val="00474659"/>
    <w:rsid w:val="0047475C"/>
    <w:rsid w:val="00474B21"/>
    <w:rsid w:val="004752DD"/>
    <w:rsid w:val="00475657"/>
    <w:rsid w:val="00475AA7"/>
    <w:rsid w:val="00475B8D"/>
    <w:rsid w:val="00476248"/>
    <w:rsid w:val="004762C5"/>
    <w:rsid w:val="00476B50"/>
    <w:rsid w:val="00476E1C"/>
    <w:rsid w:val="00477433"/>
    <w:rsid w:val="0047754F"/>
    <w:rsid w:val="00477558"/>
    <w:rsid w:val="004776C2"/>
    <w:rsid w:val="00477718"/>
    <w:rsid w:val="004778ED"/>
    <w:rsid w:val="00477917"/>
    <w:rsid w:val="00477BCB"/>
    <w:rsid w:val="00477C9B"/>
    <w:rsid w:val="00477EE4"/>
    <w:rsid w:val="004804CB"/>
    <w:rsid w:val="00480635"/>
    <w:rsid w:val="00480799"/>
    <w:rsid w:val="004807A2"/>
    <w:rsid w:val="00480CA0"/>
    <w:rsid w:val="00480E47"/>
    <w:rsid w:val="00481257"/>
    <w:rsid w:val="004813DC"/>
    <w:rsid w:val="00481520"/>
    <w:rsid w:val="0048152F"/>
    <w:rsid w:val="00481547"/>
    <w:rsid w:val="00481703"/>
    <w:rsid w:val="00481785"/>
    <w:rsid w:val="00481F95"/>
    <w:rsid w:val="004824B9"/>
    <w:rsid w:val="0048263E"/>
    <w:rsid w:val="00482AFC"/>
    <w:rsid w:val="00483315"/>
    <w:rsid w:val="004834FE"/>
    <w:rsid w:val="00483C4C"/>
    <w:rsid w:val="00483DEF"/>
    <w:rsid w:val="00483E77"/>
    <w:rsid w:val="00484263"/>
    <w:rsid w:val="00484356"/>
    <w:rsid w:val="00484480"/>
    <w:rsid w:val="0048470A"/>
    <w:rsid w:val="004847DA"/>
    <w:rsid w:val="00484A50"/>
    <w:rsid w:val="00484BF4"/>
    <w:rsid w:val="00484DC0"/>
    <w:rsid w:val="004850F3"/>
    <w:rsid w:val="0048531E"/>
    <w:rsid w:val="0048569F"/>
    <w:rsid w:val="0048578F"/>
    <w:rsid w:val="004857CB"/>
    <w:rsid w:val="0048584E"/>
    <w:rsid w:val="00485883"/>
    <w:rsid w:val="00485970"/>
    <w:rsid w:val="00485D1B"/>
    <w:rsid w:val="00485E33"/>
    <w:rsid w:val="00485FCF"/>
    <w:rsid w:val="00486144"/>
    <w:rsid w:val="004861E2"/>
    <w:rsid w:val="004865D6"/>
    <w:rsid w:val="00486B1D"/>
    <w:rsid w:val="0048761C"/>
    <w:rsid w:val="0048774D"/>
    <w:rsid w:val="00490018"/>
    <w:rsid w:val="00490113"/>
    <w:rsid w:val="0049022D"/>
    <w:rsid w:val="0049045A"/>
    <w:rsid w:val="0049075C"/>
    <w:rsid w:val="004908B6"/>
    <w:rsid w:val="0049095C"/>
    <w:rsid w:val="004909E6"/>
    <w:rsid w:val="00490BF3"/>
    <w:rsid w:val="004911B6"/>
    <w:rsid w:val="004911C7"/>
    <w:rsid w:val="004916F6"/>
    <w:rsid w:val="00491A03"/>
    <w:rsid w:val="00491CD3"/>
    <w:rsid w:val="00492096"/>
    <w:rsid w:val="00492268"/>
    <w:rsid w:val="0049267D"/>
    <w:rsid w:val="00492702"/>
    <w:rsid w:val="00492817"/>
    <w:rsid w:val="00492A35"/>
    <w:rsid w:val="00493466"/>
    <w:rsid w:val="00493856"/>
    <w:rsid w:val="00493941"/>
    <w:rsid w:val="00494834"/>
    <w:rsid w:val="004949E8"/>
    <w:rsid w:val="00494CF4"/>
    <w:rsid w:val="00494DAB"/>
    <w:rsid w:val="00494EE0"/>
    <w:rsid w:val="00495140"/>
    <w:rsid w:val="004958B2"/>
    <w:rsid w:val="00495CD6"/>
    <w:rsid w:val="00495D7E"/>
    <w:rsid w:val="00495FD1"/>
    <w:rsid w:val="00496007"/>
    <w:rsid w:val="00496083"/>
    <w:rsid w:val="0049674E"/>
    <w:rsid w:val="004967D3"/>
    <w:rsid w:val="004967DD"/>
    <w:rsid w:val="0049690C"/>
    <w:rsid w:val="00496C38"/>
    <w:rsid w:val="00497265"/>
    <w:rsid w:val="00497329"/>
    <w:rsid w:val="004975B1"/>
    <w:rsid w:val="00497E18"/>
    <w:rsid w:val="00497E80"/>
    <w:rsid w:val="00497E83"/>
    <w:rsid w:val="004A028D"/>
    <w:rsid w:val="004A036B"/>
    <w:rsid w:val="004A03F2"/>
    <w:rsid w:val="004A0A98"/>
    <w:rsid w:val="004A0C4B"/>
    <w:rsid w:val="004A0C6C"/>
    <w:rsid w:val="004A0FD9"/>
    <w:rsid w:val="004A0FFB"/>
    <w:rsid w:val="004A120C"/>
    <w:rsid w:val="004A1321"/>
    <w:rsid w:val="004A1473"/>
    <w:rsid w:val="004A156E"/>
    <w:rsid w:val="004A15E1"/>
    <w:rsid w:val="004A1716"/>
    <w:rsid w:val="004A1BA8"/>
    <w:rsid w:val="004A2BB1"/>
    <w:rsid w:val="004A2BD8"/>
    <w:rsid w:val="004A2E7E"/>
    <w:rsid w:val="004A3364"/>
    <w:rsid w:val="004A3957"/>
    <w:rsid w:val="004A3AE2"/>
    <w:rsid w:val="004A3DDC"/>
    <w:rsid w:val="004A46BB"/>
    <w:rsid w:val="004A4CA9"/>
    <w:rsid w:val="004A4E02"/>
    <w:rsid w:val="004A4ED7"/>
    <w:rsid w:val="004A5132"/>
    <w:rsid w:val="004A513E"/>
    <w:rsid w:val="004A516F"/>
    <w:rsid w:val="004A5A0B"/>
    <w:rsid w:val="004A6021"/>
    <w:rsid w:val="004A63DA"/>
    <w:rsid w:val="004A648D"/>
    <w:rsid w:val="004A67EB"/>
    <w:rsid w:val="004A684B"/>
    <w:rsid w:val="004A6A00"/>
    <w:rsid w:val="004A6E87"/>
    <w:rsid w:val="004A72CB"/>
    <w:rsid w:val="004A75BD"/>
    <w:rsid w:val="004A76DE"/>
    <w:rsid w:val="004A7AB6"/>
    <w:rsid w:val="004A7ED3"/>
    <w:rsid w:val="004B0087"/>
    <w:rsid w:val="004B05C1"/>
    <w:rsid w:val="004B0D18"/>
    <w:rsid w:val="004B0FAF"/>
    <w:rsid w:val="004B187E"/>
    <w:rsid w:val="004B257D"/>
    <w:rsid w:val="004B2A51"/>
    <w:rsid w:val="004B2D3C"/>
    <w:rsid w:val="004B2EB8"/>
    <w:rsid w:val="004B3692"/>
    <w:rsid w:val="004B373C"/>
    <w:rsid w:val="004B37CA"/>
    <w:rsid w:val="004B3AA5"/>
    <w:rsid w:val="004B3B4B"/>
    <w:rsid w:val="004B40DF"/>
    <w:rsid w:val="004B4206"/>
    <w:rsid w:val="004B423D"/>
    <w:rsid w:val="004B43FD"/>
    <w:rsid w:val="004B4794"/>
    <w:rsid w:val="004B4B9B"/>
    <w:rsid w:val="004B4CE8"/>
    <w:rsid w:val="004B4E58"/>
    <w:rsid w:val="004B4ECF"/>
    <w:rsid w:val="004B4F08"/>
    <w:rsid w:val="004B501C"/>
    <w:rsid w:val="004B5483"/>
    <w:rsid w:val="004B5699"/>
    <w:rsid w:val="004B598A"/>
    <w:rsid w:val="004B5B1F"/>
    <w:rsid w:val="004B5FD0"/>
    <w:rsid w:val="004B618A"/>
    <w:rsid w:val="004B64BA"/>
    <w:rsid w:val="004B6B28"/>
    <w:rsid w:val="004B6F51"/>
    <w:rsid w:val="004B6FF7"/>
    <w:rsid w:val="004B70B2"/>
    <w:rsid w:val="004B71AF"/>
    <w:rsid w:val="004B7260"/>
    <w:rsid w:val="004B734A"/>
    <w:rsid w:val="004B7576"/>
    <w:rsid w:val="004B75A7"/>
    <w:rsid w:val="004B7EC3"/>
    <w:rsid w:val="004C0213"/>
    <w:rsid w:val="004C0225"/>
    <w:rsid w:val="004C03E3"/>
    <w:rsid w:val="004C0401"/>
    <w:rsid w:val="004C0625"/>
    <w:rsid w:val="004C07F7"/>
    <w:rsid w:val="004C0887"/>
    <w:rsid w:val="004C096F"/>
    <w:rsid w:val="004C09CC"/>
    <w:rsid w:val="004C0BD1"/>
    <w:rsid w:val="004C0EB4"/>
    <w:rsid w:val="004C0EF8"/>
    <w:rsid w:val="004C11EA"/>
    <w:rsid w:val="004C19E0"/>
    <w:rsid w:val="004C1B7F"/>
    <w:rsid w:val="004C1EE2"/>
    <w:rsid w:val="004C2988"/>
    <w:rsid w:val="004C2A82"/>
    <w:rsid w:val="004C3088"/>
    <w:rsid w:val="004C3311"/>
    <w:rsid w:val="004C3B4E"/>
    <w:rsid w:val="004C3CC1"/>
    <w:rsid w:val="004C3F77"/>
    <w:rsid w:val="004C40D6"/>
    <w:rsid w:val="004C4108"/>
    <w:rsid w:val="004C46CB"/>
    <w:rsid w:val="004C49A9"/>
    <w:rsid w:val="004C4DF4"/>
    <w:rsid w:val="004C4F92"/>
    <w:rsid w:val="004C50B2"/>
    <w:rsid w:val="004C531A"/>
    <w:rsid w:val="004C5376"/>
    <w:rsid w:val="004C538C"/>
    <w:rsid w:val="004C5625"/>
    <w:rsid w:val="004C5733"/>
    <w:rsid w:val="004C596E"/>
    <w:rsid w:val="004C5D6B"/>
    <w:rsid w:val="004C5DF5"/>
    <w:rsid w:val="004C5FF7"/>
    <w:rsid w:val="004C60A7"/>
    <w:rsid w:val="004C60C5"/>
    <w:rsid w:val="004C65CD"/>
    <w:rsid w:val="004C6687"/>
    <w:rsid w:val="004C669A"/>
    <w:rsid w:val="004C674F"/>
    <w:rsid w:val="004C67EF"/>
    <w:rsid w:val="004C77C4"/>
    <w:rsid w:val="004C7C0D"/>
    <w:rsid w:val="004C7E52"/>
    <w:rsid w:val="004D0055"/>
    <w:rsid w:val="004D0479"/>
    <w:rsid w:val="004D04D4"/>
    <w:rsid w:val="004D0739"/>
    <w:rsid w:val="004D08DB"/>
    <w:rsid w:val="004D08EA"/>
    <w:rsid w:val="004D0D95"/>
    <w:rsid w:val="004D0EB2"/>
    <w:rsid w:val="004D1866"/>
    <w:rsid w:val="004D1982"/>
    <w:rsid w:val="004D1989"/>
    <w:rsid w:val="004D213C"/>
    <w:rsid w:val="004D247A"/>
    <w:rsid w:val="004D2603"/>
    <w:rsid w:val="004D2684"/>
    <w:rsid w:val="004D27E2"/>
    <w:rsid w:val="004D2A96"/>
    <w:rsid w:val="004D2BFB"/>
    <w:rsid w:val="004D2C87"/>
    <w:rsid w:val="004D37BC"/>
    <w:rsid w:val="004D396B"/>
    <w:rsid w:val="004D3A11"/>
    <w:rsid w:val="004D3C40"/>
    <w:rsid w:val="004D3FAE"/>
    <w:rsid w:val="004D4041"/>
    <w:rsid w:val="004D40A4"/>
    <w:rsid w:val="004D46B2"/>
    <w:rsid w:val="004D4834"/>
    <w:rsid w:val="004D4D44"/>
    <w:rsid w:val="004D4FD7"/>
    <w:rsid w:val="004D532F"/>
    <w:rsid w:val="004D5540"/>
    <w:rsid w:val="004D5586"/>
    <w:rsid w:val="004D5772"/>
    <w:rsid w:val="004D5F73"/>
    <w:rsid w:val="004D5FA0"/>
    <w:rsid w:val="004D5FA2"/>
    <w:rsid w:val="004D6240"/>
    <w:rsid w:val="004D62F3"/>
    <w:rsid w:val="004D6527"/>
    <w:rsid w:val="004D654A"/>
    <w:rsid w:val="004D66AE"/>
    <w:rsid w:val="004D67C9"/>
    <w:rsid w:val="004D69D6"/>
    <w:rsid w:val="004D6AB6"/>
    <w:rsid w:val="004D7278"/>
    <w:rsid w:val="004D743B"/>
    <w:rsid w:val="004D743D"/>
    <w:rsid w:val="004D74B1"/>
    <w:rsid w:val="004D77ED"/>
    <w:rsid w:val="004D78FE"/>
    <w:rsid w:val="004E03E6"/>
    <w:rsid w:val="004E03EE"/>
    <w:rsid w:val="004E09EC"/>
    <w:rsid w:val="004E0F75"/>
    <w:rsid w:val="004E11D6"/>
    <w:rsid w:val="004E1268"/>
    <w:rsid w:val="004E12CA"/>
    <w:rsid w:val="004E12FC"/>
    <w:rsid w:val="004E13BB"/>
    <w:rsid w:val="004E1C38"/>
    <w:rsid w:val="004E1C6F"/>
    <w:rsid w:val="004E1CDA"/>
    <w:rsid w:val="004E1D9F"/>
    <w:rsid w:val="004E1E99"/>
    <w:rsid w:val="004E205D"/>
    <w:rsid w:val="004E23C1"/>
    <w:rsid w:val="004E2CA6"/>
    <w:rsid w:val="004E2E8D"/>
    <w:rsid w:val="004E32F5"/>
    <w:rsid w:val="004E375C"/>
    <w:rsid w:val="004E38BC"/>
    <w:rsid w:val="004E40BA"/>
    <w:rsid w:val="004E41C2"/>
    <w:rsid w:val="004E4513"/>
    <w:rsid w:val="004E4A39"/>
    <w:rsid w:val="004E4C2B"/>
    <w:rsid w:val="004E4EA3"/>
    <w:rsid w:val="004E50A3"/>
    <w:rsid w:val="004E5A18"/>
    <w:rsid w:val="004E5F9C"/>
    <w:rsid w:val="004E639D"/>
    <w:rsid w:val="004E645B"/>
    <w:rsid w:val="004E6D16"/>
    <w:rsid w:val="004E73C0"/>
    <w:rsid w:val="004E740F"/>
    <w:rsid w:val="004E7444"/>
    <w:rsid w:val="004E7482"/>
    <w:rsid w:val="004E7502"/>
    <w:rsid w:val="004E759A"/>
    <w:rsid w:val="004E7949"/>
    <w:rsid w:val="004E799F"/>
    <w:rsid w:val="004E7B5A"/>
    <w:rsid w:val="004E7FEC"/>
    <w:rsid w:val="004F01FA"/>
    <w:rsid w:val="004F0271"/>
    <w:rsid w:val="004F02F0"/>
    <w:rsid w:val="004F037A"/>
    <w:rsid w:val="004F048A"/>
    <w:rsid w:val="004F0500"/>
    <w:rsid w:val="004F0518"/>
    <w:rsid w:val="004F06AC"/>
    <w:rsid w:val="004F0805"/>
    <w:rsid w:val="004F0A83"/>
    <w:rsid w:val="004F0C60"/>
    <w:rsid w:val="004F1ADC"/>
    <w:rsid w:val="004F2079"/>
    <w:rsid w:val="004F2208"/>
    <w:rsid w:val="004F259E"/>
    <w:rsid w:val="004F2891"/>
    <w:rsid w:val="004F28C3"/>
    <w:rsid w:val="004F2DCD"/>
    <w:rsid w:val="004F2FE6"/>
    <w:rsid w:val="004F3112"/>
    <w:rsid w:val="004F33FB"/>
    <w:rsid w:val="004F395A"/>
    <w:rsid w:val="004F39B5"/>
    <w:rsid w:val="004F3CDE"/>
    <w:rsid w:val="004F4132"/>
    <w:rsid w:val="004F41C2"/>
    <w:rsid w:val="004F441D"/>
    <w:rsid w:val="004F4580"/>
    <w:rsid w:val="004F4834"/>
    <w:rsid w:val="004F48AB"/>
    <w:rsid w:val="004F4B72"/>
    <w:rsid w:val="004F4C2F"/>
    <w:rsid w:val="004F5161"/>
    <w:rsid w:val="004F567F"/>
    <w:rsid w:val="004F5CAD"/>
    <w:rsid w:val="004F5D99"/>
    <w:rsid w:val="004F6112"/>
    <w:rsid w:val="004F617D"/>
    <w:rsid w:val="004F62F6"/>
    <w:rsid w:val="004F6643"/>
    <w:rsid w:val="004F67F1"/>
    <w:rsid w:val="004F6975"/>
    <w:rsid w:val="004F6CE4"/>
    <w:rsid w:val="004F6D17"/>
    <w:rsid w:val="004F6E56"/>
    <w:rsid w:val="004F7398"/>
    <w:rsid w:val="004F76AC"/>
    <w:rsid w:val="004F7745"/>
    <w:rsid w:val="004F779A"/>
    <w:rsid w:val="004F7BBD"/>
    <w:rsid w:val="004F7DE2"/>
    <w:rsid w:val="0050004C"/>
    <w:rsid w:val="00500B0B"/>
    <w:rsid w:val="00500D9D"/>
    <w:rsid w:val="0050124D"/>
    <w:rsid w:val="00501304"/>
    <w:rsid w:val="00501936"/>
    <w:rsid w:val="00501938"/>
    <w:rsid w:val="005019AB"/>
    <w:rsid w:val="00501DE5"/>
    <w:rsid w:val="00502500"/>
    <w:rsid w:val="0050253A"/>
    <w:rsid w:val="0050254D"/>
    <w:rsid w:val="00502D32"/>
    <w:rsid w:val="00502D87"/>
    <w:rsid w:val="005035BA"/>
    <w:rsid w:val="00503EC5"/>
    <w:rsid w:val="00504495"/>
    <w:rsid w:val="005049A0"/>
    <w:rsid w:val="00504ACD"/>
    <w:rsid w:val="00504F1E"/>
    <w:rsid w:val="00504FDB"/>
    <w:rsid w:val="00505038"/>
    <w:rsid w:val="005051DE"/>
    <w:rsid w:val="00505518"/>
    <w:rsid w:val="00505B9B"/>
    <w:rsid w:val="00505DDB"/>
    <w:rsid w:val="00505E0E"/>
    <w:rsid w:val="0050648C"/>
    <w:rsid w:val="00506569"/>
    <w:rsid w:val="005065BD"/>
    <w:rsid w:val="00506EBE"/>
    <w:rsid w:val="005072A3"/>
    <w:rsid w:val="00507369"/>
    <w:rsid w:val="0050749D"/>
    <w:rsid w:val="005075D3"/>
    <w:rsid w:val="00507617"/>
    <w:rsid w:val="00507877"/>
    <w:rsid w:val="00507A67"/>
    <w:rsid w:val="00507B82"/>
    <w:rsid w:val="00507EAD"/>
    <w:rsid w:val="0051010D"/>
    <w:rsid w:val="005104EF"/>
    <w:rsid w:val="005106C4"/>
    <w:rsid w:val="00510A5D"/>
    <w:rsid w:val="00510CE5"/>
    <w:rsid w:val="00510E85"/>
    <w:rsid w:val="00510ECA"/>
    <w:rsid w:val="00511037"/>
    <w:rsid w:val="005115A0"/>
    <w:rsid w:val="00511BAB"/>
    <w:rsid w:val="00511D44"/>
    <w:rsid w:val="005121EB"/>
    <w:rsid w:val="0051227C"/>
    <w:rsid w:val="0051250C"/>
    <w:rsid w:val="005126E8"/>
    <w:rsid w:val="00512754"/>
    <w:rsid w:val="005127A4"/>
    <w:rsid w:val="00512992"/>
    <w:rsid w:val="00512A7E"/>
    <w:rsid w:val="005132A8"/>
    <w:rsid w:val="005133E3"/>
    <w:rsid w:val="005137D7"/>
    <w:rsid w:val="00513904"/>
    <w:rsid w:val="00513D1D"/>
    <w:rsid w:val="00513DC1"/>
    <w:rsid w:val="00513EE1"/>
    <w:rsid w:val="00514003"/>
    <w:rsid w:val="00514203"/>
    <w:rsid w:val="00514519"/>
    <w:rsid w:val="005145D1"/>
    <w:rsid w:val="00514E62"/>
    <w:rsid w:val="0051560E"/>
    <w:rsid w:val="005157A2"/>
    <w:rsid w:val="005157FA"/>
    <w:rsid w:val="005158AA"/>
    <w:rsid w:val="005166A1"/>
    <w:rsid w:val="0051679F"/>
    <w:rsid w:val="00516963"/>
    <w:rsid w:val="00516B33"/>
    <w:rsid w:val="00516FBE"/>
    <w:rsid w:val="00517020"/>
    <w:rsid w:val="005173E5"/>
    <w:rsid w:val="0051764E"/>
    <w:rsid w:val="0051766E"/>
    <w:rsid w:val="00517742"/>
    <w:rsid w:val="0051788C"/>
    <w:rsid w:val="00517D80"/>
    <w:rsid w:val="00517EBB"/>
    <w:rsid w:val="005200F4"/>
    <w:rsid w:val="00520330"/>
    <w:rsid w:val="00520B51"/>
    <w:rsid w:val="00520C0B"/>
    <w:rsid w:val="00520C5A"/>
    <w:rsid w:val="00520D5A"/>
    <w:rsid w:val="00520DD5"/>
    <w:rsid w:val="005210AA"/>
    <w:rsid w:val="005213A5"/>
    <w:rsid w:val="005213B3"/>
    <w:rsid w:val="0052168E"/>
    <w:rsid w:val="005216FC"/>
    <w:rsid w:val="00521A21"/>
    <w:rsid w:val="00521BEE"/>
    <w:rsid w:val="00521F17"/>
    <w:rsid w:val="00521F72"/>
    <w:rsid w:val="00521F76"/>
    <w:rsid w:val="0052223B"/>
    <w:rsid w:val="00522395"/>
    <w:rsid w:val="005223F6"/>
    <w:rsid w:val="0052264A"/>
    <w:rsid w:val="0052273D"/>
    <w:rsid w:val="00522764"/>
    <w:rsid w:val="0052288C"/>
    <w:rsid w:val="005228FB"/>
    <w:rsid w:val="00523344"/>
    <w:rsid w:val="0052366B"/>
    <w:rsid w:val="00523C24"/>
    <w:rsid w:val="00523C79"/>
    <w:rsid w:val="00523EDD"/>
    <w:rsid w:val="00523F19"/>
    <w:rsid w:val="00523FAB"/>
    <w:rsid w:val="005243DA"/>
    <w:rsid w:val="005245EF"/>
    <w:rsid w:val="00524B34"/>
    <w:rsid w:val="00524CFC"/>
    <w:rsid w:val="00524EC6"/>
    <w:rsid w:val="00524ECC"/>
    <w:rsid w:val="005250F6"/>
    <w:rsid w:val="0052511A"/>
    <w:rsid w:val="00525268"/>
    <w:rsid w:val="00525390"/>
    <w:rsid w:val="005257DB"/>
    <w:rsid w:val="005258F1"/>
    <w:rsid w:val="00525C89"/>
    <w:rsid w:val="00525DA7"/>
    <w:rsid w:val="005265EF"/>
    <w:rsid w:val="005267C0"/>
    <w:rsid w:val="00526D05"/>
    <w:rsid w:val="00526D7B"/>
    <w:rsid w:val="00526E6F"/>
    <w:rsid w:val="00527399"/>
    <w:rsid w:val="00527533"/>
    <w:rsid w:val="005275ED"/>
    <w:rsid w:val="00527828"/>
    <w:rsid w:val="00527863"/>
    <w:rsid w:val="00527C90"/>
    <w:rsid w:val="00527D04"/>
    <w:rsid w:val="00527EED"/>
    <w:rsid w:val="00530135"/>
    <w:rsid w:val="0053032B"/>
    <w:rsid w:val="005303DA"/>
    <w:rsid w:val="00530A1F"/>
    <w:rsid w:val="00530D2E"/>
    <w:rsid w:val="00530D4F"/>
    <w:rsid w:val="00530FCA"/>
    <w:rsid w:val="00530FD5"/>
    <w:rsid w:val="005310B8"/>
    <w:rsid w:val="005310DF"/>
    <w:rsid w:val="0053113E"/>
    <w:rsid w:val="005311DE"/>
    <w:rsid w:val="005311EF"/>
    <w:rsid w:val="00531642"/>
    <w:rsid w:val="00531651"/>
    <w:rsid w:val="00531AA5"/>
    <w:rsid w:val="00531D7E"/>
    <w:rsid w:val="00531DFC"/>
    <w:rsid w:val="005320DB"/>
    <w:rsid w:val="0053235F"/>
    <w:rsid w:val="0053265D"/>
    <w:rsid w:val="005326BD"/>
    <w:rsid w:val="00532EE9"/>
    <w:rsid w:val="00533186"/>
    <w:rsid w:val="00533D5B"/>
    <w:rsid w:val="005341ED"/>
    <w:rsid w:val="00534304"/>
    <w:rsid w:val="005343B8"/>
    <w:rsid w:val="00534439"/>
    <w:rsid w:val="005348C4"/>
    <w:rsid w:val="00534B5B"/>
    <w:rsid w:val="005351B9"/>
    <w:rsid w:val="005352A3"/>
    <w:rsid w:val="00535377"/>
    <w:rsid w:val="00535851"/>
    <w:rsid w:val="00535AB7"/>
    <w:rsid w:val="00535FF5"/>
    <w:rsid w:val="00536641"/>
    <w:rsid w:val="0053665F"/>
    <w:rsid w:val="00536920"/>
    <w:rsid w:val="00536D16"/>
    <w:rsid w:val="00537183"/>
    <w:rsid w:val="00537865"/>
    <w:rsid w:val="0053786F"/>
    <w:rsid w:val="00537950"/>
    <w:rsid w:val="0053796A"/>
    <w:rsid w:val="00540032"/>
    <w:rsid w:val="0054013A"/>
    <w:rsid w:val="00540205"/>
    <w:rsid w:val="005404D6"/>
    <w:rsid w:val="00540980"/>
    <w:rsid w:val="005409AA"/>
    <w:rsid w:val="00541102"/>
    <w:rsid w:val="005412CF"/>
    <w:rsid w:val="0054139B"/>
    <w:rsid w:val="00541E31"/>
    <w:rsid w:val="005420EC"/>
    <w:rsid w:val="00542208"/>
    <w:rsid w:val="0054269B"/>
    <w:rsid w:val="00542854"/>
    <w:rsid w:val="00542912"/>
    <w:rsid w:val="005429CD"/>
    <w:rsid w:val="00542E21"/>
    <w:rsid w:val="005432A3"/>
    <w:rsid w:val="005435C6"/>
    <w:rsid w:val="00543724"/>
    <w:rsid w:val="00543939"/>
    <w:rsid w:val="00543966"/>
    <w:rsid w:val="0054454B"/>
    <w:rsid w:val="00544633"/>
    <w:rsid w:val="00544A00"/>
    <w:rsid w:val="00544A8D"/>
    <w:rsid w:val="00544E2B"/>
    <w:rsid w:val="00544F61"/>
    <w:rsid w:val="0054545D"/>
    <w:rsid w:val="00545791"/>
    <w:rsid w:val="005457CE"/>
    <w:rsid w:val="00545814"/>
    <w:rsid w:val="0054594F"/>
    <w:rsid w:val="00545BBC"/>
    <w:rsid w:val="0054606A"/>
    <w:rsid w:val="0054626E"/>
    <w:rsid w:val="005463FA"/>
    <w:rsid w:val="00546731"/>
    <w:rsid w:val="0054678A"/>
    <w:rsid w:val="00546904"/>
    <w:rsid w:val="0054693E"/>
    <w:rsid w:val="00546BF1"/>
    <w:rsid w:val="005472E2"/>
    <w:rsid w:val="0054745C"/>
    <w:rsid w:val="00547476"/>
    <w:rsid w:val="005478B6"/>
    <w:rsid w:val="005478F4"/>
    <w:rsid w:val="0054798B"/>
    <w:rsid w:val="00547B43"/>
    <w:rsid w:val="00547DEA"/>
    <w:rsid w:val="00547EB5"/>
    <w:rsid w:val="0055026B"/>
    <w:rsid w:val="005502FA"/>
    <w:rsid w:val="005508A2"/>
    <w:rsid w:val="00550D25"/>
    <w:rsid w:val="00550D7C"/>
    <w:rsid w:val="00550F71"/>
    <w:rsid w:val="00551004"/>
    <w:rsid w:val="005511F7"/>
    <w:rsid w:val="00551786"/>
    <w:rsid w:val="00551828"/>
    <w:rsid w:val="005518B6"/>
    <w:rsid w:val="005519FF"/>
    <w:rsid w:val="00551E06"/>
    <w:rsid w:val="00551EA0"/>
    <w:rsid w:val="00551FA5"/>
    <w:rsid w:val="0055200C"/>
    <w:rsid w:val="005521E8"/>
    <w:rsid w:val="00552B39"/>
    <w:rsid w:val="00552BBF"/>
    <w:rsid w:val="00553172"/>
    <w:rsid w:val="00553201"/>
    <w:rsid w:val="00553413"/>
    <w:rsid w:val="005535AB"/>
    <w:rsid w:val="005535C9"/>
    <w:rsid w:val="00553BB2"/>
    <w:rsid w:val="00553BB3"/>
    <w:rsid w:val="00554121"/>
    <w:rsid w:val="005544EC"/>
    <w:rsid w:val="00554681"/>
    <w:rsid w:val="005547AE"/>
    <w:rsid w:val="00554949"/>
    <w:rsid w:val="0055498D"/>
    <w:rsid w:val="005549C1"/>
    <w:rsid w:val="00554B28"/>
    <w:rsid w:val="00554F57"/>
    <w:rsid w:val="00555007"/>
    <w:rsid w:val="0055500E"/>
    <w:rsid w:val="00555128"/>
    <w:rsid w:val="005551BF"/>
    <w:rsid w:val="005552C6"/>
    <w:rsid w:val="005555BA"/>
    <w:rsid w:val="00555720"/>
    <w:rsid w:val="00555B59"/>
    <w:rsid w:val="00555F74"/>
    <w:rsid w:val="005566A3"/>
    <w:rsid w:val="005566AF"/>
    <w:rsid w:val="00556BE3"/>
    <w:rsid w:val="00556CB8"/>
    <w:rsid w:val="00556DCC"/>
    <w:rsid w:val="005570A5"/>
    <w:rsid w:val="00557374"/>
    <w:rsid w:val="005576A4"/>
    <w:rsid w:val="005576E4"/>
    <w:rsid w:val="005579CE"/>
    <w:rsid w:val="00557ABD"/>
    <w:rsid w:val="00557BDD"/>
    <w:rsid w:val="00557C25"/>
    <w:rsid w:val="005605A1"/>
    <w:rsid w:val="00560643"/>
    <w:rsid w:val="00560BCD"/>
    <w:rsid w:val="00561092"/>
    <w:rsid w:val="005613C7"/>
    <w:rsid w:val="0056146C"/>
    <w:rsid w:val="005617B1"/>
    <w:rsid w:val="005619F8"/>
    <w:rsid w:val="00561ACA"/>
    <w:rsid w:val="00561D94"/>
    <w:rsid w:val="005621ED"/>
    <w:rsid w:val="005625E9"/>
    <w:rsid w:val="00562796"/>
    <w:rsid w:val="0056288E"/>
    <w:rsid w:val="00562AAD"/>
    <w:rsid w:val="00562B34"/>
    <w:rsid w:val="00563470"/>
    <w:rsid w:val="00563993"/>
    <w:rsid w:val="00563A86"/>
    <w:rsid w:val="00563BD8"/>
    <w:rsid w:val="005640B5"/>
    <w:rsid w:val="00564181"/>
    <w:rsid w:val="0056421F"/>
    <w:rsid w:val="00564C68"/>
    <w:rsid w:val="00565210"/>
    <w:rsid w:val="00565402"/>
    <w:rsid w:val="00565581"/>
    <w:rsid w:val="005656E3"/>
    <w:rsid w:val="00565913"/>
    <w:rsid w:val="00565A8A"/>
    <w:rsid w:val="00565C27"/>
    <w:rsid w:val="00565C5D"/>
    <w:rsid w:val="00565FD0"/>
    <w:rsid w:val="00566E85"/>
    <w:rsid w:val="00566E94"/>
    <w:rsid w:val="00566F12"/>
    <w:rsid w:val="0056715F"/>
    <w:rsid w:val="00567B12"/>
    <w:rsid w:val="00567E77"/>
    <w:rsid w:val="00570246"/>
    <w:rsid w:val="005703AF"/>
    <w:rsid w:val="005705AB"/>
    <w:rsid w:val="005706C1"/>
    <w:rsid w:val="00570876"/>
    <w:rsid w:val="00570A50"/>
    <w:rsid w:val="00570CAC"/>
    <w:rsid w:val="005710B9"/>
    <w:rsid w:val="0057142E"/>
    <w:rsid w:val="00571960"/>
    <w:rsid w:val="005719AF"/>
    <w:rsid w:val="00571DAF"/>
    <w:rsid w:val="00571EAC"/>
    <w:rsid w:val="00571EDB"/>
    <w:rsid w:val="00571EEE"/>
    <w:rsid w:val="00572602"/>
    <w:rsid w:val="0057298D"/>
    <w:rsid w:val="00572C76"/>
    <w:rsid w:val="0057341C"/>
    <w:rsid w:val="00573952"/>
    <w:rsid w:val="00573B28"/>
    <w:rsid w:val="00573C97"/>
    <w:rsid w:val="00573CAD"/>
    <w:rsid w:val="00573D24"/>
    <w:rsid w:val="00573D78"/>
    <w:rsid w:val="00573E22"/>
    <w:rsid w:val="00573F73"/>
    <w:rsid w:val="00573FF8"/>
    <w:rsid w:val="00574422"/>
    <w:rsid w:val="0057493D"/>
    <w:rsid w:val="00574D3B"/>
    <w:rsid w:val="00574DFF"/>
    <w:rsid w:val="005755A9"/>
    <w:rsid w:val="00575AB4"/>
    <w:rsid w:val="00575AC7"/>
    <w:rsid w:val="00575F12"/>
    <w:rsid w:val="0057602C"/>
    <w:rsid w:val="00576DF7"/>
    <w:rsid w:val="00576E19"/>
    <w:rsid w:val="00576EE9"/>
    <w:rsid w:val="00577070"/>
    <w:rsid w:val="005772F4"/>
    <w:rsid w:val="005774E3"/>
    <w:rsid w:val="005774EA"/>
    <w:rsid w:val="005775C0"/>
    <w:rsid w:val="00577898"/>
    <w:rsid w:val="005779E3"/>
    <w:rsid w:val="00577B5F"/>
    <w:rsid w:val="00577F47"/>
    <w:rsid w:val="005804B1"/>
    <w:rsid w:val="005808E3"/>
    <w:rsid w:val="005811C7"/>
    <w:rsid w:val="00582776"/>
    <w:rsid w:val="00582A88"/>
    <w:rsid w:val="00582B62"/>
    <w:rsid w:val="00582CA8"/>
    <w:rsid w:val="00583149"/>
    <w:rsid w:val="00583519"/>
    <w:rsid w:val="00583753"/>
    <w:rsid w:val="00583903"/>
    <w:rsid w:val="00583ABE"/>
    <w:rsid w:val="00583B4D"/>
    <w:rsid w:val="00584040"/>
    <w:rsid w:val="0058408F"/>
    <w:rsid w:val="00584308"/>
    <w:rsid w:val="00584387"/>
    <w:rsid w:val="005843A9"/>
    <w:rsid w:val="005847AE"/>
    <w:rsid w:val="00584811"/>
    <w:rsid w:val="00584CEA"/>
    <w:rsid w:val="00584FC6"/>
    <w:rsid w:val="0058541F"/>
    <w:rsid w:val="005854FC"/>
    <w:rsid w:val="00585605"/>
    <w:rsid w:val="0058578B"/>
    <w:rsid w:val="005859AF"/>
    <w:rsid w:val="00585B57"/>
    <w:rsid w:val="00585B90"/>
    <w:rsid w:val="00585BD7"/>
    <w:rsid w:val="00585CF7"/>
    <w:rsid w:val="00585EAE"/>
    <w:rsid w:val="00586A7B"/>
    <w:rsid w:val="00586B7A"/>
    <w:rsid w:val="00586CE2"/>
    <w:rsid w:val="00586D3F"/>
    <w:rsid w:val="00586D54"/>
    <w:rsid w:val="00586E2E"/>
    <w:rsid w:val="005870EF"/>
    <w:rsid w:val="00587527"/>
    <w:rsid w:val="00587763"/>
    <w:rsid w:val="005877B8"/>
    <w:rsid w:val="005878B5"/>
    <w:rsid w:val="00587A05"/>
    <w:rsid w:val="00587C9E"/>
    <w:rsid w:val="00590172"/>
    <w:rsid w:val="00590339"/>
    <w:rsid w:val="005903B6"/>
    <w:rsid w:val="005903C0"/>
    <w:rsid w:val="00590438"/>
    <w:rsid w:val="00591136"/>
    <w:rsid w:val="00591295"/>
    <w:rsid w:val="00591309"/>
    <w:rsid w:val="00591A1F"/>
    <w:rsid w:val="00591BD1"/>
    <w:rsid w:val="00591D7E"/>
    <w:rsid w:val="00592083"/>
    <w:rsid w:val="005925D5"/>
    <w:rsid w:val="005927A9"/>
    <w:rsid w:val="005933A0"/>
    <w:rsid w:val="00593410"/>
    <w:rsid w:val="00593439"/>
    <w:rsid w:val="00593525"/>
    <w:rsid w:val="0059370C"/>
    <w:rsid w:val="005937EE"/>
    <w:rsid w:val="005939C4"/>
    <w:rsid w:val="00593A2B"/>
    <w:rsid w:val="00593DCB"/>
    <w:rsid w:val="00593EAE"/>
    <w:rsid w:val="00593FCB"/>
    <w:rsid w:val="00594802"/>
    <w:rsid w:val="0059519D"/>
    <w:rsid w:val="005952A0"/>
    <w:rsid w:val="00595B72"/>
    <w:rsid w:val="00595BA0"/>
    <w:rsid w:val="00595FBB"/>
    <w:rsid w:val="00596098"/>
    <w:rsid w:val="0059627C"/>
    <w:rsid w:val="00596289"/>
    <w:rsid w:val="005969F5"/>
    <w:rsid w:val="00596D13"/>
    <w:rsid w:val="00596D2A"/>
    <w:rsid w:val="00596ED2"/>
    <w:rsid w:val="00596F91"/>
    <w:rsid w:val="00597360"/>
    <w:rsid w:val="00597432"/>
    <w:rsid w:val="005976C6"/>
    <w:rsid w:val="00597BD8"/>
    <w:rsid w:val="00597BE9"/>
    <w:rsid w:val="005A01EF"/>
    <w:rsid w:val="005A02A3"/>
    <w:rsid w:val="005A0393"/>
    <w:rsid w:val="005A073D"/>
    <w:rsid w:val="005A0A54"/>
    <w:rsid w:val="005A0F17"/>
    <w:rsid w:val="005A0F74"/>
    <w:rsid w:val="005A1505"/>
    <w:rsid w:val="005A1B7E"/>
    <w:rsid w:val="005A1BF9"/>
    <w:rsid w:val="005A1BFF"/>
    <w:rsid w:val="005A1C61"/>
    <w:rsid w:val="005A20EC"/>
    <w:rsid w:val="005A2135"/>
    <w:rsid w:val="005A2796"/>
    <w:rsid w:val="005A29AE"/>
    <w:rsid w:val="005A2E27"/>
    <w:rsid w:val="005A38F6"/>
    <w:rsid w:val="005A3944"/>
    <w:rsid w:val="005A3970"/>
    <w:rsid w:val="005A3C46"/>
    <w:rsid w:val="005A4429"/>
    <w:rsid w:val="005A4AA4"/>
    <w:rsid w:val="005A4B2A"/>
    <w:rsid w:val="005A5AE7"/>
    <w:rsid w:val="005A5DB8"/>
    <w:rsid w:val="005A5F18"/>
    <w:rsid w:val="005A6034"/>
    <w:rsid w:val="005A61C5"/>
    <w:rsid w:val="005A6238"/>
    <w:rsid w:val="005A650F"/>
    <w:rsid w:val="005A6564"/>
    <w:rsid w:val="005A65A8"/>
    <w:rsid w:val="005A684A"/>
    <w:rsid w:val="005A6A69"/>
    <w:rsid w:val="005A6B7A"/>
    <w:rsid w:val="005A6D03"/>
    <w:rsid w:val="005A6F08"/>
    <w:rsid w:val="005A70BC"/>
    <w:rsid w:val="005A722A"/>
    <w:rsid w:val="005A7296"/>
    <w:rsid w:val="005A770C"/>
    <w:rsid w:val="005A7CFC"/>
    <w:rsid w:val="005A7E6D"/>
    <w:rsid w:val="005A7F87"/>
    <w:rsid w:val="005B02DC"/>
    <w:rsid w:val="005B061A"/>
    <w:rsid w:val="005B0714"/>
    <w:rsid w:val="005B072C"/>
    <w:rsid w:val="005B0AB3"/>
    <w:rsid w:val="005B0CD1"/>
    <w:rsid w:val="005B118E"/>
    <w:rsid w:val="005B1236"/>
    <w:rsid w:val="005B1301"/>
    <w:rsid w:val="005B140F"/>
    <w:rsid w:val="005B1A2B"/>
    <w:rsid w:val="005B1AD0"/>
    <w:rsid w:val="005B2239"/>
    <w:rsid w:val="005B2E47"/>
    <w:rsid w:val="005B2F78"/>
    <w:rsid w:val="005B35D1"/>
    <w:rsid w:val="005B3D16"/>
    <w:rsid w:val="005B3D17"/>
    <w:rsid w:val="005B3E0B"/>
    <w:rsid w:val="005B42EA"/>
    <w:rsid w:val="005B446D"/>
    <w:rsid w:val="005B4568"/>
    <w:rsid w:val="005B473F"/>
    <w:rsid w:val="005B51A4"/>
    <w:rsid w:val="005B51F4"/>
    <w:rsid w:val="005B530C"/>
    <w:rsid w:val="005B5504"/>
    <w:rsid w:val="005B58E2"/>
    <w:rsid w:val="005B5A15"/>
    <w:rsid w:val="005B5A72"/>
    <w:rsid w:val="005B5CA3"/>
    <w:rsid w:val="005B5CD8"/>
    <w:rsid w:val="005B6318"/>
    <w:rsid w:val="005B642B"/>
    <w:rsid w:val="005B6585"/>
    <w:rsid w:val="005B67F9"/>
    <w:rsid w:val="005B6904"/>
    <w:rsid w:val="005B6CEB"/>
    <w:rsid w:val="005B6F5C"/>
    <w:rsid w:val="005B70E2"/>
    <w:rsid w:val="005B7555"/>
    <w:rsid w:val="005B7711"/>
    <w:rsid w:val="005B77F9"/>
    <w:rsid w:val="005B7C6F"/>
    <w:rsid w:val="005C02C6"/>
    <w:rsid w:val="005C0634"/>
    <w:rsid w:val="005C06B5"/>
    <w:rsid w:val="005C06F8"/>
    <w:rsid w:val="005C0936"/>
    <w:rsid w:val="005C10E3"/>
    <w:rsid w:val="005C13A0"/>
    <w:rsid w:val="005C189C"/>
    <w:rsid w:val="005C1A5B"/>
    <w:rsid w:val="005C1B02"/>
    <w:rsid w:val="005C1DA3"/>
    <w:rsid w:val="005C1E53"/>
    <w:rsid w:val="005C1E7B"/>
    <w:rsid w:val="005C23A3"/>
    <w:rsid w:val="005C2837"/>
    <w:rsid w:val="005C2915"/>
    <w:rsid w:val="005C2A75"/>
    <w:rsid w:val="005C2B9F"/>
    <w:rsid w:val="005C2DE2"/>
    <w:rsid w:val="005C3084"/>
    <w:rsid w:val="005C320F"/>
    <w:rsid w:val="005C33C9"/>
    <w:rsid w:val="005C3478"/>
    <w:rsid w:val="005C36B5"/>
    <w:rsid w:val="005C38B5"/>
    <w:rsid w:val="005C39A9"/>
    <w:rsid w:val="005C3DBA"/>
    <w:rsid w:val="005C3DF4"/>
    <w:rsid w:val="005C3E55"/>
    <w:rsid w:val="005C43E4"/>
    <w:rsid w:val="005C47DF"/>
    <w:rsid w:val="005C4822"/>
    <w:rsid w:val="005C505D"/>
    <w:rsid w:val="005C5C64"/>
    <w:rsid w:val="005C5D2E"/>
    <w:rsid w:val="005C5F39"/>
    <w:rsid w:val="005C626A"/>
    <w:rsid w:val="005C63D8"/>
    <w:rsid w:val="005C6633"/>
    <w:rsid w:val="005C6AD6"/>
    <w:rsid w:val="005C6B23"/>
    <w:rsid w:val="005C6D44"/>
    <w:rsid w:val="005C713E"/>
    <w:rsid w:val="005C7168"/>
    <w:rsid w:val="005C78C5"/>
    <w:rsid w:val="005C7908"/>
    <w:rsid w:val="005C7B45"/>
    <w:rsid w:val="005D0176"/>
    <w:rsid w:val="005D0203"/>
    <w:rsid w:val="005D027F"/>
    <w:rsid w:val="005D0619"/>
    <w:rsid w:val="005D0682"/>
    <w:rsid w:val="005D0B83"/>
    <w:rsid w:val="005D114A"/>
    <w:rsid w:val="005D15A7"/>
    <w:rsid w:val="005D1D77"/>
    <w:rsid w:val="005D1FEA"/>
    <w:rsid w:val="005D238A"/>
    <w:rsid w:val="005D245C"/>
    <w:rsid w:val="005D2A7D"/>
    <w:rsid w:val="005D2A97"/>
    <w:rsid w:val="005D2C83"/>
    <w:rsid w:val="005D2D0F"/>
    <w:rsid w:val="005D2DED"/>
    <w:rsid w:val="005D2E58"/>
    <w:rsid w:val="005D31DC"/>
    <w:rsid w:val="005D3286"/>
    <w:rsid w:val="005D32BC"/>
    <w:rsid w:val="005D33DE"/>
    <w:rsid w:val="005D3537"/>
    <w:rsid w:val="005D3AF6"/>
    <w:rsid w:val="005D3FED"/>
    <w:rsid w:val="005D413E"/>
    <w:rsid w:val="005D43A7"/>
    <w:rsid w:val="005D4864"/>
    <w:rsid w:val="005D4953"/>
    <w:rsid w:val="005D49C3"/>
    <w:rsid w:val="005D4AE8"/>
    <w:rsid w:val="005D4ECE"/>
    <w:rsid w:val="005D4FD3"/>
    <w:rsid w:val="005D54E0"/>
    <w:rsid w:val="005D5504"/>
    <w:rsid w:val="005D580E"/>
    <w:rsid w:val="005D584E"/>
    <w:rsid w:val="005D5C80"/>
    <w:rsid w:val="005D6060"/>
    <w:rsid w:val="005D61E2"/>
    <w:rsid w:val="005D62FB"/>
    <w:rsid w:val="005D6489"/>
    <w:rsid w:val="005D69A0"/>
    <w:rsid w:val="005D69BE"/>
    <w:rsid w:val="005D6A8C"/>
    <w:rsid w:val="005D6B84"/>
    <w:rsid w:val="005D6D13"/>
    <w:rsid w:val="005D7367"/>
    <w:rsid w:val="005D743E"/>
    <w:rsid w:val="005D7479"/>
    <w:rsid w:val="005D74F9"/>
    <w:rsid w:val="005D7C4C"/>
    <w:rsid w:val="005E06AD"/>
    <w:rsid w:val="005E06D8"/>
    <w:rsid w:val="005E079E"/>
    <w:rsid w:val="005E0A54"/>
    <w:rsid w:val="005E14A4"/>
    <w:rsid w:val="005E18FF"/>
    <w:rsid w:val="005E1989"/>
    <w:rsid w:val="005E1CCF"/>
    <w:rsid w:val="005E1D9C"/>
    <w:rsid w:val="005E2156"/>
    <w:rsid w:val="005E2168"/>
    <w:rsid w:val="005E23DA"/>
    <w:rsid w:val="005E24AC"/>
    <w:rsid w:val="005E24CB"/>
    <w:rsid w:val="005E2811"/>
    <w:rsid w:val="005E283A"/>
    <w:rsid w:val="005E2A57"/>
    <w:rsid w:val="005E2B76"/>
    <w:rsid w:val="005E31AF"/>
    <w:rsid w:val="005E3432"/>
    <w:rsid w:val="005E34BA"/>
    <w:rsid w:val="005E383C"/>
    <w:rsid w:val="005E3963"/>
    <w:rsid w:val="005E40D1"/>
    <w:rsid w:val="005E4321"/>
    <w:rsid w:val="005E457A"/>
    <w:rsid w:val="005E4604"/>
    <w:rsid w:val="005E4FBB"/>
    <w:rsid w:val="005E5568"/>
    <w:rsid w:val="005E58EA"/>
    <w:rsid w:val="005E5B47"/>
    <w:rsid w:val="005E5E5C"/>
    <w:rsid w:val="005E605A"/>
    <w:rsid w:val="005E69C9"/>
    <w:rsid w:val="005E6EFD"/>
    <w:rsid w:val="005E71AA"/>
    <w:rsid w:val="005E74ED"/>
    <w:rsid w:val="005F003E"/>
    <w:rsid w:val="005F025C"/>
    <w:rsid w:val="005F0750"/>
    <w:rsid w:val="005F0ABF"/>
    <w:rsid w:val="005F10E7"/>
    <w:rsid w:val="005F1298"/>
    <w:rsid w:val="005F134C"/>
    <w:rsid w:val="005F150A"/>
    <w:rsid w:val="005F163F"/>
    <w:rsid w:val="005F1791"/>
    <w:rsid w:val="005F1A0F"/>
    <w:rsid w:val="005F1A9D"/>
    <w:rsid w:val="005F1DC8"/>
    <w:rsid w:val="005F240A"/>
    <w:rsid w:val="005F25B3"/>
    <w:rsid w:val="005F2642"/>
    <w:rsid w:val="005F2841"/>
    <w:rsid w:val="005F2B4C"/>
    <w:rsid w:val="005F2FFC"/>
    <w:rsid w:val="005F322F"/>
    <w:rsid w:val="005F3508"/>
    <w:rsid w:val="005F3800"/>
    <w:rsid w:val="005F3C6E"/>
    <w:rsid w:val="005F3E36"/>
    <w:rsid w:val="005F3E64"/>
    <w:rsid w:val="005F3E8D"/>
    <w:rsid w:val="005F3F1F"/>
    <w:rsid w:val="005F40AD"/>
    <w:rsid w:val="005F486D"/>
    <w:rsid w:val="005F4D20"/>
    <w:rsid w:val="005F4EF7"/>
    <w:rsid w:val="005F50AF"/>
    <w:rsid w:val="005F50C5"/>
    <w:rsid w:val="005F5474"/>
    <w:rsid w:val="005F5610"/>
    <w:rsid w:val="005F5AED"/>
    <w:rsid w:val="005F5B17"/>
    <w:rsid w:val="005F5B1A"/>
    <w:rsid w:val="005F5D72"/>
    <w:rsid w:val="005F61E8"/>
    <w:rsid w:val="005F6396"/>
    <w:rsid w:val="005F662F"/>
    <w:rsid w:val="005F6639"/>
    <w:rsid w:val="005F6734"/>
    <w:rsid w:val="005F6814"/>
    <w:rsid w:val="005F6C26"/>
    <w:rsid w:val="005F6F6F"/>
    <w:rsid w:val="005F7280"/>
    <w:rsid w:val="005F739E"/>
    <w:rsid w:val="005F74BF"/>
    <w:rsid w:val="005F77AA"/>
    <w:rsid w:val="005F7F11"/>
    <w:rsid w:val="00600214"/>
    <w:rsid w:val="0060024E"/>
    <w:rsid w:val="00600763"/>
    <w:rsid w:val="006008C8"/>
    <w:rsid w:val="0060091D"/>
    <w:rsid w:val="006009C5"/>
    <w:rsid w:val="006009F0"/>
    <w:rsid w:val="00600BDF"/>
    <w:rsid w:val="00600CA9"/>
    <w:rsid w:val="00600DE2"/>
    <w:rsid w:val="00600F2B"/>
    <w:rsid w:val="00601308"/>
    <w:rsid w:val="006014F3"/>
    <w:rsid w:val="00601538"/>
    <w:rsid w:val="00601742"/>
    <w:rsid w:val="00601967"/>
    <w:rsid w:val="0060196C"/>
    <w:rsid w:val="00601E3D"/>
    <w:rsid w:val="006022C5"/>
    <w:rsid w:val="00602319"/>
    <w:rsid w:val="00602562"/>
    <w:rsid w:val="006025B3"/>
    <w:rsid w:val="00602623"/>
    <w:rsid w:val="00602B1E"/>
    <w:rsid w:val="00602C1C"/>
    <w:rsid w:val="00602C5F"/>
    <w:rsid w:val="00602C86"/>
    <w:rsid w:val="00602CA6"/>
    <w:rsid w:val="00602DD3"/>
    <w:rsid w:val="00602E7D"/>
    <w:rsid w:val="006030A0"/>
    <w:rsid w:val="006030C6"/>
    <w:rsid w:val="00603101"/>
    <w:rsid w:val="00603189"/>
    <w:rsid w:val="00603438"/>
    <w:rsid w:val="006038B0"/>
    <w:rsid w:val="0060418D"/>
    <w:rsid w:val="006042DA"/>
    <w:rsid w:val="0060453E"/>
    <w:rsid w:val="00604683"/>
    <w:rsid w:val="006046CD"/>
    <w:rsid w:val="00604E18"/>
    <w:rsid w:val="00604FFF"/>
    <w:rsid w:val="006051DF"/>
    <w:rsid w:val="00605487"/>
    <w:rsid w:val="006056DD"/>
    <w:rsid w:val="0060576B"/>
    <w:rsid w:val="00605908"/>
    <w:rsid w:val="0060590D"/>
    <w:rsid w:val="00605AC9"/>
    <w:rsid w:val="00605B2D"/>
    <w:rsid w:val="00605B7C"/>
    <w:rsid w:val="00606161"/>
    <w:rsid w:val="00606192"/>
    <w:rsid w:val="006066D6"/>
    <w:rsid w:val="00606CA7"/>
    <w:rsid w:val="00606EB6"/>
    <w:rsid w:val="00607570"/>
    <w:rsid w:val="00607776"/>
    <w:rsid w:val="0060799C"/>
    <w:rsid w:val="00607B95"/>
    <w:rsid w:val="00607EF5"/>
    <w:rsid w:val="00610289"/>
    <w:rsid w:val="00610305"/>
    <w:rsid w:val="006109C4"/>
    <w:rsid w:val="00610AA8"/>
    <w:rsid w:val="00610C33"/>
    <w:rsid w:val="00610CA8"/>
    <w:rsid w:val="00610D20"/>
    <w:rsid w:val="00610F1B"/>
    <w:rsid w:val="00611038"/>
    <w:rsid w:val="0061120F"/>
    <w:rsid w:val="00611262"/>
    <w:rsid w:val="006116FC"/>
    <w:rsid w:val="00611BAA"/>
    <w:rsid w:val="00612493"/>
    <w:rsid w:val="006125C6"/>
    <w:rsid w:val="00612678"/>
    <w:rsid w:val="0061268B"/>
    <w:rsid w:val="006128E9"/>
    <w:rsid w:val="00612AD7"/>
    <w:rsid w:val="00612B03"/>
    <w:rsid w:val="00612B9A"/>
    <w:rsid w:val="00612D5E"/>
    <w:rsid w:val="0061328B"/>
    <w:rsid w:val="006134DA"/>
    <w:rsid w:val="00613576"/>
    <w:rsid w:val="006136D9"/>
    <w:rsid w:val="00613795"/>
    <w:rsid w:val="006137F7"/>
    <w:rsid w:val="00613839"/>
    <w:rsid w:val="00613927"/>
    <w:rsid w:val="00613DAC"/>
    <w:rsid w:val="0061414A"/>
    <w:rsid w:val="0061422B"/>
    <w:rsid w:val="00614347"/>
    <w:rsid w:val="0061444C"/>
    <w:rsid w:val="0061466F"/>
    <w:rsid w:val="00614CA6"/>
    <w:rsid w:val="00614CCA"/>
    <w:rsid w:val="00614EB6"/>
    <w:rsid w:val="00615143"/>
    <w:rsid w:val="00615885"/>
    <w:rsid w:val="00615A00"/>
    <w:rsid w:val="00615EFA"/>
    <w:rsid w:val="00616388"/>
    <w:rsid w:val="00616570"/>
    <w:rsid w:val="00616638"/>
    <w:rsid w:val="006166A0"/>
    <w:rsid w:val="0061670B"/>
    <w:rsid w:val="006167AE"/>
    <w:rsid w:val="0061699F"/>
    <w:rsid w:val="00617253"/>
    <w:rsid w:val="00617795"/>
    <w:rsid w:val="00617D11"/>
    <w:rsid w:val="00617DF1"/>
    <w:rsid w:val="00617DFC"/>
    <w:rsid w:val="00617EF9"/>
    <w:rsid w:val="0062009D"/>
    <w:rsid w:val="006204A4"/>
    <w:rsid w:val="0062064D"/>
    <w:rsid w:val="00620699"/>
    <w:rsid w:val="006206BF"/>
    <w:rsid w:val="006208E3"/>
    <w:rsid w:val="00620ACD"/>
    <w:rsid w:val="00620B23"/>
    <w:rsid w:val="00620F2C"/>
    <w:rsid w:val="0062115A"/>
    <w:rsid w:val="00621708"/>
    <w:rsid w:val="00621766"/>
    <w:rsid w:val="006220B5"/>
    <w:rsid w:val="006220F0"/>
    <w:rsid w:val="00622A1A"/>
    <w:rsid w:val="00622D1C"/>
    <w:rsid w:val="00622D60"/>
    <w:rsid w:val="006235B7"/>
    <w:rsid w:val="006236C6"/>
    <w:rsid w:val="00623A76"/>
    <w:rsid w:val="00623E51"/>
    <w:rsid w:val="0062427B"/>
    <w:rsid w:val="006242C9"/>
    <w:rsid w:val="0062459B"/>
    <w:rsid w:val="0062459D"/>
    <w:rsid w:val="00624648"/>
    <w:rsid w:val="0062478E"/>
    <w:rsid w:val="00624AE4"/>
    <w:rsid w:val="00624F3C"/>
    <w:rsid w:val="006255ED"/>
    <w:rsid w:val="00625640"/>
    <w:rsid w:val="00625EB8"/>
    <w:rsid w:val="0062631B"/>
    <w:rsid w:val="00626BBD"/>
    <w:rsid w:val="00626DBF"/>
    <w:rsid w:val="00626E18"/>
    <w:rsid w:val="006270A9"/>
    <w:rsid w:val="0062735C"/>
    <w:rsid w:val="006274EB"/>
    <w:rsid w:val="00627584"/>
    <w:rsid w:val="0062759C"/>
    <w:rsid w:val="006276AB"/>
    <w:rsid w:val="00627994"/>
    <w:rsid w:val="00627C70"/>
    <w:rsid w:val="00627F23"/>
    <w:rsid w:val="006303AF"/>
    <w:rsid w:val="0063081B"/>
    <w:rsid w:val="00630ACB"/>
    <w:rsid w:val="00630B42"/>
    <w:rsid w:val="00630ED5"/>
    <w:rsid w:val="00630F4B"/>
    <w:rsid w:val="0063104C"/>
    <w:rsid w:val="00631738"/>
    <w:rsid w:val="006318FA"/>
    <w:rsid w:val="0063196B"/>
    <w:rsid w:val="00631BC9"/>
    <w:rsid w:val="0063232C"/>
    <w:rsid w:val="0063245F"/>
    <w:rsid w:val="00632D6E"/>
    <w:rsid w:val="00633560"/>
    <w:rsid w:val="00633FFA"/>
    <w:rsid w:val="006341A8"/>
    <w:rsid w:val="006341F0"/>
    <w:rsid w:val="00634862"/>
    <w:rsid w:val="006348B6"/>
    <w:rsid w:val="00634B79"/>
    <w:rsid w:val="00634BB8"/>
    <w:rsid w:val="00635116"/>
    <w:rsid w:val="0063511D"/>
    <w:rsid w:val="006354F0"/>
    <w:rsid w:val="00635548"/>
    <w:rsid w:val="006355C1"/>
    <w:rsid w:val="006358C7"/>
    <w:rsid w:val="00635A70"/>
    <w:rsid w:val="00635EB3"/>
    <w:rsid w:val="00635EF4"/>
    <w:rsid w:val="006360AB"/>
    <w:rsid w:val="00636114"/>
    <w:rsid w:val="00636178"/>
    <w:rsid w:val="006362EF"/>
    <w:rsid w:val="0063630D"/>
    <w:rsid w:val="006364CB"/>
    <w:rsid w:val="006367A2"/>
    <w:rsid w:val="006367A8"/>
    <w:rsid w:val="00636810"/>
    <w:rsid w:val="00636829"/>
    <w:rsid w:val="0063687D"/>
    <w:rsid w:val="0063698B"/>
    <w:rsid w:val="006369A4"/>
    <w:rsid w:val="00636B62"/>
    <w:rsid w:val="00636C8D"/>
    <w:rsid w:val="00636D66"/>
    <w:rsid w:val="00637129"/>
    <w:rsid w:val="0063737E"/>
    <w:rsid w:val="00637979"/>
    <w:rsid w:val="00637C96"/>
    <w:rsid w:val="00637DEF"/>
    <w:rsid w:val="006404E5"/>
    <w:rsid w:val="00640B05"/>
    <w:rsid w:val="00640BF7"/>
    <w:rsid w:val="00640F5E"/>
    <w:rsid w:val="00641105"/>
    <w:rsid w:val="006411A6"/>
    <w:rsid w:val="00641843"/>
    <w:rsid w:val="00641B19"/>
    <w:rsid w:val="00641C07"/>
    <w:rsid w:val="00641E08"/>
    <w:rsid w:val="0064204E"/>
    <w:rsid w:val="006426F1"/>
    <w:rsid w:val="0064271C"/>
    <w:rsid w:val="006427D9"/>
    <w:rsid w:val="00642821"/>
    <w:rsid w:val="00642F9F"/>
    <w:rsid w:val="0064312D"/>
    <w:rsid w:val="00643185"/>
    <w:rsid w:val="006433B4"/>
    <w:rsid w:val="0064346B"/>
    <w:rsid w:val="006440B4"/>
    <w:rsid w:val="006440ED"/>
    <w:rsid w:val="00644388"/>
    <w:rsid w:val="00644814"/>
    <w:rsid w:val="00644819"/>
    <w:rsid w:val="00644FB2"/>
    <w:rsid w:val="00645259"/>
    <w:rsid w:val="00645573"/>
    <w:rsid w:val="0064582C"/>
    <w:rsid w:val="006458BA"/>
    <w:rsid w:val="00645BA7"/>
    <w:rsid w:val="00645C1D"/>
    <w:rsid w:val="00645E3A"/>
    <w:rsid w:val="00645E53"/>
    <w:rsid w:val="006462DA"/>
    <w:rsid w:val="0064661A"/>
    <w:rsid w:val="006468B4"/>
    <w:rsid w:val="006468C1"/>
    <w:rsid w:val="00646B03"/>
    <w:rsid w:val="00646D93"/>
    <w:rsid w:val="00647770"/>
    <w:rsid w:val="006477F8"/>
    <w:rsid w:val="00647898"/>
    <w:rsid w:val="00647A04"/>
    <w:rsid w:val="00647B0D"/>
    <w:rsid w:val="00647B9B"/>
    <w:rsid w:val="00647DD8"/>
    <w:rsid w:val="00647E2C"/>
    <w:rsid w:val="00650012"/>
    <w:rsid w:val="006500A6"/>
    <w:rsid w:val="006504AA"/>
    <w:rsid w:val="00651034"/>
    <w:rsid w:val="006510EE"/>
    <w:rsid w:val="0065158C"/>
    <w:rsid w:val="006517F3"/>
    <w:rsid w:val="0065188D"/>
    <w:rsid w:val="00651928"/>
    <w:rsid w:val="0065192D"/>
    <w:rsid w:val="00651C64"/>
    <w:rsid w:val="00651E4F"/>
    <w:rsid w:val="00652049"/>
    <w:rsid w:val="00652161"/>
    <w:rsid w:val="00652212"/>
    <w:rsid w:val="006524A3"/>
    <w:rsid w:val="00652EE2"/>
    <w:rsid w:val="00653C45"/>
    <w:rsid w:val="00653FB1"/>
    <w:rsid w:val="006544CA"/>
    <w:rsid w:val="00654598"/>
    <w:rsid w:val="0065462E"/>
    <w:rsid w:val="006547C6"/>
    <w:rsid w:val="00654D50"/>
    <w:rsid w:val="00654DFD"/>
    <w:rsid w:val="00654F39"/>
    <w:rsid w:val="00655A29"/>
    <w:rsid w:val="00655A5A"/>
    <w:rsid w:val="00655B51"/>
    <w:rsid w:val="00655BD5"/>
    <w:rsid w:val="00655CB5"/>
    <w:rsid w:val="00655EE2"/>
    <w:rsid w:val="00656035"/>
    <w:rsid w:val="006567C9"/>
    <w:rsid w:val="00656883"/>
    <w:rsid w:val="00656BA3"/>
    <w:rsid w:val="00656E47"/>
    <w:rsid w:val="00656E96"/>
    <w:rsid w:val="00657082"/>
    <w:rsid w:val="0065710D"/>
    <w:rsid w:val="006572FE"/>
    <w:rsid w:val="0065778D"/>
    <w:rsid w:val="00657797"/>
    <w:rsid w:val="006578EB"/>
    <w:rsid w:val="00657C18"/>
    <w:rsid w:val="00657E58"/>
    <w:rsid w:val="00657FC8"/>
    <w:rsid w:val="0066003E"/>
    <w:rsid w:val="00660260"/>
    <w:rsid w:val="006614D6"/>
    <w:rsid w:val="0066181D"/>
    <w:rsid w:val="006618CF"/>
    <w:rsid w:val="0066190F"/>
    <w:rsid w:val="00661AEF"/>
    <w:rsid w:val="00661B42"/>
    <w:rsid w:val="00661E84"/>
    <w:rsid w:val="0066204E"/>
    <w:rsid w:val="0066240C"/>
    <w:rsid w:val="00662C83"/>
    <w:rsid w:val="00662CF1"/>
    <w:rsid w:val="00662FB8"/>
    <w:rsid w:val="0066325E"/>
    <w:rsid w:val="006635C6"/>
    <w:rsid w:val="0066375A"/>
    <w:rsid w:val="00663B2C"/>
    <w:rsid w:val="00663C1D"/>
    <w:rsid w:val="00663C60"/>
    <w:rsid w:val="00664582"/>
    <w:rsid w:val="006646D7"/>
    <w:rsid w:val="00664A8F"/>
    <w:rsid w:val="00664CE6"/>
    <w:rsid w:val="006651EA"/>
    <w:rsid w:val="006651FC"/>
    <w:rsid w:val="00665220"/>
    <w:rsid w:val="00665242"/>
    <w:rsid w:val="00665490"/>
    <w:rsid w:val="006654B8"/>
    <w:rsid w:val="00665870"/>
    <w:rsid w:val="00665F5E"/>
    <w:rsid w:val="00665FC1"/>
    <w:rsid w:val="0066602B"/>
    <w:rsid w:val="00666086"/>
    <w:rsid w:val="006664DF"/>
    <w:rsid w:val="006670A1"/>
    <w:rsid w:val="0066714F"/>
    <w:rsid w:val="00667187"/>
    <w:rsid w:val="00667704"/>
    <w:rsid w:val="00667E23"/>
    <w:rsid w:val="0067044F"/>
    <w:rsid w:val="00670462"/>
    <w:rsid w:val="006704ED"/>
    <w:rsid w:val="00670659"/>
    <w:rsid w:val="00670BD7"/>
    <w:rsid w:val="00671048"/>
    <w:rsid w:val="00671366"/>
    <w:rsid w:val="006713BD"/>
    <w:rsid w:val="006717F9"/>
    <w:rsid w:val="00671BC5"/>
    <w:rsid w:val="006720AC"/>
    <w:rsid w:val="00672117"/>
    <w:rsid w:val="0067216A"/>
    <w:rsid w:val="00672487"/>
    <w:rsid w:val="006728F8"/>
    <w:rsid w:val="00672963"/>
    <w:rsid w:val="00672A6C"/>
    <w:rsid w:val="00672DE4"/>
    <w:rsid w:val="00673097"/>
    <w:rsid w:val="00673133"/>
    <w:rsid w:val="0067322A"/>
    <w:rsid w:val="006734CF"/>
    <w:rsid w:val="006735CC"/>
    <w:rsid w:val="00673A99"/>
    <w:rsid w:val="00673B20"/>
    <w:rsid w:val="00673D99"/>
    <w:rsid w:val="0067458F"/>
    <w:rsid w:val="006745B0"/>
    <w:rsid w:val="00674684"/>
    <w:rsid w:val="006746FB"/>
    <w:rsid w:val="00674779"/>
    <w:rsid w:val="006748C8"/>
    <w:rsid w:val="00674C89"/>
    <w:rsid w:val="00674FEB"/>
    <w:rsid w:val="0067505B"/>
    <w:rsid w:val="006751F5"/>
    <w:rsid w:val="00675630"/>
    <w:rsid w:val="0067588B"/>
    <w:rsid w:val="00675BE6"/>
    <w:rsid w:val="0067639A"/>
    <w:rsid w:val="006764B0"/>
    <w:rsid w:val="006769DC"/>
    <w:rsid w:val="006769DD"/>
    <w:rsid w:val="00676A28"/>
    <w:rsid w:val="00676AF4"/>
    <w:rsid w:val="00677100"/>
    <w:rsid w:val="00677289"/>
    <w:rsid w:val="00677404"/>
    <w:rsid w:val="00677753"/>
    <w:rsid w:val="00677F3D"/>
    <w:rsid w:val="006810F1"/>
    <w:rsid w:val="00681181"/>
    <w:rsid w:val="00681571"/>
    <w:rsid w:val="006819A6"/>
    <w:rsid w:val="00681D1B"/>
    <w:rsid w:val="00681EDE"/>
    <w:rsid w:val="006820D4"/>
    <w:rsid w:val="00682187"/>
    <w:rsid w:val="0068229A"/>
    <w:rsid w:val="00682690"/>
    <w:rsid w:val="006828D8"/>
    <w:rsid w:val="00682E31"/>
    <w:rsid w:val="00682E87"/>
    <w:rsid w:val="00683160"/>
    <w:rsid w:val="0068335F"/>
    <w:rsid w:val="0068372B"/>
    <w:rsid w:val="00683C36"/>
    <w:rsid w:val="00683D20"/>
    <w:rsid w:val="006841CF"/>
    <w:rsid w:val="00684290"/>
    <w:rsid w:val="006845DB"/>
    <w:rsid w:val="0068475E"/>
    <w:rsid w:val="006849D3"/>
    <w:rsid w:val="0068510B"/>
    <w:rsid w:val="006854B1"/>
    <w:rsid w:val="00685826"/>
    <w:rsid w:val="00685A56"/>
    <w:rsid w:val="00685BC2"/>
    <w:rsid w:val="00686081"/>
    <w:rsid w:val="006861F1"/>
    <w:rsid w:val="00686357"/>
    <w:rsid w:val="00686577"/>
    <w:rsid w:val="006866FF"/>
    <w:rsid w:val="00686C20"/>
    <w:rsid w:val="00686E92"/>
    <w:rsid w:val="006870F7"/>
    <w:rsid w:val="006873DC"/>
    <w:rsid w:val="00687838"/>
    <w:rsid w:val="00687E39"/>
    <w:rsid w:val="00687EED"/>
    <w:rsid w:val="0069058D"/>
    <w:rsid w:val="00690B5A"/>
    <w:rsid w:val="00690C6E"/>
    <w:rsid w:val="00690E80"/>
    <w:rsid w:val="00691404"/>
    <w:rsid w:val="00691813"/>
    <w:rsid w:val="00691FEB"/>
    <w:rsid w:val="006921F9"/>
    <w:rsid w:val="00692376"/>
    <w:rsid w:val="0069261A"/>
    <w:rsid w:val="006926BE"/>
    <w:rsid w:val="0069277C"/>
    <w:rsid w:val="00692817"/>
    <w:rsid w:val="006929D6"/>
    <w:rsid w:val="00692A6F"/>
    <w:rsid w:val="00692B7C"/>
    <w:rsid w:val="00692B9D"/>
    <w:rsid w:val="00693303"/>
    <w:rsid w:val="006936B8"/>
    <w:rsid w:val="0069387F"/>
    <w:rsid w:val="006939F3"/>
    <w:rsid w:val="00693D82"/>
    <w:rsid w:val="00693DE2"/>
    <w:rsid w:val="0069408A"/>
    <w:rsid w:val="006943D7"/>
    <w:rsid w:val="00694686"/>
    <w:rsid w:val="00694B5A"/>
    <w:rsid w:val="00694C1D"/>
    <w:rsid w:val="00694CE6"/>
    <w:rsid w:val="00694D67"/>
    <w:rsid w:val="00694E26"/>
    <w:rsid w:val="00694F86"/>
    <w:rsid w:val="00695242"/>
    <w:rsid w:val="00695558"/>
    <w:rsid w:val="00695586"/>
    <w:rsid w:val="00695769"/>
    <w:rsid w:val="00695A55"/>
    <w:rsid w:val="00695AA6"/>
    <w:rsid w:val="00695ABC"/>
    <w:rsid w:val="00695AE3"/>
    <w:rsid w:val="00695BAC"/>
    <w:rsid w:val="00695C13"/>
    <w:rsid w:val="00695F2D"/>
    <w:rsid w:val="006960D3"/>
    <w:rsid w:val="0069617D"/>
    <w:rsid w:val="0069651D"/>
    <w:rsid w:val="00696D38"/>
    <w:rsid w:val="00696FC7"/>
    <w:rsid w:val="006970AB"/>
    <w:rsid w:val="00697135"/>
    <w:rsid w:val="006971C3"/>
    <w:rsid w:val="006971D0"/>
    <w:rsid w:val="00697240"/>
    <w:rsid w:val="006972AB"/>
    <w:rsid w:val="0069738A"/>
    <w:rsid w:val="00697421"/>
    <w:rsid w:val="0069745B"/>
    <w:rsid w:val="0069776E"/>
    <w:rsid w:val="00697A06"/>
    <w:rsid w:val="00697A4E"/>
    <w:rsid w:val="00697B84"/>
    <w:rsid w:val="006A0305"/>
    <w:rsid w:val="006A03CF"/>
    <w:rsid w:val="006A0475"/>
    <w:rsid w:val="006A0662"/>
    <w:rsid w:val="006A0DAA"/>
    <w:rsid w:val="006A1030"/>
    <w:rsid w:val="006A12BD"/>
    <w:rsid w:val="006A12E6"/>
    <w:rsid w:val="006A16CD"/>
    <w:rsid w:val="006A173E"/>
    <w:rsid w:val="006A212D"/>
    <w:rsid w:val="006A27A3"/>
    <w:rsid w:val="006A2A4D"/>
    <w:rsid w:val="006A2DD1"/>
    <w:rsid w:val="006A31B8"/>
    <w:rsid w:val="006A3224"/>
    <w:rsid w:val="006A3412"/>
    <w:rsid w:val="006A34A2"/>
    <w:rsid w:val="006A3A89"/>
    <w:rsid w:val="006A3F74"/>
    <w:rsid w:val="006A4268"/>
    <w:rsid w:val="006A4733"/>
    <w:rsid w:val="006A4FE1"/>
    <w:rsid w:val="006A5225"/>
    <w:rsid w:val="006A52F1"/>
    <w:rsid w:val="006A577F"/>
    <w:rsid w:val="006A5F81"/>
    <w:rsid w:val="006A63EA"/>
    <w:rsid w:val="006A663A"/>
    <w:rsid w:val="006A6ABD"/>
    <w:rsid w:val="006A6BA3"/>
    <w:rsid w:val="006A6D85"/>
    <w:rsid w:val="006A6DC2"/>
    <w:rsid w:val="006A707D"/>
    <w:rsid w:val="006A712A"/>
    <w:rsid w:val="006A7405"/>
    <w:rsid w:val="006A79E0"/>
    <w:rsid w:val="006A7AA5"/>
    <w:rsid w:val="006A7FC4"/>
    <w:rsid w:val="006B0068"/>
    <w:rsid w:val="006B02D7"/>
    <w:rsid w:val="006B06EF"/>
    <w:rsid w:val="006B08A3"/>
    <w:rsid w:val="006B0C08"/>
    <w:rsid w:val="006B0C3E"/>
    <w:rsid w:val="006B0CDA"/>
    <w:rsid w:val="006B0EC1"/>
    <w:rsid w:val="006B0FE7"/>
    <w:rsid w:val="006B0FF0"/>
    <w:rsid w:val="006B1332"/>
    <w:rsid w:val="006B18E3"/>
    <w:rsid w:val="006B191C"/>
    <w:rsid w:val="006B1A14"/>
    <w:rsid w:val="006B1AFD"/>
    <w:rsid w:val="006B1B37"/>
    <w:rsid w:val="006B2185"/>
    <w:rsid w:val="006B2282"/>
    <w:rsid w:val="006B22D2"/>
    <w:rsid w:val="006B2599"/>
    <w:rsid w:val="006B3393"/>
    <w:rsid w:val="006B3BB3"/>
    <w:rsid w:val="006B41FD"/>
    <w:rsid w:val="006B43A7"/>
    <w:rsid w:val="006B4651"/>
    <w:rsid w:val="006B4691"/>
    <w:rsid w:val="006B4718"/>
    <w:rsid w:val="006B478D"/>
    <w:rsid w:val="006B4914"/>
    <w:rsid w:val="006B4B1D"/>
    <w:rsid w:val="006B57FB"/>
    <w:rsid w:val="006B5B54"/>
    <w:rsid w:val="006B5B7E"/>
    <w:rsid w:val="006B63A4"/>
    <w:rsid w:val="006B6BC9"/>
    <w:rsid w:val="006B70C1"/>
    <w:rsid w:val="006B7247"/>
    <w:rsid w:val="006B7A87"/>
    <w:rsid w:val="006B7E18"/>
    <w:rsid w:val="006B7F9B"/>
    <w:rsid w:val="006C0133"/>
    <w:rsid w:val="006C014C"/>
    <w:rsid w:val="006C018A"/>
    <w:rsid w:val="006C0267"/>
    <w:rsid w:val="006C06F6"/>
    <w:rsid w:val="006C0C75"/>
    <w:rsid w:val="006C0E61"/>
    <w:rsid w:val="006C1A28"/>
    <w:rsid w:val="006C1E99"/>
    <w:rsid w:val="006C1F0F"/>
    <w:rsid w:val="006C20E0"/>
    <w:rsid w:val="006C25A5"/>
    <w:rsid w:val="006C2681"/>
    <w:rsid w:val="006C2811"/>
    <w:rsid w:val="006C32DC"/>
    <w:rsid w:val="006C358A"/>
    <w:rsid w:val="006C3E17"/>
    <w:rsid w:val="006C3E62"/>
    <w:rsid w:val="006C4547"/>
    <w:rsid w:val="006C4B00"/>
    <w:rsid w:val="006C4B04"/>
    <w:rsid w:val="006C4D22"/>
    <w:rsid w:val="006C4FDA"/>
    <w:rsid w:val="006C57FC"/>
    <w:rsid w:val="006C5ADC"/>
    <w:rsid w:val="006C5ED6"/>
    <w:rsid w:val="006C65CC"/>
    <w:rsid w:val="006C6A66"/>
    <w:rsid w:val="006C6B2C"/>
    <w:rsid w:val="006C6F18"/>
    <w:rsid w:val="006C7340"/>
    <w:rsid w:val="006C7B34"/>
    <w:rsid w:val="006C7D17"/>
    <w:rsid w:val="006C7F1F"/>
    <w:rsid w:val="006D011B"/>
    <w:rsid w:val="006D0182"/>
    <w:rsid w:val="006D02C9"/>
    <w:rsid w:val="006D0341"/>
    <w:rsid w:val="006D07A4"/>
    <w:rsid w:val="006D0819"/>
    <w:rsid w:val="006D0826"/>
    <w:rsid w:val="006D0CC3"/>
    <w:rsid w:val="006D0F78"/>
    <w:rsid w:val="006D0FA9"/>
    <w:rsid w:val="006D112C"/>
    <w:rsid w:val="006D1496"/>
    <w:rsid w:val="006D1B02"/>
    <w:rsid w:val="006D1BFA"/>
    <w:rsid w:val="006D1D1F"/>
    <w:rsid w:val="006D26ED"/>
    <w:rsid w:val="006D275F"/>
    <w:rsid w:val="006D28D1"/>
    <w:rsid w:val="006D2C06"/>
    <w:rsid w:val="006D2F6B"/>
    <w:rsid w:val="006D3164"/>
    <w:rsid w:val="006D35F7"/>
    <w:rsid w:val="006D37A6"/>
    <w:rsid w:val="006D37A9"/>
    <w:rsid w:val="006D380F"/>
    <w:rsid w:val="006D399E"/>
    <w:rsid w:val="006D3BDD"/>
    <w:rsid w:val="006D3D2A"/>
    <w:rsid w:val="006D3D32"/>
    <w:rsid w:val="006D3F3D"/>
    <w:rsid w:val="006D4173"/>
    <w:rsid w:val="006D4481"/>
    <w:rsid w:val="006D452D"/>
    <w:rsid w:val="006D4A0A"/>
    <w:rsid w:val="006D4BEB"/>
    <w:rsid w:val="006D51AD"/>
    <w:rsid w:val="006D5548"/>
    <w:rsid w:val="006D578C"/>
    <w:rsid w:val="006D57A4"/>
    <w:rsid w:val="006D5939"/>
    <w:rsid w:val="006D5DE7"/>
    <w:rsid w:val="006D5FFA"/>
    <w:rsid w:val="006D60EC"/>
    <w:rsid w:val="006D60F8"/>
    <w:rsid w:val="006D6185"/>
    <w:rsid w:val="006D61AD"/>
    <w:rsid w:val="006D62D6"/>
    <w:rsid w:val="006D63BD"/>
    <w:rsid w:val="006D67C9"/>
    <w:rsid w:val="006D6EB4"/>
    <w:rsid w:val="006D756A"/>
    <w:rsid w:val="006D7782"/>
    <w:rsid w:val="006D79AA"/>
    <w:rsid w:val="006D7D58"/>
    <w:rsid w:val="006D7DE6"/>
    <w:rsid w:val="006D7ED7"/>
    <w:rsid w:val="006E082C"/>
    <w:rsid w:val="006E09C1"/>
    <w:rsid w:val="006E0A08"/>
    <w:rsid w:val="006E0A38"/>
    <w:rsid w:val="006E0A3C"/>
    <w:rsid w:val="006E101B"/>
    <w:rsid w:val="006E12A8"/>
    <w:rsid w:val="006E1891"/>
    <w:rsid w:val="006E1B30"/>
    <w:rsid w:val="006E1CF3"/>
    <w:rsid w:val="006E2281"/>
    <w:rsid w:val="006E233D"/>
    <w:rsid w:val="006E27CD"/>
    <w:rsid w:val="006E2B14"/>
    <w:rsid w:val="006E2B62"/>
    <w:rsid w:val="006E2F65"/>
    <w:rsid w:val="006E31CD"/>
    <w:rsid w:val="006E3406"/>
    <w:rsid w:val="006E3894"/>
    <w:rsid w:val="006E38BF"/>
    <w:rsid w:val="006E3D17"/>
    <w:rsid w:val="006E3D4D"/>
    <w:rsid w:val="006E3F41"/>
    <w:rsid w:val="006E44A0"/>
    <w:rsid w:val="006E46CC"/>
    <w:rsid w:val="006E4809"/>
    <w:rsid w:val="006E49C3"/>
    <w:rsid w:val="006E4ADF"/>
    <w:rsid w:val="006E4D39"/>
    <w:rsid w:val="006E4F1F"/>
    <w:rsid w:val="006E5100"/>
    <w:rsid w:val="006E5767"/>
    <w:rsid w:val="006E591C"/>
    <w:rsid w:val="006E5994"/>
    <w:rsid w:val="006E5ABF"/>
    <w:rsid w:val="006E5B46"/>
    <w:rsid w:val="006E5BB1"/>
    <w:rsid w:val="006E5F00"/>
    <w:rsid w:val="006E62E3"/>
    <w:rsid w:val="006E6F46"/>
    <w:rsid w:val="006E6FC5"/>
    <w:rsid w:val="006E75D6"/>
    <w:rsid w:val="006E7627"/>
    <w:rsid w:val="006E7B12"/>
    <w:rsid w:val="006E7B9B"/>
    <w:rsid w:val="006E7BC2"/>
    <w:rsid w:val="006E7C81"/>
    <w:rsid w:val="006E7D52"/>
    <w:rsid w:val="006E7FAC"/>
    <w:rsid w:val="006F01CC"/>
    <w:rsid w:val="006F0B6F"/>
    <w:rsid w:val="006F17D7"/>
    <w:rsid w:val="006F1D7D"/>
    <w:rsid w:val="006F1DEC"/>
    <w:rsid w:val="006F2049"/>
    <w:rsid w:val="006F24D4"/>
    <w:rsid w:val="006F26E3"/>
    <w:rsid w:val="006F29EC"/>
    <w:rsid w:val="006F2BED"/>
    <w:rsid w:val="006F2C18"/>
    <w:rsid w:val="006F2D9B"/>
    <w:rsid w:val="006F2E42"/>
    <w:rsid w:val="006F31C7"/>
    <w:rsid w:val="006F31FE"/>
    <w:rsid w:val="006F351D"/>
    <w:rsid w:val="006F3593"/>
    <w:rsid w:val="006F363B"/>
    <w:rsid w:val="006F3785"/>
    <w:rsid w:val="006F3AD3"/>
    <w:rsid w:val="006F3CAA"/>
    <w:rsid w:val="006F43B9"/>
    <w:rsid w:val="006F45B1"/>
    <w:rsid w:val="006F50E5"/>
    <w:rsid w:val="006F583B"/>
    <w:rsid w:val="006F5F8F"/>
    <w:rsid w:val="006F6202"/>
    <w:rsid w:val="006F6417"/>
    <w:rsid w:val="006F6D19"/>
    <w:rsid w:val="006F6D29"/>
    <w:rsid w:val="006F7464"/>
    <w:rsid w:val="006F751E"/>
    <w:rsid w:val="006F7671"/>
    <w:rsid w:val="006F7967"/>
    <w:rsid w:val="006F7A85"/>
    <w:rsid w:val="006F7E0C"/>
    <w:rsid w:val="006F7E2D"/>
    <w:rsid w:val="00700065"/>
    <w:rsid w:val="0070042A"/>
    <w:rsid w:val="00700C56"/>
    <w:rsid w:val="00700D38"/>
    <w:rsid w:val="00700D93"/>
    <w:rsid w:val="00700DD7"/>
    <w:rsid w:val="00700EF2"/>
    <w:rsid w:val="0070119E"/>
    <w:rsid w:val="00701383"/>
    <w:rsid w:val="00701924"/>
    <w:rsid w:val="00701AAB"/>
    <w:rsid w:val="00701BA5"/>
    <w:rsid w:val="00701FDF"/>
    <w:rsid w:val="007027C0"/>
    <w:rsid w:val="00702962"/>
    <w:rsid w:val="007036F8"/>
    <w:rsid w:val="007039F7"/>
    <w:rsid w:val="00703B11"/>
    <w:rsid w:val="00703EEA"/>
    <w:rsid w:val="007043C2"/>
    <w:rsid w:val="00704468"/>
    <w:rsid w:val="007045E5"/>
    <w:rsid w:val="007045FE"/>
    <w:rsid w:val="007046B7"/>
    <w:rsid w:val="00704887"/>
    <w:rsid w:val="00704899"/>
    <w:rsid w:val="00704C7E"/>
    <w:rsid w:val="00705016"/>
    <w:rsid w:val="0070528C"/>
    <w:rsid w:val="007052A2"/>
    <w:rsid w:val="00705454"/>
    <w:rsid w:val="00705AB5"/>
    <w:rsid w:val="00705C83"/>
    <w:rsid w:val="00705D11"/>
    <w:rsid w:val="007062EE"/>
    <w:rsid w:val="007069B6"/>
    <w:rsid w:val="00706ACB"/>
    <w:rsid w:val="00706E39"/>
    <w:rsid w:val="00706E5C"/>
    <w:rsid w:val="00707422"/>
    <w:rsid w:val="007074E3"/>
    <w:rsid w:val="007075B4"/>
    <w:rsid w:val="00707934"/>
    <w:rsid w:val="00707AF5"/>
    <w:rsid w:val="00707C38"/>
    <w:rsid w:val="00707C6E"/>
    <w:rsid w:val="00707C7C"/>
    <w:rsid w:val="00707F7F"/>
    <w:rsid w:val="00710181"/>
    <w:rsid w:val="007103A2"/>
    <w:rsid w:val="007103CD"/>
    <w:rsid w:val="0071073D"/>
    <w:rsid w:val="0071074B"/>
    <w:rsid w:val="00710927"/>
    <w:rsid w:val="00710AD2"/>
    <w:rsid w:val="00710EC2"/>
    <w:rsid w:val="00710FA2"/>
    <w:rsid w:val="00711040"/>
    <w:rsid w:val="007114D8"/>
    <w:rsid w:val="00711544"/>
    <w:rsid w:val="00711589"/>
    <w:rsid w:val="007118F7"/>
    <w:rsid w:val="007119F1"/>
    <w:rsid w:val="00711A66"/>
    <w:rsid w:val="00711B68"/>
    <w:rsid w:val="00711B85"/>
    <w:rsid w:val="00711D9F"/>
    <w:rsid w:val="00711E50"/>
    <w:rsid w:val="00712097"/>
    <w:rsid w:val="007122A4"/>
    <w:rsid w:val="0071263E"/>
    <w:rsid w:val="00712C8F"/>
    <w:rsid w:val="00712CF9"/>
    <w:rsid w:val="00712E27"/>
    <w:rsid w:val="00712F3E"/>
    <w:rsid w:val="00713370"/>
    <w:rsid w:val="007133A9"/>
    <w:rsid w:val="0071398A"/>
    <w:rsid w:val="0071422C"/>
    <w:rsid w:val="007143F5"/>
    <w:rsid w:val="00714831"/>
    <w:rsid w:val="00714965"/>
    <w:rsid w:val="00714FA1"/>
    <w:rsid w:val="00715246"/>
    <w:rsid w:val="00715252"/>
    <w:rsid w:val="00715260"/>
    <w:rsid w:val="007152F3"/>
    <w:rsid w:val="0071555B"/>
    <w:rsid w:val="007159DB"/>
    <w:rsid w:val="00715A7E"/>
    <w:rsid w:val="00715F7D"/>
    <w:rsid w:val="007163A5"/>
    <w:rsid w:val="007163BC"/>
    <w:rsid w:val="00716549"/>
    <w:rsid w:val="00716B66"/>
    <w:rsid w:val="00717092"/>
    <w:rsid w:val="007172B6"/>
    <w:rsid w:val="007178EF"/>
    <w:rsid w:val="00720454"/>
    <w:rsid w:val="00720471"/>
    <w:rsid w:val="0072048A"/>
    <w:rsid w:val="00720684"/>
    <w:rsid w:val="00720860"/>
    <w:rsid w:val="00720960"/>
    <w:rsid w:val="00720A57"/>
    <w:rsid w:val="00720D75"/>
    <w:rsid w:val="00720D88"/>
    <w:rsid w:val="00721844"/>
    <w:rsid w:val="00721B9A"/>
    <w:rsid w:val="00721FB3"/>
    <w:rsid w:val="0072228A"/>
    <w:rsid w:val="007222BD"/>
    <w:rsid w:val="007222DA"/>
    <w:rsid w:val="007224D3"/>
    <w:rsid w:val="007228AF"/>
    <w:rsid w:val="007229B0"/>
    <w:rsid w:val="00722AC6"/>
    <w:rsid w:val="00722B41"/>
    <w:rsid w:val="00722C10"/>
    <w:rsid w:val="00722E7D"/>
    <w:rsid w:val="007230DD"/>
    <w:rsid w:val="00723272"/>
    <w:rsid w:val="0072362E"/>
    <w:rsid w:val="007238B8"/>
    <w:rsid w:val="00723DAA"/>
    <w:rsid w:val="007241A7"/>
    <w:rsid w:val="0072439C"/>
    <w:rsid w:val="007243BD"/>
    <w:rsid w:val="00724870"/>
    <w:rsid w:val="00724CA2"/>
    <w:rsid w:val="00724D8A"/>
    <w:rsid w:val="0072522B"/>
    <w:rsid w:val="007252A1"/>
    <w:rsid w:val="0072555F"/>
    <w:rsid w:val="00725586"/>
    <w:rsid w:val="007258A8"/>
    <w:rsid w:val="00725904"/>
    <w:rsid w:val="00725EDD"/>
    <w:rsid w:val="0072612C"/>
    <w:rsid w:val="00726541"/>
    <w:rsid w:val="007266A1"/>
    <w:rsid w:val="0072688C"/>
    <w:rsid w:val="00726D60"/>
    <w:rsid w:val="00727018"/>
    <w:rsid w:val="00727793"/>
    <w:rsid w:val="007279AB"/>
    <w:rsid w:val="00727BCC"/>
    <w:rsid w:val="00727FFE"/>
    <w:rsid w:val="00730051"/>
    <w:rsid w:val="00730A2A"/>
    <w:rsid w:val="00730BB2"/>
    <w:rsid w:val="00730E9C"/>
    <w:rsid w:val="00731240"/>
    <w:rsid w:val="00731479"/>
    <w:rsid w:val="00731A49"/>
    <w:rsid w:val="007326F6"/>
    <w:rsid w:val="00732918"/>
    <w:rsid w:val="007331C6"/>
    <w:rsid w:val="00733344"/>
    <w:rsid w:val="00733F54"/>
    <w:rsid w:val="007342D6"/>
    <w:rsid w:val="0073444C"/>
    <w:rsid w:val="0073447B"/>
    <w:rsid w:val="0073466F"/>
    <w:rsid w:val="007347DF"/>
    <w:rsid w:val="007349B1"/>
    <w:rsid w:val="00734C9F"/>
    <w:rsid w:val="00734F42"/>
    <w:rsid w:val="00734F67"/>
    <w:rsid w:val="007350CC"/>
    <w:rsid w:val="007352BC"/>
    <w:rsid w:val="0073536F"/>
    <w:rsid w:val="0073549D"/>
    <w:rsid w:val="00735B4A"/>
    <w:rsid w:val="00735E7D"/>
    <w:rsid w:val="00735EF3"/>
    <w:rsid w:val="00735F46"/>
    <w:rsid w:val="00736252"/>
    <w:rsid w:val="00736456"/>
    <w:rsid w:val="007364FC"/>
    <w:rsid w:val="00736584"/>
    <w:rsid w:val="00736888"/>
    <w:rsid w:val="00737040"/>
    <w:rsid w:val="0073709E"/>
    <w:rsid w:val="0073744A"/>
    <w:rsid w:val="0073751D"/>
    <w:rsid w:val="007375BE"/>
    <w:rsid w:val="007378D9"/>
    <w:rsid w:val="00737B05"/>
    <w:rsid w:val="00737BF0"/>
    <w:rsid w:val="00737D57"/>
    <w:rsid w:val="00737D90"/>
    <w:rsid w:val="00740910"/>
    <w:rsid w:val="0074099E"/>
    <w:rsid w:val="00740AAF"/>
    <w:rsid w:val="00740B4F"/>
    <w:rsid w:val="007410AE"/>
    <w:rsid w:val="00741175"/>
    <w:rsid w:val="00741343"/>
    <w:rsid w:val="007413A0"/>
    <w:rsid w:val="00741427"/>
    <w:rsid w:val="007415E1"/>
    <w:rsid w:val="00741E76"/>
    <w:rsid w:val="00742084"/>
    <w:rsid w:val="007429F5"/>
    <w:rsid w:val="00742A21"/>
    <w:rsid w:val="00742CF0"/>
    <w:rsid w:val="00742D4A"/>
    <w:rsid w:val="00742E48"/>
    <w:rsid w:val="00742E82"/>
    <w:rsid w:val="007432EC"/>
    <w:rsid w:val="0074366D"/>
    <w:rsid w:val="00743929"/>
    <w:rsid w:val="00743A5F"/>
    <w:rsid w:val="00743AD6"/>
    <w:rsid w:val="00743B8B"/>
    <w:rsid w:val="007441C0"/>
    <w:rsid w:val="007442AB"/>
    <w:rsid w:val="007444DD"/>
    <w:rsid w:val="00744800"/>
    <w:rsid w:val="00744917"/>
    <w:rsid w:val="00744C78"/>
    <w:rsid w:val="0074526E"/>
    <w:rsid w:val="00745304"/>
    <w:rsid w:val="007459B2"/>
    <w:rsid w:val="00746150"/>
    <w:rsid w:val="00746344"/>
    <w:rsid w:val="00747A64"/>
    <w:rsid w:val="00747B54"/>
    <w:rsid w:val="00747CD4"/>
    <w:rsid w:val="00747D3B"/>
    <w:rsid w:val="00747EE3"/>
    <w:rsid w:val="00747F86"/>
    <w:rsid w:val="0075003E"/>
    <w:rsid w:val="00750186"/>
    <w:rsid w:val="0075053F"/>
    <w:rsid w:val="00750AC7"/>
    <w:rsid w:val="00750D91"/>
    <w:rsid w:val="00750E29"/>
    <w:rsid w:val="007511E7"/>
    <w:rsid w:val="00751291"/>
    <w:rsid w:val="0075182D"/>
    <w:rsid w:val="0075190E"/>
    <w:rsid w:val="00751963"/>
    <w:rsid w:val="00751A86"/>
    <w:rsid w:val="00751F7D"/>
    <w:rsid w:val="00752199"/>
    <w:rsid w:val="00752352"/>
    <w:rsid w:val="007523C2"/>
    <w:rsid w:val="00752DC2"/>
    <w:rsid w:val="007530FD"/>
    <w:rsid w:val="007535D7"/>
    <w:rsid w:val="007538DB"/>
    <w:rsid w:val="00753B4A"/>
    <w:rsid w:val="00753DA3"/>
    <w:rsid w:val="00753EC8"/>
    <w:rsid w:val="00753F44"/>
    <w:rsid w:val="00754052"/>
    <w:rsid w:val="0075407D"/>
    <w:rsid w:val="007540D5"/>
    <w:rsid w:val="0075445F"/>
    <w:rsid w:val="00755DA0"/>
    <w:rsid w:val="00756259"/>
    <w:rsid w:val="0075631E"/>
    <w:rsid w:val="0075642D"/>
    <w:rsid w:val="00756554"/>
    <w:rsid w:val="0075665D"/>
    <w:rsid w:val="007567AD"/>
    <w:rsid w:val="007569BD"/>
    <w:rsid w:val="0075702B"/>
    <w:rsid w:val="00757071"/>
    <w:rsid w:val="0075710D"/>
    <w:rsid w:val="0075747B"/>
    <w:rsid w:val="00757530"/>
    <w:rsid w:val="00757792"/>
    <w:rsid w:val="00757B54"/>
    <w:rsid w:val="00757D7F"/>
    <w:rsid w:val="00760628"/>
    <w:rsid w:val="00760689"/>
    <w:rsid w:val="00760A66"/>
    <w:rsid w:val="00760E00"/>
    <w:rsid w:val="00760E4F"/>
    <w:rsid w:val="00761705"/>
    <w:rsid w:val="00761959"/>
    <w:rsid w:val="00761A0F"/>
    <w:rsid w:val="00761C67"/>
    <w:rsid w:val="00762103"/>
    <w:rsid w:val="007621D7"/>
    <w:rsid w:val="00762545"/>
    <w:rsid w:val="00762610"/>
    <w:rsid w:val="0076278D"/>
    <w:rsid w:val="0076282B"/>
    <w:rsid w:val="0076290C"/>
    <w:rsid w:val="007631DF"/>
    <w:rsid w:val="00763295"/>
    <w:rsid w:val="00763621"/>
    <w:rsid w:val="00763A0D"/>
    <w:rsid w:val="00763A9C"/>
    <w:rsid w:val="00763C63"/>
    <w:rsid w:val="00763F08"/>
    <w:rsid w:val="00763FE1"/>
    <w:rsid w:val="0076404F"/>
    <w:rsid w:val="0076441D"/>
    <w:rsid w:val="00764595"/>
    <w:rsid w:val="00764620"/>
    <w:rsid w:val="0076479B"/>
    <w:rsid w:val="00765279"/>
    <w:rsid w:val="00765803"/>
    <w:rsid w:val="00765D9C"/>
    <w:rsid w:val="0076610F"/>
    <w:rsid w:val="00766270"/>
    <w:rsid w:val="00766CD8"/>
    <w:rsid w:val="007677A5"/>
    <w:rsid w:val="007678FE"/>
    <w:rsid w:val="0076798C"/>
    <w:rsid w:val="00767E7F"/>
    <w:rsid w:val="0077001C"/>
    <w:rsid w:val="00770056"/>
    <w:rsid w:val="007700F3"/>
    <w:rsid w:val="00770384"/>
    <w:rsid w:val="007703D6"/>
    <w:rsid w:val="00770A14"/>
    <w:rsid w:val="00770A7F"/>
    <w:rsid w:val="00770EC8"/>
    <w:rsid w:val="00771173"/>
    <w:rsid w:val="00771352"/>
    <w:rsid w:val="00771386"/>
    <w:rsid w:val="00771875"/>
    <w:rsid w:val="00771BCB"/>
    <w:rsid w:val="00772087"/>
    <w:rsid w:val="00772127"/>
    <w:rsid w:val="0077225C"/>
    <w:rsid w:val="00772295"/>
    <w:rsid w:val="0077266C"/>
    <w:rsid w:val="0077283C"/>
    <w:rsid w:val="00772B3A"/>
    <w:rsid w:val="007734A2"/>
    <w:rsid w:val="007734C0"/>
    <w:rsid w:val="0077377A"/>
    <w:rsid w:val="00773A85"/>
    <w:rsid w:val="00773AFF"/>
    <w:rsid w:val="00773E2F"/>
    <w:rsid w:val="00773FA1"/>
    <w:rsid w:val="00774170"/>
    <w:rsid w:val="00774448"/>
    <w:rsid w:val="0077480F"/>
    <w:rsid w:val="00774AA7"/>
    <w:rsid w:val="00775093"/>
    <w:rsid w:val="0077534B"/>
    <w:rsid w:val="0077547C"/>
    <w:rsid w:val="007755FB"/>
    <w:rsid w:val="007758D5"/>
    <w:rsid w:val="00775D28"/>
    <w:rsid w:val="00775F0D"/>
    <w:rsid w:val="007762C6"/>
    <w:rsid w:val="00776676"/>
    <w:rsid w:val="00776798"/>
    <w:rsid w:val="00776873"/>
    <w:rsid w:val="00776DC4"/>
    <w:rsid w:val="00777206"/>
    <w:rsid w:val="00777480"/>
    <w:rsid w:val="007776C0"/>
    <w:rsid w:val="0077772E"/>
    <w:rsid w:val="007778D1"/>
    <w:rsid w:val="00777BB2"/>
    <w:rsid w:val="007800DA"/>
    <w:rsid w:val="00780238"/>
    <w:rsid w:val="007803C1"/>
    <w:rsid w:val="007803D8"/>
    <w:rsid w:val="00780843"/>
    <w:rsid w:val="007809BB"/>
    <w:rsid w:val="0078119F"/>
    <w:rsid w:val="0078136B"/>
    <w:rsid w:val="00781868"/>
    <w:rsid w:val="0078193F"/>
    <w:rsid w:val="00781B61"/>
    <w:rsid w:val="00782966"/>
    <w:rsid w:val="00782A0D"/>
    <w:rsid w:val="00783043"/>
    <w:rsid w:val="0078340E"/>
    <w:rsid w:val="00783519"/>
    <w:rsid w:val="007836C6"/>
    <w:rsid w:val="007837DB"/>
    <w:rsid w:val="00783B72"/>
    <w:rsid w:val="00783F01"/>
    <w:rsid w:val="00783FB2"/>
    <w:rsid w:val="00784057"/>
    <w:rsid w:val="007847CE"/>
    <w:rsid w:val="00784A47"/>
    <w:rsid w:val="00784BC4"/>
    <w:rsid w:val="00784D61"/>
    <w:rsid w:val="00784E42"/>
    <w:rsid w:val="0078522C"/>
    <w:rsid w:val="007857C5"/>
    <w:rsid w:val="00786126"/>
    <w:rsid w:val="00786245"/>
    <w:rsid w:val="0078631A"/>
    <w:rsid w:val="007864D6"/>
    <w:rsid w:val="007867F9"/>
    <w:rsid w:val="007868B9"/>
    <w:rsid w:val="00786C04"/>
    <w:rsid w:val="00786EE2"/>
    <w:rsid w:val="007872A7"/>
    <w:rsid w:val="00787681"/>
    <w:rsid w:val="0078770B"/>
    <w:rsid w:val="0079003E"/>
    <w:rsid w:val="0079069E"/>
    <w:rsid w:val="00790735"/>
    <w:rsid w:val="007908AB"/>
    <w:rsid w:val="00790A81"/>
    <w:rsid w:val="00790F2D"/>
    <w:rsid w:val="007915F7"/>
    <w:rsid w:val="007918A0"/>
    <w:rsid w:val="007919EE"/>
    <w:rsid w:val="00791AC2"/>
    <w:rsid w:val="00791BBA"/>
    <w:rsid w:val="00791BE1"/>
    <w:rsid w:val="00791D0E"/>
    <w:rsid w:val="00791D26"/>
    <w:rsid w:val="00791DBD"/>
    <w:rsid w:val="00791F15"/>
    <w:rsid w:val="00791F27"/>
    <w:rsid w:val="00792235"/>
    <w:rsid w:val="007924C2"/>
    <w:rsid w:val="007924E3"/>
    <w:rsid w:val="00792B08"/>
    <w:rsid w:val="00792B21"/>
    <w:rsid w:val="00792EE6"/>
    <w:rsid w:val="00792F7C"/>
    <w:rsid w:val="00793162"/>
    <w:rsid w:val="00793634"/>
    <w:rsid w:val="007936AF"/>
    <w:rsid w:val="00793807"/>
    <w:rsid w:val="00793970"/>
    <w:rsid w:val="00793B6E"/>
    <w:rsid w:val="00793C0C"/>
    <w:rsid w:val="007940CF"/>
    <w:rsid w:val="007943C5"/>
    <w:rsid w:val="00794829"/>
    <w:rsid w:val="007948A7"/>
    <w:rsid w:val="00794952"/>
    <w:rsid w:val="00794B2B"/>
    <w:rsid w:val="00794B68"/>
    <w:rsid w:val="00795465"/>
    <w:rsid w:val="00795707"/>
    <w:rsid w:val="007958FB"/>
    <w:rsid w:val="007959DB"/>
    <w:rsid w:val="00795E3C"/>
    <w:rsid w:val="00796149"/>
    <w:rsid w:val="007965AC"/>
    <w:rsid w:val="007966E8"/>
    <w:rsid w:val="007973A6"/>
    <w:rsid w:val="00797D5D"/>
    <w:rsid w:val="007A0122"/>
    <w:rsid w:val="007A019C"/>
    <w:rsid w:val="007A03F6"/>
    <w:rsid w:val="007A053E"/>
    <w:rsid w:val="007A0DF4"/>
    <w:rsid w:val="007A0FB5"/>
    <w:rsid w:val="007A10F6"/>
    <w:rsid w:val="007A172E"/>
    <w:rsid w:val="007A1817"/>
    <w:rsid w:val="007A196A"/>
    <w:rsid w:val="007A214A"/>
    <w:rsid w:val="007A243C"/>
    <w:rsid w:val="007A263F"/>
    <w:rsid w:val="007A2809"/>
    <w:rsid w:val="007A2862"/>
    <w:rsid w:val="007A28F2"/>
    <w:rsid w:val="007A2991"/>
    <w:rsid w:val="007A3290"/>
    <w:rsid w:val="007A39A5"/>
    <w:rsid w:val="007A3D73"/>
    <w:rsid w:val="007A3F6B"/>
    <w:rsid w:val="007A4263"/>
    <w:rsid w:val="007A4831"/>
    <w:rsid w:val="007A4BEF"/>
    <w:rsid w:val="007A4D29"/>
    <w:rsid w:val="007A5040"/>
    <w:rsid w:val="007A5043"/>
    <w:rsid w:val="007A51B3"/>
    <w:rsid w:val="007A534E"/>
    <w:rsid w:val="007A5876"/>
    <w:rsid w:val="007A589F"/>
    <w:rsid w:val="007A5A8F"/>
    <w:rsid w:val="007A5BB1"/>
    <w:rsid w:val="007A5CB4"/>
    <w:rsid w:val="007A637D"/>
    <w:rsid w:val="007A669D"/>
    <w:rsid w:val="007A678F"/>
    <w:rsid w:val="007A679E"/>
    <w:rsid w:val="007A6884"/>
    <w:rsid w:val="007A773E"/>
    <w:rsid w:val="007A7768"/>
    <w:rsid w:val="007B04E2"/>
    <w:rsid w:val="007B05DC"/>
    <w:rsid w:val="007B08B8"/>
    <w:rsid w:val="007B0918"/>
    <w:rsid w:val="007B09E6"/>
    <w:rsid w:val="007B0ED4"/>
    <w:rsid w:val="007B113D"/>
    <w:rsid w:val="007B13E2"/>
    <w:rsid w:val="007B17E2"/>
    <w:rsid w:val="007B19A6"/>
    <w:rsid w:val="007B1BAD"/>
    <w:rsid w:val="007B1DA8"/>
    <w:rsid w:val="007B1EEF"/>
    <w:rsid w:val="007B1EF1"/>
    <w:rsid w:val="007B2124"/>
    <w:rsid w:val="007B2870"/>
    <w:rsid w:val="007B2AF7"/>
    <w:rsid w:val="007B2AFA"/>
    <w:rsid w:val="007B3165"/>
    <w:rsid w:val="007B341F"/>
    <w:rsid w:val="007B3A5E"/>
    <w:rsid w:val="007B3A86"/>
    <w:rsid w:val="007B3B21"/>
    <w:rsid w:val="007B3C43"/>
    <w:rsid w:val="007B3FD2"/>
    <w:rsid w:val="007B4295"/>
    <w:rsid w:val="007B4554"/>
    <w:rsid w:val="007B45A4"/>
    <w:rsid w:val="007B48DD"/>
    <w:rsid w:val="007B494E"/>
    <w:rsid w:val="007B4A0C"/>
    <w:rsid w:val="007B4BB3"/>
    <w:rsid w:val="007B4EDC"/>
    <w:rsid w:val="007B5448"/>
    <w:rsid w:val="007B58AF"/>
    <w:rsid w:val="007B5A7D"/>
    <w:rsid w:val="007B5BE5"/>
    <w:rsid w:val="007B5D29"/>
    <w:rsid w:val="007B611F"/>
    <w:rsid w:val="007B6166"/>
    <w:rsid w:val="007B669F"/>
    <w:rsid w:val="007B66CA"/>
    <w:rsid w:val="007B691A"/>
    <w:rsid w:val="007B69CE"/>
    <w:rsid w:val="007B7034"/>
    <w:rsid w:val="007B71D7"/>
    <w:rsid w:val="007B728D"/>
    <w:rsid w:val="007B7429"/>
    <w:rsid w:val="007B75E9"/>
    <w:rsid w:val="007B7635"/>
    <w:rsid w:val="007B76AC"/>
    <w:rsid w:val="007B7727"/>
    <w:rsid w:val="007B7C7E"/>
    <w:rsid w:val="007B7DDD"/>
    <w:rsid w:val="007B7F74"/>
    <w:rsid w:val="007B7FA9"/>
    <w:rsid w:val="007C0E1E"/>
    <w:rsid w:val="007C10F4"/>
    <w:rsid w:val="007C12F9"/>
    <w:rsid w:val="007C134C"/>
    <w:rsid w:val="007C1AB4"/>
    <w:rsid w:val="007C1D99"/>
    <w:rsid w:val="007C1E2E"/>
    <w:rsid w:val="007C1E87"/>
    <w:rsid w:val="007C2399"/>
    <w:rsid w:val="007C24A3"/>
    <w:rsid w:val="007C252E"/>
    <w:rsid w:val="007C253D"/>
    <w:rsid w:val="007C258D"/>
    <w:rsid w:val="007C25B6"/>
    <w:rsid w:val="007C27F9"/>
    <w:rsid w:val="007C28CF"/>
    <w:rsid w:val="007C2B61"/>
    <w:rsid w:val="007C2FA4"/>
    <w:rsid w:val="007C302D"/>
    <w:rsid w:val="007C322F"/>
    <w:rsid w:val="007C3255"/>
    <w:rsid w:val="007C34A0"/>
    <w:rsid w:val="007C3554"/>
    <w:rsid w:val="007C3700"/>
    <w:rsid w:val="007C3722"/>
    <w:rsid w:val="007C3EC4"/>
    <w:rsid w:val="007C3ED5"/>
    <w:rsid w:val="007C430B"/>
    <w:rsid w:val="007C4404"/>
    <w:rsid w:val="007C47E7"/>
    <w:rsid w:val="007C4BC5"/>
    <w:rsid w:val="007C4C7D"/>
    <w:rsid w:val="007C4F9A"/>
    <w:rsid w:val="007C5440"/>
    <w:rsid w:val="007C5516"/>
    <w:rsid w:val="007C5720"/>
    <w:rsid w:val="007C587F"/>
    <w:rsid w:val="007C5A7B"/>
    <w:rsid w:val="007C5AC4"/>
    <w:rsid w:val="007C5CAE"/>
    <w:rsid w:val="007C5D5A"/>
    <w:rsid w:val="007C5E57"/>
    <w:rsid w:val="007C61B1"/>
    <w:rsid w:val="007C6364"/>
    <w:rsid w:val="007C65E4"/>
    <w:rsid w:val="007C672C"/>
    <w:rsid w:val="007C6844"/>
    <w:rsid w:val="007C6B38"/>
    <w:rsid w:val="007C6F44"/>
    <w:rsid w:val="007C707D"/>
    <w:rsid w:val="007C708A"/>
    <w:rsid w:val="007C71A1"/>
    <w:rsid w:val="007C71CC"/>
    <w:rsid w:val="007C73F9"/>
    <w:rsid w:val="007C73FB"/>
    <w:rsid w:val="007C7704"/>
    <w:rsid w:val="007C7CE2"/>
    <w:rsid w:val="007C7E24"/>
    <w:rsid w:val="007D0240"/>
    <w:rsid w:val="007D02F7"/>
    <w:rsid w:val="007D091A"/>
    <w:rsid w:val="007D0931"/>
    <w:rsid w:val="007D0C42"/>
    <w:rsid w:val="007D0CC0"/>
    <w:rsid w:val="007D0F64"/>
    <w:rsid w:val="007D100D"/>
    <w:rsid w:val="007D159C"/>
    <w:rsid w:val="007D15C3"/>
    <w:rsid w:val="007D169D"/>
    <w:rsid w:val="007D19CD"/>
    <w:rsid w:val="007D1C1D"/>
    <w:rsid w:val="007D1E75"/>
    <w:rsid w:val="007D1ED9"/>
    <w:rsid w:val="007D1FC8"/>
    <w:rsid w:val="007D2071"/>
    <w:rsid w:val="007D238C"/>
    <w:rsid w:val="007D260A"/>
    <w:rsid w:val="007D2B05"/>
    <w:rsid w:val="007D2D73"/>
    <w:rsid w:val="007D2E42"/>
    <w:rsid w:val="007D3137"/>
    <w:rsid w:val="007D31A7"/>
    <w:rsid w:val="007D3294"/>
    <w:rsid w:val="007D3370"/>
    <w:rsid w:val="007D341D"/>
    <w:rsid w:val="007D3870"/>
    <w:rsid w:val="007D3991"/>
    <w:rsid w:val="007D399B"/>
    <w:rsid w:val="007D3A40"/>
    <w:rsid w:val="007D3DF7"/>
    <w:rsid w:val="007D3E05"/>
    <w:rsid w:val="007D3ECF"/>
    <w:rsid w:val="007D4AF7"/>
    <w:rsid w:val="007D4F2B"/>
    <w:rsid w:val="007D51D8"/>
    <w:rsid w:val="007D51EE"/>
    <w:rsid w:val="007D5359"/>
    <w:rsid w:val="007D5A21"/>
    <w:rsid w:val="007D5BF9"/>
    <w:rsid w:val="007D5C9E"/>
    <w:rsid w:val="007D5D0E"/>
    <w:rsid w:val="007D5E71"/>
    <w:rsid w:val="007D6189"/>
    <w:rsid w:val="007D6BFD"/>
    <w:rsid w:val="007D6CBE"/>
    <w:rsid w:val="007D6EC4"/>
    <w:rsid w:val="007D716A"/>
    <w:rsid w:val="007D7272"/>
    <w:rsid w:val="007D75FD"/>
    <w:rsid w:val="007D7B67"/>
    <w:rsid w:val="007E02ED"/>
    <w:rsid w:val="007E05BE"/>
    <w:rsid w:val="007E097C"/>
    <w:rsid w:val="007E0986"/>
    <w:rsid w:val="007E0AA8"/>
    <w:rsid w:val="007E0B65"/>
    <w:rsid w:val="007E109B"/>
    <w:rsid w:val="007E10FF"/>
    <w:rsid w:val="007E1695"/>
    <w:rsid w:val="007E1B05"/>
    <w:rsid w:val="007E1FD7"/>
    <w:rsid w:val="007E1FF0"/>
    <w:rsid w:val="007E22CF"/>
    <w:rsid w:val="007E2427"/>
    <w:rsid w:val="007E245A"/>
    <w:rsid w:val="007E2639"/>
    <w:rsid w:val="007E2D3B"/>
    <w:rsid w:val="007E3064"/>
    <w:rsid w:val="007E33C8"/>
    <w:rsid w:val="007E351D"/>
    <w:rsid w:val="007E3FC0"/>
    <w:rsid w:val="007E41F4"/>
    <w:rsid w:val="007E42FB"/>
    <w:rsid w:val="007E479D"/>
    <w:rsid w:val="007E4F05"/>
    <w:rsid w:val="007E5130"/>
    <w:rsid w:val="007E5290"/>
    <w:rsid w:val="007E54B4"/>
    <w:rsid w:val="007E5785"/>
    <w:rsid w:val="007E57AF"/>
    <w:rsid w:val="007E5C33"/>
    <w:rsid w:val="007E6079"/>
    <w:rsid w:val="007E66D5"/>
    <w:rsid w:val="007E690E"/>
    <w:rsid w:val="007E6B4F"/>
    <w:rsid w:val="007E6BC5"/>
    <w:rsid w:val="007E7197"/>
    <w:rsid w:val="007E779B"/>
    <w:rsid w:val="007E78E7"/>
    <w:rsid w:val="007E7A25"/>
    <w:rsid w:val="007E7E7B"/>
    <w:rsid w:val="007F00D8"/>
    <w:rsid w:val="007F076E"/>
    <w:rsid w:val="007F0DE4"/>
    <w:rsid w:val="007F0DE7"/>
    <w:rsid w:val="007F0FB4"/>
    <w:rsid w:val="007F14E4"/>
    <w:rsid w:val="007F14EC"/>
    <w:rsid w:val="007F1625"/>
    <w:rsid w:val="007F162C"/>
    <w:rsid w:val="007F179A"/>
    <w:rsid w:val="007F1A7A"/>
    <w:rsid w:val="007F1C79"/>
    <w:rsid w:val="007F219E"/>
    <w:rsid w:val="007F2509"/>
    <w:rsid w:val="007F2768"/>
    <w:rsid w:val="007F2802"/>
    <w:rsid w:val="007F2994"/>
    <w:rsid w:val="007F2EF6"/>
    <w:rsid w:val="007F352F"/>
    <w:rsid w:val="007F367D"/>
    <w:rsid w:val="007F3DCA"/>
    <w:rsid w:val="007F3E3C"/>
    <w:rsid w:val="007F3E59"/>
    <w:rsid w:val="007F420E"/>
    <w:rsid w:val="007F42C5"/>
    <w:rsid w:val="007F46F5"/>
    <w:rsid w:val="007F4B94"/>
    <w:rsid w:val="007F4F3F"/>
    <w:rsid w:val="007F53BC"/>
    <w:rsid w:val="007F54CA"/>
    <w:rsid w:val="007F5660"/>
    <w:rsid w:val="007F5824"/>
    <w:rsid w:val="007F5AE9"/>
    <w:rsid w:val="007F61E9"/>
    <w:rsid w:val="007F63FA"/>
    <w:rsid w:val="007F643C"/>
    <w:rsid w:val="007F6446"/>
    <w:rsid w:val="007F646C"/>
    <w:rsid w:val="007F671D"/>
    <w:rsid w:val="007F685B"/>
    <w:rsid w:val="007F6B21"/>
    <w:rsid w:val="007F72FC"/>
    <w:rsid w:val="007F75EF"/>
    <w:rsid w:val="007F7A34"/>
    <w:rsid w:val="007F7E12"/>
    <w:rsid w:val="00800271"/>
    <w:rsid w:val="00800293"/>
    <w:rsid w:val="0080044E"/>
    <w:rsid w:val="00800C89"/>
    <w:rsid w:val="00800F0B"/>
    <w:rsid w:val="00800F0E"/>
    <w:rsid w:val="00800F23"/>
    <w:rsid w:val="00800FF7"/>
    <w:rsid w:val="00801331"/>
    <w:rsid w:val="00801858"/>
    <w:rsid w:val="008019E7"/>
    <w:rsid w:val="00801A40"/>
    <w:rsid w:val="008025C5"/>
    <w:rsid w:val="0080294A"/>
    <w:rsid w:val="00802B11"/>
    <w:rsid w:val="00802FF6"/>
    <w:rsid w:val="00803306"/>
    <w:rsid w:val="00803A2A"/>
    <w:rsid w:val="00803BDA"/>
    <w:rsid w:val="00803D62"/>
    <w:rsid w:val="008040FE"/>
    <w:rsid w:val="0080471A"/>
    <w:rsid w:val="00804A95"/>
    <w:rsid w:val="00804AD0"/>
    <w:rsid w:val="00804E2F"/>
    <w:rsid w:val="00804FA0"/>
    <w:rsid w:val="00804FBD"/>
    <w:rsid w:val="00805338"/>
    <w:rsid w:val="008059E9"/>
    <w:rsid w:val="00805E6E"/>
    <w:rsid w:val="00805E8D"/>
    <w:rsid w:val="008063CA"/>
    <w:rsid w:val="008064F5"/>
    <w:rsid w:val="00806885"/>
    <w:rsid w:val="008068C4"/>
    <w:rsid w:val="00806A09"/>
    <w:rsid w:val="00806B64"/>
    <w:rsid w:val="00806D2D"/>
    <w:rsid w:val="008071AB"/>
    <w:rsid w:val="00807328"/>
    <w:rsid w:val="0080773C"/>
    <w:rsid w:val="008077F8"/>
    <w:rsid w:val="008078C7"/>
    <w:rsid w:val="00807AB9"/>
    <w:rsid w:val="00807D72"/>
    <w:rsid w:val="00807E52"/>
    <w:rsid w:val="008101BB"/>
    <w:rsid w:val="00810240"/>
    <w:rsid w:val="0081047A"/>
    <w:rsid w:val="0081073F"/>
    <w:rsid w:val="00810807"/>
    <w:rsid w:val="00810960"/>
    <w:rsid w:val="00810BDF"/>
    <w:rsid w:val="00811181"/>
    <w:rsid w:val="00811473"/>
    <w:rsid w:val="00811FC3"/>
    <w:rsid w:val="00811FDC"/>
    <w:rsid w:val="00812043"/>
    <w:rsid w:val="00812684"/>
    <w:rsid w:val="00812824"/>
    <w:rsid w:val="00812AA8"/>
    <w:rsid w:val="00813348"/>
    <w:rsid w:val="0081340E"/>
    <w:rsid w:val="00813507"/>
    <w:rsid w:val="00813755"/>
    <w:rsid w:val="00813968"/>
    <w:rsid w:val="008139A8"/>
    <w:rsid w:val="00813CA3"/>
    <w:rsid w:val="00814436"/>
    <w:rsid w:val="00814C96"/>
    <w:rsid w:val="00814CD2"/>
    <w:rsid w:val="00814D3D"/>
    <w:rsid w:val="00814F78"/>
    <w:rsid w:val="00815132"/>
    <w:rsid w:val="00815678"/>
    <w:rsid w:val="008157B2"/>
    <w:rsid w:val="00815DDA"/>
    <w:rsid w:val="00815E4E"/>
    <w:rsid w:val="00816058"/>
    <w:rsid w:val="00816065"/>
    <w:rsid w:val="008163B5"/>
    <w:rsid w:val="00816609"/>
    <w:rsid w:val="00816A06"/>
    <w:rsid w:val="00816BA5"/>
    <w:rsid w:val="00816D8F"/>
    <w:rsid w:val="00816F9D"/>
    <w:rsid w:val="008172A3"/>
    <w:rsid w:val="008177C3"/>
    <w:rsid w:val="00817888"/>
    <w:rsid w:val="00817EFA"/>
    <w:rsid w:val="00820071"/>
    <w:rsid w:val="008201A7"/>
    <w:rsid w:val="00820248"/>
    <w:rsid w:val="0082031F"/>
    <w:rsid w:val="00820492"/>
    <w:rsid w:val="00820608"/>
    <w:rsid w:val="00820652"/>
    <w:rsid w:val="008208BC"/>
    <w:rsid w:val="008209A1"/>
    <w:rsid w:val="008209E3"/>
    <w:rsid w:val="00820A85"/>
    <w:rsid w:val="00820AD3"/>
    <w:rsid w:val="00820D72"/>
    <w:rsid w:val="00820D83"/>
    <w:rsid w:val="00820E95"/>
    <w:rsid w:val="00821171"/>
    <w:rsid w:val="008212D0"/>
    <w:rsid w:val="008214EE"/>
    <w:rsid w:val="0082196B"/>
    <w:rsid w:val="008219D6"/>
    <w:rsid w:val="00821A00"/>
    <w:rsid w:val="00821C75"/>
    <w:rsid w:val="00821F1B"/>
    <w:rsid w:val="00822787"/>
    <w:rsid w:val="00822B15"/>
    <w:rsid w:val="00823293"/>
    <w:rsid w:val="00823387"/>
    <w:rsid w:val="00823720"/>
    <w:rsid w:val="00823B26"/>
    <w:rsid w:val="00824292"/>
    <w:rsid w:val="00824420"/>
    <w:rsid w:val="008246D3"/>
    <w:rsid w:val="008246F2"/>
    <w:rsid w:val="00824CC0"/>
    <w:rsid w:val="00824DAC"/>
    <w:rsid w:val="00824E4E"/>
    <w:rsid w:val="008250D5"/>
    <w:rsid w:val="00825404"/>
    <w:rsid w:val="008256F4"/>
    <w:rsid w:val="00825874"/>
    <w:rsid w:val="00825929"/>
    <w:rsid w:val="00825F54"/>
    <w:rsid w:val="00826086"/>
    <w:rsid w:val="00826342"/>
    <w:rsid w:val="00826866"/>
    <w:rsid w:val="00826C7D"/>
    <w:rsid w:val="00826CEF"/>
    <w:rsid w:val="00826CFE"/>
    <w:rsid w:val="00827BB5"/>
    <w:rsid w:val="00827BEC"/>
    <w:rsid w:val="00827DDC"/>
    <w:rsid w:val="00827FE3"/>
    <w:rsid w:val="0083001E"/>
    <w:rsid w:val="008300AA"/>
    <w:rsid w:val="008300D4"/>
    <w:rsid w:val="008301E2"/>
    <w:rsid w:val="008303BC"/>
    <w:rsid w:val="008305B8"/>
    <w:rsid w:val="008307D9"/>
    <w:rsid w:val="00830B8D"/>
    <w:rsid w:val="00830DCA"/>
    <w:rsid w:val="00830EDA"/>
    <w:rsid w:val="00831060"/>
    <w:rsid w:val="008315AC"/>
    <w:rsid w:val="00831B5A"/>
    <w:rsid w:val="00831C39"/>
    <w:rsid w:val="0083213F"/>
    <w:rsid w:val="00832222"/>
    <w:rsid w:val="008325A9"/>
    <w:rsid w:val="008332FC"/>
    <w:rsid w:val="00833529"/>
    <w:rsid w:val="0083377D"/>
    <w:rsid w:val="00833DDE"/>
    <w:rsid w:val="00833F22"/>
    <w:rsid w:val="00834072"/>
    <w:rsid w:val="008341CE"/>
    <w:rsid w:val="00834409"/>
    <w:rsid w:val="008344ED"/>
    <w:rsid w:val="00834AFD"/>
    <w:rsid w:val="00834BCC"/>
    <w:rsid w:val="00834CF0"/>
    <w:rsid w:val="00834EF0"/>
    <w:rsid w:val="00835392"/>
    <w:rsid w:val="00835583"/>
    <w:rsid w:val="00835C70"/>
    <w:rsid w:val="00836221"/>
    <w:rsid w:val="008364E1"/>
    <w:rsid w:val="0083663E"/>
    <w:rsid w:val="00836AB4"/>
    <w:rsid w:val="0083720B"/>
    <w:rsid w:val="0083725A"/>
    <w:rsid w:val="008372CE"/>
    <w:rsid w:val="008375E2"/>
    <w:rsid w:val="00837602"/>
    <w:rsid w:val="00837631"/>
    <w:rsid w:val="0083763F"/>
    <w:rsid w:val="00837933"/>
    <w:rsid w:val="00837EFA"/>
    <w:rsid w:val="00837FB3"/>
    <w:rsid w:val="008400A4"/>
    <w:rsid w:val="00840165"/>
    <w:rsid w:val="00840281"/>
    <w:rsid w:val="00840476"/>
    <w:rsid w:val="008407EC"/>
    <w:rsid w:val="00840841"/>
    <w:rsid w:val="008409BB"/>
    <w:rsid w:val="00840E38"/>
    <w:rsid w:val="00840F30"/>
    <w:rsid w:val="00840F6C"/>
    <w:rsid w:val="00840FAD"/>
    <w:rsid w:val="00841173"/>
    <w:rsid w:val="008413C2"/>
    <w:rsid w:val="00841854"/>
    <w:rsid w:val="00841BA4"/>
    <w:rsid w:val="00841C82"/>
    <w:rsid w:val="00841CB1"/>
    <w:rsid w:val="00842018"/>
    <w:rsid w:val="008424DF"/>
    <w:rsid w:val="00842A27"/>
    <w:rsid w:val="00842A2F"/>
    <w:rsid w:val="00842D24"/>
    <w:rsid w:val="00843167"/>
    <w:rsid w:val="00843274"/>
    <w:rsid w:val="0084351A"/>
    <w:rsid w:val="00843889"/>
    <w:rsid w:val="00843898"/>
    <w:rsid w:val="00843975"/>
    <w:rsid w:val="00843BF6"/>
    <w:rsid w:val="008445FD"/>
    <w:rsid w:val="008447C9"/>
    <w:rsid w:val="008449E5"/>
    <w:rsid w:val="00844C8C"/>
    <w:rsid w:val="00844E2C"/>
    <w:rsid w:val="00845182"/>
    <w:rsid w:val="008454C1"/>
    <w:rsid w:val="0084586D"/>
    <w:rsid w:val="00845B7B"/>
    <w:rsid w:val="00845D28"/>
    <w:rsid w:val="0084603F"/>
    <w:rsid w:val="00846126"/>
    <w:rsid w:val="008465C5"/>
    <w:rsid w:val="00846950"/>
    <w:rsid w:val="00846BFF"/>
    <w:rsid w:val="00846C5D"/>
    <w:rsid w:val="00846DB7"/>
    <w:rsid w:val="00846F63"/>
    <w:rsid w:val="00846FB4"/>
    <w:rsid w:val="0084722B"/>
    <w:rsid w:val="0084771F"/>
    <w:rsid w:val="008478DB"/>
    <w:rsid w:val="00847B67"/>
    <w:rsid w:val="00847D31"/>
    <w:rsid w:val="00847E8B"/>
    <w:rsid w:val="008500A0"/>
    <w:rsid w:val="008501FF"/>
    <w:rsid w:val="008505CB"/>
    <w:rsid w:val="008505FA"/>
    <w:rsid w:val="00850725"/>
    <w:rsid w:val="00850955"/>
    <w:rsid w:val="00850B6D"/>
    <w:rsid w:val="00850BD6"/>
    <w:rsid w:val="00850E56"/>
    <w:rsid w:val="00850EE4"/>
    <w:rsid w:val="0085111E"/>
    <w:rsid w:val="00851410"/>
    <w:rsid w:val="008515CA"/>
    <w:rsid w:val="0085204E"/>
    <w:rsid w:val="00852462"/>
    <w:rsid w:val="00852495"/>
    <w:rsid w:val="008528E9"/>
    <w:rsid w:val="0085296B"/>
    <w:rsid w:val="00852E9F"/>
    <w:rsid w:val="00853B7C"/>
    <w:rsid w:val="00853B9D"/>
    <w:rsid w:val="00853C8D"/>
    <w:rsid w:val="00853D8C"/>
    <w:rsid w:val="008540E4"/>
    <w:rsid w:val="00854175"/>
    <w:rsid w:val="00854268"/>
    <w:rsid w:val="008542BD"/>
    <w:rsid w:val="008543A9"/>
    <w:rsid w:val="00854438"/>
    <w:rsid w:val="00854BEF"/>
    <w:rsid w:val="00854C3D"/>
    <w:rsid w:val="00854DD1"/>
    <w:rsid w:val="00854DDB"/>
    <w:rsid w:val="00854F91"/>
    <w:rsid w:val="00854FF9"/>
    <w:rsid w:val="00855106"/>
    <w:rsid w:val="00855D32"/>
    <w:rsid w:val="00856257"/>
    <w:rsid w:val="00856342"/>
    <w:rsid w:val="00856487"/>
    <w:rsid w:val="008567B5"/>
    <w:rsid w:val="00856B6C"/>
    <w:rsid w:val="00856C7D"/>
    <w:rsid w:val="00856FDC"/>
    <w:rsid w:val="00856FEE"/>
    <w:rsid w:val="00857101"/>
    <w:rsid w:val="0085713F"/>
    <w:rsid w:val="008573C2"/>
    <w:rsid w:val="008574A9"/>
    <w:rsid w:val="00857AD2"/>
    <w:rsid w:val="00857C36"/>
    <w:rsid w:val="00857C40"/>
    <w:rsid w:val="00857CD3"/>
    <w:rsid w:val="008602FA"/>
    <w:rsid w:val="00860336"/>
    <w:rsid w:val="00860495"/>
    <w:rsid w:val="00860C5E"/>
    <w:rsid w:val="00860CDD"/>
    <w:rsid w:val="00860FA2"/>
    <w:rsid w:val="0086101C"/>
    <w:rsid w:val="00861D9D"/>
    <w:rsid w:val="00861E2C"/>
    <w:rsid w:val="00861ED5"/>
    <w:rsid w:val="0086243A"/>
    <w:rsid w:val="00862784"/>
    <w:rsid w:val="008627F9"/>
    <w:rsid w:val="008628D2"/>
    <w:rsid w:val="00862D45"/>
    <w:rsid w:val="008630ED"/>
    <w:rsid w:val="008635EB"/>
    <w:rsid w:val="0086371E"/>
    <w:rsid w:val="00863AFE"/>
    <w:rsid w:val="00863C8F"/>
    <w:rsid w:val="00863DDE"/>
    <w:rsid w:val="0086401F"/>
    <w:rsid w:val="008641C1"/>
    <w:rsid w:val="008643C3"/>
    <w:rsid w:val="0086448E"/>
    <w:rsid w:val="00864AB6"/>
    <w:rsid w:val="00864C6B"/>
    <w:rsid w:val="0086502D"/>
    <w:rsid w:val="008650F2"/>
    <w:rsid w:val="00865220"/>
    <w:rsid w:val="00865227"/>
    <w:rsid w:val="008654AF"/>
    <w:rsid w:val="00865760"/>
    <w:rsid w:val="00865793"/>
    <w:rsid w:val="008657AA"/>
    <w:rsid w:val="008658C0"/>
    <w:rsid w:val="00865B93"/>
    <w:rsid w:val="00865BCE"/>
    <w:rsid w:val="00866332"/>
    <w:rsid w:val="00866673"/>
    <w:rsid w:val="00866946"/>
    <w:rsid w:val="00866B94"/>
    <w:rsid w:val="00866C2F"/>
    <w:rsid w:val="008671E4"/>
    <w:rsid w:val="0086741D"/>
    <w:rsid w:val="008675E7"/>
    <w:rsid w:val="0086762C"/>
    <w:rsid w:val="00867AB0"/>
    <w:rsid w:val="00867ED8"/>
    <w:rsid w:val="00867F6D"/>
    <w:rsid w:val="00867F9E"/>
    <w:rsid w:val="008700BE"/>
    <w:rsid w:val="00870222"/>
    <w:rsid w:val="0087034F"/>
    <w:rsid w:val="00870468"/>
    <w:rsid w:val="008704F6"/>
    <w:rsid w:val="0087050B"/>
    <w:rsid w:val="008705F9"/>
    <w:rsid w:val="008706D4"/>
    <w:rsid w:val="00870755"/>
    <w:rsid w:val="0087083A"/>
    <w:rsid w:val="008709A8"/>
    <w:rsid w:val="00870A6D"/>
    <w:rsid w:val="00870C11"/>
    <w:rsid w:val="00870C56"/>
    <w:rsid w:val="00870D08"/>
    <w:rsid w:val="0087127D"/>
    <w:rsid w:val="008713E7"/>
    <w:rsid w:val="00871BF7"/>
    <w:rsid w:val="00871D12"/>
    <w:rsid w:val="00871F82"/>
    <w:rsid w:val="008720DF"/>
    <w:rsid w:val="008726A0"/>
    <w:rsid w:val="008728FD"/>
    <w:rsid w:val="00872ACB"/>
    <w:rsid w:val="00872CB9"/>
    <w:rsid w:val="00872CCB"/>
    <w:rsid w:val="00872FFC"/>
    <w:rsid w:val="0087301D"/>
    <w:rsid w:val="00873041"/>
    <w:rsid w:val="008731CC"/>
    <w:rsid w:val="00873502"/>
    <w:rsid w:val="00873966"/>
    <w:rsid w:val="008739AB"/>
    <w:rsid w:val="00873D79"/>
    <w:rsid w:val="00873E86"/>
    <w:rsid w:val="0087419F"/>
    <w:rsid w:val="008741BC"/>
    <w:rsid w:val="00874B17"/>
    <w:rsid w:val="0087521D"/>
    <w:rsid w:val="008753EF"/>
    <w:rsid w:val="008753F1"/>
    <w:rsid w:val="008756D9"/>
    <w:rsid w:val="00875800"/>
    <w:rsid w:val="008758B4"/>
    <w:rsid w:val="00875975"/>
    <w:rsid w:val="00875A72"/>
    <w:rsid w:val="00875B90"/>
    <w:rsid w:val="00875CAE"/>
    <w:rsid w:val="00876040"/>
    <w:rsid w:val="0087609E"/>
    <w:rsid w:val="00876410"/>
    <w:rsid w:val="008764FD"/>
    <w:rsid w:val="00877176"/>
    <w:rsid w:val="0087730E"/>
    <w:rsid w:val="00877956"/>
    <w:rsid w:val="008779FD"/>
    <w:rsid w:val="00877D21"/>
    <w:rsid w:val="00877D8A"/>
    <w:rsid w:val="00880532"/>
    <w:rsid w:val="0088053D"/>
    <w:rsid w:val="00880ABF"/>
    <w:rsid w:val="00880BA5"/>
    <w:rsid w:val="00880C1E"/>
    <w:rsid w:val="0088135F"/>
    <w:rsid w:val="008813DE"/>
    <w:rsid w:val="00881417"/>
    <w:rsid w:val="00881663"/>
    <w:rsid w:val="00882269"/>
    <w:rsid w:val="008822DC"/>
    <w:rsid w:val="008822E2"/>
    <w:rsid w:val="00882748"/>
    <w:rsid w:val="00883134"/>
    <w:rsid w:val="0088315D"/>
    <w:rsid w:val="008834AA"/>
    <w:rsid w:val="008836F4"/>
    <w:rsid w:val="00883B2E"/>
    <w:rsid w:val="00883C8A"/>
    <w:rsid w:val="008841AD"/>
    <w:rsid w:val="00884250"/>
    <w:rsid w:val="00884563"/>
    <w:rsid w:val="00884B7A"/>
    <w:rsid w:val="00884FD4"/>
    <w:rsid w:val="00884FEC"/>
    <w:rsid w:val="00885328"/>
    <w:rsid w:val="008854C6"/>
    <w:rsid w:val="008856B4"/>
    <w:rsid w:val="00885AE3"/>
    <w:rsid w:val="00885C59"/>
    <w:rsid w:val="00885C7B"/>
    <w:rsid w:val="008868EF"/>
    <w:rsid w:val="00886A37"/>
    <w:rsid w:val="00886DFA"/>
    <w:rsid w:val="00886EE6"/>
    <w:rsid w:val="00886F48"/>
    <w:rsid w:val="00887137"/>
    <w:rsid w:val="00887261"/>
    <w:rsid w:val="00887D15"/>
    <w:rsid w:val="00887E4E"/>
    <w:rsid w:val="008904C2"/>
    <w:rsid w:val="008907F2"/>
    <w:rsid w:val="00890B06"/>
    <w:rsid w:val="00890B5E"/>
    <w:rsid w:val="00891018"/>
    <w:rsid w:val="008910FF"/>
    <w:rsid w:val="008911CE"/>
    <w:rsid w:val="00891587"/>
    <w:rsid w:val="008916DC"/>
    <w:rsid w:val="008917DC"/>
    <w:rsid w:val="0089189A"/>
    <w:rsid w:val="0089209E"/>
    <w:rsid w:val="0089239A"/>
    <w:rsid w:val="008927C4"/>
    <w:rsid w:val="008927D6"/>
    <w:rsid w:val="00892C23"/>
    <w:rsid w:val="008932EC"/>
    <w:rsid w:val="008933AA"/>
    <w:rsid w:val="008935AF"/>
    <w:rsid w:val="00893A49"/>
    <w:rsid w:val="00893CF2"/>
    <w:rsid w:val="00893DB9"/>
    <w:rsid w:val="00893DE0"/>
    <w:rsid w:val="00893EE2"/>
    <w:rsid w:val="008940BB"/>
    <w:rsid w:val="008944FB"/>
    <w:rsid w:val="00894C1B"/>
    <w:rsid w:val="00895777"/>
    <w:rsid w:val="00895908"/>
    <w:rsid w:val="00895913"/>
    <w:rsid w:val="00895A7D"/>
    <w:rsid w:val="00895CFC"/>
    <w:rsid w:val="00896124"/>
    <w:rsid w:val="00896201"/>
    <w:rsid w:val="008964B3"/>
    <w:rsid w:val="0089655E"/>
    <w:rsid w:val="00896621"/>
    <w:rsid w:val="0089683D"/>
    <w:rsid w:val="00896A27"/>
    <w:rsid w:val="00896AED"/>
    <w:rsid w:val="00896C55"/>
    <w:rsid w:val="00896D27"/>
    <w:rsid w:val="008970E4"/>
    <w:rsid w:val="0089718F"/>
    <w:rsid w:val="00897198"/>
    <w:rsid w:val="008971CB"/>
    <w:rsid w:val="00897927"/>
    <w:rsid w:val="00897942"/>
    <w:rsid w:val="00897A48"/>
    <w:rsid w:val="008A00EB"/>
    <w:rsid w:val="008A0926"/>
    <w:rsid w:val="008A0E60"/>
    <w:rsid w:val="008A103C"/>
    <w:rsid w:val="008A1048"/>
    <w:rsid w:val="008A10D7"/>
    <w:rsid w:val="008A1230"/>
    <w:rsid w:val="008A1674"/>
    <w:rsid w:val="008A1909"/>
    <w:rsid w:val="008A1935"/>
    <w:rsid w:val="008A19C5"/>
    <w:rsid w:val="008A1BA6"/>
    <w:rsid w:val="008A1BD8"/>
    <w:rsid w:val="008A200C"/>
    <w:rsid w:val="008A22C4"/>
    <w:rsid w:val="008A230A"/>
    <w:rsid w:val="008A26CE"/>
    <w:rsid w:val="008A2C57"/>
    <w:rsid w:val="008A2D3C"/>
    <w:rsid w:val="008A3110"/>
    <w:rsid w:val="008A336A"/>
    <w:rsid w:val="008A3658"/>
    <w:rsid w:val="008A383B"/>
    <w:rsid w:val="008A3D58"/>
    <w:rsid w:val="008A3DC4"/>
    <w:rsid w:val="008A3DC5"/>
    <w:rsid w:val="008A439F"/>
    <w:rsid w:val="008A460B"/>
    <w:rsid w:val="008A4616"/>
    <w:rsid w:val="008A4644"/>
    <w:rsid w:val="008A47B8"/>
    <w:rsid w:val="008A4E91"/>
    <w:rsid w:val="008A50E0"/>
    <w:rsid w:val="008A50F0"/>
    <w:rsid w:val="008A514F"/>
    <w:rsid w:val="008A53EC"/>
    <w:rsid w:val="008A561C"/>
    <w:rsid w:val="008A57D2"/>
    <w:rsid w:val="008A5847"/>
    <w:rsid w:val="008A5A1F"/>
    <w:rsid w:val="008A5AA5"/>
    <w:rsid w:val="008A5E86"/>
    <w:rsid w:val="008A5F70"/>
    <w:rsid w:val="008A618E"/>
    <w:rsid w:val="008A691E"/>
    <w:rsid w:val="008A6956"/>
    <w:rsid w:val="008A6C65"/>
    <w:rsid w:val="008A6F7B"/>
    <w:rsid w:val="008A711C"/>
    <w:rsid w:val="008A71FF"/>
    <w:rsid w:val="008A75A0"/>
    <w:rsid w:val="008A79FF"/>
    <w:rsid w:val="008A7BEB"/>
    <w:rsid w:val="008A7C00"/>
    <w:rsid w:val="008B0ACD"/>
    <w:rsid w:val="008B0B47"/>
    <w:rsid w:val="008B0F58"/>
    <w:rsid w:val="008B0FA2"/>
    <w:rsid w:val="008B1158"/>
    <w:rsid w:val="008B11F7"/>
    <w:rsid w:val="008B1406"/>
    <w:rsid w:val="008B1945"/>
    <w:rsid w:val="008B21E5"/>
    <w:rsid w:val="008B228C"/>
    <w:rsid w:val="008B2AA0"/>
    <w:rsid w:val="008B2B12"/>
    <w:rsid w:val="008B2C35"/>
    <w:rsid w:val="008B2D67"/>
    <w:rsid w:val="008B2E4D"/>
    <w:rsid w:val="008B2EB4"/>
    <w:rsid w:val="008B3732"/>
    <w:rsid w:val="008B39A4"/>
    <w:rsid w:val="008B3DAD"/>
    <w:rsid w:val="008B3DE7"/>
    <w:rsid w:val="008B425B"/>
    <w:rsid w:val="008B42DA"/>
    <w:rsid w:val="008B458A"/>
    <w:rsid w:val="008B51B1"/>
    <w:rsid w:val="008B532C"/>
    <w:rsid w:val="008B541A"/>
    <w:rsid w:val="008B55A5"/>
    <w:rsid w:val="008B5796"/>
    <w:rsid w:val="008B57C6"/>
    <w:rsid w:val="008B58B0"/>
    <w:rsid w:val="008B5B6B"/>
    <w:rsid w:val="008B5C15"/>
    <w:rsid w:val="008B608C"/>
    <w:rsid w:val="008B60F3"/>
    <w:rsid w:val="008B62C2"/>
    <w:rsid w:val="008B62FF"/>
    <w:rsid w:val="008B6467"/>
    <w:rsid w:val="008B672E"/>
    <w:rsid w:val="008B6E4C"/>
    <w:rsid w:val="008B6F93"/>
    <w:rsid w:val="008B70BD"/>
    <w:rsid w:val="008B728D"/>
    <w:rsid w:val="008B72E1"/>
    <w:rsid w:val="008B74AE"/>
    <w:rsid w:val="008B7703"/>
    <w:rsid w:val="008B7837"/>
    <w:rsid w:val="008B7C17"/>
    <w:rsid w:val="008C00AD"/>
    <w:rsid w:val="008C074F"/>
    <w:rsid w:val="008C0A19"/>
    <w:rsid w:val="008C0CAF"/>
    <w:rsid w:val="008C0D3D"/>
    <w:rsid w:val="008C0DAD"/>
    <w:rsid w:val="008C1382"/>
    <w:rsid w:val="008C1653"/>
    <w:rsid w:val="008C173F"/>
    <w:rsid w:val="008C19F5"/>
    <w:rsid w:val="008C1B29"/>
    <w:rsid w:val="008C1D1D"/>
    <w:rsid w:val="008C1FBD"/>
    <w:rsid w:val="008C22AC"/>
    <w:rsid w:val="008C2370"/>
    <w:rsid w:val="008C2598"/>
    <w:rsid w:val="008C25A7"/>
    <w:rsid w:val="008C2647"/>
    <w:rsid w:val="008C316F"/>
    <w:rsid w:val="008C328D"/>
    <w:rsid w:val="008C3B84"/>
    <w:rsid w:val="008C3D69"/>
    <w:rsid w:val="008C4052"/>
    <w:rsid w:val="008C4760"/>
    <w:rsid w:val="008C4AC0"/>
    <w:rsid w:val="008C4C53"/>
    <w:rsid w:val="008C4E09"/>
    <w:rsid w:val="008C4F5F"/>
    <w:rsid w:val="008C4FC9"/>
    <w:rsid w:val="008C50E3"/>
    <w:rsid w:val="008C50F1"/>
    <w:rsid w:val="008C54F6"/>
    <w:rsid w:val="008C57A5"/>
    <w:rsid w:val="008C57CD"/>
    <w:rsid w:val="008C59DB"/>
    <w:rsid w:val="008C5C35"/>
    <w:rsid w:val="008C5C59"/>
    <w:rsid w:val="008C61B4"/>
    <w:rsid w:val="008C650B"/>
    <w:rsid w:val="008C68EF"/>
    <w:rsid w:val="008C6923"/>
    <w:rsid w:val="008C69B3"/>
    <w:rsid w:val="008C6BE2"/>
    <w:rsid w:val="008C6E74"/>
    <w:rsid w:val="008C73C7"/>
    <w:rsid w:val="008D00BC"/>
    <w:rsid w:val="008D0276"/>
    <w:rsid w:val="008D0569"/>
    <w:rsid w:val="008D08A4"/>
    <w:rsid w:val="008D10EB"/>
    <w:rsid w:val="008D12A2"/>
    <w:rsid w:val="008D1461"/>
    <w:rsid w:val="008D1838"/>
    <w:rsid w:val="008D1B8B"/>
    <w:rsid w:val="008D1C39"/>
    <w:rsid w:val="008D1C88"/>
    <w:rsid w:val="008D2022"/>
    <w:rsid w:val="008D25BB"/>
    <w:rsid w:val="008D292F"/>
    <w:rsid w:val="008D2AF6"/>
    <w:rsid w:val="008D2BE4"/>
    <w:rsid w:val="008D3256"/>
    <w:rsid w:val="008D3276"/>
    <w:rsid w:val="008D3785"/>
    <w:rsid w:val="008D397D"/>
    <w:rsid w:val="008D3C07"/>
    <w:rsid w:val="008D3D20"/>
    <w:rsid w:val="008D3EED"/>
    <w:rsid w:val="008D401D"/>
    <w:rsid w:val="008D4077"/>
    <w:rsid w:val="008D46EA"/>
    <w:rsid w:val="008D4A3E"/>
    <w:rsid w:val="008D4D8A"/>
    <w:rsid w:val="008D4E1A"/>
    <w:rsid w:val="008D4E33"/>
    <w:rsid w:val="008D4E4E"/>
    <w:rsid w:val="008D50C1"/>
    <w:rsid w:val="008D541D"/>
    <w:rsid w:val="008D57CF"/>
    <w:rsid w:val="008D5B97"/>
    <w:rsid w:val="008D5C00"/>
    <w:rsid w:val="008D5D6D"/>
    <w:rsid w:val="008D6299"/>
    <w:rsid w:val="008D63C5"/>
    <w:rsid w:val="008D681D"/>
    <w:rsid w:val="008D69EA"/>
    <w:rsid w:val="008D6A68"/>
    <w:rsid w:val="008D6E5D"/>
    <w:rsid w:val="008D72F0"/>
    <w:rsid w:val="008D75E1"/>
    <w:rsid w:val="008D7645"/>
    <w:rsid w:val="008D7A1C"/>
    <w:rsid w:val="008D7DAD"/>
    <w:rsid w:val="008E040D"/>
    <w:rsid w:val="008E0933"/>
    <w:rsid w:val="008E1077"/>
    <w:rsid w:val="008E1644"/>
    <w:rsid w:val="008E1D68"/>
    <w:rsid w:val="008E2052"/>
    <w:rsid w:val="008E223D"/>
    <w:rsid w:val="008E2675"/>
    <w:rsid w:val="008E29E6"/>
    <w:rsid w:val="008E2B9B"/>
    <w:rsid w:val="008E2C4A"/>
    <w:rsid w:val="008E2DA9"/>
    <w:rsid w:val="008E336A"/>
    <w:rsid w:val="008E38E3"/>
    <w:rsid w:val="008E3928"/>
    <w:rsid w:val="008E395E"/>
    <w:rsid w:val="008E3967"/>
    <w:rsid w:val="008E3C3E"/>
    <w:rsid w:val="008E4188"/>
    <w:rsid w:val="008E425E"/>
    <w:rsid w:val="008E4469"/>
    <w:rsid w:val="008E455F"/>
    <w:rsid w:val="008E461C"/>
    <w:rsid w:val="008E4649"/>
    <w:rsid w:val="008E4650"/>
    <w:rsid w:val="008E46FE"/>
    <w:rsid w:val="008E478A"/>
    <w:rsid w:val="008E48AE"/>
    <w:rsid w:val="008E4A4D"/>
    <w:rsid w:val="008E4CB3"/>
    <w:rsid w:val="008E5724"/>
    <w:rsid w:val="008E5AF1"/>
    <w:rsid w:val="008E6204"/>
    <w:rsid w:val="008E62C0"/>
    <w:rsid w:val="008E6618"/>
    <w:rsid w:val="008E669A"/>
    <w:rsid w:val="008E6C55"/>
    <w:rsid w:val="008E6D9B"/>
    <w:rsid w:val="008E6DFE"/>
    <w:rsid w:val="008E6EB6"/>
    <w:rsid w:val="008E796E"/>
    <w:rsid w:val="008E7D40"/>
    <w:rsid w:val="008E7E4A"/>
    <w:rsid w:val="008E7F24"/>
    <w:rsid w:val="008F0318"/>
    <w:rsid w:val="008F06ED"/>
    <w:rsid w:val="008F1E59"/>
    <w:rsid w:val="008F21B2"/>
    <w:rsid w:val="008F25C5"/>
    <w:rsid w:val="008F2781"/>
    <w:rsid w:val="008F28C1"/>
    <w:rsid w:val="008F2CD8"/>
    <w:rsid w:val="008F3228"/>
    <w:rsid w:val="008F355A"/>
    <w:rsid w:val="008F3957"/>
    <w:rsid w:val="008F3FB6"/>
    <w:rsid w:val="008F416A"/>
    <w:rsid w:val="008F4283"/>
    <w:rsid w:val="008F4C23"/>
    <w:rsid w:val="008F507E"/>
    <w:rsid w:val="008F5176"/>
    <w:rsid w:val="008F5310"/>
    <w:rsid w:val="008F54DD"/>
    <w:rsid w:val="008F59ED"/>
    <w:rsid w:val="008F5B33"/>
    <w:rsid w:val="008F5B77"/>
    <w:rsid w:val="008F5F55"/>
    <w:rsid w:val="008F5FA5"/>
    <w:rsid w:val="008F6147"/>
    <w:rsid w:val="008F6536"/>
    <w:rsid w:val="008F657C"/>
    <w:rsid w:val="008F6958"/>
    <w:rsid w:val="008F7007"/>
    <w:rsid w:val="008F732C"/>
    <w:rsid w:val="008F75CA"/>
    <w:rsid w:val="008F76A9"/>
    <w:rsid w:val="008F7910"/>
    <w:rsid w:val="008F7BAE"/>
    <w:rsid w:val="008F7BEE"/>
    <w:rsid w:val="008F7DB8"/>
    <w:rsid w:val="008F7DDE"/>
    <w:rsid w:val="009002F9"/>
    <w:rsid w:val="009004D2"/>
    <w:rsid w:val="009005BD"/>
    <w:rsid w:val="00900623"/>
    <w:rsid w:val="00900864"/>
    <w:rsid w:val="00900BD6"/>
    <w:rsid w:val="00900BF8"/>
    <w:rsid w:val="00901015"/>
    <w:rsid w:val="009015B8"/>
    <w:rsid w:val="00901D36"/>
    <w:rsid w:val="00901D59"/>
    <w:rsid w:val="00902145"/>
    <w:rsid w:val="0090255E"/>
    <w:rsid w:val="0090275E"/>
    <w:rsid w:val="00902822"/>
    <w:rsid w:val="00902E9D"/>
    <w:rsid w:val="00902F0F"/>
    <w:rsid w:val="00902FE7"/>
    <w:rsid w:val="0090311E"/>
    <w:rsid w:val="009033DE"/>
    <w:rsid w:val="009034A4"/>
    <w:rsid w:val="009048CB"/>
    <w:rsid w:val="00904A7E"/>
    <w:rsid w:val="00905139"/>
    <w:rsid w:val="009051AF"/>
    <w:rsid w:val="009059F5"/>
    <w:rsid w:val="00906141"/>
    <w:rsid w:val="009061F0"/>
    <w:rsid w:val="009064F8"/>
    <w:rsid w:val="0090676E"/>
    <w:rsid w:val="0090684E"/>
    <w:rsid w:val="009071C8"/>
    <w:rsid w:val="0090727A"/>
    <w:rsid w:val="00907682"/>
    <w:rsid w:val="009079A7"/>
    <w:rsid w:val="009100E6"/>
    <w:rsid w:val="00910201"/>
    <w:rsid w:val="00910376"/>
    <w:rsid w:val="00910530"/>
    <w:rsid w:val="00910780"/>
    <w:rsid w:val="009109CF"/>
    <w:rsid w:val="00910C81"/>
    <w:rsid w:val="00910CF1"/>
    <w:rsid w:val="00910D42"/>
    <w:rsid w:val="00910FEC"/>
    <w:rsid w:val="00910FF4"/>
    <w:rsid w:val="009114D3"/>
    <w:rsid w:val="00911526"/>
    <w:rsid w:val="009115D9"/>
    <w:rsid w:val="00911795"/>
    <w:rsid w:val="009118BB"/>
    <w:rsid w:val="0091193D"/>
    <w:rsid w:val="00911D53"/>
    <w:rsid w:val="00911E0D"/>
    <w:rsid w:val="00911E7E"/>
    <w:rsid w:val="00912196"/>
    <w:rsid w:val="0091241E"/>
    <w:rsid w:val="009134BF"/>
    <w:rsid w:val="00913738"/>
    <w:rsid w:val="00913A92"/>
    <w:rsid w:val="00913D18"/>
    <w:rsid w:val="00913F4D"/>
    <w:rsid w:val="00914061"/>
    <w:rsid w:val="00914119"/>
    <w:rsid w:val="009141B9"/>
    <w:rsid w:val="009149F2"/>
    <w:rsid w:val="00914C77"/>
    <w:rsid w:val="00915290"/>
    <w:rsid w:val="009152EF"/>
    <w:rsid w:val="009156CF"/>
    <w:rsid w:val="00915E67"/>
    <w:rsid w:val="00915ED5"/>
    <w:rsid w:val="00915F05"/>
    <w:rsid w:val="0091627B"/>
    <w:rsid w:val="00916674"/>
    <w:rsid w:val="0091682B"/>
    <w:rsid w:val="00916895"/>
    <w:rsid w:val="009168D5"/>
    <w:rsid w:val="009169E1"/>
    <w:rsid w:val="00916BDC"/>
    <w:rsid w:val="00916F14"/>
    <w:rsid w:val="0091735F"/>
    <w:rsid w:val="00917391"/>
    <w:rsid w:val="00917570"/>
    <w:rsid w:val="00917B6B"/>
    <w:rsid w:val="00917C7A"/>
    <w:rsid w:val="00917D0C"/>
    <w:rsid w:val="00917D7E"/>
    <w:rsid w:val="00917DB9"/>
    <w:rsid w:val="00917ECA"/>
    <w:rsid w:val="00917F99"/>
    <w:rsid w:val="009200D2"/>
    <w:rsid w:val="00920201"/>
    <w:rsid w:val="00920273"/>
    <w:rsid w:val="00920644"/>
    <w:rsid w:val="00920713"/>
    <w:rsid w:val="009208CF"/>
    <w:rsid w:val="009209DB"/>
    <w:rsid w:val="00920C58"/>
    <w:rsid w:val="00920F74"/>
    <w:rsid w:val="009210B9"/>
    <w:rsid w:val="0092121B"/>
    <w:rsid w:val="00921727"/>
    <w:rsid w:val="00921749"/>
    <w:rsid w:val="00921F22"/>
    <w:rsid w:val="00922025"/>
    <w:rsid w:val="009226EB"/>
    <w:rsid w:val="00922780"/>
    <w:rsid w:val="0092294A"/>
    <w:rsid w:val="00922CE5"/>
    <w:rsid w:val="00922EDC"/>
    <w:rsid w:val="009235CF"/>
    <w:rsid w:val="00923734"/>
    <w:rsid w:val="00923923"/>
    <w:rsid w:val="00923B4B"/>
    <w:rsid w:val="00923BA8"/>
    <w:rsid w:val="00923CC4"/>
    <w:rsid w:val="00924009"/>
    <w:rsid w:val="009245A7"/>
    <w:rsid w:val="009249E8"/>
    <w:rsid w:val="00924D28"/>
    <w:rsid w:val="00924D39"/>
    <w:rsid w:val="00924E1F"/>
    <w:rsid w:val="00924F9B"/>
    <w:rsid w:val="009257B6"/>
    <w:rsid w:val="00925929"/>
    <w:rsid w:val="00925C32"/>
    <w:rsid w:val="00925FA3"/>
    <w:rsid w:val="009260C4"/>
    <w:rsid w:val="009260D3"/>
    <w:rsid w:val="009265C7"/>
    <w:rsid w:val="009267A0"/>
    <w:rsid w:val="00926B08"/>
    <w:rsid w:val="00926B5E"/>
    <w:rsid w:val="00926D3F"/>
    <w:rsid w:val="00926F39"/>
    <w:rsid w:val="009273BD"/>
    <w:rsid w:val="00927419"/>
    <w:rsid w:val="00927B89"/>
    <w:rsid w:val="009300EC"/>
    <w:rsid w:val="00930247"/>
    <w:rsid w:val="00930312"/>
    <w:rsid w:val="00930D81"/>
    <w:rsid w:val="00931384"/>
    <w:rsid w:val="009314BC"/>
    <w:rsid w:val="00931582"/>
    <w:rsid w:val="00931923"/>
    <w:rsid w:val="00931D81"/>
    <w:rsid w:val="00931E4F"/>
    <w:rsid w:val="00931F43"/>
    <w:rsid w:val="00932489"/>
    <w:rsid w:val="00932B13"/>
    <w:rsid w:val="00932D71"/>
    <w:rsid w:val="00932E5D"/>
    <w:rsid w:val="0093311D"/>
    <w:rsid w:val="009335C8"/>
    <w:rsid w:val="00933A74"/>
    <w:rsid w:val="00933EE7"/>
    <w:rsid w:val="00934820"/>
    <w:rsid w:val="009354A7"/>
    <w:rsid w:val="009357E0"/>
    <w:rsid w:val="00935B92"/>
    <w:rsid w:val="00935CA8"/>
    <w:rsid w:val="00935D49"/>
    <w:rsid w:val="00936046"/>
    <w:rsid w:val="009361B9"/>
    <w:rsid w:val="00936B18"/>
    <w:rsid w:val="00936F46"/>
    <w:rsid w:val="009376F3"/>
    <w:rsid w:val="009378FA"/>
    <w:rsid w:val="00937B65"/>
    <w:rsid w:val="00937C46"/>
    <w:rsid w:val="00940983"/>
    <w:rsid w:val="009409FB"/>
    <w:rsid w:val="009413D5"/>
    <w:rsid w:val="009414DA"/>
    <w:rsid w:val="00941B8A"/>
    <w:rsid w:val="00941D2D"/>
    <w:rsid w:val="0094204A"/>
    <w:rsid w:val="0094226E"/>
    <w:rsid w:val="009422B4"/>
    <w:rsid w:val="00942346"/>
    <w:rsid w:val="00942665"/>
    <w:rsid w:val="00942871"/>
    <w:rsid w:val="009428CF"/>
    <w:rsid w:val="00942B17"/>
    <w:rsid w:val="00943100"/>
    <w:rsid w:val="009434BB"/>
    <w:rsid w:val="009435A3"/>
    <w:rsid w:val="0094376C"/>
    <w:rsid w:val="00943AD5"/>
    <w:rsid w:val="00943BDB"/>
    <w:rsid w:val="00943FE7"/>
    <w:rsid w:val="00944067"/>
    <w:rsid w:val="009448DF"/>
    <w:rsid w:val="009449D5"/>
    <w:rsid w:val="00944AB3"/>
    <w:rsid w:val="00944D68"/>
    <w:rsid w:val="00944E7F"/>
    <w:rsid w:val="00945931"/>
    <w:rsid w:val="009459DB"/>
    <w:rsid w:val="00946601"/>
    <w:rsid w:val="00947010"/>
    <w:rsid w:val="009476D4"/>
    <w:rsid w:val="00947970"/>
    <w:rsid w:val="00947A2E"/>
    <w:rsid w:val="00947C3C"/>
    <w:rsid w:val="00947C3D"/>
    <w:rsid w:val="00947C4F"/>
    <w:rsid w:val="00947C52"/>
    <w:rsid w:val="00947FDE"/>
    <w:rsid w:val="009501B9"/>
    <w:rsid w:val="0095048E"/>
    <w:rsid w:val="00950D92"/>
    <w:rsid w:val="0095137D"/>
    <w:rsid w:val="0095149D"/>
    <w:rsid w:val="009515E1"/>
    <w:rsid w:val="009516C1"/>
    <w:rsid w:val="0095183D"/>
    <w:rsid w:val="00951A7D"/>
    <w:rsid w:val="00951B4F"/>
    <w:rsid w:val="00951CEE"/>
    <w:rsid w:val="009520C9"/>
    <w:rsid w:val="00952276"/>
    <w:rsid w:val="00952293"/>
    <w:rsid w:val="00952444"/>
    <w:rsid w:val="0095252F"/>
    <w:rsid w:val="00952676"/>
    <w:rsid w:val="00952B6F"/>
    <w:rsid w:val="00952E01"/>
    <w:rsid w:val="009532CD"/>
    <w:rsid w:val="009533D4"/>
    <w:rsid w:val="00953CFC"/>
    <w:rsid w:val="00953E5D"/>
    <w:rsid w:val="00953EAE"/>
    <w:rsid w:val="00953EDB"/>
    <w:rsid w:val="00954168"/>
    <w:rsid w:val="00954429"/>
    <w:rsid w:val="0095445D"/>
    <w:rsid w:val="009545F4"/>
    <w:rsid w:val="00954D9B"/>
    <w:rsid w:val="00954FBC"/>
    <w:rsid w:val="009551C7"/>
    <w:rsid w:val="00955267"/>
    <w:rsid w:val="00955C8F"/>
    <w:rsid w:val="00955D83"/>
    <w:rsid w:val="00955F56"/>
    <w:rsid w:val="00956074"/>
    <w:rsid w:val="00956102"/>
    <w:rsid w:val="00956249"/>
    <w:rsid w:val="0095624F"/>
    <w:rsid w:val="00956800"/>
    <w:rsid w:val="009568DC"/>
    <w:rsid w:val="00957079"/>
    <w:rsid w:val="009573D8"/>
    <w:rsid w:val="009574AD"/>
    <w:rsid w:val="00957505"/>
    <w:rsid w:val="009577FC"/>
    <w:rsid w:val="0096014C"/>
    <w:rsid w:val="009601E8"/>
    <w:rsid w:val="00960530"/>
    <w:rsid w:val="00960869"/>
    <w:rsid w:val="00960947"/>
    <w:rsid w:val="00961909"/>
    <w:rsid w:val="00962113"/>
    <w:rsid w:val="009621DC"/>
    <w:rsid w:val="00962340"/>
    <w:rsid w:val="009623FA"/>
    <w:rsid w:val="00962A6D"/>
    <w:rsid w:val="00962ACF"/>
    <w:rsid w:val="00962FAD"/>
    <w:rsid w:val="009631CD"/>
    <w:rsid w:val="00963214"/>
    <w:rsid w:val="009632E2"/>
    <w:rsid w:val="009633F7"/>
    <w:rsid w:val="009634CC"/>
    <w:rsid w:val="009634D2"/>
    <w:rsid w:val="0096360E"/>
    <w:rsid w:val="0096416C"/>
    <w:rsid w:val="009645CF"/>
    <w:rsid w:val="00964722"/>
    <w:rsid w:val="00964FA7"/>
    <w:rsid w:val="009651BD"/>
    <w:rsid w:val="00965275"/>
    <w:rsid w:val="009652B9"/>
    <w:rsid w:val="00965398"/>
    <w:rsid w:val="009656A5"/>
    <w:rsid w:val="009659B9"/>
    <w:rsid w:val="00965BFB"/>
    <w:rsid w:val="0096637B"/>
    <w:rsid w:val="009666A5"/>
    <w:rsid w:val="00966F63"/>
    <w:rsid w:val="009670BD"/>
    <w:rsid w:val="009673C7"/>
    <w:rsid w:val="00967711"/>
    <w:rsid w:val="009677F2"/>
    <w:rsid w:val="0096787A"/>
    <w:rsid w:val="009678E8"/>
    <w:rsid w:val="00967900"/>
    <w:rsid w:val="00967CE7"/>
    <w:rsid w:val="00967D67"/>
    <w:rsid w:val="0097039F"/>
    <w:rsid w:val="0097043B"/>
    <w:rsid w:val="00970476"/>
    <w:rsid w:val="00970AA3"/>
    <w:rsid w:val="00970B66"/>
    <w:rsid w:val="00970C5E"/>
    <w:rsid w:val="00970E9A"/>
    <w:rsid w:val="00971363"/>
    <w:rsid w:val="00971DF9"/>
    <w:rsid w:val="00971FE7"/>
    <w:rsid w:val="00972076"/>
    <w:rsid w:val="009720A3"/>
    <w:rsid w:val="0097250F"/>
    <w:rsid w:val="009728E5"/>
    <w:rsid w:val="00972A2D"/>
    <w:rsid w:val="00972B63"/>
    <w:rsid w:val="00972D0E"/>
    <w:rsid w:val="009737D1"/>
    <w:rsid w:val="00973992"/>
    <w:rsid w:val="009739B1"/>
    <w:rsid w:val="00973B7C"/>
    <w:rsid w:val="00973FF9"/>
    <w:rsid w:val="00974077"/>
    <w:rsid w:val="00974101"/>
    <w:rsid w:val="00974181"/>
    <w:rsid w:val="00974382"/>
    <w:rsid w:val="00974594"/>
    <w:rsid w:val="009746C9"/>
    <w:rsid w:val="00974740"/>
    <w:rsid w:val="00974C36"/>
    <w:rsid w:val="00974D0E"/>
    <w:rsid w:val="00974E7C"/>
    <w:rsid w:val="00974F1C"/>
    <w:rsid w:val="00974F24"/>
    <w:rsid w:val="0097513C"/>
    <w:rsid w:val="009751E0"/>
    <w:rsid w:val="009752AA"/>
    <w:rsid w:val="009758DC"/>
    <w:rsid w:val="00975CB2"/>
    <w:rsid w:val="0097648C"/>
    <w:rsid w:val="00976617"/>
    <w:rsid w:val="00976693"/>
    <w:rsid w:val="009766C0"/>
    <w:rsid w:val="009766C1"/>
    <w:rsid w:val="00976B65"/>
    <w:rsid w:val="00976D26"/>
    <w:rsid w:val="00976EAB"/>
    <w:rsid w:val="0097703A"/>
    <w:rsid w:val="009770BA"/>
    <w:rsid w:val="00977190"/>
    <w:rsid w:val="009774CE"/>
    <w:rsid w:val="0097752A"/>
    <w:rsid w:val="00977728"/>
    <w:rsid w:val="00977936"/>
    <w:rsid w:val="00977A77"/>
    <w:rsid w:val="00977AE2"/>
    <w:rsid w:val="00977C24"/>
    <w:rsid w:val="00977D55"/>
    <w:rsid w:val="00980C00"/>
    <w:rsid w:val="00980D98"/>
    <w:rsid w:val="00980F77"/>
    <w:rsid w:val="00980FF2"/>
    <w:rsid w:val="009811C5"/>
    <w:rsid w:val="0098149B"/>
    <w:rsid w:val="009814F3"/>
    <w:rsid w:val="00981689"/>
    <w:rsid w:val="00981DA8"/>
    <w:rsid w:val="00981E09"/>
    <w:rsid w:val="00981E2A"/>
    <w:rsid w:val="00981F18"/>
    <w:rsid w:val="00981FF1"/>
    <w:rsid w:val="00982C9B"/>
    <w:rsid w:val="00983068"/>
    <w:rsid w:val="009830AB"/>
    <w:rsid w:val="0098312E"/>
    <w:rsid w:val="00983A04"/>
    <w:rsid w:val="00983C60"/>
    <w:rsid w:val="00983F27"/>
    <w:rsid w:val="00983FF2"/>
    <w:rsid w:val="00984061"/>
    <w:rsid w:val="00984239"/>
    <w:rsid w:val="00984471"/>
    <w:rsid w:val="009845AA"/>
    <w:rsid w:val="00984727"/>
    <w:rsid w:val="00984E58"/>
    <w:rsid w:val="00984EB3"/>
    <w:rsid w:val="00985353"/>
    <w:rsid w:val="0098575C"/>
    <w:rsid w:val="00985910"/>
    <w:rsid w:val="00985956"/>
    <w:rsid w:val="00985D21"/>
    <w:rsid w:val="0098633F"/>
    <w:rsid w:val="00986403"/>
    <w:rsid w:val="0098641B"/>
    <w:rsid w:val="00986499"/>
    <w:rsid w:val="00986933"/>
    <w:rsid w:val="00986D0D"/>
    <w:rsid w:val="00986E97"/>
    <w:rsid w:val="00987086"/>
    <w:rsid w:val="00987144"/>
    <w:rsid w:val="0098760A"/>
    <w:rsid w:val="009876B1"/>
    <w:rsid w:val="00987A49"/>
    <w:rsid w:val="00987B96"/>
    <w:rsid w:val="00987D51"/>
    <w:rsid w:val="00990208"/>
    <w:rsid w:val="00990285"/>
    <w:rsid w:val="0099044B"/>
    <w:rsid w:val="009906E5"/>
    <w:rsid w:val="0099077B"/>
    <w:rsid w:val="00990798"/>
    <w:rsid w:val="00990939"/>
    <w:rsid w:val="00990B9A"/>
    <w:rsid w:val="00990BB1"/>
    <w:rsid w:val="00990CB8"/>
    <w:rsid w:val="0099107B"/>
    <w:rsid w:val="00991391"/>
    <w:rsid w:val="0099148D"/>
    <w:rsid w:val="00991656"/>
    <w:rsid w:val="00991E82"/>
    <w:rsid w:val="0099210B"/>
    <w:rsid w:val="00992226"/>
    <w:rsid w:val="0099236C"/>
    <w:rsid w:val="009924AC"/>
    <w:rsid w:val="00992531"/>
    <w:rsid w:val="0099267A"/>
    <w:rsid w:val="009928B9"/>
    <w:rsid w:val="00992BB8"/>
    <w:rsid w:val="00992C15"/>
    <w:rsid w:val="00993586"/>
    <w:rsid w:val="0099359B"/>
    <w:rsid w:val="00993611"/>
    <w:rsid w:val="00993877"/>
    <w:rsid w:val="0099399F"/>
    <w:rsid w:val="00993C22"/>
    <w:rsid w:val="00993D0B"/>
    <w:rsid w:val="00993EFD"/>
    <w:rsid w:val="00993FFB"/>
    <w:rsid w:val="009942D5"/>
    <w:rsid w:val="009948E1"/>
    <w:rsid w:val="00994B41"/>
    <w:rsid w:val="00994B62"/>
    <w:rsid w:val="00994BDE"/>
    <w:rsid w:val="00994E4E"/>
    <w:rsid w:val="00994F0B"/>
    <w:rsid w:val="00995250"/>
    <w:rsid w:val="00995286"/>
    <w:rsid w:val="009952B0"/>
    <w:rsid w:val="0099582D"/>
    <w:rsid w:val="00995BB1"/>
    <w:rsid w:val="00995DE7"/>
    <w:rsid w:val="00995E23"/>
    <w:rsid w:val="00995F1B"/>
    <w:rsid w:val="00995FDE"/>
    <w:rsid w:val="00996036"/>
    <w:rsid w:val="00996355"/>
    <w:rsid w:val="009963FF"/>
    <w:rsid w:val="009967C6"/>
    <w:rsid w:val="009968E3"/>
    <w:rsid w:val="00996AC9"/>
    <w:rsid w:val="00996D80"/>
    <w:rsid w:val="00996E84"/>
    <w:rsid w:val="00996F85"/>
    <w:rsid w:val="0099701F"/>
    <w:rsid w:val="00997415"/>
    <w:rsid w:val="009975D7"/>
    <w:rsid w:val="009975E3"/>
    <w:rsid w:val="00997741"/>
    <w:rsid w:val="00997A5E"/>
    <w:rsid w:val="00997D43"/>
    <w:rsid w:val="00997DE8"/>
    <w:rsid w:val="009A01E1"/>
    <w:rsid w:val="009A04A5"/>
    <w:rsid w:val="009A0577"/>
    <w:rsid w:val="009A05C2"/>
    <w:rsid w:val="009A0AC7"/>
    <w:rsid w:val="009A0B03"/>
    <w:rsid w:val="009A0C61"/>
    <w:rsid w:val="009A0D17"/>
    <w:rsid w:val="009A0F8F"/>
    <w:rsid w:val="009A108A"/>
    <w:rsid w:val="009A1304"/>
    <w:rsid w:val="009A13E4"/>
    <w:rsid w:val="009A14A2"/>
    <w:rsid w:val="009A1542"/>
    <w:rsid w:val="009A1A5F"/>
    <w:rsid w:val="009A1E11"/>
    <w:rsid w:val="009A1F15"/>
    <w:rsid w:val="009A201C"/>
    <w:rsid w:val="009A220F"/>
    <w:rsid w:val="009A22B8"/>
    <w:rsid w:val="009A28E6"/>
    <w:rsid w:val="009A291F"/>
    <w:rsid w:val="009A2E44"/>
    <w:rsid w:val="009A355D"/>
    <w:rsid w:val="009A37E8"/>
    <w:rsid w:val="009A3D66"/>
    <w:rsid w:val="009A3FCC"/>
    <w:rsid w:val="009A41D6"/>
    <w:rsid w:val="009A47CA"/>
    <w:rsid w:val="009A48FB"/>
    <w:rsid w:val="009A5074"/>
    <w:rsid w:val="009A51A1"/>
    <w:rsid w:val="009A5231"/>
    <w:rsid w:val="009A52CA"/>
    <w:rsid w:val="009A5679"/>
    <w:rsid w:val="009A59A6"/>
    <w:rsid w:val="009A59DD"/>
    <w:rsid w:val="009A5B60"/>
    <w:rsid w:val="009A5CC9"/>
    <w:rsid w:val="009A5D04"/>
    <w:rsid w:val="009A5EF2"/>
    <w:rsid w:val="009A60A1"/>
    <w:rsid w:val="009A6202"/>
    <w:rsid w:val="009A6856"/>
    <w:rsid w:val="009A6B17"/>
    <w:rsid w:val="009A6B37"/>
    <w:rsid w:val="009A6BD9"/>
    <w:rsid w:val="009A6D46"/>
    <w:rsid w:val="009A71E0"/>
    <w:rsid w:val="009A7278"/>
    <w:rsid w:val="009A73FF"/>
    <w:rsid w:val="009A74E8"/>
    <w:rsid w:val="009A7777"/>
    <w:rsid w:val="009A7B24"/>
    <w:rsid w:val="009B0AB1"/>
    <w:rsid w:val="009B0CA4"/>
    <w:rsid w:val="009B0D9B"/>
    <w:rsid w:val="009B0D9F"/>
    <w:rsid w:val="009B19AD"/>
    <w:rsid w:val="009B1BFB"/>
    <w:rsid w:val="009B23DC"/>
    <w:rsid w:val="009B2846"/>
    <w:rsid w:val="009B2D17"/>
    <w:rsid w:val="009B2E8D"/>
    <w:rsid w:val="009B321A"/>
    <w:rsid w:val="009B32E2"/>
    <w:rsid w:val="009B35C5"/>
    <w:rsid w:val="009B36F3"/>
    <w:rsid w:val="009B36FE"/>
    <w:rsid w:val="009B37C2"/>
    <w:rsid w:val="009B3D17"/>
    <w:rsid w:val="009B3D42"/>
    <w:rsid w:val="009B3DDF"/>
    <w:rsid w:val="009B3EB2"/>
    <w:rsid w:val="009B4169"/>
    <w:rsid w:val="009B430F"/>
    <w:rsid w:val="009B43A5"/>
    <w:rsid w:val="009B4A6E"/>
    <w:rsid w:val="009B54A5"/>
    <w:rsid w:val="009B56D6"/>
    <w:rsid w:val="009B588F"/>
    <w:rsid w:val="009B5AFC"/>
    <w:rsid w:val="009B5B13"/>
    <w:rsid w:val="009B5C40"/>
    <w:rsid w:val="009B5E78"/>
    <w:rsid w:val="009B5F15"/>
    <w:rsid w:val="009B5F17"/>
    <w:rsid w:val="009B6048"/>
    <w:rsid w:val="009B660D"/>
    <w:rsid w:val="009B6701"/>
    <w:rsid w:val="009B69BD"/>
    <w:rsid w:val="009B6B9D"/>
    <w:rsid w:val="009B6BB5"/>
    <w:rsid w:val="009B6D17"/>
    <w:rsid w:val="009B7245"/>
    <w:rsid w:val="009B744E"/>
    <w:rsid w:val="009B752C"/>
    <w:rsid w:val="009C0382"/>
    <w:rsid w:val="009C0453"/>
    <w:rsid w:val="009C07CC"/>
    <w:rsid w:val="009C0A4A"/>
    <w:rsid w:val="009C0E1D"/>
    <w:rsid w:val="009C0E9F"/>
    <w:rsid w:val="009C105B"/>
    <w:rsid w:val="009C10C4"/>
    <w:rsid w:val="009C12D4"/>
    <w:rsid w:val="009C13D3"/>
    <w:rsid w:val="009C141D"/>
    <w:rsid w:val="009C146C"/>
    <w:rsid w:val="009C1599"/>
    <w:rsid w:val="009C1658"/>
    <w:rsid w:val="009C1962"/>
    <w:rsid w:val="009C1969"/>
    <w:rsid w:val="009C1DD1"/>
    <w:rsid w:val="009C2AA9"/>
    <w:rsid w:val="009C30D0"/>
    <w:rsid w:val="009C3C74"/>
    <w:rsid w:val="009C4059"/>
    <w:rsid w:val="009C40A9"/>
    <w:rsid w:val="009C4429"/>
    <w:rsid w:val="009C4462"/>
    <w:rsid w:val="009C4585"/>
    <w:rsid w:val="009C4819"/>
    <w:rsid w:val="009C4C40"/>
    <w:rsid w:val="009C4D4E"/>
    <w:rsid w:val="009C52BA"/>
    <w:rsid w:val="009C5637"/>
    <w:rsid w:val="009C5A6D"/>
    <w:rsid w:val="009C5BF1"/>
    <w:rsid w:val="009C5D7C"/>
    <w:rsid w:val="009C5F13"/>
    <w:rsid w:val="009C6385"/>
    <w:rsid w:val="009C63A6"/>
    <w:rsid w:val="009C67D1"/>
    <w:rsid w:val="009C68F1"/>
    <w:rsid w:val="009C69B6"/>
    <w:rsid w:val="009C6BC3"/>
    <w:rsid w:val="009C6DF2"/>
    <w:rsid w:val="009C6EBB"/>
    <w:rsid w:val="009C71A1"/>
    <w:rsid w:val="009C7AF7"/>
    <w:rsid w:val="009C7F16"/>
    <w:rsid w:val="009D07A4"/>
    <w:rsid w:val="009D089F"/>
    <w:rsid w:val="009D0F43"/>
    <w:rsid w:val="009D0FBA"/>
    <w:rsid w:val="009D1013"/>
    <w:rsid w:val="009D13FA"/>
    <w:rsid w:val="009D1430"/>
    <w:rsid w:val="009D149A"/>
    <w:rsid w:val="009D1BC6"/>
    <w:rsid w:val="009D20F1"/>
    <w:rsid w:val="009D2143"/>
    <w:rsid w:val="009D2616"/>
    <w:rsid w:val="009D26F7"/>
    <w:rsid w:val="009D2A52"/>
    <w:rsid w:val="009D2A5E"/>
    <w:rsid w:val="009D2A98"/>
    <w:rsid w:val="009D2D3F"/>
    <w:rsid w:val="009D319E"/>
    <w:rsid w:val="009D3612"/>
    <w:rsid w:val="009D3855"/>
    <w:rsid w:val="009D3B51"/>
    <w:rsid w:val="009D3CB0"/>
    <w:rsid w:val="009D4035"/>
    <w:rsid w:val="009D449D"/>
    <w:rsid w:val="009D4545"/>
    <w:rsid w:val="009D45F2"/>
    <w:rsid w:val="009D4655"/>
    <w:rsid w:val="009D465C"/>
    <w:rsid w:val="009D46B7"/>
    <w:rsid w:val="009D4738"/>
    <w:rsid w:val="009D4763"/>
    <w:rsid w:val="009D49E4"/>
    <w:rsid w:val="009D51B3"/>
    <w:rsid w:val="009D51CA"/>
    <w:rsid w:val="009D53A5"/>
    <w:rsid w:val="009D57E4"/>
    <w:rsid w:val="009D5ABD"/>
    <w:rsid w:val="009D6090"/>
    <w:rsid w:val="009D6183"/>
    <w:rsid w:val="009D61E0"/>
    <w:rsid w:val="009D61FD"/>
    <w:rsid w:val="009D6362"/>
    <w:rsid w:val="009D649C"/>
    <w:rsid w:val="009D673B"/>
    <w:rsid w:val="009D69D5"/>
    <w:rsid w:val="009D6FBD"/>
    <w:rsid w:val="009D7176"/>
    <w:rsid w:val="009D72CE"/>
    <w:rsid w:val="009D7696"/>
    <w:rsid w:val="009D76B5"/>
    <w:rsid w:val="009D7A5B"/>
    <w:rsid w:val="009D7C86"/>
    <w:rsid w:val="009DD6EC"/>
    <w:rsid w:val="009E01E5"/>
    <w:rsid w:val="009E034A"/>
    <w:rsid w:val="009E0B36"/>
    <w:rsid w:val="009E11D1"/>
    <w:rsid w:val="009E152C"/>
    <w:rsid w:val="009E1569"/>
    <w:rsid w:val="009E1763"/>
    <w:rsid w:val="009E1AF4"/>
    <w:rsid w:val="009E1B43"/>
    <w:rsid w:val="009E1EEA"/>
    <w:rsid w:val="009E204F"/>
    <w:rsid w:val="009E2149"/>
    <w:rsid w:val="009E21C7"/>
    <w:rsid w:val="009E246B"/>
    <w:rsid w:val="009E260D"/>
    <w:rsid w:val="009E366C"/>
    <w:rsid w:val="009E3784"/>
    <w:rsid w:val="009E3AEC"/>
    <w:rsid w:val="009E3EFC"/>
    <w:rsid w:val="009E424D"/>
    <w:rsid w:val="009E42A9"/>
    <w:rsid w:val="009E433A"/>
    <w:rsid w:val="009E43B4"/>
    <w:rsid w:val="009E45D4"/>
    <w:rsid w:val="009E46A7"/>
    <w:rsid w:val="009E47D7"/>
    <w:rsid w:val="009E4E22"/>
    <w:rsid w:val="009E50C2"/>
    <w:rsid w:val="009E50F0"/>
    <w:rsid w:val="009E5358"/>
    <w:rsid w:val="009E581D"/>
    <w:rsid w:val="009E5C31"/>
    <w:rsid w:val="009E5D99"/>
    <w:rsid w:val="009E600A"/>
    <w:rsid w:val="009E601D"/>
    <w:rsid w:val="009E61C8"/>
    <w:rsid w:val="009E628A"/>
    <w:rsid w:val="009E6502"/>
    <w:rsid w:val="009E683E"/>
    <w:rsid w:val="009E6C83"/>
    <w:rsid w:val="009E6DC9"/>
    <w:rsid w:val="009E7165"/>
    <w:rsid w:val="009E746B"/>
    <w:rsid w:val="009E79B5"/>
    <w:rsid w:val="009E7A78"/>
    <w:rsid w:val="009F01F8"/>
    <w:rsid w:val="009F0607"/>
    <w:rsid w:val="009F07D9"/>
    <w:rsid w:val="009F1476"/>
    <w:rsid w:val="009F1C16"/>
    <w:rsid w:val="009F2206"/>
    <w:rsid w:val="009F248C"/>
    <w:rsid w:val="009F2579"/>
    <w:rsid w:val="009F29D2"/>
    <w:rsid w:val="009F2EA9"/>
    <w:rsid w:val="009F2FBF"/>
    <w:rsid w:val="009F379C"/>
    <w:rsid w:val="009F3C4B"/>
    <w:rsid w:val="009F3CB1"/>
    <w:rsid w:val="009F4729"/>
    <w:rsid w:val="009F494F"/>
    <w:rsid w:val="009F4C0A"/>
    <w:rsid w:val="009F4FE3"/>
    <w:rsid w:val="009F535A"/>
    <w:rsid w:val="009F53B6"/>
    <w:rsid w:val="009F589F"/>
    <w:rsid w:val="009F5BED"/>
    <w:rsid w:val="009F5C0D"/>
    <w:rsid w:val="009F5DCE"/>
    <w:rsid w:val="009F5E6B"/>
    <w:rsid w:val="009F603D"/>
    <w:rsid w:val="009F60D9"/>
    <w:rsid w:val="009F6E55"/>
    <w:rsid w:val="009F7195"/>
    <w:rsid w:val="009F728C"/>
    <w:rsid w:val="009F7809"/>
    <w:rsid w:val="009F7C2E"/>
    <w:rsid w:val="009F7C4F"/>
    <w:rsid w:val="009F7C90"/>
    <w:rsid w:val="009F7F6F"/>
    <w:rsid w:val="00A00246"/>
    <w:rsid w:val="00A00A0F"/>
    <w:rsid w:val="00A00B29"/>
    <w:rsid w:val="00A00EF6"/>
    <w:rsid w:val="00A00F96"/>
    <w:rsid w:val="00A01194"/>
    <w:rsid w:val="00A013E9"/>
    <w:rsid w:val="00A01630"/>
    <w:rsid w:val="00A01978"/>
    <w:rsid w:val="00A0203A"/>
    <w:rsid w:val="00A02408"/>
    <w:rsid w:val="00A026EB"/>
    <w:rsid w:val="00A02968"/>
    <w:rsid w:val="00A02F78"/>
    <w:rsid w:val="00A02F9B"/>
    <w:rsid w:val="00A032FF"/>
    <w:rsid w:val="00A034A0"/>
    <w:rsid w:val="00A038D7"/>
    <w:rsid w:val="00A04176"/>
    <w:rsid w:val="00A04784"/>
    <w:rsid w:val="00A048C8"/>
    <w:rsid w:val="00A0493D"/>
    <w:rsid w:val="00A04B5D"/>
    <w:rsid w:val="00A04BD8"/>
    <w:rsid w:val="00A04CDD"/>
    <w:rsid w:val="00A04DBC"/>
    <w:rsid w:val="00A0566E"/>
    <w:rsid w:val="00A05A73"/>
    <w:rsid w:val="00A05C68"/>
    <w:rsid w:val="00A05CAD"/>
    <w:rsid w:val="00A06437"/>
    <w:rsid w:val="00A06B8B"/>
    <w:rsid w:val="00A06D62"/>
    <w:rsid w:val="00A07068"/>
    <w:rsid w:val="00A07573"/>
    <w:rsid w:val="00A07633"/>
    <w:rsid w:val="00A0769D"/>
    <w:rsid w:val="00A076B2"/>
    <w:rsid w:val="00A0775E"/>
    <w:rsid w:val="00A07929"/>
    <w:rsid w:val="00A07933"/>
    <w:rsid w:val="00A07BEA"/>
    <w:rsid w:val="00A07CF1"/>
    <w:rsid w:val="00A07E66"/>
    <w:rsid w:val="00A07FEB"/>
    <w:rsid w:val="00A1005E"/>
    <w:rsid w:val="00A10266"/>
    <w:rsid w:val="00A102A7"/>
    <w:rsid w:val="00A10A0F"/>
    <w:rsid w:val="00A10B3B"/>
    <w:rsid w:val="00A10BF3"/>
    <w:rsid w:val="00A10C91"/>
    <w:rsid w:val="00A10DFA"/>
    <w:rsid w:val="00A11247"/>
    <w:rsid w:val="00A112E6"/>
    <w:rsid w:val="00A116E3"/>
    <w:rsid w:val="00A1181F"/>
    <w:rsid w:val="00A1197F"/>
    <w:rsid w:val="00A11C57"/>
    <w:rsid w:val="00A11D7D"/>
    <w:rsid w:val="00A12109"/>
    <w:rsid w:val="00A12392"/>
    <w:rsid w:val="00A123C8"/>
    <w:rsid w:val="00A123FC"/>
    <w:rsid w:val="00A12604"/>
    <w:rsid w:val="00A128CE"/>
    <w:rsid w:val="00A13291"/>
    <w:rsid w:val="00A13355"/>
    <w:rsid w:val="00A134B6"/>
    <w:rsid w:val="00A1380A"/>
    <w:rsid w:val="00A1392D"/>
    <w:rsid w:val="00A13B68"/>
    <w:rsid w:val="00A145BA"/>
    <w:rsid w:val="00A147F7"/>
    <w:rsid w:val="00A14863"/>
    <w:rsid w:val="00A14C37"/>
    <w:rsid w:val="00A1500E"/>
    <w:rsid w:val="00A150DF"/>
    <w:rsid w:val="00A151CC"/>
    <w:rsid w:val="00A15232"/>
    <w:rsid w:val="00A152A9"/>
    <w:rsid w:val="00A15508"/>
    <w:rsid w:val="00A157EE"/>
    <w:rsid w:val="00A158CE"/>
    <w:rsid w:val="00A15937"/>
    <w:rsid w:val="00A1609F"/>
    <w:rsid w:val="00A16213"/>
    <w:rsid w:val="00A16272"/>
    <w:rsid w:val="00A1650D"/>
    <w:rsid w:val="00A166A6"/>
    <w:rsid w:val="00A16CF7"/>
    <w:rsid w:val="00A16D12"/>
    <w:rsid w:val="00A17026"/>
    <w:rsid w:val="00A1704C"/>
    <w:rsid w:val="00A17311"/>
    <w:rsid w:val="00A17359"/>
    <w:rsid w:val="00A17704"/>
    <w:rsid w:val="00A1771A"/>
    <w:rsid w:val="00A1792B"/>
    <w:rsid w:val="00A17DB3"/>
    <w:rsid w:val="00A17E76"/>
    <w:rsid w:val="00A17EE1"/>
    <w:rsid w:val="00A17F43"/>
    <w:rsid w:val="00A202BF"/>
    <w:rsid w:val="00A20F8D"/>
    <w:rsid w:val="00A212A7"/>
    <w:rsid w:val="00A21577"/>
    <w:rsid w:val="00A21711"/>
    <w:rsid w:val="00A218ED"/>
    <w:rsid w:val="00A21A47"/>
    <w:rsid w:val="00A22051"/>
    <w:rsid w:val="00A2207E"/>
    <w:rsid w:val="00A221BA"/>
    <w:rsid w:val="00A225FB"/>
    <w:rsid w:val="00A236E1"/>
    <w:rsid w:val="00A238D9"/>
    <w:rsid w:val="00A239FC"/>
    <w:rsid w:val="00A23FB9"/>
    <w:rsid w:val="00A2480C"/>
    <w:rsid w:val="00A24987"/>
    <w:rsid w:val="00A24AFD"/>
    <w:rsid w:val="00A24D7B"/>
    <w:rsid w:val="00A24E46"/>
    <w:rsid w:val="00A24F88"/>
    <w:rsid w:val="00A24F8F"/>
    <w:rsid w:val="00A24FB4"/>
    <w:rsid w:val="00A254C8"/>
    <w:rsid w:val="00A25850"/>
    <w:rsid w:val="00A258D9"/>
    <w:rsid w:val="00A2594F"/>
    <w:rsid w:val="00A25D6E"/>
    <w:rsid w:val="00A25DEB"/>
    <w:rsid w:val="00A25F95"/>
    <w:rsid w:val="00A26031"/>
    <w:rsid w:val="00A26114"/>
    <w:rsid w:val="00A26251"/>
    <w:rsid w:val="00A26585"/>
    <w:rsid w:val="00A26766"/>
    <w:rsid w:val="00A26800"/>
    <w:rsid w:val="00A268E8"/>
    <w:rsid w:val="00A26A10"/>
    <w:rsid w:val="00A26A27"/>
    <w:rsid w:val="00A270B3"/>
    <w:rsid w:val="00A27166"/>
    <w:rsid w:val="00A277CF"/>
    <w:rsid w:val="00A277F0"/>
    <w:rsid w:val="00A27A78"/>
    <w:rsid w:val="00A27C79"/>
    <w:rsid w:val="00A27D4D"/>
    <w:rsid w:val="00A27E1E"/>
    <w:rsid w:val="00A27F57"/>
    <w:rsid w:val="00A30003"/>
    <w:rsid w:val="00A30097"/>
    <w:rsid w:val="00A302F4"/>
    <w:rsid w:val="00A30980"/>
    <w:rsid w:val="00A30B80"/>
    <w:rsid w:val="00A30B9F"/>
    <w:rsid w:val="00A30BE6"/>
    <w:rsid w:val="00A30F3D"/>
    <w:rsid w:val="00A30FDD"/>
    <w:rsid w:val="00A31212"/>
    <w:rsid w:val="00A31279"/>
    <w:rsid w:val="00A315F5"/>
    <w:rsid w:val="00A31735"/>
    <w:rsid w:val="00A31B5A"/>
    <w:rsid w:val="00A31EDE"/>
    <w:rsid w:val="00A32119"/>
    <w:rsid w:val="00A327C5"/>
    <w:rsid w:val="00A327FA"/>
    <w:rsid w:val="00A32CB6"/>
    <w:rsid w:val="00A32E07"/>
    <w:rsid w:val="00A32F7D"/>
    <w:rsid w:val="00A33019"/>
    <w:rsid w:val="00A332EB"/>
    <w:rsid w:val="00A33813"/>
    <w:rsid w:val="00A339DB"/>
    <w:rsid w:val="00A33CA3"/>
    <w:rsid w:val="00A34333"/>
    <w:rsid w:val="00A34781"/>
    <w:rsid w:val="00A347DA"/>
    <w:rsid w:val="00A34936"/>
    <w:rsid w:val="00A34D2D"/>
    <w:rsid w:val="00A34EEB"/>
    <w:rsid w:val="00A35139"/>
    <w:rsid w:val="00A35231"/>
    <w:rsid w:val="00A354AA"/>
    <w:rsid w:val="00A35872"/>
    <w:rsid w:val="00A35959"/>
    <w:rsid w:val="00A35D0F"/>
    <w:rsid w:val="00A35DDE"/>
    <w:rsid w:val="00A35E8D"/>
    <w:rsid w:val="00A360DC"/>
    <w:rsid w:val="00A361F5"/>
    <w:rsid w:val="00A3658E"/>
    <w:rsid w:val="00A36907"/>
    <w:rsid w:val="00A370CD"/>
    <w:rsid w:val="00A370EA"/>
    <w:rsid w:val="00A3743A"/>
    <w:rsid w:val="00A37BEB"/>
    <w:rsid w:val="00A37D4F"/>
    <w:rsid w:val="00A40BE4"/>
    <w:rsid w:val="00A40C35"/>
    <w:rsid w:val="00A40DDD"/>
    <w:rsid w:val="00A40E0F"/>
    <w:rsid w:val="00A4110F"/>
    <w:rsid w:val="00A41373"/>
    <w:rsid w:val="00A417CE"/>
    <w:rsid w:val="00A41BCD"/>
    <w:rsid w:val="00A424E5"/>
    <w:rsid w:val="00A42A91"/>
    <w:rsid w:val="00A42BC9"/>
    <w:rsid w:val="00A42C5E"/>
    <w:rsid w:val="00A4342F"/>
    <w:rsid w:val="00A4348D"/>
    <w:rsid w:val="00A43D78"/>
    <w:rsid w:val="00A43FF9"/>
    <w:rsid w:val="00A4407F"/>
    <w:rsid w:val="00A44129"/>
    <w:rsid w:val="00A4413A"/>
    <w:rsid w:val="00A4448D"/>
    <w:rsid w:val="00A4454E"/>
    <w:rsid w:val="00A4485F"/>
    <w:rsid w:val="00A448CB"/>
    <w:rsid w:val="00A44CF4"/>
    <w:rsid w:val="00A45198"/>
    <w:rsid w:val="00A454E1"/>
    <w:rsid w:val="00A45E7F"/>
    <w:rsid w:val="00A45F54"/>
    <w:rsid w:val="00A462B2"/>
    <w:rsid w:val="00A46326"/>
    <w:rsid w:val="00A463B4"/>
    <w:rsid w:val="00A4672F"/>
    <w:rsid w:val="00A46B37"/>
    <w:rsid w:val="00A46E31"/>
    <w:rsid w:val="00A46E96"/>
    <w:rsid w:val="00A470DB"/>
    <w:rsid w:val="00A47424"/>
    <w:rsid w:val="00A47A14"/>
    <w:rsid w:val="00A47B0C"/>
    <w:rsid w:val="00A50256"/>
    <w:rsid w:val="00A503F4"/>
    <w:rsid w:val="00A519A4"/>
    <w:rsid w:val="00A521C2"/>
    <w:rsid w:val="00A52523"/>
    <w:rsid w:val="00A5288A"/>
    <w:rsid w:val="00A5290E"/>
    <w:rsid w:val="00A52B52"/>
    <w:rsid w:val="00A538C7"/>
    <w:rsid w:val="00A539B4"/>
    <w:rsid w:val="00A539DA"/>
    <w:rsid w:val="00A53A46"/>
    <w:rsid w:val="00A53A9B"/>
    <w:rsid w:val="00A53BD8"/>
    <w:rsid w:val="00A54248"/>
    <w:rsid w:val="00A543F8"/>
    <w:rsid w:val="00A54B8C"/>
    <w:rsid w:val="00A54BB8"/>
    <w:rsid w:val="00A54F8F"/>
    <w:rsid w:val="00A550AE"/>
    <w:rsid w:val="00A55210"/>
    <w:rsid w:val="00A553BD"/>
    <w:rsid w:val="00A55653"/>
    <w:rsid w:val="00A5588C"/>
    <w:rsid w:val="00A5596D"/>
    <w:rsid w:val="00A55C32"/>
    <w:rsid w:val="00A56284"/>
    <w:rsid w:val="00A567D7"/>
    <w:rsid w:val="00A56823"/>
    <w:rsid w:val="00A568FB"/>
    <w:rsid w:val="00A57124"/>
    <w:rsid w:val="00A578A8"/>
    <w:rsid w:val="00A57A39"/>
    <w:rsid w:val="00A57AB0"/>
    <w:rsid w:val="00A57ABE"/>
    <w:rsid w:val="00A57CB7"/>
    <w:rsid w:val="00A601A1"/>
    <w:rsid w:val="00A602B9"/>
    <w:rsid w:val="00A60436"/>
    <w:rsid w:val="00A6045F"/>
    <w:rsid w:val="00A60834"/>
    <w:rsid w:val="00A6088C"/>
    <w:rsid w:val="00A6092E"/>
    <w:rsid w:val="00A60C1B"/>
    <w:rsid w:val="00A60D5D"/>
    <w:rsid w:val="00A61099"/>
    <w:rsid w:val="00A6134B"/>
    <w:rsid w:val="00A616A3"/>
    <w:rsid w:val="00A61B19"/>
    <w:rsid w:val="00A61CE0"/>
    <w:rsid w:val="00A6204B"/>
    <w:rsid w:val="00A62180"/>
    <w:rsid w:val="00A6285C"/>
    <w:rsid w:val="00A6287F"/>
    <w:rsid w:val="00A629C2"/>
    <w:rsid w:val="00A62BAF"/>
    <w:rsid w:val="00A62E7B"/>
    <w:rsid w:val="00A63487"/>
    <w:rsid w:val="00A6397F"/>
    <w:rsid w:val="00A63ABF"/>
    <w:rsid w:val="00A63DC9"/>
    <w:rsid w:val="00A63F68"/>
    <w:rsid w:val="00A640FA"/>
    <w:rsid w:val="00A641A4"/>
    <w:rsid w:val="00A6429A"/>
    <w:rsid w:val="00A6454E"/>
    <w:rsid w:val="00A6464A"/>
    <w:rsid w:val="00A649D7"/>
    <w:rsid w:val="00A64BC4"/>
    <w:rsid w:val="00A64C5A"/>
    <w:rsid w:val="00A64C88"/>
    <w:rsid w:val="00A64F55"/>
    <w:rsid w:val="00A657AA"/>
    <w:rsid w:val="00A657B5"/>
    <w:rsid w:val="00A6595D"/>
    <w:rsid w:val="00A65E39"/>
    <w:rsid w:val="00A663CC"/>
    <w:rsid w:val="00A6645E"/>
    <w:rsid w:val="00A669D2"/>
    <w:rsid w:val="00A671AB"/>
    <w:rsid w:val="00A67367"/>
    <w:rsid w:val="00A67666"/>
    <w:rsid w:val="00A6774F"/>
    <w:rsid w:val="00A67BC3"/>
    <w:rsid w:val="00A67E6C"/>
    <w:rsid w:val="00A67EA6"/>
    <w:rsid w:val="00A70617"/>
    <w:rsid w:val="00A7075F"/>
    <w:rsid w:val="00A70E2B"/>
    <w:rsid w:val="00A712D0"/>
    <w:rsid w:val="00A71417"/>
    <w:rsid w:val="00A714B5"/>
    <w:rsid w:val="00A7198D"/>
    <w:rsid w:val="00A71B0D"/>
    <w:rsid w:val="00A71C63"/>
    <w:rsid w:val="00A723BD"/>
    <w:rsid w:val="00A72579"/>
    <w:rsid w:val="00A7283A"/>
    <w:rsid w:val="00A729D6"/>
    <w:rsid w:val="00A72F6C"/>
    <w:rsid w:val="00A72F71"/>
    <w:rsid w:val="00A73156"/>
    <w:rsid w:val="00A739D4"/>
    <w:rsid w:val="00A73AAB"/>
    <w:rsid w:val="00A73CFE"/>
    <w:rsid w:val="00A741E3"/>
    <w:rsid w:val="00A7421C"/>
    <w:rsid w:val="00A74445"/>
    <w:rsid w:val="00A744CA"/>
    <w:rsid w:val="00A74656"/>
    <w:rsid w:val="00A747BF"/>
    <w:rsid w:val="00A7494E"/>
    <w:rsid w:val="00A74B04"/>
    <w:rsid w:val="00A75037"/>
    <w:rsid w:val="00A7530B"/>
    <w:rsid w:val="00A758D3"/>
    <w:rsid w:val="00A75AF7"/>
    <w:rsid w:val="00A75C39"/>
    <w:rsid w:val="00A75DAC"/>
    <w:rsid w:val="00A764CB"/>
    <w:rsid w:val="00A76501"/>
    <w:rsid w:val="00A7651A"/>
    <w:rsid w:val="00A76A5E"/>
    <w:rsid w:val="00A76CD1"/>
    <w:rsid w:val="00A76D7B"/>
    <w:rsid w:val="00A76F18"/>
    <w:rsid w:val="00A770BF"/>
    <w:rsid w:val="00A77161"/>
    <w:rsid w:val="00A77BC2"/>
    <w:rsid w:val="00A77E00"/>
    <w:rsid w:val="00A77FC3"/>
    <w:rsid w:val="00A802BE"/>
    <w:rsid w:val="00A8064D"/>
    <w:rsid w:val="00A80812"/>
    <w:rsid w:val="00A80E7B"/>
    <w:rsid w:val="00A80FFC"/>
    <w:rsid w:val="00A810B5"/>
    <w:rsid w:val="00A813A4"/>
    <w:rsid w:val="00A81487"/>
    <w:rsid w:val="00A814AB"/>
    <w:rsid w:val="00A815CA"/>
    <w:rsid w:val="00A81740"/>
    <w:rsid w:val="00A817F4"/>
    <w:rsid w:val="00A8183C"/>
    <w:rsid w:val="00A81980"/>
    <w:rsid w:val="00A81DEA"/>
    <w:rsid w:val="00A81E6C"/>
    <w:rsid w:val="00A820D2"/>
    <w:rsid w:val="00A823BD"/>
    <w:rsid w:val="00A8255A"/>
    <w:rsid w:val="00A82A7C"/>
    <w:rsid w:val="00A831E6"/>
    <w:rsid w:val="00A832A6"/>
    <w:rsid w:val="00A834F4"/>
    <w:rsid w:val="00A835AB"/>
    <w:rsid w:val="00A836C4"/>
    <w:rsid w:val="00A8376E"/>
    <w:rsid w:val="00A837D5"/>
    <w:rsid w:val="00A8385D"/>
    <w:rsid w:val="00A844DD"/>
    <w:rsid w:val="00A84612"/>
    <w:rsid w:val="00A84AA4"/>
    <w:rsid w:val="00A84AC5"/>
    <w:rsid w:val="00A84B32"/>
    <w:rsid w:val="00A85157"/>
    <w:rsid w:val="00A85166"/>
    <w:rsid w:val="00A8537F"/>
    <w:rsid w:val="00A854BE"/>
    <w:rsid w:val="00A857AF"/>
    <w:rsid w:val="00A858BC"/>
    <w:rsid w:val="00A85CE4"/>
    <w:rsid w:val="00A85D6C"/>
    <w:rsid w:val="00A85DDA"/>
    <w:rsid w:val="00A86127"/>
    <w:rsid w:val="00A86332"/>
    <w:rsid w:val="00A86374"/>
    <w:rsid w:val="00A8694E"/>
    <w:rsid w:val="00A86DCA"/>
    <w:rsid w:val="00A871A9"/>
    <w:rsid w:val="00A871B7"/>
    <w:rsid w:val="00A87264"/>
    <w:rsid w:val="00A8765A"/>
    <w:rsid w:val="00A8791D"/>
    <w:rsid w:val="00A87F8B"/>
    <w:rsid w:val="00A9036C"/>
    <w:rsid w:val="00A903C8"/>
    <w:rsid w:val="00A9073F"/>
    <w:rsid w:val="00A90BE7"/>
    <w:rsid w:val="00A90BFB"/>
    <w:rsid w:val="00A90CA2"/>
    <w:rsid w:val="00A9100C"/>
    <w:rsid w:val="00A910D7"/>
    <w:rsid w:val="00A914AD"/>
    <w:rsid w:val="00A9165A"/>
    <w:rsid w:val="00A9173A"/>
    <w:rsid w:val="00A91F8C"/>
    <w:rsid w:val="00A92763"/>
    <w:rsid w:val="00A92944"/>
    <w:rsid w:val="00A92953"/>
    <w:rsid w:val="00A92D4D"/>
    <w:rsid w:val="00A92DA3"/>
    <w:rsid w:val="00A92EB5"/>
    <w:rsid w:val="00A9310C"/>
    <w:rsid w:val="00A93705"/>
    <w:rsid w:val="00A93CDA"/>
    <w:rsid w:val="00A93D0C"/>
    <w:rsid w:val="00A93DA1"/>
    <w:rsid w:val="00A93E94"/>
    <w:rsid w:val="00A93F2C"/>
    <w:rsid w:val="00A94129"/>
    <w:rsid w:val="00A94159"/>
    <w:rsid w:val="00A943FF"/>
    <w:rsid w:val="00A94562"/>
    <w:rsid w:val="00A94CC8"/>
    <w:rsid w:val="00A95016"/>
    <w:rsid w:val="00A950E7"/>
    <w:rsid w:val="00A9524E"/>
    <w:rsid w:val="00A95291"/>
    <w:rsid w:val="00A952A3"/>
    <w:rsid w:val="00A953FB"/>
    <w:rsid w:val="00A954A0"/>
    <w:rsid w:val="00A956EE"/>
    <w:rsid w:val="00A958E0"/>
    <w:rsid w:val="00A95C6E"/>
    <w:rsid w:val="00A95E16"/>
    <w:rsid w:val="00A962E5"/>
    <w:rsid w:val="00A965B5"/>
    <w:rsid w:val="00A965E5"/>
    <w:rsid w:val="00A9698D"/>
    <w:rsid w:val="00A96A44"/>
    <w:rsid w:val="00A96A6B"/>
    <w:rsid w:val="00A972D5"/>
    <w:rsid w:val="00A97FE1"/>
    <w:rsid w:val="00AA01A8"/>
    <w:rsid w:val="00AA01D1"/>
    <w:rsid w:val="00AA024B"/>
    <w:rsid w:val="00AA0445"/>
    <w:rsid w:val="00AA0A0B"/>
    <w:rsid w:val="00AA0D2E"/>
    <w:rsid w:val="00AA0EF7"/>
    <w:rsid w:val="00AA0FD2"/>
    <w:rsid w:val="00AA12E2"/>
    <w:rsid w:val="00AA16D0"/>
    <w:rsid w:val="00AA1ACA"/>
    <w:rsid w:val="00AA1F78"/>
    <w:rsid w:val="00AA2699"/>
    <w:rsid w:val="00AA296F"/>
    <w:rsid w:val="00AA2A1F"/>
    <w:rsid w:val="00AA2A45"/>
    <w:rsid w:val="00AA2A8E"/>
    <w:rsid w:val="00AA2A94"/>
    <w:rsid w:val="00AA2B39"/>
    <w:rsid w:val="00AA2ECF"/>
    <w:rsid w:val="00AA2F07"/>
    <w:rsid w:val="00AA2F18"/>
    <w:rsid w:val="00AA347F"/>
    <w:rsid w:val="00AA36AF"/>
    <w:rsid w:val="00AA3DA4"/>
    <w:rsid w:val="00AA4298"/>
    <w:rsid w:val="00AA435D"/>
    <w:rsid w:val="00AA45DB"/>
    <w:rsid w:val="00AA4614"/>
    <w:rsid w:val="00AA4747"/>
    <w:rsid w:val="00AA4896"/>
    <w:rsid w:val="00AA4962"/>
    <w:rsid w:val="00AA4981"/>
    <w:rsid w:val="00AA4ACE"/>
    <w:rsid w:val="00AA4B48"/>
    <w:rsid w:val="00AA4D4C"/>
    <w:rsid w:val="00AA4E55"/>
    <w:rsid w:val="00AA4F9F"/>
    <w:rsid w:val="00AA526B"/>
    <w:rsid w:val="00AA528B"/>
    <w:rsid w:val="00AA5950"/>
    <w:rsid w:val="00AA5F6F"/>
    <w:rsid w:val="00AA5F8A"/>
    <w:rsid w:val="00AA6261"/>
    <w:rsid w:val="00AA66DA"/>
    <w:rsid w:val="00AA6F89"/>
    <w:rsid w:val="00AA714F"/>
    <w:rsid w:val="00AA7391"/>
    <w:rsid w:val="00AA7472"/>
    <w:rsid w:val="00AA7533"/>
    <w:rsid w:val="00AA7727"/>
    <w:rsid w:val="00AA7DB7"/>
    <w:rsid w:val="00AB060C"/>
    <w:rsid w:val="00AB0842"/>
    <w:rsid w:val="00AB09B7"/>
    <w:rsid w:val="00AB0EB7"/>
    <w:rsid w:val="00AB13F6"/>
    <w:rsid w:val="00AB150C"/>
    <w:rsid w:val="00AB15A7"/>
    <w:rsid w:val="00AB17F5"/>
    <w:rsid w:val="00AB1C71"/>
    <w:rsid w:val="00AB1C7B"/>
    <w:rsid w:val="00AB1E03"/>
    <w:rsid w:val="00AB1E27"/>
    <w:rsid w:val="00AB1E4B"/>
    <w:rsid w:val="00AB2152"/>
    <w:rsid w:val="00AB228A"/>
    <w:rsid w:val="00AB22D4"/>
    <w:rsid w:val="00AB233D"/>
    <w:rsid w:val="00AB2392"/>
    <w:rsid w:val="00AB2397"/>
    <w:rsid w:val="00AB25F2"/>
    <w:rsid w:val="00AB2780"/>
    <w:rsid w:val="00AB28F2"/>
    <w:rsid w:val="00AB29E5"/>
    <w:rsid w:val="00AB2E21"/>
    <w:rsid w:val="00AB2F11"/>
    <w:rsid w:val="00AB3048"/>
    <w:rsid w:val="00AB3667"/>
    <w:rsid w:val="00AB385A"/>
    <w:rsid w:val="00AB3927"/>
    <w:rsid w:val="00AB3ECD"/>
    <w:rsid w:val="00AB4300"/>
    <w:rsid w:val="00AB441E"/>
    <w:rsid w:val="00AB49A2"/>
    <w:rsid w:val="00AB4D73"/>
    <w:rsid w:val="00AB4DB3"/>
    <w:rsid w:val="00AB5150"/>
    <w:rsid w:val="00AB52D8"/>
    <w:rsid w:val="00AB5B73"/>
    <w:rsid w:val="00AB5C9B"/>
    <w:rsid w:val="00AB5DFD"/>
    <w:rsid w:val="00AB5ED0"/>
    <w:rsid w:val="00AB668A"/>
    <w:rsid w:val="00AB690C"/>
    <w:rsid w:val="00AB6C76"/>
    <w:rsid w:val="00AB7392"/>
    <w:rsid w:val="00AB760F"/>
    <w:rsid w:val="00AB7726"/>
    <w:rsid w:val="00AB7822"/>
    <w:rsid w:val="00AB79DD"/>
    <w:rsid w:val="00AB7A55"/>
    <w:rsid w:val="00AB7B6F"/>
    <w:rsid w:val="00AB7CC6"/>
    <w:rsid w:val="00AB7E1B"/>
    <w:rsid w:val="00AB7FC7"/>
    <w:rsid w:val="00AC010C"/>
    <w:rsid w:val="00AC0386"/>
    <w:rsid w:val="00AC0619"/>
    <w:rsid w:val="00AC0658"/>
    <w:rsid w:val="00AC0A7B"/>
    <w:rsid w:val="00AC0B5C"/>
    <w:rsid w:val="00AC0E2C"/>
    <w:rsid w:val="00AC0FF9"/>
    <w:rsid w:val="00AC115A"/>
    <w:rsid w:val="00AC1E3C"/>
    <w:rsid w:val="00AC2086"/>
    <w:rsid w:val="00AC2610"/>
    <w:rsid w:val="00AC2C8E"/>
    <w:rsid w:val="00AC30F5"/>
    <w:rsid w:val="00AC324E"/>
    <w:rsid w:val="00AC340A"/>
    <w:rsid w:val="00AC3593"/>
    <w:rsid w:val="00AC3601"/>
    <w:rsid w:val="00AC39A5"/>
    <w:rsid w:val="00AC41DE"/>
    <w:rsid w:val="00AC42B5"/>
    <w:rsid w:val="00AC4617"/>
    <w:rsid w:val="00AC46D2"/>
    <w:rsid w:val="00AC48BD"/>
    <w:rsid w:val="00AC4BFE"/>
    <w:rsid w:val="00AC5421"/>
    <w:rsid w:val="00AC55FD"/>
    <w:rsid w:val="00AC5754"/>
    <w:rsid w:val="00AC58FA"/>
    <w:rsid w:val="00AC5AD3"/>
    <w:rsid w:val="00AC5E06"/>
    <w:rsid w:val="00AC5F42"/>
    <w:rsid w:val="00AC5F66"/>
    <w:rsid w:val="00AC62D2"/>
    <w:rsid w:val="00AC635D"/>
    <w:rsid w:val="00AC657D"/>
    <w:rsid w:val="00AC68EF"/>
    <w:rsid w:val="00AC7014"/>
    <w:rsid w:val="00AC710F"/>
    <w:rsid w:val="00AC715B"/>
    <w:rsid w:val="00AC7197"/>
    <w:rsid w:val="00AC738E"/>
    <w:rsid w:val="00AC766F"/>
    <w:rsid w:val="00AC79AC"/>
    <w:rsid w:val="00AC7C6B"/>
    <w:rsid w:val="00AC7E5B"/>
    <w:rsid w:val="00AC7ED0"/>
    <w:rsid w:val="00AD00A8"/>
    <w:rsid w:val="00AD016C"/>
    <w:rsid w:val="00AD07CE"/>
    <w:rsid w:val="00AD08FE"/>
    <w:rsid w:val="00AD0A34"/>
    <w:rsid w:val="00AD0A92"/>
    <w:rsid w:val="00AD0AF1"/>
    <w:rsid w:val="00AD0EE3"/>
    <w:rsid w:val="00AD0FD7"/>
    <w:rsid w:val="00AD1274"/>
    <w:rsid w:val="00AD1393"/>
    <w:rsid w:val="00AD15DC"/>
    <w:rsid w:val="00AD18DA"/>
    <w:rsid w:val="00AD19BB"/>
    <w:rsid w:val="00AD1A85"/>
    <w:rsid w:val="00AD1B13"/>
    <w:rsid w:val="00AD1C30"/>
    <w:rsid w:val="00AD1C94"/>
    <w:rsid w:val="00AD1D55"/>
    <w:rsid w:val="00AD1D72"/>
    <w:rsid w:val="00AD1E57"/>
    <w:rsid w:val="00AD1F5C"/>
    <w:rsid w:val="00AD2473"/>
    <w:rsid w:val="00AD2690"/>
    <w:rsid w:val="00AD27F3"/>
    <w:rsid w:val="00AD289A"/>
    <w:rsid w:val="00AD2A82"/>
    <w:rsid w:val="00AD2C25"/>
    <w:rsid w:val="00AD2D28"/>
    <w:rsid w:val="00AD2D3E"/>
    <w:rsid w:val="00AD2D93"/>
    <w:rsid w:val="00AD396F"/>
    <w:rsid w:val="00AD3970"/>
    <w:rsid w:val="00AD39B4"/>
    <w:rsid w:val="00AD3E50"/>
    <w:rsid w:val="00AD40A1"/>
    <w:rsid w:val="00AD415C"/>
    <w:rsid w:val="00AD4373"/>
    <w:rsid w:val="00AD4399"/>
    <w:rsid w:val="00AD43C4"/>
    <w:rsid w:val="00AD47F6"/>
    <w:rsid w:val="00AD496E"/>
    <w:rsid w:val="00AD4A0C"/>
    <w:rsid w:val="00AD4BD3"/>
    <w:rsid w:val="00AD50D4"/>
    <w:rsid w:val="00AD5131"/>
    <w:rsid w:val="00AD56FE"/>
    <w:rsid w:val="00AD5703"/>
    <w:rsid w:val="00AD585E"/>
    <w:rsid w:val="00AD5903"/>
    <w:rsid w:val="00AD5A5F"/>
    <w:rsid w:val="00AD5DA1"/>
    <w:rsid w:val="00AD5DDA"/>
    <w:rsid w:val="00AD5DF4"/>
    <w:rsid w:val="00AD5F5B"/>
    <w:rsid w:val="00AD5FBE"/>
    <w:rsid w:val="00AD6045"/>
    <w:rsid w:val="00AD61B5"/>
    <w:rsid w:val="00AD61D0"/>
    <w:rsid w:val="00AD635C"/>
    <w:rsid w:val="00AD6685"/>
    <w:rsid w:val="00AD6786"/>
    <w:rsid w:val="00AD6903"/>
    <w:rsid w:val="00AD6A58"/>
    <w:rsid w:val="00AD6B12"/>
    <w:rsid w:val="00AD6B50"/>
    <w:rsid w:val="00AD6C43"/>
    <w:rsid w:val="00AD6E37"/>
    <w:rsid w:val="00AD7105"/>
    <w:rsid w:val="00AD716F"/>
    <w:rsid w:val="00AD757B"/>
    <w:rsid w:val="00AD7678"/>
    <w:rsid w:val="00AD776D"/>
    <w:rsid w:val="00AD77C9"/>
    <w:rsid w:val="00AD7A8E"/>
    <w:rsid w:val="00AD7B55"/>
    <w:rsid w:val="00AD7D22"/>
    <w:rsid w:val="00AE03F3"/>
    <w:rsid w:val="00AE05D7"/>
    <w:rsid w:val="00AE0713"/>
    <w:rsid w:val="00AE0790"/>
    <w:rsid w:val="00AE085B"/>
    <w:rsid w:val="00AE0DE9"/>
    <w:rsid w:val="00AE0EF1"/>
    <w:rsid w:val="00AE1109"/>
    <w:rsid w:val="00AE1427"/>
    <w:rsid w:val="00AE1463"/>
    <w:rsid w:val="00AE17A3"/>
    <w:rsid w:val="00AE17E0"/>
    <w:rsid w:val="00AE19AC"/>
    <w:rsid w:val="00AE1B8F"/>
    <w:rsid w:val="00AE20E9"/>
    <w:rsid w:val="00AE2658"/>
    <w:rsid w:val="00AE272D"/>
    <w:rsid w:val="00AE2A21"/>
    <w:rsid w:val="00AE2C07"/>
    <w:rsid w:val="00AE2F11"/>
    <w:rsid w:val="00AE3514"/>
    <w:rsid w:val="00AE38A8"/>
    <w:rsid w:val="00AE3A4B"/>
    <w:rsid w:val="00AE3A52"/>
    <w:rsid w:val="00AE3D4E"/>
    <w:rsid w:val="00AE3DB2"/>
    <w:rsid w:val="00AE3E8C"/>
    <w:rsid w:val="00AE4361"/>
    <w:rsid w:val="00AE4445"/>
    <w:rsid w:val="00AE4631"/>
    <w:rsid w:val="00AE4701"/>
    <w:rsid w:val="00AE49A4"/>
    <w:rsid w:val="00AE49C1"/>
    <w:rsid w:val="00AE4C0B"/>
    <w:rsid w:val="00AE4DCE"/>
    <w:rsid w:val="00AE4F95"/>
    <w:rsid w:val="00AE4FCA"/>
    <w:rsid w:val="00AE5095"/>
    <w:rsid w:val="00AE515E"/>
    <w:rsid w:val="00AE5B68"/>
    <w:rsid w:val="00AE5E01"/>
    <w:rsid w:val="00AE5F1D"/>
    <w:rsid w:val="00AE61A8"/>
    <w:rsid w:val="00AE6354"/>
    <w:rsid w:val="00AE677A"/>
    <w:rsid w:val="00AE69F1"/>
    <w:rsid w:val="00AE6DD2"/>
    <w:rsid w:val="00AE7159"/>
    <w:rsid w:val="00AE78D5"/>
    <w:rsid w:val="00AE7940"/>
    <w:rsid w:val="00AE7B86"/>
    <w:rsid w:val="00AE7F52"/>
    <w:rsid w:val="00AF0074"/>
    <w:rsid w:val="00AF01FC"/>
    <w:rsid w:val="00AF0917"/>
    <w:rsid w:val="00AF09DC"/>
    <w:rsid w:val="00AF0A89"/>
    <w:rsid w:val="00AF0B0F"/>
    <w:rsid w:val="00AF0F1A"/>
    <w:rsid w:val="00AF1090"/>
    <w:rsid w:val="00AF13D9"/>
    <w:rsid w:val="00AF141E"/>
    <w:rsid w:val="00AF1A7A"/>
    <w:rsid w:val="00AF1BF4"/>
    <w:rsid w:val="00AF20F5"/>
    <w:rsid w:val="00AF27F8"/>
    <w:rsid w:val="00AF29F1"/>
    <w:rsid w:val="00AF2E8D"/>
    <w:rsid w:val="00AF2ED5"/>
    <w:rsid w:val="00AF335B"/>
    <w:rsid w:val="00AF34CA"/>
    <w:rsid w:val="00AF37EC"/>
    <w:rsid w:val="00AF3CA9"/>
    <w:rsid w:val="00AF4016"/>
    <w:rsid w:val="00AF406B"/>
    <w:rsid w:val="00AF40F0"/>
    <w:rsid w:val="00AF40FE"/>
    <w:rsid w:val="00AF43F8"/>
    <w:rsid w:val="00AF45AF"/>
    <w:rsid w:val="00AF46AA"/>
    <w:rsid w:val="00AF4705"/>
    <w:rsid w:val="00AF4928"/>
    <w:rsid w:val="00AF4A90"/>
    <w:rsid w:val="00AF4CB2"/>
    <w:rsid w:val="00AF4F82"/>
    <w:rsid w:val="00AF5454"/>
    <w:rsid w:val="00AF58F0"/>
    <w:rsid w:val="00AF5EF9"/>
    <w:rsid w:val="00AF6013"/>
    <w:rsid w:val="00AF608F"/>
    <w:rsid w:val="00AF6248"/>
    <w:rsid w:val="00AF6536"/>
    <w:rsid w:val="00AF6584"/>
    <w:rsid w:val="00AF66D5"/>
    <w:rsid w:val="00AF6A08"/>
    <w:rsid w:val="00AF6A0D"/>
    <w:rsid w:val="00AF6AE1"/>
    <w:rsid w:val="00AF6CA4"/>
    <w:rsid w:val="00AF6D3F"/>
    <w:rsid w:val="00AF7704"/>
    <w:rsid w:val="00AF7776"/>
    <w:rsid w:val="00AF7DA7"/>
    <w:rsid w:val="00AF7E86"/>
    <w:rsid w:val="00B00314"/>
    <w:rsid w:val="00B007CC"/>
    <w:rsid w:val="00B00FDD"/>
    <w:rsid w:val="00B01207"/>
    <w:rsid w:val="00B0173C"/>
    <w:rsid w:val="00B017D5"/>
    <w:rsid w:val="00B017EE"/>
    <w:rsid w:val="00B01F09"/>
    <w:rsid w:val="00B02545"/>
    <w:rsid w:val="00B029EB"/>
    <w:rsid w:val="00B02BB7"/>
    <w:rsid w:val="00B02D3C"/>
    <w:rsid w:val="00B034B8"/>
    <w:rsid w:val="00B03553"/>
    <w:rsid w:val="00B03C38"/>
    <w:rsid w:val="00B03F1E"/>
    <w:rsid w:val="00B03F6F"/>
    <w:rsid w:val="00B04291"/>
    <w:rsid w:val="00B043D7"/>
    <w:rsid w:val="00B04683"/>
    <w:rsid w:val="00B0473F"/>
    <w:rsid w:val="00B04E89"/>
    <w:rsid w:val="00B0531F"/>
    <w:rsid w:val="00B0541A"/>
    <w:rsid w:val="00B0577D"/>
    <w:rsid w:val="00B05859"/>
    <w:rsid w:val="00B0610F"/>
    <w:rsid w:val="00B06306"/>
    <w:rsid w:val="00B06505"/>
    <w:rsid w:val="00B06713"/>
    <w:rsid w:val="00B06B56"/>
    <w:rsid w:val="00B07203"/>
    <w:rsid w:val="00B072F6"/>
    <w:rsid w:val="00B07450"/>
    <w:rsid w:val="00B0759B"/>
    <w:rsid w:val="00B10189"/>
    <w:rsid w:val="00B106C6"/>
    <w:rsid w:val="00B107AF"/>
    <w:rsid w:val="00B108C8"/>
    <w:rsid w:val="00B10B5F"/>
    <w:rsid w:val="00B10E8B"/>
    <w:rsid w:val="00B1103D"/>
    <w:rsid w:val="00B1109F"/>
    <w:rsid w:val="00B1134B"/>
    <w:rsid w:val="00B11775"/>
    <w:rsid w:val="00B11790"/>
    <w:rsid w:val="00B118DA"/>
    <w:rsid w:val="00B1191D"/>
    <w:rsid w:val="00B11C15"/>
    <w:rsid w:val="00B11EDC"/>
    <w:rsid w:val="00B11F4E"/>
    <w:rsid w:val="00B127FB"/>
    <w:rsid w:val="00B129E5"/>
    <w:rsid w:val="00B13529"/>
    <w:rsid w:val="00B13925"/>
    <w:rsid w:val="00B13E95"/>
    <w:rsid w:val="00B13ECF"/>
    <w:rsid w:val="00B13EE9"/>
    <w:rsid w:val="00B13F8B"/>
    <w:rsid w:val="00B140B1"/>
    <w:rsid w:val="00B140B4"/>
    <w:rsid w:val="00B14371"/>
    <w:rsid w:val="00B1449B"/>
    <w:rsid w:val="00B14AD9"/>
    <w:rsid w:val="00B14DA7"/>
    <w:rsid w:val="00B15180"/>
    <w:rsid w:val="00B15222"/>
    <w:rsid w:val="00B15A05"/>
    <w:rsid w:val="00B15B25"/>
    <w:rsid w:val="00B15B83"/>
    <w:rsid w:val="00B15F23"/>
    <w:rsid w:val="00B16057"/>
    <w:rsid w:val="00B1616B"/>
    <w:rsid w:val="00B16280"/>
    <w:rsid w:val="00B1658B"/>
    <w:rsid w:val="00B16600"/>
    <w:rsid w:val="00B1662B"/>
    <w:rsid w:val="00B16CF2"/>
    <w:rsid w:val="00B17037"/>
    <w:rsid w:val="00B170CA"/>
    <w:rsid w:val="00B17207"/>
    <w:rsid w:val="00B17934"/>
    <w:rsid w:val="00B17A44"/>
    <w:rsid w:val="00B17B8C"/>
    <w:rsid w:val="00B17CEB"/>
    <w:rsid w:val="00B202F0"/>
    <w:rsid w:val="00B205C6"/>
    <w:rsid w:val="00B20895"/>
    <w:rsid w:val="00B20ABA"/>
    <w:rsid w:val="00B212BE"/>
    <w:rsid w:val="00B2141B"/>
    <w:rsid w:val="00B214EE"/>
    <w:rsid w:val="00B215E1"/>
    <w:rsid w:val="00B216D6"/>
    <w:rsid w:val="00B2197B"/>
    <w:rsid w:val="00B219D7"/>
    <w:rsid w:val="00B21A08"/>
    <w:rsid w:val="00B21A72"/>
    <w:rsid w:val="00B21B41"/>
    <w:rsid w:val="00B21DDC"/>
    <w:rsid w:val="00B21E40"/>
    <w:rsid w:val="00B221A8"/>
    <w:rsid w:val="00B224BB"/>
    <w:rsid w:val="00B226C1"/>
    <w:rsid w:val="00B2287D"/>
    <w:rsid w:val="00B22902"/>
    <w:rsid w:val="00B22909"/>
    <w:rsid w:val="00B229A7"/>
    <w:rsid w:val="00B229CC"/>
    <w:rsid w:val="00B22B04"/>
    <w:rsid w:val="00B22B47"/>
    <w:rsid w:val="00B22B81"/>
    <w:rsid w:val="00B22D80"/>
    <w:rsid w:val="00B22E62"/>
    <w:rsid w:val="00B23070"/>
    <w:rsid w:val="00B233A8"/>
    <w:rsid w:val="00B23423"/>
    <w:rsid w:val="00B2352E"/>
    <w:rsid w:val="00B2355A"/>
    <w:rsid w:val="00B23678"/>
    <w:rsid w:val="00B23732"/>
    <w:rsid w:val="00B23AB8"/>
    <w:rsid w:val="00B23B95"/>
    <w:rsid w:val="00B23D19"/>
    <w:rsid w:val="00B23E15"/>
    <w:rsid w:val="00B24019"/>
    <w:rsid w:val="00B24349"/>
    <w:rsid w:val="00B2492A"/>
    <w:rsid w:val="00B24A3A"/>
    <w:rsid w:val="00B24AA4"/>
    <w:rsid w:val="00B24D99"/>
    <w:rsid w:val="00B24EC7"/>
    <w:rsid w:val="00B24F86"/>
    <w:rsid w:val="00B2548D"/>
    <w:rsid w:val="00B25783"/>
    <w:rsid w:val="00B259C9"/>
    <w:rsid w:val="00B25B8B"/>
    <w:rsid w:val="00B25CFB"/>
    <w:rsid w:val="00B25D6B"/>
    <w:rsid w:val="00B26069"/>
    <w:rsid w:val="00B2636C"/>
    <w:rsid w:val="00B266DD"/>
    <w:rsid w:val="00B267D2"/>
    <w:rsid w:val="00B26A31"/>
    <w:rsid w:val="00B26DB4"/>
    <w:rsid w:val="00B270C9"/>
    <w:rsid w:val="00B277C4"/>
    <w:rsid w:val="00B278DE"/>
    <w:rsid w:val="00B279C7"/>
    <w:rsid w:val="00B279C9"/>
    <w:rsid w:val="00B27EC5"/>
    <w:rsid w:val="00B27ECD"/>
    <w:rsid w:val="00B30027"/>
    <w:rsid w:val="00B30033"/>
    <w:rsid w:val="00B30153"/>
    <w:rsid w:val="00B30458"/>
    <w:rsid w:val="00B3047D"/>
    <w:rsid w:val="00B305FD"/>
    <w:rsid w:val="00B30941"/>
    <w:rsid w:val="00B309A5"/>
    <w:rsid w:val="00B30BB1"/>
    <w:rsid w:val="00B30DB1"/>
    <w:rsid w:val="00B31650"/>
    <w:rsid w:val="00B3167F"/>
    <w:rsid w:val="00B31939"/>
    <w:rsid w:val="00B31B2F"/>
    <w:rsid w:val="00B31DA0"/>
    <w:rsid w:val="00B32728"/>
    <w:rsid w:val="00B32B1F"/>
    <w:rsid w:val="00B32B3F"/>
    <w:rsid w:val="00B32CA0"/>
    <w:rsid w:val="00B32D84"/>
    <w:rsid w:val="00B3344E"/>
    <w:rsid w:val="00B342B0"/>
    <w:rsid w:val="00B342CA"/>
    <w:rsid w:val="00B343AC"/>
    <w:rsid w:val="00B34457"/>
    <w:rsid w:val="00B34AFD"/>
    <w:rsid w:val="00B34C8B"/>
    <w:rsid w:val="00B34D0B"/>
    <w:rsid w:val="00B34E38"/>
    <w:rsid w:val="00B34FBA"/>
    <w:rsid w:val="00B35397"/>
    <w:rsid w:val="00B35594"/>
    <w:rsid w:val="00B35655"/>
    <w:rsid w:val="00B358E0"/>
    <w:rsid w:val="00B35A6C"/>
    <w:rsid w:val="00B35EEE"/>
    <w:rsid w:val="00B35F16"/>
    <w:rsid w:val="00B35F78"/>
    <w:rsid w:val="00B36694"/>
    <w:rsid w:val="00B36735"/>
    <w:rsid w:val="00B36940"/>
    <w:rsid w:val="00B36A5F"/>
    <w:rsid w:val="00B36CD2"/>
    <w:rsid w:val="00B36F42"/>
    <w:rsid w:val="00B37049"/>
    <w:rsid w:val="00B3704C"/>
    <w:rsid w:val="00B37052"/>
    <w:rsid w:val="00B37388"/>
    <w:rsid w:val="00B374AB"/>
    <w:rsid w:val="00B37D41"/>
    <w:rsid w:val="00B40174"/>
    <w:rsid w:val="00B401F3"/>
    <w:rsid w:val="00B4026E"/>
    <w:rsid w:val="00B402EA"/>
    <w:rsid w:val="00B408E7"/>
    <w:rsid w:val="00B40F86"/>
    <w:rsid w:val="00B41233"/>
    <w:rsid w:val="00B412CE"/>
    <w:rsid w:val="00B41306"/>
    <w:rsid w:val="00B41698"/>
    <w:rsid w:val="00B4172F"/>
    <w:rsid w:val="00B41C56"/>
    <w:rsid w:val="00B41E6A"/>
    <w:rsid w:val="00B426A7"/>
    <w:rsid w:val="00B42AE6"/>
    <w:rsid w:val="00B42DCC"/>
    <w:rsid w:val="00B430CE"/>
    <w:rsid w:val="00B438BB"/>
    <w:rsid w:val="00B43C33"/>
    <w:rsid w:val="00B44357"/>
    <w:rsid w:val="00B44430"/>
    <w:rsid w:val="00B446DA"/>
    <w:rsid w:val="00B447A1"/>
    <w:rsid w:val="00B447F3"/>
    <w:rsid w:val="00B44C09"/>
    <w:rsid w:val="00B44CA8"/>
    <w:rsid w:val="00B44E1D"/>
    <w:rsid w:val="00B4520C"/>
    <w:rsid w:val="00B4547E"/>
    <w:rsid w:val="00B45B7E"/>
    <w:rsid w:val="00B45D59"/>
    <w:rsid w:val="00B45DF1"/>
    <w:rsid w:val="00B45DF5"/>
    <w:rsid w:val="00B45F83"/>
    <w:rsid w:val="00B4657F"/>
    <w:rsid w:val="00B467DC"/>
    <w:rsid w:val="00B469AD"/>
    <w:rsid w:val="00B46C73"/>
    <w:rsid w:val="00B46CFC"/>
    <w:rsid w:val="00B470E8"/>
    <w:rsid w:val="00B472AF"/>
    <w:rsid w:val="00B47557"/>
    <w:rsid w:val="00B47821"/>
    <w:rsid w:val="00B4789A"/>
    <w:rsid w:val="00B478F8"/>
    <w:rsid w:val="00B479A0"/>
    <w:rsid w:val="00B47B18"/>
    <w:rsid w:val="00B47CCF"/>
    <w:rsid w:val="00B50500"/>
    <w:rsid w:val="00B50DFC"/>
    <w:rsid w:val="00B5100D"/>
    <w:rsid w:val="00B51569"/>
    <w:rsid w:val="00B517AF"/>
    <w:rsid w:val="00B517EA"/>
    <w:rsid w:val="00B51A9A"/>
    <w:rsid w:val="00B51CBD"/>
    <w:rsid w:val="00B51FFC"/>
    <w:rsid w:val="00B525DE"/>
    <w:rsid w:val="00B52722"/>
    <w:rsid w:val="00B52A21"/>
    <w:rsid w:val="00B52B49"/>
    <w:rsid w:val="00B534D5"/>
    <w:rsid w:val="00B5386A"/>
    <w:rsid w:val="00B53878"/>
    <w:rsid w:val="00B53BAF"/>
    <w:rsid w:val="00B53E7C"/>
    <w:rsid w:val="00B5405F"/>
    <w:rsid w:val="00B547D6"/>
    <w:rsid w:val="00B54B28"/>
    <w:rsid w:val="00B54B6C"/>
    <w:rsid w:val="00B54B7B"/>
    <w:rsid w:val="00B5501B"/>
    <w:rsid w:val="00B555C1"/>
    <w:rsid w:val="00B558E9"/>
    <w:rsid w:val="00B55A3F"/>
    <w:rsid w:val="00B55B4B"/>
    <w:rsid w:val="00B55EC2"/>
    <w:rsid w:val="00B561ED"/>
    <w:rsid w:val="00B5639C"/>
    <w:rsid w:val="00B563D5"/>
    <w:rsid w:val="00B56426"/>
    <w:rsid w:val="00B5666F"/>
    <w:rsid w:val="00B56BC8"/>
    <w:rsid w:val="00B56BFA"/>
    <w:rsid w:val="00B56E4C"/>
    <w:rsid w:val="00B5760A"/>
    <w:rsid w:val="00B578E4"/>
    <w:rsid w:val="00B57AD7"/>
    <w:rsid w:val="00B57D2F"/>
    <w:rsid w:val="00B60046"/>
    <w:rsid w:val="00B60109"/>
    <w:rsid w:val="00B60213"/>
    <w:rsid w:val="00B6053B"/>
    <w:rsid w:val="00B60541"/>
    <w:rsid w:val="00B607C7"/>
    <w:rsid w:val="00B60930"/>
    <w:rsid w:val="00B60A8C"/>
    <w:rsid w:val="00B60C27"/>
    <w:rsid w:val="00B60D56"/>
    <w:rsid w:val="00B60EFE"/>
    <w:rsid w:val="00B613C0"/>
    <w:rsid w:val="00B618F8"/>
    <w:rsid w:val="00B61C30"/>
    <w:rsid w:val="00B61C88"/>
    <w:rsid w:val="00B61D85"/>
    <w:rsid w:val="00B620D9"/>
    <w:rsid w:val="00B62103"/>
    <w:rsid w:val="00B62134"/>
    <w:rsid w:val="00B623CA"/>
    <w:rsid w:val="00B623D7"/>
    <w:rsid w:val="00B62441"/>
    <w:rsid w:val="00B6245C"/>
    <w:rsid w:val="00B62715"/>
    <w:rsid w:val="00B6319D"/>
    <w:rsid w:val="00B6354E"/>
    <w:rsid w:val="00B635E3"/>
    <w:rsid w:val="00B6368F"/>
    <w:rsid w:val="00B6384F"/>
    <w:rsid w:val="00B63BCC"/>
    <w:rsid w:val="00B6402A"/>
    <w:rsid w:val="00B6460A"/>
    <w:rsid w:val="00B64619"/>
    <w:rsid w:val="00B648A9"/>
    <w:rsid w:val="00B658AA"/>
    <w:rsid w:val="00B65A1E"/>
    <w:rsid w:val="00B6638A"/>
    <w:rsid w:val="00B664D1"/>
    <w:rsid w:val="00B6682E"/>
    <w:rsid w:val="00B6699B"/>
    <w:rsid w:val="00B66EBD"/>
    <w:rsid w:val="00B6703A"/>
    <w:rsid w:val="00B6753B"/>
    <w:rsid w:val="00B676C7"/>
    <w:rsid w:val="00B67D88"/>
    <w:rsid w:val="00B67DC0"/>
    <w:rsid w:val="00B67F99"/>
    <w:rsid w:val="00B70B4A"/>
    <w:rsid w:val="00B70E84"/>
    <w:rsid w:val="00B70E9C"/>
    <w:rsid w:val="00B71110"/>
    <w:rsid w:val="00B71141"/>
    <w:rsid w:val="00B71287"/>
    <w:rsid w:val="00B7133C"/>
    <w:rsid w:val="00B7148E"/>
    <w:rsid w:val="00B71AA5"/>
    <w:rsid w:val="00B71C1C"/>
    <w:rsid w:val="00B71D45"/>
    <w:rsid w:val="00B71E9B"/>
    <w:rsid w:val="00B71F1F"/>
    <w:rsid w:val="00B7232F"/>
    <w:rsid w:val="00B72496"/>
    <w:rsid w:val="00B725C6"/>
    <w:rsid w:val="00B72881"/>
    <w:rsid w:val="00B7308C"/>
    <w:rsid w:val="00B730B1"/>
    <w:rsid w:val="00B737DE"/>
    <w:rsid w:val="00B73814"/>
    <w:rsid w:val="00B73870"/>
    <w:rsid w:val="00B738FC"/>
    <w:rsid w:val="00B739F5"/>
    <w:rsid w:val="00B73A33"/>
    <w:rsid w:val="00B744BC"/>
    <w:rsid w:val="00B746A3"/>
    <w:rsid w:val="00B746FA"/>
    <w:rsid w:val="00B74BE8"/>
    <w:rsid w:val="00B752CA"/>
    <w:rsid w:val="00B753AB"/>
    <w:rsid w:val="00B758AE"/>
    <w:rsid w:val="00B758C1"/>
    <w:rsid w:val="00B758F9"/>
    <w:rsid w:val="00B75B91"/>
    <w:rsid w:val="00B75D07"/>
    <w:rsid w:val="00B75FDA"/>
    <w:rsid w:val="00B7633B"/>
    <w:rsid w:val="00B7647C"/>
    <w:rsid w:val="00B76500"/>
    <w:rsid w:val="00B76624"/>
    <w:rsid w:val="00B7681C"/>
    <w:rsid w:val="00B76C24"/>
    <w:rsid w:val="00B76FA7"/>
    <w:rsid w:val="00B77080"/>
    <w:rsid w:val="00B775A4"/>
    <w:rsid w:val="00B77612"/>
    <w:rsid w:val="00B77626"/>
    <w:rsid w:val="00B7762D"/>
    <w:rsid w:val="00B7775F"/>
    <w:rsid w:val="00B77832"/>
    <w:rsid w:val="00B77DC6"/>
    <w:rsid w:val="00B77F93"/>
    <w:rsid w:val="00B801E4"/>
    <w:rsid w:val="00B80A0D"/>
    <w:rsid w:val="00B80AD8"/>
    <w:rsid w:val="00B81289"/>
    <w:rsid w:val="00B812BD"/>
    <w:rsid w:val="00B815B7"/>
    <w:rsid w:val="00B81A3F"/>
    <w:rsid w:val="00B81AA6"/>
    <w:rsid w:val="00B81BC7"/>
    <w:rsid w:val="00B81CFB"/>
    <w:rsid w:val="00B81DBD"/>
    <w:rsid w:val="00B82034"/>
    <w:rsid w:val="00B82244"/>
    <w:rsid w:val="00B82314"/>
    <w:rsid w:val="00B8232F"/>
    <w:rsid w:val="00B82406"/>
    <w:rsid w:val="00B82432"/>
    <w:rsid w:val="00B826A3"/>
    <w:rsid w:val="00B82931"/>
    <w:rsid w:val="00B82A69"/>
    <w:rsid w:val="00B82DC2"/>
    <w:rsid w:val="00B83833"/>
    <w:rsid w:val="00B83D49"/>
    <w:rsid w:val="00B842E1"/>
    <w:rsid w:val="00B848DA"/>
    <w:rsid w:val="00B84974"/>
    <w:rsid w:val="00B84D7C"/>
    <w:rsid w:val="00B84F41"/>
    <w:rsid w:val="00B8540D"/>
    <w:rsid w:val="00B85A8D"/>
    <w:rsid w:val="00B85BCD"/>
    <w:rsid w:val="00B85EF2"/>
    <w:rsid w:val="00B860E8"/>
    <w:rsid w:val="00B86264"/>
    <w:rsid w:val="00B863A1"/>
    <w:rsid w:val="00B869E0"/>
    <w:rsid w:val="00B86BE6"/>
    <w:rsid w:val="00B87240"/>
    <w:rsid w:val="00B87561"/>
    <w:rsid w:val="00B87883"/>
    <w:rsid w:val="00B87981"/>
    <w:rsid w:val="00B87CC1"/>
    <w:rsid w:val="00B9001B"/>
    <w:rsid w:val="00B90104"/>
    <w:rsid w:val="00B90590"/>
    <w:rsid w:val="00B905A5"/>
    <w:rsid w:val="00B90EAA"/>
    <w:rsid w:val="00B90F0F"/>
    <w:rsid w:val="00B90F5F"/>
    <w:rsid w:val="00B91261"/>
    <w:rsid w:val="00B91360"/>
    <w:rsid w:val="00B913E7"/>
    <w:rsid w:val="00B91748"/>
    <w:rsid w:val="00B9205B"/>
    <w:rsid w:val="00B92271"/>
    <w:rsid w:val="00B925C9"/>
    <w:rsid w:val="00B926A1"/>
    <w:rsid w:val="00B928A9"/>
    <w:rsid w:val="00B929E4"/>
    <w:rsid w:val="00B92DF4"/>
    <w:rsid w:val="00B9307B"/>
    <w:rsid w:val="00B939DF"/>
    <w:rsid w:val="00B93D41"/>
    <w:rsid w:val="00B93D8F"/>
    <w:rsid w:val="00B93E6B"/>
    <w:rsid w:val="00B9407E"/>
    <w:rsid w:val="00B942E8"/>
    <w:rsid w:val="00B9463D"/>
    <w:rsid w:val="00B948FA"/>
    <w:rsid w:val="00B94B0C"/>
    <w:rsid w:val="00B94B6A"/>
    <w:rsid w:val="00B94D32"/>
    <w:rsid w:val="00B94D3F"/>
    <w:rsid w:val="00B94D49"/>
    <w:rsid w:val="00B957FE"/>
    <w:rsid w:val="00B95DBB"/>
    <w:rsid w:val="00B95EA4"/>
    <w:rsid w:val="00B9620F"/>
    <w:rsid w:val="00B9635B"/>
    <w:rsid w:val="00B9641E"/>
    <w:rsid w:val="00B965BF"/>
    <w:rsid w:val="00B97931"/>
    <w:rsid w:val="00B9798D"/>
    <w:rsid w:val="00B97A8C"/>
    <w:rsid w:val="00BA0482"/>
    <w:rsid w:val="00BA0667"/>
    <w:rsid w:val="00BA066C"/>
    <w:rsid w:val="00BA0B00"/>
    <w:rsid w:val="00BA0F17"/>
    <w:rsid w:val="00BA122A"/>
    <w:rsid w:val="00BA1617"/>
    <w:rsid w:val="00BA1638"/>
    <w:rsid w:val="00BA176C"/>
    <w:rsid w:val="00BA19E8"/>
    <w:rsid w:val="00BA1F7C"/>
    <w:rsid w:val="00BA2260"/>
    <w:rsid w:val="00BA26F4"/>
    <w:rsid w:val="00BA2E0F"/>
    <w:rsid w:val="00BA387D"/>
    <w:rsid w:val="00BA3FF5"/>
    <w:rsid w:val="00BA4086"/>
    <w:rsid w:val="00BA4212"/>
    <w:rsid w:val="00BA4522"/>
    <w:rsid w:val="00BA4F94"/>
    <w:rsid w:val="00BA5085"/>
    <w:rsid w:val="00BA517B"/>
    <w:rsid w:val="00BA543C"/>
    <w:rsid w:val="00BA545F"/>
    <w:rsid w:val="00BA54EA"/>
    <w:rsid w:val="00BA5687"/>
    <w:rsid w:val="00BA5741"/>
    <w:rsid w:val="00BA58A7"/>
    <w:rsid w:val="00BA5C42"/>
    <w:rsid w:val="00BA5C9F"/>
    <w:rsid w:val="00BA61A0"/>
    <w:rsid w:val="00BA667B"/>
    <w:rsid w:val="00BA6915"/>
    <w:rsid w:val="00BA6997"/>
    <w:rsid w:val="00BA6E68"/>
    <w:rsid w:val="00BA6E88"/>
    <w:rsid w:val="00BA7022"/>
    <w:rsid w:val="00BA70BF"/>
    <w:rsid w:val="00BA74ED"/>
    <w:rsid w:val="00BA756C"/>
    <w:rsid w:val="00BA7A9E"/>
    <w:rsid w:val="00BA7B51"/>
    <w:rsid w:val="00BA7C6B"/>
    <w:rsid w:val="00BA7C91"/>
    <w:rsid w:val="00BA7CCE"/>
    <w:rsid w:val="00BB0065"/>
    <w:rsid w:val="00BB02CE"/>
    <w:rsid w:val="00BB0971"/>
    <w:rsid w:val="00BB0973"/>
    <w:rsid w:val="00BB0A72"/>
    <w:rsid w:val="00BB0AE2"/>
    <w:rsid w:val="00BB0B67"/>
    <w:rsid w:val="00BB0BE7"/>
    <w:rsid w:val="00BB0DE8"/>
    <w:rsid w:val="00BB11D2"/>
    <w:rsid w:val="00BB14A4"/>
    <w:rsid w:val="00BB18AE"/>
    <w:rsid w:val="00BB198C"/>
    <w:rsid w:val="00BB1B19"/>
    <w:rsid w:val="00BB1E56"/>
    <w:rsid w:val="00BB1E5B"/>
    <w:rsid w:val="00BB20AF"/>
    <w:rsid w:val="00BB24A9"/>
    <w:rsid w:val="00BB2712"/>
    <w:rsid w:val="00BB2B56"/>
    <w:rsid w:val="00BB30B1"/>
    <w:rsid w:val="00BB31F7"/>
    <w:rsid w:val="00BB350E"/>
    <w:rsid w:val="00BB3AC7"/>
    <w:rsid w:val="00BB3E21"/>
    <w:rsid w:val="00BB41E6"/>
    <w:rsid w:val="00BB49F0"/>
    <w:rsid w:val="00BB4A29"/>
    <w:rsid w:val="00BB4A6A"/>
    <w:rsid w:val="00BB530E"/>
    <w:rsid w:val="00BB5555"/>
    <w:rsid w:val="00BB55A5"/>
    <w:rsid w:val="00BB55D4"/>
    <w:rsid w:val="00BB5ACE"/>
    <w:rsid w:val="00BB5BAD"/>
    <w:rsid w:val="00BB5F0F"/>
    <w:rsid w:val="00BB6241"/>
    <w:rsid w:val="00BB66C0"/>
    <w:rsid w:val="00BB6828"/>
    <w:rsid w:val="00BB6D17"/>
    <w:rsid w:val="00BB71AC"/>
    <w:rsid w:val="00BB733F"/>
    <w:rsid w:val="00BC0C38"/>
    <w:rsid w:val="00BC0CDC"/>
    <w:rsid w:val="00BC0E92"/>
    <w:rsid w:val="00BC166B"/>
    <w:rsid w:val="00BC16B4"/>
    <w:rsid w:val="00BC1D15"/>
    <w:rsid w:val="00BC233C"/>
    <w:rsid w:val="00BC2397"/>
    <w:rsid w:val="00BC2535"/>
    <w:rsid w:val="00BC2548"/>
    <w:rsid w:val="00BC25B6"/>
    <w:rsid w:val="00BC29E7"/>
    <w:rsid w:val="00BC2AC4"/>
    <w:rsid w:val="00BC3479"/>
    <w:rsid w:val="00BC36A5"/>
    <w:rsid w:val="00BC3901"/>
    <w:rsid w:val="00BC399C"/>
    <w:rsid w:val="00BC4155"/>
    <w:rsid w:val="00BC42AE"/>
    <w:rsid w:val="00BC448D"/>
    <w:rsid w:val="00BC44BE"/>
    <w:rsid w:val="00BC48C4"/>
    <w:rsid w:val="00BC49CB"/>
    <w:rsid w:val="00BC4B44"/>
    <w:rsid w:val="00BC5214"/>
    <w:rsid w:val="00BC5268"/>
    <w:rsid w:val="00BC5720"/>
    <w:rsid w:val="00BC5B30"/>
    <w:rsid w:val="00BC5C36"/>
    <w:rsid w:val="00BC60F3"/>
    <w:rsid w:val="00BC6183"/>
    <w:rsid w:val="00BC6923"/>
    <w:rsid w:val="00BC6ADA"/>
    <w:rsid w:val="00BC6E48"/>
    <w:rsid w:val="00BC6F86"/>
    <w:rsid w:val="00BC74C9"/>
    <w:rsid w:val="00BC7AAA"/>
    <w:rsid w:val="00BC7C5C"/>
    <w:rsid w:val="00BC7D68"/>
    <w:rsid w:val="00BC7E68"/>
    <w:rsid w:val="00BC7ED0"/>
    <w:rsid w:val="00BD018A"/>
    <w:rsid w:val="00BD0932"/>
    <w:rsid w:val="00BD15F0"/>
    <w:rsid w:val="00BD1AA1"/>
    <w:rsid w:val="00BD2A66"/>
    <w:rsid w:val="00BD2B4A"/>
    <w:rsid w:val="00BD2FAD"/>
    <w:rsid w:val="00BD325D"/>
    <w:rsid w:val="00BD376E"/>
    <w:rsid w:val="00BD37C3"/>
    <w:rsid w:val="00BD38F4"/>
    <w:rsid w:val="00BD3F29"/>
    <w:rsid w:val="00BD3FF2"/>
    <w:rsid w:val="00BD4093"/>
    <w:rsid w:val="00BD422D"/>
    <w:rsid w:val="00BD4590"/>
    <w:rsid w:val="00BD485A"/>
    <w:rsid w:val="00BD4977"/>
    <w:rsid w:val="00BD49F5"/>
    <w:rsid w:val="00BD4F98"/>
    <w:rsid w:val="00BD507D"/>
    <w:rsid w:val="00BD50F9"/>
    <w:rsid w:val="00BD55CA"/>
    <w:rsid w:val="00BD60AE"/>
    <w:rsid w:val="00BD6255"/>
    <w:rsid w:val="00BD63F1"/>
    <w:rsid w:val="00BD65A3"/>
    <w:rsid w:val="00BD673C"/>
    <w:rsid w:val="00BD6825"/>
    <w:rsid w:val="00BD6B56"/>
    <w:rsid w:val="00BD6E6F"/>
    <w:rsid w:val="00BD6FC5"/>
    <w:rsid w:val="00BD7000"/>
    <w:rsid w:val="00BD7A71"/>
    <w:rsid w:val="00BD7D49"/>
    <w:rsid w:val="00BD7E6F"/>
    <w:rsid w:val="00BE0304"/>
    <w:rsid w:val="00BE0328"/>
    <w:rsid w:val="00BE0377"/>
    <w:rsid w:val="00BE0C72"/>
    <w:rsid w:val="00BE0F41"/>
    <w:rsid w:val="00BE1029"/>
    <w:rsid w:val="00BE153B"/>
    <w:rsid w:val="00BE17FF"/>
    <w:rsid w:val="00BE18D0"/>
    <w:rsid w:val="00BE1979"/>
    <w:rsid w:val="00BE1AFA"/>
    <w:rsid w:val="00BE1E22"/>
    <w:rsid w:val="00BE23D0"/>
    <w:rsid w:val="00BE2D31"/>
    <w:rsid w:val="00BE31F1"/>
    <w:rsid w:val="00BE33C0"/>
    <w:rsid w:val="00BE35AB"/>
    <w:rsid w:val="00BE3738"/>
    <w:rsid w:val="00BE374B"/>
    <w:rsid w:val="00BE3A30"/>
    <w:rsid w:val="00BE3B71"/>
    <w:rsid w:val="00BE3DA8"/>
    <w:rsid w:val="00BE4171"/>
    <w:rsid w:val="00BE4228"/>
    <w:rsid w:val="00BE4309"/>
    <w:rsid w:val="00BE4699"/>
    <w:rsid w:val="00BE4B3F"/>
    <w:rsid w:val="00BE4DD3"/>
    <w:rsid w:val="00BE507C"/>
    <w:rsid w:val="00BE5326"/>
    <w:rsid w:val="00BE550E"/>
    <w:rsid w:val="00BE5B5C"/>
    <w:rsid w:val="00BE5F94"/>
    <w:rsid w:val="00BE5FE8"/>
    <w:rsid w:val="00BE631B"/>
    <w:rsid w:val="00BE64A6"/>
    <w:rsid w:val="00BE6860"/>
    <w:rsid w:val="00BE6B30"/>
    <w:rsid w:val="00BE6C2A"/>
    <w:rsid w:val="00BE6D0C"/>
    <w:rsid w:val="00BE738A"/>
    <w:rsid w:val="00BEE444"/>
    <w:rsid w:val="00BF0259"/>
    <w:rsid w:val="00BF0B1B"/>
    <w:rsid w:val="00BF0CDB"/>
    <w:rsid w:val="00BF1007"/>
    <w:rsid w:val="00BF102B"/>
    <w:rsid w:val="00BF11E7"/>
    <w:rsid w:val="00BF1262"/>
    <w:rsid w:val="00BF1377"/>
    <w:rsid w:val="00BF13E6"/>
    <w:rsid w:val="00BF13FD"/>
    <w:rsid w:val="00BF1555"/>
    <w:rsid w:val="00BF15F6"/>
    <w:rsid w:val="00BF1602"/>
    <w:rsid w:val="00BF184F"/>
    <w:rsid w:val="00BF1BBE"/>
    <w:rsid w:val="00BF1DAB"/>
    <w:rsid w:val="00BF2464"/>
    <w:rsid w:val="00BF2498"/>
    <w:rsid w:val="00BF29FE"/>
    <w:rsid w:val="00BF2C9F"/>
    <w:rsid w:val="00BF2F94"/>
    <w:rsid w:val="00BF2FE0"/>
    <w:rsid w:val="00BF381D"/>
    <w:rsid w:val="00BF3B49"/>
    <w:rsid w:val="00BF3C1E"/>
    <w:rsid w:val="00BF40BE"/>
    <w:rsid w:val="00BF415D"/>
    <w:rsid w:val="00BF43A6"/>
    <w:rsid w:val="00BF4428"/>
    <w:rsid w:val="00BF44EF"/>
    <w:rsid w:val="00BF45F8"/>
    <w:rsid w:val="00BF479D"/>
    <w:rsid w:val="00BF4AE4"/>
    <w:rsid w:val="00BF4D14"/>
    <w:rsid w:val="00BF4E53"/>
    <w:rsid w:val="00BF4E5D"/>
    <w:rsid w:val="00BF4EEB"/>
    <w:rsid w:val="00BF4F3D"/>
    <w:rsid w:val="00BF53BE"/>
    <w:rsid w:val="00BF54CB"/>
    <w:rsid w:val="00BF579A"/>
    <w:rsid w:val="00BF57FB"/>
    <w:rsid w:val="00BF5832"/>
    <w:rsid w:val="00BF5EB2"/>
    <w:rsid w:val="00BF6326"/>
    <w:rsid w:val="00BF637C"/>
    <w:rsid w:val="00BF64B9"/>
    <w:rsid w:val="00BF697D"/>
    <w:rsid w:val="00BF6AA8"/>
    <w:rsid w:val="00BF6AE4"/>
    <w:rsid w:val="00BF6D2B"/>
    <w:rsid w:val="00BF6D44"/>
    <w:rsid w:val="00BF71EE"/>
    <w:rsid w:val="00BF71F1"/>
    <w:rsid w:val="00C0009F"/>
    <w:rsid w:val="00C00695"/>
    <w:rsid w:val="00C0089B"/>
    <w:rsid w:val="00C009B2"/>
    <w:rsid w:val="00C00C6D"/>
    <w:rsid w:val="00C00F6F"/>
    <w:rsid w:val="00C01484"/>
    <w:rsid w:val="00C0152F"/>
    <w:rsid w:val="00C015F4"/>
    <w:rsid w:val="00C01824"/>
    <w:rsid w:val="00C01A64"/>
    <w:rsid w:val="00C01B0C"/>
    <w:rsid w:val="00C01F0E"/>
    <w:rsid w:val="00C0220F"/>
    <w:rsid w:val="00C023E0"/>
    <w:rsid w:val="00C027A0"/>
    <w:rsid w:val="00C028D5"/>
    <w:rsid w:val="00C02A6A"/>
    <w:rsid w:val="00C02B5C"/>
    <w:rsid w:val="00C02D09"/>
    <w:rsid w:val="00C02FFA"/>
    <w:rsid w:val="00C0309E"/>
    <w:rsid w:val="00C03119"/>
    <w:rsid w:val="00C03252"/>
    <w:rsid w:val="00C03314"/>
    <w:rsid w:val="00C0343B"/>
    <w:rsid w:val="00C035E5"/>
    <w:rsid w:val="00C03619"/>
    <w:rsid w:val="00C03709"/>
    <w:rsid w:val="00C03944"/>
    <w:rsid w:val="00C03C3A"/>
    <w:rsid w:val="00C04109"/>
    <w:rsid w:val="00C042F1"/>
    <w:rsid w:val="00C0430A"/>
    <w:rsid w:val="00C0444A"/>
    <w:rsid w:val="00C04657"/>
    <w:rsid w:val="00C049EA"/>
    <w:rsid w:val="00C04B6B"/>
    <w:rsid w:val="00C04DC3"/>
    <w:rsid w:val="00C04DF6"/>
    <w:rsid w:val="00C05467"/>
    <w:rsid w:val="00C059FD"/>
    <w:rsid w:val="00C05C66"/>
    <w:rsid w:val="00C05D1D"/>
    <w:rsid w:val="00C06354"/>
    <w:rsid w:val="00C063EB"/>
    <w:rsid w:val="00C063F4"/>
    <w:rsid w:val="00C0662E"/>
    <w:rsid w:val="00C06740"/>
    <w:rsid w:val="00C06A28"/>
    <w:rsid w:val="00C06A5E"/>
    <w:rsid w:val="00C06BA7"/>
    <w:rsid w:val="00C06D25"/>
    <w:rsid w:val="00C06DD4"/>
    <w:rsid w:val="00C077B8"/>
    <w:rsid w:val="00C078F5"/>
    <w:rsid w:val="00C07AD6"/>
    <w:rsid w:val="00C07B4B"/>
    <w:rsid w:val="00C07B8A"/>
    <w:rsid w:val="00C105D0"/>
    <w:rsid w:val="00C10639"/>
    <w:rsid w:val="00C10F76"/>
    <w:rsid w:val="00C11157"/>
    <w:rsid w:val="00C11272"/>
    <w:rsid w:val="00C11710"/>
    <w:rsid w:val="00C1187E"/>
    <w:rsid w:val="00C11B0E"/>
    <w:rsid w:val="00C11FD6"/>
    <w:rsid w:val="00C12102"/>
    <w:rsid w:val="00C12281"/>
    <w:rsid w:val="00C12649"/>
    <w:rsid w:val="00C12671"/>
    <w:rsid w:val="00C126A2"/>
    <w:rsid w:val="00C129A6"/>
    <w:rsid w:val="00C12B58"/>
    <w:rsid w:val="00C12E25"/>
    <w:rsid w:val="00C1304F"/>
    <w:rsid w:val="00C13075"/>
    <w:rsid w:val="00C13082"/>
    <w:rsid w:val="00C1331F"/>
    <w:rsid w:val="00C13457"/>
    <w:rsid w:val="00C1367D"/>
    <w:rsid w:val="00C13705"/>
    <w:rsid w:val="00C1378C"/>
    <w:rsid w:val="00C138A7"/>
    <w:rsid w:val="00C13CE6"/>
    <w:rsid w:val="00C1417E"/>
    <w:rsid w:val="00C1419A"/>
    <w:rsid w:val="00C14382"/>
    <w:rsid w:val="00C14518"/>
    <w:rsid w:val="00C146D8"/>
    <w:rsid w:val="00C14743"/>
    <w:rsid w:val="00C14ADC"/>
    <w:rsid w:val="00C14B5D"/>
    <w:rsid w:val="00C14D49"/>
    <w:rsid w:val="00C15158"/>
    <w:rsid w:val="00C15283"/>
    <w:rsid w:val="00C15389"/>
    <w:rsid w:val="00C1560A"/>
    <w:rsid w:val="00C15AFB"/>
    <w:rsid w:val="00C15F61"/>
    <w:rsid w:val="00C15FD4"/>
    <w:rsid w:val="00C16288"/>
    <w:rsid w:val="00C16485"/>
    <w:rsid w:val="00C165DF"/>
    <w:rsid w:val="00C16752"/>
    <w:rsid w:val="00C1697C"/>
    <w:rsid w:val="00C16A0D"/>
    <w:rsid w:val="00C16F76"/>
    <w:rsid w:val="00C17476"/>
    <w:rsid w:val="00C2093F"/>
    <w:rsid w:val="00C20A00"/>
    <w:rsid w:val="00C20CFF"/>
    <w:rsid w:val="00C2110A"/>
    <w:rsid w:val="00C21377"/>
    <w:rsid w:val="00C2152E"/>
    <w:rsid w:val="00C21790"/>
    <w:rsid w:val="00C21B18"/>
    <w:rsid w:val="00C21BD0"/>
    <w:rsid w:val="00C21C57"/>
    <w:rsid w:val="00C21E86"/>
    <w:rsid w:val="00C2266C"/>
    <w:rsid w:val="00C22930"/>
    <w:rsid w:val="00C22EE0"/>
    <w:rsid w:val="00C23175"/>
    <w:rsid w:val="00C231A3"/>
    <w:rsid w:val="00C2347B"/>
    <w:rsid w:val="00C23705"/>
    <w:rsid w:val="00C23A60"/>
    <w:rsid w:val="00C23B10"/>
    <w:rsid w:val="00C23FB6"/>
    <w:rsid w:val="00C24098"/>
    <w:rsid w:val="00C24823"/>
    <w:rsid w:val="00C249D9"/>
    <w:rsid w:val="00C24B26"/>
    <w:rsid w:val="00C2500A"/>
    <w:rsid w:val="00C25644"/>
    <w:rsid w:val="00C25651"/>
    <w:rsid w:val="00C25850"/>
    <w:rsid w:val="00C25859"/>
    <w:rsid w:val="00C25A53"/>
    <w:rsid w:val="00C25AFC"/>
    <w:rsid w:val="00C25B2B"/>
    <w:rsid w:val="00C25E4D"/>
    <w:rsid w:val="00C26425"/>
    <w:rsid w:val="00C2693A"/>
    <w:rsid w:val="00C26BC0"/>
    <w:rsid w:val="00C26DEF"/>
    <w:rsid w:val="00C26FE9"/>
    <w:rsid w:val="00C27010"/>
    <w:rsid w:val="00C27221"/>
    <w:rsid w:val="00C2752E"/>
    <w:rsid w:val="00C27D00"/>
    <w:rsid w:val="00C27DF5"/>
    <w:rsid w:val="00C27EAC"/>
    <w:rsid w:val="00C27ECD"/>
    <w:rsid w:val="00C27F77"/>
    <w:rsid w:val="00C302D8"/>
    <w:rsid w:val="00C3039B"/>
    <w:rsid w:val="00C305A7"/>
    <w:rsid w:val="00C30802"/>
    <w:rsid w:val="00C30A3A"/>
    <w:rsid w:val="00C30A67"/>
    <w:rsid w:val="00C316C3"/>
    <w:rsid w:val="00C3197A"/>
    <w:rsid w:val="00C319AE"/>
    <w:rsid w:val="00C31FFB"/>
    <w:rsid w:val="00C320F5"/>
    <w:rsid w:val="00C3218C"/>
    <w:rsid w:val="00C321BC"/>
    <w:rsid w:val="00C32C7D"/>
    <w:rsid w:val="00C33448"/>
    <w:rsid w:val="00C335DC"/>
    <w:rsid w:val="00C336DF"/>
    <w:rsid w:val="00C33988"/>
    <w:rsid w:val="00C342AA"/>
    <w:rsid w:val="00C342D7"/>
    <w:rsid w:val="00C3436A"/>
    <w:rsid w:val="00C343E9"/>
    <w:rsid w:val="00C343F9"/>
    <w:rsid w:val="00C347B2"/>
    <w:rsid w:val="00C34D29"/>
    <w:rsid w:val="00C350F8"/>
    <w:rsid w:val="00C354A7"/>
    <w:rsid w:val="00C354AC"/>
    <w:rsid w:val="00C35CF8"/>
    <w:rsid w:val="00C35E86"/>
    <w:rsid w:val="00C35EEA"/>
    <w:rsid w:val="00C35FF5"/>
    <w:rsid w:val="00C36316"/>
    <w:rsid w:val="00C363F2"/>
    <w:rsid w:val="00C3683E"/>
    <w:rsid w:val="00C3687E"/>
    <w:rsid w:val="00C37040"/>
    <w:rsid w:val="00C37AAF"/>
    <w:rsid w:val="00C404F7"/>
    <w:rsid w:val="00C40539"/>
    <w:rsid w:val="00C4084D"/>
    <w:rsid w:val="00C409CE"/>
    <w:rsid w:val="00C41604"/>
    <w:rsid w:val="00C41684"/>
    <w:rsid w:val="00C41FEE"/>
    <w:rsid w:val="00C4205E"/>
    <w:rsid w:val="00C42268"/>
    <w:rsid w:val="00C42546"/>
    <w:rsid w:val="00C42729"/>
    <w:rsid w:val="00C42800"/>
    <w:rsid w:val="00C42A5B"/>
    <w:rsid w:val="00C42DD7"/>
    <w:rsid w:val="00C430B0"/>
    <w:rsid w:val="00C4318B"/>
    <w:rsid w:val="00C43255"/>
    <w:rsid w:val="00C43506"/>
    <w:rsid w:val="00C44354"/>
    <w:rsid w:val="00C44863"/>
    <w:rsid w:val="00C448B6"/>
    <w:rsid w:val="00C449DB"/>
    <w:rsid w:val="00C44A44"/>
    <w:rsid w:val="00C44F1F"/>
    <w:rsid w:val="00C45045"/>
    <w:rsid w:val="00C45194"/>
    <w:rsid w:val="00C451AC"/>
    <w:rsid w:val="00C458C2"/>
    <w:rsid w:val="00C459AB"/>
    <w:rsid w:val="00C459DC"/>
    <w:rsid w:val="00C45AB5"/>
    <w:rsid w:val="00C45C33"/>
    <w:rsid w:val="00C45C4D"/>
    <w:rsid w:val="00C45EE5"/>
    <w:rsid w:val="00C45F2E"/>
    <w:rsid w:val="00C460A5"/>
    <w:rsid w:val="00C468F9"/>
    <w:rsid w:val="00C46A3B"/>
    <w:rsid w:val="00C46CD5"/>
    <w:rsid w:val="00C46D5A"/>
    <w:rsid w:val="00C47DE5"/>
    <w:rsid w:val="00C503B6"/>
    <w:rsid w:val="00C505B4"/>
    <w:rsid w:val="00C50690"/>
    <w:rsid w:val="00C5074C"/>
    <w:rsid w:val="00C50B72"/>
    <w:rsid w:val="00C51092"/>
    <w:rsid w:val="00C511A0"/>
    <w:rsid w:val="00C515CE"/>
    <w:rsid w:val="00C51765"/>
    <w:rsid w:val="00C517D3"/>
    <w:rsid w:val="00C51BA0"/>
    <w:rsid w:val="00C52A85"/>
    <w:rsid w:val="00C52C65"/>
    <w:rsid w:val="00C536BF"/>
    <w:rsid w:val="00C53832"/>
    <w:rsid w:val="00C538EB"/>
    <w:rsid w:val="00C53CEC"/>
    <w:rsid w:val="00C53D99"/>
    <w:rsid w:val="00C53E7B"/>
    <w:rsid w:val="00C53EB6"/>
    <w:rsid w:val="00C54308"/>
    <w:rsid w:val="00C5448B"/>
    <w:rsid w:val="00C5465B"/>
    <w:rsid w:val="00C54945"/>
    <w:rsid w:val="00C5499C"/>
    <w:rsid w:val="00C55386"/>
    <w:rsid w:val="00C5590A"/>
    <w:rsid w:val="00C55B8B"/>
    <w:rsid w:val="00C55BD7"/>
    <w:rsid w:val="00C55D1A"/>
    <w:rsid w:val="00C55DD1"/>
    <w:rsid w:val="00C55F0D"/>
    <w:rsid w:val="00C56363"/>
    <w:rsid w:val="00C569FB"/>
    <w:rsid w:val="00C576BA"/>
    <w:rsid w:val="00C57747"/>
    <w:rsid w:val="00C5785D"/>
    <w:rsid w:val="00C579F7"/>
    <w:rsid w:val="00C57C34"/>
    <w:rsid w:val="00C60DDA"/>
    <w:rsid w:val="00C60FEF"/>
    <w:rsid w:val="00C6118C"/>
    <w:rsid w:val="00C61460"/>
    <w:rsid w:val="00C61475"/>
    <w:rsid w:val="00C614D5"/>
    <w:rsid w:val="00C61532"/>
    <w:rsid w:val="00C61856"/>
    <w:rsid w:val="00C61A20"/>
    <w:rsid w:val="00C61B5D"/>
    <w:rsid w:val="00C61D05"/>
    <w:rsid w:val="00C61DAE"/>
    <w:rsid w:val="00C621B1"/>
    <w:rsid w:val="00C621BB"/>
    <w:rsid w:val="00C6279A"/>
    <w:rsid w:val="00C627C8"/>
    <w:rsid w:val="00C6289E"/>
    <w:rsid w:val="00C6292E"/>
    <w:rsid w:val="00C62E01"/>
    <w:rsid w:val="00C62E82"/>
    <w:rsid w:val="00C62EE8"/>
    <w:rsid w:val="00C63011"/>
    <w:rsid w:val="00C63129"/>
    <w:rsid w:val="00C63916"/>
    <w:rsid w:val="00C63A75"/>
    <w:rsid w:val="00C63B91"/>
    <w:rsid w:val="00C63B99"/>
    <w:rsid w:val="00C63D09"/>
    <w:rsid w:val="00C642B9"/>
    <w:rsid w:val="00C643FC"/>
    <w:rsid w:val="00C6458C"/>
    <w:rsid w:val="00C645DC"/>
    <w:rsid w:val="00C6465E"/>
    <w:rsid w:val="00C64850"/>
    <w:rsid w:val="00C648B9"/>
    <w:rsid w:val="00C6496B"/>
    <w:rsid w:val="00C64A91"/>
    <w:rsid w:val="00C64C14"/>
    <w:rsid w:val="00C64D6E"/>
    <w:rsid w:val="00C652DB"/>
    <w:rsid w:val="00C65707"/>
    <w:rsid w:val="00C657B9"/>
    <w:rsid w:val="00C658E7"/>
    <w:rsid w:val="00C65983"/>
    <w:rsid w:val="00C65A94"/>
    <w:rsid w:val="00C65B79"/>
    <w:rsid w:val="00C65CBA"/>
    <w:rsid w:val="00C65E82"/>
    <w:rsid w:val="00C66003"/>
    <w:rsid w:val="00C66299"/>
    <w:rsid w:val="00C66526"/>
    <w:rsid w:val="00C667BF"/>
    <w:rsid w:val="00C66987"/>
    <w:rsid w:val="00C66D0C"/>
    <w:rsid w:val="00C67089"/>
    <w:rsid w:val="00C6711B"/>
    <w:rsid w:val="00C67648"/>
    <w:rsid w:val="00C67AA5"/>
    <w:rsid w:val="00C67F24"/>
    <w:rsid w:val="00C67FA1"/>
    <w:rsid w:val="00C70005"/>
    <w:rsid w:val="00C70421"/>
    <w:rsid w:val="00C704D6"/>
    <w:rsid w:val="00C70763"/>
    <w:rsid w:val="00C707E1"/>
    <w:rsid w:val="00C70AD4"/>
    <w:rsid w:val="00C70C85"/>
    <w:rsid w:val="00C70EE9"/>
    <w:rsid w:val="00C70F16"/>
    <w:rsid w:val="00C711BF"/>
    <w:rsid w:val="00C7136E"/>
    <w:rsid w:val="00C7188A"/>
    <w:rsid w:val="00C71B1F"/>
    <w:rsid w:val="00C71BF4"/>
    <w:rsid w:val="00C71E41"/>
    <w:rsid w:val="00C721FC"/>
    <w:rsid w:val="00C72967"/>
    <w:rsid w:val="00C72C49"/>
    <w:rsid w:val="00C72F7B"/>
    <w:rsid w:val="00C73046"/>
    <w:rsid w:val="00C73047"/>
    <w:rsid w:val="00C7331D"/>
    <w:rsid w:val="00C7331F"/>
    <w:rsid w:val="00C73A1E"/>
    <w:rsid w:val="00C73AFF"/>
    <w:rsid w:val="00C73BED"/>
    <w:rsid w:val="00C73DCA"/>
    <w:rsid w:val="00C73FDB"/>
    <w:rsid w:val="00C7413A"/>
    <w:rsid w:val="00C742A4"/>
    <w:rsid w:val="00C74908"/>
    <w:rsid w:val="00C74D3C"/>
    <w:rsid w:val="00C75067"/>
    <w:rsid w:val="00C7574E"/>
    <w:rsid w:val="00C75877"/>
    <w:rsid w:val="00C759E2"/>
    <w:rsid w:val="00C764F5"/>
    <w:rsid w:val="00C765A9"/>
    <w:rsid w:val="00C76A67"/>
    <w:rsid w:val="00C76CFB"/>
    <w:rsid w:val="00C774A3"/>
    <w:rsid w:val="00C775CA"/>
    <w:rsid w:val="00C776B7"/>
    <w:rsid w:val="00C776D4"/>
    <w:rsid w:val="00C7782C"/>
    <w:rsid w:val="00C778B3"/>
    <w:rsid w:val="00C77982"/>
    <w:rsid w:val="00C77CA9"/>
    <w:rsid w:val="00C804A6"/>
    <w:rsid w:val="00C806D0"/>
    <w:rsid w:val="00C807D9"/>
    <w:rsid w:val="00C809FF"/>
    <w:rsid w:val="00C80FDD"/>
    <w:rsid w:val="00C81109"/>
    <w:rsid w:val="00C811A1"/>
    <w:rsid w:val="00C8131C"/>
    <w:rsid w:val="00C813D6"/>
    <w:rsid w:val="00C81794"/>
    <w:rsid w:val="00C81A14"/>
    <w:rsid w:val="00C81BBC"/>
    <w:rsid w:val="00C81D29"/>
    <w:rsid w:val="00C81E6F"/>
    <w:rsid w:val="00C82B00"/>
    <w:rsid w:val="00C82EEF"/>
    <w:rsid w:val="00C82F38"/>
    <w:rsid w:val="00C82FD2"/>
    <w:rsid w:val="00C830DE"/>
    <w:rsid w:val="00C833C8"/>
    <w:rsid w:val="00C83649"/>
    <w:rsid w:val="00C838B7"/>
    <w:rsid w:val="00C840D4"/>
    <w:rsid w:val="00C84214"/>
    <w:rsid w:val="00C84280"/>
    <w:rsid w:val="00C842CB"/>
    <w:rsid w:val="00C843BF"/>
    <w:rsid w:val="00C848A1"/>
    <w:rsid w:val="00C85257"/>
    <w:rsid w:val="00C855A4"/>
    <w:rsid w:val="00C856C6"/>
    <w:rsid w:val="00C85804"/>
    <w:rsid w:val="00C85CE7"/>
    <w:rsid w:val="00C85EA6"/>
    <w:rsid w:val="00C85EED"/>
    <w:rsid w:val="00C85F75"/>
    <w:rsid w:val="00C85FC4"/>
    <w:rsid w:val="00C86178"/>
    <w:rsid w:val="00C86578"/>
    <w:rsid w:val="00C86650"/>
    <w:rsid w:val="00C8696B"/>
    <w:rsid w:val="00C86D64"/>
    <w:rsid w:val="00C86DF1"/>
    <w:rsid w:val="00C8722F"/>
    <w:rsid w:val="00C87351"/>
    <w:rsid w:val="00C8735C"/>
    <w:rsid w:val="00C87365"/>
    <w:rsid w:val="00C8750A"/>
    <w:rsid w:val="00C876CC"/>
    <w:rsid w:val="00C87732"/>
    <w:rsid w:val="00C900A9"/>
    <w:rsid w:val="00C900C9"/>
    <w:rsid w:val="00C90655"/>
    <w:rsid w:val="00C91421"/>
    <w:rsid w:val="00C91472"/>
    <w:rsid w:val="00C91686"/>
    <w:rsid w:val="00C9169B"/>
    <w:rsid w:val="00C9175F"/>
    <w:rsid w:val="00C91807"/>
    <w:rsid w:val="00C91957"/>
    <w:rsid w:val="00C91F74"/>
    <w:rsid w:val="00C92631"/>
    <w:rsid w:val="00C926F4"/>
    <w:rsid w:val="00C929D0"/>
    <w:rsid w:val="00C92B17"/>
    <w:rsid w:val="00C92E23"/>
    <w:rsid w:val="00C93003"/>
    <w:rsid w:val="00C9338C"/>
    <w:rsid w:val="00C9362D"/>
    <w:rsid w:val="00C936C7"/>
    <w:rsid w:val="00C93860"/>
    <w:rsid w:val="00C93E4C"/>
    <w:rsid w:val="00C93E91"/>
    <w:rsid w:val="00C93F1E"/>
    <w:rsid w:val="00C94109"/>
    <w:rsid w:val="00C94197"/>
    <w:rsid w:val="00C94288"/>
    <w:rsid w:val="00C94419"/>
    <w:rsid w:val="00C9492E"/>
    <w:rsid w:val="00C94EF5"/>
    <w:rsid w:val="00C95354"/>
    <w:rsid w:val="00C95793"/>
    <w:rsid w:val="00C9588C"/>
    <w:rsid w:val="00C95979"/>
    <w:rsid w:val="00C95B15"/>
    <w:rsid w:val="00C95BC6"/>
    <w:rsid w:val="00C96054"/>
    <w:rsid w:val="00C96206"/>
    <w:rsid w:val="00C962ED"/>
    <w:rsid w:val="00C96304"/>
    <w:rsid w:val="00C96A8B"/>
    <w:rsid w:val="00C96AAA"/>
    <w:rsid w:val="00C96AF4"/>
    <w:rsid w:val="00C96B17"/>
    <w:rsid w:val="00C97129"/>
    <w:rsid w:val="00C97327"/>
    <w:rsid w:val="00C974ED"/>
    <w:rsid w:val="00C975E1"/>
    <w:rsid w:val="00C9760B"/>
    <w:rsid w:val="00C97BBE"/>
    <w:rsid w:val="00C97C9C"/>
    <w:rsid w:val="00C97EDD"/>
    <w:rsid w:val="00CA007B"/>
    <w:rsid w:val="00CA015A"/>
    <w:rsid w:val="00CA0332"/>
    <w:rsid w:val="00CA0394"/>
    <w:rsid w:val="00CA090F"/>
    <w:rsid w:val="00CA0B92"/>
    <w:rsid w:val="00CA0E92"/>
    <w:rsid w:val="00CA1222"/>
    <w:rsid w:val="00CA18B4"/>
    <w:rsid w:val="00CA1B99"/>
    <w:rsid w:val="00CA246F"/>
    <w:rsid w:val="00CA29D5"/>
    <w:rsid w:val="00CA2D9E"/>
    <w:rsid w:val="00CA3048"/>
    <w:rsid w:val="00CA30F2"/>
    <w:rsid w:val="00CA333B"/>
    <w:rsid w:val="00CA34DC"/>
    <w:rsid w:val="00CA35B7"/>
    <w:rsid w:val="00CA36A9"/>
    <w:rsid w:val="00CA3B69"/>
    <w:rsid w:val="00CA3BEE"/>
    <w:rsid w:val="00CA3C22"/>
    <w:rsid w:val="00CA3C80"/>
    <w:rsid w:val="00CA3D64"/>
    <w:rsid w:val="00CA3FFC"/>
    <w:rsid w:val="00CA4897"/>
    <w:rsid w:val="00CA4966"/>
    <w:rsid w:val="00CA4DCD"/>
    <w:rsid w:val="00CA5168"/>
    <w:rsid w:val="00CA522E"/>
    <w:rsid w:val="00CA52C4"/>
    <w:rsid w:val="00CA5513"/>
    <w:rsid w:val="00CA55B4"/>
    <w:rsid w:val="00CA55DD"/>
    <w:rsid w:val="00CA55FB"/>
    <w:rsid w:val="00CA56AB"/>
    <w:rsid w:val="00CA57BC"/>
    <w:rsid w:val="00CA58F4"/>
    <w:rsid w:val="00CA58F7"/>
    <w:rsid w:val="00CA5965"/>
    <w:rsid w:val="00CA60CC"/>
    <w:rsid w:val="00CA63C7"/>
    <w:rsid w:val="00CA655D"/>
    <w:rsid w:val="00CA6668"/>
    <w:rsid w:val="00CA680A"/>
    <w:rsid w:val="00CA68A0"/>
    <w:rsid w:val="00CA6F11"/>
    <w:rsid w:val="00CA7596"/>
    <w:rsid w:val="00CA77EA"/>
    <w:rsid w:val="00CA798E"/>
    <w:rsid w:val="00CA7E89"/>
    <w:rsid w:val="00CA7EEC"/>
    <w:rsid w:val="00CB006B"/>
    <w:rsid w:val="00CB021D"/>
    <w:rsid w:val="00CB0922"/>
    <w:rsid w:val="00CB0B16"/>
    <w:rsid w:val="00CB0F2F"/>
    <w:rsid w:val="00CB1030"/>
    <w:rsid w:val="00CB10EB"/>
    <w:rsid w:val="00CB1244"/>
    <w:rsid w:val="00CB124F"/>
    <w:rsid w:val="00CB15CC"/>
    <w:rsid w:val="00CB162A"/>
    <w:rsid w:val="00CB166B"/>
    <w:rsid w:val="00CB1BA3"/>
    <w:rsid w:val="00CB21DB"/>
    <w:rsid w:val="00CB2461"/>
    <w:rsid w:val="00CB25C7"/>
    <w:rsid w:val="00CB28E3"/>
    <w:rsid w:val="00CB2936"/>
    <w:rsid w:val="00CB2B1D"/>
    <w:rsid w:val="00CB2BC5"/>
    <w:rsid w:val="00CB2D39"/>
    <w:rsid w:val="00CB31AD"/>
    <w:rsid w:val="00CB3253"/>
    <w:rsid w:val="00CB32FA"/>
    <w:rsid w:val="00CB3380"/>
    <w:rsid w:val="00CB354E"/>
    <w:rsid w:val="00CB37AA"/>
    <w:rsid w:val="00CB3AAC"/>
    <w:rsid w:val="00CB3BD4"/>
    <w:rsid w:val="00CB3D13"/>
    <w:rsid w:val="00CB3EF8"/>
    <w:rsid w:val="00CB425D"/>
    <w:rsid w:val="00CB4579"/>
    <w:rsid w:val="00CB4738"/>
    <w:rsid w:val="00CB4AFE"/>
    <w:rsid w:val="00CB4B07"/>
    <w:rsid w:val="00CB4C02"/>
    <w:rsid w:val="00CB4C90"/>
    <w:rsid w:val="00CB4F79"/>
    <w:rsid w:val="00CB5170"/>
    <w:rsid w:val="00CB54F3"/>
    <w:rsid w:val="00CB58E4"/>
    <w:rsid w:val="00CB5C3F"/>
    <w:rsid w:val="00CB5F1B"/>
    <w:rsid w:val="00CB6291"/>
    <w:rsid w:val="00CB6336"/>
    <w:rsid w:val="00CB635D"/>
    <w:rsid w:val="00CB64D5"/>
    <w:rsid w:val="00CB69E4"/>
    <w:rsid w:val="00CB6CC7"/>
    <w:rsid w:val="00CB6D9A"/>
    <w:rsid w:val="00CB6F18"/>
    <w:rsid w:val="00CB6F7B"/>
    <w:rsid w:val="00CB72B7"/>
    <w:rsid w:val="00CB772F"/>
    <w:rsid w:val="00CB7956"/>
    <w:rsid w:val="00CB7C42"/>
    <w:rsid w:val="00CB7FE8"/>
    <w:rsid w:val="00CB7FFE"/>
    <w:rsid w:val="00CC0821"/>
    <w:rsid w:val="00CC0E7D"/>
    <w:rsid w:val="00CC0E9A"/>
    <w:rsid w:val="00CC1163"/>
    <w:rsid w:val="00CC14C5"/>
    <w:rsid w:val="00CC155F"/>
    <w:rsid w:val="00CC15D2"/>
    <w:rsid w:val="00CC19F5"/>
    <w:rsid w:val="00CC1D1B"/>
    <w:rsid w:val="00CC1D8F"/>
    <w:rsid w:val="00CC212A"/>
    <w:rsid w:val="00CC214D"/>
    <w:rsid w:val="00CC21E2"/>
    <w:rsid w:val="00CC24F4"/>
    <w:rsid w:val="00CC2634"/>
    <w:rsid w:val="00CC2750"/>
    <w:rsid w:val="00CC29C1"/>
    <w:rsid w:val="00CC29D3"/>
    <w:rsid w:val="00CC2E63"/>
    <w:rsid w:val="00CC2ECD"/>
    <w:rsid w:val="00CC2FCA"/>
    <w:rsid w:val="00CC3771"/>
    <w:rsid w:val="00CC385E"/>
    <w:rsid w:val="00CC39BA"/>
    <w:rsid w:val="00CC4023"/>
    <w:rsid w:val="00CC42D8"/>
    <w:rsid w:val="00CC4470"/>
    <w:rsid w:val="00CC4688"/>
    <w:rsid w:val="00CC496B"/>
    <w:rsid w:val="00CC496D"/>
    <w:rsid w:val="00CC4A91"/>
    <w:rsid w:val="00CC5074"/>
    <w:rsid w:val="00CC52D3"/>
    <w:rsid w:val="00CC5440"/>
    <w:rsid w:val="00CC5524"/>
    <w:rsid w:val="00CC5A62"/>
    <w:rsid w:val="00CC5AFF"/>
    <w:rsid w:val="00CC5B4A"/>
    <w:rsid w:val="00CC612C"/>
    <w:rsid w:val="00CC626A"/>
    <w:rsid w:val="00CC6520"/>
    <w:rsid w:val="00CC699E"/>
    <w:rsid w:val="00CC69EB"/>
    <w:rsid w:val="00CC6AB0"/>
    <w:rsid w:val="00CC6E5C"/>
    <w:rsid w:val="00CC6E88"/>
    <w:rsid w:val="00CC6FF4"/>
    <w:rsid w:val="00CC7284"/>
    <w:rsid w:val="00CC76CD"/>
    <w:rsid w:val="00CC76F8"/>
    <w:rsid w:val="00CC7785"/>
    <w:rsid w:val="00CC7A37"/>
    <w:rsid w:val="00CC7E18"/>
    <w:rsid w:val="00CD009D"/>
    <w:rsid w:val="00CD05C3"/>
    <w:rsid w:val="00CD07E3"/>
    <w:rsid w:val="00CD095F"/>
    <w:rsid w:val="00CD1617"/>
    <w:rsid w:val="00CD1675"/>
    <w:rsid w:val="00CD1896"/>
    <w:rsid w:val="00CD1D38"/>
    <w:rsid w:val="00CD224F"/>
    <w:rsid w:val="00CD22D6"/>
    <w:rsid w:val="00CD2644"/>
    <w:rsid w:val="00CD2AE0"/>
    <w:rsid w:val="00CD2C35"/>
    <w:rsid w:val="00CD2FB4"/>
    <w:rsid w:val="00CD3036"/>
    <w:rsid w:val="00CD35E1"/>
    <w:rsid w:val="00CD3CF2"/>
    <w:rsid w:val="00CD3D1C"/>
    <w:rsid w:val="00CD3D47"/>
    <w:rsid w:val="00CD3DC0"/>
    <w:rsid w:val="00CD3DD3"/>
    <w:rsid w:val="00CD3EBB"/>
    <w:rsid w:val="00CD41DA"/>
    <w:rsid w:val="00CD446F"/>
    <w:rsid w:val="00CD44E2"/>
    <w:rsid w:val="00CD460A"/>
    <w:rsid w:val="00CD46DF"/>
    <w:rsid w:val="00CD53C4"/>
    <w:rsid w:val="00CD5571"/>
    <w:rsid w:val="00CD57DA"/>
    <w:rsid w:val="00CD5818"/>
    <w:rsid w:val="00CD5946"/>
    <w:rsid w:val="00CD5971"/>
    <w:rsid w:val="00CD5A24"/>
    <w:rsid w:val="00CD5D66"/>
    <w:rsid w:val="00CD5E06"/>
    <w:rsid w:val="00CD5E67"/>
    <w:rsid w:val="00CD6107"/>
    <w:rsid w:val="00CD6312"/>
    <w:rsid w:val="00CD643D"/>
    <w:rsid w:val="00CD6542"/>
    <w:rsid w:val="00CD65B2"/>
    <w:rsid w:val="00CD6674"/>
    <w:rsid w:val="00CD69D7"/>
    <w:rsid w:val="00CD6CD7"/>
    <w:rsid w:val="00CD707E"/>
    <w:rsid w:val="00CD724A"/>
    <w:rsid w:val="00CD72CF"/>
    <w:rsid w:val="00CD749C"/>
    <w:rsid w:val="00CD7863"/>
    <w:rsid w:val="00CD7927"/>
    <w:rsid w:val="00CD7A31"/>
    <w:rsid w:val="00CD7E96"/>
    <w:rsid w:val="00CE01E8"/>
    <w:rsid w:val="00CE04FF"/>
    <w:rsid w:val="00CE06BB"/>
    <w:rsid w:val="00CE09A0"/>
    <w:rsid w:val="00CE09F7"/>
    <w:rsid w:val="00CE0B4F"/>
    <w:rsid w:val="00CE0D03"/>
    <w:rsid w:val="00CE1080"/>
    <w:rsid w:val="00CE1224"/>
    <w:rsid w:val="00CE1CA2"/>
    <w:rsid w:val="00CE1DE4"/>
    <w:rsid w:val="00CE1E70"/>
    <w:rsid w:val="00CE20EE"/>
    <w:rsid w:val="00CE2258"/>
    <w:rsid w:val="00CE2956"/>
    <w:rsid w:val="00CE2D61"/>
    <w:rsid w:val="00CE300D"/>
    <w:rsid w:val="00CE3037"/>
    <w:rsid w:val="00CE31BD"/>
    <w:rsid w:val="00CE326A"/>
    <w:rsid w:val="00CE3921"/>
    <w:rsid w:val="00CE39BA"/>
    <w:rsid w:val="00CE3A9A"/>
    <w:rsid w:val="00CE3AB9"/>
    <w:rsid w:val="00CE43B9"/>
    <w:rsid w:val="00CE4AA5"/>
    <w:rsid w:val="00CE54A8"/>
    <w:rsid w:val="00CE5698"/>
    <w:rsid w:val="00CE5706"/>
    <w:rsid w:val="00CE58E4"/>
    <w:rsid w:val="00CE5C90"/>
    <w:rsid w:val="00CE5C94"/>
    <w:rsid w:val="00CE5DA7"/>
    <w:rsid w:val="00CE6283"/>
    <w:rsid w:val="00CE64CA"/>
    <w:rsid w:val="00CE68F2"/>
    <w:rsid w:val="00CE69E7"/>
    <w:rsid w:val="00CE6B63"/>
    <w:rsid w:val="00CE728F"/>
    <w:rsid w:val="00CE7359"/>
    <w:rsid w:val="00CE7473"/>
    <w:rsid w:val="00CE74A8"/>
    <w:rsid w:val="00CE77CD"/>
    <w:rsid w:val="00CE7A0F"/>
    <w:rsid w:val="00CF035F"/>
    <w:rsid w:val="00CF0471"/>
    <w:rsid w:val="00CF0490"/>
    <w:rsid w:val="00CF06FC"/>
    <w:rsid w:val="00CF08F6"/>
    <w:rsid w:val="00CF0AD7"/>
    <w:rsid w:val="00CF0C1D"/>
    <w:rsid w:val="00CF0CFB"/>
    <w:rsid w:val="00CF0E54"/>
    <w:rsid w:val="00CF116F"/>
    <w:rsid w:val="00CF126A"/>
    <w:rsid w:val="00CF1743"/>
    <w:rsid w:val="00CF2097"/>
    <w:rsid w:val="00CF234A"/>
    <w:rsid w:val="00CF256E"/>
    <w:rsid w:val="00CF2BEA"/>
    <w:rsid w:val="00CF2CA0"/>
    <w:rsid w:val="00CF2CB0"/>
    <w:rsid w:val="00CF2DA4"/>
    <w:rsid w:val="00CF31A3"/>
    <w:rsid w:val="00CF3427"/>
    <w:rsid w:val="00CF3CE2"/>
    <w:rsid w:val="00CF3F78"/>
    <w:rsid w:val="00CF4053"/>
    <w:rsid w:val="00CF4107"/>
    <w:rsid w:val="00CF41AA"/>
    <w:rsid w:val="00CF44BB"/>
    <w:rsid w:val="00CF464D"/>
    <w:rsid w:val="00CF4717"/>
    <w:rsid w:val="00CF47C8"/>
    <w:rsid w:val="00CF4DF0"/>
    <w:rsid w:val="00CF5507"/>
    <w:rsid w:val="00CF57F2"/>
    <w:rsid w:val="00CF59AC"/>
    <w:rsid w:val="00CF5C21"/>
    <w:rsid w:val="00CF5CCC"/>
    <w:rsid w:val="00CF5CF3"/>
    <w:rsid w:val="00CF5D8D"/>
    <w:rsid w:val="00CF5DCE"/>
    <w:rsid w:val="00CF5EB8"/>
    <w:rsid w:val="00CF5F0F"/>
    <w:rsid w:val="00CF618A"/>
    <w:rsid w:val="00CF66FF"/>
    <w:rsid w:val="00CF6736"/>
    <w:rsid w:val="00CF675C"/>
    <w:rsid w:val="00CF6C5E"/>
    <w:rsid w:val="00CF6C70"/>
    <w:rsid w:val="00CF6DAC"/>
    <w:rsid w:val="00CF6E96"/>
    <w:rsid w:val="00CF7A33"/>
    <w:rsid w:val="00CF7AAC"/>
    <w:rsid w:val="00CF7B89"/>
    <w:rsid w:val="00D00019"/>
    <w:rsid w:val="00D000E3"/>
    <w:rsid w:val="00D00128"/>
    <w:rsid w:val="00D0056A"/>
    <w:rsid w:val="00D0086C"/>
    <w:rsid w:val="00D00959"/>
    <w:rsid w:val="00D00A60"/>
    <w:rsid w:val="00D00BE1"/>
    <w:rsid w:val="00D00E13"/>
    <w:rsid w:val="00D00F59"/>
    <w:rsid w:val="00D00FF6"/>
    <w:rsid w:val="00D010B3"/>
    <w:rsid w:val="00D01232"/>
    <w:rsid w:val="00D018B6"/>
    <w:rsid w:val="00D01951"/>
    <w:rsid w:val="00D01B44"/>
    <w:rsid w:val="00D02B96"/>
    <w:rsid w:val="00D02C53"/>
    <w:rsid w:val="00D02CC4"/>
    <w:rsid w:val="00D02D8E"/>
    <w:rsid w:val="00D03135"/>
    <w:rsid w:val="00D031F0"/>
    <w:rsid w:val="00D03419"/>
    <w:rsid w:val="00D03433"/>
    <w:rsid w:val="00D034DA"/>
    <w:rsid w:val="00D03792"/>
    <w:rsid w:val="00D03992"/>
    <w:rsid w:val="00D03CF8"/>
    <w:rsid w:val="00D041D6"/>
    <w:rsid w:val="00D04710"/>
    <w:rsid w:val="00D04732"/>
    <w:rsid w:val="00D04B1D"/>
    <w:rsid w:val="00D04C48"/>
    <w:rsid w:val="00D04CBF"/>
    <w:rsid w:val="00D052B3"/>
    <w:rsid w:val="00D0538C"/>
    <w:rsid w:val="00D058D1"/>
    <w:rsid w:val="00D05A08"/>
    <w:rsid w:val="00D05A12"/>
    <w:rsid w:val="00D05D25"/>
    <w:rsid w:val="00D05D89"/>
    <w:rsid w:val="00D06285"/>
    <w:rsid w:val="00D063FE"/>
    <w:rsid w:val="00D06713"/>
    <w:rsid w:val="00D0695C"/>
    <w:rsid w:val="00D06FF8"/>
    <w:rsid w:val="00D0771B"/>
    <w:rsid w:val="00D079C2"/>
    <w:rsid w:val="00D07A4B"/>
    <w:rsid w:val="00D07B2D"/>
    <w:rsid w:val="00D07C6D"/>
    <w:rsid w:val="00D07E10"/>
    <w:rsid w:val="00D07E67"/>
    <w:rsid w:val="00D1046B"/>
    <w:rsid w:val="00D1068F"/>
    <w:rsid w:val="00D107D8"/>
    <w:rsid w:val="00D10B92"/>
    <w:rsid w:val="00D10D88"/>
    <w:rsid w:val="00D11266"/>
    <w:rsid w:val="00D11327"/>
    <w:rsid w:val="00D1152E"/>
    <w:rsid w:val="00D11B93"/>
    <w:rsid w:val="00D11C14"/>
    <w:rsid w:val="00D11C70"/>
    <w:rsid w:val="00D11D08"/>
    <w:rsid w:val="00D122B7"/>
    <w:rsid w:val="00D122C4"/>
    <w:rsid w:val="00D1240B"/>
    <w:rsid w:val="00D12A9C"/>
    <w:rsid w:val="00D12C21"/>
    <w:rsid w:val="00D12F2A"/>
    <w:rsid w:val="00D135DB"/>
    <w:rsid w:val="00D13698"/>
    <w:rsid w:val="00D137E7"/>
    <w:rsid w:val="00D14213"/>
    <w:rsid w:val="00D14663"/>
    <w:rsid w:val="00D14780"/>
    <w:rsid w:val="00D14890"/>
    <w:rsid w:val="00D14942"/>
    <w:rsid w:val="00D1512F"/>
    <w:rsid w:val="00D15B46"/>
    <w:rsid w:val="00D160AF"/>
    <w:rsid w:val="00D1617A"/>
    <w:rsid w:val="00D161CF"/>
    <w:rsid w:val="00D1643D"/>
    <w:rsid w:val="00D16524"/>
    <w:rsid w:val="00D16986"/>
    <w:rsid w:val="00D16E7E"/>
    <w:rsid w:val="00D16F6E"/>
    <w:rsid w:val="00D17341"/>
    <w:rsid w:val="00D17473"/>
    <w:rsid w:val="00D174A6"/>
    <w:rsid w:val="00D177E9"/>
    <w:rsid w:val="00D178F2"/>
    <w:rsid w:val="00D20504"/>
    <w:rsid w:val="00D2052B"/>
    <w:rsid w:val="00D20967"/>
    <w:rsid w:val="00D211A2"/>
    <w:rsid w:val="00D21409"/>
    <w:rsid w:val="00D215DB"/>
    <w:rsid w:val="00D21607"/>
    <w:rsid w:val="00D216AC"/>
    <w:rsid w:val="00D21871"/>
    <w:rsid w:val="00D21B47"/>
    <w:rsid w:val="00D21D94"/>
    <w:rsid w:val="00D21F82"/>
    <w:rsid w:val="00D22133"/>
    <w:rsid w:val="00D22242"/>
    <w:rsid w:val="00D2229D"/>
    <w:rsid w:val="00D2271C"/>
    <w:rsid w:val="00D22A2D"/>
    <w:rsid w:val="00D22A6A"/>
    <w:rsid w:val="00D22A6D"/>
    <w:rsid w:val="00D22CF8"/>
    <w:rsid w:val="00D22EB0"/>
    <w:rsid w:val="00D22F89"/>
    <w:rsid w:val="00D230AF"/>
    <w:rsid w:val="00D231BD"/>
    <w:rsid w:val="00D23351"/>
    <w:rsid w:val="00D2379C"/>
    <w:rsid w:val="00D23A03"/>
    <w:rsid w:val="00D23FE2"/>
    <w:rsid w:val="00D24009"/>
    <w:rsid w:val="00D247D1"/>
    <w:rsid w:val="00D24A5B"/>
    <w:rsid w:val="00D24BA4"/>
    <w:rsid w:val="00D24C87"/>
    <w:rsid w:val="00D24E51"/>
    <w:rsid w:val="00D24F04"/>
    <w:rsid w:val="00D2585D"/>
    <w:rsid w:val="00D26563"/>
    <w:rsid w:val="00D266AD"/>
    <w:rsid w:val="00D26924"/>
    <w:rsid w:val="00D26BE4"/>
    <w:rsid w:val="00D27205"/>
    <w:rsid w:val="00D272C9"/>
    <w:rsid w:val="00D27350"/>
    <w:rsid w:val="00D2747B"/>
    <w:rsid w:val="00D275A0"/>
    <w:rsid w:val="00D27C42"/>
    <w:rsid w:val="00D3001F"/>
    <w:rsid w:val="00D30137"/>
    <w:rsid w:val="00D302E9"/>
    <w:rsid w:val="00D305A6"/>
    <w:rsid w:val="00D30800"/>
    <w:rsid w:val="00D30951"/>
    <w:rsid w:val="00D31AC3"/>
    <w:rsid w:val="00D32093"/>
    <w:rsid w:val="00D32342"/>
    <w:rsid w:val="00D32681"/>
    <w:rsid w:val="00D32931"/>
    <w:rsid w:val="00D32BF1"/>
    <w:rsid w:val="00D33009"/>
    <w:rsid w:val="00D331A5"/>
    <w:rsid w:val="00D331AA"/>
    <w:rsid w:val="00D33805"/>
    <w:rsid w:val="00D33AF0"/>
    <w:rsid w:val="00D34D9E"/>
    <w:rsid w:val="00D34EC2"/>
    <w:rsid w:val="00D34FC5"/>
    <w:rsid w:val="00D3515D"/>
    <w:rsid w:val="00D35305"/>
    <w:rsid w:val="00D35788"/>
    <w:rsid w:val="00D35C1F"/>
    <w:rsid w:val="00D35F27"/>
    <w:rsid w:val="00D3602F"/>
    <w:rsid w:val="00D36373"/>
    <w:rsid w:val="00D364F3"/>
    <w:rsid w:val="00D367EE"/>
    <w:rsid w:val="00D3681D"/>
    <w:rsid w:val="00D3689B"/>
    <w:rsid w:val="00D36AC5"/>
    <w:rsid w:val="00D36CFC"/>
    <w:rsid w:val="00D36E8D"/>
    <w:rsid w:val="00D36E98"/>
    <w:rsid w:val="00D36F6B"/>
    <w:rsid w:val="00D37380"/>
    <w:rsid w:val="00D373D5"/>
    <w:rsid w:val="00D37685"/>
    <w:rsid w:val="00D3770B"/>
    <w:rsid w:val="00D377E6"/>
    <w:rsid w:val="00D4032C"/>
    <w:rsid w:val="00D40655"/>
    <w:rsid w:val="00D40C67"/>
    <w:rsid w:val="00D41357"/>
    <w:rsid w:val="00D41782"/>
    <w:rsid w:val="00D41808"/>
    <w:rsid w:val="00D41A9B"/>
    <w:rsid w:val="00D41BDD"/>
    <w:rsid w:val="00D41CBB"/>
    <w:rsid w:val="00D41DE3"/>
    <w:rsid w:val="00D41DF7"/>
    <w:rsid w:val="00D41E14"/>
    <w:rsid w:val="00D42BB7"/>
    <w:rsid w:val="00D42E7D"/>
    <w:rsid w:val="00D42F31"/>
    <w:rsid w:val="00D42F49"/>
    <w:rsid w:val="00D42F79"/>
    <w:rsid w:val="00D431A7"/>
    <w:rsid w:val="00D436E0"/>
    <w:rsid w:val="00D449B9"/>
    <w:rsid w:val="00D44BE4"/>
    <w:rsid w:val="00D44D91"/>
    <w:rsid w:val="00D44F9D"/>
    <w:rsid w:val="00D4517C"/>
    <w:rsid w:val="00D451AE"/>
    <w:rsid w:val="00D453DD"/>
    <w:rsid w:val="00D45548"/>
    <w:rsid w:val="00D4557B"/>
    <w:rsid w:val="00D4564E"/>
    <w:rsid w:val="00D4579B"/>
    <w:rsid w:val="00D458AF"/>
    <w:rsid w:val="00D459C1"/>
    <w:rsid w:val="00D464F8"/>
    <w:rsid w:val="00D46627"/>
    <w:rsid w:val="00D4669A"/>
    <w:rsid w:val="00D467A2"/>
    <w:rsid w:val="00D46B9F"/>
    <w:rsid w:val="00D46F3F"/>
    <w:rsid w:val="00D46F61"/>
    <w:rsid w:val="00D47105"/>
    <w:rsid w:val="00D475C0"/>
    <w:rsid w:val="00D477DF"/>
    <w:rsid w:val="00D47CCB"/>
    <w:rsid w:val="00D50169"/>
    <w:rsid w:val="00D50210"/>
    <w:rsid w:val="00D504AB"/>
    <w:rsid w:val="00D5090B"/>
    <w:rsid w:val="00D5104D"/>
    <w:rsid w:val="00D51251"/>
    <w:rsid w:val="00D5134D"/>
    <w:rsid w:val="00D51ED2"/>
    <w:rsid w:val="00D52842"/>
    <w:rsid w:val="00D52D7B"/>
    <w:rsid w:val="00D52ED4"/>
    <w:rsid w:val="00D535D7"/>
    <w:rsid w:val="00D539BA"/>
    <w:rsid w:val="00D545DE"/>
    <w:rsid w:val="00D545F0"/>
    <w:rsid w:val="00D546F0"/>
    <w:rsid w:val="00D54774"/>
    <w:rsid w:val="00D54E08"/>
    <w:rsid w:val="00D55189"/>
    <w:rsid w:val="00D55393"/>
    <w:rsid w:val="00D556CE"/>
    <w:rsid w:val="00D55706"/>
    <w:rsid w:val="00D55B51"/>
    <w:rsid w:val="00D55C1F"/>
    <w:rsid w:val="00D55DBD"/>
    <w:rsid w:val="00D56134"/>
    <w:rsid w:val="00D56143"/>
    <w:rsid w:val="00D562A7"/>
    <w:rsid w:val="00D5653F"/>
    <w:rsid w:val="00D5655F"/>
    <w:rsid w:val="00D56796"/>
    <w:rsid w:val="00D56830"/>
    <w:rsid w:val="00D56988"/>
    <w:rsid w:val="00D56BAD"/>
    <w:rsid w:val="00D56D11"/>
    <w:rsid w:val="00D56E09"/>
    <w:rsid w:val="00D56E5F"/>
    <w:rsid w:val="00D57165"/>
    <w:rsid w:val="00D5719D"/>
    <w:rsid w:val="00D57622"/>
    <w:rsid w:val="00D576F2"/>
    <w:rsid w:val="00D57746"/>
    <w:rsid w:val="00D578A3"/>
    <w:rsid w:val="00D57C35"/>
    <w:rsid w:val="00D57C54"/>
    <w:rsid w:val="00D57CD2"/>
    <w:rsid w:val="00D601E9"/>
    <w:rsid w:val="00D60383"/>
    <w:rsid w:val="00D608FC"/>
    <w:rsid w:val="00D61166"/>
    <w:rsid w:val="00D612FA"/>
    <w:rsid w:val="00D61B1C"/>
    <w:rsid w:val="00D62162"/>
    <w:rsid w:val="00D6241B"/>
    <w:rsid w:val="00D62A13"/>
    <w:rsid w:val="00D62BDC"/>
    <w:rsid w:val="00D62C86"/>
    <w:rsid w:val="00D62E3C"/>
    <w:rsid w:val="00D62FCB"/>
    <w:rsid w:val="00D62FEF"/>
    <w:rsid w:val="00D6324B"/>
    <w:rsid w:val="00D632CF"/>
    <w:rsid w:val="00D63627"/>
    <w:rsid w:val="00D64096"/>
    <w:rsid w:val="00D641FA"/>
    <w:rsid w:val="00D64343"/>
    <w:rsid w:val="00D643A1"/>
    <w:rsid w:val="00D643DA"/>
    <w:rsid w:val="00D644B3"/>
    <w:rsid w:val="00D644F5"/>
    <w:rsid w:val="00D64616"/>
    <w:rsid w:val="00D646DA"/>
    <w:rsid w:val="00D64920"/>
    <w:rsid w:val="00D64A4F"/>
    <w:rsid w:val="00D64B7D"/>
    <w:rsid w:val="00D64E04"/>
    <w:rsid w:val="00D65211"/>
    <w:rsid w:val="00D6546E"/>
    <w:rsid w:val="00D65567"/>
    <w:rsid w:val="00D65664"/>
    <w:rsid w:val="00D65D05"/>
    <w:rsid w:val="00D65E5F"/>
    <w:rsid w:val="00D65F5D"/>
    <w:rsid w:val="00D660A0"/>
    <w:rsid w:val="00D663E7"/>
    <w:rsid w:val="00D66594"/>
    <w:rsid w:val="00D6686C"/>
    <w:rsid w:val="00D6689A"/>
    <w:rsid w:val="00D66903"/>
    <w:rsid w:val="00D66C78"/>
    <w:rsid w:val="00D66D89"/>
    <w:rsid w:val="00D66E58"/>
    <w:rsid w:val="00D671A0"/>
    <w:rsid w:val="00D67252"/>
    <w:rsid w:val="00D67708"/>
    <w:rsid w:val="00D67844"/>
    <w:rsid w:val="00D678C2"/>
    <w:rsid w:val="00D67BB7"/>
    <w:rsid w:val="00D67D31"/>
    <w:rsid w:val="00D704DA"/>
    <w:rsid w:val="00D70AD9"/>
    <w:rsid w:val="00D71240"/>
    <w:rsid w:val="00D71940"/>
    <w:rsid w:val="00D719EC"/>
    <w:rsid w:val="00D71A1A"/>
    <w:rsid w:val="00D724AF"/>
    <w:rsid w:val="00D726CF"/>
    <w:rsid w:val="00D72C56"/>
    <w:rsid w:val="00D73846"/>
    <w:rsid w:val="00D73B51"/>
    <w:rsid w:val="00D74186"/>
    <w:rsid w:val="00D748EB"/>
    <w:rsid w:val="00D74B1A"/>
    <w:rsid w:val="00D74C39"/>
    <w:rsid w:val="00D74C42"/>
    <w:rsid w:val="00D74D4C"/>
    <w:rsid w:val="00D7556F"/>
    <w:rsid w:val="00D75837"/>
    <w:rsid w:val="00D7586D"/>
    <w:rsid w:val="00D75B1F"/>
    <w:rsid w:val="00D765F0"/>
    <w:rsid w:val="00D76761"/>
    <w:rsid w:val="00D76994"/>
    <w:rsid w:val="00D76A3E"/>
    <w:rsid w:val="00D76AA1"/>
    <w:rsid w:val="00D76DC2"/>
    <w:rsid w:val="00D76DFE"/>
    <w:rsid w:val="00D76ED2"/>
    <w:rsid w:val="00D76ED5"/>
    <w:rsid w:val="00D773DB"/>
    <w:rsid w:val="00D777C0"/>
    <w:rsid w:val="00D77AF6"/>
    <w:rsid w:val="00D77C5C"/>
    <w:rsid w:val="00D80402"/>
    <w:rsid w:val="00D804C5"/>
    <w:rsid w:val="00D80642"/>
    <w:rsid w:val="00D80969"/>
    <w:rsid w:val="00D80D0D"/>
    <w:rsid w:val="00D811DF"/>
    <w:rsid w:val="00D81437"/>
    <w:rsid w:val="00D815BE"/>
    <w:rsid w:val="00D81722"/>
    <w:rsid w:val="00D817C2"/>
    <w:rsid w:val="00D81ED3"/>
    <w:rsid w:val="00D82CE5"/>
    <w:rsid w:val="00D83481"/>
    <w:rsid w:val="00D836DE"/>
    <w:rsid w:val="00D83711"/>
    <w:rsid w:val="00D83A02"/>
    <w:rsid w:val="00D83A44"/>
    <w:rsid w:val="00D83BA9"/>
    <w:rsid w:val="00D83D08"/>
    <w:rsid w:val="00D8408D"/>
    <w:rsid w:val="00D842DB"/>
    <w:rsid w:val="00D842EC"/>
    <w:rsid w:val="00D845C0"/>
    <w:rsid w:val="00D84701"/>
    <w:rsid w:val="00D848A7"/>
    <w:rsid w:val="00D84964"/>
    <w:rsid w:val="00D849EE"/>
    <w:rsid w:val="00D85030"/>
    <w:rsid w:val="00D85091"/>
    <w:rsid w:val="00D851CB"/>
    <w:rsid w:val="00D85569"/>
    <w:rsid w:val="00D8561A"/>
    <w:rsid w:val="00D8561F"/>
    <w:rsid w:val="00D85A5D"/>
    <w:rsid w:val="00D85B13"/>
    <w:rsid w:val="00D85B64"/>
    <w:rsid w:val="00D85BD9"/>
    <w:rsid w:val="00D85C7F"/>
    <w:rsid w:val="00D86043"/>
    <w:rsid w:val="00D8614D"/>
    <w:rsid w:val="00D863FD"/>
    <w:rsid w:val="00D86467"/>
    <w:rsid w:val="00D86478"/>
    <w:rsid w:val="00D8662F"/>
    <w:rsid w:val="00D86B2E"/>
    <w:rsid w:val="00D86C8B"/>
    <w:rsid w:val="00D86E48"/>
    <w:rsid w:val="00D874E9"/>
    <w:rsid w:val="00D8752C"/>
    <w:rsid w:val="00D87851"/>
    <w:rsid w:val="00D87B32"/>
    <w:rsid w:val="00D901E5"/>
    <w:rsid w:val="00D902B5"/>
    <w:rsid w:val="00D903DC"/>
    <w:rsid w:val="00D9075E"/>
    <w:rsid w:val="00D9086C"/>
    <w:rsid w:val="00D908C0"/>
    <w:rsid w:val="00D90EEC"/>
    <w:rsid w:val="00D91047"/>
    <w:rsid w:val="00D91048"/>
    <w:rsid w:val="00D9126C"/>
    <w:rsid w:val="00D91406"/>
    <w:rsid w:val="00D917CD"/>
    <w:rsid w:val="00D91938"/>
    <w:rsid w:val="00D9193A"/>
    <w:rsid w:val="00D91C80"/>
    <w:rsid w:val="00D91ED3"/>
    <w:rsid w:val="00D922B8"/>
    <w:rsid w:val="00D9245A"/>
    <w:rsid w:val="00D92493"/>
    <w:rsid w:val="00D925EE"/>
    <w:rsid w:val="00D92A60"/>
    <w:rsid w:val="00D92A79"/>
    <w:rsid w:val="00D92D76"/>
    <w:rsid w:val="00D92E38"/>
    <w:rsid w:val="00D92E3A"/>
    <w:rsid w:val="00D92FF4"/>
    <w:rsid w:val="00D92FF9"/>
    <w:rsid w:val="00D936A2"/>
    <w:rsid w:val="00D93D42"/>
    <w:rsid w:val="00D940A7"/>
    <w:rsid w:val="00D9417C"/>
    <w:rsid w:val="00D94350"/>
    <w:rsid w:val="00D94547"/>
    <w:rsid w:val="00D9487F"/>
    <w:rsid w:val="00D94A2D"/>
    <w:rsid w:val="00D94ACF"/>
    <w:rsid w:val="00D94B6C"/>
    <w:rsid w:val="00D94B94"/>
    <w:rsid w:val="00D94CFC"/>
    <w:rsid w:val="00D950DA"/>
    <w:rsid w:val="00D9518F"/>
    <w:rsid w:val="00D95286"/>
    <w:rsid w:val="00D9579C"/>
    <w:rsid w:val="00D957C6"/>
    <w:rsid w:val="00D95997"/>
    <w:rsid w:val="00D961C8"/>
    <w:rsid w:val="00D9672C"/>
    <w:rsid w:val="00D96A95"/>
    <w:rsid w:val="00D96BAF"/>
    <w:rsid w:val="00D9793D"/>
    <w:rsid w:val="00D979A6"/>
    <w:rsid w:val="00D97A58"/>
    <w:rsid w:val="00D97FBD"/>
    <w:rsid w:val="00DA0035"/>
    <w:rsid w:val="00DA0351"/>
    <w:rsid w:val="00DA0484"/>
    <w:rsid w:val="00DA06B8"/>
    <w:rsid w:val="00DA06C9"/>
    <w:rsid w:val="00DA0756"/>
    <w:rsid w:val="00DA0E47"/>
    <w:rsid w:val="00DA0EFB"/>
    <w:rsid w:val="00DA13EA"/>
    <w:rsid w:val="00DA1CA1"/>
    <w:rsid w:val="00DA1F94"/>
    <w:rsid w:val="00DA236F"/>
    <w:rsid w:val="00DA23AD"/>
    <w:rsid w:val="00DA2482"/>
    <w:rsid w:val="00DA2750"/>
    <w:rsid w:val="00DA2B1A"/>
    <w:rsid w:val="00DA2C38"/>
    <w:rsid w:val="00DA2CE4"/>
    <w:rsid w:val="00DA2E36"/>
    <w:rsid w:val="00DA2F0D"/>
    <w:rsid w:val="00DA38D4"/>
    <w:rsid w:val="00DA3E02"/>
    <w:rsid w:val="00DA416F"/>
    <w:rsid w:val="00DA42FC"/>
    <w:rsid w:val="00DA430B"/>
    <w:rsid w:val="00DA4416"/>
    <w:rsid w:val="00DA4ACA"/>
    <w:rsid w:val="00DA4F3B"/>
    <w:rsid w:val="00DA53B9"/>
    <w:rsid w:val="00DA5473"/>
    <w:rsid w:val="00DA562D"/>
    <w:rsid w:val="00DA5A13"/>
    <w:rsid w:val="00DA5F5A"/>
    <w:rsid w:val="00DA6257"/>
    <w:rsid w:val="00DA65EF"/>
    <w:rsid w:val="00DA681A"/>
    <w:rsid w:val="00DA6C48"/>
    <w:rsid w:val="00DA6D0A"/>
    <w:rsid w:val="00DA6FC3"/>
    <w:rsid w:val="00DA7005"/>
    <w:rsid w:val="00DA748B"/>
    <w:rsid w:val="00DA7669"/>
    <w:rsid w:val="00DA7696"/>
    <w:rsid w:val="00DA79A6"/>
    <w:rsid w:val="00DA7BEC"/>
    <w:rsid w:val="00DA7C87"/>
    <w:rsid w:val="00DA7D8E"/>
    <w:rsid w:val="00DB0334"/>
    <w:rsid w:val="00DB052B"/>
    <w:rsid w:val="00DB071F"/>
    <w:rsid w:val="00DB09B0"/>
    <w:rsid w:val="00DB14F3"/>
    <w:rsid w:val="00DB1A84"/>
    <w:rsid w:val="00DB1E03"/>
    <w:rsid w:val="00DB20A4"/>
    <w:rsid w:val="00DB2298"/>
    <w:rsid w:val="00DB23AD"/>
    <w:rsid w:val="00DB27D2"/>
    <w:rsid w:val="00DB3005"/>
    <w:rsid w:val="00DB3D06"/>
    <w:rsid w:val="00DB3DBB"/>
    <w:rsid w:val="00DB3FCC"/>
    <w:rsid w:val="00DB400D"/>
    <w:rsid w:val="00DB42AA"/>
    <w:rsid w:val="00DB42AD"/>
    <w:rsid w:val="00DB460C"/>
    <w:rsid w:val="00DB4629"/>
    <w:rsid w:val="00DB4803"/>
    <w:rsid w:val="00DB49F7"/>
    <w:rsid w:val="00DB4FB3"/>
    <w:rsid w:val="00DB5141"/>
    <w:rsid w:val="00DB51BC"/>
    <w:rsid w:val="00DB5271"/>
    <w:rsid w:val="00DB5309"/>
    <w:rsid w:val="00DB56A4"/>
    <w:rsid w:val="00DB58CF"/>
    <w:rsid w:val="00DB5AA0"/>
    <w:rsid w:val="00DB5DBD"/>
    <w:rsid w:val="00DB5E4E"/>
    <w:rsid w:val="00DB5F98"/>
    <w:rsid w:val="00DB5FE6"/>
    <w:rsid w:val="00DB606F"/>
    <w:rsid w:val="00DB6071"/>
    <w:rsid w:val="00DB63DB"/>
    <w:rsid w:val="00DB6430"/>
    <w:rsid w:val="00DB6896"/>
    <w:rsid w:val="00DB6CB2"/>
    <w:rsid w:val="00DB6DB0"/>
    <w:rsid w:val="00DB71E7"/>
    <w:rsid w:val="00DB793B"/>
    <w:rsid w:val="00DC0057"/>
    <w:rsid w:val="00DC04DC"/>
    <w:rsid w:val="00DC054F"/>
    <w:rsid w:val="00DC0E27"/>
    <w:rsid w:val="00DC0E6F"/>
    <w:rsid w:val="00DC0EFE"/>
    <w:rsid w:val="00DC152B"/>
    <w:rsid w:val="00DC17F3"/>
    <w:rsid w:val="00DC1DA7"/>
    <w:rsid w:val="00DC1F14"/>
    <w:rsid w:val="00DC2099"/>
    <w:rsid w:val="00DC2340"/>
    <w:rsid w:val="00DC25A1"/>
    <w:rsid w:val="00DC2884"/>
    <w:rsid w:val="00DC292E"/>
    <w:rsid w:val="00DC2B25"/>
    <w:rsid w:val="00DC2B94"/>
    <w:rsid w:val="00DC3008"/>
    <w:rsid w:val="00DC3099"/>
    <w:rsid w:val="00DC3109"/>
    <w:rsid w:val="00DC3964"/>
    <w:rsid w:val="00DC3AC9"/>
    <w:rsid w:val="00DC3CA7"/>
    <w:rsid w:val="00DC3EE8"/>
    <w:rsid w:val="00DC46D1"/>
    <w:rsid w:val="00DC47DE"/>
    <w:rsid w:val="00DC49EC"/>
    <w:rsid w:val="00DC521B"/>
    <w:rsid w:val="00DC568C"/>
    <w:rsid w:val="00DC594E"/>
    <w:rsid w:val="00DC59CC"/>
    <w:rsid w:val="00DC5BAE"/>
    <w:rsid w:val="00DC5E23"/>
    <w:rsid w:val="00DC6071"/>
    <w:rsid w:val="00DC6356"/>
    <w:rsid w:val="00DC66BD"/>
    <w:rsid w:val="00DC6786"/>
    <w:rsid w:val="00DC69F4"/>
    <w:rsid w:val="00DC6E74"/>
    <w:rsid w:val="00DC75F7"/>
    <w:rsid w:val="00DC75F9"/>
    <w:rsid w:val="00DC78B9"/>
    <w:rsid w:val="00DC7902"/>
    <w:rsid w:val="00DC7966"/>
    <w:rsid w:val="00DC7E8A"/>
    <w:rsid w:val="00DC7ED4"/>
    <w:rsid w:val="00DC7FB1"/>
    <w:rsid w:val="00DD0151"/>
    <w:rsid w:val="00DD03C4"/>
    <w:rsid w:val="00DD047E"/>
    <w:rsid w:val="00DD04A6"/>
    <w:rsid w:val="00DD04D0"/>
    <w:rsid w:val="00DD0536"/>
    <w:rsid w:val="00DD08A1"/>
    <w:rsid w:val="00DD08C6"/>
    <w:rsid w:val="00DD08C9"/>
    <w:rsid w:val="00DD0942"/>
    <w:rsid w:val="00DD0A48"/>
    <w:rsid w:val="00DD0EA7"/>
    <w:rsid w:val="00DD10B1"/>
    <w:rsid w:val="00DD182D"/>
    <w:rsid w:val="00DD18CA"/>
    <w:rsid w:val="00DD1B00"/>
    <w:rsid w:val="00DD1B33"/>
    <w:rsid w:val="00DD1B95"/>
    <w:rsid w:val="00DD1D4A"/>
    <w:rsid w:val="00DD20A1"/>
    <w:rsid w:val="00DD21D8"/>
    <w:rsid w:val="00DD22BA"/>
    <w:rsid w:val="00DD256F"/>
    <w:rsid w:val="00DD28BC"/>
    <w:rsid w:val="00DD2AE2"/>
    <w:rsid w:val="00DD2C33"/>
    <w:rsid w:val="00DD2EAC"/>
    <w:rsid w:val="00DD2FEE"/>
    <w:rsid w:val="00DD31C8"/>
    <w:rsid w:val="00DD3296"/>
    <w:rsid w:val="00DD35AC"/>
    <w:rsid w:val="00DD35F1"/>
    <w:rsid w:val="00DD36CD"/>
    <w:rsid w:val="00DD37EE"/>
    <w:rsid w:val="00DD3888"/>
    <w:rsid w:val="00DD39C5"/>
    <w:rsid w:val="00DD3B1D"/>
    <w:rsid w:val="00DD3B9B"/>
    <w:rsid w:val="00DD3BB9"/>
    <w:rsid w:val="00DD3F55"/>
    <w:rsid w:val="00DD4500"/>
    <w:rsid w:val="00DD4AE4"/>
    <w:rsid w:val="00DD4BFD"/>
    <w:rsid w:val="00DD4C04"/>
    <w:rsid w:val="00DD4DD0"/>
    <w:rsid w:val="00DD4DE1"/>
    <w:rsid w:val="00DD4EAE"/>
    <w:rsid w:val="00DD53C6"/>
    <w:rsid w:val="00DD594A"/>
    <w:rsid w:val="00DD5E6F"/>
    <w:rsid w:val="00DD5E8B"/>
    <w:rsid w:val="00DD674E"/>
    <w:rsid w:val="00DD6EAF"/>
    <w:rsid w:val="00DD788A"/>
    <w:rsid w:val="00DD7CAE"/>
    <w:rsid w:val="00DD7D8F"/>
    <w:rsid w:val="00DD7E89"/>
    <w:rsid w:val="00DE02DC"/>
    <w:rsid w:val="00DE058A"/>
    <w:rsid w:val="00DE0702"/>
    <w:rsid w:val="00DE08E1"/>
    <w:rsid w:val="00DE09F5"/>
    <w:rsid w:val="00DE0DB6"/>
    <w:rsid w:val="00DE0F50"/>
    <w:rsid w:val="00DE133E"/>
    <w:rsid w:val="00DE1435"/>
    <w:rsid w:val="00DE180F"/>
    <w:rsid w:val="00DE1814"/>
    <w:rsid w:val="00DE18AE"/>
    <w:rsid w:val="00DE195A"/>
    <w:rsid w:val="00DE2067"/>
    <w:rsid w:val="00DE2111"/>
    <w:rsid w:val="00DE2170"/>
    <w:rsid w:val="00DE2173"/>
    <w:rsid w:val="00DE2369"/>
    <w:rsid w:val="00DE237A"/>
    <w:rsid w:val="00DE2865"/>
    <w:rsid w:val="00DE291C"/>
    <w:rsid w:val="00DE2948"/>
    <w:rsid w:val="00DE2995"/>
    <w:rsid w:val="00DE29E6"/>
    <w:rsid w:val="00DE2C2C"/>
    <w:rsid w:val="00DE2ECF"/>
    <w:rsid w:val="00DE2FE1"/>
    <w:rsid w:val="00DE301D"/>
    <w:rsid w:val="00DE3244"/>
    <w:rsid w:val="00DE335E"/>
    <w:rsid w:val="00DE33E0"/>
    <w:rsid w:val="00DE34D4"/>
    <w:rsid w:val="00DE3594"/>
    <w:rsid w:val="00DE3ADD"/>
    <w:rsid w:val="00DE3C6D"/>
    <w:rsid w:val="00DE46AF"/>
    <w:rsid w:val="00DE491E"/>
    <w:rsid w:val="00DE498A"/>
    <w:rsid w:val="00DE4A58"/>
    <w:rsid w:val="00DE4B67"/>
    <w:rsid w:val="00DE4E4F"/>
    <w:rsid w:val="00DE53A4"/>
    <w:rsid w:val="00DE5668"/>
    <w:rsid w:val="00DE57BE"/>
    <w:rsid w:val="00DE590F"/>
    <w:rsid w:val="00DE5A7B"/>
    <w:rsid w:val="00DE5B64"/>
    <w:rsid w:val="00DE5C16"/>
    <w:rsid w:val="00DE5EAC"/>
    <w:rsid w:val="00DE5F30"/>
    <w:rsid w:val="00DE626B"/>
    <w:rsid w:val="00DE62CC"/>
    <w:rsid w:val="00DE66E4"/>
    <w:rsid w:val="00DE67C0"/>
    <w:rsid w:val="00DE68D9"/>
    <w:rsid w:val="00DE6953"/>
    <w:rsid w:val="00DE6B0E"/>
    <w:rsid w:val="00DE72AE"/>
    <w:rsid w:val="00DE74D9"/>
    <w:rsid w:val="00DE7604"/>
    <w:rsid w:val="00DE7792"/>
    <w:rsid w:val="00DE7D2B"/>
    <w:rsid w:val="00DE7E2D"/>
    <w:rsid w:val="00DF03D3"/>
    <w:rsid w:val="00DF06D8"/>
    <w:rsid w:val="00DF09D3"/>
    <w:rsid w:val="00DF0B37"/>
    <w:rsid w:val="00DF0D13"/>
    <w:rsid w:val="00DF0E8A"/>
    <w:rsid w:val="00DF1079"/>
    <w:rsid w:val="00DF121A"/>
    <w:rsid w:val="00DF122E"/>
    <w:rsid w:val="00DF125F"/>
    <w:rsid w:val="00DF144C"/>
    <w:rsid w:val="00DF1AC3"/>
    <w:rsid w:val="00DF1C8C"/>
    <w:rsid w:val="00DF1D36"/>
    <w:rsid w:val="00DF1F22"/>
    <w:rsid w:val="00DF24A9"/>
    <w:rsid w:val="00DF2A12"/>
    <w:rsid w:val="00DF2A4B"/>
    <w:rsid w:val="00DF2B7E"/>
    <w:rsid w:val="00DF2F11"/>
    <w:rsid w:val="00DF3149"/>
    <w:rsid w:val="00DF31A8"/>
    <w:rsid w:val="00DF3215"/>
    <w:rsid w:val="00DF3259"/>
    <w:rsid w:val="00DF3788"/>
    <w:rsid w:val="00DF382C"/>
    <w:rsid w:val="00DF3973"/>
    <w:rsid w:val="00DF39BD"/>
    <w:rsid w:val="00DF3C57"/>
    <w:rsid w:val="00DF3C72"/>
    <w:rsid w:val="00DF4333"/>
    <w:rsid w:val="00DF4452"/>
    <w:rsid w:val="00DF4A9C"/>
    <w:rsid w:val="00DF4EB7"/>
    <w:rsid w:val="00DF50AA"/>
    <w:rsid w:val="00DF5179"/>
    <w:rsid w:val="00DF5365"/>
    <w:rsid w:val="00DF54B0"/>
    <w:rsid w:val="00DF5B66"/>
    <w:rsid w:val="00DF5BD2"/>
    <w:rsid w:val="00DF5E86"/>
    <w:rsid w:val="00DF623D"/>
    <w:rsid w:val="00DF635F"/>
    <w:rsid w:val="00DF6603"/>
    <w:rsid w:val="00DF67B7"/>
    <w:rsid w:val="00DF6828"/>
    <w:rsid w:val="00DF6864"/>
    <w:rsid w:val="00DF6A9A"/>
    <w:rsid w:val="00DF6B6C"/>
    <w:rsid w:val="00DF6FCC"/>
    <w:rsid w:val="00DF701E"/>
    <w:rsid w:val="00DF70DE"/>
    <w:rsid w:val="00DF711E"/>
    <w:rsid w:val="00DF761A"/>
    <w:rsid w:val="00DF7BBD"/>
    <w:rsid w:val="00DF7D08"/>
    <w:rsid w:val="00DF7EAA"/>
    <w:rsid w:val="00E0051E"/>
    <w:rsid w:val="00E007A5"/>
    <w:rsid w:val="00E008CA"/>
    <w:rsid w:val="00E00A6A"/>
    <w:rsid w:val="00E00BD0"/>
    <w:rsid w:val="00E01078"/>
    <w:rsid w:val="00E010C2"/>
    <w:rsid w:val="00E01154"/>
    <w:rsid w:val="00E01702"/>
    <w:rsid w:val="00E017DC"/>
    <w:rsid w:val="00E0189F"/>
    <w:rsid w:val="00E01FC8"/>
    <w:rsid w:val="00E0235E"/>
    <w:rsid w:val="00E02371"/>
    <w:rsid w:val="00E028C4"/>
    <w:rsid w:val="00E02C16"/>
    <w:rsid w:val="00E02DE7"/>
    <w:rsid w:val="00E03133"/>
    <w:rsid w:val="00E033A7"/>
    <w:rsid w:val="00E03608"/>
    <w:rsid w:val="00E03A49"/>
    <w:rsid w:val="00E03ADB"/>
    <w:rsid w:val="00E03B15"/>
    <w:rsid w:val="00E03BE9"/>
    <w:rsid w:val="00E03E05"/>
    <w:rsid w:val="00E03F29"/>
    <w:rsid w:val="00E04133"/>
    <w:rsid w:val="00E0413F"/>
    <w:rsid w:val="00E04146"/>
    <w:rsid w:val="00E046BC"/>
    <w:rsid w:val="00E04711"/>
    <w:rsid w:val="00E04C2C"/>
    <w:rsid w:val="00E04EC1"/>
    <w:rsid w:val="00E053DC"/>
    <w:rsid w:val="00E05729"/>
    <w:rsid w:val="00E06852"/>
    <w:rsid w:val="00E06B20"/>
    <w:rsid w:val="00E06E91"/>
    <w:rsid w:val="00E06EC8"/>
    <w:rsid w:val="00E076A6"/>
    <w:rsid w:val="00E076FF"/>
    <w:rsid w:val="00E07D82"/>
    <w:rsid w:val="00E10740"/>
    <w:rsid w:val="00E10DA2"/>
    <w:rsid w:val="00E10F58"/>
    <w:rsid w:val="00E10FD1"/>
    <w:rsid w:val="00E11094"/>
    <w:rsid w:val="00E115ED"/>
    <w:rsid w:val="00E11827"/>
    <w:rsid w:val="00E11A36"/>
    <w:rsid w:val="00E12B8A"/>
    <w:rsid w:val="00E12BDE"/>
    <w:rsid w:val="00E13232"/>
    <w:rsid w:val="00E13A80"/>
    <w:rsid w:val="00E13BB2"/>
    <w:rsid w:val="00E13E19"/>
    <w:rsid w:val="00E13EA2"/>
    <w:rsid w:val="00E1426C"/>
    <w:rsid w:val="00E145AB"/>
    <w:rsid w:val="00E1481F"/>
    <w:rsid w:val="00E148A1"/>
    <w:rsid w:val="00E14B05"/>
    <w:rsid w:val="00E14B3A"/>
    <w:rsid w:val="00E1595B"/>
    <w:rsid w:val="00E15AD4"/>
    <w:rsid w:val="00E15DD2"/>
    <w:rsid w:val="00E1633F"/>
    <w:rsid w:val="00E16479"/>
    <w:rsid w:val="00E16B46"/>
    <w:rsid w:val="00E16E9C"/>
    <w:rsid w:val="00E17A6F"/>
    <w:rsid w:val="00E17A86"/>
    <w:rsid w:val="00E17BCB"/>
    <w:rsid w:val="00E200A2"/>
    <w:rsid w:val="00E200AC"/>
    <w:rsid w:val="00E200C0"/>
    <w:rsid w:val="00E20333"/>
    <w:rsid w:val="00E2050E"/>
    <w:rsid w:val="00E2069E"/>
    <w:rsid w:val="00E207FF"/>
    <w:rsid w:val="00E209A6"/>
    <w:rsid w:val="00E21364"/>
    <w:rsid w:val="00E215D7"/>
    <w:rsid w:val="00E21671"/>
    <w:rsid w:val="00E21892"/>
    <w:rsid w:val="00E21944"/>
    <w:rsid w:val="00E219BB"/>
    <w:rsid w:val="00E21A78"/>
    <w:rsid w:val="00E21EB8"/>
    <w:rsid w:val="00E22451"/>
    <w:rsid w:val="00E226B3"/>
    <w:rsid w:val="00E2281F"/>
    <w:rsid w:val="00E22954"/>
    <w:rsid w:val="00E22E87"/>
    <w:rsid w:val="00E23358"/>
    <w:rsid w:val="00E23712"/>
    <w:rsid w:val="00E23804"/>
    <w:rsid w:val="00E2394E"/>
    <w:rsid w:val="00E23DC0"/>
    <w:rsid w:val="00E242FA"/>
    <w:rsid w:val="00E2450F"/>
    <w:rsid w:val="00E2464E"/>
    <w:rsid w:val="00E2480E"/>
    <w:rsid w:val="00E24B53"/>
    <w:rsid w:val="00E24CBB"/>
    <w:rsid w:val="00E250D5"/>
    <w:rsid w:val="00E254FA"/>
    <w:rsid w:val="00E25839"/>
    <w:rsid w:val="00E259E4"/>
    <w:rsid w:val="00E25B24"/>
    <w:rsid w:val="00E25CF6"/>
    <w:rsid w:val="00E25D7C"/>
    <w:rsid w:val="00E2626A"/>
    <w:rsid w:val="00E2656D"/>
    <w:rsid w:val="00E26948"/>
    <w:rsid w:val="00E26DD2"/>
    <w:rsid w:val="00E2717A"/>
    <w:rsid w:val="00E272B8"/>
    <w:rsid w:val="00E274CB"/>
    <w:rsid w:val="00E2759A"/>
    <w:rsid w:val="00E275E1"/>
    <w:rsid w:val="00E278FF"/>
    <w:rsid w:val="00E2792C"/>
    <w:rsid w:val="00E279A8"/>
    <w:rsid w:val="00E27B51"/>
    <w:rsid w:val="00E27B7C"/>
    <w:rsid w:val="00E27F87"/>
    <w:rsid w:val="00E300D6"/>
    <w:rsid w:val="00E3028D"/>
    <w:rsid w:val="00E30683"/>
    <w:rsid w:val="00E3078C"/>
    <w:rsid w:val="00E311C6"/>
    <w:rsid w:val="00E31277"/>
    <w:rsid w:val="00E31438"/>
    <w:rsid w:val="00E314CD"/>
    <w:rsid w:val="00E31F7B"/>
    <w:rsid w:val="00E31FA2"/>
    <w:rsid w:val="00E31FC4"/>
    <w:rsid w:val="00E32356"/>
    <w:rsid w:val="00E32A36"/>
    <w:rsid w:val="00E3359E"/>
    <w:rsid w:val="00E3372B"/>
    <w:rsid w:val="00E339F8"/>
    <w:rsid w:val="00E339FC"/>
    <w:rsid w:val="00E33BEF"/>
    <w:rsid w:val="00E33D16"/>
    <w:rsid w:val="00E34843"/>
    <w:rsid w:val="00E34BB4"/>
    <w:rsid w:val="00E34E24"/>
    <w:rsid w:val="00E3506C"/>
    <w:rsid w:val="00E356B7"/>
    <w:rsid w:val="00E35E1A"/>
    <w:rsid w:val="00E36129"/>
    <w:rsid w:val="00E3635E"/>
    <w:rsid w:val="00E363A8"/>
    <w:rsid w:val="00E364C1"/>
    <w:rsid w:val="00E3667D"/>
    <w:rsid w:val="00E366F5"/>
    <w:rsid w:val="00E3673D"/>
    <w:rsid w:val="00E368CC"/>
    <w:rsid w:val="00E36A91"/>
    <w:rsid w:val="00E36BDE"/>
    <w:rsid w:val="00E36C41"/>
    <w:rsid w:val="00E36E01"/>
    <w:rsid w:val="00E3765A"/>
    <w:rsid w:val="00E376BE"/>
    <w:rsid w:val="00E378BD"/>
    <w:rsid w:val="00E37EDE"/>
    <w:rsid w:val="00E405CA"/>
    <w:rsid w:val="00E406D2"/>
    <w:rsid w:val="00E40969"/>
    <w:rsid w:val="00E40F6F"/>
    <w:rsid w:val="00E41286"/>
    <w:rsid w:val="00E4153C"/>
    <w:rsid w:val="00E416F5"/>
    <w:rsid w:val="00E417F5"/>
    <w:rsid w:val="00E41A9A"/>
    <w:rsid w:val="00E41BF6"/>
    <w:rsid w:val="00E41E46"/>
    <w:rsid w:val="00E4204C"/>
    <w:rsid w:val="00E428D0"/>
    <w:rsid w:val="00E42AB6"/>
    <w:rsid w:val="00E43477"/>
    <w:rsid w:val="00E440DF"/>
    <w:rsid w:val="00E448DD"/>
    <w:rsid w:val="00E44AED"/>
    <w:rsid w:val="00E44B50"/>
    <w:rsid w:val="00E44D7E"/>
    <w:rsid w:val="00E450EB"/>
    <w:rsid w:val="00E451D1"/>
    <w:rsid w:val="00E451D5"/>
    <w:rsid w:val="00E451F7"/>
    <w:rsid w:val="00E454F1"/>
    <w:rsid w:val="00E45855"/>
    <w:rsid w:val="00E4592B"/>
    <w:rsid w:val="00E45BA6"/>
    <w:rsid w:val="00E464AB"/>
    <w:rsid w:val="00E469E8"/>
    <w:rsid w:val="00E46AFC"/>
    <w:rsid w:val="00E46C34"/>
    <w:rsid w:val="00E47053"/>
    <w:rsid w:val="00E470E7"/>
    <w:rsid w:val="00E471DC"/>
    <w:rsid w:val="00E476ED"/>
    <w:rsid w:val="00E4772E"/>
    <w:rsid w:val="00E47794"/>
    <w:rsid w:val="00E47B96"/>
    <w:rsid w:val="00E47BF3"/>
    <w:rsid w:val="00E50082"/>
    <w:rsid w:val="00E502A8"/>
    <w:rsid w:val="00E50993"/>
    <w:rsid w:val="00E5108F"/>
    <w:rsid w:val="00E515A7"/>
    <w:rsid w:val="00E51853"/>
    <w:rsid w:val="00E51CAC"/>
    <w:rsid w:val="00E5220F"/>
    <w:rsid w:val="00E52460"/>
    <w:rsid w:val="00E52BA3"/>
    <w:rsid w:val="00E52D4D"/>
    <w:rsid w:val="00E52F0D"/>
    <w:rsid w:val="00E5368E"/>
    <w:rsid w:val="00E5376D"/>
    <w:rsid w:val="00E53921"/>
    <w:rsid w:val="00E53A86"/>
    <w:rsid w:val="00E5436E"/>
    <w:rsid w:val="00E54588"/>
    <w:rsid w:val="00E5470F"/>
    <w:rsid w:val="00E54E78"/>
    <w:rsid w:val="00E55095"/>
    <w:rsid w:val="00E55147"/>
    <w:rsid w:val="00E556F3"/>
    <w:rsid w:val="00E55850"/>
    <w:rsid w:val="00E55D93"/>
    <w:rsid w:val="00E55EAD"/>
    <w:rsid w:val="00E55F87"/>
    <w:rsid w:val="00E56333"/>
    <w:rsid w:val="00E565C2"/>
    <w:rsid w:val="00E56655"/>
    <w:rsid w:val="00E56766"/>
    <w:rsid w:val="00E56A20"/>
    <w:rsid w:val="00E56BC4"/>
    <w:rsid w:val="00E5721F"/>
    <w:rsid w:val="00E57ABD"/>
    <w:rsid w:val="00E57BF6"/>
    <w:rsid w:val="00E57E75"/>
    <w:rsid w:val="00E57F72"/>
    <w:rsid w:val="00E57F78"/>
    <w:rsid w:val="00E60694"/>
    <w:rsid w:val="00E607C4"/>
    <w:rsid w:val="00E60FA8"/>
    <w:rsid w:val="00E61131"/>
    <w:rsid w:val="00E6128A"/>
    <w:rsid w:val="00E61330"/>
    <w:rsid w:val="00E61426"/>
    <w:rsid w:val="00E616F3"/>
    <w:rsid w:val="00E61A3B"/>
    <w:rsid w:val="00E61CC3"/>
    <w:rsid w:val="00E620C4"/>
    <w:rsid w:val="00E62B3B"/>
    <w:rsid w:val="00E62DD3"/>
    <w:rsid w:val="00E631F3"/>
    <w:rsid w:val="00E6341C"/>
    <w:rsid w:val="00E634AE"/>
    <w:rsid w:val="00E63567"/>
    <w:rsid w:val="00E636D8"/>
    <w:rsid w:val="00E63722"/>
    <w:rsid w:val="00E63C5B"/>
    <w:rsid w:val="00E641EB"/>
    <w:rsid w:val="00E645C4"/>
    <w:rsid w:val="00E64638"/>
    <w:rsid w:val="00E646B2"/>
    <w:rsid w:val="00E648CD"/>
    <w:rsid w:val="00E64913"/>
    <w:rsid w:val="00E64B30"/>
    <w:rsid w:val="00E64F64"/>
    <w:rsid w:val="00E655C8"/>
    <w:rsid w:val="00E65CFC"/>
    <w:rsid w:val="00E65E38"/>
    <w:rsid w:val="00E65E85"/>
    <w:rsid w:val="00E65F1D"/>
    <w:rsid w:val="00E66FF8"/>
    <w:rsid w:val="00E672B1"/>
    <w:rsid w:val="00E672E2"/>
    <w:rsid w:val="00E67396"/>
    <w:rsid w:val="00E67859"/>
    <w:rsid w:val="00E67861"/>
    <w:rsid w:val="00E67935"/>
    <w:rsid w:val="00E67A22"/>
    <w:rsid w:val="00E67A8D"/>
    <w:rsid w:val="00E67AA9"/>
    <w:rsid w:val="00E67B83"/>
    <w:rsid w:val="00E67D27"/>
    <w:rsid w:val="00E67F0F"/>
    <w:rsid w:val="00E7023F"/>
    <w:rsid w:val="00E70B38"/>
    <w:rsid w:val="00E70E1B"/>
    <w:rsid w:val="00E70EC3"/>
    <w:rsid w:val="00E70EE2"/>
    <w:rsid w:val="00E71478"/>
    <w:rsid w:val="00E71B49"/>
    <w:rsid w:val="00E71C79"/>
    <w:rsid w:val="00E71E98"/>
    <w:rsid w:val="00E71F7C"/>
    <w:rsid w:val="00E72058"/>
    <w:rsid w:val="00E72449"/>
    <w:rsid w:val="00E7284B"/>
    <w:rsid w:val="00E72B16"/>
    <w:rsid w:val="00E72C74"/>
    <w:rsid w:val="00E7304E"/>
    <w:rsid w:val="00E73147"/>
    <w:rsid w:val="00E731FD"/>
    <w:rsid w:val="00E73677"/>
    <w:rsid w:val="00E738B2"/>
    <w:rsid w:val="00E73A6E"/>
    <w:rsid w:val="00E73F36"/>
    <w:rsid w:val="00E73FF4"/>
    <w:rsid w:val="00E745CE"/>
    <w:rsid w:val="00E74647"/>
    <w:rsid w:val="00E74780"/>
    <w:rsid w:val="00E7497D"/>
    <w:rsid w:val="00E74CC2"/>
    <w:rsid w:val="00E74D24"/>
    <w:rsid w:val="00E74D84"/>
    <w:rsid w:val="00E75485"/>
    <w:rsid w:val="00E75D43"/>
    <w:rsid w:val="00E76024"/>
    <w:rsid w:val="00E7621F"/>
    <w:rsid w:val="00E764BE"/>
    <w:rsid w:val="00E7652D"/>
    <w:rsid w:val="00E76569"/>
    <w:rsid w:val="00E76601"/>
    <w:rsid w:val="00E76815"/>
    <w:rsid w:val="00E7685C"/>
    <w:rsid w:val="00E76866"/>
    <w:rsid w:val="00E76F47"/>
    <w:rsid w:val="00E7733C"/>
    <w:rsid w:val="00E77368"/>
    <w:rsid w:val="00E773E8"/>
    <w:rsid w:val="00E7776C"/>
    <w:rsid w:val="00E777D0"/>
    <w:rsid w:val="00E77ADE"/>
    <w:rsid w:val="00E77B2A"/>
    <w:rsid w:val="00E77D2C"/>
    <w:rsid w:val="00E77DD1"/>
    <w:rsid w:val="00E77F27"/>
    <w:rsid w:val="00E80039"/>
    <w:rsid w:val="00E800ED"/>
    <w:rsid w:val="00E80195"/>
    <w:rsid w:val="00E803A2"/>
    <w:rsid w:val="00E804D1"/>
    <w:rsid w:val="00E808EC"/>
    <w:rsid w:val="00E809D8"/>
    <w:rsid w:val="00E80ABA"/>
    <w:rsid w:val="00E80AE1"/>
    <w:rsid w:val="00E80AE3"/>
    <w:rsid w:val="00E81214"/>
    <w:rsid w:val="00E81739"/>
    <w:rsid w:val="00E81B2C"/>
    <w:rsid w:val="00E81FDD"/>
    <w:rsid w:val="00E8205D"/>
    <w:rsid w:val="00E82245"/>
    <w:rsid w:val="00E8237B"/>
    <w:rsid w:val="00E8239F"/>
    <w:rsid w:val="00E82462"/>
    <w:rsid w:val="00E825FA"/>
    <w:rsid w:val="00E8276B"/>
    <w:rsid w:val="00E82C67"/>
    <w:rsid w:val="00E83146"/>
    <w:rsid w:val="00E83366"/>
    <w:rsid w:val="00E83685"/>
    <w:rsid w:val="00E83764"/>
    <w:rsid w:val="00E83823"/>
    <w:rsid w:val="00E8396A"/>
    <w:rsid w:val="00E83AA2"/>
    <w:rsid w:val="00E843DA"/>
    <w:rsid w:val="00E8453D"/>
    <w:rsid w:val="00E8494D"/>
    <w:rsid w:val="00E849A0"/>
    <w:rsid w:val="00E850B8"/>
    <w:rsid w:val="00E85105"/>
    <w:rsid w:val="00E85195"/>
    <w:rsid w:val="00E851D7"/>
    <w:rsid w:val="00E853B6"/>
    <w:rsid w:val="00E85522"/>
    <w:rsid w:val="00E85852"/>
    <w:rsid w:val="00E859CA"/>
    <w:rsid w:val="00E85BA9"/>
    <w:rsid w:val="00E85CBD"/>
    <w:rsid w:val="00E85D5E"/>
    <w:rsid w:val="00E861F3"/>
    <w:rsid w:val="00E86808"/>
    <w:rsid w:val="00E86836"/>
    <w:rsid w:val="00E8686E"/>
    <w:rsid w:val="00E86E8D"/>
    <w:rsid w:val="00E870E5"/>
    <w:rsid w:val="00E873C3"/>
    <w:rsid w:val="00E87628"/>
    <w:rsid w:val="00E87629"/>
    <w:rsid w:val="00E87D05"/>
    <w:rsid w:val="00E87DA1"/>
    <w:rsid w:val="00E87ECD"/>
    <w:rsid w:val="00E902E1"/>
    <w:rsid w:val="00E90409"/>
    <w:rsid w:val="00E90426"/>
    <w:rsid w:val="00E90798"/>
    <w:rsid w:val="00E90879"/>
    <w:rsid w:val="00E9165D"/>
    <w:rsid w:val="00E916D0"/>
    <w:rsid w:val="00E916D3"/>
    <w:rsid w:val="00E918B6"/>
    <w:rsid w:val="00E91A1E"/>
    <w:rsid w:val="00E91FCD"/>
    <w:rsid w:val="00E920C9"/>
    <w:rsid w:val="00E9224A"/>
    <w:rsid w:val="00E92714"/>
    <w:rsid w:val="00E927FE"/>
    <w:rsid w:val="00E92878"/>
    <w:rsid w:val="00E928BF"/>
    <w:rsid w:val="00E92B10"/>
    <w:rsid w:val="00E92E8E"/>
    <w:rsid w:val="00E92F4A"/>
    <w:rsid w:val="00E9356E"/>
    <w:rsid w:val="00E936D6"/>
    <w:rsid w:val="00E93BCD"/>
    <w:rsid w:val="00E93DA1"/>
    <w:rsid w:val="00E93FAE"/>
    <w:rsid w:val="00E9403B"/>
    <w:rsid w:val="00E940C6"/>
    <w:rsid w:val="00E941F8"/>
    <w:rsid w:val="00E94384"/>
    <w:rsid w:val="00E94422"/>
    <w:rsid w:val="00E94544"/>
    <w:rsid w:val="00E9455D"/>
    <w:rsid w:val="00E9473A"/>
    <w:rsid w:val="00E949C9"/>
    <w:rsid w:val="00E94A13"/>
    <w:rsid w:val="00E94DAC"/>
    <w:rsid w:val="00E94EDE"/>
    <w:rsid w:val="00E950EC"/>
    <w:rsid w:val="00E9574B"/>
    <w:rsid w:val="00E9579A"/>
    <w:rsid w:val="00E95AE3"/>
    <w:rsid w:val="00E95AFF"/>
    <w:rsid w:val="00E95B58"/>
    <w:rsid w:val="00E95C57"/>
    <w:rsid w:val="00E95C73"/>
    <w:rsid w:val="00E95EB9"/>
    <w:rsid w:val="00E96173"/>
    <w:rsid w:val="00E969C5"/>
    <w:rsid w:val="00E96B7D"/>
    <w:rsid w:val="00E96F24"/>
    <w:rsid w:val="00E970EE"/>
    <w:rsid w:val="00E97433"/>
    <w:rsid w:val="00E97818"/>
    <w:rsid w:val="00E97C99"/>
    <w:rsid w:val="00E97D30"/>
    <w:rsid w:val="00E97DDB"/>
    <w:rsid w:val="00EA0075"/>
    <w:rsid w:val="00EA00C5"/>
    <w:rsid w:val="00EA0190"/>
    <w:rsid w:val="00EA021F"/>
    <w:rsid w:val="00EA08D3"/>
    <w:rsid w:val="00EA090F"/>
    <w:rsid w:val="00EA0A89"/>
    <w:rsid w:val="00EA0E5D"/>
    <w:rsid w:val="00EA0F42"/>
    <w:rsid w:val="00EA123A"/>
    <w:rsid w:val="00EA1240"/>
    <w:rsid w:val="00EA12DD"/>
    <w:rsid w:val="00EA1300"/>
    <w:rsid w:val="00EA1474"/>
    <w:rsid w:val="00EA15D1"/>
    <w:rsid w:val="00EA19D5"/>
    <w:rsid w:val="00EA1A83"/>
    <w:rsid w:val="00EA1B08"/>
    <w:rsid w:val="00EA1F19"/>
    <w:rsid w:val="00EA2196"/>
    <w:rsid w:val="00EA224C"/>
    <w:rsid w:val="00EA2277"/>
    <w:rsid w:val="00EA2340"/>
    <w:rsid w:val="00EA26D1"/>
    <w:rsid w:val="00EA281E"/>
    <w:rsid w:val="00EA2909"/>
    <w:rsid w:val="00EA2989"/>
    <w:rsid w:val="00EA2A93"/>
    <w:rsid w:val="00EA2B62"/>
    <w:rsid w:val="00EA2BF1"/>
    <w:rsid w:val="00EA2CB3"/>
    <w:rsid w:val="00EA2FF9"/>
    <w:rsid w:val="00EA3155"/>
    <w:rsid w:val="00EA3390"/>
    <w:rsid w:val="00EA3847"/>
    <w:rsid w:val="00EA3C65"/>
    <w:rsid w:val="00EA3C7E"/>
    <w:rsid w:val="00EA3C86"/>
    <w:rsid w:val="00EA3D2C"/>
    <w:rsid w:val="00EA3D64"/>
    <w:rsid w:val="00EA485F"/>
    <w:rsid w:val="00EA4C0C"/>
    <w:rsid w:val="00EA50A9"/>
    <w:rsid w:val="00EA529C"/>
    <w:rsid w:val="00EA5323"/>
    <w:rsid w:val="00EA54AF"/>
    <w:rsid w:val="00EA54C7"/>
    <w:rsid w:val="00EA57FB"/>
    <w:rsid w:val="00EA5883"/>
    <w:rsid w:val="00EA69C7"/>
    <w:rsid w:val="00EA6FF7"/>
    <w:rsid w:val="00EA7231"/>
    <w:rsid w:val="00EA72BD"/>
    <w:rsid w:val="00EA752E"/>
    <w:rsid w:val="00EA757D"/>
    <w:rsid w:val="00EA7CA3"/>
    <w:rsid w:val="00EA7E8B"/>
    <w:rsid w:val="00EB0751"/>
    <w:rsid w:val="00EB09D9"/>
    <w:rsid w:val="00EB0A53"/>
    <w:rsid w:val="00EB0DD4"/>
    <w:rsid w:val="00EB157F"/>
    <w:rsid w:val="00EB2141"/>
    <w:rsid w:val="00EB2231"/>
    <w:rsid w:val="00EB22D2"/>
    <w:rsid w:val="00EB242E"/>
    <w:rsid w:val="00EB253A"/>
    <w:rsid w:val="00EB2ACF"/>
    <w:rsid w:val="00EB2B18"/>
    <w:rsid w:val="00EB2B81"/>
    <w:rsid w:val="00EB2C2F"/>
    <w:rsid w:val="00EB2C33"/>
    <w:rsid w:val="00EB2C9E"/>
    <w:rsid w:val="00EB2E92"/>
    <w:rsid w:val="00EB35A9"/>
    <w:rsid w:val="00EB3784"/>
    <w:rsid w:val="00EB37AD"/>
    <w:rsid w:val="00EB3A58"/>
    <w:rsid w:val="00EB3E45"/>
    <w:rsid w:val="00EB3E75"/>
    <w:rsid w:val="00EB3FFE"/>
    <w:rsid w:val="00EB41AB"/>
    <w:rsid w:val="00EB48C6"/>
    <w:rsid w:val="00EB4B44"/>
    <w:rsid w:val="00EB4BBB"/>
    <w:rsid w:val="00EB4CB3"/>
    <w:rsid w:val="00EB5332"/>
    <w:rsid w:val="00EB5435"/>
    <w:rsid w:val="00EB55C6"/>
    <w:rsid w:val="00EB57E7"/>
    <w:rsid w:val="00EB5A14"/>
    <w:rsid w:val="00EB5AF2"/>
    <w:rsid w:val="00EB5C80"/>
    <w:rsid w:val="00EB6956"/>
    <w:rsid w:val="00EB6CBA"/>
    <w:rsid w:val="00EB6F15"/>
    <w:rsid w:val="00EB6F1C"/>
    <w:rsid w:val="00EB705A"/>
    <w:rsid w:val="00EB707C"/>
    <w:rsid w:val="00EB7144"/>
    <w:rsid w:val="00EB72CD"/>
    <w:rsid w:val="00EB734B"/>
    <w:rsid w:val="00EB74D5"/>
    <w:rsid w:val="00EB7CE1"/>
    <w:rsid w:val="00EB7DB8"/>
    <w:rsid w:val="00EC000B"/>
    <w:rsid w:val="00EC0108"/>
    <w:rsid w:val="00EC051E"/>
    <w:rsid w:val="00EC08B6"/>
    <w:rsid w:val="00EC0913"/>
    <w:rsid w:val="00EC0A42"/>
    <w:rsid w:val="00EC0B2E"/>
    <w:rsid w:val="00EC0CC9"/>
    <w:rsid w:val="00EC1047"/>
    <w:rsid w:val="00EC1119"/>
    <w:rsid w:val="00EC1149"/>
    <w:rsid w:val="00EC145F"/>
    <w:rsid w:val="00EC1855"/>
    <w:rsid w:val="00EC19D6"/>
    <w:rsid w:val="00EC201C"/>
    <w:rsid w:val="00EC20DB"/>
    <w:rsid w:val="00EC2822"/>
    <w:rsid w:val="00EC2923"/>
    <w:rsid w:val="00EC2A1A"/>
    <w:rsid w:val="00EC2AD1"/>
    <w:rsid w:val="00EC2E80"/>
    <w:rsid w:val="00EC2FD7"/>
    <w:rsid w:val="00EC30F0"/>
    <w:rsid w:val="00EC316D"/>
    <w:rsid w:val="00EC32E4"/>
    <w:rsid w:val="00EC347C"/>
    <w:rsid w:val="00EC3E10"/>
    <w:rsid w:val="00EC3E3D"/>
    <w:rsid w:val="00EC414F"/>
    <w:rsid w:val="00EC444A"/>
    <w:rsid w:val="00EC457E"/>
    <w:rsid w:val="00EC4637"/>
    <w:rsid w:val="00EC46C0"/>
    <w:rsid w:val="00EC536C"/>
    <w:rsid w:val="00EC53EE"/>
    <w:rsid w:val="00EC553D"/>
    <w:rsid w:val="00EC56A4"/>
    <w:rsid w:val="00EC56BA"/>
    <w:rsid w:val="00EC592C"/>
    <w:rsid w:val="00EC594A"/>
    <w:rsid w:val="00EC5C64"/>
    <w:rsid w:val="00EC5FD8"/>
    <w:rsid w:val="00EC649B"/>
    <w:rsid w:val="00EC6822"/>
    <w:rsid w:val="00EC6889"/>
    <w:rsid w:val="00EC69E4"/>
    <w:rsid w:val="00EC6C56"/>
    <w:rsid w:val="00EC709F"/>
    <w:rsid w:val="00EC70F8"/>
    <w:rsid w:val="00EC752D"/>
    <w:rsid w:val="00EC757E"/>
    <w:rsid w:val="00EC76E8"/>
    <w:rsid w:val="00EC7B82"/>
    <w:rsid w:val="00ED033B"/>
    <w:rsid w:val="00ED0399"/>
    <w:rsid w:val="00ED03A0"/>
    <w:rsid w:val="00ED05EA"/>
    <w:rsid w:val="00ED06F6"/>
    <w:rsid w:val="00ED093B"/>
    <w:rsid w:val="00ED0A92"/>
    <w:rsid w:val="00ED0E78"/>
    <w:rsid w:val="00ED0F8D"/>
    <w:rsid w:val="00ED104D"/>
    <w:rsid w:val="00ED10DC"/>
    <w:rsid w:val="00ED1693"/>
    <w:rsid w:val="00ED172F"/>
    <w:rsid w:val="00ED1732"/>
    <w:rsid w:val="00ED1E03"/>
    <w:rsid w:val="00ED1FC1"/>
    <w:rsid w:val="00ED218B"/>
    <w:rsid w:val="00ED2395"/>
    <w:rsid w:val="00ED2777"/>
    <w:rsid w:val="00ED2BEF"/>
    <w:rsid w:val="00ED2E91"/>
    <w:rsid w:val="00ED2FD8"/>
    <w:rsid w:val="00ED3062"/>
    <w:rsid w:val="00ED348F"/>
    <w:rsid w:val="00ED35C0"/>
    <w:rsid w:val="00ED3EC2"/>
    <w:rsid w:val="00ED435A"/>
    <w:rsid w:val="00ED4505"/>
    <w:rsid w:val="00ED45DE"/>
    <w:rsid w:val="00ED4CBA"/>
    <w:rsid w:val="00ED4E7E"/>
    <w:rsid w:val="00ED501A"/>
    <w:rsid w:val="00ED50FC"/>
    <w:rsid w:val="00ED5146"/>
    <w:rsid w:val="00ED54C2"/>
    <w:rsid w:val="00ED5647"/>
    <w:rsid w:val="00ED5882"/>
    <w:rsid w:val="00ED5A75"/>
    <w:rsid w:val="00ED5DDD"/>
    <w:rsid w:val="00ED5F01"/>
    <w:rsid w:val="00ED61AB"/>
    <w:rsid w:val="00ED61DC"/>
    <w:rsid w:val="00ED6254"/>
    <w:rsid w:val="00ED713A"/>
    <w:rsid w:val="00ED7479"/>
    <w:rsid w:val="00ED7520"/>
    <w:rsid w:val="00ED7608"/>
    <w:rsid w:val="00ED790D"/>
    <w:rsid w:val="00ED7C0E"/>
    <w:rsid w:val="00EE01C0"/>
    <w:rsid w:val="00EE02B2"/>
    <w:rsid w:val="00EE037A"/>
    <w:rsid w:val="00EE0D64"/>
    <w:rsid w:val="00EE155C"/>
    <w:rsid w:val="00EE1671"/>
    <w:rsid w:val="00EE16BC"/>
    <w:rsid w:val="00EE1BB9"/>
    <w:rsid w:val="00EE1D0F"/>
    <w:rsid w:val="00EE1E8A"/>
    <w:rsid w:val="00EE2118"/>
    <w:rsid w:val="00EE221A"/>
    <w:rsid w:val="00EE241D"/>
    <w:rsid w:val="00EE2421"/>
    <w:rsid w:val="00EE2998"/>
    <w:rsid w:val="00EE2E72"/>
    <w:rsid w:val="00EE308C"/>
    <w:rsid w:val="00EE31E7"/>
    <w:rsid w:val="00EE3355"/>
    <w:rsid w:val="00EE335C"/>
    <w:rsid w:val="00EE3896"/>
    <w:rsid w:val="00EE39E5"/>
    <w:rsid w:val="00EE3B2B"/>
    <w:rsid w:val="00EE3BC3"/>
    <w:rsid w:val="00EE3EE9"/>
    <w:rsid w:val="00EE40C5"/>
    <w:rsid w:val="00EE443B"/>
    <w:rsid w:val="00EE4B74"/>
    <w:rsid w:val="00EE580E"/>
    <w:rsid w:val="00EE586A"/>
    <w:rsid w:val="00EE5AB2"/>
    <w:rsid w:val="00EE5CEC"/>
    <w:rsid w:val="00EE5D20"/>
    <w:rsid w:val="00EE5D80"/>
    <w:rsid w:val="00EE5EAF"/>
    <w:rsid w:val="00EE5EC0"/>
    <w:rsid w:val="00EE6008"/>
    <w:rsid w:val="00EE6303"/>
    <w:rsid w:val="00EE65A3"/>
    <w:rsid w:val="00EE661B"/>
    <w:rsid w:val="00EE6893"/>
    <w:rsid w:val="00EE6C0C"/>
    <w:rsid w:val="00EE6EBA"/>
    <w:rsid w:val="00EE731A"/>
    <w:rsid w:val="00EE742B"/>
    <w:rsid w:val="00EE74D0"/>
    <w:rsid w:val="00EE762E"/>
    <w:rsid w:val="00EE7834"/>
    <w:rsid w:val="00EE7929"/>
    <w:rsid w:val="00EE79A3"/>
    <w:rsid w:val="00EF0018"/>
    <w:rsid w:val="00EF014E"/>
    <w:rsid w:val="00EF0836"/>
    <w:rsid w:val="00EF08CA"/>
    <w:rsid w:val="00EF0938"/>
    <w:rsid w:val="00EF0AA9"/>
    <w:rsid w:val="00EF0BB2"/>
    <w:rsid w:val="00EF0E05"/>
    <w:rsid w:val="00EF0E4B"/>
    <w:rsid w:val="00EF0E8F"/>
    <w:rsid w:val="00EF0EB4"/>
    <w:rsid w:val="00EF1255"/>
    <w:rsid w:val="00EF1990"/>
    <w:rsid w:val="00EF1AC2"/>
    <w:rsid w:val="00EF1D3E"/>
    <w:rsid w:val="00EF1D4A"/>
    <w:rsid w:val="00EF1DBA"/>
    <w:rsid w:val="00EF1E37"/>
    <w:rsid w:val="00EF1E42"/>
    <w:rsid w:val="00EF206F"/>
    <w:rsid w:val="00EF24A6"/>
    <w:rsid w:val="00EF2D1A"/>
    <w:rsid w:val="00EF2EC7"/>
    <w:rsid w:val="00EF3A26"/>
    <w:rsid w:val="00EF3BB9"/>
    <w:rsid w:val="00EF3CB4"/>
    <w:rsid w:val="00EF40EE"/>
    <w:rsid w:val="00EF413E"/>
    <w:rsid w:val="00EF4254"/>
    <w:rsid w:val="00EF4941"/>
    <w:rsid w:val="00EF499B"/>
    <w:rsid w:val="00EF4BC5"/>
    <w:rsid w:val="00EF4EF8"/>
    <w:rsid w:val="00EF5168"/>
    <w:rsid w:val="00EF51D7"/>
    <w:rsid w:val="00EF5294"/>
    <w:rsid w:val="00EF5706"/>
    <w:rsid w:val="00EF5AA6"/>
    <w:rsid w:val="00EF5D4A"/>
    <w:rsid w:val="00EF5E00"/>
    <w:rsid w:val="00EF61E0"/>
    <w:rsid w:val="00EF6457"/>
    <w:rsid w:val="00EF64AC"/>
    <w:rsid w:val="00EF6808"/>
    <w:rsid w:val="00EF6CBA"/>
    <w:rsid w:val="00EF6D20"/>
    <w:rsid w:val="00EF6DF5"/>
    <w:rsid w:val="00EF6EAA"/>
    <w:rsid w:val="00EF744C"/>
    <w:rsid w:val="00EF7633"/>
    <w:rsid w:val="00EF77A8"/>
    <w:rsid w:val="00EF7836"/>
    <w:rsid w:val="00EF7E5F"/>
    <w:rsid w:val="00EF7F5E"/>
    <w:rsid w:val="00F000F9"/>
    <w:rsid w:val="00F002B0"/>
    <w:rsid w:val="00F004CF"/>
    <w:rsid w:val="00F00665"/>
    <w:rsid w:val="00F006B8"/>
    <w:rsid w:val="00F00765"/>
    <w:rsid w:val="00F0092D"/>
    <w:rsid w:val="00F00987"/>
    <w:rsid w:val="00F00AE6"/>
    <w:rsid w:val="00F00D32"/>
    <w:rsid w:val="00F00DB6"/>
    <w:rsid w:val="00F010C0"/>
    <w:rsid w:val="00F01DFB"/>
    <w:rsid w:val="00F01E3B"/>
    <w:rsid w:val="00F021DE"/>
    <w:rsid w:val="00F022DC"/>
    <w:rsid w:val="00F022E0"/>
    <w:rsid w:val="00F024BB"/>
    <w:rsid w:val="00F024EB"/>
    <w:rsid w:val="00F02B86"/>
    <w:rsid w:val="00F03250"/>
    <w:rsid w:val="00F0338C"/>
    <w:rsid w:val="00F038E8"/>
    <w:rsid w:val="00F03E40"/>
    <w:rsid w:val="00F04440"/>
    <w:rsid w:val="00F0462C"/>
    <w:rsid w:val="00F047ED"/>
    <w:rsid w:val="00F04ADF"/>
    <w:rsid w:val="00F04B8E"/>
    <w:rsid w:val="00F04D86"/>
    <w:rsid w:val="00F05068"/>
    <w:rsid w:val="00F05216"/>
    <w:rsid w:val="00F05561"/>
    <w:rsid w:val="00F055AD"/>
    <w:rsid w:val="00F056FA"/>
    <w:rsid w:val="00F05862"/>
    <w:rsid w:val="00F05AD0"/>
    <w:rsid w:val="00F05B77"/>
    <w:rsid w:val="00F05EF9"/>
    <w:rsid w:val="00F05F44"/>
    <w:rsid w:val="00F06007"/>
    <w:rsid w:val="00F06770"/>
    <w:rsid w:val="00F06861"/>
    <w:rsid w:val="00F06927"/>
    <w:rsid w:val="00F06B37"/>
    <w:rsid w:val="00F06D9B"/>
    <w:rsid w:val="00F07326"/>
    <w:rsid w:val="00F07418"/>
    <w:rsid w:val="00F07787"/>
    <w:rsid w:val="00F078D9"/>
    <w:rsid w:val="00F07F21"/>
    <w:rsid w:val="00F103C2"/>
    <w:rsid w:val="00F1040E"/>
    <w:rsid w:val="00F104AE"/>
    <w:rsid w:val="00F1053B"/>
    <w:rsid w:val="00F106A2"/>
    <w:rsid w:val="00F106B3"/>
    <w:rsid w:val="00F106EE"/>
    <w:rsid w:val="00F10D8D"/>
    <w:rsid w:val="00F10EED"/>
    <w:rsid w:val="00F10F95"/>
    <w:rsid w:val="00F11089"/>
    <w:rsid w:val="00F1117D"/>
    <w:rsid w:val="00F11947"/>
    <w:rsid w:val="00F11FA3"/>
    <w:rsid w:val="00F12676"/>
    <w:rsid w:val="00F126FC"/>
    <w:rsid w:val="00F1276F"/>
    <w:rsid w:val="00F12AA9"/>
    <w:rsid w:val="00F12BBB"/>
    <w:rsid w:val="00F12FAB"/>
    <w:rsid w:val="00F132CE"/>
    <w:rsid w:val="00F139D4"/>
    <w:rsid w:val="00F139E6"/>
    <w:rsid w:val="00F13C01"/>
    <w:rsid w:val="00F13CF2"/>
    <w:rsid w:val="00F13D74"/>
    <w:rsid w:val="00F140A8"/>
    <w:rsid w:val="00F145D4"/>
    <w:rsid w:val="00F14E05"/>
    <w:rsid w:val="00F14F16"/>
    <w:rsid w:val="00F15227"/>
    <w:rsid w:val="00F15351"/>
    <w:rsid w:val="00F15471"/>
    <w:rsid w:val="00F154E4"/>
    <w:rsid w:val="00F1572B"/>
    <w:rsid w:val="00F15B9E"/>
    <w:rsid w:val="00F15D4E"/>
    <w:rsid w:val="00F15F33"/>
    <w:rsid w:val="00F160FA"/>
    <w:rsid w:val="00F164BC"/>
    <w:rsid w:val="00F16A3E"/>
    <w:rsid w:val="00F16B7C"/>
    <w:rsid w:val="00F16C19"/>
    <w:rsid w:val="00F16D54"/>
    <w:rsid w:val="00F16DCE"/>
    <w:rsid w:val="00F172E1"/>
    <w:rsid w:val="00F1736C"/>
    <w:rsid w:val="00F173E5"/>
    <w:rsid w:val="00F17CD6"/>
    <w:rsid w:val="00F17CEF"/>
    <w:rsid w:val="00F17D1D"/>
    <w:rsid w:val="00F17D5B"/>
    <w:rsid w:val="00F200CD"/>
    <w:rsid w:val="00F2067D"/>
    <w:rsid w:val="00F207B0"/>
    <w:rsid w:val="00F20A7B"/>
    <w:rsid w:val="00F20B11"/>
    <w:rsid w:val="00F20B94"/>
    <w:rsid w:val="00F20E72"/>
    <w:rsid w:val="00F211F8"/>
    <w:rsid w:val="00F21328"/>
    <w:rsid w:val="00F21330"/>
    <w:rsid w:val="00F21470"/>
    <w:rsid w:val="00F21481"/>
    <w:rsid w:val="00F21674"/>
    <w:rsid w:val="00F216D4"/>
    <w:rsid w:val="00F21917"/>
    <w:rsid w:val="00F21952"/>
    <w:rsid w:val="00F21ED9"/>
    <w:rsid w:val="00F22022"/>
    <w:rsid w:val="00F224F7"/>
    <w:rsid w:val="00F22752"/>
    <w:rsid w:val="00F2277B"/>
    <w:rsid w:val="00F2278B"/>
    <w:rsid w:val="00F22A1F"/>
    <w:rsid w:val="00F22E21"/>
    <w:rsid w:val="00F2318E"/>
    <w:rsid w:val="00F2375B"/>
    <w:rsid w:val="00F23936"/>
    <w:rsid w:val="00F23ECD"/>
    <w:rsid w:val="00F240D8"/>
    <w:rsid w:val="00F24607"/>
    <w:rsid w:val="00F24666"/>
    <w:rsid w:val="00F24696"/>
    <w:rsid w:val="00F246CB"/>
    <w:rsid w:val="00F2471C"/>
    <w:rsid w:val="00F248A9"/>
    <w:rsid w:val="00F24A51"/>
    <w:rsid w:val="00F24BFB"/>
    <w:rsid w:val="00F2514B"/>
    <w:rsid w:val="00F253C6"/>
    <w:rsid w:val="00F25693"/>
    <w:rsid w:val="00F25707"/>
    <w:rsid w:val="00F25A71"/>
    <w:rsid w:val="00F265E7"/>
    <w:rsid w:val="00F26600"/>
    <w:rsid w:val="00F266CD"/>
    <w:rsid w:val="00F26782"/>
    <w:rsid w:val="00F26AF8"/>
    <w:rsid w:val="00F27648"/>
    <w:rsid w:val="00F27DC8"/>
    <w:rsid w:val="00F27F9D"/>
    <w:rsid w:val="00F300E1"/>
    <w:rsid w:val="00F302FD"/>
    <w:rsid w:val="00F30601"/>
    <w:rsid w:val="00F30621"/>
    <w:rsid w:val="00F30C22"/>
    <w:rsid w:val="00F30ECC"/>
    <w:rsid w:val="00F3113C"/>
    <w:rsid w:val="00F31710"/>
    <w:rsid w:val="00F319BD"/>
    <w:rsid w:val="00F31C35"/>
    <w:rsid w:val="00F31DCB"/>
    <w:rsid w:val="00F3271B"/>
    <w:rsid w:val="00F3300C"/>
    <w:rsid w:val="00F330FC"/>
    <w:rsid w:val="00F3340B"/>
    <w:rsid w:val="00F33489"/>
    <w:rsid w:val="00F33571"/>
    <w:rsid w:val="00F337EA"/>
    <w:rsid w:val="00F3388E"/>
    <w:rsid w:val="00F338D3"/>
    <w:rsid w:val="00F338F1"/>
    <w:rsid w:val="00F33BFE"/>
    <w:rsid w:val="00F33F7A"/>
    <w:rsid w:val="00F34775"/>
    <w:rsid w:val="00F348A7"/>
    <w:rsid w:val="00F34937"/>
    <w:rsid w:val="00F34C72"/>
    <w:rsid w:val="00F34D6A"/>
    <w:rsid w:val="00F35121"/>
    <w:rsid w:val="00F35F41"/>
    <w:rsid w:val="00F36060"/>
    <w:rsid w:val="00F365D1"/>
    <w:rsid w:val="00F36825"/>
    <w:rsid w:val="00F3682C"/>
    <w:rsid w:val="00F37140"/>
    <w:rsid w:val="00F371EB"/>
    <w:rsid w:val="00F37A67"/>
    <w:rsid w:val="00F37B53"/>
    <w:rsid w:val="00F37CB0"/>
    <w:rsid w:val="00F37D2B"/>
    <w:rsid w:val="00F37DE6"/>
    <w:rsid w:val="00F37E1D"/>
    <w:rsid w:val="00F37F41"/>
    <w:rsid w:val="00F37FF9"/>
    <w:rsid w:val="00F408DD"/>
    <w:rsid w:val="00F40C8C"/>
    <w:rsid w:val="00F40E34"/>
    <w:rsid w:val="00F40F01"/>
    <w:rsid w:val="00F412B8"/>
    <w:rsid w:val="00F416B7"/>
    <w:rsid w:val="00F41703"/>
    <w:rsid w:val="00F41807"/>
    <w:rsid w:val="00F41FDB"/>
    <w:rsid w:val="00F420D2"/>
    <w:rsid w:val="00F42374"/>
    <w:rsid w:val="00F424BA"/>
    <w:rsid w:val="00F42A52"/>
    <w:rsid w:val="00F42B41"/>
    <w:rsid w:val="00F42E27"/>
    <w:rsid w:val="00F43413"/>
    <w:rsid w:val="00F437B4"/>
    <w:rsid w:val="00F43816"/>
    <w:rsid w:val="00F43D07"/>
    <w:rsid w:val="00F43DB5"/>
    <w:rsid w:val="00F43E16"/>
    <w:rsid w:val="00F43FCB"/>
    <w:rsid w:val="00F43FF9"/>
    <w:rsid w:val="00F4442D"/>
    <w:rsid w:val="00F44509"/>
    <w:rsid w:val="00F4472A"/>
    <w:rsid w:val="00F44CD5"/>
    <w:rsid w:val="00F44D7A"/>
    <w:rsid w:val="00F44F77"/>
    <w:rsid w:val="00F451FF"/>
    <w:rsid w:val="00F45221"/>
    <w:rsid w:val="00F457F9"/>
    <w:rsid w:val="00F45AF7"/>
    <w:rsid w:val="00F45BE0"/>
    <w:rsid w:val="00F45E12"/>
    <w:rsid w:val="00F45E2F"/>
    <w:rsid w:val="00F45FAB"/>
    <w:rsid w:val="00F45FBE"/>
    <w:rsid w:val="00F45FD3"/>
    <w:rsid w:val="00F46136"/>
    <w:rsid w:val="00F46E92"/>
    <w:rsid w:val="00F47333"/>
    <w:rsid w:val="00F477E6"/>
    <w:rsid w:val="00F4799B"/>
    <w:rsid w:val="00F50536"/>
    <w:rsid w:val="00F50678"/>
    <w:rsid w:val="00F50679"/>
    <w:rsid w:val="00F5089D"/>
    <w:rsid w:val="00F50B47"/>
    <w:rsid w:val="00F50B7B"/>
    <w:rsid w:val="00F50DF8"/>
    <w:rsid w:val="00F50FD2"/>
    <w:rsid w:val="00F51333"/>
    <w:rsid w:val="00F519DD"/>
    <w:rsid w:val="00F51A29"/>
    <w:rsid w:val="00F5209E"/>
    <w:rsid w:val="00F520A9"/>
    <w:rsid w:val="00F52342"/>
    <w:rsid w:val="00F52430"/>
    <w:rsid w:val="00F5280D"/>
    <w:rsid w:val="00F52836"/>
    <w:rsid w:val="00F52839"/>
    <w:rsid w:val="00F5288B"/>
    <w:rsid w:val="00F52B0A"/>
    <w:rsid w:val="00F52CA4"/>
    <w:rsid w:val="00F52CFB"/>
    <w:rsid w:val="00F52F9A"/>
    <w:rsid w:val="00F5304B"/>
    <w:rsid w:val="00F532A4"/>
    <w:rsid w:val="00F53980"/>
    <w:rsid w:val="00F53A30"/>
    <w:rsid w:val="00F53C44"/>
    <w:rsid w:val="00F54613"/>
    <w:rsid w:val="00F5463F"/>
    <w:rsid w:val="00F54666"/>
    <w:rsid w:val="00F5484F"/>
    <w:rsid w:val="00F54C3C"/>
    <w:rsid w:val="00F54CE8"/>
    <w:rsid w:val="00F551A8"/>
    <w:rsid w:val="00F5527C"/>
    <w:rsid w:val="00F55AD6"/>
    <w:rsid w:val="00F55D1F"/>
    <w:rsid w:val="00F563BC"/>
    <w:rsid w:val="00F566BE"/>
    <w:rsid w:val="00F56C9E"/>
    <w:rsid w:val="00F56CDE"/>
    <w:rsid w:val="00F56E28"/>
    <w:rsid w:val="00F5741A"/>
    <w:rsid w:val="00F5753B"/>
    <w:rsid w:val="00F57618"/>
    <w:rsid w:val="00F57821"/>
    <w:rsid w:val="00F57E3B"/>
    <w:rsid w:val="00F601A5"/>
    <w:rsid w:val="00F60368"/>
    <w:rsid w:val="00F603F8"/>
    <w:rsid w:val="00F60416"/>
    <w:rsid w:val="00F60533"/>
    <w:rsid w:val="00F6070E"/>
    <w:rsid w:val="00F6085F"/>
    <w:rsid w:val="00F612BB"/>
    <w:rsid w:val="00F613A5"/>
    <w:rsid w:val="00F61429"/>
    <w:rsid w:val="00F61B02"/>
    <w:rsid w:val="00F61B7B"/>
    <w:rsid w:val="00F61BC8"/>
    <w:rsid w:val="00F620F0"/>
    <w:rsid w:val="00F621EF"/>
    <w:rsid w:val="00F6231A"/>
    <w:rsid w:val="00F6261C"/>
    <w:rsid w:val="00F6267B"/>
    <w:rsid w:val="00F62A69"/>
    <w:rsid w:val="00F63020"/>
    <w:rsid w:val="00F637D0"/>
    <w:rsid w:val="00F63924"/>
    <w:rsid w:val="00F63AEA"/>
    <w:rsid w:val="00F63B2E"/>
    <w:rsid w:val="00F63D55"/>
    <w:rsid w:val="00F63DE1"/>
    <w:rsid w:val="00F63E7E"/>
    <w:rsid w:val="00F64813"/>
    <w:rsid w:val="00F64B8D"/>
    <w:rsid w:val="00F6521D"/>
    <w:rsid w:val="00F6537E"/>
    <w:rsid w:val="00F6544F"/>
    <w:rsid w:val="00F65BFC"/>
    <w:rsid w:val="00F65C12"/>
    <w:rsid w:val="00F65D64"/>
    <w:rsid w:val="00F65DB1"/>
    <w:rsid w:val="00F65F4B"/>
    <w:rsid w:val="00F66132"/>
    <w:rsid w:val="00F66199"/>
    <w:rsid w:val="00F6655D"/>
    <w:rsid w:val="00F66852"/>
    <w:rsid w:val="00F66AE7"/>
    <w:rsid w:val="00F66E26"/>
    <w:rsid w:val="00F66E61"/>
    <w:rsid w:val="00F671D2"/>
    <w:rsid w:val="00F675BB"/>
    <w:rsid w:val="00F678CB"/>
    <w:rsid w:val="00F67AEE"/>
    <w:rsid w:val="00F67C50"/>
    <w:rsid w:val="00F67F0D"/>
    <w:rsid w:val="00F7033D"/>
    <w:rsid w:val="00F70404"/>
    <w:rsid w:val="00F70B33"/>
    <w:rsid w:val="00F70DE5"/>
    <w:rsid w:val="00F70EEA"/>
    <w:rsid w:val="00F70F39"/>
    <w:rsid w:val="00F70F65"/>
    <w:rsid w:val="00F70FBA"/>
    <w:rsid w:val="00F71060"/>
    <w:rsid w:val="00F71357"/>
    <w:rsid w:val="00F713E1"/>
    <w:rsid w:val="00F71590"/>
    <w:rsid w:val="00F7174E"/>
    <w:rsid w:val="00F718D5"/>
    <w:rsid w:val="00F71999"/>
    <w:rsid w:val="00F71F47"/>
    <w:rsid w:val="00F71F5C"/>
    <w:rsid w:val="00F72ADB"/>
    <w:rsid w:val="00F72C61"/>
    <w:rsid w:val="00F72D63"/>
    <w:rsid w:val="00F72DBB"/>
    <w:rsid w:val="00F72E3A"/>
    <w:rsid w:val="00F7303B"/>
    <w:rsid w:val="00F7326D"/>
    <w:rsid w:val="00F73592"/>
    <w:rsid w:val="00F73B7B"/>
    <w:rsid w:val="00F73C97"/>
    <w:rsid w:val="00F73E78"/>
    <w:rsid w:val="00F7400B"/>
    <w:rsid w:val="00F74248"/>
    <w:rsid w:val="00F743AD"/>
    <w:rsid w:val="00F74CA4"/>
    <w:rsid w:val="00F74DD7"/>
    <w:rsid w:val="00F75002"/>
    <w:rsid w:val="00F7529B"/>
    <w:rsid w:val="00F757A3"/>
    <w:rsid w:val="00F759CD"/>
    <w:rsid w:val="00F75A51"/>
    <w:rsid w:val="00F75CDA"/>
    <w:rsid w:val="00F75D12"/>
    <w:rsid w:val="00F76096"/>
    <w:rsid w:val="00F7611B"/>
    <w:rsid w:val="00F761DC"/>
    <w:rsid w:val="00F765C8"/>
    <w:rsid w:val="00F76913"/>
    <w:rsid w:val="00F76F92"/>
    <w:rsid w:val="00F77187"/>
    <w:rsid w:val="00F771C4"/>
    <w:rsid w:val="00F77773"/>
    <w:rsid w:val="00F80055"/>
    <w:rsid w:val="00F8017B"/>
    <w:rsid w:val="00F80934"/>
    <w:rsid w:val="00F80AE4"/>
    <w:rsid w:val="00F81054"/>
    <w:rsid w:val="00F8120A"/>
    <w:rsid w:val="00F8142B"/>
    <w:rsid w:val="00F814E1"/>
    <w:rsid w:val="00F8158F"/>
    <w:rsid w:val="00F81A8D"/>
    <w:rsid w:val="00F81B50"/>
    <w:rsid w:val="00F81BC6"/>
    <w:rsid w:val="00F81D26"/>
    <w:rsid w:val="00F8205F"/>
    <w:rsid w:val="00F829F8"/>
    <w:rsid w:val="00F82BD8"/>
    <w:rsid w:val="00F82C43"/>
    <w:rsid w:val="00F82CFC"/>
    <w:rsid w:val="00F833DA"/>
    <w:rsid w:val="00F8380B"/>
    <w:rsid w:val="00F83C80"/>
    <w:rsid w:val="00F83EEF"/>
    <w:rsid w:val="00F8419C"/>
    <w:rsid w:val="00F84276"/>
    <w:rsid w:val="00F84572"/>
    <w:rsid w:val="00F84D22"/>
    <w:rsid w:val="00F85354"/>
    <w:rsid w:val="00F855ED"/>
    <w:rsid w:val="00F85627"/>
    <w:rsid w:val="00F85CED"/>
    <w:rsid w:val="00F865B2"/>
    <w:rsid w:val="00F86682"/>
    <w:rsid w:val="00F86EF9"/>
    <w:rsid w:val="00F87238"/>
    <w:rsid w:val="00F8733D"/>
    <w:rsid w:val="00F87469"/>
    <w:rsid w:val="00F874F4"/>
    <w:rsid w:val="00F87DAB"/>
    <w:rsid w:val="00F87DD3"/>
    <w:rsid w:val="00F87E7B"/>
    <w:rsid w:val="00F9056B"/>
    <w:rsid w:val="00F90612"/>
    <w:rsid w:val="00F908C9"/>
    <w:rsid w:val="00F909AC"/>
    <w:rsid w:val="00F90A64"/>
    <w:rsid w:val="00F90CBB"/>
    <w:rsid w:val="00F90CDA"/>
    <w:rsid w:val="00F915DE"/>
    <w:rsid w:val="00F91AA2"/>
    <w:rsid w:val="00F91C76"/>
    <w:rsid w:val="00F921BD"/>
    <w:rsid w:val="00F92528"/>
    <w:rsid w:val="00F927D2"/>
    <w:rsid w:val="00F9282E"/>
    <w:rsid w:val="00F929EA"/>
    <w:rsid w:val="00F92AC2"/>
    <w:rsid w:val="00F92C18"/>
    <w:rsid w:val="00F93003"/>
    <w:rsid w:val="00F930CD"/>
    <w:rsid w:val="00F932CB"/>
    <w:rsid w:val="00F934A5"/>
    <w:rsid w:val="00F93613"/>
    <w:rsid w:val="00F939C5"/>
    <w:rsid w:val="00F9404C"/>
    <w:rsid w:val="00F941B3"/>
    <w:rsid w:val="00F946B1"/>
    <w:rsid w:val="00F947A7"/>
    <w:rsid w:val="00F949D8"/>
    <w:rsid w:val="00F95402"/>
    <w:rsid w:val="00F9571E"/>
    <w:rsid w:val="00F95ADD"/>
    <w:rsid w:val="00F95B67"/>
    <w:rsid w:val="00F9618C"/>
    <w:rsid w:val="00F96B9E"/>
    <w:rsid w:val="00F97065"/>
    <w:rsid w:val="00F972A7"/>
    <w:rsid w:val="00FA00C2"/>
    <w:rsid w:val="00FA08EC"/>
    <w:rsid w:val="00FA0C20"/>
    <w:rsid w:val="00FA0CD3"/>
    <w:rsid w:val="00FA103F"/>
    <w:rsid w:val="00FA1090"/>
    <w:rsid w:val="00FA1197"/>
    <w:rsid w:val="00FA11E0"/>
    <w:rsid w:val="00FA15D8"/>
    <w:rsid w:val="00FA161D"/>
    <w:rsid w:val="00FA173D"/>
    <w:rsid w:val="00FA195C"/>
    <w:rsid w:val="00FA1985"/>
    <w:rsid w:val="00FA198D"/>
    <w:rsid w:val="00FA1EE9"/>
    <w:rsid w:val="00FA2282"/>
    <w:rsid w:val="00FA2308"/>
    <w:rsid w:val="00FA2313"/>
    <w:rsid w:val="00FA2464"/>
    <w:rsid w:val="00FA2491"/>
    <w:rsid w:val="00FA2882"/>
    <w:rsid w:val="00FA29BF"/>
    <w:rsid w:val="00FA2AB5"/>
    <w:rsid w:val="00FA2C4E"/>
    <w:rsid w:val="00FA2CF8"/>
    <w:rsid w:val="00FA2F27"/>
    <w:rsid w:val="00FA3296"/>
    <w:rsid w:val="00FA32A8"/>
    <w:rsid w:val="00FA342E"/>
    <w:rsid w:val="00FA3444"/>
    <w:rsid w:val="00FA363C"/>
    <w:rsid w:val="00FA36C8"/>
    <w:rsid w:val="00FA3AA3"/>
    <w:rsid w:val="00FA3BB4"/>
    <w:rsid w:val="00FA3CF4"/>
    <w:rsid w:val="00FA426B"/>
    <w:rsid w:val="00FA442E"/>
    <w:rsid w:val="00FA4444"/>
    <w:rsid w:val="00FA45FE"/>
    <w:rsid w:val="00FA540B"/>
    <w:rsid w:val="00FA55C1"/>
    <w:rsid w:val="00FA58FB"/>
    <w:rsid w:val="00FA5BB6"/>
    <w:rsid w:val="00FA5CB8"/>
    <w:rsid w:val="00FA5DB2"/>
    <w:rsid w:val="00FA63D2"/>
    <w:rsid w:val="00FA6497"/>
    <w:rsid w:val="00FA6684"/>
    <w:rsid w:val="00FA67B1"/>
    <w:rsid w:val="00FA6936"/>
    <w:rsid w:val="00FA6D0E"/>
    <w:rsid w:val="00FA73A3"/>
    <w:rsid w:val="00FA7574"/>
    <w:rsid w:val="00FA777B"/>
    <w:rsid w:val="00FA7935"/>
    <w:rsid w:val="00FA7A3A"/>
    <w:rsid w:val="00FA7BEF"/>
    <w:rsid w:val="00FA7C59"/>
    <w:rsid w:val="00FA7CCC"/>
    <w:rsid w:val="00FB01C6"/>
    <w:rsid w:val="00FB084B"/>
    <w:rsid w:val="00FB0D30"/>
    <w:rsid w:val="00FB0E65"/>
    <w:rsid w:val="00FB11EE"/>
    <w:rsid w:val="00FB12BF"/>
    <w:rsid w:val="00FB1573"/>
    <w:rsid w:val="00FB18E1"/>
    <w:rsid w:val="00FB19C1"/>
    <w:rsid w:val="00FB1C61"/>
    <w:rsid w:val="00FB2AAA"/>
    <w:rsid w:val="00FB2D6A"/>
    <w:rsid w:val="00FB3067"/>
    <w:rsid w:val="00FB3207"/>
    <w:rsid w:val="00FB3533"/>
    <w:rsid w:val="00FB3B45"/>
    <w:rsid w:val="00FB3B96"/>
    <w:rsid w:val="00FB3F61"/>
    <w:rsid w:val="00FB3FAF"/>
    <w:rsid w:val="00FB3FC8"/>
    <w:rsid w:val="00FB3FD6"/>
    <w:rsid w:val="00FB4211"/>
    <w:rsid w:val="00FB4230"/>
    <w:rsid w:val="00FB457F"/>
    <w:rsid w:val="00FB4AE6"/>
    <w:rsid w:val="00FB4BA9"/>
    <w:rsid w:val="00FB4C06"/>
    <w:rsid w:val="00FB4D2A"/>
    <w:rsid w:val="00FB4E47"/>
    <w:rsid w:val="00FB4F59"/>
    <w:rsid w:val="00FB4FB5"/>
    <w:rsid w:val="00FB552F"/>
    <w:rsid w:val="00FB55E4"/>
    <w:rsid w:val="00FB582D"/>
    <w:rsid w:val="00FB5955"/>
    <w:rsid w:val="00FB5FA3"/>
    <w:rsid w:val="00FB613F"/>
    <w:rsid w:val="00FB64E8"/>
    <w:rsid w:val="00FB6DBF"/>
    <w:rsid w:val="00FB6E5E"/>
    <w:rsid w:val="00FB7506"/>
    <w:rsid w:val="00FB781B"/>
    <w:rsid w:val="00FB7C6D"/>
    <w:rsid w:val="00FB7F8F"/>
    <w:rsid w:val="00FB7FBA"/>
    <w:rsid w:val="00FC0111"/>
    <w:rsid w:val="00FC019C"/>
    <w:rsid w:val="00FC07E1"/>
    <w:rsid w:val="00FC0D92"/>
    <w:rsid w:val="00FC0E91"/>
    <w:rsid w:val="00FC1055"/>
    <w:rsid w:val="00FC1456"/>
    <w:rsid w:val="00FC1905"/>
    <w:rsid w:val="00FC1C82"/>
    <w:rsid w:val="00FC1F0D"/>
    <w:rsid w:val="00FC235F"/>
    <w:rsid w:val="00FC23CC"/>
    <w:rsid w:val="00FC2A78"/>
    <w:rsid w:val="00FC2C2E"/>
    <w:rsid w:val="00FC34BB"/>
    <w:rsid w:val="00FC35ED"/>
    <w:rsid w:val="00FC393F"/>
    <w:rsid w:val="00FC3BEA"/>
    <w:rsid w:val="00FC3E83"/>
    <w:rsid w:val="00FC4190"/>
    <w:rsid w:val="00FC41DA"/>
    <w:rsid w:val="00FC42DE"/>
    <w:rsid w:val="00FC4306"/>
    <w:rsid w:val="00FC4405"/>
    <w:rsid w:val="00FC459F"/>
    <w:rsid w:val="00FC4602"/>
    <w:rsid w:val="00FC4668"/>
    <w:rsid w:val="00FC4823"/>
    <w:rsid w:val="00FC4D7A"/>
    <w:rsid w:val="00FC5277"/>
    <w:rsid w:val="00FC53E2"/>
    <w:rsid w:val="00FC54A0"/>
    <w:rsid w:val="00FC56CB"/>
    <w:rsid w:val="00FC57B8"/>
    <w:rsid w:val="00FC5ADE"/>
    <w:rsid w:val="00FC5B6C"/>
    <w:rsid w:val="00FC5CF5"/>
    <w:rsid w:val="00FC65FD"/>
    <w:rsid w:val="00FC68B4"/>
    <w:rsid w:val="00FC6DBC"/>
    <w:rsid w:val="00FC6F01"/>
    <w:rsid w:val="00FC6F89"/>
    <w:rsid w:val="00FC6FE3"/>
    <w:rsid w:val="00FC703A"/>
    <w:rsid w:val="00FC70D8"/>
    <w:rsid w:val="00FC71F6"/>
    <w:rsid w:val="00FC74B7"/>
    <w:rsid w:val="00FC7526"/>
    <w:rsid w:val="00FC75AF"/>
    <w:rsid w:val="00FC7691"/>
    <w:rsid w:val="00FC7AB7"/>
    <w:rsid w:val="00FD0171"/>
    <w:rsid w:val="00FD05EE"/>
    <w:rsid w:val="00FD0625"/>
    <w:rsid w:val="00FD074D"/>
    <w:rsid w:val="00FD0B6C"/>
    <w:rsid w:val="00FD0DC4"/>
    <w:rsid w:val="00FD0F4E"/>
    <w:rsid w:val="00FD0F93"/>
    <w:rsid w:val="00FD12F6"/>
    <w:rsid w:val="00FD1315"/>
    <w:rsid w:val="00FD1524"/>
    <w:rsid w:val="00FD1894"/>
    <w:rsid w:val="00FD18BA"/>
    <w:rsid w:val="00FD1E22"/>
    <w:rsid w:val="00FD1E7B"/>
    <w:rsid w:val="00FD2913"/>
    <w:rsid w:val="00FD29D3"/>
    <w:rsid w:val="00FD31DE"/>
    <w:rsid w:val="00FD3539"/>
    <w:rsid w:val="00FD3A87"/>
    <w:rsid w:val="00FD3D5B"/>
    <w:rsid w:val="00FD3D6F"/>
    <w:rsid w:val="00FD40FA"/>
    <w:rsid w:val="00FD41F1"/>
    <w:rsid w:val="00FD42B6"/>
    <w:rsid w:val="00FD44A8"/>
    <w:rsid w:val="00FD475A"/>
    <w:rsid w:val="00FD481F"/>
    <w:rsid w:val="00FD4858"/>
    <w:rsid w:val="00FD49F3"/>
    <w:rsid w:val="00FD4A3E"/>
    <w:rsid w:val="00FD4D9F"/>
    <w:rsid w:val="00FD4F90"/>
    <w:rsid w:val="00FD4FDF"/>
    <w:rsid w:val="00FD514B"/>
    <w:rsid w:val="00FD51B7"/>
    <w:rsid w:val="00FD5579"/>
    <w:rsid w:val="00FD5712"/>
    <w:rsid w:val="00FD5D47"/>
    <w:rsid w:val="00FD641B"/>
    <w:rsid w:val="00FD6B8E"/>
    <w:rsid w:val="00FD6ED4"/>
    <w:rsid w:val="00FD7076"/>
    <w:rsid w:val="00FD71F6"/>
    <w:rsid w:val="00FD732D"/>
    <w:rsid w:val="00FD7414"/>
    <w:rsid w:val="00FD7612"/>
    <w:rsid w:val="00FD76FF"/>
    <w:rsid w:val="00FD7765"/>
    <w:rsid w:val="00FD77CB"/>
    <w:rsid w:val="00FD7BA4"/>
    <w:rsid w:val="00FD7D8B"/>
    <w:rsid w:val="00FE022A"/>
    <w:rsid w:val="00FE0598"/>
    <w:rsid w:val="00FE06D6"/>
    <w:rsid w:val="00FE0A4F"/>
    <w:rsid w:val="00FE11CA"/>
    <w:rsid w:val="00FE1391"/>
    <w:rsid w:val="00FE147A"/>
    <w:rsid w:val="00FE156D"/>
    <w:rsid w:val="00FE1571"/>
    <w:rsid w:val="00FE15AB"/>
    <w:rsid w:val="00FE17D7"/>
    <w:rsid w:val="00FE1874"/>
    <w:rsid w:val="00FE195F"/>
    <w:rsid w:val="00FE274A"/>
    <w:rsid w:val="00FE27CA"/>
    <w:rsid w:val="00FE281E"/>
    <w:rsid w:val="00FE28FE"/>
    <w:rsid w:val="00FE2E7D"/>
    <w:rsid w:val="00FE30D1"/>
    <w:rsid w:val="00FE34E1"/>
    <w:rsid w:val="00FE3B34"/>
    <w:rsid w:val="00FE3BD6"/>
    <w:rsid w:val="00FE3DC1"/>
    <w:rsid w:val="00FE41F9"/>
    <w:rsid w:val="00FE47D6"/>
    <w:rsid w:val="00FE495C"/>
    <w:rsid w:val="00FE4967"/>
    <w:rsid w:val="00FE4AB1"/>
    <w:rsid w:val="00FE4CBB"/>
    <w:rsid w:val="00FE4D03"/>
    <w:rsid w:val="00FE4E9B"/>
    <w:rsid w:val="00FE54AC"/>
    <w:rsid w:val="00FE5852"/>
    <w:rsid w:val="00FE59F6"/>
    <w:rsid w:val="00FE5CF9"/>
    <w:rsid w:val="00FE5E89"/>
    <w:rsid w:val="00FE63EF"/>
    <w:rsid w:val="00FE69E2"/>
    <w:rsid w:val="00FE6B46"/>
    <w:rsid w:val="00FE6D60"/>
    <w:rsid w:val="00FE6E75"/>
    <w:rsid w:val="00FE6F47"/>
    <w:rsid w:val="00FE77BA"/>
    <w:rsid w:val="00FE7914"/>
    <w:rsid w:val="00FE7915"/>
    <w:rsid w:val="00FE7F34"/>
    <w:rsid w:val="00FF014B"/>
    <w:rsid w:val="00FF07EE"/>
    <w:rsid w:val="00FF0931"/>
    <w:rsid w:val="00FF0A39"/>
    <w:rsid w:val="00FF0AD2"/>
    <w:rsid w:val="00FF0B49"/>
    <w:rsid w:val="00FF0E9D"/>
    <w:rsid w:val="00FF1C0E"/>
    <w:rsid w:val="00FF1DAF"/>
    <w:rsid w:val="00FF1E98"/>
    <w:rsid w:val="00FF213D"/>
    <w:rsid w:val="00FF2392"/>
    <w:rsid w:val="00FF2768"/>
    <w:rsid w:val="00FF2B32"/>
    <w:rsid w:val="00FF2E63"/>
    <w:rsid w:val="00FF2EB7"/>
    <w:rsid w:val="00FF3026"/>
    <w:rsid w:val="00FF31A6"/>
    <w:rsid w:val="00FF337A"/>
    <w:rsid w:val="00FF381D"/>
    <w:rsid w:val="00FF3BBE"/>
    <w:rsid w:val="00FF3BCD"/>
    <w:rsid w:val="00FF3BD4"/>
    <w:rsid w:val="00FF400A"/>
    <w:rsid w:val="00FF4338"/>
    <w:rsid w:val="00FF4B5F"/>
    <w:rsid w:val="00FF4B99"/>
    <w:rsid w:val="00FF4EDE"/>
    <w:rsid w:val="00FF4EFC"/>
    <w:rsid w:val="00FF4F58"/>
    <w:rsid w:val="00FF5127"/>
    <w:rsid w:val="00FF5559"/>
    <w:rsid w:val="00FF57C7"/>
    <w:rsid w:val="00FF5861"/>
    <w:rsid w:val="00FF5BB4"/>
    <w:rsid w:val="00FF6593"/>
    <w:rsid w:val="00FF668E"/>
    <w:rsid w:val="00FF6A6B"/>
    <w:rsid w:val="00FF6B7D"/>
    <w:rsid w:val="00FF6CCF"/>
    <w:rsid w:val="00FF6DA9"/>
    <w:rsid w:val="00FF6E90"/>
    <w:rsid w:val="00FF6EE8"/>
    <w:rsid w:val="00FF745B"/>
    <w:rsid w:val="00FF74AC"/>
    <w:rsid w:val="00FF7A17"/>
    <w:rsid w:val="00FF7BFE"/>
    <w:rsid w:val="00FF7C89"/>
    <w:rsid w:val="00FF7F9F"/>
    <w:rsid w:val="010A9FAF"/>
    <w:rsid w:val="01165DEC"/>
    <w:rsid w:val="012D5763"/>
    <w:rsid w:val="01335A4D"/>
    <w:rsid w:val="0134DD4C"/>
    <w:rsid w:val="0145833C"/>
    <w:rsid w:val="014816B9"/>
    <w:rsid w:val="0162C5FD"/>
    <w:rsid w:val="01682276"/>
    <w:rsid w:val="019CB35E"/>
    <w:rsid w:val="01A437F0"/>
    <w:rsid w:val="01AB1A0D"/>
    <w:rsid w:val="01D21C43"/>
    <w:rsid w:val="01ED6DF6"/>
    <w:rsid w:val="01EFDE8A"/>
    <w:rsid w:val="021B7C69"/>
    <w:rsid w:val="021F78BA"/>
    <w:rsid w:val="0223AD6D"/>
    <w:rsid w:val="022FA68B"/>
    <w:rsid w:val="0237A919"/>
    <w:rsid w:val="024D2D7C"/>
    <w:rsid w:val="0273B8C3"/>
    <w:rsid w:val="02751246"/>
    <w:rsid w:val="02B44D60"/>
    <w:rsid w:val="02C5BB41"/>
    <w:rsid w:val="032BB871"/>
    <w:rsid w:val="03589AC1"/>
    <w:rsid w:val="037B8F7F"/>
    <w:rsid w:val="03D0E7E5"/>
    <w:rsid w:val="03F075DA"/>
    <w:rsid w:val="0419DF90"/>
    <w:rsid w:val="042064BE"/>
    <w:rsid w:val="0469EA89"/>
    <w:rsid w:val="0477365B"/>
    <w:rsid w:val="047901A0"/>
    <w:rsid w:val="04D88A85"/>
    <w:rsid w:val="04DC5F7A"/>
    <w:rsid w:val="04E6C271"/>
    <w:rsid w:val="04F0B357"/>
    <w:rsid w:val="0506BC97"/>
    <w:rsid w:val="050B41B6"/>
    <w:rsid w:val="052969F8"/>
    <w:rsid w:val="0582FA83"/>
    <w:rsid w:val="05949124"/>
    <w:rsid w:val="05BD10E8"/>
    <w:rsid w:val="05D95214"/>
    <w:rsid w:val="06233206"/>
    <w:rsid w:val="064322A1"/>
    <w:rsid w:val="064693E1"/>
    <w:rsid w:val="06878C7A"/>
    <w:rsid w:val="0692B114"/>
    <w:rsid w:val="06A2866F"/>
    <w:rsid w:val="06CEF33D"/>
    <w:rsid w:val="06CF307D"/>
    <w:rsid w:val="06E08BCE"/>
    <w:rsid w:val="06E132B3"/>
    <w:rsid w:val="06E93860"/>
    <w:rsid w:val="07160C2A"/>
    <w:rsid w:val="07161D58"/>
    <w:rsid w:val="075BB8D5"/>
    <w:rsid w:val="0778935E"/>
    <w:rsid w:val="07BEAB16"/>
    <w:rsid w:val="07C12A31"/>
    <w:rsid w:val="07CA19A5"/>
    <w:rsid w:val="084383A8"/>
    <w:rsid w:val="084D179C"/>
    <w:rsid w:val="0853E702"/>
    <w:rsid w:val="087D5769"/>
    <w:rsid w:val="08952DE7"/>
    <w:rsid w:val="08B81B52"/>
    <w:rsid w:val="08E95C1E"/>
    <w:rsid w:val="0922BF24"/>
    <w:rsid w:val="092DC6CB"/>
    <w:rsid w:val="09394777"/>
    <w:rsid w:val="09417DDF"/>
    <w:rsid w:val="0942F227"/>
    <w:rsid w:val="095FE5B2"/>
    <w:rsid w:val="097B7EBA"/>
    <w:rsid w:val="0989D840"/>
    <w:rsid w:val="098B5600"/>
    <w:rsid w:val="09918C4D"/>
    <w:rsid w:val="099505FD"/>
    <w:rsid w:val="09D689D9"/>
    <w:rsid w:val="09DD2FBC"/>
    <w:rsid w:val="09F553B7"/>
    <w:rsid w:val="0A04CAFC"/>
    <w:rsid w:val="0A078FA7"/>
    <w:rsid w:val="0A0A490A"/>
    <w:rsid w:val="0A0E07E0"/>
    <w:rsid w:val="0A2398AC"/>
    <w:rsid w:val="0A49B00A"/>
    <w:rsid w:val="0A83D679"/>
    <w:rsid w:val="0A8CB607"/>
    <w:rsid w:val="0A8FB66F"/>
    <w:rsid w:val="0A9A72EC"/>
    <w:rsid w:val="0AA042AA"/>
    <w:rsid w:val="0AB941E4"/>
    <w:rsid w:val="0AD8A233"/>
    <w:rsid w:val="0AEDF5D6"/>
    <w:rsid w:val="0AF5A538"/>
    <w:rsid w:val="0AFEC8EA"/>
    <w:rsid w:val="0B07C9FD"/>
    <w:rsid w:val="0B3BBA7F"/>
    <w:rsid w:val="0B52CAF6"/>
    <w:rsid w:val="0B8D3E5C"/>
    <w:rsid w:val="0BA1085E"/>
    <w:rsid w:val="0BA50C44"/>
    <w:rsid w:val="0BCA03EB"/>
    <w:rsid w:val="0BCD3686"/>
    <w:rsid w:val="0BED6A73"/>
    <w:rsid w:val="0BEE577F"/>
    <w:rsid w:val="0C3BFAB0"/>
    <w:rsid w:val="0C56A49D"/>
    <w:rsid w:val="0C6E9618"/>
    <w:rsid w:val="0C984ED9"/>
    <w:rsid w:val="0CB62952"/>
    <w:rsid w:val="0CD6C381"/>
    <w:rsid w:val="0D0B5D09"/>
    <w:rsid w:val="0D2C8040"/>
    <w:rsid w:val="0D379B23"/>
    <w:rsid w:val="0D3F5F36"/>
    <w:rsid w:val="0D6D3294"/>
    <w:rsid w:val="0D943642"/>
    <w:rsid w:val="0DCC7CA0"/>
    <w:rsid w:val="0DE613B0"/>
    <w:rsid w:val="0E2D65D3"/>
    <w:rsid w:val="0E5A8D97"/>
    <w:rsid w:val="0E6208EE"/>
    <w:rsid w:val="0E670AD7"/>
    <w:rsid w:val="0E6AEC50"/>
    <w:rsid w:val="0E8C5547"/>
    <w:rsid w:val="0ECBED89"/>
    <w:rsid w:val="0F546FC7"/>
    <w:rsid w:val="0F6A8896"/>
    <w:rsid w:val="0F7D5E78"/>
    <w:rsid w:val="0F8396A5"/>
    <w:rsid w:val="0FA58A77"/>
    <w:rsid w:val="0FAE0AD7"/>
    <w:rsid w:val="0FB04589"/>
    <w:rsid w:val="101BEAE9"/>
    <w:rsid w:val="102825A8"/>
    <w:rsid w:val="102D9AF7"/>
    <w:rsid w:val="10334E2B"/>
    <w:rsid w:val="10345157"/>
    <w:rsid w:val="10481C02"/>
    <w:rsid w:val="10734F16"/>
    <w:rsid w:val="10762DCE"/>
    <w:rsid w:val="10BAC53A"/>
    <w:rsid w:val="10C5DB9A"/>
    <w:rsid w:val="10C9F021"/>
    <w:rsid w:val="10D016D8"/>
    <w:rsid w:val="10F417DF"/>
    <w:rsid w:val="10FA4CB8"/>
    <w:rsid w:val="10FDA60A"/>
    <w:rsid w:val="113CCAB6"/>
    <w:rsid w:val="1149CE5B"/>
    <w:rsid w:val="114A111F"/>
    <w:rsid w:val="114A473E"/>
    <w:rsid w:val="114E4526"/>
    <w:rsid w:val="11650A2B"/>
    <w:rsid w:val="117D3D65"/>
    <w:rsid w:val="1199E892"/>
    <w:rsid w:val="11A74849"/>
    <w:rsid w:val="11F6091B"/>
    <w:rsid w:val="120B6451"/>
    <w:rsid w:val="1244AF13"/>
    <w:rsid w:val="125656F4"/>
    <w:rsid w:val="125B9A57"/>
    <w:rsid w:val="12854994"/>
    <w:rsid w:val="1289D36E"/>
    <w:rsid w:val="12986752"/>
    <w:rsid w:val="12A7FE06"/>
    <w:rsid w:val="12AE4A0A"/>
    <w:rsid w:val="12B67C68"/>
    <w:rsid w:val="13001B84"/>
    <w:rsid w:val="13064368"/>
    <w:rsid w:val="131707BA"/>
    <w:rsid w:val="131C09CC"/>
    <w:rsid w:val="13308616"/>
    <w:rsid w:val="13463F96"/>
    <w:rsid w:val="136DF629"/>
    <w:rsid w:val="136F520D"/>
    <w:rsid w:val="136FB41D"/>
    <w:rsid w:val="139B6E43"/>
    <w:rsid w:val="13D099C6"/>
    <w:rsid w:val="14013C8B"/>
    <w:rsid w:val="140380C6"/>
    <w:rsid w:val="1419D058"/>
    <w:rsid w:val="1420E4C5"/>
    <w:rsid w:val="142DEA38"/>
    <w:rsid w:val="142EDBE5"/>
    <w:rsid w:val="143A59B4"/>
    <w:rsid w:val="143E8243"/>
    <w:rsid w:val="144A75D6"/>
    <w:rsid w:val="145FA1EC"/>
    <w:rsid w:val="14821721"/>
    <w:rsid w:val="14D4218E"/>
    <w:rsid w:val="14F7A37F"/>
    <w:rsid w:val="1506C19B"/>
    <w:rsid w:val="151DF70F"/>
    <w:rsid w:val="15589AA4"/>
    <w:rsid w:val="15776BF1"/>
    <w:rsid w:val="1585843C"/>
    <w:rsid w:val="158D3E56"/>
    <w:rsid w:val="158DEEE7"/>
    <w:rsid w:val="159BD651"/>
    <w:rsid w:val="159D9932"/>
    <w:rsid w:val="15A75D7C"/>
    <w:rsid w:val="15CFAC23"/>
    <w:rsid w:val="15E0CAE0"/>
    <w:rsid w:val="15E50A23"/>
    <w:rsid w:val="15E80C08"/>
    <w:rsid w:val="15FB4F11"/>
    <w:rsid w:val="15FF66E1"/>
    <w:rsid w:val="15FFD180"/>
    <w:rsid w:val="16558A9C"/>
    <w:rsid w:val="1659C768"/>
    <w:rsid w:val="166294F4"/>
    <w:rsid w:val="16701360"/>
    <w:rsid w:val="16B70AEB"/>
    <w:rsid w:val="16D355DB"/>
    <w:rsid w:val="16E17DC1"/>
    <w:rsid w:val="16F67FCE"/>
    <w:rsid w:val="16FAFD3A"/>
    <w:rsid w:val="16FDB65D"/>
    <w:rsid w:val="170B6FE1"/>
    <w:rsid w:val="1713D12D"/>
    <w:rsid w:val="173513B5"/>
    <w:rsid w:val="17739725"/>
    <w:rsid w:val="17810872"/>
    <w:rsid w:val="17A93F34"/>
    <w:rsid w:val="17C0F2EA"/>
    <w:rsid w:val="17D067E0"/>
    <w:rsid w:val="17DC3094"/>
    <w:rsid w:val="180DB085"/>
    <w:rsid w:val="180F2189"/>
    <w:rsid w:val="1848B6AF"/>
    <w:rsid w:val="187509AA"/>
    <w:rsid w:val="1878E58F"/>
    <w:rsid w:val="189474E2"/>
    <w:rsid w:val="18C31B2E"/>
    <w:rsid w:val="18CE672E"/>
    <w:rsid w:val="18DECE11"/>
    <w:rsid w:val="190A828A"/>
    <w:rsid w:val="1916EAF1"/>
    <w:rsid w:val="1922285B"/>
    <w:rsid w:val="1945FE85"/>
    <w:rsid w:val="198E93B2"/>
    <w:rsid w:val="199314AA"/>
    <w:rsid w:val="199430D9"/>
    <w:rsid w:val="199C38A1"/>
    <w:rsid w:val="19CA379A"/>
    <w:rsid w:val="19CF3BD3"/>
    <w:rsid w:val="19DC5825"/>
    <w:rsid w:val="19DFCC7E"/>
    <w:rsid w:val="19FC8015"/>
    <w:rsid w:val="1A2CFF01"/>
    <w:rsid w:val="1A5E432C"/>
    <w:rsid w:val="1A90B016"/>
    <w:rsid w:val="1A932036"/>
    <w:rsid w:val="1AA96EAC"/>
    <w:rsid w:val="1AC97DA3"/>
    <w:rsid w:val="1ACF2D25"/>
    <w:rsid w:val="1AE81B98"/>
    <w:rsid w:val="1B1921F9"/>
    <w:rsid w:val="1B1C3C30"/>
    <w:rsid w:val="1B1CCC74"/>
    <w:rsid w:val="1B2E2F17"/>
    <w:rsid w:val="1B75EAF4"/>
    <w:rsid w:val="1B9E6B3E"/>
    <w:rsid w:val="1B9F1F7B"/>
    <w:rsid w:val="1BC8CF62"/>
    <w:rsid w:val="1BEFCE5B"/>
    <w:rsid w:val="1C03B193"/>
    <w:rsid w:val="1C1021E7"/>
    <w:rsid w:val="1C1583FD"/>
    <w:rsid w:val="1C48E955"/>
    <w:rsid w:val="1C5CFD8A"/>
    <w:rsid w:val="1CC42F6B"/>
    <w:rsid w:val="1CC8CE55"/>
    <w:rsid w:val="1CF743C7"/>
    <w:rsid w:val="1D703F7E"/>
    <w:rsid w:val="1D72B9EC"/>
    <w:rsid w:val="1D9C3F39"/>
    <w:rsid w:val="1DA1722A"/>
    <w:rsid w:val="1DBF733A"/>
    <w:rsid w:val="1DE509C1"/>
    <w:rsid w:val="1DEA1443"/>
    <w:rsid w:val="1DF909E2"/>
    <w:rsid w:val="1E0F1186"/>
    <w:rsid w:val="1E10B02A"/>
    <w:rsid w:val="1E278EE1"/>
    <w:rsid w:val="1E29C842"/>
    <w:rsid w:val="1E50D28A"/>
    <w:rsid w:val="1E74E656"/>
    <w:rsid w:val="1E7A8881"/>
    <w:rsid w:val="1EAB39ED"/>
    <w:rsid w:val="1EF3C17A"/>
    <w:rsid w:val="1F0CDA4A"/>
    <w:rsid w:val="1F348E8A"/>
    <w:rsid w:val="1F36F014"/>
    <w:rsid w:val="1F619F32"/>
    <w:rsid w:val="1F7C4C76"/>
    <w:rsid w:val="1F7E307E"/>
    <w:rsid w:val="1F9CDDB0"/>
    <w:rsid w:val="1FA936DA"/>
    <w:rsid w:val="1FDCADC9"/>
    <w:rsid w:val="2043E7FE"/>
    <w:rsid w:val="20908DD6"/>
    <w:rsid w:val="20A39270"/>
    <w:rsid w:val="20E4F27A"/>
    <w:rsid w:val="2102685D"/>
    <w:rsid w:val="2117EFDD"/>
    <w:rsid w:val="2118CD5A"/>
    <w:rsid w:val="2149E683"/>
    <w:rsid w:val="214C1A32"/>
    <w:rsid w:val="2151F5A4"/>
    <w:rsid w:val="219152C3"/>
    <w:rsid w:val="21AA0C7F"/>
    <w:rsid w:val="21AB53BB"/>
    <w:rsid w:val="21AD3337"/>
    <w:rsid w:val="21BFA180"/>
    <w:rsid w:val="21C309DA"/>
    <w:rsid w:val="21DA68DB"/>
    <w:rsid w:val="21DF5DC2"/>
    <w:rsid w:val="22090F29"/>
    <w:rsid w:val="2217BD0B"/>
    <w:rsid w:val="223859DA"/>
    <w:rsid w:val="224CBA23"/>
    <w:rsid w:val="22547CD7"/>
    <w:rsid w:val="2256D11C"/>
    <w:rsid w:val="2282732B"/>
    <w:rsid w:val="228D6313"/>
    <w:rsid w:val="229D187E"/>
    <w:rsid w:val="22BEBCBB"/>
    <w:rsid w:val="22D2DC0C"/>
    <w:rsid w:val="2306BFB8"/>
    <w:rsid w:val="2314A3BA"/>
    <w:rsid w:val="233CFAB5"/>
    <w:rsid w:val="233FAA64"/>
    <w:rsid w:val="235093C3"/>
    <w:rsid w:val="235C9793"/>
    <w:rsid w:val="236D4CE7"/>
    <w:rsid w:val="2372E535"/>
    <w:rsid w:val="237A6AC3"/>
    <w:rsid w:val="23900D30"/>
    <w:rsid w:val="239B5C3A"/>
    <w:rsid w:val="23A5A584"/>
    <w:rsid w:val="23B610AC"/>
    <w:rsid w:val="23B74542"/>
    <w:rsid w:val="23D95B13"/>
    <w:rsid w:val="240C7BAF"/>
    <w:rsid w:val="242C6FA9"/>
    <w:rsid w:val="2444A99D"/>
    <w:rsid w:val="24A06A60"/>
    <w:rsid w:val="24A8E4E1"/>
    <w:rsid w:val="24AB1426"/>
    <w:rsid w:val="24B38BB6"/>
    <w:rsid w:val="24BCE855"/>
    <w:rsid w:val="24D63011"/>
    <w:rsid w:val="24F8825B"/>
    <w:rsid w:val="2507A45C"/>
    <w:rsid w:val="253581F3"/>
    <w:rsid w:val="256416CF"/>
    <w:rsid w:val="25B8B993"/>
    <w:rsid w:val="25D2D344"/>
    <w:rsid w:val="25DD6A11"/>
    <w:rsid w:val="260431F2"/>
    <w:rsid w:val="260F0428"/>
    <w:rsid w:val="261F8499"/>
    <w:rsid w:val="2656F63E"/>
    <w:rsid w:val="2662A0FA"/>
    <w:rsid w:val="2672801D"/>
    <w:rsid w:val="2686A7C4"/>
    <w:rsid w:val="269C2D1C"/>
    <w:rsid w:val="26BE69AF"/>
    <w:rsid w:val="26D44371"/>
    <w:rsid w:val="26ED1A9D"/>
    <w:rsid w:val="270F3044"/>
    <w:rsid w:val="272A505D"/>
    <w:rsid w:val="273C6C5E"/>
    <w:rsid w:val="27413B94"/>
    <w:rsid w:val="2750DB21"/>
    <w:rsid w:val="277218F3"/>
    <w:rsid w:val="27C63F53"/>
    <w:rsid w:val="27D134ED"/>
    <w:rsid w:val="27F11228"/>
    <w:rsid w:val="27F76D24"/>
    <w:rsid w:val="280DD427"/>
    <w:rsid w:val="2810302F"/>
    <w:rsid w:val="28157CC0"/>
    <w:rsid w:val="28174E29"/>
    <w:rsid w:val="28245F03"/>
    <w:rsid w:val="2843156D"/>
    <w:rsid w:val="286010E8"/>
    <w:rsid w:val="2885B897"/>
    <w:rsid w:val="28AD7E20"/>
    <w:rsid w:val="28BDCF1B"/>
    <w:rsid w:val="28C59B04"/>
    <w:rsid w:val="28D4A28F"/>
    <w:rsid w:val="28D9EFD8"/>
    <w:rsid w:val="28E162E4"/>
    <w:rsid w:val="28F686D0"/>
    <w:rsid w:val="29319C6F"/>
    <w:rsid w:val="29652E36"/>
    <w:rsid w:val="297DEF19"/>
    <w:rsid w:val="29957181"/>
    <w:rsid w:val="29CA6377"/>
    <w:rsid w:val="29DC4F6C"/>
    <w:rsid w:val="29EF6A6F"/>
    <w:rsid w:val="2A027EB2"/>
    <w:rsid w:val="2A050529"/>
    <w:rsid w:val="2A3D4381"/>
    <w:rsid w:val="2A5B1A9F"/>
    <w:rsid w:val="2AA34D6C"/>
    <w:rsid w:val="2AAA3950"/>
    <w:rsid w:val="2AB0838E"/>
    <w:rsid w:val="2ABD9851"/>
    <w:rsid w:val="2AE74594"/>
    <w:rsid w:val="2B3B7761"/>
    <w:rsid w:val="2B5055B3"/>
    <w:rsid w:val="2B56B2AA"/>
    <w:rsid w:val="2B585831"/>
    <w:rsid w:val="2B5C1EAD"/>
    <w:rsid w:val="2B675529"/>
    <w:rsid w:val="2B68F375"/>
    <w:rsid w:val="2BCFB093"/>
    <w:rsid w:val="2C086A34"/>
    <w:rsid w:val="2C1FE4A7"/>
    <w:rsid w:val="2C33C2C1"/>
    <w:rsid w:val="2C3FEF20"/>
    <w:rsid w:val="2C6B2BDC"/>
    <w:rsid w:val="2C70DA79"/>
    <w:rsid w:val="2C72BF2B"/>
    <w:rsid w:val="2C97D54E"/>
    <w:rsid w:val="2CB3FAF5"/>
    <w:rsid w:val="2CB5BC91"/>
    <w:rsid w:val="2CC8F987"/>
    <w:rsid w:val="2CD163D3"/>
    <w:rsid w:val="2D038763"/>
    <w:rsid w:val="2D0A775D"/>
    <w:rsid w:val="2D1A3521"/>
    <w:rsid w:val="2D300B67"/>
    <w:rsid w:val="2D5C6525"/>
    <w:rsid w:val="2D6F567A"/>
    <w:rsid w:val="2D739C68"/>
    <w:rsid w:val="2D744950"/>
    <w:rsid w:val="2D93AE68"/>
    <w:rsid w:val="2D9E52C7"/>
    <w:rsid w:val="2DC9ADA2"/>
    <w:rsid w:val="2DD25682"/>
    <w:rsid w:val="2DD6D149"/>
    <w:rsid w:val="2DF22C2A"/>
    <w:rsid w:val="2DF9BC04"/>
    <w:rsid w:val="2E0E8F8C"/>
    <w:rsid w:val="2E191E96"/>
    <w:rsid w:val="2E413B32"/>
    <w:rsid w:val="2E63A37E"/>
    <w:rsid w:val="2E706B61"/>
    <w:rsid w:val="2E70D513"/>
    <w:rsid w:val="2E7BC107"/>
    <w:rsid w:val="2E7C69D4"/>
    <w:rsid w:val="2E7CFED0"/>
    <w:rsid w:val="2E8334B9"/>
    <w:rsid w:val="2E85B62E"/>
    <w:rsid w:val="2EA32C66"/>
    <w:rsid w:val="2EAB181A"/>
    <w:rsid w:val="2EB53909"/>
    <w:rsid w:val="2EB87948"/>
    <w:rsid w:val="2EF90CF3"/>
    <w:rsid w:val="2F176113"/>
    <w:rsid w:val="2F25A973"/>
    <w:rsid w:val="2F38D6D4"/>
    <w:rsid w:val="2F542432"/>
    <w:rsid w:val="2F57C3FD"/>
    <w:rsid w:val="2F6C6C40"/>
    <w:rsid w:val="2F7DFDFE"/>
    <w:rsid w:val="2F81965E"/>
    <w:rsid w:val="2F921170"/>
    <w:rsid w:val="2FB368BF"/>
    <w:rsid w:val="2FF01C79"/>
    <w:rsid w:val="30124077"/>
    <w:rsid w:val="3023C1BF"/>
    <w:rsid w:val="30275DC6"/>
    <w:rsid w:val="302F5C80"/>
    <w:rsid w:val="303C1EEE"/>
    <w:rsid w:val="3041F3E2"/>
    <w:rsid w:val="305761C5"/>
    <w:rsid w:val="305CB7EF"/>
    <w:rsid w:val="30923F23"/>
    <w:rsid w:val="30B69EA9"/>
    <w:rsid w:val="30BB1FB6"/>
    <w:rsid w:val="30FDF0FF"/>
    <w:rsid w:val="3106F9A3"/>
    <w:rsid w:val="310DD77C"/>
    <w:rsid w:val="311F98CC"/>
    <w:rsid w:val="31413F78"/>
    <w:rsid w:val="3146304E"/>
    <w:rsid w:val="3147B474"/>
    <w:rsid w:val="31681C2B"/>
    <w:rsid w:val="319A87C0"/>
    <w:rsid w:val="319E3525"/>
    <w:rsid w:val="31B31C78"/>
    <w:rsid w:val="31D73BA2"/>
    <w:rsid w:val="31FB57F8"/>
    <w:rsid w:val="321C3CE7"/>
    <w:rsid w:val="3221DC8D"/>
    <w:rsid w:val="32265BCB"/>
    <w:rsid w:val="323090A3"/>
    <w:rsid w:val="325B4DE1"/>
    <w:rsid w:val="325E6C21"/>
    <w:rsid w:val="3260C0CF"/>
    <w:rsid w:val="3262D457"/>
    <w:rsid w:val="3277AA8F"/>
    <w:rsid w:val="328A85CD"/>
    <w:rsid w:val="32960A67"/>
    <w:rsid w:val="32E454FE"/>
    <w:rsid w:val="32EF544F"/>
    <w:rsid w:val="3300F58F"/>
    <w:rsid w:val="330D7819"/>
    <w:rsid w:val="332FE238"/>
    <w:rsid w:val="33348706"/>
    <w:rsid w:val="33354E35"/>
    <w:rsid w:val="334CE08A"/>
    <w:rsid w:val="3379EE9C"/>
    <w:rsid w:val="339D8AD8"/>
    <w:rsid w:val="339F2BB7"/>
    <w:rsid w:val="33B8A90D"/>
    <w:rsid w:val="33BF8237"/>
    <w:rsid w:val="34199236"/>
    <w:rsid w:val="345012FC"/>
    <w:rsid w:val="3484D41F"/>
    <w:rsid w:val="348BB935"/>
    <w:rsid w:val="34C053F4"/>
    <w:rsid w:val="35292C75"/>
    <w:rsid w:val="3538C702"/>
    <w:rsid w:val="3544FD83"/>
    <w:rsid w:val="356B3820"/>
    <w:rsid w:val="356F9B57"/>
    <w:rsid w:val="35810E3D"/>
    <w:rsid w:val="35A723CE"/>
    <w:rsid w:val="35E16A0E"/>
    <w:rsid w:val="35E43245"/>
    <w:rsid w:val="363FB644"/>
    <w:rsid w:val="365FE38F"/>
    <w:rsid w:val="366A55CC"/>
    <w:rsid w:val="368F5F84"/>
    <w:rsid w:val="369EF11A"/>
    <w:rsid w:val="36A198C6"/>
    <w:rsid w:val="36A29968"/>
    <w:rsid w:val="36A367D1"/>
    <w:rsid w:val="36A774F4"/>
    <w:rsid w:val="36B7FC80"/>
    <w:rsid w:val="36BD326D"/>
    <w:rsid w:val="36C30E79"/>
    <w:rsid w:val="36DAED75"/>
    <w:rsid w:val="3703DA00"/>
    <w:rsid w:val="37382284"/>
    <w:rsid w:val="37551247"/>
    <w:rsid w:val="37637B43"/>
    <w:rsid w:val="377B17AA"/>
    <w:rsid w:val="3780B948"/>
    <w:rsid w:val="37842DD2"/>
    <w:rsid w:val="37889AD6"/>
    <w:rsid w:val="37896067"/>
    <w:rsid w:val="378E7B7B"/>
    <w:rsid w:val="37A90BBE"/>
    <w:rsid w:val="37B95544"/>
    <w:rsid w:val="37DC153E"/>
    <w:rsid w:val="37E7C34D"/>
    <w:rsid w:val="38160C18"/>
    <w:rsid w:val="38191FD2"/>
    <w:rsid w:val="3822407B"/>
    <w:rsid w:val="382C42DB"/>
    <w:rsid w:val="383E69C9"/>
    <w:rsid w:val="3859F00E"/>
    <w:rsid w:val="385FB5F8"/>
    <w:rsid w:val="386D9B7E"/>
    <w:rsid w:val="38709144"/>
    <w:rsid w:val="388C5D23"/>
    <w:rsid w:val="3895CDFA"/>
    <w:rsid w:val="38A52557"/>
    <w:rsid w:val="38C185C0"/>
    <w:rsid w:val="38C29A62"/>
    <w:rsid w:val="38D45C28"/>
    <w:rsid w:val="38F470AF"/>
    <w:rsid w:val="3902DABC"/>
    <w:rsid w:val="3904A323"/>
    <w:rsid w:val="390C0D87"/>
    <w:rsid w:val="393B25EA"/>
    <w:rsid w:val="396758B4"/>
    <w:rsid w:val="3980F530"/>
    <w:rsid w:val="39A11EE6"/>
    <w:rsid w:val="39A13421"/>
    <w:rsid w:val="39F0B1D7"/>
    <w:rsid w:val="39FF9E9C"/>
    <w:rsid w:val="3A0413D2"/>
    <w:rsid w:val="3A1D917F"/>
    <w:rsid w:val="3A213173"/>
    <w:rsid w:val="3A3C0E9E"/>
    <w:rsid w:val="3A528D82"/>
    <w:rsid w:val="3A63DB24"/>
    <w:rsid w:val="3A6884A6"/>
    <w:rsid w:val="3A74FD66"/>
    <w:rsid w:val="3A8D3F9A"/>
    <w:rsid w:val="3A9B9101"/>
    <w:rsid w:val="3AAE30AA"/>
    <w:rsid w:val="3AB7B459"/>
    <w:rsid w:val="3ABCF7AB"/>
    <w:rsid w:val="3AC11C55"/>
    <w:rsid w:val="3B2EF856"/>
    <w:rsid w:val="3B2FCD9C"/>
    <w:rsid w:val="3B35080D"/>
    <w:rsid w:val="3B3773B8"/>
    <w:rsid w:val="3B3E5A5B"/>
    <w:rsid w:val="3B4C8C84"/>
    <w:rsid w:val="3B6149E8"/>
    <w:rsid w:val="3B638639"/>
    <w:rsid w:val="3B9AF80A"/>
    <w:rsid w:val="3BB07B3F"/>
    <w:rsid w:val="3BC7A7CF"/>
    <w:rsid w:val="3BC7B307"/>
    <w:rsid w:val="3BE854E8"/>
    <w:rsid w:val="3C0E0EF9"/>
    <w:rsid w:val="3C33016B"/>
    <w:rsid w:val="3C34AD3B"/>
    <w:rsid w:val="3C370FE3"/>
    <w:rsid w:val="3C3F1E13"/>
    <w:rsid w:val="3C5C26BD"/>
    <w:rsid w:val="3C8FF73F"/>
    <w:rsid w:val="3CC06EF3"/>
    <w:rsid w:val="3CC3A2DF"/>
    <w:rsid w:val="3CC47261"/>
    <w:rsid w:val="3D013B36"/>
    <w:rsid w:val="3D2AFC16"/>
    <w:rsid w:val="3D489884"/>
    <w:rsid w:val="3D6A5E93"/>
    <w:rsid w:val="3D6B6FF1"/>
    <w:rsid w:val="3D75EFE8"/>
    <w:rsid w:val="3DA33978"/>
    <w:rsid w:val="3DCCFFD0"/>
    <w:rsid w:val="3DE2B752"/>
    <w:rsid w:val="3DE487FC"/>
    <w:rsid w:val="3DF00E31"/>
    <w:rsid w:val="3E02282B"/>
    <w:rsid w:val="3E1DF189"/>
    <w:rsid w:val="3E268915"/>
    <w:rsid w:val="3E2DE746"/>
    <w:rsid w:val="3E4AC006"/>
    <w:rsid w:val="3E6491D7"/>
    <w:rsid w:val="3E66AB69"/>
    <w:rsid w:val="3E83EA3D"/>
    <w:rsid w:val="3E999E48"/>
    <w:rsid w:val="3E99A140"/>
    <w:rsid w:val="3EB73D4E"/>
    <w:rsid w:val="3EE468E5"/>
    <w:rsid w:val="3EFB719C"/>
    <w:rsid w:val="3F14CC27"/>
    <w:rsid w:val="3F2C9E3B"/>
    <w:rsid w:val="3F5760F4"/>
    <w:rsid w:val="3F675EA7"/>
    <w:rsid w:val="3F6D8189"/>
    <w:rsid w:val="3FBD7F54"/>
    <w:rsid w:val="3FC0C7CB"/>
    <w:rsid w:val="3FC224D5"/>
    <w:rsid w:val="3FECB2E6"/>
    <w:rsid w:val="40259A19"/>
    <w:rsid w:val="40457D71"/>
    <w:rsid w:val="40505EC7"/>
    <w:rsid w:val="406FE733"/>
    <w:rsid w:val="40706681"/>
    <w:rsid w:val="407DBC63"/>
    <w:rsid w:val="408E2FD8"/>
    <w:rsid w:val="40DADAF4"/>
    <w:rsid w:val="40E2CC30"/>
    <w:rsid w:val="41175EE2"/>
    <w:rsid w:val="41626BD6"/>
    <w:rsid w:val="417AD9BB"/>
    <w:rsid w:val="4187BC42"/>
    <w:rsid w:val="419E2A81"/>
    <w:rsid w:val="41A8958E"/>
    <w:rsid w:val="41E2D7F0"/>
    <w:rsid w:val="41F15ADC"/>
    <w:rsid w:val="41F3791D"/>
    <w:rsid w:val="420858AC"/>
    <w:rsid w:val="421837BD"/>
    <w:rsid w:val="421EA031"/>
    <w:rsid w:val="4236148B"/>
    <w:rsid w:val="42401C21"/>
    <w:rsid w:val="42A792A0"/>
    <w:rsid w:val="42C6B00E"/>
    <w:rsid w:val="42D38882"/>
    <w:rsid w:val="431EE0DB"/>
    <w:rsid w:val="4349702C"/>
    <w:rsid w:val="4350F64C"/>
    <w:rsid w:val="4355C381"/>
    <w:rsid w:val="4358B185"/>
    <w:rsid w:val="438EBB08"/>
    <w:rsid w:val="4394B77B"/>
    <w:rsid w:val="439C4B62"/>
    <w:rsid w:val="43A6C2D9"/>
    <w:rsid w:val="43BD325A"/>
    <w:rsid w:val="43D843FA"/>
    <w:rsid w:val="43E0337C"/>
    <w:rsid w:val="43F02E9A"/>
    <w:rsid w:val="43F04AE8"/>
    <w:rsid w:val="43F15ABA"/>
    <w:rsid w:val="43F69854"/>
    <w:rsid w:val="4405D7A1"/>
    <w:rsid w:val="444EF952"/>
    <w:rsid w:val="445F9F87"/>
    <w:rsid w:val="44715C06"/>
    <w:rsid w:val="44847EDC"/>
    <w:rsid w:val="4497192E"/>
    <w:rsid w:val="44B059CB"/>
    <w:rsid w:val="44BEA0CB"/>
    <w:rsid w:val="44CA06C2"/>
    <w:rsid w:val="44F14022"/>
    <w:rsid w:val="44F2EA15"/>
    <w:rsid w:val="44F7A78A"/>
    <w:rsid w:val="451122C1"/>
    <w:rsid w:val="4514318D"/>
    <w:rsid w:val="45462DB7"/>
    <w:rsid w:val="45700562"/>
    <w:rsid w:val="4579C3A1"/>
    <w:rsid w:val="457A99E7"/>
    <w:rsid w:val="460034A5"/>
    <w:rsid w:val="4623901D"/>
    <w:rsid w:val="462BE3EA"/>
    <w:rsid w:val="46571EEA"/>
    <w:rsid w:val="467271DA"/>
    <w:rsid w:val="46838797"/>
    <w:rsid w:val="468ACB37"/>
    <w:rsid w:val="46A28439"/>
    <w:rsid w:val="46D60A18"/>
    <w:rsid w:val="46F21154"/>
    <w:rsid w:val="470985AF"/>
    <w:rsid w:val="470ADF28"/>
    <w:rsid w:val="4725F62E"/>
    <w:rsid w:val="4727B23B"/>
    <w:rsid w:val="4730770F"/>
    <w:rsid w:val="473109F5"/>
    <w:rsid w:val="473D8054"/>
    <w:rsid w:val="478417B7"/>
    <w:rsid w:val="47C3B949"/>
    <w:rsid w:val="47D635B4"/>
    <w:rsid w:val="47E94D8B"/>
    <w:rsid w:val="47EA00A6"/>
    <w:rsid w:val="47F8225B"/>
    <w:rsid w:val="47F94033"/>
    <w:rsid w:val="48515C47"/>
    <w:rsid w:val="4873CD87"/>
    <w:rsid w:val="4893D54F"/>
    <w:rsid w:val="4896F3D3"/>
    <w:rsid w:val="48C7AB4D"/>
    <w:rsid w:val="48D782F0"/>
    <w:rsid w:val="48E0590C"/>
    <w:rsid w:val="48F8084B"/>
    <w:rsid w:val="490C4646"/>
    <w:rsid w:val="492929BD"/>
    <w:rsid w:val="492ED74C"/>
    <w:rsid w:val="492FC952"/>
    <w:rsid w:val="4930E6DF"/>
    <w:rsid w:val="493D2F4C"/>
    <w:rsid w:val="49701A81"/>
    <w:rsid w:val="49872AED"/>
    <w:rsid w:val="49ABBAC6"/>
    <w:rsid w:val="49B9949A"/>
    <w:rsid w:val="49EE17BD"/>
    <w:rsid w:val="49F2D80E"/>
    <w:rsid w:val="4A067CA5"/>
    <w:rsid w:val="4A1B5B59"/>
    <w:rsid w:val="4A23A348"/>
    <w:rsid w:val="4A2890B9"/>
    <w:rsid w:val="4A388DC4"/>
    <w:rsid w:val="4A59A93C"/>
    <w:rsid w:val="4A60B83A"/>
    <w:rsid w:val="4A633C1C"/>
    <w:rsid w:val="4A845B57"/>
    <w:rsid w:val="4A8F050A"/>
    <w:rsid w:val="4AAD2A96"/>
    <w:rsid w:val="4ACD7675"/>
    <w:rsid w:val="4AF23053"/>
    <w:rsid w:val="4B228E0D"/>
    <w:rsid w:val="4B3C646D"/>
    <w:rsid w:val="4B56E702"/>
    <w:rsid w:val="4B59D848"/>
    <w:rsid w:val="4BA241BA"/>
    <w:rsid w:val="4BC9EFD7"/>
    <w:rsid w:val="4BDAF9AB"/>
    <w:rsid w:val="4C05E003"/>
    <w:rsid w:val="4C16C08C"/>
    <w:rsid w:val="4C1D87C3"/>
    <w:rsid w:val="4C4BC0F5"/>
    <w:rsid w:val="4C7D279B"/>
    <w:rsid w:val="4C963000"/>
    <w:rsid w:val="4C9A3196"/>
    <w:rsid w:val="4CC93102"/>
    <w:rsid w:val="4CD2085E"/>
    <w:rsid w:val="4CDC4FB1"/>
    <w:rsid w:val="4D2A8315"/>
    <w:rsid w:val="4D69EFC3"/>
    <w:rsid w:val="4D735177"/>
    <w:rsid w:val="4D76748A"/>
    <w:rsid w:val="4D77EF2B"/>
    <w:rsid w:val="4D7A61FE"/>
    <w:rsid w:val="4D86179D"/>
    <w:rsid w:val="4DFFAF27"/>
    <w:rsid w:val="4E197A6F"/>
    <w:rsid w:val="4E52237F"/>
    <w:rsid w:val="4E6131A3"/>
    <w:rsid w:val="4EA62435"/>
    <w:rsid w:val="4ECCEDE3"/>
    <w:rsid w:val="4ED21429"/>
    <w:rsid w:val="4ED4AA62"/>
    <w:rsid w:val="4EDD97EC"/>
    <w:rsid w:val="4EE66897"/>
    <w:rsid w:val="4F0B8541"/>
    <w:rsid w:val="4F2EE6D7"/>
    <w:rsid w:val="4F30B7D1"/>
    <w:rsid w:val="4F5A1337"/>
    <w:rsid w:val="4F5DD477"/>
    <w:rsid w:val="4F73395F"/>
    <w:rsid w:val="4F9D77DB"/>
    <w:rsid w:val="4FA490F2"/>
    <w:rsid w:val="4FB7F063"/>
    <w:rsid w:val="4FB8EA06"/>
    <w:rsid w:val="4FC630B5"/>
    <w:rsid w:val="4FC85E12"/>
    <w:rsid w:val="4FDC3106"/>
    <w:rsid w:val="4FEA1BF1"/>
    <w:rsid w:val="4FF70A70"/>
    <w:rsid w:val="4FFE156C"/>
    <w:rsid w:val="50626571"/>
    <w:rsid w:val="5082DB89"/>
    <w:rsid w:val="508CF97D"/>
    <w:rsid w:val="5091DEE0"/>
    <w:rsid w:val="50C3ED80"/>
    <w:rsid w:val="50DCD95B"/>
    <w:rsid w:val="510397F4"/>
    <w:rsid w:val="5111E12A"/>
    <w:rsid w:val="5123B305"/>
    <w:rsid w:val="5131CFB0"/>
    <w:rsid w:val="515162E5"/>
    <w:rsid w:val="516CAD51"/>
    <w:rsid w:val="5176E82F"/>
    <w:rsid w:val="51972DB5"/>
    <w:rsid w:val="519B8310"/>
    <w:rsid w:val="51ACF33D"/>
    <w:rsid w:val="51EB53FA"/>
    <w:rsid w:val="51EC36CC"/>
    <w:rsid w:val="52162CCB"/>
    <w:rsid w:val="521D89B9"/>
    <w:rsid w:val="523B4FC1"/>
    <w:rsid w:val="5291A929"/>
    <w:rsid w:val="529260FF"/>
    <w:rsid w:val="52ABAC4E"/>
    <w:rsid w:val="52CA9A73"/>
    <w:rsid w:val="52EF98F2"/>
    <w:rsid w:val="52F38800"/>
    <w:rsid w:val="530C3CA7"/>
    <w:rsid w:val="531FD97F"/>
    <w:rsid w:val="5342D9DE"/>
    <w:rsid w:val="5348F737"/>
    <w:rsid w:val="534DC1C7"/>
    <w:rsid w:val="5350CFA5"/>
    <w:rsid w:val="5350ED59"/>
    <w:rsid w:val="5354F8F0"/>
    <w:rsid w:val="53580C32"/>
    <w:rsid w:val="535C1B57"/>
    <w:rsid w:val="53843CB3"/>
    <w:rsid w:val="5387A69E"/>
    <w:rsid w:val="539D039A"/>
    <w:rsid w:val="53C60DB1"/>
    <w:rsid w:val="540304BC"/>
    <w:rsid w:val="540CAB80"/>
    <w:rsid w:val="5455099D"/>
    <w:rsid w:val="54818736"/>
    <w:rsid w:val="5492B9E5"/>
    <w:rsid w:val="5493E1B8"/>
    <w:rsid w:val="54B220D7"/>
    <w:rsid w:val="54C629F1"/>
    <w:rsid w:val="54C84BFB"/>
    <w:rsid w:val="54CDB204"/>
    <w:rsid w:val="55088E3F"/>
    <w:rsid w:val="552151D5"/>
    <w:rsid w:val="5575220E"/>
    <w:rsid w:val="557B915B"/>
    <w:rsid w:val="557E5C3E"/>
    <w:rsid w:val="55BC7CD4"/>
    <w:rsid w:val="55C0DFA4"/>
    <w:rsid w:val="55C520E9"/>
    <w:rsid w:val="55CA01C1"/>
    <w:rsid w:val="55D851FF"/>
    <w:rsid w:val="56367992"/>
    <w:rsid w:val="5646FF53"/>
    <w:rsid w:val="567AE0EE"/>
    <w:rsid w:val="567EFE14"/>
    <w:rsid w:val="569598A3"/>
    <w:rsid w:val="56EE72C1"/>
    <w:rsid w:val="570CD469"/>
    <w:rsid w:val="5731829D"/>
    <w:rsid w:val="575CEB86"/>
    <w:rsid w:val="57888976"/>
    <w:rsid w:val="58257C5F"/>
    <w:rsid w:val="58509A41"/>
    <w:rsid w:val="58956444"/>
    <w:rsid w:val="5898256F"/>
    <w:rsid w:val="589EEDE0"/>
    <w:rsid w:val="58A40738"/>
    <w:rsid w:val="58AD1906"/>
    <w:rsid w:val="58CCAE8C"/>
    <w:rsid w:val="58CDBAE1"/>
    <w:rsid w:val="591FE37D"/>
    <w:rsid w:val="594F784A"/>
    <w:rsid w:val="596D8B5F"/>
    <w:rsid w:val="596E3FCE"/>
    <w:rsid w:val="5983C4A0"/>
    <w:rsid w:val="598852FC"/>
    <w:rsid w:val="599D6FA9"/>
    <w:rsid w:val="59B67AA5"/>
    <w:rsid w:val="59F072FF"/>
    <w:rsid w:val="5A06DAFF"/>
    <w:rsid w:val="5A4A0725"/>
    <w:rsid w:val="5A6160F7"/>
    <w:rsid w:val="5A9D6722"/>
    <w:rsid w:val="5AA4EBA2"/>
    <w:rsid w:val="5AA5FAD6"/>
    <w:rsid w:val="5AAB729E"/>
    <w:rsid w:val="5AB53A7B"/>
    <w:rsid w:val="5AE360E4"/>
    <w:rsid w:val="5B171526"/>
    <w:rsid w:val="5B781B75"/>
    <w:rsid w:val="5B91649D"/>
    <w:rsid w:val="5B91AF2D"/>
    <w:rsid w:val="5B9BED7F"/>
    <w:rsid w:val="5BB2935F"/>
    <w:rsid w:val="5BB5B798"/>
    <w:rsid w:val="5BE109FE"/>
    <w:rsid w:val="5C2AE65A"/>
    <w:rsid w:val="5C2B43E8"/>
    <w:rsid w:val="5C408505"/>
    <w:rsid w:val="5C56BB66"/>
    <w:rsid w:val="5C76218F"/>
    <w:rsid w:val="5C793E7B"/>
    <w:rsid w:val="5C9B2DFC"/>
    <w:rsid w:val="5C9F70D1"/>
    <w:rsid w:val="5CB1FF28"/>
    <w:rsid w:val="5CB78A6A"/>
    <w:rsid w:val="5CC225D5"/>
    <w:rsid w:val="5CCF6934"/>
    <w:rsid w:val="5D066D87"/>
    <w:rsid w:val="5D20F91C"/>
    <w:rsid w:val="5D41AC98"/>
    <w:rsid w:val="5D439A27"/>
    <w:rsid w:val="5D8420DC"/>
    <w:rsid w:val="5E03C5C6"/>
    <w:rsid w:val="5E1D9C37"/>
    <w:rsid w:val="5E3CBF08"/>
    <w:rsid w:val="5E3DBDA8"/>
    <w:rsid w:val="5E5033E1"/>
    <w:rsid w:val="5E518FDD"/>
    <w:rsid w:val="5E68C48C"/>
    <w:rsid w:val="5E7A476F"/>
    <w:rsid w:val="5E936C2C"/>
    <w:rsid w:val="5E96870F"/>
    <w:rsid w:val="5EB1F941"/>
    <w:rsid w:val="5EB2BDA6"/>
    <w:rsid w:val="5EB7E796"/>
    <w:rsid w:val="5EF0BC3D"/>
    <w:rsid w:val="5F1AE873"/>
    <w:rsid w:val="5F1B3489"/>
    <w:rsid w:val="5F1F8AB7"/>
    <w:rsid w:val="5F57E9ED"/>
    <w:rsid w:val="5F5E776C"/>
    <w:rsid w:val="5F935266"/>
    <w:rsid w:val="5FA0F9E9"/>
    <w:rsid w:val="5FA3BB2C"/>
    <w:rsid w:val="5FC1442E"/>
    <w:rsid w:val="5FCFBC5A"/>
    <w:rsid w:val="5FD4B305"/>
    <w:rsid w:val="5FDB0A7E"/>
    <w:rsid w:val="5FDE07D9"/>
    <w:rsid w:val="5FEA3363"/>
    <w:rsid w:val="5FF1BA2C"/>
    <w:rsid w:val="5FFD3467"/>
    <w:rsid w:val="5FFE922D"/>
    <w:rsid w:val="6041939F"/>
    <w:rsid w:val="605F22AD"/>
    <w:rsid w:val="61042EBC"/>
    <w:rsid w:val="6117FD89"/>
    <w:rsid w:val="617397D1"/>
    <w:rsid w:val="618180AD"/>
    <w:rsid w:val="6187D467"/>
    <w:rsid w:val="61921D60"/>
    <w:rsid w:val="61A355DE"/>
    <w:rsid w:val="61C1E34C"/>
    <w:rsid w:val="61ECF932"/>
    <w:rsid w:val="623084C3"/>
    <w:rsid w:val="624376B7"/>
    <w:rsid w:val="6248277A"/>
    <w:rsid w:val="6250434A"/>
    <w:rsid w:val="627C0357"/>
    <w:rsid w:val="6290250B"/>
    <w:rsid w:val="62B3AA01"/>
    <w:rsid w:val="62BB4FC3"/>
    <w:rsid w:val="62BC9E5D"/>
    <w:rsid w:val="62C0818A"/>
    <w:rsid w:val="62E79752"/>
    <w:rsid w:val="62F850EB"/>
    <w:rsid w:val="6315DFD7"/>
    <w:rsid w:val="631A3CE2"/>
    <w:rsid w:val="63219880"/>
    <w:rsid w:val="632C12B1"/>
    <w:rsid w:val="632C3472"/>
    <w:rsid w:val="632C9211"/>
    <w:rsid w:val="63740A53"/>
    <w:rsid w:val="63EA3E56"/>
    <w:rsid w:val="6410CF93"/>
    <w:rsid w:val="64235EB6"/>
    <w:rsid w:val="642CE20C"/>
    <w:rsid w:val="6431C170"/>
    <w:rsid w:val="6445D3B6"/>
    <w:rsid w:val="6445F8A6"/>
    <w:rsid w:val="647830B8"/>
    <w:rsid w:val="648C885F"/>
    <w:rsid w:val="64AA8F7E"/>
    <w:rsid w:val="64C1F3EB"/>
    <w:rsid w:val="64D5BDF9"/>
    <w:rsid w:val="64D713B6"/>
    <w:rsid w:val="65032203"/>
    <w:rsid w:val="6509F378"/>
    <w:rsid w:val="655E68B3"/>
    <w:rsid w:val="6584B1A4"/>
    <w:rsid w:val="65A39EDB"/>
    <w:rsid w:val="65DF2DCF"/>
    <w:rsid w:val="6629521B"/>
    <w:rsid w:val="6640F73C"/>
    <w:rsid w:val="665BDDAC"/>
    <w:rsid w:val="6664542C"/>
    <w:rsid w:val="66A4A818"/>
    <w:rsid w:val="66BCCF29"/>
    <w:rsid w:val="66D00BB9"/>
    <w:rsid w:val="66F1C26E"/>
    <w:rsid w:val="672C294C"/>
    <w:rsid w:val="67443A1D"/>
    <w:rsid w:val="6752A319"/>
    <w:rsid w:val="6754029F"/>
    <w:rsid w:val="6765D500"/>
    <w:rsid w:val="6766EB8C"/>
    <w:rsid w:val="67884E25"/>
    <w:rsid w:val="678A7A10"/>
    <w:rsid w:val="67A0F8F0"/>
    <w:rsid w:val="67A27244"/>
    <w:rsid w:val="67AFFF99"/>
    <w:rsid w:val="67C1B276"/>
    <w:rsid w:val="67C407EA"/>
    <w:rsid w:val="67DFE0D9"/>
    <w:rsid w:val="681E5A6A"/>
    <w:rsid w:val="683E78A0"/>
    <w:rsid w:val="68418C70"/>
    <w:rsid w:val="687E65E2"/>
    <w:rsid w:val="68A0432F"/>
    <w:rsid w:val="68BA25F2"/>
    <w:rsid w:val="68C13CEF"/>
    <w:rsid w:val="68CEF5E8"/>
    <w:rsid w:val="68EA1404"/>
    <w:rsid w:val="6909E60A"/>
    <w:rsid w:val="691FB3D3"/>
    <w:rsid w:val="691FE9C3"/>
    <w:rsid w:val="695486A4"/>
    <w:rsid w:val="69CA18C6"/>
    <w:rsid w:val="69FD6210"/>
    <w:rsid w:val="6A4E6404"/>
    <w:rsid w:val="6A6B6702"/>
    <w:rsid w:val="6A6F28BA"/>
    <w:rsid w:val="6A75FF2F"/>
    <w:rsid w:val="6A9716B1"/>
    <w:rsid w:val="6A9FE216"/>
    <w:rsid w:val="6AA8CF63"/>
    <w:rsid w:val="6AB9D7C3"/>
    <w:rsid w:val="6ACB936F"/>
    <w:rsid w:val="6ADA84D6"/>
    <w:rsid w:val="6AE5D396"/>
    <w:rsid w:val="6B0B807E"/>
    <w:rsid w:val="6B7071B8"/>
    <w:rsid w:val="6B80F2E6"/>
    <w:rsid w:val="6B895985"/>
    <w:rsid w:val="6B8A8AD1"/>
    <w:rsid w:val="6B9472F0"/>
    <w:rsid w:val="6B9C19DA"/>
    <w:rsid w:val="6C155EFC"/>
    <w:rsid w:val="6C273439"/>
    <w:rsid w:val="6C2AFAFB"/>
    <w:rsid w:val="6C3D7F90"/>
    <w:rsid w:val="6C59067B"/>
    <w:rsid w:val="6C5DF5F0"/>
    <w:rsid w:val="6C6CD2CC"/>
    <w:rsid w:val="6C8C4C06"/>
    <w:rsid w:val="6CB0EAF4"/>
    <w:rsid w:val="6CB136FD"/>
    <w:rsid w:val="6CC657E5"/>
    <w:rsid w:val="6D1A4A95"/>
    <w:rsid w:val="6D1C8446"/>
    <w:rsid w:val="6D206744"/>
    <w:rsid w:val="6D4C66E6"/>
    <w:rsid w:val="6D603376"/>
    <w:rsid w:val="6D62A95A"/>
    <w:rsid w:val="6D717258"/>
    <w:rsid w:val="6D7D5D38"/>
    <w:rsid w:val="6DE3139F"/>
    <w:rsid w:val="6DE39F42"/>
    <w:rsid w:val="6DEAD55D"/>
    <w:rsid w:val="6E02F548"/>
    <w:rsid w:val="6E0393D7"/>
    <w:rsid w:val="6E497F93"/>
    <w:rsid w:val="6E5A5AD0"/>
    <w:rsid w:val="6E702288"/>
    <w:rsid w:val="6EA367A4"/>
    <w:rsid w:val="6EBEAE7C"/>
    <w:rsid w:val="6EFE172D"/>
    <w:rsid w:val="6F17BF3A"/>
    <w:rsid w:val="6F3A62BB"/>
    <w:rsid w:val="6F3C6C39"/>
    <w:rsid w:val="6F5C21EA"/>
    <w:rsid w:val="6F60D980"/>
    <w:rsid w:val="6F64C2C3"/>
    <w:rsid w:val="6F76AACD"/>
    <w:rsid w:val="6FCF1FE3"/>
    <w:rsid w:val="70036DD6"/>
    <w:rsid w:val="704A4004"/>
    <w:rsid w:val="704B33F4"/>
    <w:rsid w:val="708F3D4E"/>
    <w:rsid w:val="70C78BFC"/>
    <w:rsid w:val="70CC1A1E"/>
    <w:rsid w:val="70D58001"/>
    <w:rsid w:val="70F74D7E"/>
    <w:rsid w:val="713B43C0"/>
    <w:rsid w:val="7142C279"/>
    <w:rsid w:val="715499F1"/>
    <w:rsid w:val="717CF5BD"/>
    <w:rsid w:val="71A7C34A"/>
    <w:rsid w:val="71BB157D"/>
    <w:rsid w:val="71C99060"/>
    <w:rsid w:val="71CB5C0E"/>
    <w:rsid w:val="71CD92D9"/>
    <w:rsid w:val="71D7A4FA"/>
    <w:rsid w:val="71F17042"/>
    <w:rsid w:val="722E97E6"/>
    <w:rsid w:val="72408929"/>
    <w:rsid w:val="726BD175"/>
    <w:rsid w:val="726F1768"/>
    <w:rsid w:val="7291BBDC"/>
    <w:rsid w:val="729DA0BC"/>
    <w:rsid w:val="72C60AA7"/>
    <w:rsid w:val="731F0F65"/>
    <w:rsid w:val="734393AB"/>
    <w:rsid w:val="734905B1"/>
    <w:rsid w:val="737B31DE"/>
    <w:rsid w:val="738A1DAB"/>
    <w:rsid w:val="73976C39"/>
    <w:rsid w:val="739C8C9D"/>
    <w:rsid w:val="73A609E1"/>
    <w:rsid w:val="7404066F"/>
    <w:rsid w:val="740CA810"/>
    <w:rsid w:val="74169109"/>
    <w:rsid w:val="74531EAF"/>
    <w:rsid w:val="7454A596"/>
    <w:rsid w:val="74735F82"/>
    <w:rsid w:val="7475B0B2"/>
    <w:rsid w:val="7491B4B9"/>
    <w:rsid w:val="74B4F20B"/>
    <w:rsid w:val="74C70E08"/>
    <w:rsid w:val="74CE470D"/>
    <w:rsid w:val="74EBD1B4"/>
    <w:rsid w:val="74FD924E"/>
    <w:rsid w:val="751CED75"/>
    <w:rsid w:val="7524CD4B"/>
    <w:rsid w:val="753F7338"/>
    <w:rsid w:val="75CC9F69"/>
    <w:rsid w:val="75ED168B"/>
    <w:rsid w:val="75FCDCF0"/>
    <w:rsid w:val="760E28BE"/>
    <w:rsid w:val="76115F58"/>
    <w:rsid w:val="76457CE3"/>
    <w:rsid w:val="76502772"/>
    <w:rsid w:val="76676297"/>
    <w:rsid w:val="769BBFFD"/>
    <w:rsid w:val="76A4CDE3"/>
    <w:rsid w:val="76C7B999"/>
    <w:rsid w:val="770F071F"/>
    <w:rsid w:val="7728F82E"/>
    <w:rsid w:val="7752FC10"/>
    <w:rsid w:val="7762A470"/>
    <w:rsid w:val="776A5A7D"/>
    <w:rsid w:val="776EF760"/>
    <w:rsid w:val="77A1A963"/>
    <w:rsid w:val="77AAAB42"/>
    <w:rsid w:val="77C5A6E4"/>
    <w:rsid w:val="77DA0DE3"/>
    <w:rsid w:val="77DDA979"/>
    <w:rsid w:val="77DE73AC"/>
    <w:rsid w:val="77E93B63"/>
    <w:rsid w:val="78075866"/>
    <w:rsid w:val="780FE619"/>
    <w:rsid w:val="7892364A"/>
    <w:rsid w:val="78965249"/>
    <w:rsid w:val="78991791"/>
    <w:rsid w:val="78A486DE"/>
    <w:rsid w:val="78A7829E"/>
    <w:rsid w:val="78DD2800"/>
    <w:rsid w:val="79193722"/>
    <w:rsid w:val="7927178A"/>
    <w:rsid w:val="794AF816"/>
    <w:rsid w:val="795FD843"/>
    <w:rsid w:val="798270CC"/>
    <w:rsid w:val="798F1B19"/>
    <w:rsid w:val="7999B5AE"/>
    <w:rsid w:val="79B2E683"/>
    <w:rsid w:val="79B654A2"/>
    <w:rsid w:val="79DFB5B2"/>
    <w:rsid w:val="7A0D75C9"/>
    <w:rsid w:val="7A1E6E5E"/>
    <w:rsid w:val="7A300C50"/>
    <w:rsid w:val="7A3FEAA1"/>
    <w:rsid w:val="7A4CB98E"/>
    <w:rsid w:val="7A9261AB"/>
    <w:rsid w:val="7AA2E1EE"/>
    <w:rsid w:val="7AA69822"/>
    <w:rsid w:val="7AC88B00"/>
    <w:rsid w:val="7AC8F2C4"/>
    <w:rsid w:val="7AE78C2B"/>
    <w:rsid w:val="7AE9A4BF"/>
    <w:rsid w:val="7B1AB96C"/>
    <w:rsid w:val="7B24953A"/>
    <w:rsid w:val="7B6FDBA2"/>
    <w:rsid w:val="7B867B26"/>
    <w:rsid w:val="7BCF7ACD"/>
    <w:rsid w:val="7BD67821"/>
    <w:rsid w:val="7C04080A"/>
    <w:rsid w:val="7C08709F"/>
    <w:rsid w:val="7C0E6939"/>
    <w:rsid w:val="7C1E7182"/>
    <w:rsid w:val="7C5A5CBC"/>
    <w:rsid w:val="7C63CE16"/>
    <w:rsid w:val="7C941E97"/>
    <w:rsid w:val="7CAB533B"/>
    <w:rsid w:val="7CAC91DA"/>
    <w:rsid w:val="7CFC692A"/>
    <w:rsid w:val="7D0DA451"/>
    <w:rsid w:val="7D1540EF"/>
    <w:rsid w:val="7D311E5C"/>
    <w:rsid w:val="7D31A1E8"/>
    <w:rsid w:val="7D39C951"/>
    <w:rsid w:val="7D4087B1"/>
    <w:rsid w:val="7D75B12E"/>
    <w:rsid w:val="7DBF207D"/>
    <w:rsid w:val="7DC6FA09"/>
    <w:rsid w:val="7E04238F"/>
    <w:rsid w:val="7E11C710"/>
    <w:rsid w:val="7E1B2D45"/>
    <w:rsid w:val="7E206854"/>
    <w:rsid w:val="7E43B121"/>
    <w:rsid w:val="7E784BD0"/>
    <w:rsid w:val="7EA43440"/>
    <w:rsid w:val="7EAF0893"/>
    <w:rsid w:val="7F5687B1"/>
    <w:rsid w:val="7F5C9DDA"/>
    <w:rsid w:val="7F604B0D"/>
    <w:rsid w:val="7F67311F"/>
    <w:rsid w:val="7F824A12"/>
    <w:rsid w:val="7F8CF323"/>
    <w:rsid w:val="7FBF1E87"/>
    <w:rsid w:val="7FC055E8"/>
    <w:rsid w:val="7FC52215"/>
    <w:rsid w:val="7FF67F1F"/>
    <w:rsid w:val="7FFEE73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BCB8E6"/>
  <w15:docId w15:val="{D172A560-129B-4EB7-BEF1-0AFE20C7B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HAnsi"/>
        <w:sz w:val="24"/>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ind w:left="220"/>
      <w:outlineLvl w:val="0"/>
    </w:pPr>
    <w:rPr>
      <w:b/>
      <w:bCs/>
      <w:sz w:val="28"/>
      <w:szCs w:val="28"/>
    </w:rPr>
  </w:style>
  <w:style w:type="paragraph" w:styleId="Heading2">
    <w:name w:val="heading 2"/>
    <w:basedOn w:val="Normal"/>
    <w:uiPriority w:val="9"/>
    <w:unhideWhenUsed/>
    <w:qFormat/>
    <w:pPr>
      <w:spacing w:before="76"/>
      <w:ind w:left="220"/>
      <w:outlineLvl w:val="1"/>
    </w:pPr>
    <w:rPr>
      <w:sz w:val="28"/>
      <w:szCs w:val="28"/>
    </w:rPr>
  </w:style>
  <w:style w:type="paragraph" w:styleId="Heading3">
    <w:name w:val="heading 3"/>
    <w:basedOn w:val="Normal"/>
    <w:uiPriority w:val="9"/>
    <w:unhideWhenUsed/>
    <w:qFormat/>
    <w:pPr>
      <w:spacing w:line="279" w:lineRule="exact"/>
      <w:ind w:left="220"/>
      <w:outlineLvl w:val="2"/>
    </w:pPr>
    <w:rPr>
      <w:sz w:val="25"/>
      <w:szCs w:val="25"/>
    </w:rPr>
  </w:style>
  <w:style w:type="paragraph" w:styleId="Heading4">
    <w:name w:val="heading 4"/>
    <w:basedOn w:val="Normal"/>
    <w:uiPriority w:val="9"/>
    <w:unhideWhenUsed/>
    <w:qFormat/>
    <w:pPr>
      <w:spacing w:line="269" w:lineRule="exact"/>
      <w:ind w:left="220"/>
      <w:outlineLvl w:val="3"/>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36"/>
      <w:ind w:left="220"/>
    </w:pPr>
  </w:style>
  <w:style w:type="paragraph" w:styleId="BodyText">
    <w:name w:val="Body Text"/>
    <w:basedOn w:val="Normal"/>
    <w:link w:val="BodyTextChar"/>
    <w:uiPriority w:val="1"/>
    <w:qFormat/>
    <w:rPr>
      <w:szCs w:val="24"/>
    </w:rPr>
  </w:style>
  <w:style w:type="paragraph" w:styleId="ListParagraph">
    <w:name w:val="List Paragraph"/>
    <w:basedOn w:val="Normal"/>
    <w:link w:val="ListParagraphChar"/>
    <w:uiPriority w:val="34"/>
    <w:qFormat/>
    <w:pPr>
      <w:ind w:left="940" w:hanging="360"/>
    </w:pPr>
  </w:style>
  <w:style w:type="paragraph" w:customStyle="1" w:styleId="TableParagraph">
    <w:name w:val="Table Paragraph"/>
    <w:basedOn w:val="Normal"/>
    <w:uiPriority w:val="1"/>
    <w:qFormat/>
    <w:pPr>
      <w:ind w:left="107"/>
    </w:pPr>
  </w:style>
  <w:style w:type="paragraph" w:styleId="NoSpacing">
    <w:name w:val="No Spacing"/>
    <w:uiPriority w:val="1"/>
    <w:qFormat/>
    <w:rsid w:val="00DE2FE1"/>
    <w:rPr>
      <w:rFonts w:ascii="Garamond" w:eastAsia="Garamond" w:hAnsi="Garamond" w:cs="Garamond"/>
      <w:lang w:bidi="en-US"/>
    </w:rPr>
  </w:style>
  <w:style w:type="paragraph" w:styleId="FootnoteText">
    <w:name w:val="footnote text"/>
    <w:basedOn w:val="Normal"/>
    <w:link w:val="FootnoteTextChar"/>
    <w:uiPriority w:val="99"/>
    <w:unhideWhenUsed/>
    <w:rsid w:val="00C249D9"/>
    <w:rPr>
      <w:sz w:val="20"/>
    </w:rPr>
  </w:style>
  <w:style w:type="character" w:customStyle="1" w:styleId="FootnoteTextChar">
    <w:name w:val="Footnote Text Char"/>
    <w:basedOn w:val="DefaultParagraphFont"/>
    <w:link w:val="FootnoteText"/>
    <w:uiPriority w:val="99"/>
    <w:rsid w:val="00C249D9"/>
    <w:rPr>
      <w:rFonts w:ascii="Garamond" w:eastAsia="Garamond" w:hAnsi="Garamond" w:cs="Garamond"/>
      <w:sz w:val="20"/>
      <w:szCs w:val="20"/>
      <w:lang w:bidi="en-US"/>
    </w:rPr>
  </w:style>
  <w:style w:type="character" w:styleId="FootnoteReference">
    <w:name w:val="footnote reference"/>
    <w:basedOn w:val="DefaultParagraphFont"/>
    <w:uiPriority w:val="99"/>
    <w:unhideWhenUsed/>
    <w:rsid w:val="00C249D9"/>
    <w:rPr>
      <w:vertAlign w:val="superscript"/>
    </w:rPr>
  </w:style>
  <w:style w:type="character" w:styleId="Hyperlink">
    <w:name w:val="Hyperlink"/>
    <w:basedOn w:val="DefaultParagraphFont"/>
    <w:uiPriority w:val="99"/>
    <w:unhideWhenUsed/>
    <w:rsid w:val="0088053D"/>
    <w:rPr>
      <w:color w:val="0000FF" w:themeColor="hyperlink"/>
      <w:u w:val="single"/>
    </w:rPr>
  </w:style>
  <w:style w:type="character" w:styleId="UnresolvedMention">
    <w:name w:val="Unresolved Mention"/>
    <w:basedOn w:val="DefaultParagraphFont"/>
    <w:uiPriority w:val="99"/>
    <w:semiHidden/>
    <w:unhideWhenUsed/>
    <w:rsid w:val="0088053D"/>
    <w:rPr>
      <w:color w:val="605E5C"/>
      <w:shd w:val="clear" w:color="auto" w:fill="E1DFDD"/>
    </w:rPr>
  </w:style>
  <w:style w:type="table" w:styleId="TableGrid">
    <w:name w:val="Table Grid"/>
    <w:basedOn w:val="TableNormal"/>
    <w:uiPriority w:val="39"/>
    <w:rsid w:val="00D35305"/>
    <w:tblPr>
      <w:tblCellMar>
        <w:left w:w="0" w:type="dxa"/>
        <w:right w:w="0" w:type="dxa"/>
      </w:tblCellMar>
    </w:tblPr>
  </w:style>
  <w:style w:type="character" w:styleId="CommentReference">
    <w:name w:val="annotation reference"/>
    <w:basedOn w:val="DefaultParagraphFont"/>
    <w:uiPriority w:val="99"/>
    <w:semiHidden/>
    <w:unhideWhenUsed/>
    <w:rsid w:val="00866332"/>
    <w:rPr>
      <w:sz w:val="16"/>
      <w:szCs w:val="16"/>
    </w:rPr>
  </w:style>
  <w:style w:type="paragraph" w:styleId="CommentText">
    <w:name w:val="annotation text"/>
    <w:basedOn w:val="Normal"/>
    <w:link w:val="CommentTextChar"/>
    <w:uiPriority w:val="99"/>
    <w:unhideWhenUsed/>
    <w:rsid w:val="00866332"/>
    <w:rPr>
      <w:sz w:val="20"/>
    </w:rPr>
  </w:style>
  <w:style w:type="character" w:customStyle="1" w:styleId="CommentTextChar">
    <w:name w:val="Comment Text Char"/>
    <w:basedOn w:val="DefaultParagraphFont"/>
    <w:link w:val="CommentText"/>
    <w:uiPriority w:val="99"/>
    <w:rsid w:val="00866332"/>
    <w:rPr>
      <w:rFonts w:ascii="Garamond" w:eastAsia="Garamond" w:hAnsi="Garamond" w:cs="Garamond"/>
      <w:sz w:val="20"/>
      <w:szCs w:val="20"/>
      <w:lang w:bidi="en-US"/>
    </w:rPr>
  </w:style>
  <w:style w:type="paragraph" w:styleId="CommentSubject">
    <w:name w:val="annotation subject"/>
    <w:basedOn w:val="CommentText"/>
    <w:next w:val="CommentText"/>
    <w:link w:val="CommentSubjectChar"/>
    <w:uiPriority w:val="99"/>
    <w:semiHidden/>
    <w:unhideWhenUsed/>
    <w:rsid w:val="00866332"/>
    <w:rPr>
      <w:b/>
      <w:bCs/>
    </w:rPr>
  </w:style>
  <w:style w:type="character" w:customStyle="1" w:styleId="CommentSubjectChar">
    <w:name w:val="Comment Subject Char"/>
    <w:basedOn w:val="CommentTextChar"/>
    <w:link w:val="CommentSubject"/>
    <w:uiPriority w:val="99"/>
    <w:semiHidden/>
    <w:rsid w:val="00866332"/>
    <w:rPr>
      <w:rFonts w:ascii="Garamond" w:eastAsia="Garamond" w:hAnsi="Garamond" w:cs="Garamond"/>
      <w:b/>
      <w:bCs/>
      <w:sz w:val="20"/>
      <w:szCs w:val="20"/>
      <w:lang w:bidi="en-US"/>
    </w:rPr>
  </w:style>
  <w:style w:type="paragraph" w:styleId="BalloonText">
    <w:name w:val="Balloon Text"/>
    <w:basedOn w:val="Normal"/>
    <w:link w:val="BalloonTextChar"/>
    <w:uiPriority w:val="99"/>
    <w:semiHidden/>
    <w:unhideWhenUsed/>
    <w:rsid w:val="0086633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6332"/>
    <w:rPr>
      <w:rFonts w:ascii="Segoe UI" w:eastAsia="Garamond" w:hAnsi="Segoe UI" w:cs="Segoe UI"/>
      <w:sz w:val="18"/>
      <w:szCs w:val="18"/>
      <w:lang w:bidi="en-US"/>
    </w:rPr>
  </w:style>
  <w:style w:type="paragraph" w:styleId="Header">
    <w:name w:val="header"/>
    <w:basedOn w:val="Normal"/>
    <w:link w:val="HeaderChar"/>
    <w:uiPriority w:val="99"/>
    <w:unhideWhenUsed/>
    <w:rsid w:val="00AB0EB7"/>
    <w:pPr>
      <w:tabs>
        <w:tab w:val="center" w:pos="4680"/>
        <w:tab w:val="right" w:pos="9360"/>
      </w:tabs>
    </w:pPr>
  </w:style>
  <w:style w:type="character" w:customStyle="1" w:styleId="HeaderChar">
    <w:name w:val="Header Char"/>
    <w:basedOn w:val="DefaultParagraphFont"/>
    <w:link w:val="Header"/>
    <w:uiPriority w:val="99"/>
    <w:rsid w:val="00AB0EB7"/>
    <w:rPr>
      <w:rFonts w:ascii="Garamond" w:eastAsia="Garamond" w:hAnsi="Garamond" w:cs="Garamond"/>
      <w:lang w:bidi="en-US"/>
    </w:rPr>
  </w:style>
  <w:style w:type="paragraph" w:styleId="Footer">
    <w:name w:val="footer"/>
    <w:basedOn w:val="Normal"/>
    <w:link w:val="FooterChar"/>
    <w:uiPriority w:val="99"/>
    <w:unhideWhenUsed/>
    <w:rsid w:val="00AB0EB7"/>
    <w:pPr>
      <w:tabs>
        <w:tab w:val="center" w:pos="4680"/>
        <w:tab w:val="right" w:pos="9360"/>
      </w:tabs>
    </w:pPr>
  </w:style>
  <w:style w:type="character" w:customStyle="1" w:styleId="FooterChar">
    <w:name w:val="Footer Char"/>
    <w:basedOn w:val="DefaultParagraphFont"/>
    <w:link w:val="Footer"/>
    <w:uiPriority w:val="99"/>
    <w:rsid w:val="00AB0EB7"/>
    <w:rPr>
      <w:rFonts w:ascii="Garamond" w:eastAsia="Garamond" w:hAnsi="Garamond" w:cs="Garamond"/>
      <w:lang w:bidi="en-US"/>
    </w:rPr>
  </w:style>
  <w:style w:type="paragraph" w:styleId="EndnoteText">
    <w:name w:val="endnote text"/>
    <w:basedOn w:val="Normal"/>
    <w:link w:val="EndnoteTextChar"/>
    <w:uiPriority w:val="99"/>
    <w:unhideWhenUsed/>
    <w:rsid w:val="00690C6E"/>
    <w:rPr>
      <w:sz w:val="20"/>
    </w:rPr>
  </w:style>
  <w:style w:type="character" w:customStyle="1" w:styleId="EndnoteTextChar">
    <w:name w:val="Endnote Text Char"/>
    <w:basedOn w:val="DefaultParagraphFont"/>
    <w:link w:val="EndnoteText"/>
    <w:uiPriority w:val="99"/>
    <w:rsid w:val="00690C6E"/>
    <w:rPr>
      <w:rFonts w:ascii="Garamond" w:eastAsia="Garamond" w:hAnsi="Garamond" w:cs="Garamond"/>
      <w:sz w:val="20"/>
      <w:szCs w:val="20"/>
      <w:lang w:bidi="en-US"/>
    </w:rPr>
  </w:style>
  <w:style w:type="character" w:styleId="EndnoteReference">
    <w:name w:val="endnote reference"/>
    <w:basedOn w:val="DefaultParagraphFont"/>
    <w:uiPriority w:val="99"/>
    <w:semiHidden/>
    <w:unhideWhenUsed/>
    <w:rsid w:val="00690C6E"/>
    <w:rPr>
      <w:vertAlign w:val="superscript"/>
    </w:rPr>
  </w:style>
  <w:style w:type="paragraph" w:styleId="TOCHeading">
    <w:name w:val="TOC Heading"/>
    <w:basedOn w:val="Heading1"/>
    <w:next w:val="Normal"/>
    <w:uiPriority w:val="39"/>
    <w:unhideWhenUsed/>
    <w:qFormat/>
    <w:rsid w:val="008650F2"/>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paragraph" w:styleId="TOC2">
    <w:name w:val="toc 2"/>
    <w:basedOn w:val="Normal"/>
    <w:next w:val="Normal"/>
    <w:autoRedefine/>
    <w:uiPriority w:val="39"/>
    <w:unhideWhenUsed/>
    <w:rsid w:val="008650F2"/>
    <w:pPr>
      <w:spacing w:after="100"/>
      <w:ind w:left="220"/>
    </w:pPr>
  </w:style>
  <w:style w:type="paragraph" w:styleId="TOC3">
    <w:name w:val="toc 3"/>
    <w:basedOn w:val="Normal"/>
    <w:next w:val="Normal"/>
    <w:autoRedefine/>
    <w:uiPriority w:val="39"/>
    <w:unhideWhenUsed/>
    <w:rsid w:val="008650F2"/>
    <w:pPr>
      <w:spacing w:after="100"/>
      <w:ind w:left="440"/>
    </w:pPr>
  </w:style>
  <w:style w:type="character" w:customStyle="1" w:styleId="BodyTextChar">
    <w:name w:val="Body Text Char"/>
    <w:basedOn w:val="DefaultParagraphFont"/>
    <w:link w:val="BodyText"/>
    <w:uiPriority w:val="1"/>
    <w:rsid w:val="00B129E5"/>
    <w:rPr>
      <w:rFonts w:ascii="Garamond" w:eastAsia="Garamond" w:hAnsi="Garamond" w:cs="Garamond"/>
      <w:sz w:val="24"/>
      <w:szCs w:val="24"/>
      <w:lang w:bidi="en-US"/>
    </w:rPr>
  </w:style>
  <w:style w:type="paragraph" w:customStyle="1" w:styleId="paragraph">
    <w:name w:val="paragraph"/>
    <w:basedOn w:val="Normal"/>
    <w:rsid w:val="00F92C18"/>
    <w:pPr>
      <w:widowControl/>
      <w:autoSpaceDE/>
      <w:autoSpaceDN/>
      <w:spacing w:before="100" w:beforeAutospacing="1" w:after="100" w:afterAutospacing="1"/>
    </w:pPr>
    <w:rPr>
      <w:rFonts w:ascii="Times New Roman" w:eastAsia="Times New Roman" w:hAnsi="Times New Roman" w:cs="Times New Roman"/>
      <w:szCs w:val="24"/>
    </w:rPr>
  </w:style>
  <w:style w:type="character" w:customStyle="1" w:styleId="eop">
    <w:name w:val="eop"/>
    <w:basedOn w:val="DefaultParagraphFont"/>
    <w:rsid w:val="00F92C18"/>
  </w:style>
  <w:style w:type="character" w:customStyle="1" w:styleId="normaltextrun">
    <w:name w:val="normaltextrun"/>
    <w:basedOn w:val="DefaultParagraphFont"/>
    <w:rsid w:val="00F92C18"/>
  </w:style>
  <w:style w:type="paragraph" w:styleId="Revision">
    <w:name w:val="Revision"/>
    <w:hidden/>
    <w:uiPriority w:val="99"/>
    <w:semiHidden/>
    <w:rsid w:val="00915F05"/>
    <w:pPr>
      <w:widowControl/>
      <w:autoSpaceDE/>
      <w:autoSpaceDN/>
    </w:pPr>
  </w:style>
  <w:style w:type="paragraph" w:customStyle="1" w:styleId="footnotedescription">
    <w:name w:val="footnote description"/>
    <w:next w:val="Normal"/>
    <w:link w:val="footnotedescriptionChar"/>
    <w:hidden/>
    <w:rsid w:val="00210581"/>
    <w:pPr>
      <w:widowControl/>
      <w:autoSpaceDE/>
      <w:autoSpaceDN/>
      <w:spacing w:line="246" w:lineRule="auto"/>
    </w:pPr>
    <w:rPr>
      <w:rFonts w:eastAsia="Calibri" w:cs="Calibri"/>
      <w:color w:val="000000"/>
      <w:kern w:val="2"/>
      <w:sz w:val="18"/>
      <w:szCs w:val="24"/>
    </w:rPr>
  </w:style>
  <w:style w:type="character" w:customStyle="1" w:styleId="footnotedescriptionChar">
    <w:name w:val="footnote description Char"/>
    <w:link w:val="footnotedescription"/>
    <w:rsid w:val="00210581"/>
    <w:rPr>
      <w:rFonts w:eastAsia="Calibri" w:cs="Calibri"/>
      <w:color w:val="000000"/>
      <w:kern w:val="2"/>
      <w:sz w:val="18"/>
      <w:szCs w:val="24"/>
    </w:rPr>
  </w:style>
  <w:style w:type="paragraph" w:customStyle="1" w:styleId="Default">
    <w:name w:val="Default"/>
    <w:rsid w:val="00AB690C"/>
    <w:pPr>
      <w:widowControl/>
      <w:adjustRightInd w:val="0"/>
    </w:pPr>
    <w:rPr>
      <w:rFonts w:ascii="Times New Roman" w:hAnsi="Times New Roman" w:cs="Times New Roman"/>
      <w:color w:val="000000"/>
      <w:szCs w:val="24"/>
    </w:rPr>
  </w:style>
  <w:style w:type="table" w:customStyle="1" w:styleId="TableGrid1">
    <w:name w:val="Table Grid1"/>
    <w:basedOn w:val="TableNormal"/>
    <w:next w:val="TableGrid"/>
    <w:uiPriority w:val="59"/>
    <w:rsid w:val="00E37EDE"/>
    <w:pPr>
      <w:widowControl/>
      <w:autoSpaceDE/>
      <w:autoSpaceDN/>
    </w:pPr>
    <w:rPr>
      <w:rFonts w:cs="Times New Roman"/>
      <w:sz w:val="22"/>
      <w:szCs w:val="22"/>
    </w:rPr>
    <w:tblPr>
      <w:tblCellMar>
        <w:left w:w="0" w:type="dxa"/>
        <w:right w:w="0" w:type="dxa"/>
      </w:tblCellMar>
    </w:tblPr>
  </w:style>
  <w:style w:type="table" w:customStyle="1" w:styleId="TableGrid2">
    <w:name w:val="Table Grid2"/>
    <w:basedOn w:val="TableNormal"/>
    <w:next w:val="TableGrid"/>
    <w:uiPriority w:val="39"/>
    <w:rsid w:val="000D12A2"/>
    <w:pPr>
      <w:widowControl/>
      <w:autoSpaceDE/>
      <w:autoSpaceDN/>
    </w:pPr>
    <w:rPr>
      <w:rFonts w:cs="Times New Roman"/>
      <w:sz w:val="22"/>
      <w:szCs w:val="22"/>
    </w:rPr>
    <w:tblPr>
      <w:tblCellMar>
        <w:left w:w="0" w:type="dxa"/>
        <w:right w:w="0" w:type="dxa"/>
      </w:tblCellMar>
    </w:tblPr>
  </w:style>
  <w:style w:type="table" w:customStyle="1" w:styleId="TableGrid3">
    <w:name w:val="Table Grid3"/>
    <w:basedOn w:val="TableNormal"/>
    <w:next w:val="TableGrid"/>
    <w:uiPriority w:val="39"/>
    <w:rsid w:val="00E008CA"/>
    <w:pPr>
      <w:widowControl/>
      <w:autoSpaceDE/>
      <w:autoSpaceDN/>
    </w:pPr>
    <w:rPr>
      <w:rFonts w:cs="Times New Roman"/>
      <w:sz w:val="22"/>
      <w:szCs w:val="22"/>
    </w:rPr>
    <w:tblPr>
      <w:tblCellMar>
        <w:left w:w="0" w:type="dxa"/>
        <w:right w:w="0" w:type="dxa"/>
      </w:tblCellMar>
    </w:tblPr>
  </w:style>
  <w:style w:type="table" w:customStyle="1" w:styleId="TableGrid4">
    <w:name w:val="Table Grid4"/>
    <w:basedOn w:val="TableNormal"/>
    <w:next w:val="TableGrid"/>
    <w:uiPriority w:val="39"/>
    <w:rsid w:val="00E20333"/>
    <w:pPr>
      <w:widowControl/>
      <w:autoSpaceDE/>
      <w:autoSpaceDN/>
    </w:pPr>
    <w:rPr>
      <w:rFonts w:cs="Times New Roman"/>
      <w:sz w:val="22"/>
      <w:szCs w:val="22"/>
    </w:rPr>
    <w:tblPr>
      <w:tblCellMar>
        <w:left w:w="0" w:type="dxa"/>
        <w:right w:w="0" w:type="dxa"/>
      </w:tblCellMar>
    </w:tblPr>
  </w:style>
  <w:style w:type="character" w:styleId="Mention">
    <w:name w:val="Mention"/>
    <w:basedOn w:val="DefaultParagraphFont"/>
    <w:uiPriority w:val="99"/>
    <w:unhideWhenUsed/>
    <w:rsid w:val="009D4738"/>
    <w:rPr>
      <w:color w:val="2B579A"/>
      <w:shd w:val="clear" w:color="auto" w:fill="E1DFDD"/>
    </w:rPr>
  </w:style>
  <w:style w:type="paragraph" w:styleId="NormalWeb">
    <w:name w:val="Normal (Web)"/>
    <w:basedOn w:val="Normal"/>
    <w:uiPriority w:val="99"/>
    <w:semiHidden/>
    <w:unhideWhenUsed/>
    <w:rsid w:val="005A0F74"/>
    <w:rPr>
      <w:rFonts w:ascii="Times New Roman" w:hAnsi="Times New Roman" w:cs="Times New Roman"/>
      <w:szCs w:val="24"/>
    </w:rPr>
  </w:style>
  <w:style w:type="character" w:styleId="FollowedHyperlink">
    <w:name w:val="FollowedHyperlink"/>
    <w:basedOn w:val="DefaultParagraphFont"/>
    <w:uiPriority w:val="99"/>
    <w:semiHidden/>
    <w:unhideWhenUsed/>
    <w:rsid w:val="003206CD"/>
    <w:rPr>
      <w:color w:val="800080" w:themeColor="followedHyperlink"/>
      <w:u w:val="single"/>
    </w:rPr>
  </w:style>
  <w:style w:type="character" w:customStyle="1" w:styleId="ListParagraphChar">
    <w:name w:val="List Paragraph Char"/>
    <w:basedOn w:val="DefaultParagraphFont"/>
    <w:link w:val="ListParagraph"/>
    <w:uiPriority w:val="34"/>
    <w:rsid w:val="008303BC"/>
  </w:style>
  <w:style w:type="paragraph" w:customStyle="1" w:styleId="pf0">
    <w:name w:val="pf0"/>
    <w:basedOn w:val="Normal"/>
    <w:rsid w:val="005D7479"/>
    <w:pPr>
      <w:widowControl/>
      <w:autoSpaceDE/>
      <w:autoSpaceDN/>
      <w:spacing w:before="100" w:beforeAutospacing="1" w:after="100" w:afterAutospacing="1"/>
    </w:pPr>
    <w:rPr>
      <w:rFonts w:ascii="Times New Roman" w:eastAsia="Times New Roman" w:hAnsi="Times New Roman" w:cs="Times New Roman"/>
      <w:szCs w:val="24"/>
    </w:rPr>
  </w:style>
  <w:style w:type="character" w:customStyle="1" w:styleId="cf01">
    <w:name w:val="cf01"/>
    <w:basedOn w:val="DefaultParagraphFont"/>
    <w:rsid w:val="00A7283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763">
      <w:bodyDiv w:val="1"/>
      <w:marLeft w:val="0"/>
      <w:marRight w:val="0"/>
      <w:marTop w:val="0"/>
      <w:marBottom w:val="0"/>
      <w:divBdr>
        <w:top w:val="none" w:sz="0" w:space="0" w:color="auto"/>
        <w:left w:val="none" w:sz="0" w:space="0" w:color="auto"/>
        <w:bottom w:val="none" w:sz="0" w:space="0" w:color="auto"/>
        <w:right w:val="none" w:sz="0" w:space="0" w:color="auto"/>
      </w:divBdr>
    </w:div>
    <w:div w:id="5712261">
      <w:bodyDiv w:val="1"/>
      <w:marLeft w:val="0"/>
      <w:marRight w:val="0"/>
      <w:marTop w:val="0"/>
      <w:marBottom w:val="0"/>
      <w:divBdr>
        <w:top w:val="none" w:sz="0" w:space="0" w:color="auto"/>
        <w:left w:val="none" w:sz="0" w:space="0" w:color="auto"/>
        <w:bottom w:val="none" w:sz="0" w:space="0" w:color="auto"/>
        <w:right w:val="none" w:sz="0" w:space="0" w:color="auto"/>
      </w:divBdr>
    </w:div>
    <w:div w:id="63649101">
      <w:bodyDiv w:val="1"/>
      <w:marLeft w:val="0"/>
      <w:marRight w:val="0"/>
      <w:marTop w:val="0"/>
      <w:marBottom w:val="0"/>
      <w:divBdr>
        <w:top w:val="none" w:sz="0" w:space="0" w:color="auto"/>
        <w:left w:val="none" w:sz="0" w:space="0" w:color="auto"/>
        <w:bottom w:val="none" w:sz="0" w:space="0" w:color="auto"/>
        <w:right w:val="none" w:sz="0" w:space="0" w:color="auto"/>
      </w:divBdr>
    </w:div>
    <w:div w:id="68161237">
      <w:bodyDiv w:val="1"/>
      <w:marLeft w:val="0"/>
      <w:marRight w:val="0"/>
      <w:marTop w:val="0"/>
      <w:marBottom w:val="0"/>
      <w:divBdr>
        <w:top w:val="none" w:sz="0" w:space="0" w:color="auto"/>
        <w:left w:val="none" w:sz="0" w:space="0" w:color="auto"/>
        <w:bottom w:val="none" w:sz="0" w:space="0" w:color="auto"/>
        <w:right w:val="none" w:sz="0" w:space="0" w:color="auto"/>
      </w:divBdr>
    </w:div>
    <w:div w:id="78717580">
      <w:bodyDiv w:val="1"/>
      <w:marLeft w:val="0"/>
      <w:marRight w:val="0"/>
      <w:marTop w:val="0"/>
      <w:marBottom w:val="0"/>
      <w:divBdr>
        <w:top w:val="none" w:sz="0" w:space="0" w:color="auto"/>
        <w:left w:val="none" w:sz="0" w:space="0" w:color="auto"/>
        <w:bottom w:val="none" w:sz="0" w:space="0" w:color="auto"/>
        <w:right w:val="none" w:sz="0" w:space="0" w:color="auto"/>
      </w:divBdr>
    </w:div>
    <w:div w:id="121307873">
      <w:bodyDiv w:val="1"/>
      <w:marLeft w:val="0"/>
      <w:marRight w:val="0"/>
      <w:marTop w:val="0"/>
      <w:marBottom w:val="0"/>
      <w:divBdr>
        <w:top w:val="none" w:sz="0" w:space="0" w:color="auto"/>
        <w:left w:val="none" w:sz="0" w:space="0" w:color="auto"/>
        <w:bottom w:val="none" w:sz="0" w:space="0" w:color="auto"/>
        <w:right w:val="none" w:sz="0" w:space="0" w:color="auto"/>
      </w:divBdr>
    </w:div>
    <w:div w:id="161045577">
      <w:bodyDiv w:val="1"/>
      <w:marLeft w:val="0"/>
      <w:marRight w:val="0"/>
      <w:marTop w:val="0"/>
      <w:marBottom w:val="0"/>
      <w:divBdr>
        <w:top w:val="none" w:sz="0" w:space="0" w:color="auto"/>
        <w:left w:val="none" w:sz="0" w:space="0" w:color="auto"/>
        <w:bottom w:val="none" w:sz="0" w:space="0" w:color="auto"/>
        <w:right w:val="none" w:sz="0" w:space="0" w:color="auto"/>
      </w:divBdr>
    </w:div>
    <w:div w:id="174271434">
      <w:bodyDiv w:val="1"/>
      <w:marLeft w:val="0"/>
      <w:marRight w:val="0"/>
      <w:marTop w:val="0"/>
      <w:marBottom w:val="0"/>
      <w:divBdr>
        <w:top w:val="none" w:sz="0" w:space="0" w:color="auto"/>
        <w:left w:val="none" w:sz="0" w:space="0" w:color="auto"/>
        <w:bottom w:val="none" w:sz="0" w:space="0" w:color="auto"/>
        <w:right w:val="none" w:sz="0" w:space="0" w:color="auto"/>
      </w:divBdr>
    </w:div>
    <w:div w:id="198864495">
      <w:bodyDiv w:val="1"/>
      <w:marLeft w:val="0"/>
      <w:marRight w:val="0"/>
      <w:marTop w:val="0"/>
      <w:marBottom w:val="0"/>
      <w:divBdr>
        <w:top w:val="none" w:sz="0" w:space="0" w:color="auto"/>
        <w:left w:val="none" w:sz="0" w:space="0" w:color="auto"/>
        <w:bottom w:val="none" w:sz="0" w:space="0" w:color="auto"/>
        <w:right w:val="none" w:sz="0" w:space="0" w:color="auto"/>
      </w:divBdr>
      <w:divsChild>
        <w:div w:id="1376850412">
          <w:marLeft w:val="0"/>
          <w:marRight w:val="0"/>
          <w:marTop w:val="0"/>
          <w:marBottom w:val="0"/>
          <w:divBdr>
            <w:top w:val="none" w:sz="0" w:space="0" w:color="auto"/>
            <w:left w:val="none" w:sz="0" w:space="0" w:color="auto"/>
            <w:bottom w:val="none" w:sz="0" w:space="0" w:color="auto"/>
            <w:right w:val="none" w:sz="0" w:space="0" w:color="auto"/>
          </w:divBdr>
        </w:div>
        <w:div w:id="2006086450">
          <w:marLeft w:val="0"/>
          <w:marRight w:val="0"/>
          <w:marTop w:val="0"/>
          <w:marBottom w:val="0"/>
          <w:divBdr>
            <w:top w:val="none" w:sz="0" w:space="0" w:color="auto"/>
            <w:left w:val="none" w:sz="0" w:space="0" w:color="auto"/>
            <w:bottom w:val="none" w:sz="0" w:space="0" w:color="auto"/>
            <w:right w:val="none" w:sz="0" w:space="0" w:color="auto"/>
          </w:divBdr>
        </w:div>
        <w:div w:id="2138445277">
          <w:marLeft w:val="0"/>
          <w:marRight w:val="0"/>
          <w:marTop w:val="0"/>
          <w:marBottom w:val="0"/>
          <w:divBdr>
            <w:top w:val="none" w:sz="0" w:space="0" w:color="auto"/>
            <w:left w:val="none" w:sz="0" w:space="0" w:color="auto"/>
            <w:bottom w:val="none" w:sz="0" w:space="0" w:color="auto"/>
            <w:right w:val="none" w:sz="0" w:space="0" w:color="auto"/>
          </w:divBdr>
        </w:div>
      </w:divsChild>
    </w:div>
    <w:div w:id="255405176">
      <w:bodyDiv w:val="1"/>
      <w:marLeft w:val="0"/>
      <w:marRight w:val="0"/>
      <w:marTop w:val="0"/>
      <w:marBottom w:val="0"/>
      <w:divBdr>
        <w:top w:val="none" w:sz="0" w:space="0" w:color="auto"/>
        <w:left w:val="none" w:sz="0" w:space="0" w:color="auto"/>
        <w:bottom w:val="none" w:sz="0" w:space="0" w:color="auto"/>
        <w:right w:val="none" w:sz="0" w:space="0" w:color="auto"/>
      </w:divBdr>
    </w:div>
    <w:div w:id="282732558">
      <w:bodyDiv w:val="1"/>
      <w:marLeft w:val="0"/>
      <w:marRight w:val="0"/>
      <w:marTop w:val="0"/>
      <w:marBottom w:val="0"/>
      <w:divBdr>
        <w:top w:val="none" w:sz="0" w:space="0" w:color="auto"/>
        <w:left w:val="none" w:sz="0" w:space="0" w:color="auto"/>
        <w:bottom w:val="none" w:sz="0" w:space="0" w:color="auto"/>
        <w:right w:val="none" w:sz="0" w:space="0" w:color="auto"/>
      </w:divBdr>
    </w:div>
    <w:div w:id="303314932">
      <w:bodyDiv w:val="1"/>
      <w:marLeft w:val="0"/>
      <w:marRight w:val="0"/>
      <w:marTop w:val="0"/>
      <w:marBottom w:val="0"/>
      <w:divBdr>
        <w:top w:val="none" w:sz="0" w:space="0" w:color="auto"/>
        <w:left w:val="none" w:sz="0" w:space="0" w:color="auto"/>
        <w:bottom w:val="none" w:sz="0" w:space="0" w:color="auto"/>
        <w:right w:val="none" w:sz="0" w:space="0" w:color="auto"/>
      </w:divBdr>
    </w:div>
    <w:div w:id="327443692">
      <w:bodyDiv w:val="1"/>
      <w:marLeft w:val="0"/>
      <w:marRight w:val="0"/>
      <w:marTop w:val="0"/>
      <w:marBottom w:val="0"/>
      <w:divBdr>
        <w:top w:val="none" w:sz="0" w:space="0" w:color="auto"/>
        <w:left w:val="none" w:sz="0" w:space="0" w:color="auto"/>
        <w:bottom w:val="none" w:sz="0" w:space="0" w:color="auto"/>
        <w:right w:val="none" w:sz="0" w:space="0" w:color="auto"/>
      </w:divBdr>
    </w:div>
    <w:div w:id="398132983">
      <w:bodyDiv w:val="1"/>
      <w:marLeft w:val="0"/>
      <w:marRight w:val="0"/>
      <w:marTop w:val="0"/>
      <w:marBottom w:val="0"/>
      <w:divBdr>
        <w:top w:val="none" w:sz="0" w:space="0" w:color="auto"/>
        <w:left w:val="none" w:sz="0" w:space="0" w:color="auto"/>
        <w:bottom w:val="none" w:sz="0" w:space="0" w:color="auto"/>
        <w:right w:val="none" w:sz="0" w:space="0" w:color="auto"/>
      </w:divBdr>
    </w:div>
    <w:div w:id="414472400">
      <w:bodyDiv w:val="1"/>
      <w:marLeft w:val="0"/>
      <w:marRight w:val="0"/>
      <w:marTop w:val="0"/>
      <w:marBottom w:val="0"/>
      <w:divBdr>
        <w:top w:val="none" w:sz="0" w:space="0" w:color="auto"/>
        <w:left w:val="none" w:sz="0" w:space="0" w:color="auto"/>
        <w:bottom w:val="none" w:sz="0" w:space="0" w:color="auto"/>
        <w:right w:val="none" w:sz="0" w:space="0" w:color="auto"/>
      </w:divBdr>
    </w:div>
    <w:div w:id="432824882">
      <w:bodyDiv w:val="1"/>
      <w:marLeft w:val="0"/>
      <w:marRight w:val="0"/>
      <w:marTop w:val="0"/>
      <w:marBottom w:val="0"/>
      <w:divBdr>
        <w:top w:val="none" w:sz="0" w:space="0" w:color="auto"/>
        <w:left w:val="none" w:sz="0" w:space="0" w:color="auto"/>
        <w:bottom w:val="none" w:sz="0" w:space="0" w:color="auto"/>
        <w:right w:val="none" w:sz="0" w:space="0" w:color="auto"/>
      </w:divBdr>
    </w:div>
    <w:div w:id="497380690">
      <w:bodyDiv w:val="1"/>
      <w:marLeft w:val="0"/>
      <w:marRight w:val="0"/>
      <w:marTop w:val="0"/>
      <w:marBottom w:val="0"/>
      <w:divBdr>
        <w:top w:val="none" w:sz="0" w:space="0" w:color="auto"/>
        <w:left w:val="none" w:sz="0" w:space="0" w:color="auto"/>
        <w:bottom w:val="none" w:sz="0" w:space="0" w:color="auto"/>
        <w:right w:val="none" w:sz="0" w:space="0" w:color="auto"/>
      </w:divBdr>
    </w:div>
    <w:div w:id="510994376">
      <w:bodyDiv w:val="1"/>
      <w:marLeft w:val="0"/>
      <w:marRight w:val="0"/>
      <w:marTop w:val="0"/>
      <w:marBottom w:val="0"/>
      <w:divBdr>
        <w:top w:val="none" w:sz="0" w:space="0" w:color="auto"/>
        <w:left w:val="none" w:sz="0" w:space="0" w:color="auto"/>
        <w:bottom w:val="none" w:sz="0" w:space="0" w:color="auto"/>
        <w:right w:val="none" w:sz="0" w:space="0" w:color="auto"/>
      </w:divBdr>
      <w:divsChild>
        <w:div w:id="367724422">
          <w:marLeft w:val="0"/>
          <w:marRight w:val="0"/>
          <w:marTop w:val="0"/>
          <w:marBottom w:val="0"/>
          <w:divBdr>
            <w:top w:val="none" w:sz="0" w:space="0" w:color="auto"/>
            <w:left w:val="none" w:sz="0" w:space="0" w:color="auto"/>
            <w:bottom w:val="none" w:sz="0" w:space="0" w:color="auto"/>
            <w:right w:val="none" w:sz="0" w:space="0" w:color="auto"/>
          </w:divBdr>
        </w:div>
        <w:div w:id="1372412321">
          <w:marLeft w:val="0"/>
          <w:marRight w:val="0"/>
          <w:marTop w:val="0"/>
          <w:marBottom w:val="0"/>
          <w:divBdr>
            <w:top w:val="none" w:sz="0" w:space="0" w:color="auto"/>
            <w:left w:val="none" w:sz="0" w:space="0" w:color="auto"/>
            <w:bottom w:val="none" w:sz="0" w:space="0" w:color="auto"/>
            <w:right w:val="none" w:sz="0" w:space="0" w:color="auto"/>
          </w:divBdr>
        </w:div>
      </w:divsChild>
    </w:div>
    <w:div w:id="551309561">
      <w:bodyDiv w:val="1"/>
      <w:marLeft w:val="0"/>
      <w:marRight w:val="0"/>
      <w:marTop w:val="0"/>
      <w:marBottom w:val="0"/>
      <w:divBdr>
        <w:top w:val="none" w:sz="0" w:space="0" w:color="auto"/>
        <w:left w:val="none" w:sz="0" w:space="0" w:color="auto"/>
        <w:bottom w:val="none" w:sz="0" w:space="0" w:color="auto"/>
        <w:right w:val="none" w:sz="0" w:space="0" w:color="auto"/>
      </w:divBdr>
    </w:div>
    <w:div w:id="696662024">
      <w:bodyDiv w:val="1"/>
      <w:marLeft w:val="0"/>
      <w:marRight w:val="0"/>
      <w:marTop w:val="0"/>
      <w:marBottom w:val="0"/>
      <w:divBdr>
        <w:top w:val="none" w:sz="0" w:space="0" w:color="auto"/>
        <w:left w:val="none" w:sz="0" w:space="0" w:color="auto"/>
        <w:bottom w:val="none" w:sz="0" w:space="0" w:color="auto"/>
        <w:right w:val="none" w:sz="0" w:space="0" w:color="auto"/>
      </w:divBdr>
    </w:div>
    <w:div w:id="809173158">
      <w:bodyDiv w:val="1"/>
      <w:marLeft w:val="0"/>
      <w:marRight w:val="0"/>
      <w:marTop w:val="0"/>
      <w:marBottom w:val="0"/>
      <w:divBdr>
        <w:top w:val="none" w:sz="0" w:space="0" w:color="auto"/>
        <w:left w:val="none" w:sz="0" w:space="0" w:color="auto"/>
        <w:bottom w:val="none" w:sz="0" w:space="0" w:color="auto"/>
        <w:right w:val="none" w:sz="0" w:space="0" w:color="auto"/>
      </w:divBdr>
    </w:div>
    <w:div w:id="839851681">
      <w:bodyDiv w:val="1"/>
      <w:marLeft w:val="0"/>
      <w:marRight w:val="0"/>
      <w:marTop w:val="0"/>
      <w:marBottom w:val="0"/>
      <w:divBdr>
        <w:top w:val="none" w:sz="0" w:space="0" w:color="auto"/>
        <w:left w:val="none" w:sz="0" w:space="0" w:color="auto"/>
        <w:bottom w:val="none" w:sz="0" w:space="0" w:color="auto"/>
        <w:right w:val="none" w:sz="0" w:space="0" w:color="auto"/>
      </w:divBdr>
    </w:div>
    <w:div w:id="871192039">
      <w:bodyDiv w:val="1"/>
      <w:marLeft w:val="0"/>
      <w:marRight w:val="0"/>
      <w:marTop w:val="0"/>
      <w:marBottom w:val="0"/>
      <w:divBdr>
        <w:top w:val="none" w:sz="0" w:space="0" w:color="auto"/>
        <w:left w:val="none" w:sz="0" w:space="0" w:color="auto"/>
        <w:bottom w:val="none" w:sz="0" w:space="0" w:color="auto"/>
        <w:right w:val="none" w:sz="0" w:space="0" w:color="auto"/>
      </w:divBdr>
    </w:div>
    <w:div w:id="1020203049">
      <w:bodyDiv w:val="1"/>
      <w:marLeft w:val="0"/>
      <w:marRight w:val="0"/>
      <w:marTop w:val="0"/>
      <w:marBottom w:val="0"/>
      <w:divBdr>
        <w:top w:val="none" w:sz="0" w:space="0" w:color="auto"/>
        <w:left w:val="none" w:sz="0" w:space="0" w:color="auto"/>
        <w:bottom w:val="none" w:sz="0" w:space="0" w:color="auto"/>
        <w:right w:val="none" w:sz="0" w:space="0" w:color="auto"/>
      </w:divBdr>
      <w:divsChild>
        <w:div w:id="195775998">
          <w:marLeft w:val="0"/>
          <w:marRight w:val="0"/>
          <w:marTop w:val="0"/>
          <w:marBottom w:val="0"/>
          <w:divBdr>
            <w:top w:val="none" w:sz="0" w:space="0" w:color="auto"/>
            <w:left w:val="none" w:sz="0" w:space="0" w:color="auto"/>
            <w:bottom w:val="none" w:sz="0" w:space="0" w:color="auto"/>
            <w:right w:val="none" w:sz="0" w:space="0" w:color="auto"/>
          </w:divBdr>
        </w:div>
        <w:div w:id="324018283">
          <w:marLeft w:val="0"/>
          <w:marRight w:val="0"/>
          <w:marTop w:val="0"/>
          <w:marBottom w:val="0"/>
          <w:divBdr>
            <w:top w:val="none" w:sz="0" w:space="0" w:color="auto"/>
            <w:left w:val="none" w:sz="0" w:space="0" w:color="auto"/>
            <w:bottom w:val="none" w:sz="0" w:space="0" w:color="auto"/>
            <w:right w:val="none" w:sz="0" w:space="0" w:color="auto"/>
          </w:divBdr>
        </w:div>
        <w:div w:id="534973843">
          <w:marLeft w:val="0"/>
          <w:marRight w:val="0"/>
          <w:marTop w:val="0"/>
          <w:marBottom w:val="0"/>
          <w:divBdr>
            <w:top w:val="none" w:sz="0" w:space="0" w:color="auto"/>
            <w:left w:val="none" w:sz="0" w:space="0" w:color="auto"/>
            <w:bottom w:val="none" w:sz="0" w:space="0" w:color="auto"/>
            <w:right w:val="none" w:sz="0" w:space="0" w:color="auto"/>
          </w:divBdr>
        </w:div>
        <w:div w:id="812017426">
          <w:marLeft w:val="0"/>
          <w:marRight w:val="0"/>
          <w:marTop w:val="0"/>
          <w:marBottom w:val="0"/>
          <w:divBdr>
            <w:top w:val="none" w:sz="0" w:space="0" w:color="auto"/>
            <w:left w:val="none" w:sz="0" w:space="0" w:color="auto"/>
            <w:bottom w:val="none" w:sz="0" w:space="0" w:color="auto"/>
            <w:right w:val="none" w:sz="0" w:space="0" w:color="auto"/>
          </w:divBdr>
        </w:div>
        <w:div w:id="922449652">
          <w:marLeft w:val="0"/>
          <w:marRight w:val="0"/>
          <w:marTop w:val="0"/>
          <w:marBottom w:val="0"/>
          <w:divBdr>
            <w:top w:val="none" w:sz="0" w:space="0" w:color="auto"/>
            <w:left w:val="none" w:sz="0" w:space="0" w:color="auto"/>
            <w:bottom w:val="none" w:sz="0" w:space="0" w:color="auto"/>
            <w:right w:val="none" w:sz="0" w:space="0" w:color="auto"/>
          </w:divBdr>
        </w:div>
        <w:div w:id="971128961">
          <w:marLeft w:val="0"/>
          <w:marRight w:val="0"/>
          <w:marTop w:val="0"/>
          <w:marBottom w:val="0"/>
          <w:divBdr>
            <w:top w:val="none" w:sz="0" w:space="0" w:color="auto"/>
            <w:left w:val="none" w:sz="0" w:space="0" w:color="auto"/>
            <w:bottom w:val="none" w:sz="0" w:space="0" w:color="auto"/>
            <w:right w:val="none" w:sz="0" w:space="0" w:color="auto"/>
          </w:divBdr>
        </w:div>
        <w:div w:id="1099329178">
          <w:marLeft w:val="0"/>
          <w:marRight w:val="0"/>
          <w:marTop w:val="0"/>
          <w:marBottom w:val="0"/>
          <w:divBdr>
            <w:top w:val="none" w:sz="0" w:space="0" w:color="auto"/>
            <w:left w:val="none" w:sz="0" w:space="0" w:color="auto"/>
            <w:bottom w:val="none" w:sz="0" w:space="0" w:color="auto"/>
            <w:right w:val="none" w:sz="0" w:space="0" w:color="auto"/>
          </w:divBdr>
        </w:div>
        <w:div w:id="1106388281">
          <w:marLeft w:val="0"/>
          <w:marRight w:val="0"/>
          <w:marTop w:val="0"/>
          <w:marBottom w:val="0"/>
          <w:divBdr>
            <w:top w:val="none" w:sz="0" w:space="0" w:color="auto"/>
            <w:left w:val="none" w:sz="0" w:space="0" w:color="auto"/>
            <w:bottom w:val="none" w:sz="0" w:space="0" w:color="auto"/>
            <w:right w:val="none" w:sz="0" w:space="0" w:color="auto"/>
          </w:divBdr>
        </w:div>
      </w:divsChild>
    </w:div>
    <w:div w:id="1026637579">
      <w:bodyDiv w:val="1"/>
      <w:marLeft w:val="0"/>
      <w:marRight w:val="0"/>
      <w:marTop w:val="0"/>
      <w:marBottom w:val="0"/>
      <w:divBdr>
        <w:top w:val="none" w:sz="0" w:space="0" w:color="auto"/>
        <w:left w:val="none" w:sz="0" w:space="0" w:color="auto"/>
        <w:bottom w:val="none" w:sz="0" w:space="0" w:color="auto"/>
        <w:right w:val="none" w:sz="0" w:space="0" w:color="auto"/>
      </w:divBdr>
    </w:div>
    <w:div w:id="1032270907">
      <w:bodyDiv w:val="1"/>
      <w:marLeft w:val="0"/>
      <w:marRight w:val="0"/>
      <w:marTop w:val="0"/>
      <w:marBottom w:val="0"/>
      <w:divBdr>
        <w:top w:val="none" w:sz="0" w:space="0" w:color="auto"/>
        <w:left w:val="none" w:sz="0" w:space="0" w:color="auto"/>
        <w:bottom w:val="none" w:sz="0" w:space="0" w:color="auto"/>
        <w:right w:val="none" w:sz="0" w:space="0" w:color="auto"/>
      </w:divBdr>
    </w:div>
    <w:div w:id="1038360665">
      <w:bodyDiv w:val="1"/>
      <w:marLeft w:val="0"/>
      <w:marRight w:val="0"/>
      <w:marTop w:val="0"/>
      <w:marBottom w:val="0"/>
      <w:divBdr>
        <w:top w:val="none" w:sz="0" w:space="0" w:color="auto"/>
        <w:left w:val="none" w:sz="0" w:space="0" w:color="auto"/>
        <w:bottom w:val="none" w:sz="0" w:space="0" w:color="auto"/>
        <w:right w:val="none" w:sz="0" w:space="0" w:color="auto"/>
      </w:divBdr>
    </w:div>
    <w:div w:id="1058550134">
      <w:bodyDiv w:val="1"/>
      <w:marLeft w:val="0"/>
      <w:marRight w:val="0"/>
      <w:marTop w:val="0"/>
      <w:marBottom w:val="0"/>
      <w:divBdr>
        <w:top w:val="none" w:sz="0" w:space="0" w:color="auto"/>
        <w:left w:val="none" w:sz="0" w:space="0" w:color="auto"/>
        <w:bottom w:val="none" w:sz="0" w:space="0" w:color="auto"/>
        <w:right w:val="none" w:sz="0" w:space="0" w:color="auto"/>
      </w:divBdr>
    </w:div>
    <w:div w:id="1069688739">
      <w:bodyDiv w:val="1"/>
      <w:marLeft w:val="0"/>
      <w:marRight w:val="0"/>
      <w:marTop w:val="0"/>
      <w:marBottom w:val="0"/>
      <w:divBdr>
        <w:top w:val="none" w:sz="0" w:space="0" w:color="auto"/>
        <w:left w:val="none" w:sz="0" w:space="0" w:color="auto"/>
        <w:bottom w:val="none" w:sz="0" w:space="0" w:color="auto"/>
        <w:right w:val="none" w:sz="0" w:space="0" w:color="auto"/>
      </w:divBdr>
    </w:div>
    <w:div w:id="1110786032">
      <w:bodyDiv w:val="1"/>
      <w:marLeft w:val="0"/>
      <w:marRight w:val="0"/>
      <w:marTop w:val="0"/>
      <w:marBottom w:val="0"/>
      <w:divBdr>
        <w:top w:val="none" w:sz="0" w:space="0" w:color="auto"/>
        <w:left w:val="none" w:sz="0" w:space="0" w:color="auto"/>
        <w:bottom w:val="none" w:sz="0" w:space="0" w:color="auto"/>
        <w:right w:val="none" w:sz="0" w:space="0" w:color="auto"/>
      </w:divBdr>
    </w:div>
    <w:div w:id="1149857025">
      <w:bodyDiv w:val="1"/>
      <w:marLeft w:val="0"/>
      <w:marRight w:val="0"/>
      <w:marTop w:val="0"/>
      <w:marBottom w:val="0"/>
      <w:divBdr>
        <w:top w:val="none" w:sz="0" w:space="0" w:color="auto"/>
        <w:left w:val="none" w:sz="0" w:space="0" w:color="auto"/>
        <w:bottom w:val="none" w:sz="0" w:space="0" w:color="auto"/>
        <w:right w:val="none" w:sz="0" w:space="0" w:color="auto"/>
      </w:divBdr>
    </w:div>
    <w:div w:id="1171678461">
      <w:bodyDiv w:val="1"/>
      <w:marLeft w:val="0"/>
      <w:marRight w:val="0"/>
      <w:marTop w:val="0"/>
      <w:marBottom w:val="0"/>
      <w:divBdr>
        <w:top w:val="none" w:sz="0" w:space="0" w:color="auto"/>
        <w:left w:val="none" w:sz="0" w:space="0" w:color="auto"/>
        <w:bottom w:val="none" w:sz="0" w:space="0" w:color="auto"/>
        <w:right w:val="none" w:sz="0" w:space="0" w:color="auto"/>
      </w:divBdr>
    </w:div>
    <w:div w:id="1179932650">
      <w:bodyDiv w:val="1"/>
      <w:marLeft w:val="0"/>
      <w:marRight w:val="0"/>
      <w:marTop w:val="0"/>
      <w:marBottom w:val="0"/>
      <w:divBdr>
        <w:top w:val="none" w:sz="0" w:space="0" w:color="auto"/>
        <w:left w:val="none" w:sz="0" w:space="0" w:color="auto"/>
        <w:bottom w:val="none" w:sz="0" w:space="0" w:color="auto"/>
        <w:right w:val="none" w:sz="0" w:space="0" w:color="auto"/>
      </w:divBdr>
    </w:div>
    <w:div w:id="1221945957">
      <w:bodyDiv w:val="1"/>
      <w:marLeft w:val="0"/>
      <w:marRight w:val="0"/>
      <w:marTop w:val="0"/>
      <w:marBottom w:val="0"/>
      <w:divBdr>
        <w:top w:val="none" w:sz="0" w:space="0" w:color="auto"/>
        <w:left w:val="none" w:sz="0" w:space="0" w:color="auto"/>
        <w:bottom w:val="none" w:sz="0" w:space="0" w:color="auto"/>
        <w:right w:val="none" w:sz="0" w:space="0" w:color="auto"/>
      </w:divBdr>
    </w:div>
    <w:div w:id="1286154112">
      <w:bodyDiv w:val="1"/>
      <w:marLeft w:val="0"/>
      <w:marRight w:val="0"/>
      <w:marTop w:val="0"/>
      <w:marBottom w:val="0"/>
      <w:divBdr>
        <w:top w:val="none" w:sz="0" w:space="0" w:color="auto"/>
        <w:left w:val="none" w:sz="0" w:space="0" w:color="auto"/>
        <w:bottom w:val="none" w:sz="0" w:space="0" w:color="auto"/>
        <w:right w:val="none" w:sz="0" w:space="0" w:color="auto"/>
      </w:divBdr>
    </w:div>
    <w:div w:id="1296450339">
      <w:bodyDiv w:val="1"/>
      <w:marLeft w:val="0"/>
      <w:marRight w:val="0"/>
      <w:marTop w:val="0"/>
      <w:marBottom w:val="0"/>
      <w:divBdr>
        <w:top w:val="none" w:sz="0" w:space="0" w:color="auto"/>
        <w:left w:val="none" w:sz="0" w:space="0" w:color="auto"/>
        <w:bottom w:val="none" w:sz="0" w:space="0" w:color="auto"/>
        <w:right w:val="none" w:sz="0" w:space="0" w:color="auto"/>
      </w:divBdr>
    </w:div>
    <w:div w:id="1417246391">
      <w:bodyDiv w:val="1"/>
      <w:marLeft w:val="0"/>
      <w:marRight w:val="0"/>
      <w:marTop w:val="0"/>
      <w:marBottom w:val="0"/>
      <w:divBdr>
        <w:top w:val="none" w:sz="0" w:space="0" w:color="auto"/>
        <w:left w:val="none" w:sz="0" w:space="0" w:color="auto"/>
        <w:bottom w:val="none" w:sz="0" w:space="0" w:color="auto"/>
        <w:right w:val="none" w:sz="0" w:space="0" w:color="auto"/>
      </w:divBdr>
    </w:div>
    <w:div w:id="1432240106">
      <w:bodyDiv w:val="1"/>
      <w:marLeft w:val="0"/>
      <w:marRight w:val="0"/>
      <w:marTop w:val="0"/>
      <w:marBottom w:val="0"/>
      <w:divBdr>
        <w:top w:val="none" w:sz="0" w:space="0" w:color="auto"/>
        <w:left w:val="none" w:sz="0" w:space="0" w:color="auto"/>
        <w:bottom w:val="none" w:sz="0" w:space="0" w:color="auto"/>
        <w:right w:val="none" w:sz="0" w:space="0" w:color="auto"/>
      </w:divBdr>
    </w:div>
    <w:div w:id="1446997336">
      <w:bodyDiv w:val="1"/>
      <w:marLeft w:val="0"/>
      <w:marRight w:val="0"/>
      <w:marTop w:val="0"/>
      <w:marBottom w:val="0"/>
      <w:divBdr>
        <w:top w:val="none" w:sz="0" w:space="0" w:color="auto"/>
        <w:left w:val="none" w:sz="0" w:space="0" w:color="auto"/>
        <w:bottom w:val="none" w:sz="0" w:space="0" w:color="auto"/>
        <w:right w:val="none" w:sz="0" w:space="0" w:color="auto"/>
      </w:divBdr>
    </w:div>
    <w:div w:id="1467358543">
      <w:bodyDiv w:val="1"/>
      <w:marLeft w:val="0"/>
      <w:marRight w:val="0"/>
      <w:marTop w:val="0"/>
      <w:marBottom w:val="0"/>
      <w:divBdr>
        <w:top w:val="none" w:sz="0" w:space="0" w:color="auto"/>
        <w:left w:val="none" w:sz="0" w:space="0" w:color="auto"/>
        <w:bottom w:val="none" w:sz="0" w:space="0" w:color="auto"/>
        <w:right w:val="none" w:sz="0" w:space="0" w:color="auto"/>
      </w:divBdr>
    </w:div>
    <w:div w:id="1508447980">
      <w:bodyDiv w:val="1"/>
      <w:marLeft w:val="0"/>
      <w:marRight w:val="0"/>
      <w:marTop w:val="0"/>
      <w:marBottom w:val="0"/>
      <w:divBdr>
        <w:top w:val="none" w:sz="0" w:space="0" w:color="auto"/>
        <w:left w:val="none" w:sz="0" w:space="0" w:color="auto"/>
        <w:bottom w:val="none" w:sz="0" w:space="0" w:color="auto"/>
        <w:right w:val="none" w:sz="0" w:space="0" w:color="auto"/>
      </w:divBdr>
    </w:div>
    <w:div w:id="1519124840">
      <w:bodyDiv w:val="1"/>
      <w:marLeft w:val="0"/>
      <w:marRight w:val="0"/>
      <w:marTop w:val="0"/>
      <w:marBottom w:val="0"/>
      <w:divBdr>
        <w:top w:val="none" w:sz="0" w:space="0" w:color="auto"/>
        <w:left w:val="none" w:sz="0" w:space="0" w:color="auto"/>
        <w:bottom w:val="none" w:sz="0" w:space="0" w:color="auto"/>
        <w:right w:val="none" w:sz="0" w:space="0" w:color="auto"/>
      </w:divBdr>
    </w:div>
    <w:div w:id="1574508776">
      <w:bodyDiv w:val="1"/>
      <w:marLeft w:val="0"/>
      <w:marRight w:val="0"/>
      <w:marTop w:val="0"/>
      <w:marBottom w:val="0"/>
      <w:divBdr>
        <w:top w:val="none" w:sz="0" w:space="0" w:color="auto"/>
        <w:left w:val="none" w:sz="0" w:space="0" w:color="auto"/>
        <w:bottom w:val="none" w:sz="0" w:space="0" w:color="auto"/>
        <w:right w:val="none" w:sz="0" w:space="0" w:color="auto"/>
      </w:divBdr>
    </w:div>
    <w:div w:id="1623269225">
      <w:bodyDiv w:val="1"/>
      <w:marLeft w:val="0"/>
      <w:marRight w:val="0"/>
      <w:marTop w:val="0"/>
      <w:marBottom w:val="0"/>
      <w:divBdr>
        <w:top w:val="none" w:sz="0" w:space="0" w:color="auto"/>
        <w:left w:val="none" w:sz="0" w:space="0" w:color="auto"/>
        <w:bottom w:val="none" w:sz="0" w:space="0" w:color="auto"/>
        <w:right w:val="none" w:sz="0" w:space="0" w:color="auto"/>
      </w:divBdr>
    </w:div>
    <w:div w:id="1626080939">
      <w:bodyDiv w:val="1"/>
      <w:marLeft w:val="0"/>
      <w:marRight w:val="0"/>
      <w:marTop w:val="0"/>
      <w:marBottom w:val="0"/>
      <w:divBdr>
        <w:top w:val="none" w:sz="0" w:space="0" w:color="auto"/>
        <w:left w:val="none" w:sz="0" w:space="0" w:color="auto"/>
        <w:bottom w:val="none" w:sz="0" w:space="0" w:color="auto"/>
        <w:right w:val="none" w:sz="0" w:space="0" w:color="auto"/>
      </w:divBdr>
    </w:div>
    <w:div w:id="1642421933">
      <w:bodyDiv w:val="1"/>
      <w:marLeft w:val="0"/>
      <w:marRight w:val="0"/>
      <w:marTop w:val="0"/>
      <w:marBottom w:val="0"/>
      <w:divBdr>
        <w:top w:val="none" w:sz="0" w:space="0" w:color="auto"/>
        <w:left w:val="none" w:sz="0" w:space="0" w:color="auto"/>
        <w:bottom w:val="none" w:sz="0" w:space="0" w:color="auto"/>
        <w:right w:val="none" w:sz="0" w:space="0" w:color="auto"/>
      </w:divBdr>
    </w:div>
    <w:div w:id="1751192507">
      <w:bodyDiv w:val="1"/>
      <w:marLeft w:val="0"/>
      <w:marRight w:val="0"/>
      <w:marTop w:val="0"/>
      <w:marBottom w:val="0"/>
      <w:divBdr>
        <w:top w:val="none" w:sz="0" w:space="0" w:color="auto"/>
        <w:left w:val="none" w:sz="0" w:space="0" w:color="auto"/>
        <w:bottom w:val="none" w:sz="0" w:space="0" w:color="auto"/>
        <w:right w:val="none" w:sz="0" w:space="0" w:color="auto"/>
      </w:divBdr>
    </w:div>
    <w:div w:id="1768381437">
      <w:bodyDiv w:val="1"/>
      <w:marLeft w:val="0"/>
      <w:marRight w:val="0"/>
      <w:marTop w:val="0"/>
      <w:marBottom w:val="0"/>
      <w:divBdr>
        <w:top w:val="none" w:sz="0" w:space="0" w:color="auto"/>
        <w:left w:val="none" w:sz="0" w:space="0" w:color="auto"/>
        <w:bottom w:val="none" w:sz="0" w:space="0" w:color="auto"/>
        <w:right w:val="none" w:sz="0" w:space="0" w:color="auto"/>
      </w:divBdr>
    </w:div>
    <w:div w:id="1829247772">
      <w:bodyDiv w:val="1"/>
      <w:marLeft w:val="0"/>
      <w:marRight w:val="0"/>
      <w:marTop w:val="0"/>
      <w:marBottom w:val="0"/>
      <w:divBdr>
        <w:top w:val="none" w:sz="0" w:space="0" w:color="auto"/>
        <w:left w:val="none" w:sz="0" w:space="0" w:color="auto"/>
        <w:bottom w:val="none" w:sz="0" w:space="0" w:color="auto"/>
        <w:right w:val="none" w:sz="0" w:space="0" w:color="auto"/>
      </w:divBdr>
    </w:div>
    <w:div w:id="1858229454">
      <w:bodyDiv w:val="1"/>
      <w:marLeft w:val="0"/>
      <w:marRight w:val="0"/>
      <w:marTop w:val="0"/>
      <w:marBottom w:val="0"/>
      <w:divBdr>
        <w:top w:val="none" w:sz="0" w:space="0" w:color="auto"/>
        <w:left w:val="none" w:sz="0" w:space="0" w:color="auto"/>
        <w:bottom w:val="none" w:sz="0" w:space="0" w:color="auto"/>
        <w:right w:val="none" w:sz="0" w:space="0" w:color="auto"/>
      </w:divBdr>
    </w:div>
    <w:div w:id="1876624013">
      <w:bodyDiv w:val="1"/>
      <w:marLeft w:val="0"/>
      <w:marRight w:val="0"/>
      <w:marTop w:val="0"/>
      <w:marBottom w:val="0"/>
      <w:divBdr>
        <w:top w:val="none" w:sz="0" w:space="0" w:color="auto"/>
        <w:left w:val="none" w:sz="0" w:space="0" w:color="auto"/>
        <w:bottom w:val="none" w:sz="0" w:space="0" w:color="auto"/>
        <w:right w:val="none" w:sz="0" w:space="0" w:color="auto"/>
      </w:divBdr>
      <w:divsChild>
        <w:div w:id="61560601">
          <w:marLeft w:val="0"/>
          <w:marRight w:val="0"/>
          <w:marTop w:val="0"/>
          <w:marBottom w:val="0"/>
          <w:divBdr>
            <w:top w:val="none" w:sz="0" w:space="0" w:color="auto"/>
            <w:left w:val="none" w:sz="0" w:space="0" w:color="auto"/>
            <w:bottom w:val="none" w:sz="0" w:space="0" w:color="auto"/>
            <w:right w:val="none" w:sz="0" w:space="0" w:color="auto"/>
          </w:divBdr>
        </w:div>
        <w:div w:id="90861829">
          <w:marLeft w:val="0"/>
          <w:marRight w:val="0"/>
          <w:marTop w:val="0"/>
          <w:marBottom w:val="0"/>
          <w:divBdr>
            <w:top w:val="none" w:sz="0" w:space="0" w:color="auto"/>
            <w:left w:val="none" w:sz="0" w:space="0" w:color="auto"/>
            <w:bottom w:val="none" w:sz="0" w:space="0" w:color="auto"/>
            <w:right w:val="none" w:sz="0" w:space="0" w:color="auto"/>
          </w:divBdr>
        </w:div>
        <w:div w:id="145438607">
          <w:marLeft w:val="0"/>
          <w:marRight w:val="0"/>
          <w:marTop w:val="0"/>
          <w:marBottom w:val="0"/>
          <w:divBdr>
            <w:top w:val="none" w:sz="0" w:space="0" w:color="auto"/>
            <w:left w:val="none" w:sz="0" w:space="0" w:color="auto"/>
            <w:bottom w:val="none" w:sz="0" w:space="0" w:color="auto"/>
            <w:right w:val="none" w:sz="0" w:space="0" w:color="auto"/>
          </w:divBdr>
        </w:div>
        <w:div w:id="379520144">
          <w:marLeft w:val="0"/>
          <w:marRight w:val="0"/>
          <w:marTop w:val="0"/>
          <w:marBottom w:val="0"/>
          <w:divBdr>
            <w:top w:val="none" w:sz="0" w:space="0" w:color="auto"/>
            <w:left w:val="none" w:sz="0" w:space="0" w:color="auto"/>
            <w:bottom w:val="none" w:sz="0" w:space="0" w:color="auto"/>
            <w:right w:val="none" w:sz="0" w:space="0" w:color="auto"/>
          </w:divBdr>
        </w:div>
        <w:div w:id="678194016">
          <w:marLeft w:val="0"/>
          <w:marRight w:val="0"/>
          <w:marTop w:val="0"/>
          <w:marBottom w:val="0"/>
          <w:divBdr>
            <w:top w:val="none" w:sz="0" w:space="0" w:color="auto"/>
            <w:left w:val="none" w:sz="0" w:space="0" w:color="auto"/>
            <w:bottom w:val="none" w:sz="0" w:space="0" w:color="auto"/>
            <w:right w:val="none" w:sz="0" w:space="0" w:color="auto"/>
          </w:divBdr>
        </w:div>
        <w:div w:id="768158775">
          <w:marLeft w:val="0"/>
          <w:marRight w:val="0"/>
          <w:marTop w:val="0"/>
          <w:marBottom w:val="0"/>
          <w:divBdr>
            <w:top w:val="none" w:sz="0" w:space="0" w:color="auto"/>
            <w:left w:val="none" w:sz="0" w:space="0" w:color="auto"/>
            <w:bottom w:val="none" w:sz="0" w:space="0" w:color="auto"/>
            <w:right w:val="none" w:sz="0" w:space="0" w:color="auto"/>
          </w:divBdr>
        </w:div>
        <w:div w:id="1315573544">
          <w:marLeft w:val="0"/>
          <w:marRight w:val="0"/>
          <w:marTop w:val="0"/>
          <w:marBottom w:val="0"/>
          <w:divBdr>
            <w:top w:val="none" w:sz="0" w:space="0" w:color="auto"/>
            <w:left w:val="none" w:sz="0" w:space="0" w:color="auto"/>
            <w:bottom w:val="none" w:sz="0" w:space="0" w:color="auto"/>
            <w:right w:val="none" w:sz="0" w:space="0" w:color="auto"/>
          </w:divBdr>
        </w:div>
        <w:div w:id="1328941484">
          <w:marLeft w:val="0"/>
          <w:marRight w:val="0"/>
          <w:marTop w:val="0"/>
          <w:marBottom w:val="0"/>
          <w:divBdr>
            <w:top w:val="none" w:sz="0" w:space="0" w:color="auto"/>
            <w:left w:val="none" w:sz="0" w:space="0" w:color="auto"/>
            <w:bottom w:val="none" w:sz="0" w:space="0" w:color="auto"/>
            <w:right w:val="none" w:sz="0" w:space="0" w:color="auto"/>
          </w:divBdr>
        </w:div>
        <w:div w:id="1931153723">
          <w:marLeft w:val="0"/>
          <w:marRight w:val="0"/>
          <w:marTop w:val="0"/>
          <w:marBottom w:val="0"/>
          <w:divBdr>
            <w:top w:val="none" w:sz="0" w:space="0" w:color="auto"/>
            <w:left w:val="none" w:sz="0" w:space="0" w:color="auto"/>
            <w:bottom w:val="none" w:sz="0" w:space="0" w:color="auto"/>
            <w:right w:val="none" w:sz="0" w:space="0" w:color="auto"/>
          </w:divBdr>
        </w:div>
        <w:div w:id="2128155615">
          <w:marLeft w:val="0"/>
          <w:marRight w:val="0"/>
          <w:marTop w:val="0"/>
          <w:marBottom w:val="0"/>
          <w:divBdr>
            <w:top w:val="none" w:sz="0" w:space="0" w:color="auto"/>
            <w:left w:val="none" w:sz="0" w:space="0" w:color="auto"/>
            <w:bottom w:val="none" w:sz="0" w:space="0" w:color="auto"/>
            <w:right w:val="none" w:sz="0" w:space="0" w:color="auto"/>
          </w:divBdr>
        </w:div>
      </w:divsChild>
    </w:div>
    <w:div w:id="1892885440">
      <w:bodyDiv w:val="1"/>
      <w:marLeft w:val="0"/>
      <w:marRight w:val="0"/>
      <w:marTop w:val="0"/>
      <w:marBottom w:val="0"/>
      <w:divBdr>
        <w:top w:val="none" w:sz="0" w:space="0" w:color="auto"/>
        <w:left w:val="none" w:sz="0" w:space="0" w:color="auto"/>
        <w:bottom w:val="none" w:sz="0" w:space="0" w:color="auto"/>
        <w:right w:val="none" w:sz="0" w:space="0" w:color="auto"/>
      </w:divBdr>
    </w:div>
    <w:div w:id="1900240668">
      <w:bodyDiv w:val="1"/>
      <w:marLeft w:val="0"/>
      <w:marRight w:val="0"/>
      <w:marTop w:val="0"/>
      <w:marBottom w:val="0"/>
      <w:divBdr>
        <w:top w:val="none" w:sz="0" w:space="0" w:color="auto"/>
        <w:left w:val="none" w:sz="0" w:space="0" w:color="auto"/>
        <w:bottom w:val="none" w:sz="0" w:space="0" w:color="auto"/>
        <w:right w:val="none" w:sz="0" w:space="0" w:color="auto"/>
      </w:divBdr>
    </w:div>
    <w:div w:id="1902711792">
      <w:bodyDiv w:val="1"/>
      <w:marLeft w:val="0"/>
      <w:marRight w:val="0"/>
      <w:marTop w:val="0"/>
      <w:marBottom w:val="0"/>
      <w:divBdr>
        <w:top w:val="none" w:sz="0" w:space="0" w:color="auto"/>
        <w:left w:val="none" w:sz="0" w:space="0" w:color="auto"/>
        <w:bottom w:val="none" w:sz="0" w:space="0" w:color="auto"/>
        <w:right w:val="none" w:sz="0" w:space="0" w:color="auto"/>
      </w:divBdr>
      <w:divsChild>
        <w:div w:id="505748633">
          <w:marLeft w:val="0"/>
          <w:marRight w:val="0"/>
          <w:marTop w:val="0"/>
          <w:marBottom w:val="0"/>
          <w:divBdr>
            <w:top w:val="none" w:sz="0" w:space="0" w:color="auto"/>
            <w:left w:val="none" w:sz="0" w:space="0" w:color="auto"/>
            <w:bottom w:val="none" w:sz="0" w:space="0" w:color="auto"/>
            <w:right w:val="none" w:sz="0" w:space="0" w:color="auto"/>
          </w:divBdr>
        </w:div>
        <w:div w:id="550770455">
          <w:marLeft w:val="0"/>
          <w:marRight w:val="0"/>
          <w:marTop w:val="0"/>
          <w:marBottom w:val="0"/>
          <w:divBdr>
            <w:top w:val="none" w:sz="0" w:space="0" w:color="auto"/>
            <w:left w:val="none" w:sz="0" w:space="0" w:color="auto"/>
            <w:bottom w:val="none" w:sz="0" w:space="0" w:color="auto"/>
            <w:right w:val="none" w:sz="0" w:space="0" w:color="auto"/>
          </w:divBdr>
        </w:div>
        <w:div w:id="1145973592">
          <w:marLeft w:val="0"/>
          <w:marRight w:val="0"/>
          <w:marTop w:val="0"/>
          <w:marBottom w:val="0"/>
          <w:divBdr>
            <w:top w:val="none" w:sz="0" w:space="0" w:color="auto"/>
            <w:left w:val="none" w:sz="0" w:space="0" w:color="auto"/>
            <w:bottom w:val="none" w:sz="0" w:space="0" w:color="auto"/>
            <w:right w:val="none" w:sz="0" w:space="0" w:color="auto"/>
          </w:divBdr>
        </w:div>
        <w:div w:id="1209416911">
          <w:marLeft w:val="0"/>
          <w:marRight w:val="0"/>
          <w:marTop w:val="0"/>
          <w:marBottom w:val="0"/>
          <w:divBdr>
            <w:top w:val="none" w:sz="0" w:space="0" w:color="auto"/>
            <w:left w:val="none" w:sz="0" w:space="0" w:color="auto"/>
            <w:bottom w:val="none" w:sz="0" w:space="0" w:color="auto"/>
            <w:right w:val="none" w:sz="0" w:space="0" w:color="auto"/>
          </w:divBdr>
        </w:div>
        <w:div w:id="1435050471">
          <w:marLeft w:val="0"/>
          <w:marRight w:val="0"/>
          <w:marTop w:val="0"/>
          <w:marBottom w:val="0"/>
          <w:divBdr>
            <w:top w:val="none" w:sz="0" w:space="0" w:color="auto"/>
            <w:left w:val="none" w:sz="0" w:space="0" w:color="auto"/>
            <w:bottom w:val="none" w:sz="0" w:space="0" w:color="auto"/>
            <w:right w:val="none" w:sz="0" w:space="0" w:color="auto"/>
          </w:divBdr>
        </w:div>
        <w:div w:id="1670056606">
          <w:marLeft w:val="0"/>
          <w:marRight w:val="0"/>
          <w:marTop w:val="0"/>
          <w:marBottom w:val="0"/>
          <w:divBdr>
            <w:top w:val="none" w:sz="0" w:space="0" w:color="auto"/>
            <w:left w:val="none" w:sz="0" w:space="0" w:color="auto"/>
            <w:bottom w:val="none" w:sz="0" w:space="0" w:color="auto"/>
            <w:right w:val="none" w:sz="0" w:space="0" w:color="auto"/>
          </w:divBdr>
        </w:div>
      </w:divsChild>
    </w:div>
    <w:div w:id="1954088097">
      <w:bodyDiv w:val="1"/>
      <w:marLeft w:val="0"/>
      <w:marRight w:val="0"/>
      <w:marTop w:val="0"/>
      <w:marBottom w:val="0"/>
      <w:divBdr>
        <w:top w:val="none" w:sz="0" w:space="0" w:color="auto"/>
        <w:left w:val="none" w:sz="0" w:space="0" w:color="auto"/>
        <w:bottom w:val="none" w:sz="0" w:space="0" w:color="auto"/>
        <w:right w:val="none" w:sz="0" w:space="0" w:color="auto"/>
      </w:divBdr>
    </w:div>
    <w:div w:id="2017462456">
      <w:bodyDiv w:val="1"/>
      <w:marLeft w:val="0"/>
      <w:marRight w:val="0"/>
      <w:marTop w:val="0"/>
      <w:marBottom w:val="0"/>
      <w:divBdr>
        <w:top w:val="none" w:sz="0" w:space="0" w:color="auto"/>
        <w:left w:val="none" w:sz="0" w:space="0" w:color="auto"/>
        <w:bottom w:val="none" w:sz="0" w:space="0" w:color="auto"/>
        <w:right w:val="none" w:sz="0" w:space="0" w:color="auto"/>
      </w:divBdr>
    </w:div>
    <w:div w:id="2026134052">
      <w:bodyDiv w:val="1"/>
      <w:marLeft w:val="0"/>
      <w:marRight w:val="0"/>
      <w:marTop w:val="0"/>
      <w:marBottom w:val="0"/>
      <w:divBdr>
        <w:top w:val="none" w:sz="0" w:space="0" w:color="auto"/>
        <w:left w:val="none" w:sz="0" w:space="0" w:color="auto"/>
        <w:bottom w:val="none" w:sz="0" w:space="0" w:color="auto"/>
        <w:right w:val="none" w:sz="0" w:space="0" w:color="auto"/>
      </w:divBdr>
    </w:div>
    <w:div w:id="2037610597">
      <w:bodyDiv w:val="1"/>
      <w:marLeft w:val="0"/>
      <w:marRight w:val="0"/>
      <w:marTop w:val="0"/>
      <w:marBottom w:val="0"/>
      <w:divBdr>
        <w:top w:val="none" w:sz="0" w:space="0" w:color="auto"/>
        <w:left w:val="none" w:sz="0" w:space="0" w:color="auto"/>
        <w:bottom w:val="none" w:sz="0" w:space="0" w:color="auto"/>
        <w:right w:val="none" w:sz="0" w:space="0" w:color="auto"/>
      </w:divBdr>
    </w:div>
    <w:div w:id="2074545196">
      <w:bodyDiv w:val="1"/>
      <w:marLeft w:val="0"/>
      <w:marRight w:val="0"/>
      <w:marTop w:val="0"/>
      <w:marBottom w:val="0"/>
      <w:divBdr>
        <w:top w:val="none" w:sz="0" w:space="0" w:color="auto"/>
        <w:left w:val="none" w:sz="0" w:space="0" w:color="auto"/>
        <w:bottom w:val="none" w:sz="0" w:space="0" w:color="auto"/>
        <w:right w:val="none" w:sz="0" w:space="0" w:color="auto"/>
      </w:divBdr>
    </w:div>
    <w:div w:id="2095783771">
      <w:bodyDiv w:val="1"/>
      <w:marLeft w:val="0"/>
      <w:marRight w:val="0"/>
      <w:marTop w:val="0"/>
      <w:marBottom w:val="0"/>
      <w:divBdr>
        <w:top w:val="none" w:sz="0" w:space="0" w:color="auto"/>
        <w:left w:val="none" w:sz="0" w:space="0" w:color="auto"/>
        <w:bottom w:val="none" w:sz="0" w:space="0" w:color="auto"/>
        <w:right w:val="none" w:sz="0" w:space="0" w:color="auto"/>
      </w:divBdr>
      <w:divsChild>
        <w:div w:id="227037708">
          <w:marLeft w:val="0"/>
          <w:marRight w:val="0"/>
          <w:marTop w:val="0"/>
          <w:marBottom w:val="0"/>
          <w:divBdr>
            <w:top w:val="none" w:sz="0" w:space="0" w:color="auto"/>
            <w:left w:val="none" w:sz="0" w:space="0" w:color="auto"/>
            <w:bottom w:val="none" w:sz="0" w:space="0" w:color="auto"/>
            <w:right w:val="none" w:sz="0" w:space="0" w:color="auto"/>
          </w:divBdr>
        </w:div>
        <w:div w:id="265815869">
          <w:marLeft w:val="0"/>
          <w:marRight w:val="0"/>
          <w:marTop w:val="0"/>
          <w:marBottom w:val="0"/>
          <w:divBdr>
            <w:top w:val="none" w:sz="0" w:space="0" w:color="auto"/>
            <w:left w:val="none" w:sz="0" w:space="0" w:color="auto"/>
            <w:bottom w:val="none" w:sz="0" w:space="0" w:color="auto"/>
            <w:right w:val="none" w:sz="0" w:space="0" w:color="auto"/>
          </w:divBdr>
        </w:div>
        <w:div w:id="718742056">
          <w:marLeft w:val="0"/>
          <w:marRight w:val="0"/>
          <w:marTop w:val="0"/>
          <w:marBottom w:val="0"/>
          <w:divBdr>
            <w:top w:val="none" w:sz="0" w:space="0" w:color="auto"/>
            <w:left w:val="none" w:sz="0" w:space="0" w:color="auto"/>
            <w:bottom w:val="none" w:sz="0" w:space="0" w:color="auto"/>
            <w:right w:val="none" w:sz="0" w:space="0" w:color="auto"/>
          </w:divBdr>
        </w:div>
        <w:div w:id="775977314">
          <w:marLeft w:val="0"/>
          <w:marRight w:val="0"/>
          <w:marTop w:val="0"/>
          <w:marBottom w:val="0"/>
          <w:divBdr>
            <w:top w:val="none" w:sz="0" w:space="0" w:color="auto"/>
            <w:left w:val="none" w:sz="0" w:space="0" w:color="auto"/>
            <w:bottom w:val="none" w:sz="0" w:space="0" w:color="auto"/>
            <w:right w:val="none" w:sz="0" w:space="0" w:color="auto"/>
          </w:divBdr>
        </w:div>
        <w:div w:id="809711077">
          <w:marLeft w:val="0"/>
          <w:marRight w:val="0"/>
          <w:marTop w:val="0"/>
          <w:marBottom w:val="0"/>
          <w:divBdr>
            <w:top w:val="none" w:sz="0" w:space="0" w:color="auto"/>
            <w:left w:val="none" w:sz="0" w:space="0" w:color="auto"/>
            <w:bottom w:val="none" w:sz="0" w:space="0" w:color="auto"/>
            <w:right w:val="none" w:sz="0" w:space="0" w:color="auto"/>
          </w:divBdr>
        </w:div>
        <w:div w:id="1099789834">
          <w:marLeft w:val="0"/>
          <w:marRight w:val="0"/>
          <w:marTop w:val="0"/>
          <w:marBottom w:val="0"/>
          <w:divBdr>
            <w:top w:val="none" w:sz="0" w:space="0" w:color="auto"/>
            <w:left w:val="none" w:sz="0" w:space="0" w:color="auto"/>
            <w:bottom w:val="none" w:sz="0" w:space="0" w:color="auto"/>
            <w:right w:val="none" w:sz="0" w:space="0" w:color="auto"/>
          </w:divBdr>
        </w:div>
        <w:div w:id="1485702595">
          <w:marLeft w:val="0"/>
          <w:marRight w:val="0"/>
          <w:marTop w:val="0"/>
          <w:marBottom w:val="0"/>
          <w:divBdr>
            <w:top w:val="none" w:sz="0" w:space="0" w:color="auto"/>
            <w:left w:val="none" w:sz="0" w:space="0" w:color="auto"/>
            <w:bottom w:val="none" w:sz="0" w:space="0" w:color="auto"/>
            <w:right w:val="none" w:sz="0" w:space="0" w:color="auto"/>
          </w:divBdr>
        </w:div>
        <w:div w:id="1936591626">
          <w:marLeft w:val="0"/>
          <w:marRight w:val="0"/>
          <w:marTop w:val="0"/>
          <w:marBottom w:val="0"/>
          <w:divBdr>
            <w:top w:val="none" w:sz="0" w:space="0" w:color="auto"/>
            <w:left w:val="none" w:sz="0" w:space="0" w:color="auto"/>
            <w:bottom w:val="none" w:sz="0" w:space="0" w:color="auto"/>
            <w:right w:val="none" w:sz="0" w:space="0" w:color="auto"/>
          </w:divBdr>
        </w:div>
        <w:div w:id="1948123458">
          <w:marLeft w:val="0"/>
          <w:marRight w:val="0"/>
          <w:marTop w:val="0"/>
          <w:marBottom w:val="0"/>
          <w:divBdr>
            <w:top w:val="none" w:sz="0" w:space="0" w:color="auto"/>
            <w:left w:val="none" w:sz="0" w:space="0" w:color="auto"/>
            <w:bottom w:val="none" w:sz="0" w:space="0" w:color="auto"/>
            <w:right w:val="none" w:sz="0" w:space="0" w:color="auto"/>
          </w:divBdr>
        </w:div>
        <w:div w:id="210969237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file:///C:\Users\LClarke\AppData\Local\Microsoft\Windows\INetCache\Content.MSO\BA1840CA.xlsx" TargetMode="Externa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yperlink" Target="mailto:DONCHI@Mass.gov" TargetMode="Externa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mailto:dongrants@hria.org" TargetMode="External"/><Relationship Id="rId23" Type="http://schemas.microsoft.com/office/2020/10/relationships/intelligence" Target="intelligence2.xml"/><Relationship Id="rId10" Type="http://schemas.openxmlformats.org/officeDocument/2006/relationships/header" Target="header2.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DONCHI@Mass.gov" TargetMode="External"/><Relationship Id="rId22" Type="http://schemas.openxmlformats.org/officeDocument/2006/relationships/theme" Target="theme/theme1.xml"/></Relationships>
</file>

<file path=word/_rels/endnotes.xml.rels><?xml version="1.0" encoding="UTF-8" standalone="yes"?>
<Relationships xmlns="http://schemas.openxmlformats.org/package/2006/relationships"><Relationship Id="rId26" Type="http://schemas.openxmlformats.org/officeDocument/2006/relationships/hyperlink" Target="https://www.mayoclinic.org/tests-procedures/endoscopy/about/pac-20395197" TargetMode="External"/><Relationship Id="rId21" Type="http://schemas.openxmlformats.org/officeDocument/2006/relationships/hyperlink" Target="https://donahue.umass.edu/documents/UMDI_V2024_Long-Term_Population_Projections_MCD%2C_County%2C_RPA%2C_State_Age_Sex_detail_2010-2050.xlsx" TargetMode="External"/><Relationship Id="rId42" Type="http://schemas.openxmlformats.org/officeDocument/2006/relationships/hyperlink" Target="https://www.cdc.gov/nccdphp/priorities/colorectal-cancer.html" TargetMode="External"/><Relationship Id="rId47" Type="http://schemas.openxmlformats.org/officeDocument/2006/relationships/hyperlink" Target="https://www.aaos.org/aaosnow/2019/sep/managing/managing02/" TargetMode="External"/><Relationship Id="rId63" Type="http://schemas.openxmlformats.org/officeDocument/2006/relationships/hyperlink" Target="https://ascdata.com/wp-content/uploads/2025/02/ASC-Data-Industry-Overview-February-2025.pdf" TargetMode="External"/><Relationship Id="rId68" Type="http://schemas.openxmlformats.org/officeDocument/2006/relationships/hyperlink" Target="https://www.cdc.gov/nccdphp/priorities/colorectal-cancer.html" TargetMode="External"/><Relationship Id="rId7" Type="http://schemas.openxmlformats.org/officeDocument/2006/relationships/hyperlink" Target="https://www.health.harvard.edu/blog/how-well-do-colonoscopies-prevent-colorectal-cancer-what-you-need-to-know-202210182834" TargetMode="External"/><Relationship Id="rId71" Type="http://schemas.openxmlformats.org/officeDocument/2006/relationships/hyperlink" Target="https://www.asge.org/docs/default-source/default-document-library/quality-indicators-for-gi-endoscopic-procedures.pdf?sfvrsn=e0d2ea51_0" TargetMode="External"/><Relationship Id="rId2" Type="http://schemas.openxmlformats.org/officeDocument/2006/relationships/hyperlink" Target="https://www.chiamass.gov/assets/docs/r/hospital-profiles/2023/FY23-Massachusetts-Hospital-Profiles-Technical-Appendix.pdf" TargetMode="External"/><Relationship Id="rId16" Type="http://schemas.openxmlformats.org/officeDocument/2006/relationships/hyperlink" Target="https://www.cancerresearch.org/blog/colorectal-cancer-awareness-month" TargetMode="External"/><Relationship Id="rId29" Type="http://schemas.openxmlformats.org/officeDocument/2006/relationships/hyperlink" Target="https://pmc.ncbi.nlm.nih.gov/articles/PMC9322671/" TargetMode="External"/><Relationship Id="rId11" Type="http://schemas.openxmlformats.org/officeDocument/2006/relationships/hyperlink" Target="https://www.mass.gov/info-details/archive-of-covid-19-public-health-guidance-and-directives" TargetMode="External"/><Relationship Id="rId24" Type="http://schemas.openxmlformats.org/officeDocument/2006/relationships/hyperlink" Target="https://my.clevelandclinic.org/health/diagnostics/25126-endoscopy" TargetMode="External"/><Relationship Id="rId32" Type="http://schemas.openxmlformats.org/officeDocument/2006/relationships/hyperlink" Target="https://my.clevelandclinic.org/health/procedures/22549-egd-procedure-upper-endoscopy" TargetMode="External"/><Relationship Id="rId37" Type="http://schemas.openxmlformats.org/officeDocument/2006/relationships/hyperlink" Target="https://www.cancer.org/cancer/types/colon-rectal-cancer/about/key-statistics.html" TargetMode="External"/><Relationship Id="rId40" Type="http://schemas.openxmlformats.org/officeDocument/2006/relationships/hyperlink" Target="https://acsjournals.onlinelibrary.wiley.com/doi/10.3322/caac.21772" TargetMode="External"/><Relationship Id="rId45" Type="http://schemas.openxmlformats.org/officeDocument/2006/relationships/hyperlink" Target="https://acsjournals.onlinelibrary.wiley.com/doi/10.1002/cncr.32990" TargetMode="External"/><Relationship Id="rId53" Type="http://schemas.openxmlformats.org/officeDocument/2006/relationships/hyperlink" Target="https://www.medicare.gov/procedure-price-lookup/" TargetMode="External"/><Relationship Id="rId58" Type="http://schemas.openxmlformats.org/officeDocument/2006/relationships/hyperlink" Target="https://www.ascassociation.org/asca/about-ascs/savings/overview" TargetMode="External"/><Relationship Id="rId66" Type="http://schemas.openxmlformats.org/officeDocument/2006/relationships/hyperlink" Target="https://www.cdc.gov/nccdphp/priorities/colorectal-cancer.html" TargetMode="External"/><Relationship Id="rId5" Type="http://schemas.openxmlformats.org/officeDocument/2006/relationships/hyperlink" Target="https://datausa.io/profile/geo/middlesex-county-ma" TargetMode="External"/><Relationship Id="rId61" Type="http://schemas.openxmlformats.org/officeDocument/2006/relationships/hyperlink" Target="https://www.ascassociation.org/asca/about-ascs/savings/medicare-cost-savings/reducing-medicare-costs" TargetMode="External"/><Relationship Id="rId19" Type="http://schemas.openxmlformats.org/officeDocument/2006/relationships/hyperlink" Target="https://www.nejm.org/doi/full/10.1056/NEJMsa2206117" TargetMode="External"/><Relationship Id="rId14" Type="http://schemas.openxmlformats.org/officeDocument/2006/relationships/hyperlink" Target="https://www.npr.org/sections/shots-health-news/2024/11/19/nx-s1-5193027/nationwide-iv-fluid-shortage-intravenous-drugs-hospitals-patient-hydration-helene-hurricane-baxter" TargetMode="External"/><Relationship Id="rId22" Type="http://schemas.openxmlformats.org/officeDocument/2006/relationships/hyperlink" Target="https://donahue.umass.edu/documents/UMDI_V2024_Long-Term_Population_Projections_MCD%2C_County%2C_RPA%2C_State_Age_Sex_detail_2010-2050.xlsx" TargetMode="External"/><Relationship Id="rId27" Type="http://schemas.openxmlformats.org/officeDocument/2006/relationships/hyperlink" Target="https://www.mayoclinic.org/tests-procedures/endoscopy/about/pac-20395197" TargetMode="External"/><Relationship Id="rId30" Type="http://schemas.openxmlformats.org/officeDocument/2006/relationships/hyperlink" Target="https://www.cancer.org/cancer/diagnosis-staging/tests/endoscopy/upper-endoscopy.html" TargetMode="External"/><Relationship Id="rId35" Type="http://schemas.openxmlformats.org/officeDocument/2006/relationships/hyperlink" Target="https://www.cancer.org/cancer/diagnosis-staging/tests/endoscopy/colonoscopy.html" TargetMode="External"/><Relationship Id="rId43" Type="http://schemas.openxmlformats.org/officeDocument/2006/relationships/hyperlink" Target="https://www.cdc.gov/nccdphp/priorities/colorectal-cancer.html" TargetMode="External"/><Relationship Id="rId48" Type="http://schemas.openxmlformats.org/officeDocument/2006/relationships/hyperlink" Target="https://www.ajmc.com/view/prices-and-complications-in-hospital-based-and-freestanding-surgery-centers" TargetMode="External"/><Relationship Id="rId56" Type="http://schemas.openxmlformats.org/officeDocument/2006/relationships/hyperlink" Target="https://www.ascassociation.org/asca/about-ascs/savings/medicare-cost-savings/medicare-cost-savings-tied-to-ascs" TargetMode="External"/><Relationship Id="rId64" Type="http://schemas.openxmlformats.org/officeDocument/2006/relationships/hyperlink" Target="https://www.mass.gov/doc/datapoints-issue-26-printable-version/download" TargetMode="External"/><Relationship Id="rId69" Type="http://schemas.openxmlformats.org/officeDocument/2006/relationships/hyperlink" Target="https://www.cdc.gov/nccdphp/priorities/colorectal-cancer.html" TargetMode="External"/><Relationship Id="rId8" Type="http://schemas.openxmlformats.org/officeDocument/2006/relationships/hyperlink" Target="https://pmc.ncbi.nlm.nih.gov/articles/PMC10788250/" TargetMode="External"/><Relationship Id="rId51" Type="http://schemas.openxmlformats.org/officeDocument/2006/relationships/hyperlink" Target="https://www.americanjournalofsurgery.com/article/S0002-9610(18)31528-9/abstract" TargetMode="External"/><Relationship Id="rId3" Type="http://schemas.openxmlformats.org/officeDocument/2006/relationships/hyperlink" Target="https://datausa.io/profile/geo/suffolk-county-ma;%20https:/datausa.io/profile/geo/middlesex-county-ma" TargetMode="External"/><Relationship Id="rId12" Type="http://schemas.openxmlformats.org/officeDocument/2006/relationships/hyperlink" Target="https://www.fiercehealthcare.com/hospitals/mass-calls-hospitals-to-reduce-elective-procedures-amid-staffing-shortages" TargetMode="External"/><Relationship Id="rId17" Type="http://schemas.openxmlformats.org/officeDocument/2006/relationships/hyperlink" Target="https://www.cancerresearch.org/blog/colorectal-cancer-awareness-month" TargetMode="External"/><Relationship Id="rId25" Type="http://schemas.openxmlformats.org/officeDocument/2006/relationships/hyperlink" Target="https://my.clevelandclinic.org/health/diagnostics/25126-endoscopy" TargetMode="External"/><Relationship Id="rId33" Type="http://schemas.openxmlformats.org/officeDocument/2006/relationships/hyperlink" Target="https://my.clevelandclinic.org/health/procedures/22549-egd-procedure-upper-endoscopy" TargetMode="External"/><Relationship Id="rId38" Type="http://schemas.openxmlformats.org/officeDocument/2006/relationships/hyperlink" Target="https://www.boston.gov/sites/default/files/file/2023/05/HOB_Cancer_2023_FINAL_May11.pdf" TargetMode="External"/><Relationship Id="rId46" Type="http://schemas.openxmlformats.org/officeDocument/2006/relationships/hyperlink" Target="https://www.aaos.org/aaosnow/2019/sep/managing/managing02/" TargetMode="External"/><Relationship Id="rId59" Type="http://schemas.openxmlformats.org/officeDocument/2006/relationships/hyperlink" Target="https://www.ascassociation.org/asca/about-ascs/savings/overview" TargetMode="External"/><Relationship Id="rId67" Type="http://schemas.openxmlformats.org/officeDocument/2006/relationships/hyperlink" Target="https://www.cdc.gov/nccdphp/priorities/colorectal-cancer.html" TargetMode="External"/><Relationship Id="rId20" Type="http://schemas.openxmlformats.org/officeDocument/2006/relationships/hyperlink" Target="https://donahue.umass.edu/documents/UMDI_V2024_Long-Term_Population_Projections_MCD%2C_County%2C_RPA%2C_State_Age_Sex_detail_2010-2050.xlsx" TargetMode="External"/><Relationship Id="rId41" Type="http://schemas.openxmlformats.org/officeDocument/2006/relationships/hyperlink" Target="https://acsjournals.onlinelibrary.wiley.com/doi/10.3322/caac.21772" TargetMode="External"/><Relationship Id="rId54" Type="http://schemas.openxmlformats.org/officeDocument/2006/relationships/hyperlink" Target="https://acsjournals.onlinelibrary.wiley.com/doi/10.1002/cncr.32990." TargetMode="External"/><Relationship Id="rId62" Type="http://schemas.openxmlformats.org/officeDocument/2006/relationships/hyperlink" Target="https://ascdata.com/wp-content/uploads/2025/02/ASC-Data-Industry-Overview-February-2025.pdf" TargetMode="External"/><Relationship Id="rId70" Type="http://schemas.openxmlformats.org/officeDocument/2006/relationships/hyperlink" Target="https://www.asge.org/docs/default-source/default-document-library/quality-indicators-for-gi-endoscopic-procedures.pdf?sfvrsn=e0d2ea51_0" TargetMode="External"/><Relationship Id="rId1" Type="http://schemas.openxmlformats.org/officeDocument/2006/relationships/hyperlink" Target="https://www.chiamass.gov/massachusetts-acute-hospital-profiles/" TargetMode="External"/><Relationship Id="rId6" Type="http://schemas.openxmlformats.org/officeDocument/2006/relationships/hyperlink" Target="https://www.health.harvard.edu/blog/how-well-do-colonoscopies-prevent-colorectal-cancer-what-you-need-to-know-202210182834" TargetMode="External"/><Relationship Id="rId15" Type="http://schemas.openxmlformats.org/officeDocument/2006/relationships/hyperlink" Target="https://www.npr.org/sections/shots-health-news/2024/11/19/nx-s1-5193027/nationwide-iv-fluid-shortage-intravenous-drugs-hospitals-patient-hydration-helene-hurricane-baxter" TargetMode="External"/><Relationship Id="rId23" Type="http://schemas.openxmlformats.org/officeDocument/2006/relationships/hyperlink" Target="https://donahue.umass.edu/documents/UMDI_V2024_Long-Term_Population_Projections_MCD%2C_County%2C_RPA%2C_State_Age_Sex_detail_2010-2050.xlsx" TargetMode="External"/><Relationship Id="rId28" Type="http://schemas.openxmlformats.org/officeDocument/2006/relationships/hyperlink" Target="https://pmc.ncbi.nlm.nih.gov/articles/PMC9322671/" TargetMode="External"/><Relationship Id="rId36" Type="http://schemas.openxmlformats.org/officeDocument/2006/relationships/hyperlink" Target="https://www.cancer.org/cancer/types/colon-rectal-cancer/about/key-statistics.html" TargetMode="External"/><Relationship Id="rId49" Type="http://schemas.openxmlformats.org/officeDocument/2006/relationships/hyperlink" Target="https://www.ajmc.com/view/prices-and-complications-in-hospital-based-and-freestanding-surgery-centers" TargetMode="External"/><Relationship Id="rId57" Type="http://schemas.openxmlformats.org/officeDocument/2006/relationships/hyperlink" Target="https://www.ascassociation.org/asca/about-ascs/savings/medicare-cost-savings/medicare-cost-savings-tied-to-ascs" TargetMode="External"/><Relationship Id="rId10" Type="http://schemas.openxmlformats.org/officeDocument/2006/relationships/hyperlink" Target="https://www.mass.gov/info-details/archive-of-covid-19-public-health-guidance-and-directives" TargetMode="External"/><Relationship Id="rId31" Type="http://schemas.openxmlformats.org/officeDocument/2006/relationships/hyperlink" Target="https://www.cancer.org/cancer/diagnosis-staging/tests/endoscopy/upper-endoscopy.html" TargetMode="External"/><Relationship Id="rId44" Type="http://schemas.openxmlformats.org/officeDocument/2006/relationships/hyperlink" Target="https://acsjournals.onlinelibrary.wiley.com/doi/10.1002/cncr.32990." TargetMode="External"/><Relationship Id="rId52" Type="http://schemas.openxmlformats.org/officeDocument/2006/relationships/hyperlink" Target="https://www.medicare.gov/procedure-price-lookup/" TargetMode="External"/><Relationship Id="rId60" Type="http://schemas.openxmlformats.org/officeDocument/2006/relationships/hyperlink" Target="https://www.ascassociation.org/asca/about-ascs/savings/medicare-cost-savings/reducing-medicare-costs" TargetMode="External"/><Relationship Id="rId65" Type="http://schemas.openxmlformats.org/officeDocument/2006/relationships/hyperlink" Target="https://www.mass.gov/doc/datapoints-issue-26-printable-version/download" TargetMode="External"/><Relationship Id="rId4" Type="http://schemas.openxmlformats.org/officeDocument/2006/relationships/hyperlink" Target="https://datausa.io/profile/geo/suffolk-county-ma" TargetMode="External"/><Relationship Id="rId9" Type="http://schemas.openxmlformats.org/officeDocument/2006/relationships/hyperlink" Target="https://pmc.ncbi.nlm.nih.gov/articles/PMC10788250/" TargetMode="External"/><Relationship Id="rId13" Type="http://schemas.openxmlformats.org/officeDocument/2006/relationships/hyperlink" Target="https://www.fiercehealthcare.com/hospitals/mass-calls-hospitals-to-reduce-elective-procedures-amid-staffing-shortages" TargetMode="External"/><Relationship Id="rId18" Type="http://schemas.openxmlformats.org/officeDocument/2006/relationships/hyperlink" Target="https://www.nejm.org/doi/full/10.1056/NEJMsa2206117" TargetMode="External"/><Relationship Id="rId39" Type="http://schemas.openxmlformats.org/officeDocument/2006/relationships/hyperlink" Target="https://www.boston.gov/sites/default/files/file/2023/05/HOB_Cancer_2023_FINAL_May11.pdf" TargetMode="External"/><Relationship Id="rId34" Type="http://schemas.openxmlformats.org/officeDocument/2006/relationships/hyperlink" Target="https://www.cancer.org/cancer/diagnosis-staging/tests/endoscopy/colonoscopy.html" TargetMode="External"/><Relationship Id="rId50" Type="http://schemas.openxmlformats.org/officeDocument/2006/relationships/hyperlink" Target="https://www.americanjournalofsurgery.com/article/S0002-9610(18)31528-9/abstract" TargetMode="External"/><Relationship Id="rId55" Type="http://schemas.openxmlformats.org/officeDocument/2006/relationships/hyperlink" Target="https://acsjournals.onlinelibrary.wiley.com/doi/10.1002/cncr.32990"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medicare.gov/procedure-price-lookup/" TargetMode="External"/><Relationship Id="rId2" Type="http://schemas.openxmlformats.org/officeDocument/2006/relationships/hyperlink" Target="https://www.medicare.gov/procedure-price-lookup/" TargetMode="External"/><Relationship Id="rId1" Type="http://schemas.openxmlformats.org/officeDocument/2006/relationships/hyperlink" Target="https://www.cancer.org/cancer/types/colon-rectal-cancer/detection-diagnosis-staging/acs-recommendation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2E6AA6-D2FF-4393-B423-05AF53D318C3}">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241</TotalTime>
  <Pages>31</Pages>
  <Words>10645</Words>
  <Characters>60683</Characters>
  <Application>Microsoft Office Word</Application>
  <DocSecurity>0</DocSecurity>
  <Lines>505</Lines>
  <Paragraphs>142</Paragraphs>
  <ScaleCrop>false</ScaleCrop>
  <Company/>
  <LinksUpToDate>false</LinksUpToDate>
  <CharactersWithSpaces>71186</CharactersWithSpaces>
  <SharedDoc>false</SharedDoc>
  <HLinks>
    <vt:vector size="396" baseType="variant">
      <vt:variant>
        <vt:i4>4391024</vt:i4>
      </vt:variant>
      <vt:variant>
        <vt:i4>129</vt:i4>
      </vt:variant>
      <vt:variant>
        <vt:i4>0</vt:i4>
      </vt:variant>
      <vt:variant>
        <vt:i4>5</vt:i4>
      </vt:variant>
      <vt:variant>
        <vt:lpwstr>mailto:DONCHI@Mass.gov</vt:lpwstr>
      </vt:variant>
      <vt:variant>
        <vt:lpwstr/>
      </vt:variant>
      <vt:variant>
        <vt:i4>5898347</vt:i4>
      </vt:variant>
      <vt:variant>
        <vt:i4>126</vt:i4>
      </vt:variant>
      <vt:variant>
        <vt:i4>0</vt:i4>
      </vt:variant>
      <vt:variant>
        <vt:i4>5</vt:i4>
      </vt:variant>
      <vt:variant>
        <vt:lpwstr>mailto:dongrants@hria.org</vt:lpwstr>
      </vt:variant>
      <vt:variant>
        <vt:lpwstr/>
      </vt:variant>
      <vt:variant>
        <vt:i4>4391024</vt:i4>
      </vt:variant>
      <vt:variant>
        <vt:i4>123</vt:i4>
      </vt:variant>
      <vt:variant>
        <vt:i4>0</vt:i4>
      </vt:variant>
      <vt:variant>
        <vt:i4>5</vt:i4>
      </vt:variant>
      <vt:variant>
        <vt:lpwstr>mailto:DONCHI@Mass.gov</vt:lpwstr>
      </vt:variant>
      <vt:variant>
        <vt:lpwstr/>
      </vt:variant>
      <vt:variant>
        <vt:i4>2424871</vt:i4>
      </vt:variant>
      <vt:variant>
        <vt:i4>120</vt:i4>
      </vt:variant>
      <vt:variant>
        <vt:i4>0</vt:i4>
      </vt:variant>
      <vt:variant>
        <vt:i4>5</vt:i4>
      </vt:variant>
      <vt:variant>
        <vt:lpwstr>C:\Users\LClarke\AppData\Local\Microsoft\Windows\INetCache\Content.MSO\BA1840CA.xlsx</vt:lpwstr>
      </vt:variant>
      <vt:variant>
        <vt:lpwstr>RANGE!_ftn1</vt:lpwstr>
      </vt:variant>
      <vt:variant>
        <vt:i4>2424871</vt:i4>
      </vt:variant>
      <vt:variant>
        <vt:i4>117</vt:i4>
      </vt:variant>
      <vt:variant>
        <vt:i4>0</vt:i4>
      </vt:variant>
      <vt:variant>
        <vt:i4>5</vt:i4>
      </vt:variant>
      <vt:variant>
        <vt:lpwstr>C:\Users\LClarke\AppData\Local\Microsoft\Windows\INetCache\Content.MSO\BA1840CA.xlsx</vt:lpwstr>
      </vt:variant>
      <vt:variant>
        <vt:lpwstr>RANGE!_ftn1</vt:lpwstr>
      </vt:variant>
      <vt:variant>
        <vt:i4>1507387</vt:i4>
      </vt:variant>
      <vt:variant>
        <vt:i4>110</vt:i4>
      </vt:variant>
      <vt:variant>
        <vt:i4>0</vt:i4>
      </vt:variant>
      <vt:variant>
        <vt:i4>5</vt:i4>
      </vt:variant>
      <vt:variant>
        <vt:lpwstr/>
      </vt:variant>
      <vt:variant>
        <vt:lpwstr>_Toc212621968</vt:lpwstr>
      </vt:variant>
      <vt:variant>
        <vt:i4>1507387</vt:i4>
      </vt:variant>
      <vt:variant>
        <vt:i4>104</vt:i4>
      </vt:variant>
      <vt:variant>
        <vt:i4>0</vt:i4>
      </vt:variant>
      <vt:variant>
        <vt:i4>5</vt:i4>
      </vt:variant>
      <vt:variant>
        <vt:lpwstr/>
      </vt:variant>
      <vt:variant>
        <vt:lpwstr>_Toc212621967</vt:lpwstr>
      </vt:variant>
      <vt:variant>
        <vt:i4>1507387</vt:i4>
      </vt:variant>
      <vt:variant>
        <vt:i4>98</vt:i4>
      </vt:variant>
      <vt:variant>
        <vt:i4>0</vt:i4>
      </vt:variant>
      <vt:variant>
        <vt:i4>5</vt:i4>
      </vt:variant>
      <vt:variant>
        <vt:lpwstr/>
      </vt:variant>
      <vt:variant>
        <vt:lpwstr>_Toc212621966</vt:lpwstr>
      </vt:variant>
      <vt:variant>
        <vt:i4>1507387</vt:i4>
      </vt:variant>
      <vt:variant>
        <vt:i4>92</vt:i4>
      </vt:variant>
      <vt:variant>
        <vt:i4>0</vt:i4>
      </vt:variant>
      <vt:variant>
        <vt:i4>5</vt:i4>
      </vt:variant>
      <vt:variant>
        <vt:lpwstr/>
      </vt:variant>
      <vt:variant>
        <vt:lpwstr>_Toc212621965</vt:lpwstr>
      </vt:variant>
      <vt:variant>
        <vt:i4>1507387</vt:i4>
      </vt:variant>
      <vt:variant>
        <vt:i4>86</vt:i4>
      </vt:variant>
      <vt:variant>
        <vt:i4>0</vt:i4>
      </vt:variant>
      <vt:variant>
        <vt:i4>5</vt:i4>
      </vt:variant>
      <vt:variant>
        <vt:lpwstr/>
      </vt:variant>
      <vt:variant>
        <vt:lpwstr>_Toc212621964</vt:lpwstr>
      </vt:variant>
      <vt:variant>
        <vt:i4>1507387</vt:i4>
      </vt:variant>
      <vt:variant>
        <vt:i4>80</vt:i4>
      </vt:variant>
      <vt:variant>
        <vt:i4>0</vt:i4>
      </vt:variant>
      <vt:variant>
        <vt:i4>5</vt:i4>
      </vt:variant>
      <vt:variant>
        <vt:lpwstr/>
      </vt:variant>
      <vt:variant>
        <vt:lpwstr>_Toc212621963</vt:lpwstr>
      </vt:variant>
      <vt:variant>
        <vt:i4>1507387</vt:i4>
      </vt:variant>
      <vt:variant>
        <vt:i4>74</vt:i4>
      </vt:variant>
      <vt:variant>
        <vt:i4>0</vt:i4>
      </vt:variant>
      <vt:variant>
        <vt:i4>5</vt:i4>
      </vt:variant>
      <vt:variant>
        <vt:lpwstr/>
      </vt:variant>
      <vt:variant>
        <vt:lpwstr>_Toc212621962</vt:lpwstr>
      </vt:variant>
      <vt:variant>
        <vt:i4>1507387</vt:i4>
      </vt:variant>
      <vt:variant>
        <vt:i4>68</vt:i4>
      </vt:variant>
      <vt:variant>
        <vt:i4>0</vt:i4>
      </vt:variant>
      <vt:variant>
        <vt:i4>5</vt:i4>
      </vt:variant>
      <vt:variant>
        <vt:lpwstr/>
      </vt:variant>
      <vt:variant>
        <vt:lpwstr>_Toc212621961</vt:lpwstr>
      </vt:variant>
      <vt:variant>
        <vt:i4>1507387</vt:i4>
      </vt:variant>
      <vt:variant>
        <vt:i4>62</vt:i4>
      </vt:variant>
      <vt:variant>
        <vt:i4>0</vt:i4>
      </vt:variant>
      <vt:variant>
        <vt:i4>5</vt:i4>
      </vt:variant>
      <vt:variant>
        <vt:lpwstr/>
      </vt:variant>
      <vt:variant>
        <vt:lpwstr>_Toc212621960</vt:lpwstr>
      </vt:variant>
      <vt:variant>
        <vt:i4>1310779</vt:i4>
      </vt:variant>
      <vt:variant>
        <vt:i4>56</vt:i4>
      </vt:variant>
      <vt:variant>
        <vt:i4>0</vt:i4>
      </vt:variant>
      <vt:variant>
        <vt:i4>5</vt:i4>
      </vt:variant>
      <vt:variant>
        <vt:lpwstr/>
      </vt:variant>
      <vt:variant>
        <vt:lpwstr>_Toc212621959</vt:lpwstr>
      </vt:variant>
      <vt:variant>
        <vt:i4>1310779</vt:i4>
      </vt:variant>
      <vt:variant>
        <vt:i4>50</vt:i4>
      </vt:variant>
      <vt:variant>
        <vt:i4>0</vt:i4>
      </vt:variant>
      <vt:variant>
        <vt:i4>5</vt:i4>
      </vt:variant>
      <vt:variant>
        <vt:lpwstr/>
      </vt:variant>
      <vt:variant>
        <vt:lpwstr>_Toc212621958</vt:lpwstr>
      </vt:variant>
      <vt:variant>
        <vt:i4>1310779</vt:i4>
      </vt:variant>
      <vt:variant>
        <vt:i4>44</vt:i4>
      </vt:variant>
      <vt:variant>
        <vt:i4>0</vt:i4>
      </vt:variant>
      <vt:variant>
        <vt:i4>5</vt:i4>
      </vt:variant>
      <vt:variant>
        <vt:lpwstr/>
      </vt:variant>
      <vt:variant>
        <vt:lpwstr>_Toc212621957</vt:lpwstr>
      </vt:variant>
      <vt:variant>
        <vt:i4>1310779</vt:i4>
      </vt:variant>
      <vt:variant>
        <vt:i4>38</vt:i4>
      </vt:variant>
      <vt:variant>
        <vt:i4>0</vt:i4>
      </vt:variant>
      <vt:variant>
        <vt:i4>5</vt:i4>
      </vt:variant>
      <vt:variant>
        <vt:lpwstr/>
      </vt:variant>
      <vt:variant>
        <vt:lpwstr>_Toc212621956</vt:lpwstr>
      </vt:variant>
      <vt:variant>
        <vt:i4>1310779</vt:i4>
      </vt:variant>
      <vt:variant>
        <vt:i4>32</vt:i4>
      </vt:variant>
      <vt:variant>
        <vt:i4>0</vt:i4>
      </vt:variant>
      <vt:variant>
        <vt:i4>5</vt:i4>
      </vt:variant>
      <vt:variant>
        <vt:lpwstr/>
      </vt:variant>
      <vt:variant>
        <vt:lpwstr>_Toc212621955</vt:lpwstr>
      </vt:variant>
      <vt:variant>
        <vt:i4>1310779</vt:i4>
      </vt:variant>
      <vt:variant>
        <vt:i4>26</vt:i4>
      </vt:variant>
      <vt:variant>
        <vt:i4>0</vt:i4>
      </vt:variant>
      <vt:variant>
        <vt:i4>5</vt:i4>
      </vt:variant>
      <vt:variant>
        <vt:lpwstr/>
      </vt:variant>
      <vt:variant>
        <vt:lpwstr>_Toc212621954</vt:lpwstr>
      </vt:variant>
      <vt:variant>
        <vt:i4>1310779</vt:i4>
      </vt:variant>
      <vt:variant>
        <vt:i4>20</vt:i4>
      </vt:variant>
      <vt:variant>
        <vt:i4>0</vt:i4>
      </vt:variant>
      <vt:variant>
        <vt:i4>5</vt:i4>
      </vt:variant>
      <vt:variant>
        <vt:lpwstr/>
      </vt:variant>
      <vt:variant>
        <vt:lpwstr>_Toc212621953</vt:lpwstr>
      </vt:variant>
      <vt:variant>
        <vt:i4>1310779</vt:i4>
      </vt:variant>
      <vt:variant>
        <vt:i4>14</vt:i4>
      </vt:variant>
      <vt:variant>
        <vt:i4>0</vt:i4>
      </vt:variant>
      <vt:variant>
        <vt:i4>5</vt:i4>
      </vt:variant>
      <vt:variant>
        <vt:lpwstr/>
      </vt:variant>
      <vt:variant>
        <vt:lpwstr>_Toc212621952</vt:lpwstr>
      </vt:variant>
      <vt:variant>
        <vt:i4>1310779</vt:i4>
      </vt:variant>
      <vt:variant>
        <vt:i4>8</vt:i4>
      </vt:variant>
      <vt:variant>
        <vt:i4>0</vt:i4>
      </vt:variant>
      <vt:variant>
        <vt:i4>5</vt:i4>
      </vt:variant>
      <vt:variant>
        <vt:lpwstr/>
      </vt:variant>
      <vt:variant>
        <vt:lpwstr>_Toc212621951</vt:lpwstr>
      </vt:variant>
      <vt:variant>
        <vt:i4>1310779</vt:i4>
      </vt:variant>
      <vt:variant>
        <vt:i4>2</vt:i4>
      </vt:variant>
      <vt:variant>
        <vt:i4>0</vt:i4>
      </vt:variant>
      <vt:variant>
        <vt:i4>5</vt:i4>
      </vt:variant>
      <vt:variant>
        <vt:lpwstr/>
      </vt:variant>
      <vt:variant>
        <vt:lpwstr>_Toc212621950</vt:lpwstr>
      </vt:variant>
      <vt:variant>
        <vt:i4>1966164</vt:i4>
      </vt:variant>
      <vt:variant>
        <vt:i4>15</vt:i4>
      </vt:variant>
      <vt:variant>
        <vt:i4>0</vt:i4>
      </vt:variant>
      <vt:variant>
        <vt:i4>5</vt:i4>
      </vt:variant>
      <vt:variant>
        <vt:lpwstr>https://www.medicare.gov/procedure-price-lookup/</vt:lpwstr>
      </vt:variant>
      <vt:variant>
        <vt:lpwstr/>
      </vt:variant>
      <vt:variant>
        <vt:i4>1966164</vt:i4>
      </vt:variant>
      <vt:variant>
        <vt:i4>12</vt:i4>
      </vt:variant>
      <vt:variant>
        <vt:i4>0</vt:i4>
      </vt:variant>
      <vt:variant>
        <vt:i4>5</vt:i4>
      </vt:variant>
      <vt:variant>
        <vt:lpwstr>https://www.medicare.gov/procedure-price-lookup/</vt:lpwstr>
      </vt:variant>
      <vt:variant>
        <vt:lpwstr/>
      </vt:variant>
      <vt:variant>
        <vt:i4>327697</vt:i4>
      </vt:variant>
      <vt:variant>
        <vt:i4>0</vt:i4>
      </vt:variant>
      <vt:variant>
        <vt:i4>0</vt:i4>
      </vt:variant>
      <vt:variant>
        <vt:i4>5</vt:i4>
      </vt:variant>
      <vt:variant>
        <vt:lpwstr>https://www.cancer.org/cancer/types/colon-rectal-cancer/detection-diagnosis-staging/acs-recommendations.html</vt:lpwstr>
      </vt:variant>
      <vt:variant>
        <vt:lpwstr/>
      </vt:variant>
      <vt:variant>
        <vt:i4>4325427</vt:i4>
      </vt:variant>
      <vt:variant>
        <vt:i4>3</vt:i4>
      </vt:variant>
      <vt:variant>
        <vt:i4>0</vt:i4>
      </vt:variant>
      <vt:variant>
        <vt:i4>5</vt:i4>
      </vt:variant>
      <vt:variant>
        <vt:lpwstr>mailto:Torey.McNamara@mass.gov</vt:lpwstr>
      </vt:variant>
      <vt:variant>
        <vt:lpwstr/>
      </vt:variant>
      <vt:variant>
        <vt:i4>5373954</vt:i4>
      </vt:variant>
      <vt:variant>
        <vt:i4>0</vt:i4>
      </vt:variant>
      <vt:variant>
        <vt:i4>0</vt:i4>
      </vt:variant>
      <vt:variant>
        <vt:i4>5</vt:i4>
      </vt:variant>
      <vt:variant>
        <vt:lpwstr>https://masshpc.gov/sites/default/files/DataPoints_ASC_26.pdf</vt:lpwstr>
      </vt:variant>
      <vt:variant>
        <vt:lpwstr/>
      </vt:variant>
      <vt:variant>
        <vt:i4>5308532</vt:i4>
      </vt:variant>
      <vt:variant>
        <vt:i4>108</vt:i4>
      </vt:variant>
      <vt:variant>
        <vt:i4>0</vt:i4>
      </vt:variant>
      <vt:variant>
        <vt:i4>5</vt:i4>
      </vt:variant>
      <vt:variant>
        <vt:lpwstr>https://www.asge.org/docs/default-source/default-document-library/quality-indicators-for-gi-endoscopic-procedures.pdf?sfvrsn=e0d2ea51_0</vt:lpwstr>
      </vt:variant>
      <vt:variant>
        <vt:lpwstr/>
      </vt:variant>
      <vt:variant>
        <vt:i4>4915270</vt:i4>
      </vt:variant>
      <vt:variant>
        <vt:i4>105</vt:i4>
      </vt:variant>
      <vt:variant>
        <vt:i4>0</vt:i4>
      </vt:variant>
      <vt:variant>
        <vt:i4>5</vt:i4>
      </vt:variant>
      <vt:variant>
        <vt:lpwstr>https://www.cdc.gov/nccdphp/priorities/colorectal-cancer.html</vt:lpwstr>
      </vt:variant>
      <vt:variant>
        <vt:lpwstr/>
      </vt:variant>
      <vt:variant>
        <vt:i4>4915270</vt:i4>
      </vt:variant>
      <vt:variant>
        <vt:i4>102</vt:i4>
      </vt:variant>
      <vt:variant>
        <vt:i4>0</vt:i4>
      </vt:variant>
      <vt:variant>
        <vt:i4>5</vt:i4>
      </vt:variant>
      <vt:variant>
        <vt:lpwstr>https://www.cdc.gov/nccdphp/priorities/colorectal-cancer.html</vt:lpwstr>
      </vt:variant>
      <vt:variant>
        <vt:lpwstr/>
      </vt:variant>
      <vt:variant>
        <vt:i4>7733350</vt:i4>
      </vt:variant>
      <vt:variant>
        <vt:i4>99</vt:i4>
      </vt:variant>
      <vt:variant>
        <vt:i4>0</vt:i4>
      </vt:variant>
      <vt:variant>
        <vt:i4>5</vt:i4>
      </vt:variant>
      <vt:variant>
        <vt:lpwstr>https://www.mass.gov/doc/datapoints-issue-26-printable-version/download</vt:lpwstr>
      </vt:variant>
      <vt:variant>
        <vt:lpwstr/>
      </vt:variant>
      <vt:variant>
        <vt:i4>4063292</vt:i4>
      </vt:variant>
      <vt:variant>
        <vt:i4>96</vt:i4>
      </vt:variant>
      <vt:variant>
        <vt:i4>0</vt:i4>
      </vt:variant>
      <vt:variant>
        <vt:i4>5</vt:i4>
      </vt:variant>
      <vt:variant>
        <vt:lpwstr>https://ascdata.com/wp-content/uploads/2025/02/ASC-Data-Industry-Overview-February-2025.pdf</vt:lpwstr>
      </vt:variant>
      <vt:variant>
        <vt:lpwstr/>
      </vt:variant>
      <vt:variant>
        <vt:i4>4194335</vt:i4>
      </vt:variant>
      <vt:variant>
        <vt:i4>93</vt:i4>
      </vt:variant>
      <vt:variant>
        <vt:i4>0</vt:i4>
      </vt:variant>
      <vt:variant>
        <vt:i4>5</vt:i4>
      </vt:variant>
      <vt:variant>
        <vt:lpwstr>https://www.ascassociation.org/asca/about-ascs/savings/medicare-cost-savings/reducing-medicare-costs</vt:lpwstr>
      </vt:variant>
      <vt:variant>
        <vt:lpwstr/>
      </vt:variant>
      <vt:variant>
        <vt:i4>3276855</vt:i4>
      </vt:variant>
      <vt:variant>
        <vt:i4>90</vt:i4>
      </vt:variant>
      <vt:variant>
        <vt:i4>0</vt:i4>
      </vt:variant>
      <vt:variant>
        <vt:i4>5</vt:i4>
      </vt:variant>
      <vt:variant>
        <vt:lpwstr>https://www.ascassociation.org/asca/about-ascs/savings/overview</vt:lpwstr>
      </vt:variant>
      <vt:variant>
        <vt:lpwstr/>
      </vt:variant>
      <vt:variant>
        <vt:i4>7995519</vt:i4>
      </vt:variant>
      <vt:variant>
        <vt:i4>87</vt:i4>
      </vt:variant>
      <vt:variant>
        <vt:i4>0</vt:i4>
      </vt:variant>
      <vt:variant>
        <vt:i4>5</vt:i4>
      </vt:variant>
      <vt:variant>
        <vt:lpwstr>https://www.ascassociation.org/asca/about-ascs/savings/medicare-cost-savings/medicare-cost-savings-tied-to-ascs</vt:lpwstr>
      </vt:variant>
      <vt:variant>
        <vt:lpwstr/>
      </vt:variant>
      <vt:variant>
        <vt:i4>8257663</vt:i4>
      </vt:variant>
      <vt:variant>
        <vt:i4>84</vt:i4>
      </vt:variant>
      <vt:variant>
        <vt:i4>0</vt:i4>
      </vt:variant>
      <vt:variant>
        <vt:i4>5</vt:i4>
      </vt:variant>
      <vt:variant>
        <vt:lpwstr>https://acsjournals.onlinelibrary.wiley.com/doi/10.1002/cncr.32990</vt:lpwstr>
      </vt:variant>
      <vt:variant>
        <vt:lpwstr/>
      </vt:variant>
      <vt:variant>
        <vt:i4>1966164</vt:i4>
      </vt:variant>
      <vt:variant>
        <vt:i4>81</vt:i4>
      </vt:variant>
      <vt:variant>
        <vt:i4>0</vt:i4>
      </vt:variant>
      <vt:variant>
        <vt:i4>5</vt:i4>
      </vt:variant>
      <vt:variant>
        <vt:lpwstr>https://www.medicare.gov/procedure-price-lookup/</vt:lpwstr>
      </vt:variant>
      <vt:variant>
        <vt:lpwstr/>
      </vt:variant>
      <vt:variant>
        <vt:i4>2359332</vt:i4>
      </vt:variant>
      <vt:variant>
        <vt:i4>78</vt:i4>
      </vt:variant>
      <vt:variant>
        <vt:i4>0</vt:i4>
      </vt:variant>
      <vt:variant>
        <vt:i4>5</vt:i4>
      </vt:variant>
      <vt:variant>
        <vt:lpwstr>https://www.americanjournalofsurgery.com/article/S0002-9610(18)31528-9/abstract</vt:lpwstr>
      </vt:variant>
      <vt:variant>
        <vt:lpwstr/>
      </vt:variant>
      <vt:variant>
        <vt:i4>5636191</vt:i4>
      </vt:variant>
      <vt:variant>
        <vt:i4>75</vt:i4>
      </vt:variant>
      <vt:variant>
        <vt:i4>0</vt:i4>
      </vt:variant>
      <vt:variant>
        <vt:i4>5</vt:i4>
      </vt:variant>
      <vt:variant>
        <vt:lpwstr>https://www.ajmc.com/view/prices-and-complications-in-hospital-based-and-freestanding-surgery-centers</vt:lpwstr>
      </vt:variant>
      <vt:variant>
        <vt:lpwstr/>
      </vt:variant>
      <vt:variant>
        <vt:i4>3670140</vt:i4>
      </vt:variant>
      <vt:variant>
        <vt:i4>72</vt:i4>
      </vt:variant>
      <vt:variant>
        <vt:i4>0</vt:i4>
      </vt:variant>
      <vt:variant>
        <vt:i4>5</vt:i4>
      </vt:variant>
      <vt:variant>
        <vt:lpwstr>https://www.aaos.org/aaosnow/2019/sep/managing/managing02/</vt:lpwstr>
      </vt:variant>
      <vt:variant>
        <vt:lpwstr/>
      </vt:variant>
      <vt:variant>
        <vt:i4>8257663</vt:i4>
      </vt:variant>
      <vt:variant>
        <vt:i4>69</vt:i4>
      </vt:variant>
      <vt:variant>
        <vt:i4>0</vt:i4>
      </vt:variant>
      <vt:variant>
        <vt:i4>5</vt:i4>
      </vt:variant>
      <vt:variant>
        <vt:lpwstr>https://acsjournals.onlinelibrary.wiley.com/doi/10.1002/cncr.32990</vt:lpwstr>
      </vt:variant>
      <vt:variant>
        <vt:lpwstr/>
      </vt:variant>
      <vt:variant>
        <vt:i4>4915270</vt:i4>
      </vt:variant>
      <vt:variant>
        <vt:i4>66</vt:i4>
      </vt:variant>
      <vt:variant>
        <vt:i4>0</vt:i4>
      </vt:variant>
      <vt:variant>
        <vt:i4>5</vt:i4>
      </vt:variant>
      <vt:variant>
        <vt:lpwstr>https://www.cdc.gov/nccdphp/priorities/colorectal-cancer.html</vt:lpwstr>
      </vt:variant>
      <vt:variant>
        <vt:lpwstr/>
      </vt:variant>
      <vt:variant>
        <vt:i4>7143539</vt:i4>
      </vt:variant>
      <vt:variant>
        <vt:i4>63</vt:i4>
      </vt:variant>
      <vt:variant>
        <vt:i4>0</vt:i4>
      </vt:variant>
      <vt:variant>
        <vt:i4>5</vt:i4>
      </vt:variant>
      <vt:variant>
        <vt:lpwstr>https://acsjournals.onlinelibrary.wiley.com/doi/10.3322/caac.21772</vt:lpwstr>
      </vt:variant>
      <vt:variant>
        <vt:lpwstr/>
      </vt:variant>
      <vt:variant>
        <vt:i4>4784142</vt:i4>
      </vt:variant>
      <vt:variant>
        <vt:i4>60</vt:i4>
      </vt:variant>
      <vt:variant>
        <vt:i4>0</vt:i4>
      </vt:variant>
      <vt:variant>
        <vt:i4>5</vt:i4>
      </vt:variant>
      <vt:variant>
        <vt:lpwstr>https://www.boston.gov/sites/default/files/file/2023/05/HOB_Cancer_2023_FINAL_May11.pdf</vt:lpwstr>
      </vt:variant>
      <vt:variant>
        <vt:lpwstr/>
      </vt:variant>
      <vt:variant>
        <vt:i4>5177422</vt:i4>
      </vt:variant>
      <vt:variant>
        <vt:i4>57</vt:i4>
      </vt:variant>
      <vt:variant>
        <vt:i4>0</vt:i4>
      </vt:variant>
      <vt:variant>
        <vt:i4>5</vt:i4>
      </vt:variant>
      <vt:variant>
        <vt:lpwstr>https://www.cancer.org/cancer/types/colon-rectal-cancer/about/key-statistics.html</vt:lpwstr>
      </vt:variant>
      <vt:variant>
        <vt:lpwstr/>
      </vt:variant>
      <vt:variant>
        <vt:i4>4784205</vt:i4>
      </vt:variant>
      <vt:variant>
        <vt:i4>54</vt:i4>
      </vt:variant>
      <vt:variant>
        <vt:i4>0</vt:i4>
      </vt:variant>
      <vt:variant>
        <vt:i4>5</vt:i4>
      </vt:variant>
      <vt:variant>
        <vt:lpwstr>https://www.cancer.org/cancer/diagnosis-staging/tests/endoscopy/colonoscopy.html</vt:lpwstr>
      </vt:variant>
      <vt:variant>
        <vt:lpwstr/>
      </vt:variant>
      <vt:variant>
        <vt:i4>458830</vt:i4>
      </vt:variant>
      <vt:variant>
        <vt:i4>51</vt:i4>
      </vt:variant>
      <vt:variant>
        <vt:i4>0</vt:i4>
      </vt:variant>
      <vt:variant>
        <vt:i4>5</vt:i4>
      </vt:variant>
      <vt:variant>
        <vt:lpwstr>https://my.clevelandclinic.org/health/procedures/22549-egd-procedure-upper-endoscopy</vt:lpwstr>
      </vt:variant>
      <vt:variant>
        <vt:lpwstr/>
      </vt:variant>
      <vt:variant>
        <vt:i4>2031706</vt:i4>
      </vt:variant>
      <vt:variant>
        <vt:i4>48</vt:i4>
      </vt:variant>
      <vt:variant>
        <vt:i4>0</vt:i4>
      </vt:variant>
      <vt:variant>
        <vt:i4>5</vt:i4>
      </vt:variant>
      <vt:variant>
        <vt:lpwstr>https://www.cancer.org/cancer/diagnosis-staging/tests/endoscopy/upper-endoscopy.html</vt:lpwstr>
      </vt:variant>
      <vt:variant>
        <vt:lpwstr/>
      </vt:variant>
      <vt:variant>
        <vt:i4>1114133</vt:i4>
      </vt:variant>
      <vt:variant>
        <vt:i4>45</vt:i4>
      </vt:variant>
      <vt:variant>
        <vt:i4>0</vt:i4>
      </vt:variant>
      <vt:variant>
        <vt:i4>5</vt:i4>
      </vt:variant>
      <vt:variant>
        <vt:lpwstr>https://pmc.ncbi.nlm.nih.gov/articles/PMC9322671/</vt:lpwstr>
      </vt:variant>
      <vt:variant>
        <vt:lpwstr/>
      </vt:variant>
      <vt:variant>
        <vt:i4>5767180</vt:i4>
      </vt:variant>
      <vt:variant>
        <vt:i4>42</vt:i4>
      </vt:variant>
      <vt:variant>
        <vt:i4>0</vt:i4>
      </vt:variant>
      <vt:variant>
        <vt:i4>5</vt:i4>
      </vt:variant>
      <vt:variant>
        <vt:lpwstr>https://www.mayoclinic.org/tests-procedures/endoscopy/about/pac-20395197</vt:lpwstr>
      </vt:variant>
      <vt:variant>
        <vt:lpwstr/>
      </vt:variant>
      <vt:variant>
        <vt:i4>5505088</vt:i4>
      </vt:variant>
      <vt:variant>
        <vt:i4>39</vt:i4>
      </vt:variant>
      <vt:variant>
        <vt:i4>0</vt:i4>
      </vt:variant>
      <vt:variant>
        <vt:i4>5</vt:i4>
      </vt:variant>
      <vt:variant>
        <vt:lpwstr>https://my.clevelandclinic.org/health/diagnostics/25126-endoscopy</vt:lpwstr>
      </vt:variant>
      <vt:variant>
        <vt:lpwstr/>
      </vt:variant>
      <vt:variant>
        <vt:i4>3014709</vt:i4>
      </vt:variant>
      <vt:variant>
        <vt:i4>36</vt:i4>
      </vt:variant>
      <vt:variant>
        <vt:i4>0</vt:i4>
      </vt:variant>
      <vt:variant>
        <vt:i4>5</vt:i4>
      </vt:variant>
      <vt:variant>
        <vt:lpwstr>https://donahue.umass.edu/documents/UMDI_V2024_Long-Term_Population_Projections_MCD%2C_County%2C_RPA%2C_State_Age_Sex_detail_2010-2050.xlsx</vt:lpwstr>
      </vt:variant>
      <vt:variant>
        <vt:lpwstr/>
      </vt:variant>
      <vt:variant>
        <vt:i4>3014709</vt:i4>
      </vt:variant>
      <vt:variant>
        <vt:i4>33</vt:i4>
      </vt:variant>
      <vt:variant>
        <vt:i4>0</vt:i4>
      </vt:variant>
      <vt:variant>
        <vt:i4>5</vt:i4>
      </vt:variant>
      <vt:variant>
        <vt:lpwstr>https://donahue.umass.edu/documents/UMDI_V2024_Long-Term_Population_Projections_MCD%2C_County%2C_RPA%2C_State_Age_Sex_detail_2010-2050.xlsx</vt:lpwstr>
      </vt:variant>
      <vt:variant>
        <vt:lpwstr/>
      </vt:variant>
      <vt:variant>
        <vt:i4>2555955</vt:i4>
      </vt:variant>
      <vt:variant>
        <vt:i4>30</vt:i4>
      </vt:variant>
      <vt:variant>
        <vt:i4>0</vt:i4>
      </vt:variant>
      <vt:variant>
        <vt:i4>5</vt:i4>
      </vt:variant>
      <vt:variant>
        <vt:lpwstr>https://www.nejm.org/doi/full/10.1056/NEJMsa2206117</vt:lpwstr>
      </vt:variant>
      <vt:variant>
        <vt:lpwstr/>
      </vt:variant>
      <vt:variant>
        <vt:i4>1966081</vt:i4>
      </vt:variant>
      <vt:variant>
        <vt:i4>27</vt:i4>
      </vt:variant>
      <vt:variant>
        <vt:i4>0</vt:i4>
      </vt:variant>
      <vt:variant>
        <vt:i4>5</vt:i4>
      </vt:variant>
      <vt:variant>
        <vt:lpwstr>https://www.cancerresearch.org/blog/colorectal-cancer-awareness-month</vt:lpwstr>
      </vt:variant>
      <vt:variant>
        <vt:lpwstr/>
      </vt:variant>
      <vt:variant>
        <vt:i4>3211373</vt:i4>
      </vt:variant>
      <vt:variant>
        <vt:i4>24</vt:i4>
      </vt:variant>
      <vt:variant>
        <vt:i4>0</vt:i4>
      </vt:variant>
      <vt:variant>
        <vt:i4>5</vt:i4>
      </vt:variant>
      <vt:variant>
        <vt:lpwstr>https://www.npr.org/sections/shots-health-news/2024/11/19/nx-s1-5193027/nationwide-iv-fluid-shortage-intravenous-drugs-hospitals-patient-hydration-helene-hurricane-baxter</vt:lpwstr>
      </vt:variant>
      <vt:variant>
        <vt:lpwstr/>
      </vt:variant>
      <vt:variant>
        <vt:i4>5701701</vt:i4>
      </vt:variant>
      <vt:variant>
        <vt:i4>21</vt:i4>
      </vt:variant>
      <vt:variant>
        <vt:i4>0</vt:i4>
      </vt:variant>
      <vt:variant>
        <vt:i4>5</vt:i4>
      </vt:variant>
      <vt:variant>
        <vt:lpwstr>https://www.fiercehealthcare.com/hospitals/mass-calls-hospitals-to-reduce-elective-procedures-amid-staffing-shortages</vt:lpwstr>
      </vt:variant>
      <vt:variant>
        <vt:lpwstr/>
      </vt:variant>
      <vt:variant>
        <vt:i4>2621502</vt:i4>
      </vt:variant>
      <vt:variant>
        <vt:i4>18</vt:i4>
      </vt:variant>
      <vt:variant>
        <vt:i4>0</vt:i4>
      </vt:variant>
      <vt:variant>
        <vt:i4>5</vt:i4>
      </vt:variant>
      <vt:variant>
        <vt:lpwstr>https://www.mass.gov/info-details/archive-of-covid-19-public-health-guidance-and-directives</vt:lpwstr>
      </vt:variant>
      <vt:variant>
        <vt:lpwstr/>
      </vt:variant>
      <vt:variant>
        <vt:i4>3735593</vt:i4>
      </vt:variant>
      <vt:variant>
        <vt:i4>15</vt:i4>
      </vt:variant>
      <vt:variant>
        <vt:i4>0</vt:i4>
      </vt:variant>
      <vt:variant>
        <vt:i4>5</vt:i4>
      </vt:variant>
      <vt:variant>
        <vt:lpwstr>https://pmc.ncbi.nlm.nih.gov/articles/PMC10788250/</vt:lpwstr>
      </vt:variant>
      <vt:variant>
        <vt:lpwstr/>
      </vt:variant>
      <vt:variant>
        <vt:i4>3866662</vt:i4>
      </vt:variant>
      <vt:variant>
        <vt:i4>12</vt:i4>
      </vt:variant>
      <vt:variant>
        <vt:i4>0</vt:i4>
      </vt:variant>
      <vt:variant>
        <vt:i4>5</vt:i4>
      </vt:variant>
      <vt:variant>
        <vt:lpwstr>https://www.health.harvard.edu/blog/how-well-do-colonoscopies-prevent-colorectal-cancer-what-you-need-to-know-202210182834</vt:lpwstr>
      </vt:variant>
      <vt:variant>
        <vt:lpwstr/>
      </vt:variant>
      <vt:variant>
        <vt:i4>7864362</vt:i4>
      </vt:variant>
      <vt:variant>
        <vt:i4>9</vt:i4>
      </vt:variant>
      <vt:variant>
        <vt:i4>0</vt:i4>
      </vt:variant>
      <vt:variant>
        <vt:i4>5</vt:i4>
      </vt:variant>
      <vt:variant>
        <vt:lpwstr>https://datausa.io/profile/geo/middlesex-county-ma</vt:lpwstr>
      </vt:variant>
      <vt:variant>
        <vt:lpwstr/>
      </vt:variant>
      <vt:variant>
        <vt:i4>458840</vt:i4>
      </vt:variant>
      <vt:variant>
        <vt:i4>6</vt:i4>
      </vt:variant>
      <vt:variant>
        <vt:i4>0</vt:i4>
      </vt:variant>
      <vt:variant>
        <vt:i4>5</vt:i4>
      </vt:variant>
      <vt:variant>
        <vt:lpwstr>https://datausa.io/profile/geo/suffolk-county-ma</vt:lpwstr>
      </vt:variant>
      <vt:variant>
        <vt:lpwstr/>
      </vt:variant>
      <vt:variant>
        <vt:i4>4784201</vt:i4>
      </vt:variant>
      <vt:variant>
        <vt:i4>3</vt:i4>
      </vt:variant>
      <vt:variant>
        <vt:i4>0</vt:i4>
      </vt:variant>
      <vt:variant>
        <vt:i4>5</vt:i4>
      </vt:variant>
      <vt:variant>
        <vt:lpwstr>https://www.chiamass.gov/assets/docs/r/hospital-profiles/2023/FY23-Massachusetts-Hospital-Profiles-Technical-Appendix.pdf</vt:lpwstr>
      </vt:variant>
      <vt:variant>
        <vt:lpwstr/>
      </vt:variant>
      <vt:variant>
        <vt:i4>6619180</vt:i4>
      </vt:variant>
      <vt:variant>
        <vt:i4>0</vt:i4>
      </vt:variant>
      <vt:variant>
        <vt:i4>0</vt:i4>
      </vt:variant>
      <vt:variant>
        <vt:i4>5</vt:i4>
      </vt:variant>
      <vt:variant>
        <vt:lpwstr>https://www.chiamass.gov/massachusetts-acute-hospital-profiles/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Emerson Endoscopy Staff Report</dc:title>
  <dc:subject/>
  <dc:creator>Lynn</dc:creator>
  <cp:keywords/>
  <cp:lastModifiedBy>Marks, Brett (DPH)</cp:lastModifiedBy>
  <cp:revision>42</cp:revision>
  <cp:lastPrinted>2025-09-04T03:23:00Z</cp:lastPrinted>
  <dcterms:created xsi:type="dcterms:W3CDTF">2026-01-09T19:52:00Z</dcterms:created>
  <dcterms:modified xsi:type="dcterms:W3CDTF">2026-01-12T16:39:00Z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2021-01-06T00:00:00Z</vt:filetime>
  </property>
  <property fmtid="{D5CDD505-2E9C-101B-9397-08002B2CF9AE}" pid="3" name="Creator">
    <vt:lpwstr>Acrobat PDFMaker 17 for Word</vt:lpwstr>
  </property>
  <property fmtid="{D5CDD505-2E9C-101B-9397-08002B2CF9AE}" pid="4" name="LastSaved">
    <vt:filetime>2021-01-08T00:00:00Z</vt:filetime>
  </property>
</Properties>
</file>