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4705"/>
        <w:gridCol w:w="4645"/>
      </w:tblGrid>
      <w:tr w:rsidR="00A1325F" w:rsidRPr="00515206" w14:paraId="1CF025EB" w14:textId="77777777" w:rsidTr="009F08AC">
        <w:trPr>
          <w:trHeight w:val="350"/>
        </w:trPr>
        <w:tc>
          <w:tcPr>
            <w:tcW w:w="0" w:type="auto"/>
            <w:gridSpan w:val="2"/>
            <w:shd w:val="clear" w:color="auto" w:fill="E7FAFF"/>
            <w:vAlign w:val="center"/>
          </w:tcPr>
          <w:p w14:paraId="70BF167A" w14:textId="77777777" w:rsidR="00A1325F" w:rsidRPr="00515206" w:rsidRDefault="00A1325F" w:rsidP="00730574">
            <w:pPr>
              <w:pStyle w:val="NoSpacing"/>
              <w:ind w:right="540"/>
              <w:contextualSpacing/>
              <w:jc w:val="center"/>
              <w:rPr>
                <w:rFonts w:cstheme="minorHAnsi"/>
                <w:b/>
                <w:sz w:val="24"/>
                <w:szCs w:val="24"/>
              </w:rPr>
            </w:pPr>
            <w:r w:rsidRPr="00515206">
              <w:rPr>
                <w:rFonts w:cstheme="minorHAnsi"/>
                <w:b/>
                <w:sz w:val="24"/>
                <w:szCs w:val="24"/>
              </w:rPr>
              <w:t>STAFF REPORT TO THE PUBLIC HEALTH COUNCIL</w:t>
            </w:r>
          </w:p>
          <w:p w14:paraId="6DCE4313" w14:textId="77777777" w:rsidR="00A1325F" w:rsidRPr="00515206" w:rsidRDefault="00A1325F" w:rsidP="00730574">
            <w:pPr>
              <w:pStyle w:val="Header"/>
              <w:ind w:right="540"/>
              <w:contextualSpacing/>
              <w:jc w:val="center"/>
              <w:rPr>
                <w:rFonts w:cstheme="minorHAnsi"/>
                <w:b/>
                <w:sz w:val="24"/>
                <w:szCs w:val="24"/>
              </w:rPr>
            </w:pPr>
            <w:r w:rsidRPr="00515206">
              <w:rPr>
                <w:rFonts w:cstheme="minorHAnsi"/>
                <w:b/>
                <w:sz w:val="24"/>
                <w:szCs w:val="24"/>
              </w:rPr>
              <w:t>FOR A DETERMINATION OF NEED</w:t>
            </w:r>
          </w:p>
        </w:tc>
      </w:tr>
      <w:tr w:rsidR="00A1325F" w:rsidRPr="00515206" w14:paraId="24701272" w14:textId="77777777" w:rsidTr="006A291D">
        <w:trPr>
          <w:trHeight w:val="413"/>
        </w:trPr>
        <w:tc>
          <w:tcPr>
            <w:tcW w:w="4705" w:type="dxa"/>
            <w:shd w:val="clear" w:color="auto" w:fill="auto"/>
            <w:vAlign w:val="center"/>
          </w:tcPr>
          <w:p w14:paraId="43EB5F25" w14:textId="77777777" w:rsidR="00A1325F" w:rsidRPr="00515206" w:rsidRDefault="00A1325F" w:rsidP="00730574">
            <w:pPr>
              <w:ind w:right="540"/>
              <w:contextualSpacing/>
              <w:rPr>
                <w:rFonts w:cstheme="minorHAnsi"/>
                <w:sz w:val="24"/>
                <w:szCs w:val="24"/>
              </w:rPr>
            </w:pPr>
            <w:r w:rsidRPr="00515206">
              <w:rPr>
                <w:rFonts w:cstheme="minorHAnsi"/>
                <w:sz w:val="24"/>
                <w:szCs w:val="24"/>
              </w:rPr>
              <w:t xml:space="preserve">Applicant Name </w:t>
            </w:r>
          </w:p>
        </w:tc>
        <w:tc>
          <w:tcPr>
            <w:tcW w:w="4645" w:type="dxa"/>
            <w:shd w:val="clear" w:color="auto" w:fill="auto"/>
            <w:vAlign w:val="center"/>
          </w:tcPr>
          <w:p w14:paraId="37ADDFD0" w14:textId="4A06B850" w:rsidR="00A1325F" w:rsidRPr="00133BE3" w:rsidRDefault="00CD651F" w:rsidP="00837345">
            <w:pPr>
              <w:ind w:right="160"/>
              <w:contextualSpacing/>
              <w:rPr>
                <w:rFonts w:cstheme="minorHAnsi"/>
                <w:bCs/>
                <w:sz w:val="24"/>
                <w:szCs w:val="24"/>
              </w:rPr>
            </w:pPr>
            <w:r w:rsidRPr="00133BE3">
              <w:rPr>
                <w:rFonts w:cstheme="minorHAnsi"/>
                <w:bCs/>
                <w:sz w:val="24"/>
                <w:szCs w:val="24"/>
              </w:rPr>
              <w:t>Navigator Homes of Martha’s Vineyard, Inc.</w:t>
            </w:r>
            <w:r w:rsidRPr="00CD651F">
              <w:rPr>
                <w:rFonts w:cstheme="minorHAnsi"/>
                <w:bCs/>
                <w:sz w:val="24"/>
                <w:szCs w:val="24"/>
              </w:rPr>
              <w:t xml:space="preserve"> </w:t>
            </w:r>
          </w:p>
        </w:tc>
      </w:tr>
      <w:tr w:rsidR="00A1325F" w:rsidRPr="00515206" w14:paraId="0DC4D8DC" w14:textId="77777777" w:rsidTr="006A291D">
        <w:trPr>
          <w:trHeight w:val="357"/>
        </w:trPr>
        <w:tc>
          <w:tcPr>
            <w:tcW w:w="4705" w:type="dxa"/>
            <w:shd w:val="clear" w:color="auto" w:fill="auto"/>
            <w:vAlign w:val="center"/>
          </w:tcPr>
          <w:p w14:paraId="7A8057C2" w14:textId="77777777" w:rsidR="00A1325F" w:rsidRPr="00515206" w:rsidRDefault="00A1325F" w:rsidP="00730574">
            <w:pPr>
              <w:ind w:right="540"/>
              <w:contextualSpacing/>
              <w:rPr>
                <w:rFonts w:cstheme="minorHAnsi"/>
                <w:sz w:val="24"/>
                <w:szCs w:val="24"/>
              </w:rPr>
            </w:pPr>
            <w:r w:rsidRPr="00515206">
              <w:rPr>
                <w:rFonts w:cstheme="minorHAnsi"/>
                <w:sz w:val="24"/>
                <w:szCs w:val="24"/>
              </w:rPr>
              <w:t xml:space="preserve">Applicant Address </w:t>
            </w:r>
          </w:p>
        </w:tc>
        <w:tc>
          <w:tcPr>
            <w:tcW w:w="4645" w:type="dxa"/>
            <w:shd w:val="clear" w:color="auto" w:fill="auto"/>
            <w:vAlign w:val="center"/>
          </w:tcPr>
          <w:p w14:paraId="28B39E18" w14:textId="28D40C8E" w:rsidR="00A1325F" w:rsidRPr="00133BE3" w:rsidRDefault="00CD651F" w:rsidP="00730574">
            <w:pPr>
              <w:ind w:right="540"/>
              <w:contextualSpacing/>
              <w:rPr>
                <w:rFonts w:cstheme="minorHAnsi"/>
                <w:bCs/>
                <w:sz w:val="24"/>
                <w:szCs w:val="24"/>
                <w:lang w:val="fr-FR"/>
              </w:rPr>
            </w:pPr>
            <w:r w:rsidRPr="00133BE3">
              <w:rPr>
                <w:rFonts w:cstheme="minorHAnsi"/>
                <w:bCs/>
                <w:sz w:val="24"/>
                <w:szCs w:val="24"/>
              </w:rPr>
              <w:t>257 Main Street P.O. Box 1356 Vineyard Haven, M</w:t>
            </w:r>
            <w:r w:rsidR="00837345">
              <w:rPr>
                <w:rFonts w:cstheme="minorHAnsi"/>
                <w:bCs/>
                <w:sz w:val="24"/>
                <w:szCs w:val="24"/>
              </w:rPr>
              <w:t>A</w:t>
            </w:r>
            <w:r w:rsidRPr="00133BE3">
              <w:rPr>
                <w:rFonts w:cstheme="minorHAnsi"/>
                <w:bCs/>
                <w:sz w:val="24"/>
                <w:szCs w:val="24"/>
              </w:rPr>
              <w:t xml:space="preserve"> 02568</w:t>
            </w:r>
          </w:p>
        </w:tc>
      </w:tr>
      <w:tr w:rsidR="00A1325F" w:rsidRPr="00515206" w14:paraId="23436F35" w14:textId="77777777" w:rsidTr="006A291D">
        <w:trPr>
          <w:trHeight w:val="377"/>
        </w:trPr>
        <w:tc>
          <w:tcPr>
            <w:tcW w:w="4705" w:type="dxa"/>
            <w:shd w:val="clear" w:color="auto" w:fill="auto"/>
            <w:vAlign w:val="center"/>
          </w:tcPr>
          <w:p w14:paraId="53C0371A" w14:textId="77777777" w:rsidR="00A1325F" w:rsidRPr="00515206" w:rsidRDefault="00A1325F" w:rsidP="00730574">
            <w:pPr>
              <w:ind w:right="540"/>
              <w:contextualSpacing/>
              <w:rPr>
                <w:rFonts w:cstheme="minorHAnsi"/>
                <w:sz w:val="24"/>
                <w:szCs w:val="24"/>
              </w:rPr>
            </w:pPr>
            <w:r w:rsidRPr="00515206">
              <w:rPr>
                <w:rFonts w:cstheme="minorHAnsi"/>
                <w:sz w:val="24"/>
                <w:szCs w:val="24"/>
              </w:rPr>
              <w:t>Filing Date</w:t>
            </w:r>
          </w:p>
        </w:tc>
        <w:tc>
          <w:tcPr>
            <w:tcW w:w="4645" w:type="dxa"/>
            <w:shd w:val="clear" w:color="auto" w:fill="auto"/>
            <w:vAlign w:val="center"/>
          </w:tcPr>
          <w:p w14:paraId="100ECFB8" w14:textId="5ECBF189" w:rsidR="00A1325F" w:rsidRPr="00C65D6B" w:rsidRDefault="00E059A4" w:rsidP="00730574">
            <w:pPr>
              <w:ind w:right="540"/>
              <w:contextualSpacing/>
              <w:rPr>
                <w:rFonts w:cstheme="minorHAnsi"/>
                <w:sz w:val="24"/>
                <w:szCs w:val="24"/>
                <w:highlight w:val="yellow"/>
              </w:rPr>
            </w:pPr>
            <w:r w:rsidRPr="00EE7202">
              <w:rPr>
                <w:rFonts w:cstheme="minorHAnsi"/>
                <w:sz w:val="24"/>
                <w:szCs w:val="24"/>
              </w:rPr>
              <w:t xml:space="preserve">November 30, </w:t>
            </w:r>
            <w:r w:rsidR="00202F44" w:rsidRPr="00EE7202">
              <w:rPr>
                <w:rFonts w:cstheme="minorHAnsi"/>
                <w:sz w:val="24"/>
                <w:szCs w:val="24"/>
              </w:rPr>
              <w:t>2022</w:t>
            </w:r>
          </w:p>
        </w:tc>
      </w:tr>
      <w:tr w:rsidR="00A1325F" w:rsidRPr="00515206" w14:paraId="569E5EFA" w14:textId="77777777" w:rsidTr="006A291D">
        <w:trPr>
          <w:trHeight w:val="350"/>
        </w:trPr>
        <w:tc>
          <w:tcPr>
            <w:tcW w:w="4705" w:type="dxa"/>
            <w:shd w:val="clear" w:color="auto" w:fill="auto"/>
            <w:vAlign w:val="center"/>
          </w:tcPr>
          <w:p w14:paraId="6D0E01EB" w14:textId="77777777" w:rsidR="00A1325F" w:rsidRPr="00515206" w:rsidRDefault="00A1325F" w:rsidP="00730574">
            <w:pPr>
              <w:ind w:right="540"/>
              <w:contextualSpacing/>
              <w:rPr>
                <w:rFonts w:cstheme="minorHAnsi"/>
                <w:sz w:val="24"/>
                <w:szCs w:val="24"/>
              </w:rPr>
            </w:pPr>
            <w:r w:rsidRPr="00515206">
              <w:rPr>
                <w:rFonts w:cstheme="minorHAnsi"/>
                <w:sz w:val="24"/>
                <w:szCs w:val="24"/>
              </w:rPr>
              <w:t>Type of DoN Application</w:t>
            </w:r>
          </w:p>
        </w:tc>
        <w:tc>
          <w:tcPr>
            <w:tcW w:w="4645" w:type="dxa"/>
            <w:shd w:val="clear" w:color="auto" w:fill="auto"/>
            <w:vAlign w:val="center"/>
          </w:tcPr>
          <w:p w14:paraId="4D6C8104" w14:textId="30ABA5C7" w:rsidR="00A1325F" w:rsidRPr="00515206" w:rsidRDefault="00CF3EE1" w:rsidP="00730574">
            <w:pPr>
              <w:ind w:right="540"/>
              <w:contextualSpacing/>
              <w:rPr>
                <w:rFonts w:cstheme="minorHAnsi"/>
                <w:sz w:val="24"/>
                <w:szCs w:val="24"/>
              </w:rPr>
            </w:pPr>
            <w:r w:rsidRPr="00CF3EE1">
              <w:rPr>
                <w:rFonts w:cstheme="minorHAnsi"/>
                <w:sz w:val="24"/>
                <w:szCs w:val="24"/>
              </w:rPr>
              <w:t>Long Term Care Substantial Capital Expenditure</w:t>
            </w:r>
            <w:r w:rsidR="00CD651F">
              <w:rPr>
                <w:rFonts w:cstheme="minorHAnsi"/>
                <w:sz w:val="24"/>
                <w:szCs w:val="24"/>
              </w:rPr>
              <w:t xml:space="preserve"> (incl</w:t>
            </w:r>
            <w:r w:rsidR="00837345">
              <w:rPr>
                <w:rFonts w:cstheme="minorHAnsi"/>
                <w:sz w:val="24"/>
                <w:szCs w:val="24"/>
              </w:rPr>
              <w:t xml:space="preserve">uding </w:t>
            </w:r>
            <w:r w:rsidR="00CD651F">
              <w:rPr>
                <w:rFonts w:cstheme="minorHAnsi"/>
                <w:sz w:val="24"/>
                <w:szCs w:val="24"/>
              </w:rPr>
              <w:t>Transfer of Site</w:t>
            </w:r>
            <w:r w:rsidR="00837345">
              <w:rPr>
                <w:rFonts w:cstheme="minorHAnsi"/>
                <w:sz w:val="24"/>
                <w:szCs w:val="24"/>
              </w:rPr>
              <w:t>)</w:t>
            </w:r>
          </w:p>
        </w:tc>
      </w:tr>
      <w:tr w:rsidR="00A1325F" w:rsidRPr="00515206" w14:paraId="6E3DCCCE" w14:textId="77777777" w:rsidTr="006A291D">
        <w:trPr>
          <w:trHeight w:val="350"/>
        </w:trPr>
        <w:tc>
          <w:tcPr>
            <w:tcW w:w="4705" w:type="dxa"/>
            <w:shd w:val="clear" w:color="auto" w:fill="auto"/>
            <w:vAlign w:val="center"/>
          </w:tcPr>
          <w:p w14:paraId="14AE8593" w14:textId="4F310F29" w:rsidR="00A1325F" w:rsidRPr="00515206" w:rsidRDefault="00A1325F" w:rsidP="00730574">
            <w:pPr>
              <w:ind w:right="540"/>
              <w:contextualSpacing/>
              <w:rPr>
                <w:rFonts w:cstheme="minorHAnsi"/>
                <w:sz w:val="24"/>
                <w:szCs w:val="24"/>
              </w:rPr>
            </w:pPr>
            <w:r w:rsidRPr="00515206">
              <w:rPr>
                <w:rFonts w:cstheme="minorHAnsi"/>
                <w:sz w:val="24"/>
                <w:szCs w:val="24"/>
              </w:rPr>
              <w:t>Total Value</w:t>
            </w:r>
          </w:p>
        </w:tc>
        <w:tc>
          <w:tcPr>
            <w:tcW w:w="4645" w:type="dxa"/>
            <w:shd w:val="clear" w:color="auto" w:fill="auto"/>
            <w:vAlign w:val="center"/>
          </w:tcPr>
          <w:p w14:paraId="06470956" w14:textId="4CD91563" w:rsidR="00A1325F" w:rsidRPr="00515206" w:rsidRDefault="00CD651F" w:rsidP="00730574">
            <w:pPr>
              <w:ind w:right="540"/>
              <w:contextualSpacing/>
              <w:rPr>
                <w:rFonts w:cstheme="minorHAnsi"/>
                <w:sz w:val="24"/>
                <w:szCs w:val="24"/>
              </w:rPr>
            </w:pPr>
            <w:r w:rsidRPr="00CD651F">
              <w:rPr>
                <w:rFonts w:cstheme="minorHAnsi"/>
                <w:sz w:val="24"/>
                <w:szCs w:val="24"/>
              </w:rPr>
              <w:t>$53,530,459</w:t>
            </w:r>
          </w:p>
        </w:tc>
      </w:tr>
      <w:tr w:rsidR="00A1325F" w:rsidRPr="00515206" w14:paraId="7962CDB6" w14:textId="77777777" w:rsidTr="006A291D">
        <w:trPr>
          <w:trHeight w:val="350"/>
        </w:trPr>
        <w:tc>
          <w:tcPr>
            <w:tcW w:w="4705" w:type="dxa"/>
            <w:shd w:val="clear" w:color="auto" w:fill="auto"/>
            <w:vAlign w:val="center"/>
          </w:tcPr>
          <w:p w14:paraId="53E6ED40" w14:textId="77777777" w:rsidR="00A1325F" w:rsidRPr="00515206" w:rsidRDefault="00A1325F" w:rsidP="00730574">
            <w:pPr>
              <w:ind w:right="540"/>
              <w:contextualSpacing/>
              <w:rPr>
                <w:rFonts w:cstheme="minorHAnsi"/>
                <w:sz w:val="24"/>
                <w:szCs w:val="24"/>
              </w:rPr>
            </w:pPr>
            <w:r w:rsidRPr="00515206">
              <w:rPr>
                <w:rFonts w:cstheme="minorHAnsi"/>
                <w:sz w:val="24"/>
                <w:szCs w:val="24"/>
              </w:rPr>
              <w:t>Project Number</w:t>
            </w:r>
          </w:p>
        </w:tc>
        <w:tc>
          <w:tcPr>
            <w:tcW w:w="4645" w:type="dxa"/>
            <w:shd w:val="clear" w:color="auto" w:fill="auto"/>
            <w:vAlign w:val="center"/>
          </w:tcPr>
          <w:p w14:paraId="5D28982D" w14:textId="7C69B88D" w:rsidR="00A1325F" w:rsidRPr="00133BE3" w:rsidRDefault="00133BE3" w:rsidP="00730574">
            <w:pPr>
              <w:ind w:right="540"/>
              <w:contextualSpacing/>
              <w:rPr>
                <w:rFonts w:cstheme="minorHAnsi"/>
                <w:bCs/>
                <w:sz w:val="24"/>
                <w:szCs w:val="24"/>
              </w:rPr>
            </w:pPr>
            <w:r w:rsidRPr="00133BE3">
              <w:rPr>
                <w:rFonts w:cstheme="minorHAnsi"/>
                <w:bCs/>
                <w:sz w:val="24"/>
                <w:szCs w:val="24"/>
              </w:rPr>
              <w:t># NHMV-22090717-LE</w:t>
            </w:r>
          </w:p>
        </w:tc>
      </w:tr>
      <w:tr w:rsidR="00A1325F" w:rsidRPr="00515206" w14:paraId="527D55B7" w14:textId="77777777" w:rsidTr="006A291D">
        <w:trPr>
          <w:trHeight w:val="350"/>
        </w:trPr>
        <w:tc>
          <w:tcPr>
            <w:tcW w:w="4705" w:type="dxa"/>
            <w:shd w:val="clear" w:color="auto" w:fill="auto"/>
            <w:vAlign w:val="center"/>
          </w:tcPr>
          <w:p w14:paraId="5E7AB760" w14:textId="77777777" w:rsidR="00A1325F" w:rsidRPr="00515206" w:rsidRDefault="00A1325F" w:rsidP="00730574">
            <w:pPr>
              <w:ind w:right="540"/>
              <w:contextualSpacing/>
              <w:rPr>
                <w:rFonts w:cstheme="minorHAnsi"/>
                <w:sz w:val="24"/>
                <w:szCs w:val="24"/>
              </w:rPr>
            </w:pPr>
            <w:r w:rsidRPr="00515206">
              <w:rPr>
                <w:rFonts w:cstheme="minorHAnsi"/>
                <w:sz w:val="24"/>
                <w:szCs w:val="24"/>
              </w:rPr>
              <w:t>Ten Taxpayer Group (TTG)</w:t>
            </w:r>
          </w:p>
        </w:tc>
        <w:tc>
          <w:tcPr>
            <w:tcW w:w="4645" w:type="dxa"/>
            <w:shd w:val="clear" w:color="auto" w:fill="auto"/>
            <w:vAlign w:val="center"/>
          </w:tcPr>
          <w:p w14:paraId="24D9CC3F" w14:textId="71163D95" w:rsidR="00A1325F" w:rsidRPr="00515206" w:rsidRDefault="00351E53" w:rsidP="00730574">
            <w:pPr>
              <w:ind w:right="540"/>
              <w:contextualSpacing/>
              <w:rPr>
                <w:rFonts w:cstheme="minorHAnsi"/>
                <w:sz w:val="24"/>
                <w:szCs w:val="24"/>
              </w:rPr>
            </w:pPr>
            <w:r>
              <w:rPr>
                <w:rFonts w:cstheme="minorHAnsi"/>
                <w:sz w:val="24"/>
                <w:szCs w:val="24"/>
              </w:rPr>
              <w:t>One</w:t>
            </w:r>
          </w:p>
        </w:tc>
      </w:tr>
      <w:tr w:rsidR="00A1325F" w:rsidRPr="00515206" w14:paraId="61846F34" w14:textId="77777777" w:rsidTr="006A291D">
        <w:trPr>
          <w:trHeight w:val="350"/>
        </w:trPr>
        <w:tc>
          <w:tcPr>
            <w:tcW w:w="4705" w:type="dxa"/>
            <w:shd w:val="clear" w:color="auto" w:fill="auto"/>
            <w:vAlign w:val="center"/>
          </w:tcPr>
          <w:p w14:paraId="2D4E3C9A" w14:textId="77777777" w:rsidR="00A1325F" w:rsidRPr="00515206" w:rsidRDefault="00A1325F" w:rsidP="00730574">
            <w:pPr>
              <w:ind w:right="540"/>
              <w:contextualSpacing/>
              <w:rPr>
                <w:rFonts w:cstheme="minorHAnsi"/>
                <w:sz w:val="24"/>
                <w:szCs w:val="24"/>
              </w:rPr>
            </w:pPr>
            <w:r w:rsidRPr="00515206">
              <w:rPr>
                <w:rFonts w:cstheme="minorHAnsi"/>
                <w:sz w:val="24"/>
                <w:szCs w:val="24"/>
              </w:rPr>
              <w:t>Community Health Initiative (CHI)</w:t>
            </w:r>
            <w:r w:rsidRPr="00515206" w:rsidDel="00FB532E">
              <w:rPr>
                <w:rFonts w:cstheme="minorHAnsi"/>
                <w:sz w:val="24"/>
                <w:szCs w:val="24"/>
              </w:rPr>
              <w:t xml:space="preserve"> </w:t>
            </w:r>
          </w:p>
        </w:tc>
        <w:tc>
          <w:tcPr>
            <w:tcW w:w="4645" w:type="dxa"/>
            <w:shd w:val="clear" w:color="auto" w:fill="auto"/>
            <w:vAlign w:val="center"/>
          </w:tcPr>
          <w:p w14:paraId="2D77A1BC" w14:textId="1955F3A8" w:rsidR="00A1325F" w:rsidRPr="00515206" w:rsidRDefault="00CD651F" w:rsidP="00730574">
            <w:pPr>
              <w:ind w:right="540"/>
              <w:contextualSpacing/>
              <w:rPr>
                <w:rFonts w:cstheme="minorHAnsi"/>
                <w:sz w:val="24"/>
                <w:szCs w:val="24"/>
              </w:rPr>
            </w:pPr>
            <w:r w:rsidRPr="00CD651F">
              <w:rPr>
                <w:rFonts w:cstheme="minorHAnsi"/>
                <w:sz w:val="24"/>
                <w:szCs w:val="24"/>
              </w:rPr>
              <w:t>$1,605,913.77</w:t>
            </w:r>
          </w:p>
        </w:tc>
      </w:tr>
      <w:tr w:rsidR="00A1325F" w:rsidRPr="00515206" w14:paraId="10C4CD5A" w14:textId="77777777" w:rsidTr="006A291D">
        <w:trPr>
          <w:trHeight w:val="350"/>
        </w:trPr>
        <w:tc>
          <w:tcPr>
            <w:tcW w:w="4705" w:type="dxa"/>
            <w:shd w:val="clear" w:color="auto" w:fill="auto"/>
            <w:vAlign w:val="center"/>
          </w:tcPr>
          <w:p w14:paraId="30AB09CA" w14:textId="77777777" w:rsidR="00A1325F" w:rsidRPr="00515206" w:rsidRDefault="00A1325F" w:rsidP="00730574">
            <w:pPr>
              <w:ind w:right="540"/>
              <w:contextualSpacing/>
              <w:rPr>
                <w:rFonts w:cstheme="minorHAnsi"/>
                <w:sz w:val="24"/>
                <w:szCs w:val="24"/>
              </w:rPr>
            </w:pPr>
            <w:r w:rsidRPr="00515206">
              <w:rPr>
                <w:rFonts w:cstheme="minorHAnsi"/>
                <w:sz w:val="24"/>
                <w:szCs w:val="24"/>
              </w:rPr>
              <w:t>Staff Recommendation</w:t>
            </w:r>
          </w:p>
        </w:tc>
        <w:tc>
          <w:tcPr>
            <w:tcW w:w="4645" w:type="dxa"/>
            <w:shd w:val="clear" w:color="auto" w:fill="auto"/>
            <w:vAlign w:val="center"/>
          </w:tcPr>
          <w:p w14:paraId="2CA35370" w14:textId="37099286" w:rsidR="00A1325F" w:rsidRPr="00515206" w:rsidRDefault="001B2167" w:rsidP="00730574">
            <w:pPr>
              <w:ind w:right="540"/>
              <w:contextualSpacing/>
              <w:rPr>
                <w:rFonts w:cstheme="minorHAnsi"/>
                <w:sz w:val="24"/>
                <w:szCs w:val="24"/>
              </w:rPr>
            </w:pPr>
            <w:r>
              <w:rPr>
                <w:rFonts w:cstheme="minorHAnsi"/>
                <w:sz w:val="24"/>
                <w:szCs w:val="24"/>
              </w:rPr>
              <w:t>Approval</w:t>
            </w:r>
          </w:p>
        </w:tc>
      </w:tr>
      <w:tr w:rsidR="00A1325F" w:rsidRPr="00515206" w14:paraId="7DEF9D93" w14:textId="77777777" w:rsidTr="006A291D">
        <w:trPr>
          <w:trHeight w:val="350"/>
        </w:trPr>
        <w:tc>
          <w:tcPr>
            <w:tcW w:w="4705" w:type="dxa"/>
            <w:shd w:val="clear" w:color="auto" w:fill="auto"/>
            <w:vAlign w:val="center"/>
          </w:tcPr>
          <w:p w14:paraId="6906AB1E" w14:textId="77777777" w:rsidR="00A1325F" w:rsidRPr="00515206" w:rsidRDefault="00A1325F" w:rsidP="00730574">
            <w:pPr>
              <w:ind w:right="540"/>
              <w:contextualSpacing/>
              <w:rPr>
                <w:rFonts w:cstheme="minorHAnsi"/>
                <w:sz w:val="24"/>
                <w:szCs w:val="24"/>
              </w:rPr>
            </w:pPr>
            <w:r>
              <w:rPr>
                <w:rFonts w:cstheme="minorHAnsi"/>
                <w:sz w:val="24"/>
                <w:szCs w:val="24"/>
              </w:rPr>
              <w:t>Public Health Council</w:t>
            </w:r>
          </w:p>
        </w:tc>
        <w:tc>
          <w:tcPr>
            <w:tcW w:w="4645" w:type="dxa"/>
            <w:shd w:val="clear" w:color="auto" w:fill="auto"/>
            <w:vAlign w:val="center"/>
          </w:tcPr>
          <w:p w14:paraId="3FDF8B4B" w14:textId="34DD728E" w:rsidR="00A1325F" w:rsidRPr="00515206" w:rsidRDefault="00337031" w:rsidP="00730574">
            <w:pPr>
              <w:ind w:right="540"/>
              <w:contextualSpacing/>
              <w:rPr>
                <w:rFonts w:cstheme="minorHAnsi"/>
                <w:sz w:val="24"/>
                <w:szCs w:val="24"/>
              </w:rPr>
            </w:pPr>
            <w:r>
              <w:rPr>
                <w:rFonts w:cstheme="minorHAnsi"/>
                <w:sz w:val="24"/>
                <w:szCs w:val="24"/>
              </w:rPr>
              <w:t>March 8, 2023</w:t>
            </w:r>
          </w:p>
        </w:tc>
      </w:tr>
      <w:tr w:rsidR="00B045B7" w:rsidRPr="00515206" w14:paraId="2312A743" w14:textId="77777777" w:rsidTr="00B045B7">
        <w:trPr>
          <w:trHeight w:val="4688"/>
        </w:trPr>
        <w:tc>
          <w:tcPr>
            <w:tcW w:w="9350" w:type="dxa"/>
            <w:gridSpan w:val="2"/>
            <w:shd w:val="clear" w:color="auto" w:fill="auto"/>
          </w:tcPr>
          <w:p w14:paraId="251ACF47" w14:textId="77777777" w:rsidR="00B045B7" w:rsidRDefault="00B045B7" w:rsidP="00B045B7">
            <w:pPr>
              <w:ind w:right="540"/>
              <w:contextualSpacing/>
              <w:jc w:val="both"/>
              <w:rPr>
                <w:rFonts w:cstheme="minorHAnsi"/>
                <w:sz w:val="24"/>
                <w:szCs w:val="24"/>
              </w:rPr>
            </w:pPr>
          </w:p>
          <w:p w14:paraId="576163EB" w14:textId="77777777" w:rsidR="006E67F3" w:rsidRPr="006E67F3" w:rsidRDefault="006E67F3" w:rsidP="006E67F3">
            <w:pPr>
              <w:ind w:right="540"/>
              <w:contextualSpacing/>
              <w:jc w:val="center"/>
              <w:rPr>
                <w:rFonts w:cstheme="minorHAnsi"/>
                <w:b/>
                <w:bCs/>
                <w:sz w:val="24"/>
                <w:szCs w:val="24"/>
              </w:rPr>
            </w:pPr>
            <w:r w:rsidRPr="006E67F3">
              <w:rPr>
                <w:rFonts w:cstheme="minorHAnsi"/>
                <w:b/>
                <w:bCs/>
                <w:sz w:val="24"/>
                <w:szCs w:val="24"/>
              </w:rPr>
              <w:t>Project Summary and Regulatory Review</w:t>
            </w:r>
          </w:p>
          <w:p w14:paraId="4E431ACB" w14:textId="77777777" w:rsidR="006E67F3" w:rsidRPr="006E67F3" w:rsidRDefault="006E67F3" w:rsidP="006E67F3">
            <w:pPr>
              <w:ind w:right="540"/>
              <w:contextualSpacing/>
              <w:jc w:val="both"/>
              <w:rPr>
                <w:rFonts w:cstheme="minorHAnsi"/>
                <w:sz w:val="24"/>
                <w:szCs w:val="24"/>
              </w:rPr>
            </w:pPr>
          </w:p>
          <w:p w14:paraId="1AEF402B" w14:textId="611620EF" w:rsidR="00B045B7" w:rsidRDefault="006E67F3" w:rsidP="006E67F3">
            <w:pPr>
              <w:ind w:right="540"/>
              <w:contextualSpacing/>
              <w:rPr>
                <w:rFonts w:cstheme="minorHAnsi"/>
                <w:sz w:val="24"/>
                <w:szCs w:val="24"/>
              </w:rPr>
            </w:pPr>
            <w:r w:rsidRPr="006E67F3">
              <w:rPr>
                <w:rFonts w:cstheme="minorHAnsi"/>
                <w:sz w:val="24"/>
                <w:szCs w:val="24"/>
              </w:rPr>
              <w:t>The Applicant, Navigator Homes of Martha’s Vineyard, Inc.  d/b/a Windemere Nursing &amp; Rehabilitation Center seeks to relocate and construct a replacement facility</w:t>
            </w:r>
            <w:r w:rsidR="008909E4">
              <w:rPr>
                <w:rFonts w:cstheme="minorHAnsi"/>
                <w:sz w:val="24"/>
                <w:szCs w:val="24"/>
              </w:rPr>
              <w:t xml:space="preserve"> comprising </w:t>
            </w:r>
            <w:r w:rsidR="008909E4" w:rsidRPr="008909E4">
              <w:rPr>
                <w:rFonts w:cstheme="minorHAnsi"/>
                <w:sz w:val="24"/>
                <w:szCs w:val="24"/>
              </w:rPr>
              <w:t>70</w:t>
            </w:r>
            <w:r w:rsidR="008909E4">
              <w:rPr>
                <w:rFonts w:cstheme="minorHAnsi"/>
                <w:sz w:val="24"/>
                <w:szCs w:val="24"/>
              </w:rPr>
              <w:t xml:space="preserve"> </w:t>
            </w:r>
            <w:r w:rsidR="00EE186E">
              <w:rPr>
                <w:rFonts w:cstheme="minorHAnsi"/>
                <w:sz w:val="24"/>
                <w:szCs w:val="24"/>
              </w:rPr>
              <w:t xml:space="preserve">licensed </w:t>
            </w:r>
            <w:r w:rsidR="008909E4" w:rsidRPr="008909E4">
              <w:rPr>
                <w:rFonts w:cstheme="minorHAnsi"/>
                <w:sz w:val="24"/>
                <w:szCs w:val="24"/>
              </w:rPr>
              <w:t>bed</w:t>
            </w:r>
            <w:r w:rsidR="008909E4">
              <w:rPr>
                <w:rFonts w:cstheme="minorHAnsi"/>
                <w:sz w:val="24"/>
                <w:szCs w:val="24"/>
              </w:rPr>
              <w:t>s</w:t>
            </w:r>
            <w:r w:rsidR="008909E4" w:rsidRPr="008909E4">
              <w:rPr>
                <w:rFonts w:cstheme="minorHAnsi"/>
                <w:sz w:val="24"/>
                <w:szCs w:val="24"/>
              </w:rPr>
              <w:t xml:space="preserve"> at 490 Vineyard Haven Road, Edgartown, MA 02539 (Proposed Project)</w:t>
            </w:r>
            <w:r w:rsidR="00EE186E">
              <w:rPr>
                <w:rFonts w:cstheme="minorHAnsi"/>
                <w:sz w:val="24"/>
                <w:szCs w:val="24"/>
              </w:rPr>
              <w:t xml:space="preserve">. This total includes </w:t>
            </w:r>
            <w:r w:rsidR="008909E4" w:rsidRPr="008909E4">
              <w:rPr>
                <w:rFonts w:cstheme="minorHAnsi"/>
                <w:sz w:val="24"/>
                <w:szCs w:val="24"/>
              </w:rPr>
              <w:t>add</w:t>
            </w:r>
            <w:r w:rsidR="00EE186E">
              <w:rPr>
                <w:rFonts w:cstheme="minorHAnsi"/>
                <w:sz w:val="24"/>
                <w:szCs w:val="24"/>
              </w:rPr>
              <w:t>ing</w:t>
            </w:r>
            <w:r w:rsidR="008909E4" w:rsidRPr="008909E4">
              <w:rPr>
                <w:rFonts w:cstheme="minorHAnsi"/>
                <w:sz w:val="24"/>
                <w:szCs w:val="24"/>
              </w:rPr>
              <w:t xml:space="preserve"> 9 beds to the </w:t>
            </w:r>
            <w:r w:rsidR="00586E61">
              <w:rPr>
                <w:rFonts w:cstheme="minorHAnsi"/>
                <w:sz w:val="24"/>
                <w:szCs w:val="24"/>
              </w:rPr>
              <w:t>f</w:t>
            </w:r>
            <w:r w:rsidR="008909E4" w:rsidRPr="008909E4">
              <w:rPr>
                <w:rFonts w:cstheme="minorHAnsi"/>
                <w:sz w:val="24"/>
                <w:szCs w:val="24"/>
              </w:rPr>
              <w:t>acility’s license</w:t>
            </w:r>
            <w:r w:rsidR="00EE186E" w:rsidRPr="00EE186E">
              <w:rPr>
                <w:rFonts w:cstheme="minorHAnsi"/>
                <w:sz w:val="24"/>
                <w:szCs w:val="24"/>
              </w:rPr>
              <w:t xml:space="preserve"> </w:t>
            </w:r>
            <w:r w:rsidR="00EE186E">
              <w:rPr>
                <w:rFonts w:cstheme="minorHAnsi"/>
                <w:sz w:val="24"/>
                <w:szCs w:val="24"/>
              </w:rPr>
              <w:t>p</w:t>
            </w:r>
            <w:r w:rsidR="00EE186E" w:rsidRPr="00EE186E">
              <w:rPr>
                <w:rFonts w:cstheme="minorHAnsi"/>
                <w:sz w:val="24"/>
                <w:szCs w:val="24"/>
              </w:rPr>
              <w:t xml:space="preserve">ursuant to </w:t>
            </w:r>
            <w:r w:rsidR="00B21A48">
              <w:rPr>
                <w:rFonts w:cstheme="minorHAnsi"/>
                <w:sz w:val="24"/>
                <w:szCs w:val="24"/>
              </w:rPr>
              <w:t xml:space="preserve">G.L. c. 111, § 25B and </w:t>
            </w:r>
            <w:r w:rsidR="00EE186E" w:rsidRPr="00EE186E">
              <w:rPr>
                <w:rFonts w:cstheme="minorHAnsi"/>
                <w:sz w:val="24"/>
                <w:szCs w:val="24"/>
              </w:rPr>
              <w:t>105 C.M.R. 153.028(B)</w:t>
            </w:r>
            <w:r w:rsidR="00EE186E">
              <w:rPr>
                <w:rFonts w:cstheme="minorHAnsi"/>
                <w:sz w:val="24"/>
                <w:szCs w:val="24"/>
              </w:rPr>
              <w:t>.</w:t>
            </w:r>
            <w:r w:rsidR="008909E4">
              <w:rPr>
                <w:rFonts w:cstheme="minorHAnsi"/>
                <w:sz w:val="24"/>
                <w:szCs w:val="24"/>
              </w:rPr>
              <w:t xml:space="preserve"> </w:t>
            </w:r>
            <w:r w:rsidR="00515B25">
              <w:rPr>
                <w:rFonts w:cstheme="minorHAnsi"/>
                <w:sz w:val="24"/>
                <w:szCs w:val="24"/>
              </w:rPr>
              <w:t xml:space="preserve">The Applicant’s new facility will </w:t>
            </w:r>
            <w:r w:rsidR="00EE186E">
              <w:rPr>
                <w:rFonts w:cstheme="minorHAnsi"/>
                <w:sz w:val="24"/>
                <w:szCs w:val="24"/>
              </w:rPr>
              <w:t xml:space="preserve">use </w:t>
            </w:r>
            <w:r w:rsidR="00515B25">
              <w:rPr>
                <w:rFonts w:cstheme="minorHAnsi"/>
                <w:sz w:val="24"/>
                <w:szCs w:val="24"/>
              </w:rPr>
              <w:t xml:space="preserve">the Green House Model for long term care. </w:t>
            </w:r>
            <w:r w:rsidR="008909E4" w:rsidRPr="008909E4">
              <w:rPr>
                <w:rFonts w:cstheme="minorHAnsi"/>
                <w:sz w:val="24"/>
                <w:szCs w:val="24"/>
              </w:rPr>
              <w:t>The capital expenditure for the Proposed Project is</w:t>
            </w:r>
            <w:r w:rsidR="008909E4">
              <w:rPr>
                <w:rFonts w:cstheme="minorHAnsi"/>
                <w:sz w:val="24"/>
                <w:szCs w:val="24"/>
              </w:rPr>
              <w:t xml:space="preserve"> </w:t>
            </w:r>
            <w:r w:rsidR="008909E4" w:rsidRPr="008909E4">
              <w:rPr>
                <w:rFonts w:cstheme="minorHAnsi"/>
                <w:sz w:val="24"/>
                <w:szCs w:val="24"/>
              </w:rPr>
              <w:t>$53,530,459; and the Community Health Initiatives (CHI) commitment is $1,605,913.77.</w:t>
            </w:r>
            <w:r w:rsidR="00515B25">
              <w:rPr>
                <w:rFonts w:cstheme="minorHAnsi"/>
                <w:sz w:val="24"/>
                <w:szCs w:val="24"/>
              </w:rPr>
              <w:t xml:space="preserve"> </w:t>
            </w:r>
          </w:p>
          <w:p w14:paraId="7C4B5F26" w14:textId="77777777" w:rsidR="006E67F3" w:rsidRDefault="006E67F3" w:rsidP="006E67F3">
            <w:pPr>
              <w:ind w:right="540"/>
              <w:contextualSpacing/>
              <w:rPr>
                <w:rFonts w:cstheme="minorHAnsi"/>
                <w:sz w:val="24"/>
                <w:szCs w:val="24"/>
              </w:rPr>
            </w:pPr>
          </w:p>
          <w:p w14:paraId="226994B5" w14:textId="144EFC79" w:rsidR="006E67F3" w:rsidRDefault="006E67F3" w:rsidP="006E67F3">
            <w:pPr>
              <w:ind w:right="540"/>
              <w:contextualSpacing/>
              <w:rPr>
                <w:rFonts w:cstheme="minorHAnsi"/>
                <w:sz w:val="24"/>
                <w:szCs w:val="24"/>
              </w:rPr>
            </w:pPr>
            <w:r w:rsidRPr="006E67F3">
              <w:rPr>
                <w:rFonts w:cstheme="minorHAnsi"/>
                <w:sz w:val="24"/>
                <w:szCs w:val="24"/>
              </w:rPr>
              <w:t xml:space="preserve">This Application for Determination of Need (DoN) falls within the definition of Substantial Capital Expenditure, which </w:t>
            </w:r>
            <w:r w:rsidR="00C67E26">
              <w:rPr>
                <w:rFonts w:cstheme="minorHAnsi"/>
                <w:sz w:val="24"/>
                <w:szCs w:val="24"/>
              </w:rPr>
              <w:t>is</w:t>
            </w:r>
            <w:r w:rsidRPr="006E67F3">
              <w:rPr>
                <w:rFonts w:cstheme="minorHAnsi"/>
                <w:sz w:val="24"/>
                <w:szCs w:val="24"/>
              </w:rPr>
              <w:t xml:space="preserve"> reviewed under the DoN regulation 105 CMR 100.000. The Department must determine that need exists for a Proposed Project, on the basis of material in the record, where the Applicant makes a clear and convincing demonstration that the Proposed Project meets each Determination of Need Factor set forth within 105 CMR 100.210. This staff report addresses each of the six factors set forth in the regulation</w:t>
            </w:r>
            <w:r w:rsidR="00531700">
              <w:rPr>
                <w:rFonts w:cstheme="minorHAnsi"/>
                <w:sz w:val="24"/>
                <w:szCs w:val="24"/>
              </w:rPr>
              <w:t>.</w:t>
            </w:r>
          </w:p>
          <w:p w14:paraId="787E5F15" w14:textId="3868AAB4" w:rsidR="00971820" w:rsidRDefault="00971820" w:rsidP="006E67F3">
            <w:pPr>
              <w:ind w:right="540"/>
              <w:contextualSpacing/>
              <w:rPr>
                <w:rFonts w:cstheme="minorHAnsi"/>
                <w:sz w:val="24"/>
                <w:szCs w:val="24"/>
              </w:rPr>
            </w:pPr>
          </w:p>
        </w:tc>
      </w:tr>
    </w:tbl>
    <w:p w14:paraId="3FF84A09" w14:textId="5604E9AE" w:rsidR="00531700" w:rsidRDefault="00531700" w:rsidP="00A1325F">
      <w:pPr>
        <w:rPr>
          <w:sz w:val="24"/>
          <w:szCs w:val="24"/>
        </w:rPr>
      </w:pPr>
    </w:p>
    <w:p w14:paraId="1585A263" w14:textId="77777777" w:rsidR="00531700" w:rsidRDefault="00531700">
      <w:pPr>
        <w:rPr>
          <w:sz w:val="24"/>
          <w:szCs w:val="24"/>
        </w:rPr>
      </w:pPr>
      <w:r>
        <w:rPr>
          <w:sz w:val="24"/>
          <w:szCs w:val="24"/>
        </w:rPr>
        <w:br w:type="page"/>
      </w:r>
    </w:p>
    <w:p w14:paraId="209D8506" w14:textId="77777777" w:rsidR="00A1325F" w:rsidRDefault="00A1325F" w:rsidP="00A1325F">
      <w:pPr>
        <w:rPr>
          <w:sz w:val="24"/>
          <w:szCs w:val="24"/>
        </w:rPr>
      </w:pPr>
    </w:p>
    <w:sdt>
      <w:sdtPr>
        <w:rPr>
          <w:rFonts w:asciiTheme="minorHAnsi" w:eastAsiaTheme="minorHAnsi" w:hAnsiTheme="minorHAnsi" w:cstheme="minorBidi"/>
          <w:color w:val="auto"/>
          <w:sz w:val="22"/>
          <w:szCs w:val="22"/>
          <w:shd w:val="clear" w:color="auto" w:fill="E6E6E6"/>
        </w:rPr>
        <w:id w:val="123281500"/>
        <w:docPartObj>
          <w:docPartGallery w:val="Table of Contents"/>
          <w:docPartUnique/>
        </w:docPartObj>
      </w:sdtPr>
      <w:sdtEndPr>
        <w:rPr>
          <w:b/>
          <w:bCs/>
          <w:noProof/>
        </w:rPr>
      </w:sdtEndPr>
      <w:sdtContent>
        <w:p w14:paraId="057A0F3D" w14:textId="49D82267" w:rsidR="00531700" w:rsidRPr="0075155F" w:rsidRDefault="00531700">
          <w:pPr>
            <w:pStyle w:val="TOCHeading"/>
            <w:rPr>
              <w:rFonts w:asciiTheme="minorHAnsi" w:hAnsiTheme="minorHAnsi" w:cstheme="minorHAnsi"/>
              <w:color w:val="1F4E79" w:themeColor="accent5" w:themeShade="80"/>
            </w:rPr>
          </w:pPr>
          <w:r w:rsidRPr="0075155F">
            <w:rPr>
              <w:rFonts w:asciiTheme="minorHAnsi" w:hAnsiTheme="minorHAnsi" w:cstheme="minorHAnsi"/>
              <w:color w:val="1F4E79" w:themeColor="accent5" w:themeShade="80"/>
            </w:rPr>
            <w:t>Table of Contents</w:t>
          </w:r>
        </w:p>
        <w:p w14:paraId="0DE31684" w14:textId="7D6ADFCD" w:rsidR="00CF7981" w:rsidRDefault="00531700">
          <w:pPr>
            <w:pStyle w:val="TOC1"/>
            <w:tabs>
              <w:tab w:val="right" w:leader="dot" w:pos="9350"/>
            </w:tabs>
            <w:rPr>
              <w:rFonts w:eastAsiaTheme="minorEastAsia"/>
              <w:noProof/>
            </w:rPr>
          </w:pPr>
          <w:r>
            <w:rPr>
              <w:color w:val="2B579A"/>
              <w:shd w:val="clear" w:color="auto" w:fill="E6E6E6"/>
            </w:rPr>
            <w:fldChar w:fldCharType="begin"/>
          </w:r>
          <w:r>
            <w:instrText xml:space="preserve"> TOC \o "1-3" \h \z \u </w:instrText>
          </w:r>
          <w:r>
            <w:rPr>
              <w:color w:val="2B579A"/>
              <w:shd w:val="clear" w:color="auto" w:fill="E6E6E6"/>
            </w:rPr>
            <w:fldChar w:fldCharType="separate"/>
          </w:r>
          <w:hyperlink w:anchor="_Toc129354639" w:history="1">
            <w:r w:rsidR="00CF7981" w:rsidRPr="00AC7577">
              <w:rPr>
                <w:rStyle w:val="Hyperlink"/>
                <w:rFonts w:cstheme="minorHAnsi"/>
                <w:noProof/>
              </w:rPr>
              <w:t>Background and Project Summary</w:t>
            </w:r>
            <w:r w:rsidR="00CF7981">
              <w:rPr>
                <w:noProof/>
                <w:webHidden/>
              </w:rPr>
              <w:tab/>
            </w:r>
            <w:r w:rsidR="00CF7981">
              <w:rPr>
                <w:noProof/>
                <w:webHidden/>
              </w:rPr>
              <w:fldChar w:fldCharType="begin"/>
            </w:r>
            <w:r w:rsidR="00CF7981">
              <w:rPr>
                <w:noProof/>
                <w:webHidden/>
              </w:rPr>
              <w:instrText xml:space="preserve"> PAGEREF _Toc129354639 \h </w:instrText>
            </w:r>
            <w:r w:rsidR="00CF7981">
              <w:rPr>
                <w:noProof/>
                <w:webHidden/>
              </w:rPr>
            </w:r>
            <w:r w:rsidR="00CF7981">
              <w:rPr>
                <w:noProof/>
                <w:webHidden/>
              </w:rPr>
              <w:fldChar w:fldCharType="separate"/>
            </w:r>
            <w:r w:rsidR="00CF7981">
              <w:rPr>
                <w:noProof/>
                <w:webHidden/>
              </w:rPr>
              <w:t>3</w:t>
            </w:r>
            <w:r w:rsidR="00CF7981">
              <w:rPr>
                <w:noProof/>
                <w:webHidden/>
              </w:rPr>
              <w:fldChar w:fldCharType="end"/>
            </w:r>
          </w:hyperlink>
        </w:p>
        <w:p w14:paraId="5BE379BA" w14:textId="022574ED" w:rsidR="00CF7981" w:rsidRDefault="003E299F">
          <w:pPr>
            <w:pStyle w:val="TOC1"/>
            <w:tabs>
              <w:tab w:val="right" w:leader="dot" w:pos="9350"/>
            </w:tabs>
            <w:rPr>
              <w:rFonts w:eastAsiaTheme="minorEastAsia"/>
              <w:noProof/>
            </w:rPr>
          </w:pPr>
          <w:hyperlink w:anchor="_Toc129354640" w:history="1">
            <w:r w:rsidR="00CF7981" w:rsidRPr="00AC7577">
              <w:rPr>
                <w:rStyle w:val="Hyperlink"/>
                <w:rFonts w:cstheme="minorHAnsi"/>
                <w:noProof/>
              </w:rPr>
              <w:t>Factor 1 Patient Panel</w:t>
            </w:r>
            <w:r w:rsidR="00CF7981">
              <w:rPr>
                <w:noProof/>
                <w:webHidden/>
              </w:rPr>
              <w:tab/>
            </w:r>
            <w:r w:rsidR="00CF7981">
              <w:rPr>
                <w:noProof/>
                <w:webHidden/>
              </w:rPr>
              <w:fldChar w:fldCharType="begin"/>
            </w:r>
            <w:r w:rsidR="00CF7981">
              <w:rPr>
                <w:noProof/>
                <w:webHidden/>
              </w:rPr>
              <w:instrText xml:space="preserve"> PAGEREF _Toc129354640 \h </w:instrText>
            </w:r>
            <w:r w:rsidR="00CF7981">
              <w:rPr>
                <w:noProof/>
                <w:webHidden/>
              </w:rPr>
            </w:r>
            <w:r w:rsidR="00CF7981">
              <w:rPr>
                <w:noProof/>
                <w:webHidden/>
              </w:rPr>
              <w:fldChar w:fldCharType="separate"/>
            </w:r>
            <w:r w:rsidR="00CF7981">
              <w:rPr>
                <w:noProof/>
                <w:webHidden/>
              </w:rPr>
              <w:t>4</w:t>
            </w:r>
            <w:r w:rsidR="00CF7981">
              <w:rPr>
                <w:noProof/>
                <w:webHidden/>
              </w:rPr>
              <w:fldChar w:fldCharType="end"/>
            </w:r>
          </w:hyperlink>
        </w:p>
        <w:p w14:paraId="40C1C21E" w14:textId="5541FA10" w:rsidR="00CF7981" w:rsidRDefault="003E299F">
          <w:pPr>
            <w:pStyle w:val="TOC2"/>
            <w:tabs>
              <w:tab w:val="right" w:leader="dot" w:pos="9350"/>
            </w:tabs>
            <w:rPr>
              <w:rFonts w:eastAsiaTheme="minorEastAsia"/>
              <w:noProof/>
            </w:rPr>
          </w:pPr>
          <w:hyperlink w:anchor="_Toc129354641" w:history="1">
            <w:r w:rsidR="00CF7981" w:rsidRPr="00AC7577">
              <w:rPr>
                <w:rStyle w:val="Hyperlink"/>
                <w:rFonts w:cstheme="minorHAnsi"/>
                <w:noProof/>
              </w:rPr>
              <w:t>Factor 1a) Need</w:t>
            </w:r>
            <w:r w:rsidR="00CF7981">
              <w:rPr>
                <w:noProof/>
                <w:webHidden/>
              </w:rPr>
              <w:tab/>
            </w:r>
            <w:r w:rsidR="00CF7981">
              <w:rPr>
                <w:noProof/>
                <w:webHidden/>
              </w:rPr>
              <w:fldChar w:fldCharType="begin"/>
            </w:r>
            <w:r w:rsidR="00CF7981">
              <w:rPr>
                <w:noProof/>
                <w:webHidden/>
              </w:rPr>
              <w:instrText xml:space="preserve"> PAGEREF _Toc129354641 \h </w:instrText>
            </w:r>
            <w:r w:rsidR="00CF7981">
              <w:rPr>
                <w:noProof/>
                <w:webHidden/>
              </w:rPr>
            </w:r>
            <w:r w:rsidR="00CF7981">
              <w:rPr>
                <w:noProof/>
                <w:webHidden/>
              </w:rPr>
              <w:fldChar w:fldCharType="separate"/>
            </w:r>
            <w:r w:rsidR="00CF7981">
              <w:rPr>
                <w:noProof/>
                <w:webHidden/>
              </w:rPr>
              <w:t>6</w:t>
            </w:r>
            <w:r w:rsidR="00CF7981">
              <w:rPr>
                <w:noProof/>
                <w:webHidden/>
              </w:rPr>
              <w:fldChar w:fldCharType="end"/>
            </w:r>
          </w:hyperlink>
        </w:p>
        <w:p w14:paraId="6440C1CD" w14:textId="025EC574" w:rsidR="00CF7981" w:rsidRDefault="003E299F">
          <w:pPr>
            <w:pStyle w:val="TOC2"/>
            <w:tabs>
              <w:tab w:val="right" w:leader="dot" w:pos="9350"/>
            </w:tabs>
            <w:rPr>
              <w:rFonts w:eastAsiaTheme="minorEastAsia"/>
              <w:noProof/>
            </w:rPr>
          </w:pPr>
          <w:hyperlink w:anchor="_Toc129354642" w:history="1">
            <w:r w:rsidR="00CF7981" w:rsidRPr="00AC7577">
              <w:rPr>
                <w:rStyle w:val="Hyperlink"/>
                <w:rFonts w:cstheme="minorHAnsi"/>
                <w:noProof/>
              </w:rPr>
              <w:t>Factor 1b) Public Health Value: Improved Health Outcomes and Quality of Life; Assurances of Health Equity</w:t>
            </w:r>
            <w:r w:rsidR="00CF7981">
              <w:rPr>
                <w:noProof/>
                <w:webHidden/>
              </w:rPr>
              <w:tab/>
            </w:r>
            <w:r w:rsidR="00CF7981">
              <w:rPr>
                <w:noProof/>
                <w:webHidden/>
              </w:rPr>
              <w:fldChar w:fldCharType="begin"/>
            </w:r>
            <w:r w:rsidR="00CF7981">
              <w:rPr>
                <w:noProof/>
                <w:webHidden/>
              </w:rPr>
              <w:instrText xml:space="preserve"> PAGEREF _Toc129354642 \h </w:instrText>
            </w:r>
            <w:r w:rsidR="00CF7981">
              <w:rPr>
                <w:noProof/>
                <w:webHidden/>
              </w:rPr>
            </w:r>
            <w:r w:rsidR="00CF7981">
              <w:rPr>
                <w:noProof/>
                <w:webHidden/>
              </w:rPr>
              <w:fldChar w:fldCharType="separate"/>
            </w:r>
            <w:r w:rsidR="00CF7981">
              <w:rPr>
                <w:noProof/>
                <w:webHidden/>
              </w:rPr>
              <w:t>11</w:t>
            </w:r>
            <w:r w:rsidR="00CF7981">
              <w:rPr>
                <w:noProof/>
                <w:webHidden/>
              </w:rPr>
              <w:fldChar w:fldCharType="end"/>
            </w:r>
          </w:hyperlink>
        </w:p>
        <w:p w14:paraId="2357CB90" w14:textId="024B5624" w:rsidR="00CF7981" w:rsidRDefault="003E299F">
          <w:pPr>
            <w:pStyle w:val="TOC2"/>
            <w:tabs>
              <w:tab w:val="right" w:leader="dot" w:pos="9350"/>
            </w:tabs>
            <w:rPr>
              <w:rFonts w:eastAsiaTheme="minorEastAsia"/>
              <w:noProof/>
            </w:rPr>
          </w:pPr>
          <w:hyperlink w:anchor="_Toc129354643" w:history="1">
            <w:r w:rsidR="00CF7981" w:rsidRPr="00AC7577">
              <w:rPr>
                <w:rStyle w:val="Hyperlink"/>
                <w:rFonts w:cstheme="minorHAnsi"/>
                <w:noProof/>
              </w:rPr>
              <w:t>Factor 1c) Continuity and Coordination of Care</w:t>
            </w:r>
            <w:r w:rsidR="00CF7981">
              <w:rPr>
                <w:noProof/>
                <w:webHidden/>
              </w:rPr>
              <w:tab/>
            </w:r>
            <w:r w:rsidR="00CF7981">
              <w:rPr>
                <w:noProof/>
                <w:webHidden/>
              </w:rPr>
              <w:fldChar w:fldCharType="begin"/>
            </w:r>
            <w:r w:rsidR="00CF7981">
              <w:rPr>
                <w:noProof/>
                <w:webHidden/>
              </w:rPr>
              <w:instrText xml:space="preserve"> PAGEREF _Toc129354643 \h </w:instrText>
            </w:r>
            <w:r w:rsidR="00CF7981">
              <w:rPr>
                <w:noProof/>
                <w:webHidden/>
              </w:rPr>
            </w:r>
            <w:r w:rsidR="00CF7981">
              <w:rPr>
                <w:noProof/>
                <w:webHidden/>
              </w:rPr>
              <w:fldChar w:fldCharType="separate"/>
            </w:r>
            <w:r w:rsidR="00CF7981">
              <w:rPr>
                <w:noProof/>
                <w:webHidden/>
              </w:rPr>
              <w:t>14</w:t>
            </w:r>
            <w:r w:rsidR="00CF7981">
              <w:rPr>
                <w:noProof/>
                <w:webHidden/>
              </w:rPr>
              <w:fldChar w:fldCharType="end"/>
            </w:r>
          </w:hyperlink>
        </w:p>
        <w:p w14:paraId="7A2910FA" w14:textId="2A9D96F6" w:rsidR="00CF7981" w:rsidRDefault="003E299F">
          <w:pPr>
            <w:pStyle w:val="TOC2"/>
            <w:tabs>
              <w:tab w:val="right" w:leader="dot" w:pos="9350"/>
            </w:tabs>
            <w:rPr>
              <w:rFonts w:eastAsiaTheme="minorEastAsia"/>
              <w:noProof/>
            </w:rPr>
          </w:pPr>
          <w:hyperlink w:anchor="_Toc129354644" w:history="1">
            <w:r w:rsidR="00CF7981" w:rsidRPr="00AC7577">
              <w:rPr>
                <w:rStyle w:val="Hyperlink"/>
                <w:rFonts w:cstheme="minorHAnsi"/>
                <w:noProof/>
              </w:rPr>
              <w:t>Factor 1d) Consultation</w:t>
            </w:r>
            <w:r w:rsidR="00CF7981">
              <w:rPr>
                <w:noProof/>
                <w:webHidden/>
              </w:rPr>
              <w:tab/>
            </w:r>
            <w:r w:rsidR="00CF7981">
              <w:rPr>
                <w:noProof/>
                <w:webHidden/>
              </w:rPr>
              <w:fldChar w:fldCharType="begin"/>
            </w:r>
            <w:r w:rsidR="00CF7981">
              <w:rPr>
                <w:noProof/>
                <w:webHidden/>
              </w:rPr>
              <w:instrText xml:space="preserve"> PAGEREF _Toc129354644 \h </w:instrText>
            </w:r>
            <w:r w:rsidR="00CF7981">
              <w:rPr>
                <w:noProof/>
                <w:webHidden/>
              </w:rPr>
            </w:r>
            <w:r w:rsidR="00CF7981">
              <w:rPr>
                <w:noProof/>
                <w:webHidden/>
              </w:rPr>
              <w:fldChar w:fldCharType="separate"/>
            </w:r>
            <w:r w:rsidR="00CF7981">
              <w:rPr>
                <w:noProof/>
                <w:webHidden/>
              </w:rPr>
              <w:t>15</w:t>
            </w:r>
            <w:r w:rsidR="00CF7981">
              <w:rPr>
                <w:noProof/>
                <w:webHidden/>
              </w:rPr>
              <w:fldChar w:fldCharType="end"/>
            </w:r>
          </w:hyperlink>
        </w:p>
        <w:p w14:paraId="147D3378" w14:textId="0D10D8A3" w:rsidR="00CF7981" w:rsidRDefault="003E299F">
          <w:pPr>
            <w:pStyle w:val="TOC2"/>
            <w:tabs>
              <w:tab w:val="right" w:leader="dot" w:pos="9350"/>
            </w:tabs>
            <w:rPr>
              <w:rFonts w:eastAsiaTheme="minorEastAsia"/>
              <w:noProof/>
            </w:rPr>
          </w:pPr>
          <w:hyperlink w:anchor="_Toc129354645" w:history="1">
            <w:r w:rsidR="00CF7981" w:rsidRPr="00AC7577">
              <w:rPr>
                <w:rStyle w:val="Hyperlink"/>
                <w:rFonts w:cstheme="minorHAnsi"/>
                <w:noProof/>
              </w:rPr>
              <w:t>Factor 1e) Community Engagement</w:t>
            </w:r>
            <w:r w:rsidR="00CF7981">
              <w:rPr>
                <w:noProof/>
                <w:webHidden/>
              </w:rPr>
              <w:tab/>
            </w:r>
            <w:r w:rsidR="00CF7981">
              <w:rPr>
                <w:noProof/>
                <w:webHidden/>
              </w:rPr>
              <w:fldChar w:fldCharType="begin"/>
            </w:r>
            <w:r w:rsidR="00CF7981">
              <w:rPr>
                <w:noProof/>
                <w:webHidden/>
              </w:rPr>
              <w:instrText xml:space="preserve"> PAGEREF _Toc129354645 \h </w:instrText>
            </w:r>
            <w:r w:rsidR="00CF7981">
              <w:rPr>
                <w:noProof/>
                <w:webHidden/>
              </w:rPr>
            </w:r>
            <w:r w:rsidR="00CF7981">
              <w:rPr>
                <w:noProof/>
                <w:webHidden/>
              </w:rPr>
              <w:fldChar w:fldCharType="separate"/>
            </w:r>
            <w:r w:rsidR="00CF7981">
              <w:rPr>
                <w:noProof/>
                <w:webHidden/>
              </w:rPr>
              <w:t>16</w:t>
            </w:r>
            <w:r w:rsidR="00CF7981">
              <w:rPr>
                <w:noProof/>
                <w:webHidden/>
              </w:rPr>
              <w:fldChar w:fldCharType="end"/>
            </w:r>
          </w:hyperlink>
        </w:p>
        <w:p w14:paraId="222C44C2" w14:textId="03C64C95" w:rsidR="00CF7981" w:rsidRDefault="003E299F">
          <w:pPr>
            <w:pStyle w:val="TOC2"/>
            <w:tabs>
              <w:tab w:val="right" w:leader="dot" w:pos="9350"/>
            </w:tabs>
            <w:rPr>
              <w:rFonts w:eastAsiaTheme="minorEastAsia"/>
              <w:noProof/>
            </w:rPr>
          </w:pPr>
          <w:hyperlink w:anchor="_Toc129354646" w:history="1">
            <w:r w:rsidR="00CF7981" w:rsidRPr="00AC7577">
              <w:rPr>
                <w:rStyle w:val="Hyperlink"/>
                <w:rFonts w:cstheme="minorHAnsi"/>
                <w:noProof/>
              </w:rPr>
              <w:t>Factor 1f) Competition</w:t>
            </w:r>
            <w:r w:rsidR="00CF7981">
              <w:rPr>
                <w:noProof/>
                <w:webHidden/>
              </w:rPr>
              <w:tab/>
            </w:r>
            <w:r w:rsidR="00CF7981">
              <w:rPr>
                <w:noProof/>
                <w:webHidden/>
              </w:rPr>
              <w:fldChar w:fldCharType="begin"/>
            </w:r>
            <w:r w:rsidR="00CF7981">
              <w:rPr>
                <w:noProof/>
                <w:webHidden/>
              </w:rPr>
              <w:instrText xml:space="preserve"> PAGEREF _Toc129354646 \h </w:instrText>
            </w:r>
            <w:r w:rsidR="00CF7981">
              <w:rPr>
                <w:noProof/>
                <w:webHidden/>
              </w:rPr>
            </w:r>
            <w:r w:rsidR="00CF7981">
              <w:rPr>
                <w:noProof/>
                <w:webHidden/>
              </w:rPr>
              <w:fldChar w:fldCharType="separate"/>
            </w:r>
            <w:r w:rsidR="00CF7981">
              <w:rPr>
                <w:noProof/>
                <w:webHidden/>
              </w:rPr>
              <w:t>16</w:t>
            </w:r>
            <w:r w:rsidR="00CF7981">
              <w:rPr>
                <w:noProof/>
                <w:webHidden/>
              </w:rPr>
              <w:fldChar w:fldCharType="end"/>
            </w:r>
          </w:hyperlink>
        </w:p>
        <w:p w14:paraId="175688DE" w14:textId="6EA30A31" w:rsidR="00CF7981" w:rsidRDefault="003E299F">
          <w:pPr>
            <w:pStyle w:val="TOC1"/>
            <w:tabs>
              <w:tab w:val="right" w:leader="dot" w:pos="9350"/>
            </w:tabs>
            <w:rPr>
              <w:rFonts w:eastAsiaTheme="minorEastAsia"/>
              <w:noProof/>
            </w:rPr>
          </w:pPr>
          <w:hyperlink w:anchor="_Toc129354647" w:history="1">
            <w:r w:rsidR="00CF7981" w:rsidRPr="00AC7577">
              <w:rPr>
                <w:rStyle w:val="Hyperlink"/>
                <w:rFonts w:cstheme="minorHAnsi"/>
                <w:noProof/>
              </w:rPr>
              <w:t>Factor 2 -</w:t>
            </w:r>
            <w:r w:rsidR="00CF7981" w:rsidRPr="00AC7577">
              <w:rPr>
                <w:rStyle w:val="Hyperlink"/>
                <w:rFonts w:ascii="Calibri" w:eastAsia="Calibri" w:hAnsi="Calibri" w:cs="Calibri"/>
                <w:noProof/>
              </w:rPr>
              <w:t xml:space="preserve"> </w:t>
            </w:r>
            <w:r w:rsidR="00CF7981" w:rsidRPr="00AC7577">
              <w:rPr>
                <w:rStyle w:val="Hyperlink"/>
                <w:rFonts w:cstheme="minorHAnsi"/>
                <w:noProof/>
              </w:rPr>
              <w:t>Health Priorities</w:t>
            </w:r>
            <w:r w:rsidR="00CF7981">
              <w:rPr>
                <w:noProof/>
                <w:webHidden/>
              </w:rPr>
              <w:tab/>
            </w:r>
            <w:r w:rsidR="00CF7981">
              <w:rPr>
                <w:noProof/>
                <w:webHidden/>
              </w:rPr>
              <w:fldChar w:fldCharType="begin"/>
            </w:r>
            <w:r w:rsidR="00CF7981">
              <w:rPr>
                <w:noProof/>
                <w:webHidden/>
              </w:rPr>
              <w:instrText xml:space="preserve"> PAGEREF _Toc129354647 \h </w:instrText>
            </w:r>
            <w:r w:rsidR="00CF7981">
              <w:rPr>
                <w:noProof/>
                <w:webHidden/>
              </w:rPr>
            </w:r>
            <w:r w:rsidR="00CF7981">
              <w:rPr>
                <w:noProof/>
                <w:webHidden/>
              </w:rPr>
              <w:fldChar w:fldCharType="separate"/>
            </w:r>
            <w:r w:rsidR="00CF7981">
              <w:rPr>
                <w:noProof/>
                <w:webHidden/>
              </w:rPr>
              <w:t>17</w:t>
            </w:r>
            <w:r w:rsidR="00CF7981">
              <w:rPr>
                <w:noProof/>
                <w:webHidden/>
              </w:rPr>
              <w:fldChar w:fldCharType="end"/>
            </w:r>
          </w:hyperlink>
        </w:p>
        <w:p w14:paraId="6DCD5D93" w14:textId="51B03FCF" w:rsidR="00CF7981" w:rsidRDefault="003E299F">
          <w:pPr>
            <w:pStyle w:val="TOC1"/>
            <w:tabs>
              <w:tab w:val="right" w:leader="dot" w:pos="9350"/>
            </w:tabs>
            <w:rPr>
              <w:rFonts w:eastAsiaTheme="minorEastAsia"/>
              <w:noProof/>
            </w:rPr>
          </w:pPr>
          <w:hyperlink w:anchor="_Toc129354648" w:history="1">
            <w:r w:rsidR="00CF7981" w:rsidRPr="00AC7577">
              <w:rPr>
                <w:rStyle w:val="Hyperlink"/>
                <w:rFonts w:cstheme="minorHAnsi"/>
                <w:noProof/>
              </w:rPr>
              <w:t>Factor 3 - Compliance</w:t>
            </w:r>
            <w:r w:rsidR="00CF7981">
              <w:rPr>
                <w:noProof/>
                <w:webHidden/>
              </w:rPr>
              <w:tab/>
            </w:r>
            <w:r w:rsidR="00CF7981">
              <w:rPr>
                <w:noProof/>
                <w:webHidden/>
              </w:rPr>
              <w:fldChar w:fldCharType="begin"/>
            </w:r>
            <w:r w:rsidR="00CF7981">
              <w:rPr>
                <w:noProof/>
                <w:webHidden/>
              </w:rPr>
              <w:instrText xml:space="preserve"> PAGEREF _Toc129354648 \h </w:instrText>
            </w:r>
            <w:r w:rsidR="00CF7981">
              <w:rPr>
                <w:noProof/>
                <w:webHidden/>
              </w:rPr>
            </w:r>
            <w:r w:rsidR="00CF7981">
              <w:rPr>
                <w:noProof/>
                <w:webHidden/>
              </w:rPr>
              <w:fldChar w:fldCharType="separate"/>
            </w:r>
            <w:r w:rsidR="00CF7981">
              <w:rPr>
                <w:noProof/>
                <w:webHidden/>
              </w:rPr>
              <w:t>18</w:t>
            </w:r>
            <w:r w:rsidR="00CF7981">
              <w:rPr>
                <w:noProof/>
                <w:webHidden/>
              </w:rPr>
              <w:fldChar w:fldCharType="end"/>
            </w:r>
          </w:hyperlink>
        </w:p>
        <w:p w14:paraId="7A8BC1B1" w14:textId="73B0C2F8" w:rsidR="00CF7981" w:rsidRDefault="003E299F">
          <w:pPr>
            <w:pStyle w:val="TOC1"/>
            <w:tabs>
              <w:tab w:val="right" w:leader="dot" w:pos="9350"/>
            </w:tabs>
            <w:rPr>
              <w:rFonts w:eastAsiaTheme="minorEastAsia"/>
              <w:noProof/>
            </w:rPr>
          </w:pPr>
          <w:hyperlink w:anchor="_Toc129354649" w:history="1">
            <w:r w:rsidR="00CF7981" w:rsidRPr="00AC7577">
              <w:rPr>
                <w:rStyle w:val="Hyperlink"/>
                <w:rFonts w:cstheme="minorHAnsi"/>
                <w:noProof/>
              </w:rPr>
              <w:t>Factor 4 - Financial Feasibility</w:t>
            </w:r>
            <w:r w:rsidR="00CF7981">
              <w:rPr>
                <w:noProof/>
                <w:webHidden/>
              </w:rPr>
              <w:tab/>
            </w:r>
            <w:r w:rsidR="00CF7981">
              <w:rPr>
                <w:noProof/>
                <w:webHidden/>
              </w:rPr>
              <w:fldChar w:fldCharType="begin"/>
            </w:r>
            <w:r w:rsidR="00CF7981">
              <w:rPr>
                <w:noProof/>
                <w:webHidden/>
              </w:rPr>
              <w:instrText xml:space="preserve"> PAGEREF _Toc129354649 \h </w:instrText>
            </w:r>
            <w:r w:rsidR="00CF7981">
              <w:rPr>
                <w:noProof/>
                <w:webHidden/>
              </w:rPr>
            </w:r>
            <w:r w:rsidR="00CF7981">
              <w:rPr>
                <w:noProof/>
                <w:webHidden/>
              </w:rPr>
              <w:fldChar w:fldCharType="separate"/>
            </w:r>
            <w:r w:rsidR="00CF7981">
              <w:rPr>
                <w:noProof/>
                <w:webHidden/>
              </w:rPr>
              <w:t>18</w:t>
            </w:r>
            <w:r w:rsidR="00CF7981">
              <w:rPr>
                <w:noProof/>
                <w:webHidden/>
              </w:rPr>
              <w:fldChar w:fldCharType="end"/>
            </w:r>
          </w:hyperlink>
        </w:p>
        <w:p w14:paraId="5E9295B7" w14:textId="313E6631" w:rsidR="00CF7981" w:rsidRDefault="003E299F">
          <w:pPr>
            <w:pStyle w:val="TOC1"/>
            <w:tabs>
              <w:tab w:val="right" w:leader="dot" w:pos="9350"/>
            </w:tabs>
            <w:rPr>
              <w:rFonts w:eastAsiaTheme="minorEastAsia"/>
              <w:noProof/>
            </w:rPr>
          </w:pPr>
          <w:hyperlink w:anchor="_Toc129354650" w:history="1">
            <w:r w:rsidR="00CF7981" w:rsidRPr="00AC7577">
              <w:rPr>
                <w:rStyle w:val="Hyperlink"/>
                <w:rFonts w:cstheme="minorHAnsi"/>
                <w:noProof/>
              </w:rPr>
              <w:t>Factor 5 - Relative Merit</w:t>
            </w:r>
            <w:r w:rsidR="00CF7981">
              <w:rPr>
                <w:noProof/>
                <w:webHidden/>
              </w:rPr>
              <w:tab/>
            </w:r>
            <w:r w:rsidR="00CF7981">
              <w:rPr>
                <w:noProof/>
                <w:webHidden/>
              </w:rPr>
              <w:fldChar w:fldCharType="begin"/>
            </w:r>
            <w:r w:rsidR="00CF7981">
              <w:rPr>
                <w:noProof/>
                <w:webHidden/>
              </w:rPr>
              <w:instrText xml:space="preserve"> PAGEREF _Toc129354650 \h </w:instrText>
            </w:r>
            <w:r w:rsidR="00CF7981">
              <w:rPr>
                <w:noProof/>
                <w:webHidden/>
              </w:rPr>
            </w:r>
            <w:r w:rsidR="00CF7981">
              <w:rPr>
                <w:noProof/>
                <w:webHidden/>
              </w:rPr>
              <w:fldChar w:fldCharType="separate"/>
            </w:r>
            <w:r w:rsidR="00CF7981">
              <w:rPr>
                <w:noProof/>
                <w:webHidden/>
              </w:rPr>
              <w:t>21</w:t>
            </w:r>
            <w:r w:rsidR="00CF7981">
              <w:rPr>
                <w:noProof/>
                <w:webHidden/>
              </w:rPr>
              <w:fldChar w:fldCharType="end"/>
            </w:r>
          </w:hyperlink>
        </w:p>
        <w:p w14:paraId="38867568" w14:textId="19FDE017" w:rsidR="00CF7981" w:rsidRDefault="003E299F">
          <w:pPr>
            <w:pStyle w:val="TOC1"/>
            <w:tabs>
              <w:tab w:val="right" w:leader="dot" w:pos="9350"/>
            </w:tabs>
            <w:rPr>
              <w:rFonts w:eastAsiaTheme="minorEastAsia"/>
              <w:noProof/>
            </w:rPr>
          </w:pPr>
          <w:hyperlink w:anchor="_Toc129354651" w:history="1">
            <w:r w:rsidR="00CF7981" w:rsidRPr="00AC7577">
              <w:rPr>
                <w:rStyle w:val="Hyperlink"/>
                <w:rFonts w:cstheme="minorHAnsi"/>
                <w:noProof/>
              </w:rPr>
              <w:t>Factor 6 - Community-based Health Initiatives</w:t>
            </w:r>
            <w:r w:rsidR="00CF7981">
              <w:rPr>
                <w:noProof/>
                <w:webHidden/>
              </w:rPr>
              <w:tab/>
            </w:r>
            <w:r w:rsidR="00CF7981">
              <w:rPr>
                <w:noProof/>
                <w:webHidden/>
              </w:rPr>
              <w:fldChar w:fldCharType="begin"/>
            </w:r>
            <w:r w:rsidR="00CF7981">
              <w:rPr>
                <w:noProof/>
                <w:webHidden/>
              </w:rPr>
              <w:instrText xml:space="preserve"> PAGEREF _Toc129354651 \h </w:instrText>
            </w:r>
            <w:r w:rsidR="00CF7981">
              <w:rPr>
                <w:noProof/>
                <w:webHidden/>
              </w:rPr>
            </w:r>
            <w:r w:rsidR="00CF7981">
              <w:rPr>
                <w:noProof/>
                <w:webHidden/>
              </w:rPr>
              <w:fldChar w:fldCharType="separate"/>
            </w:r>
            <w:r w:rsidR="00CF7981">
              <w:rPr>
                <w:noProof/>
                <w:webHidden/>
              </w:rPr>
              <w:t>21</w:t>
            </w:r>
            <w:r w:rsidR="00CF7981">
              <w:rPr>
                <w:noProof/>
                <w:webHidden/>
              </w:rPr>
              <w:fldChar w:fldCharType="end"/>
            </w:r>
          </w:hyperlink>
        </w:p>
        <w:p w14:paraId="1952EE26" w14:textId="3F15EDA8" w:rsidR="00CF7981" w:rsidRDefault="003E299F">
          <w:pPr>
            <w:pStyle w:val="TOC1"/>
            <w:tabs>
              <w:tab w:val="right" w:leader="dot" w:pos="9350"/>
            </w:tabs>
            <w:rPr>
              <w:rFonts w:eastAsiaTheme="minorEastAsia"/>
              <w:noProof/>
            </w:rPr>
          </w:pPr>
          <w:hyperlink w:anchor="_Toc129354652" w:history="1">
            <w:r w:rsidR="00CF7981" w:rsidRPr="00AC7577">
              <w:rPr>
                <w:rStyle w:val="Hyperlink"/>
                <w:rFonts w:cstheme="minorHAnsi"/>
                <w:noProof/>
              </w:rPr>
              <w:t>Ten Taxpayer and Public Comments on the Application</w:t>
            </w:r>
            <w:r w:rsidR="00CF7981">
              <w:rPr>
                <w:noProof/>
                <w:webHidden/>
              </w:rPr>
              <w:tab/>
            </w:r>
            <w:r w:rsidR="00CF7981">
              <w:rPr>
                <w:noProof/>
                <w:webHidden/>
              </w:rPr>
              <w:fldChar w:fldCharType="begin"/>
            </w:r>
            <w:r w:rsidR="00CF7981">
              <w:rPr>
                <w:noProof/>
                <w:webHidden/>
              </w:rPr>
              <w:instrText xml:space="preserve"> PAGEREF _Toc129354652 \h </w:instrText>
            </w:r>
            <w:r w:rsidR="00CF7981">
              <w:rPr>
                <w:noProof/>
                <w:webHidden/>
              </w:rPr>
            </w:r>
            <w:r w:rsidR="00CF7981">
              <w:rPr>
                <w:noProof/>
                <w:webHidden/>
              </w:rPr>
              <w:fldChar w:fldCharType="separate"/>
            </w:r>
            <w:r w:rsidR="00CF7981">
              <w:rPr>
                <w:noProof/>
                <w:webHidden/>
              </w:rPr>
              <w:t>22</w:t>
            </w:r>
            <w:r w:rsidR="00CF7981">
              <w:rPr>
                <w:noProof/>
                <w:webHidden/>
              </w:rPr>
              <w:fldChar w:fldCharType="end"/>
            </w:r>
          </w:hyperlink>
        </w:p>
        <w:p w14:paraId="1D86F9B4" w14:textId="6674FA94" w:rsidR="00CF7981" w:rsidRDefault="003E299F">
          <w:pPr>
            <w:pStyle w:val="TOC1"/>
            <w:tabs>
              <w:tab w:val="right" w:leader="dot" w:pos="9350"/>
            </w:tabs>
            <w:rPr>
              <w:rFonts w:eastAsiaTheme="minorEastAsia"/>
              <w:noProof/>
            </w:rPr>
          </w:pPr>
          <w:hyperlink w:anchor="_Toc129354653" w:history="1">
            <w:r w:rsidR="00CF7981" w:rsidRPr="00AC7577">
              <w:rPr>
                <w:rStyle w:val="Hyperlink"/>
                <w:rFonts w:cstheme="minorHAnsi"/>
                <w:noProof/>
              </w:rPr>
              <w:t>Conditions</w:t>
            </w:r>
            <w:r w:rsidR="00CF7981">
              <w:rPr>
                <w:noProof/>
                <w:webHidden/>
              </w:rPr>
              <w:tab/>
            </w:r>
            <w:r w:rsidR="00CF7981">
              <w:rPr>
                <w:noProof/>
                <w:webHidden/>
              </w:rPr>
              <w:fldChar w:fldCharType="begin"/>
            </w:r>
            <w:r w:rsidR="00CF7981">
              <w:rPr>
                <w:noProof/>
                <w:webHidden/>
              </w:rPr>
              <w:instrText xml:space="preserve"> PAGEREF _Toc129354653 \h </w:instrText>
            </w:r>
            <w:r w:rsidR="00CF7981">
              <w:rPr>
                <w:noProof/>
                <w:webHidden/>
              </w:rPr>
            </w:r>
            <w:r w:rsidR="00CF7981">
              <w:rPr>
                <w:noProof/>
                <w:webHidden/>
              </w:rPr>
              <w:fldChar w:fldCharType="separate"/>
            </w:r>
            <w:r w:rsidR="00CF7981">
              <w:rPr>
                <w:noProof/>
                <w:webHidden/>
              </w:rPr>
              <w:t>24</w:t>
            </w:r>
            <w:r w:rsidR="00CF7981">
              <w:rPr>
                <w:noProof/>
                <w:webHidden/>
              </w:rPr>
              <w:fldChar w:fldCharType="end"/>
            </w:r>
          </w:hyperlink>
        </w:p>
        <w:p w14:paraId="5E263652" w14:textId="4965C894" w:rsidR="00CF7981" w:rsidRDefault="003E299F">
          <w:pPr>
            <w:pStyle w:val="TOC1"/>
            <w:tabs>
              <w:tab w:val="right" w:leader="dot" w:pos="9350"/>
            </w:tabs>
            <w:rPr>
              <w:rFonts w:eastAsiaTheme="minorEastAsia"/>
              <w:noProof/>
            </w:rPr>
          </w:pPr>
          <w:hyperlink w:anchor="_Toc129354654" w:history="1">
            <w:r w:rsidR="00CF7981" w:rsidRPr="00AC7577">
              <w:rPr>
                <w:rStyle w:val="Hyperlink"/>
                <w:rFonts w:cstheme="minorHAnsi"/>
                <w:noProof/>
              </w:rPr>
              <w:t>Appendix 1</w:t>
            </w:r>
            <w:r w:rsidR="00CF7981">
              <w:rPr>
                <w:noProof/>
                <w:webHidden/>
              </w:rPr>
              <w:tab/>
            </w:r>
            <w:r w:rsidR="00CF7981">
              <w:rPr>
                <w:noProof/>
                <w:webHidden/>
              </w:rPr>
              <w:fldChar w:fldCharType="begin"/>
            </w:r>
            <w:r w:rsidR="00CF7981">
              <w:rPr>
                <w:noProof/>
                <w:webHidden/>
              </w:rPr>
              <w:instrText xml:space="preserve"> PAGEREF _Toc129354654 \h </w:instrText>
            </w:r>
            <w:r w:rsidR="00CF7981">
              <w:rPr>
                <w:noProof/>
                <w:webHidden/>
              </w:rPr>
            </w:r>
            <w:r w:rsidR="00CF7981">
              <w:rPr>
                <w:noProof/>
                <w:webHidden/>
              </w:rPr>
              <w:fldChar w:fldCharType="separate"/>
            </w:r>
            <w:r w:rsidR="00CF7981">
              <w:rPr>
                <w:noProof/>
                <w:webHidden/>
              </w:rPr>
              <w:t>26</w:t>
            </w:r>
            <w:r w:rsidR="00CF7981">
              <w:rPr>
                <w:noProof/>
                <w:webHidden/>
              </w:rPr>
              <w:fldChar w:fldCharType="end"/>
            </w:r>
          </w:hyperlink>
        </w:p>
        <w:p w14:paraId="7AFED003" w14:textId="4CAE1B6A" w:rsidR="00CF7981" w:rsidRDefault="003E299F">
          <w:pPr>
            <w:pStyle w:val="TOC1"/>
            <w:tabs>
              <w:tab w:val="right" w:leader="dot" w:pos="9350"/>
            </w:tabs>
            <w:rPr>
              <w:rFonts w:eastAsiaTheme="minorEastAsia"/>
              <w:noProof/>
            </w:rPr>
          </w:pPr>
          <w:hyperlink w:anchor="_Toc129354655" w:history="1">
            <w:r w:rsidR="00CF7981" w:rsidRPr="00AC7577">
              <w:rPr>
                <w:rStyle w:val="Hyperlink"/>
                <w:rFonts w:cstheme="minorHAnsi"/>
                <w:noProof/>
              </w:rPr>
              <w:t>Endnotes</w:t>
            </w:r>
            <w:r w:rsidR="00CF7981">
              <w:rPr>
                <w:noProof/>
                <w:webHidden/>
              </w:rPr>
              <w:tab/>
            </w:r>
            <w:r w:rsidR="00CF7981">
              <w:rPr>
                <w:noProof/>
                <w:webHidden/>
              </w:rPr>
              <w:fldChar w:fldCharType="begin"/>
            </w:r>
            <w:r w:rsidR="00CF7981">
              <w:rPr>
                <w:noProof/>
                <w:webHidden/>
              </w:rPr>
              <w:instrText xml:space="preserve"> PAGEREF _Toc129354655 \h </w:instrText>
            </w:r>
            <w:r w:rsidR="00CF7981">
              <w:rPr>
                <w:noProof/>
                <w:webHidden/>
              </w:rPr>
            </w:r>
            <w:r w:rsidR="00CF7981">
              <w:rPr>
                <w:noProof/>
                <w:webHidden/>
              </w:rPr>
              <w:fldChar w:fldCharType="separate"/>
            </w:r>
            <w:r w:rsidR="00CF7981">
              <w:rPr>
                <w:noProof/>
                <w:webHidden/>
              </w:rPr>
              <w:t>28</w:t>
            </w:r>
            <w:r w:rsidR="00CF7981">
              <w:rPr>
                <w:noProof/>
                <w:webHidden/>
              </w:rPr>
              <w:fldChar w:fldCharType="end"/>
            </w:r>
          </w:hyperlink>
        </w:p>
        <w:p w14:paraId="36A73F3F" w14:textId="1C7EF655" w:rsidR="00531700" w:rsidRDefault="00531700">
          <w:r>
            <w:rPr>
              <w:b/>
              <w:bCs/>
              <w:noProof/>
              <w:color w:val="2B579A"/>
              <w:shd w:val="clear" w:color="auto" w:fill="E6E6E6"/>
            </w:rPr>
            <w:fldChar w:fldCharType="end"/>
          </w:r>
        </w:p>
      </w:sdtContent>
    </w:sdt>
    <w:p w14:paraId="7993BB61" w14:textId="135CF8C5" w:rsidR="00B045B7" w:rsidRPr="00515B25" w:rsidRDefault="00B045B7" w:rsidP="00B045B7">
      <w:pPr>
        <w:rPr>
          <w:sz w:val="24"/>
          <w:szCs w:val="24"/>
        </w:rPr>
      </w:pPr>
      <w:r>
        <w:rPr>
          <w:sz w:val="24"/>
          <w:szCs w:val="24"/>
        </w:rPr>
        <w:br w:type="page"/>
      </w:r>
    </w:p>
    <w:p w14:paraId="22063299" w14:textId="5FFA0334" w:rsidR="00B045B7" w:rsidRPr="0075155F" w:rsidRDefault="00C65D6B" w:rsidP="00C65D6B">
      <w:pPr>
        <w:pStyle w:val="Heading1"/>
        <w:rPr>
          <w:rFonts w:asciiTheme="minorHAnsi" w:hAnsiTheme="minorHAnsi" w:cstheme="minorHAnsi"/>
          <w:color w:val="1F4E79" w:themeColor="accent5" w:themeShade="80"/>
        </w:rPr>
      </w:pPr>
      <w:bookmarkStart w:id="0" w:name="_Toc129354639"/>
      <w:r w:rsidRPr="0075155F">
        <w:rPr>
          <w:rFonts w:asciiTheme="minorHAnsi" w:hAnsiTheme="minorHAnsi" w:cstheme="minorHAnsi"/>
          <w:color w:val="1F4E79" w:themeColor="accent5" w:themeShade="80"/>
        </w:rPr>
        <w:lastRenderedPageBreak/>
        <w:t xml:space="preserve">Background and </w:t>
      </w:r>
      <w:r w:rsidR="00B045B7" w:rsidRPr="0075155F">
        <w:rPr>
          <w:rFonts w:asciiTheme="minorHAnsi" w:hAnsiTheme="minorHAnsi" w:cstheme="minorHAnsi"/>
          <w:color w:val="1F4E79" w:themeColor="accent5" w:themeShade="80"/>
        </w:rPr>
        <w:t>Project Summary</w:t>
      </w:r>
      <w:bookmarkEnd w:id="0"/>
      <w:r w:rsidR="00B045B7" w:rsidRPr="0075155F">
        <w:rPr>
          <w:rFonts w:asciiTheme="minorHAnsi" w:hAnsiTheme="minorHAnsi" w:cstheme="minorHAnsi"/>
          <w:color w:val="1F4E79" w:themeColor="accent5" w:themeShade="80"/>
        </w:rPr>
        <w:t xml:space="preserve"> </w:t>
      </w:r>
    </w:p>
    <w:p w14:paraId="26B4A89B" w14:textId="35EC5D20" w:rsidR="00721C45" w:rsidRPr="00721C45" w:rsidRDefault="00721C45" w:rsidP="000F3539">
      <w:pPr>
        <w:spacing w:before="240" w:line="240" w:lineRule="auto"/>
        <w:rPr>
          <w:b/>
          <w:bCs/>
          <w:sz w:val="24"/>
          <w:szCs w:val="24"/>
        </w:rPr>
      </w:pPr>
      <w:r w:rsidRPr="00721C45">
        <w:rPr>
          <w:b/>
          <w:bCs/>
          <w:sz w:val="24"/>
          <w:szCs w:val="24"/>
        </w:rPr>
        <w:t>The Applicant</w:t>
      </w:r>
    </w:p>
    <w:p w14:paraId="76060DFA" w14:textId="24A76847" w:rsidR="00721C45" w:rsidRPr="00721C45" w:rsidRDefault="00C65D6B" w:rsidP="00721C45">
      <w:pPr>
        <w:spacing w:line="240" w:lineRule="auto"/>
        <w:rPr>
          <w:sz w:val="24"/>
          <w:szCs w:val="24"/>
        </w:rPr>
      </w:pPr>
      <w:r w:rsidRPr="00A55874">
        <w:rPr>
          <w:sz w:val="24"/>
          <w:szCs w:val="24"/>
        </w:rPr>
        <w:t>Navigator Homes of Martha’s Vineyard, Inc. (Applicant</w:t>
      </w:r>
      <w:r w:rsidR="0060404B" w:rsidRPr="00A55874">
        <w:rPr>
          <w:sz w:val="24"/>
          <w:szCs w:val="24"/>
        </w:rPr>
        <w:t>,</w:t>
      </w:r>
      <w:r w:rsidR="00871C62">
        <w:rPr>
          <w:sz w:val="24"/>
          <w:szCs w:val="24"/>
        </w:rPr>
        <w:t xml:space="preserve"> Navigator,</w:t>
      </w:r>
      <w:r w:rsidR="0060404B" w:rsidRPr="00A55874">
        <w:rPr>
          <w:sz w:val="24"/>
          <w:szCs w:val="24"/>
        </w:rPr>
        <w:t xml:space="preserve"> </w:t>
      </w:r>
      <w:r w:rsidR="00674C29">
        <w:rPr>
          <w:sz w:val="24"/>
          <w:szCs w:val="24"/>
        </w:rPr>
        <w:t>d</w:t>
      </w:r>
      <w:r w:rsidR="007E6401">
        <w:rPr>
          <w:sz w:val="24"/>
          <w:szCs w:val="24"/>
        </w:rPr>
        <w:t>/</w:t>
      </w:r>
      <w:r w:rsidR="00674C29">
        <w:rPr>
          <w:sz w:val="24"/>
          <w:szCs w:val="24"/>
        </w:rPr>
        <w:t>b</w:t>
      </w:r>
      <w:r w:rsidR="007E6401">
        <w:rPr>
          <w:sz w:val="24"/>
          <w:szCs w:val="24"/>
        </w:rPr>
        <w:t xml:space="preserve">/a </w:t>
      </w:r>
      <w:r w:rsidR="0060404B" w:rsidRPr="00A55874">
        <w:rPr>
          <w:sz w:val="24"/>
          <w:szCs w:val="24"/>
        </w:rPr>
        <w:t>Windemere</w:t>
      </w:r>
      <w:r w:rsidRPr="00A55874">
        <w:rPr>
          <w:sz w:val="24"/>
          <w:szCs w:val="24"/>
        </w:rPr>
        <w:t>)</w:t>
      </w:r>
      <w:r w:rsidR="00C03A5A">
        <w:rPr>
          <w:sz w:val="24"/>
          <w:szCs w:val="24"/>
        </w:rPr>
        <w:t xml:space="preserve"> is</w:t>
      </w:r>
      <w:r w:rsidRPr="00A55874">
        <w:rPr>
          <w:sz w:val="24"/>
          <w:szCs w:val="24"/>
        </w:rPr>
        <w:t xml:space="preserve"> a Massachusetts not for profit corporation</w:t>
      </w:r>
      <w:r w:rsidR="00EE186E">
        <w:rPr>
          <w:rStyle w:val="FootnoteReference"/>
          <w:sz w:val="24"/>
          <w:szCs w:val="24"/>
        </w:rPr>
        <w:footnoteReference w:id="1"/>
      </w:r>
      <w:r w:rsidRPr="00A55874">
        <w:rPr>
          <w:sz w:val="24"/>
          <w:szCs w:val="24"/>
        </w:rPr>
        <w:t xml:space="preserve"> with a principal place of business at 257 Main Street,</w:t>
      </w:r>
      <w:r w:rsidR="008909E4" w:rsidRPr="00A55874">
        <w:rPr>
          <w:sz w:val="24"/>
          <w:szCs w:val="24"/>
        </w:rPr>
        <w:t xml:space="preserve"> </w:t>
      </w:r>
      <w:r w:rsidRPr="00A55874">
        <w:rPr>
          <w:sz w:val="24"/>
          <w:szCs w:val="24"/>
        </w:rPr>
        <w:t>P.O. Box 1356, Vineyard Haven, MA 02568</w:t>
      </w:r>
      <w:r w:rsidR="001B120B" w:rsidRPr="00A55874">
        <w:rPr>
          <w:sz w:val="24"/>
          <w:szCs w:val="24"/>
        </w:rPr>
        <w:t>. The Applicant is a newly formed entity that acquired ownership and the right to operate Windemere, a 61-bed skilled nursing facility located at One Hospital Road, Oak Bluffs, MA</w:t>
      </w:r>
      <w:r w:rsidR="00EE186E">
        <w:rPr>
          <w:sz w:val="24"/>
          <w:szCs w:val="24"/>
        </w:rPr>
        <w:t xml:space="preserve">, </w:t>
      </w:r>
      <w:r w:rsidR="00EE186E" w:rsidRPr="00EE186E">
        <w:rPr>
          <w:sz w:val="24"/>
          <w:szCs w:val="24"/>
        </w:rPr>
        <w:t>from Mass General Brigham</w:t>
      </w:r>
      <w:r w:rsidR="007E6401">
        <w:rPr>
          <w:sz w:val="24"/>
          <w:szCs w:val="24"/>
        </w:rPr>
        <w:t>, Inc.</w:t>
      </w:r>
      <w:r w:rsidR="00EE186E" w:rsidRPr="00EE186E">
        <w:rPr>
          <w:sz w:val="24"/>
          <w:szCs w:val="24"/>
        </w:rPr>
        <w:t xml:space="preserve"> on October 1, 2022.</w:t>
      </w:r>
      <w:r w:rsidR="00721C45">
        <w:rPr>
          <w:sz w:val="24"/>
          <w:szCs w:val="24"/>
        </w:rPr>
        <w:t xml:space="preserve"> </w:t>
      </w:r>
    </w:p>
    <w:p w14:paraId="0CEF8FDC" w14:textId="2B4FD641" w:rsidR="001B120B" w:rsidRPr="00A55874" w:rsidRDefault="001B120B" w:rsidP="00A55874">
      <w:pPr>
        <w:spacing w:line="240" w:lineRule="auto"/>
        <w:rPr>
          <w:sz w:val="24"/>
          <w:szCs w:val="24"/>
        </w:rPr>
      </w:pPr>
      <w:r w:rsidRPr="695818A5">
        <w:rPr>
          <w:sz w:val="24"/>
          <w:szCs w:val="24"/>
        </w:rPr>
        <w:t xml:space="preserve">Currently Windemere is the only long-term care facility (LTCF) on Martha’s </w:t>
      </w:r>
      <w:r w:rsidR="00B31C41" w:rsidRPr="695818A5">
        <w:rPr>
          <w:sz w:val="24"/>
          <w:szCs w:val="24"/>
        </w:rPr>
        <w:t>Vineyard and</w:t>
      </w:r>
      <w:r w:rsidRPr="695818A5">
        <w:rPr>
          <w:sz w:val="24"/>
          <w:szCs w:val="24"/>
        </w:rPr>
        <w:t xml:space="preserve"> is physically connected to Martha’s Vineyard Hospital (MVH)</w:t>
      </w:r>
      <w:r w:rsidR="001127B5" w:rsidRPr="695818A5">
        <w:rPr>
          <w:sz w:val="24"/>
          <w:szCs w:val="24"/>
        </w:rPr>
        <w:t>,</w:t>
      </w:r>
      <w:r w:rsidR="0060404B" w:rsidRPr="695818A5">
        <w:rPr>
          <w:sz w:val="24"/>
          <w:szCs w:val="24"/>
        </w:rPr>
        <w:t xml:space="preserve"> which is part of Mass General Brigham</w:t>
      </w:r>
      <w:r w:rsidR="00333003">
        <w:rPr>
          <w:sz w:val="24"/>
          <w:szCs w:val="24"/>
        </w:rPr>
        <w:t>, Inc</w:t>
      </w:r>
      <w:r w:rsidRPr="695818A5">
        <w:rPr>
          <w:sz w:val="24"/>
          <w:szCs w:val="24"/>
        </w:rPr>
        <w:t xml:space="preserve">. </w:t>
      </w:r>
      <w:r w:rsidR="009E151C" w:rsidRPr="695818A5">
        <w:rPr>
          <w:sz w:val="24"/>
          <w:szCs w:val="24"/>
        </w:rPr>
        <w:t>Following staff inquiry about the agreements with MVH and the current structural configuration, the Applicant explained that it currently owns the license and operates the facility within the leased space at MVH.</w:t>
      </w:r>
    </w:p>
    <w:p w14:paraId="75B04469" w14:textId="0C9FAEA8" w:rsidR="00C65D6B" w:rsidRDefault="00C65D6B" w:rsidP="00A55874">
      <w:pPr>
        <w:spacing w:line="240" w:lineRule="auto"/>
        <w:rPr>
          <w:sz w:val="24"/>
          <w:szCs w:val="24"/>
        </w:rPr>
      </w:pPr>
      <w:r w:rsidRPr="695818A5">
        <w:rPr>
          <w:sz w:val="24"/>
          <w:szCs w:val="24"/>
        </w:rPr>
        <w:t xml:space="preserve">The proposed project includes new construction </w:t>
      </w:r>
      <w:r w:rsidR="001B120B" w:rsidRPr="695818A5">
        <w:rPr>
          <w:sz w:val="24"/>
          <w:szCs w:val="24"/>
        </w:rPr>
        <w:t>of</w:t>
      </w:r>
      <w:r w:rsidRPr="695818A5">
        <w:rPr>
          <w:sz w:val="24"/>
          <w:szCs w:val="24"/>
        </w:rPr>
        <w:t xml:space="preserve"> a 70-bed facility at 490 Vineyard Haven Road, Edgartown, MA 02539</w:t>
      </w:r>
      <w:r w:rsidR="001B120B" w:rsidRPr="695818A5">
        <w:rPr>
          <w:sz w:val="24"/>
          <w:szCs w:val="24"/>
        </w:rPr>
        <w:t xml:space="preserve">, </w:t>
      </w:r>
      <w:r w:rsidR="005801AD" w:rsidRPr="695818A5">
        <w:rPr>
          <w:sz w:val="24"/>
          <w:szCs w:val="24"/>
        </w:rPr>
        <w:t xml:space="preserve">and the relocation of Windemere to that </w:t>
      </w:r>
      <w:r w:rsidR="00A47768" w:rsidRPr="695818A5">
        <w:rPr>
          <w:sz w:val="24"/>
          <w:szCs w:val="24"/>
        </w:rPr>
        <w:t>location</w:t>
      </w:r>
      <w:r w:rsidR="005801AD" w:rsidRPr="695818A5">
        <w:rPr>
          <w:sz w:val="24"/>
          <w:szCs w:val="24"/>
        </w:rPr>
        <w:t xml:space="preserve">, </w:t>
      </w:r>
      <w:r w:rsidR="001B120B" w:rsidRPr="695818A5">
        <w:rPr>
          <w:sz w:val="24"/>
          <w:szCs w:val="24"/>
        </w:rPr>
        <w:t>which is approximately five miles from its current site</w:t>
      </w:r>
      <w:r w:rsidRPr="695818A5">
        <w:rPr>
          <w:sz w:val="24"/>
          <w:szCs w:val="24"/>
        </w:rPr>
        <w:t xml:space="preserve">. </w:t>
      </w:r>
      <w:r w:rsidR="00163165" w:rsidRPr="695818A5">
        <w:rPr>
          <w:sz w:val="24"/>
          <w:szCs w:val="24"/>
        </w:rPr>
        <w:t>Upon relocation of the facility, it will be known as Navigator Homes of Martha’s Vineyard.</w:t>
      </w:r>
      <w:r w:rsidR="00325882" w:rsidRPr="695818A5">
        <w:rPr>
          <w:sz w:val="24"/>
          <w:szCs w:val="24"/>
        </w:rPr>
        <w:t xml:space="preserve"> </w:t>
      </w:r>
      <w:r w:rsidRPr="695818A5">
        <w:rPr>
          <w:sz w:val="24"/>
          <w:szCs w:val="24"/>
        </w:rPr>
        <w:t xml:space="preserve">Pursuant to 105 C.M.R. 153.028(B), the Applicant is exercising its right to add 9 licensed beds to the </w:t>
      </w:r>
      <w:r w:rsidR="00721C45" w:rsidRPr="695818A5">
        <w:rPr>
          <w:sz w:val="24"/>
          <w:szCs w:val="24"/>
        </w:rPr>
        <w:t>f</w:t>
      </w:r>
      <w:r w:rsidRPr="695818A5">
        <w:rPr>
          <w:sz w:val="24"/>
          <w:szCs w:val="24"/>
        </w:rPr>
        <w:t xml:space="preserve">acility’s </w:t>
      </w:r>
      <w:r w:rsidR="009D7C63" w:rsidRPr="695818A5">
        <w:rPr>
          <w:sz w:val="24"/>
          <w:szCs w:val="24"/>
        </w:rPr>
        <w:t xml:space="preserve">current </w:t>
      </w:r>
      <w:r w:rsidR="0065007A" w:rsidRPr="695818A5">
        <w:rPr>
          <w:sz w:val="24"/>
          <w:szCs w:val="24"/>
        </w:rPr>
        <w:t xml:space="preserve">61-bed </w:t>
      </w:r>
      <w:r w:rsidRPr="695818A5">
        <w:rPr>
          <w:sz w:val="24"/>
          <w:szCs w:val="24"/>
        </w:rPr>
        <w:t>license.</w:t>
      </w:r>
      <w:r w:rsidR="001B120B" w:rsidRPr="695818A5">
        <w:rPr>
          <w:sz w:val="24"/>
          <w:szCs w:val="24"/>
        </w:rPr>
        <w:t xml:space="preserve"> </w:t>
      </w:r>
      <w:r w:rsidRPr="695818A5">
        <w:rPr>
          <w:sz w:val="24"/>
          <w:szCs w:val="24"/>
        </w:rPr>
        <w:t xml:space="preserve">The facility will be designed and implemented pursuant to the Green House </w:t>
      </w:r>
      <w:r w:rsidR="00D940DB" w:rsidRPr="695818A5">
        <w:rPr>
          <w:sz w:val="24"/>
          <w:szCs w:val="24"/>
        </w:rPr>
        <w:t>M</w:t>
      </w:r>
      <w:r w:rsidR="0060404B" w:rsidRPr="695818A5">
        <w:rPr>
          <w:sz w:val="24"/>
          <w:szCs w:val="24"/>
        </w:rPr>
        <w:t>odel</w:t>
      </w:r>
      <w:r w:rsidR="00D940DB" w:rsidRPr="695818A5">
        <w:rPr>
          <w:sz w:val="24"/>
          <w:szCs w:val="24"/>
        </w:rPr>
        <w:t xml:space="preserve"> </w:t>
      </w:r>
      <w:r w:rsidRPr="695818A5">
        <w:rPr>
          <w:sz w:val="24"/>
          <w:szCs w:val="24"/>
        </w:rPr>
        <w:t>that provides skilled care in a home-like environment</w:t>
      </w:r>
      <w:r w:rsidR="00421D13" w:rsidRPr="695818A5">
        <w:rPr>
          <w:sz w:val="24"/>
          <w:szCs w:val="24"/>
        </w:rPr>
        <w:t xml:space="preserve"> which </w:t>
      </w:r>
      <w:r w:rsidR="00F83AE9" w:rsidRPr="695818A5">
        <w:rPr>
          <w:sz w:val="24"/>
          <w:szCs w:val="24"/>
        </w:rPr>
        <w:t xml:space="preserve">the Applicant asserts offers benefits that </w:t>
      </w:r>
      <w:r w:rsidR="00421D13" w:rsidRPr="695818A5">
        <w:rPr>
          <w:sz w:val="24"/>
          <w:szCs w:val="24"/>
        </w:rPr>
        <w:t xml:space="preserve">will be further discussed in this </w:t>
      </w:r>
      <w:r w:rsidR="00F83AE9" w:rsidRPr="695818A5">
        <w:rPr>
          <w:sz w:val="24"/>
          <w:szCs w:val="24"/>
        </w:rPr>
        <w:t>Staff Report</w:t>
      </w:r>
      <w:r w:rsidR="00421D13" w:rsidRPr="695818A5">
        <w:rPr>
          <w:sz w:val="24"/>
          <w:szCs w:val="24"/>
        </w:rPr>
        <w:t>.</w:t>
      </w:r>
    </w:p>
    <w:p w14:paraId="6299F56C" w14:textId="67231D3C" w:rsidR="00BC3668" w:rsidRPr="00721C45" w:rsidRDefault="00BC3668" w:rsidP="00BC3668">
      <w:pPr>
        <w:spacing w:line="240" w:lineRule="auto"/>
        <w:rPr>
          <w:b/>
          <w:bCs/>
          <w:sz w:val="24"/>
          <w:szCs w:val="24"/>
        </w:rPr>
      </w:pPr>
      <w:r w:rsidRPr="00721C45">
        <w:rPr>
          <w:b/>
          <w:bCs/>
          <w:sz w:val="24"/>
          <w:szCs w:val="24"/>
        </w:rPr>
        <w:t>The Green House Model</w:t>
      </w:r>
    </w:p>
    <w:p w14:paraId="47692340" w14:textId="6C154CF9" w:rsidR="00BC3668" w:rsidRDefault="004B55AE" w:rsidP="00D33B2B">
      <w:pPr>
        <w:spacing w:line="240" w:lineRule="auto"/>
        <w:rPr>
          <w:sz w:val="24"/>
          <w:szCs w:val="24"/>
        </w:rPr>
      </w:pPr>
      <w:r>
        <w:rPr>
          <w:sz w:val="24"/>
          <w:szCs w:val="24"/>
        </w:rPr>
        <w:t>I</w:t>
      </w:r>
      <w:r w:rsidRPr="004B55AE">
        <w:rPr>
          <w:sz w:val="24"/>
          <w:szCs w:val="24"/>
        </w:rPr>
        <w:t>n order to provide an alternative to the institutional nature of traditional long-term care facilities</w:t>
      </w:r>
      <w:r>
        <w:rPr>
          <w:sz w:val="24"/>
          <w:szCs w:val="24"/>
        </w:rPr>
        <w:t>,</w:t>
      </w:r>
      <w:r w:rsidRPr="004B55AE">
        <w:rPr>
          <w:sz w:val="24"/>
          <w:szCs w:val="24"/>
        </w:rPr>
        <w:t xml:space="preserve"> </w:t>
      </w:r>
      <w:r>
        <w:rPr>
          <w:sz w:val="24"/>
          <w:szCs w:val="24"/>
        </w:rPr>
        <w:t>t</w:t>
      </w:r>
      <w:r w:rsidR="00BC3668" w:rsidRPr="00074C9A">
        <w:rPr>
          <w:sz w:val="24"/>
          <w:szCs w:val="24"/>
        </w:rPr>
        <w:t xml:space="preserve">he Applicant conducted what it describes as “extensive research” </w:t>
      </w:r>
      <w:r w:rsidR="00F83AE9" w:rsidRPr="00074C9A">
        <w:rPr>
          <w:sz w:val="24"/>
          <w:szCs w:val="24"/>
        </w:rPr>
        <w:t>before</w:t>
      </w:r>
      <w:r w:rsidR="00BC3668" w:rsidRPr="00074C9A">
        <w:rPr>
          <w:sz w:val="24"/>
          <w:szCs w:val="24"/>
        </w:rPr>
        <w:t xml:space="preserve"> elect</w:t>
      </w:r>
      <w:r w:rsidR="00F83AE9" w:rsidRPr="00074C9A">
        <w:rPr>
          <w:sz w:val="24"/>
          <w:szCs w:val="24"/>
        </w:rPr>
        <w:t>ing</w:t>
      </w:r>
      <w:r w:rsidR="00BC3668" w:rsidRPr="00074C9A">
        <w:rPr>
          <w:sz w:val="24"/>
          <w:szCs w:val="24"/>
        </w:rPr>
        <w:t xml:space="preserve"> to </w:t>
      </w:r>
      <w:r w:rsidR="00DB685C">
        <w:rPr>
          <w:sz w:val="24"/>
          <w:szCs w:val="24"/>
        </w:rPr>
        <w:t>develop</w:t>
      </w:r>
      <w:r w:rsidR="00BC3668" w:rsidRPr="00074C9A">
        <w:rPr>
          <w:sz w:val="24"/>
          <w:szCs w:val="24"/>
        </w:rPr>
        <w:t xml:space="preserve"> </w:t>
      </w:r>
      <w:r w:rsidR="0045607E">
        <w:rPr>
          <w:sz w:val="24"/>
          <w:szCs w:val="24"/>
        </w:rPr>
        <w:t>a</w:t>
      </w:r>
      <w:r w:rsidR="00BC3668" w:rsidRPr="00074C9A">
        <w:rPr>
          <w:sz w:val="24"/>
          <w:szCs w:val="24"/>
        </w:rPr>
        <w:t xml:space="preserve"> Green House </w:t>
      </w:r>
      <w:r w:rsidR="0045607E">
        <w:rPr>
          <w:sz w:val="24"/>
          <w:szCs w:val="24"/>
        </w:rPr>
        <w:t>p</w:t>
      </w:r>
      <w:r w:rsidR="00BC3668" w:rsidRPr="00074C9A">
        <w:rPr>
          <w:sz w:val="24"/>
          <w:szCs w:val="24"/>
        </w:rPr>
        <w:t>roject,</w:t>
      </w:r>
      <w:r w:rsidR="00BC3668" w:rsidRPr="00074C9A">
        <w:rPr>
          <w:rStyle w:val="FootnoteReference"/>
          <w:sz w:val="24"/>
          <w:szCs w:val="24"/>
        </w:rPr>
        <w:footnoteReference w:id="2"/>
      </w:r>
      <w:r w:rsidR="00BC3668" w:rsidRPr="00074C9A">
        <w:rPr>
          <w:sz w:val="24"/>
          <w:szCs w:val="24"/>
        </w:rPr>
        <w:t xml:space="preserve"> (the Model) </w:t>
      </w:r>
      <w:r w:rsidR="00F83AE9" w:rsidRPr="00074C9A">
        <w:rPr>
          <w:sz w:val="24"/>
          <w:szCs w:val="24"/>
        </w:rPr>
        <w:t>of care delivery</w:t>
      </w:r>
      <w:r w:rsidR="00DB685C">
        <w:rPr>
          <w:sz w:val="24"/>
          <w:szCs w:val="24"/>
        </w:rPr>
        <w:t>.</w:t>
      </w:r>
      <w:r w:rsidR="00BC3668" w:rsidRPr="00074C9A">
        <w:rPr>
          <w:sz w:val="24"/>
          <w:szCs w:val="24"/>
        </w:rPr>
        <w:t xml:space="preserve"> </w:t>
      </w:r>
      <w:r w:rsidR="00F83AE9" w:rsidRPr="00074C9A">
        <w:rPr>
          <w:sz w:val="24"/>
          <w:szCs w:val="24"/>
        </w:rPr>
        <w:t xml:space="preserve">The Model has </w:t>
      </w:r>
      <w:r w:rsidR="00D40143">
        <w:rPr>
          <w:sz w:val="24"/>
          <w:szCs w:val="24"/>
        </w:rPr>
        <w:t xml:space="preserve">been under development nationally and </w:t>
      </w:r>
      <w:r w:rsidR="00F83AE9" w:rsidRPr="00074C9A">
        <w:rPr>
          <w:sz w:val="24"/>
          <w:szCs w:val="24"/>
        </w:rPr>
        <w:t xml:space="preserve">received funding from prominent national organizations for many </w:t>
      </w:r>
      <w:r w:rsidR="00762BAE">
        <w:rPr>
          <w:sz w:val="24"/>
          <w:szCs w:val="24"/>
        </w:rPr>
        <w:t>y</w:t>
      </w:r>
      <w:r w:rsidR="00F83AE9" w:rsidRPr="00074C9A">
        <w:rPr>
          <w:sz w:val="24"/>
          <w:szCs w:val="24"/>
        </w:rPr>
        <w:t xml:space="preserve">ears. </w:t>
      </w:r>
      <w:r w:rsidR="00BC3668" w:rsidRPr="00074C9A">
        <w:rPr>
          <w:sz w:val="24"/>
          <w:szCs w:val="24"/>
        </w:rPr>
        <w:t>In 2005, the Robert Wood Johnson Foundation (RWJF) underwrote a five-year, $10 million grant to subsidize the development of 50 Green House projects across the United States,</w:t>
      </w:r>
      <w:r w:rsidR="00BC3668" w:rsidRPr="00074C9A">
        <w:rPr>
          <w:sz w:val="24"/>
          <w:szCs w:val="24"/>
          <w:vertAlign w:val="superscript"/>
        </w:rPr>
        <w:endnoteReference w:id="1"/>
      </w:r>
      <w:r w:rsidR="00BC3668" w:rsidRPr="00074C9A">
        <w:rPr>
          <w:sz w:val="24"/>
          <w:szCs w:val="24"/>
        </w:rPr>
        <w:t xml:space="preserve">  with additional funding through 2018. Currently, there are more than 300 Green Homes in 32 states.</w:t>
      </w:r>
      <w:r w:rsidR="00BC3668" w:rsidRPr="00074C9A">
        <w:rPr>
          <w:sz w:val="24"/>
          <w:szCs w:val="24"/>
          <w:vertAlign w:val="superscript"/>
        </w:rPr>
        <w:endnoteReference w:id="2"/>
      </w:r>
      <w:r w:rsidR="00BC3668" w:rsidRPr="00074C9A">
        <w:rPr>
          <w:sz w:val="24"/>
          <w:szCs w:val="24"/>
        </w:rPr>
        <w:t xml:space="preserve"> </w:t>
      </w:r>
      <w:r w:rsidR="00F83AE9" w:rsidRPr="00074C9A">
        <w:rPr>
          <w:sz w:val="24"/>
          <w:szCs w:val="24"/>
        </w:rPr>
        <w:t>R</w:t>
      </w:r>
      <w:r w:rsidR="00BC3668" w:rsidRPr="00074C9A">
        <w:rPr>
          <w:sz w:val="24"/>
          <w:szCs w:val="24"/>
        </w:rPr>
        <w:t>ecent studies have shown that Green House facilities across the United States have had a lower prevalence of COVID</w:t>
      </w:r>
      <w:r w:rsidR="00123CBF">
        <w:rPr>
          <w:sz w:val="24"/>
          <w:szCs w:val="24"/>
        </w:rPr>
        <w:t>-19</w:t>
      </w:r>
      <w:r w:rsidR="00BC3668" w:rsidRPr="00074C9A">
        <w:rPr>
          <w:sz w:val="24"/>
          <w:szCs w:val="24"/>
        </w:rPr>
        <w:t xml:space="preserve"> than traditional long-term care facilities,</w:t>
      </w:r>
      <w:r w:rsidR="00A33783">
        <w:rPr>
          <w:sz w:val="24"/>
          <w:szCs w:val="24"/>
        </w:rPr>
        <w:t xml:space="preserve"> </w:t>
      </w:r>
      <w:r w:rsidR="00BC3668" w:rsidRPr="00074C9A">
        <w:rPr>
          <w:sz w:val="24"/>
          <w:szCs w:val="24"/>
        </w:rPr>
        <w:t>as discussed</w:t>
      </w:r>
      <w:r w:rsidR="00A33783">
        <w:rPr>
          <w:sz w:val="24"/>
          <w:szCs w:val="24"/>
        </w:rPr>
        <w:t xml:space="preserve"> along with other Model attributes of the model</w:t>
      </w:r>
      <w:r w:rsidR="00BC3668" w:rsidRPr="00074C9A">
        <w:rPr>
          <w:sz w:val="24"/>
          <w:szCs w:val="24"/>
        </w:rPr>
        <w:t xml:space="preserve"> in Section F1</w:t>
      </w:r>
      <w:r w:rsidR="007771F5">
        <w:rPr>
          <w:sz w:val="24"/>
          <w:szCs w:val="24"/>
        </w:rPr>
        <w:t>(</w:t>
      </w:r>
      <w:r w:rsidR="00BC3668" w:rsidRPr="00074C9A">
        <w:rPr>
          <w:sz w:val="24"/>
          <w:szCs w:val="24"/>
        </w:rPr>
        <w:t>b) below.</w:t>
      </w:r>
    </w:p>
    <w:p w14:paraId="71EFC05D" w14:textId="255D4D76" w:rsidR="0046052E" w:rsidRPr="0046052E" w:rsidRDefault="0046052E" w:rsidP="00D33B2B">
      <w:pPr>
        <w:spacing w:line="240" w:lineRule="auto"/>
        <w:rPr>
          <w:sz w:val="24"/>
          <w:szCs w:val="24"/>
        </w:rPr>
      </w:pPr>
      <w:r w:rsidRPr="695818A5">
        <w:rPr>
          <w:sz w:val="24"/>
          <w:szCs w:val="24"/>
        </w:rPr>
        <w:t xml:space="preserve">The Applicant stresses throughout that the Model reimagines the traditional nursing home. One of the main components of the Green House Project </w:t>
      </w:r>
      <w:r w:rsidR="0007192D" w:rsidRPr="695818A5">
        <w:rPr>
          <w:sz w:val="24"/>
          <w:szCs w:val="24"/>
        </w:rPr>
        <w:t xml:space="preserve">is </w:t>
      </w:r>
      <w:r w:rsidRPr="695818A5">
        <w:rPr>
          <w:sz w:val="24"/>
          <w:szCs w:val="24"/>
        </w:rPr>
        <w:t>the physical homes</w:t>
      </w:r>
      <w:r w:rsidR="0007192D" w:rsidRPr="695818A5">
        <w:rPr>
          <w:sz w:val="24"/>
          <w:szCs w:val="24"/>
        </w:rPr>
        <w:t>.</w:t>
      </w:r>
      <w:r w:rsidRPr="695818A5">
        <w:rPr>
          <w:sz w:val="24"/>
          <w:szCs w:val="24"/>
        </w:rPr>
        <w:t xml:space="preserve"> “Green Homes,” </w:t>
      </w:r>
      <w:r w:rsidR="00F00B0E" w:rsidRPr="695818A5">
        <w:rPr>
          <w:sz w:val="24"/>
          <w:szCs w:val="24"/>
        </w:rPr>
        <w:t xml:space="preserve">are </w:t>
      </w:r>
      <w:r w:rsidRPr="695818A5">
        <w:rPr>
          <w:sz w:val="24"/>
          <w:szCs w:val="24"/>
        </w:rPr>
        <w:t xml:space="preserve">self-contained, inclusive of no more than 14 private rooms, </w:t>
      </w:r>
      <w:r w:rsidR="0007192D" w:rsidRPr="695818A5">
        <w:rPr>
          <w:sz w:val="24"/>
          <w:szCs w:val="24"/>
        </w:rPr>
        <w:t xml:space="preserve">have </w:t>
      </w:r>
      <w:r w:rsidRPr="695818A5">
        <w:rPr>
          <w:sz w:val="24"/>
          <w:szCs w:val="24"/>
        </w:rPr>
        <w:t xml:space="preserve">private bathrooms, a living room with home-like amenities, a kitchen where meals are prepared, a </w:t>
      </w:r>
      <w:r w:rsidRPr="695818A5">
        <w:rPr>
          <w:sz w:val="24"/>
          <w:szCs w:val="24"/>
        </w:rPr>
        <w:lastRenderedPageBreak/>
        <w:t xml:space="preserve">communal dining area, and outdoor spaces that are easy to access and navigate. Central to the </w:t>
      </w:r>
      <w:r w:rsidR="005013F9" w:rsidRPr="695818A5">
        <w:rPr>
          <w:sz w:val="24"/>
          <w:szCs w:val="24"/>
        </w:rPr>
        <w:t>M</w:t>
      </w:r>
      <w:r w:rsidRPr="695818A5">
        <w:rPr>
          <w:sz w:val="24"/>
          <w:szCs w:val="24"/>
        </w:rPr>
        <w:t xml:space="preserve">odel are its core values: </w:t>
      </w:r>
    </w:p>
    <w:p w14:paraId="15B39970" w14:textId="77777777" w:rsidR="0046052E" w:rsidRPr="0046052E" w:rsidRDefault="0046052E" w:rsidP="00D33B2B">
      <w:pPr>
        <w:numPr>
          <w:ilvl w:val="0"/>
          <w:numId w:val="6"/>
        </w:numPr>
        <w:spacing w:line="240" w:lineRule="auto"/>
        <w:rPr>
          <w:sz w:val="24"/>
          <w:szCs w:val="24"/>
        </w:rPr>
      </w:pPr>
      <w:r w:rsidRPr="0046052E">
        <w:rPr>
          <w:sz w:val="24"/>
          <w:szCs w:val="24"/>
        </w:rPr>
        <w:t xml:space="preserve">Meaningful Life: Homes that are centered on elders, where deep knowing, autonomy and control, and purposeful, meaningful engagement are key; </w:t>
      </w:r>
    </w:p>
    <w:p w14:paraId="261215A9" w14:textId="77777777" w:rsidR="0046052E" w:rsidRPr="0046052E" w:rsidRDefault="0046052E" w:rsidP="00D33B2B">
      <w:pPr>
        <w:numPr>
          <w:ilvl w:val="0"/>
          <w:numId w:val="6"/>
        </w:numPr>
        <w:spacing w:line="240" w:lineRule="auto"/>
        <w:rPr>
          <w:sz w:val="24"/>
          <w:szCs w:val="24"/>
        </w:rPr>
      </w:pPr>
      <w:r w:rsidRPr="0046052E">
        <w:rPr>
          <w:sz w:val="24"/>
          <w:szCs w:val="24"/>
        </w:rPr>
        <w:t xml:space="preserve">Empowered Staff: As part of an organizational redesign, empowered teams thrive on a collaborative coaching culture and shared decision making; and </w:t>
      </w:r>
    </w:p>
    <w:p w14:paraId="0A5B76F8" w14:textId="51CC7C96" w:rsidR="0046052E" w:rsidRPr="0046052E" w:rsidRDefault="0046052E" w:rsidP="00D33B2B">
      <w:pPr>
        <w:numPr>
          <w:ilvl w:val="0"/>
          <w:numId w:val="6"/>
        </w:numPr>
        <w:spacing w:line="240" w:lineRule="auto"/>
        <w:rPr>
          <w:sz w:val="24"/>
          <w:szCs w:val="24"/>
        </w:rPr>
      </w:pPr>
      <w:r w:rsidRPr="0046052E">
        <w:rPr>
          <w:sz w:val="24"/>
          <w:szCs w:val="24"/>
        </w:rPr>
        <w:t>Real Home: Intentional communities of belonging that leverage the power of normal, deinstitutionalized living, and convivium (the sharing of good food in good company).</w:t>
      </w:r>
      <w:r w:rsidRPr="0046052E">
        <w:rPr>
          <w:sz w:val="24"/>
          <w:szCs w:val="24"/>
          <w:vertAlign w:val="superscript"/>
        </w:rPr>
        <w:endnoteReference w:id="3"/>
      </w:r>
    </w:p>
    <w:p w14:paraId="172EC382" w14:textId="148F4230" w:rsidR="00D40143" w:rsidRPr="00D40143" w:rsidRDefault="00D40143" w:rsidP="00BC3668">
      <w:pPr>
        <w:rPr>
          <w:b/>
          <w:bCs/>
          <w:sz w:val="24"/>
          <w:szCs w:val="24"/>
        </w:rPr>
      </w:pPr>
      <w:r w:rsidRPr="00D40143">
        <w:rPr>
          <w:b/>
          <w:bCs/>
          <w:sz w:val="24"/>
          <w:szCs w:val="24"/>
        </w:rPr>
        <w:t>The Proposed Project</w:t>
      </w:r>
    </w:p>
    <w:p w14:paraId="606C0CA5" w14:textId="0CE8FC96" w:rsidR="00D33C27" w:rsidRPr="00A55874" w:rsidRDefault="0060404B" w:rsidP="00D33B2B">
      <w:pPr>
        <w:spacing w:line="240" w:lineRule="auto"/>
        <w:rPr>
          <w:sz w:val="24"/>
          <w:szCs w:val="24"/>
        </w:rPr>
      </w:pPr>
      <w:r w:rsidRPr="00A55874">
        <w:rPr>
          <w:sz w:val="24"/>
          <w:szCs w:val="24"/>
        </w:rPr>
        <w:t>T</w:t>
      </w:r>
      <w:r w:rsidR="00C65D6B" w:rsidRPr="00A55874">
        <w:rPr>
          <w:sz w:val="24"/>
          <w:szCs w:val="24"/>
        </w:rPr>
        <w:t>he new facility will consist of five 14</w:t>
      </w:r>
      <w:r w:rsidR="00383ADB">
        <w:rPr>
          <w:sz w:val="24"/>
          <w:szCs w:val="24"/>
        </w:rPr>
        <w:t xml:space="preserve"> </w:t>
      </w:r>
      <w:r w:rsidR="007D23B6" w:rsidDel="00FA7EC0">
        <w:rPr>
          <w:sz w:val="24"/>
          <w:szCs w:val="24"/>
        </w:rPr>
        <w:t>Level II</w:t>
      </w:r>
      <w:r w:rsidR="00261743" w:rsidDel="00FA7EC0">
        <w:rPr>
          <w:sz w:val="24"/>
          <w:szCs w:val="24"/>
        </w:rPr>
        <w:t>-</w:t>
      </w:r>
      <w:r w:rsidR="00261743">
        <w:rPr>
          <w:sz w:val="24"/>
          <w:szCs w:val="24"/>
        </w:rPr>
        <w:t xml:space="preserve">bed </w:t>
      </w:r>
      <w:r w:rsidR="00C65D6B" w:rsidRPr="00A55874">
        <w:rPr>
          <w:sz w:val="24"/>
          <w:szCs w:val="24"/>
        </w:rPr>
        <w:t>homes</w:t>
      </w:r>
      <w:r w:rsidR="00FA7EC0">
        <w:rPr>
          <w:rStyle w:val="FootnoteReference"/>
          <w:sz w:val="24"/>
          <w:szCs w:val="24"/>
        </w:rPr>
        <w:footnoteReference w:id="3"/>
      </w:r>
      <w:r w:rsidR="007D23B6">
        <w:rPr>
          <w:sz w:val="24"/>
          <w:szCs w:val="24"/>
        </w:rPr>
        <w:t xml:space="preserve">. </w:t>
      </w:r>
      <w:r w:rsidR="00C65D6B" w:rsidRPr="00A55874">
        <w:rPr>
          <w:sz w:val="24"/>
          <w:szCs w:val="24"/>
        </w:rPr>
        <w:t>Four homes</w:t>
      </w:r>
      <w:r w:rsidRPr="00A55874">
        <w:rPr>
          <w:sz w:val="24"/>
          <w:szCs w:val="24"/>
        </w:rPr>
        <w:t xml:space="preserve"> (totaling</w:t>
      </w:r>
      <w:r w:rsidR="00C65D6B" w:rsidRPr="00A55874">
        <w:rPr>
          <w:sz w:val="24"/>
          <w:szCs w:val="24"/>
        </w:rPr>
        <w:t xml:space="preserve"> 56 beds</w:t>
      </w:r>
      <w:r w:rsidRPr="00A55874">
        <w:rPr>
          <w:sz w:val="24"/>
          <w:szCs w:val="24"/>
        </w:rPr>
        <w:t>)</w:t>
      </w:r>
      <w:r w:rsidR="00C65D6B" w:rsidRPr="00A55874">
        <w:rPr>
          <w:sz w:val="24"/>
          <w:szCs w:val="24"/>
        </w:rPr>
        <w:t xml:space="preserve"> will be dedicated to long-term care residents</w:t>
      </w:r>
      <w:r w:rsidRPr="00A55874">
        <w:rPr>
          <w:sz w:val="24"/>
          <w:szCs w:val="24"/>
        </w:rPr>
        <w:t xml:space="preserve">; and one </w:t>
      </w:r>
      <w:r w:rsidR="00C65D6B" w:rsidRPr="00A55874">
        <w:rPr>
          <w:sz w:val="24"/>
          <w:szCs w:val="24"/>
        </w:rPr>
        <w:t>home</w:t>
      </w:r>
      <w:r w:rsidR="00074C9A">
        <w:rPr>
          <w:sz w:val="24"/>
          <w:szCs w:val="24"/>
        </w:rPr>
        <w:t xml:space="preserve"> (14 beds)</w:t>
      </w:r>
      <w:r w:rsidRPr="00A55874">
        <w:rPr>
          <w:sz w:val="24"/>
          <w:szCs w:val="24"/>
        </w:rPr>
        <w:t>,</w:t>
      </w:r>
      <w:r w:rsidR="00C65D6B" w:rsidRPr="00A55874">
        <w:rPr>
          <w:sz w:val="24"/>
          <w:szCs w:val="24"/>
        </w:rPr>
        <w:t xml:space="preserve"> </w:t>
      </w:r>
      <w:r w:rsidRPr="00A55874">
        <w:rPr>
          <w:sz w:val="24"/>
          <w:szCs w:val="24"/>
        </w:rPr>
        <w:t xml:space="preserve">will be </w:t>
      </w:r>
      <w:r w:rsidR="00C65D6B" w:rsidRPr="00A55874">
        <w:rPr>
          <w:sz w:val="24"/>
          <w:szCs w:val="24"/>
        </w:rPr>
        <w:t xml:space="preserve">dedicated to short-term rehabilitation residents. </w:t>
      </w:r>
      <w:r w:rsidRPr="00A55874">
        <w:rPr>
          <w:sz w:val="24"/>
          <w:szCs w:val="24"/>
        </w:rPr>
        <w:t>The Applicant asserts that t</w:t>
      </w:r>
      <w:r w:rsidR="00C65D6B" w:rsidRPr="00A55874">
        <w:rPr>
          <w:sz w:val="24"/>
          <w:szCs w:val="24"/>
        </w:rPr>
        <w:t>he Proposed Project will contribute to higher resident satisfaction and better health outcomes</w:t>
      </w:r>
      <w:r w:rsidR="00D33C27" w:rsidRPr="00A55874">
        <w:rPr>
          <w:sz w:val="24"/>
          <w:szCs w:val="24"/>
        </w:rPr>
        <w:t>, t</w:t>
      </w:r>
      <w:r w:rsidR="001B120B" w:rsidRPr="00A55874">
        <w:rPr>
          <w:sz w:val="24"/>
          <w:szCs w:val="24"/>
        </w:rPr>
        <w:t>hrough th</w:t>
      </w:r>
      <w:r w:rsidR="002518E9">
        <w:rPr>
          <w:sz w:val="24"/>
          <w:szCs w:val="24"/>
        </w:rPr>
        <w:t>e</w:t>
      </w:r>
      <w:r w:rsidRPr="00A55874">
        <w:rPr>
          <w:sz w:val="24"/>
          <w:szCs w:val="24"/>
        </w:rPr>
        <w:t xml:space="preserve"> </w:t>
      </w:r>
      <w:r w:rsidR="002518E9">
        <w:rPr>
          <w:sz w:val="24"/>
          <w:szCs w:val="24"/>
        </w:rPr>
        <w:t>M</w:t>
      </w:r>
      <w:r w:rsidR="001B120B" w:rsidRPr="00A55874">
        <w:rPr>
          <w:sz w:val="24"/>
          <w:szCs w:val="24"/>
        </w:rPr>
        <w:t>odel’s focus on resident privacy, dignity, and autonomy</w:t>
      </w:r>
      <w:r w:rsidR="00D33C27" w:rsidRPr="00A55874">
        <w:rPr>
          <w:sz w:val="24"/>
          <w:szCs w:val="24"/>
        </w:rPr>
        <w:t xml:space="preserve">. </w:t>
      </w:r>
    </w:p>
    <w:p w14:paraId="063D6051" w14:textId="3B719C42" w:rsidR="00C65D6B" w:rsidRPr="00A55874" w:rsidRDefault="00C65D6B" w:rsidP="00D33B2B">
      <w:pPr>
        <w:spacing w:line="240" w:lineRule="auto"/>
        <w:rPr>
          <w:sz w:val="24"/>
          <w:szCs w:val="24"/>
        </w:rPr>
      </w:pPr>
      <w:r w:rsidRPr="00A55874">
        <w:rPr>
          <w:sz w:val="24"/>
          <w:szCs w:val="24"/>
        </w:rPr>
        <w:t>While not part of th</w:t>
      </w:r>
      <w:r w:rsidR="007A57E0">
        <w:rPr>
          <w:sz w:val="24"/>
          <w:szCs w:val="24"/>
        </w:rPr>
        <w:t>is Application</w:t>
      </w:r>
      <w:r w:rsidRPr="00A55874">
        <w:rPr>
          <w:sz w:val="24"/>
          <w:szCs w:val="24"/>
        </w:rPr>
        <w:t>,</w:t>
      </w:r>
      <w:r w:rsidR="00237D34">
        <w:rPr>
          <w:rStyle w:val="FootnoteReference"/>
          <w:sz w:val="24"/>
          <w:szCs w:val="24"/>
        </w:rPr>
        <w:footnoteReference w:id="4"/>
      </w:r>
      <w:r w:rsidRPr="00A55874">
        <w:rPr>
          <w:sz w:val="24"/>
          <w:szCs w:val="24"/>
        </w:rPr>
        <w:t xml:space="preserve"> </w:t>
      </w:r>
      <w:r w:rsidR="00DF5E20">
        <w:rPr>
          <w:sz w:val="24"/>
          <w:szCs w:val="24"/>
        </w:rPr>
        <w:t xml:space="preserve">in an effort to ensure adequate staffing, </w:t>
      </w:r>
      <w:r w:rsidRPr="00A55874">
        <w:rPr>
          <w:sz w:val="24"/>
          <w:szCs w:val="24"/>
        </w:rPr>
        <w:t xml:space="preserve">MVH </w:t>
      </w:r>
      <w:r w:rsidR="007D23B6">
        <w:rPr>
          <w:sz w:val="24"/>
          <w:szCs w:val="24"/>
        </w:rPr>
        <w:t xml:space="preserve">has committed </w:t>
      </w:r>
      <w:r w:rsidRPr="00A55874">
        <w:rPr>
          <w:sz w:val="24"/>
          <w:szCs w:val="24"/>
        </w:rPr>
        <w:t>to develop affordable housing on the campus of the Proposed Project, and a portion of this affordable housing</w:t>
      </w:r>
      <w:r w:rsidR="00964E98">
        <w:rPr>
          <w:sz w:val="24"/>
          <w:szCs w:val="24"/>
        </w:rPr>
        <w:t xml:space="preserve">, </w:t>
      </w:r>
      <w:r w:rsidRPr="00A55874">
        <w:rPr>
          <w:sz w:val="24"/>
          <w:szCs w:val="24"/>
        </w:rPr>
        <w:t xml:space="preserve">will be reserved for employees of </w:t>
      </w:r>
      <w:r w:rsidR="0046052E">
        <w:rPr>
          <w:sz w:val="24"/>
          <w:szCs w:val="24"/>
        </w:rPr>
        <w:t>Navigator</w:t>
      </w:r>
      <w:r w:rsidRPr="00A55874">
        <w:rPr>
          <w:sz w:val="24"/>
          <w:szCs w:val="24"/>
        </w:rPr>
        <w:t>.</w:t>
      </w:r>
      <w:r w:rsidR="009C1D2F">
        <w:rPr>
          <w:sz w:val="24"/>
          <w:szCs w:val="24"/>
        </w:rPr>
        <w:t xml:space="preserve"> </w:t>
      </w:r>
      <w:r w:rsidR="00E10BE5">
        <w:rPr>
          <w:sz w:val="24"/>
          <w:szCs w:val="24"/>
        </w:rPr>
        <w:t>(</w:t>
      </w:r>
      <w:r w:rsidR="009C1D2F">
        <w:rPr>
          <w:sz w:val="24"/>
          <w:szCs w:val="24"/>
        </w:rPr>
        <w:t>This is discussed further under Factor</w:t>
      </w:r>
      <w:r w:rsidR="00E10BE5">
        <w:rPr>
          <w:sz w:val="24"/>
          <w:szCs w:val="24"/>
        </w:rPr>
        <w:t>s 1</w:t>
      </w:r>
      <w:r w:rsidR="00423F86">
        <w:rPr>
          <w:sz w:val="24"/>
          <w:szCs w:val="24"/>
        </w:rPr>
        <w:t>(a) 4, and Factor</w:t>
      </w:r>
      <w:r w:rsidR="009C1D2F">
        <w:rPr>
          <w:sz w:val="24"/>
          <w:szCs w:val="24"/>
        </w:rPr>
        <w:t xml:space="preserve"> 6</w:t>
      </w:r>
      <w:r w:rsidR="00E10BE5">
        <w:rPr>
          <w:sz w:val="24"/>
          <w:szCs w:val="24"/>
        </w:rPr>
        <w:t>.)</w:t>
      </w:r>
    </w:p>
    <w:p w14:paraId="7BA4B3C0" w14:textId="439DC83E" w:rsidR="00C65D6B" w:rsidRPr="00A55874" w:rsidRDefault="008C49B7" w:rsidP="00D33B2B">
      <w:pPr>
        <w:spacing w:line="240" w:lineRule="auto"/>
        <w:rPr>
          <w:sz w:val="24"/>
          <w:szCs w:val="24"/>
        </w:rPr>
      </w:pPr>
      <w:r>
        <w:rPr>
          <w:sz w:val="24"/>
          <w:szCs w:val="24"/>
        </w:rPr>
        <w:t>As discussed throughout this Application, t</w:t>
      </w:r>
      <w:r w:rsidR="00D33C27" w:rsidRPr="00A55874">
        <w:rPr>
          <w:sz w:val="24"/>
          <w:szCs w:val="24"/>
        </w:rPr>
        <w:t>he Applicant asserts t</w:t>
      </w:r>
      <w:r w:rsidR="00C65D6B" w:rsidRPr="00A55874">
        <w:rPr>
          <w:sz w:val="24"/>
          <w:szCs w:val="24"/>
        </w:rPr>
        <w:t xml:space="preserve">he Proposed Project will improve </w:t>
      </w:r>
      <w:r w:rsidR="00D61A19">
        <w:rPr>
          <w:sz w:val="24"/>
          <w:szCs w:val="24"/>
        </w:rPr>
        <w:t xml:space="preserve">public health value and </w:t>
      </w:r>
      <w:r w:rsidR="00C65D6B" w:rsidRPr="00A55874">
        <w:rPr>
          <w:sz w:val="24"/>
          <w:szCs w:val="24"/>
        </w:rPr>
        <w:t>health outcomes</w:t>
      </w:r>
      <w:r w:rsidR="00C148C5">
        <w:rPr>
          <w:sz w:val="24"/>
          <w:szCs w:val="24"/>
        </w:rPr>
        <w:t xml:space="preserve"> while </w:t>
      </w:r>
      <w:r w:rsidR="00C148C5" w:rsidRPr="00C148C5">
        <w:rPr>
          <w:sz w:val="24"/>
          <w:szCs w:val="24"/>
        </w:rPr>
        <w:t>meaningfully contribut</w:t>
      </w:r>
      <w:r w:rsidR="00C148C5">
        <w:rPr>
          <w:sz w:val="24"/>
          <w:szCs w:val="24"/>
        </w:rPr>
        <w:t>ing</w:t>
      </w:r>
      <w:r w:rsidR="00C148C5" w:rsidRPr="00C148C5">
        <w:rPr>
          <w:sz w:val="24"/>
          <w:szCs w:val="24"/>
        </w:rPr>
        <w:t xml:space="preserve"> to Massachusetts’ goals for cost containment</w:t>
      </w:r>
      <w:r w:rsidR="00C148C5">
        <w:rPr>
          <w:sz w:val="24"/>
          <w:szCs w:val="24"/>
        </w:rPr>
        <w:t>.</w:t>
      </w:r>
    </w:p>
    <w:p w14:paraId="7890D305" w14:textId="73A0EAA3" w:rsidR="00C65D6B" w:rsidRDefault="00421D13" w:rsidP="00D33B2B">
      <w:pPr>
        <w:spacing w:line="240" w:lineRule="auto"/>
      </w:pPr>
      <w:r w:rsidRPr="00A55874">
        <w:rPr>
          <w:sz w:val="24"/>
          <w:szCs w:val="24"/>
        </w:rPr>
        <w:t xml:space="preserve">In summary, </w:t>
      </w:r>
      <w:r w:rsidR="00EE186E">
        <w:rPr>
          <w:sz w:val="24"/>
          <w:szCs w:val="24"/>
        </w:rPr>
        <w:t>t</w:t>
      </w:r>
      <w:r w:rsidR="00EE186E" w:rsidRPr="00EE186E">
        <w:rPr>
          <w:sz w:val="24"/>
          <w:szCs w:val="24"/>
        </w:rPr>
        <w:t xml:space="preserve">he Applicant states that as an island community with </w:t>
      </w:r>
      <w:r w:rsidR="000841B8">
        <w:rPr>
          <w:sz w:val="24"/>
          <w:szCs w:val="24"/>
        </w:rPr>
        <w:t xml:space="preserve">growing and </w:t>
      </w:r>
      <w:r w:rsidR="00EE186E" w:rsidRPr="00EE186E">
        <w:rPr>
          <w:sz w:val="24"/>
          <w:szCs w:val="24"/>
        </w:rPr>
        <w:t>aging year-round population</w:t>
      </w:r>
      <w:r w:rsidR="00A9224C">
        <w:rPr>
          <w:sz w:val="24"/>
          <w:szCs w:val="24"/>
        </w:rPr>
        <w:t>,</w:t>
      </w:r>
      <w:r w:rsidR="00EE186E" w:rsidRPr="00EE186E">
        <w:rPr>
          <w:sz w:val="24"/>
          <w:szCs w:val="24"/>
        </w:rPr>
        <w:t xml:space="preserve"> and </w:t>
      </w:r>
      <w:r w:rsidR="000841B8">
        <w:rPr>
          <w:sz w:val="24"/>
          <w:szCs w:val="24"/>
        </w:rPr>
        <w:t xml:space="preserve">with </w:t>
      </w:r>
      <w:r w:rsidR="00EE186E" w:rsidRPr="00EE186E">
        <w:rPr>
          <w:sz w:val="24"/>
          <w:szCs w:val="24"/>
        </w:rPr>
        <w:t xml:space="preserve">a shortage of affordable housing, Martha’s Vineyard </w:t>
      </w:r>
      <w:r w:rsidR="00C148C5">
        <w:rPr>
          <w:sz w:val="24"/>
          <w:szCs w:val="24"/>
        </w:rPr>
        <w:t xml:space="preserve">(the Island) </w:t>
      </w:r>
      <w:r w:rsidR="00EE186E" w:rsidRPr="00EE186E">
        <w:rPr>
          <w:sz w:val="24"/>
          <w:szCs w:val="24"/>
        </w:rPr>
        <w:t xml:space="preserve">has unique barriers to access </w:t>
      </w:r>
      <w:r w:rsidR="000841B8">
        <w:rPr>
          <w:sz w:val="24"/>
          <w:szCs w:val="24"/>
        </w:rPr>
        <w:t>to</w:t>
      </w:r>
      <w:r w:rsidR="000841B8" w:rsidRPr="000841B8">
        <w:rPr>
          <w:sz w:val="24"/>
          <w:szCs w:val="24"/>
        </w:rPr>
        <w:t xml:space="preserve"> long-term care </w:t>
      </w:r>
      <w:r w:rsidR="00EE186E" w:rsidRPr="00EE186E">
        <w:rPr>
          <w:sz w:val="24"/>
          <w:szCs w:val="24"/>
        </w:rPr>
        <w:t xml:space="preserve">that the Proposed Project </w:t>
      </w:r>
      <w:r w:rsidR="00736B30">
        <w:rPr>
          <w:sz w:val="24"/>
          <w:szCs w:val="24"/>
        </w:rPr>
        <w:t xml:space="preserve">intends </w:t>
      </w:r>
      <w:r w:rsidR="00EE186E" w:rsidRPr="00EE186E">
        <w:rPr>
          <w:sz w:val="24"/>
          <w:szCs w:val="24"/>
        </w:rPr>
        <w:t>to address.</w:t>
      </w:r>
      <w:r w:rsidR="007D23B6">
        <w:rPr>
          <w:sz w:val="24"/>
          <w:szCs w:val="24"/>
        </w:rPr>
        <w:t xml:space="preserve"> As such, </w:t>
      </w:r>
      <w:r w:rsidRPr="00A55874">
        <w:rPr>
          <w:sz w:val="24"/>
          <w:szCs w:val="24"/>
        </w:rPr>
        <w:t xml:space="preserve">the Applicant states, </w:t>
      </w:r>
      <w:r w:rsidR="00C65D6B" w:rsidRPr="00A55874">
        <w:rPr>
          <w:sz w:val="24"/>
          <w:szCs w:val="24"/>
        </w:rPr>
        <w:t xml:space="preserve">the Proposed Project is necessary to provide </w:t>
      </w:r>
      <w:r w:rsidR="00C148C5">
        <w:rPr>
          <w:sz w:val="24"/>
          <w:szCs w:val="24"/>
        </w:rPr>
        <w:t xml:space="preserve">Island </w:t>
      </w:r>
      <w:r w:rsidR="00C65D6B" w:rsidRPr="00A55874">
        <w:rPr>
          <w:sz w:val="24"/>
          <w:szCs w:val="24"/>
        </w:rPr>
        <w:t>residents with improved access to high-quality, short-term rehabilitation and long-term skilled nursing in their community</w:t>
      </w:r>
      <w:r w:rsidRPr="00A55874">
        <w:rPr>
          <w:sz w:val="24"/>
          <w:szCs w:val="24"/>
        </w:rPr>
        <w:t xml:space="preserve"> </w:t>
      </w:r>
      <w:r w:rsidR="00A55874">
        <w:rPr>
          <w:sz w:val="24"/>
          <w:szCs w:val="24"/>
        </w:rPr>
        <w:t xml:space="preserve">while </w:t>
      </w:r>
      <w:r w:rsidR="00C65D6B" w:rsidRPr="00A55874">
        <w:rPr>
          <w:sz w:val="24"/>
          <w:szCs w:val="24"/>
        </w:rPr>
        <w:t>enhanc</w:t>
      </w:r>
      <w:r w:rsidR="00A55874">
        <w:rPr>
          <w:sz w:val="24"/>
          <w:szCs w:val="24"/>
        </w:rPr>
        <w:t>ing the</w:t>
      </w:r>
      <w:r w:rsidR="00C65D6B" w:rsidRPr="00A55874">
        <w:rPr>
          <w:sz w:val="24"/>
          <w:szCs w:val="24"/>
        </w:rPr>
        <w:t xml:space="preserve"> resident</w:t>
      </w:r>
      <w:r w:rsidR="00A55874">
        <w:rPr>
          <w:sz w:val="24"/>
          <w:szCs w:val="24"/>
        </w:rPr>
        <w:t xml:space="preserve">s’ </w:t>
      </w:r>
      <w:r w:rsidR="00C65D6B" w:rsidRPr="00A55874">
        <w:rPr>
          <w:sz w:val="24"/>
          <w:szCs w:val="24"/>
        </w:rPr>
        <w:t xml:space="preserve">care and experience through a </w:t>
      </w:r>
      <w:r w:rsidR="006454FB">
        <w:rPr>
          <w:sz w:val="24"/>
          <w:szCs w:val="24"/>
        </w:rPr>
        <w:t xml:space="preserve">Model </w:t>
      </w:r>
      <w:r w:rsidR="00C65D6B" w:rsidRPr="00A55874">
        <w:rPr>
          <w:sz w:val="24"/>
          <w:szCs w:val="24"/>
        </w:rPr>
        <w:t xml:space="preserve">that is </w:t>
      </w:r>
      <w:r w:rsidR="00736B30" w:rsidRPr="00750F56">
        <w:rPr>
          <w:sz w:val="24"/>
          <w:szCs w:val="24"/>
        </w:rPr>
        <w:t>patient centered</w:t>
      </w:r>
      <w:r w:rsidR="00C65D6B" w:rsidRPr="00A55874">
        <w:rPr>
          <w:sz w:val="24"/>
          <w:szCs w:val="24"/>
        </w:rPr>
        <w:t xml:space="preserve">. </w:t>
      </w:r>
    </w:p>
    <w:p w14:paraId="7BD67A91" w14:textId="64988E37" w:rsidR="00B045B7" w:rsidRPr="0075155F" w:rsidRDefault="00B045B7" w:rsidP="008909E4">
      <w:pPr>
        <w:pStyle w:val="Heading1"/>
        <w:rPr>
          <w:rFonts w:asciiTheme="minorHAnsi" w:hAnsiTheme="minorHAnsi" w:cstheme="minorHAnsi"/>
          <w:color w:val="1F4E79" w:themeColor="accent5" w:themeShade="80"/>
        </w:rPr>
      </w:pPr>
      <w:bookmarkStart w:id="1" w:name="_Toc129354640"/>
      <w:r w:rsidRPr="0075155F">
        <w:rPr>
          <w:rFonts w:asciiTheme="minorHAnsi" w:hAnsiTheme="minorHAnsi" w:cstheme="minorHAnsi"/>
          <w:color w:val="1F4E79" w:themeColor="accent5" w:themeShade="80"/>
        </w:rPr>
        <w:t>Factor 1</w:t>
      </w:r>
      <w:r w:rsidR="00E91888" w:rsidRPr="0075155F">
        <w:rPr>
          <w:rFonts w:asciiTheme="minorHAnsi" w:hAnsiTheme="minorHAnsi" w:cstheme="minorHAnsi"/>
          <w:color w:val="1F4E79" w:themeColor="accent5" w:themeShade="80"/>
        </w:rPr>
        <w:t xml:space="preserve"> </w:t>
      </w:r>
      <w:r w:rsidRPr="0075155F">
        <w:rPr>
          <w:rFonts w:asciiTheme="minorHAnsi" w:hAnsiTheme="minorHAnsi" w:cstheme="minorHAnsi"/>
          <w:color w:val="1F4E79" w:themeColor="accent5" w:themeShade="80"/>
        </w:rPr>
        <w:t>Patient Panel</w:t>
      </w:r>
      <w:r w:rsidR="008C216A" w:rsidRPr="0075155F">
        <w:rPr>
          <w:rFonts w:asciiTheme="minorHAnsi" w:hAnsiTheme="minorHAnsi" w:cstheme="minorHAnsi"/>
          <w:color w:val="1F4E79" w:themeColor="accent5" w:themeShade="80"/>
          <w:vertAlign w:val="superscript"/>
        </w:rPr>
        <w:footnoteReference w:id="5"/>
      </w:r>
      <w:bookmarkEnd w:id="1"/>
    </w:p>
    <w:p w14:paraId="43596E24" w14:textId="04D77C49" w:rsidR="00D21DA3" w:rsidRDefault="00E169DC" w:rsidP="00D2658F">
      <w:pPr>
        <w:spacing w:before="240" w:line="240" w:lineRule="auto"/>
        <w:rPr>
          <w:rFonts w:cstheme="minorHAnsi"/>
          <w:sz w:val="24"/>
          <w:szCs w:val="24"/>
        </w:rPr>
      </w:pPr>
      <w:r>
        <w:rPr>
          <w:rFonts w:cstheme="minorHAnsi"/>
          <w:sz w:val="24"/>
          <w:szCs w:val="24"/>
        </w:rPr>
        <w:t xml:space="preserve">The </w:t>
      </w:r>
      <w:r w:rsidR="008C216A">
        <w:rPr>
          <w:rFonts w:cstheme="minorHAnsi"/>
          <w:sz w:val="24"/>
          <w:szCs w:val="24"/>
        </w:rPr>
        <w:t xml:space="preserve">Patient Panel information shows that </w:t>
      </w:r>
      <w:r>
        <w:rPr>
          <w:rFonts w:cstheme="minorHAnsi"/>
          <w:sz w:val="24"/>
          <w:szCs w:val="24"/>
        </w:rPr>
        <w:t>the current facility</w:t>
      </w:r>
      <w:r w:rsidR="00D2658F">
        <w:rPr>
          <w:rFonts w:cstheme="minorHAnsi"/>
          <w:sz w:val="24"/>
          <w:szCs w:val="24"/>
        </w:rPr>
        <w:t xml:space="preserve">, operating under the ownership of MVH until October 2022, </w:t>
      </w:r>
      <w:r w:rsidR="00D21DA3">
        <w:rPr>
          <w:rFonts w:cstheme="minorHAnsi"/>
          <w:sz w:val="24"/>
          <w:szCs w:val="24"/>
        </w:rPr>
        <w:t xml:space="preserve">provided care to 60 </w:t>
      </w:r>
      <w:r w:rsidR="00D21DA3" w:rsidRPr="00D21DA3">
        <w:rPr>
          <w:rFonts w:cstheme="minorHAnsi"/>
          <w:sz w:val="24"/>
          <w:szCs w:val="24"/>
        </w:rPr>
        <w:t>individual patients over the most recent 36-</w:t>
      </w:r>
      <w:r w:rsidR="00D21DA3" w:rsidRPr="00D21DA3">
        <w:rPr>
          <w:rFonts w:cstheme="minorHAnsi"/>
          <w:sz w:val="24"/>
          <w:szCs w:val="24"/>
        </w:rPr>
        <w:lastRenderedPageBreak/>
        <w:t xml:space="preserve">month period. </w:t>
      </w:r>
      <w:r w:rsidR="00A42E65">
        <w:rPr>
          <w:rFonts w:cstheme="minorHAnsi"/>
          <w:sz w:val="24"/>
          <w:szCs w:val="24"/>
        </w:rPr>
        <w:t>As discussed further in this report, t</w:t>
      </w:r>
      <w:r w:rsidR="00D21DA3">
        <w:rPr>
          <w:rFonts w:cstheme="minorHAnsi"/>
          <w:sz w:val="24"/>
          <w:szCs w:val="24"/>
        </w:rPr>
        <w:t xml:space="preserve">he number of patients treated </w:t>
      </w:r>
      <w:r w:rsidR="00372D21">
        <w:rPr>
          <w:rFonts w:cstheme="minorHAnsi"/>
          <w:sz w:val="24"/>
          <w:szCs w:val="24"/>
        </w:rPr>
        <w:t>has declined from</w:t>
      </w:r>
      <w:r w:rsidR="00D21DA3">
        <w:rPr>
          <w:rFonts w:cstheme="minorHAnsi"/>
          <w:sz w:val="24"/>
          <w:szCs w:val="24"/>
        </w:rPr>
        <w:t xml:space="preserve"> previous years</w:t>
      </w:r>
      <w:r w:rsidR="00A42E65">
        <w:rPr>
          <w:rFonts w:cstheme="minorHAnsi"/>
          <w:sz w:val="24"/>
          <w:szCs w:val="24"/>
        </w:rPr>
        <w:t>.</w:t>
      </w:r>
    </w:p>
    <w:p w14:paraId="165E74BF" w14:textId="26C08B3A" w:rsidR="00372D21" w:rsidRPr="00372D21" w:rsidRDefault="00372D21" w:rsidP="008F61D7">
      <w:pPr>
        <w:spacing w:line="240" w:lineRule="auto"/>
        <w:jc w:val="center"/>
        <w:rPr>
          <w:rFonts w:cstheme="minorHAnsi"/>
          <w:b/>
          <w:bCs/>
          <w:sz w:val="24"/>
          <w:szCs w:val="24"/>
        </w:rPr>
      </w:pPr>
      <w:r w:rsidRPr="00372D21">
        <w:rPr>
          <w:rFonts w:cstheme="minorHAnsi"/>
          <w:b/>
          <w:bCs/>
          <w:sz w:val="24"/>
          <w:szCs w:val="24"/>
        </w:rPr>
        <w:t>Table 1: Overview of</w:t>
      </w:r>
      <w:r>
        <w:rPr>
          <w:rFonts w:cstheme="minorHAnsi"/>
          <w:b/>
          <w:bCs/>
          <w:sz w:val="24"/>
          <w:szCs w:val="24"/>
        </w:rPr>
        <w:t xml:space="preserve"> Patients Served-</w:t>
      </w:r>
      <w:r w:rsidRPr="00372D21">
        <w:rPr>
          <w:rFonts w:cstheme="minorHAnsi"/>
          <w:b/>
          <w:bCs/>
          <w:sz w:val="24"/>
          <w:szCs w:val="24"/>
        </w:rPr>
        <w:t xml:space="preserve"> FY1</w:t>
      </w:r>
      <w:r>
        <w:rPr>
          <w:rFonts w:cstheme="minorHAnsi"/>
          <w:b/>
          <w:bCs/>
          <w:sz w:val="24"/>
          <w:szCs w:val="24"/>
        </w:rPr>
        <w:t>7</w:t>
      </w:r>
      <w:r w:rsidRPr="00372D21">
        <w:rPr>
          <w:rFonts w:cstheme="minorHAnsi"/>
          <w:b/>
          <w:bCs/>
          <w:sz w:val="24"/>
          <w:szCs w:val="24"/>
        </w:rPr>
        <w:t>-FY</w:t>
      </w:r>
      <w:r>
        <w:rPr>
          <w:rFonts w:cstheme="minorHAnsi"/>
          <w:b/>
          <w:bCs/>
          <w:sz w:val="24"/>
          <w:szCs w:val="24"/>
        </w:rPr>
        <w:t>19</w:t>
      </w:r>
    </w:p>
    <w:tbl>
      <w:tblPr>
        <w:tblStyle w:val="TableGrid"/>
        <w:tblW w:w="0" w:type="auto"/>
        <w:jc w:val="center"/>
        <w:tblLook w:val="04A0" w:firstRow="1" w:lastRow="0" w:firstColumn="1" w:lastColumn="0" w:noHBand="0" w:noVBand="1"/>
        <w:tblCaption w:val="Table 1: Overview of Curahealth Stoughton Patient Panel, FY18-FY20"/>
        <w:tblDescription w:val=" 2018 2019 2020&#10;Number of Unique Patients Served &#10;240 &#10;227 &#10;278&#10;"/>
      </w:tblPr>
      <w:tblGrid>
        <w:gridCol w:w="2705"/>
        <w:gridCol w:w="1145"/>
        <w:gridCol w:w="1015"/>
        <w:gridCol w:w="1080"/>
      </w:tblGrid>
      <w:tr w:rsidR="00372D21" w:rsidRPr="00372D21" w14:paraId="2DF7598D" w14:textId="77777777" w:rsidTr="009F08AC">
        <w:trPr>
          <w:trHeight w:val="368"/>
          <w:tblHeader/>
          <w:jc w:val="center"/>
        </w:trPr>
        <w:tc>
          <w:tcPr>
            <w:tcW w:w="2705" w:type="dxa"/>
            <w:shd w:val="clear" w:color="auto" w:fill="E7FAFF"/>
            <w:vAlign w:val="center"/>
          </w:tcPr>
          <w:p w14:paraId="40B18C11" w14:textId="77777777" w:rsidR="00372D21" w:rsidRPr="00372D21" w:rsidRDefault="00372D21" w:rsidP="00E05CC8">
            <w:pPr>
              <w:rPr>
                <w:rFonts w:cstheme="minorHAnsi"/>
                <w:sz w:val="24"/>
                <w:szCs w:val="24"/>
              </w:rPr>
            </w:pPr>
          </w:p>
        </w:tc>
        <w:tc>
          <w:tcPr>
            <w:tcW w:w="1145" w:type="dxa"/>
            <w:shd w:val="clear" w:color="auto" w:fill="E7FAFF"/>
            <w:vAlign w:val="center"/>
          </w:tcPr>
          <w:p w14:paraId="7657495B" w14:textId="09DF9FD5" w:rsidR="00372D21" w:rsidRPr="00372D21" w:rsidRDefault="00372D21" w:rsidP="00E05CC8">
            <w:pPr>
              <w:jc w:val="center"/>
              <w:rPr>
                <w:rFonts w:cstheme="minorHAnsi"/>
                <w:b/>
                <w:sz w:val="24"/>
                <w:szCs w:val="24"/>
              </w:rPr>
            </w:pPr>
            <w:r w:rsidRPr="00372D21">
              <w:rPr>
                <w:rFonts w:cstheme="minorHAnsi"/>
                <w:b/>
                <w:sz w:val="24"/>
                <w:szCs w:val="24"/>
              </w:rPr>
              <w:t>201</w:t>
            </w:r>
            <w:r>
              <w:rPr>
                <w:rFonts w:cstheme="minorHAnsi"/>
                <w:b/>
                <w:sz w:val="24"/>
                <w:szCs w:val="24"/>
              </w:rPr>
              <w:t>7</w:t>
            </w:r>
          </w:p>
        </w:tc>
        <w:tc>
          <w:tcPr>
            <w:tcW w:w="1015" w:type="dxa"/>
            <w:shd w:val="clear" w:color="auto" w:fill="E7FAFF"/>
            <w:vAlign w:val="center"/>
          </w:tcPr>
          <w:p w14:paraId="0DA61874" w14:textId="16E45CAB" w:rsidR="00372D21" w:rsidRPr="00372D21" w:rsidRDefault="00372D21" w:rsidP="00E05CC8">
            <w:pPr>
              <w:jc w:val="center"/>
              <w:rPr>
                <w:rFonts w:cstheme="minorHAnsi"/>
                <w:b/>
                <w:sz w:val="24"/>
                <w:szCs w:val="24"/>
              </w:rPr>
            </w:pPr>
            <w:r w:rsidRPr="00372D21">
              <w:rPr>
                <w:rFonts w:cstheme="minorHAnsi"/>
                <w:b/>
                <w:sz w:val="24"/>
                <w:szCs w:val="24"/>
              </w:rPr>
              <w:t>201</w:t>
            </w:r>
            <w:r>
              <w:rPr>
                <w:rFonts w:cstheme="minorHAnsi"/>
                <w:b/>
                <w:sz w:val="24"/>
                <w:szCs w:val="24"/>
              </w:rPr>
              <w:t>8</w:t>
            </w:r>
          </w:p>
        </w:tc>
        <w:tc>
          <w:tcPr>
            <w:tcW w:w="1080" w:type="dxa"/>
            <w:shd w:val="clear" w:color="auto" w:fill="E7FAFF"/>
            <w:vAlign w:val="center"/>
          </w:tcPr>
          <w:p w14:paraId="3804DF4D" w14:textId="6766A340" w:rsidR="00372D21" w:rsidRPr="00372D21" w:rsidRDefault="00372D21" w:rsidP="00E05CC8">
            <w:pPr>
              <w:jc w:val="center"/>
              <w:rPr>
                <w:rFonts w:cstheme="minorHAnsi"/>
                <w:b/>
                <w:sz w:val="24"/>
                <w:szCs w:val="24"/>
              </w:rPr>
            </w:pPr>
            <w:r w:rsidRPr="00372D21">
              <w:rPr>
                <w:rFonts w:cstheme="minorHAnsi"/>
                <w:b/>
                <w:sz w:val="24"/>
                <w:szCs w:val="24"/>
              </w:rPr>
              <w:t>20</w:t>
            </w:r>
            <w:r>
              <w:rPr>
                <w:rFonts w:cstheme="minorHAnsi"/>
                <w:b/>
                <w:sz w:val="24"/>
                <w:szCs w:val="24"/>
              </w:rPr>
              <w:t>19</w:t>
            </w:r>
          </w:p>
        </w:tc>
      </w:tr>
      <w:tr w:rsidR="00372D21" w:rsidRPr="00372D21" w14:paraId="2B770B06" w14:textId="77777777" w:rsidTr="00D33B2B">
        <w:trPr>
          <w:trHeight w:val="386"/>
          <w:jc w:val="center"/>
        </w:trPr>
        <w:tc>
          <w:tcPr>
            <w:tcW w:w="2705" w:type="dxa"/>
            <w:shd w:val="clear" w:color="auto" w:fill="auto"/>
            <w:vAlign w:val="center"/>
          </w:tcPr>
          <w:p w14:paraId="05334221" w14:textId="4D96F294" w:rsidR="00372D21" w:rsidRPr="00372D21" w:rsidRDefault="00372D21" w:rsidP="00E05CC8">
            <w:pPr>
              <w:rPr>
                <w:rFonts w:cstheme="minorHAnsi"/>
                <w:sz w:val="24"/>
                <w:szCs w:val="24"/>
              </w:rPr>
            </w:pPr>
            <w:r w:rsidRPr="00372D21">
              <w:rPr>
                <w:rFonts w:cstheme="minorHAnsi"/>
                <w:sz w:val="24"/>
                <w:szCs w:val="24"/>
              </w:rPr>
              <w:t>Unique Patients Served</w:t>
            </w:r>
          </w:p>
        </w:tc>
        <w:tc>
          <w:tcPr>
            <w:tcW w:w="1145" w:type="dxa"/>
            <w:shd w:val="clear" w:color="auto" w:fill="auto"/>
            <w:vAlign w:val="center"/>
          </w:tcPr>
          <w:p w14:paraId="3A0149C6" w14:textId="6E76C7B0" w:rsidR="00372D21" w:rsidRPr="00372D21" w:rsidRDefault="00372D21" w:rsidP="00E05CC8">
            <w:pPr>
              <w:jc w:val="center"/>
              <w:rPr>
                <w:rFonts w:cstheme="minorHAnsi"/>
                <w:bCs/>
                <w:sz w:val="24"/>
                <w:szCs w:val="24"/>
              </w:rPr>
            </w:pPr>
            <w:r>
              <w:rPr>
                <w:rFonts w:cstheme="minorHAnsi"/>
                <w:bCs/>
                <w:sz w:val="24"/>
                <w:szCs w:val="24"/>
              </w:rPr>
              <w:t>87</w:t>
            </w:r>
          </w:p>
        </w:tc>
        <w:tc>
          <w:tcPr>
            <w:tcW w:w="1015" w:type="dxa"/>
            <w:shd w:val="clear" w:color="auto" w:fill="auto"/>
            <w:vAlign w:val="center"/>
          </w:tcPr>
          <w:p w14:paraId="3D92A121" w14:textId="64F42DD6" w:rsidR="00372D21" w:rsidRPr="00372D21" w:rsidRDefault="00372D21" w:rsidP="00E05CC8">
            <w:pPr>
              <w:jc w:val="center"/>
              <w:rPr>
                <w:rFonts w:cstheme="minorHAnsi"/>
                <w:bCs/>
                <w:sz w:val="24"/>
                <w:szCs w:val="24"/>
              </w:rPr>
            </w:pPr>
            <w:r>
              <w:rPr>
                <w:rFonts w:cstheme="minorHAnsi"/>
                <w:bCs/>
                <w:sz w:val="24"/>
                <w:szCs w:val="24"/>
              </w:rPr>
              <w:t>75</w:t>
            </w:r>
          </w:p>
        </w:tc>
        <w:tc>
          <w:tcPr>
            <w:tcW w:w="1080" w:type="dxa"/>
            <w:shd w:val="clear" w:color="auto" w:fill="auto"/>
            <w:vAlign w:val="center"/>
          </w:tcPr>
          <w:p w14:paraId="4A1F3D14" w14:textId="389E0B3D" w:rsidR="00372D21" w:rsidRPr="00372D21" w:rsidRDefault="00372D21" w:rsidP="00E05CC8">
            <w:pPr>
              <w:jc w:val="center"/>
              <w:rPr>
                <w:rFonts w:cstheme="minorHAnsi"/>
                <w:bCs/>
                <w:sz w:val="24"/>
                <w:szCs w:val="24"/>
              </w:rPr>
            </w:pPr>
            <w:r>
              <w:rPr>
                <w:rFonts w:cstheme="minorHAnsi"/>
                <w:bCs/>
                <w:sz w:val="24"/>
                <w:szCs w:val="24"/>
              </w:rPr>
              <w:t>65</w:t>
            </w:r>
          </w:p>
        </w:tc>
      </w:tr>
    </w:tbl>
    <w:p w14:paraId="3A6CD25F" w14:textId="7BCF4838" w:rsidR="00372D21" w:rsidRDefault="00372D21" w:rsidP="008E0C28">
      <w:pPr>
        <w:spacing w:line="240" w:lineRule="auto"/>
        <w:rPr>
          <w:rFonts w:cstheme="minorHAnsi"/>
          <w:sz w:val="24"/>
          <w:szCs w:val="24"/>
        </w:rPr>
      </w:pPr>
    </w:p>
    <w:p w14:paraId="75ADDD9F" w14:textId="778F6C60" w:rsidR="00A42E65" w:rsidRPr="00736B30" w:rsidRDefault="00372D21" w:rsidP="00736B30">
      <w:pPr>
        <w:spacing w:line="240" w:lineRule="auto"/>
        <w:rPr>
          <w:rFonts w:cstheme="minorHAnsi"/>
          <w:sz w:val="24"/>
          <w:szCs w:val="24"/>
        </w:rPr>
      </w:pPr>
      <w:r w:rsidRPr="00736B30">
        <w:rPr>
          <w:rFonts w:cstheme="minorHAnsi"/>
          <w:sz w:val="24"/>
          <w:szCs w:val="24"/>
        </w:rPr>
        <w:t xml:space="preserve">As of October 2022, </w:t>
      </w:r>
      <w:r w:rsidR="00AA6ECB">
        <w:rPr>
          <w:rFonts w:cstheme="minorHAnsi"/>
          <w:sz w:val="24"/>
          <w:szCs w:val="24"/>
        </w:rPr>
        <w:t xml:space="preserve">the </w:t>
      </w:r>
      <w:r w:rsidRPr="00736B30">
        <w:rPr>
          <w:rFonts w:cstheme="minorHAnsi"/>
          <w:sz w:val="24"/>
          <w:szCs w:val="24"/>
        </w:rPr>
        <w:t>census consist</w:t>
      </w:r>
      <w:r w:rsidR="00303A44" w:rsidRPr="00736B30">
        <w:rPr>
          <w:rFonts w:cstheme="minorHAnsi"/>
          <w:sz w:val="24"/>
          <w:szCs w:val="24"/>
        </w:rPr>
        <w:t>ed</w:t>
      </w:r>
      <w:r w:rsidRPr="00736B30">
        <w:rPr>
          <w:rFonts w:cstheme="minorHAnsi"/>
          <w:sz w:val="24"/>
          <w:szCs w:val="24"/>
        </w:rPr>
        <w:t xml:space="preserve"> of 30 residents. </w:t>
      </w:r>
      <w:r w:rsidR="00D21DA3" w:rsidRPr="00736B30">
        <w:rPr>
          <w:rFonts w:cstheme="minorHAnsi"/>
          <w:sz w:val="24"/>
          <w:szCs w:val="24"/>
        </w:rPr>
        <w:t>Pati</w:t>
      </w:r>
      <w:r w:rsidR="00F16569" w:rsidRPr="00736B30">
        <w:rPr>
          <w:rFonts w:cstheme="minorHAnsi"/>
          <w:sz w:val="24"/>
          <w:szCs w:val="24"/>
        </w:rPr>
        <w:t>ent Panel</w:t>
      </w:r>
      <w:r w:rsidR="00D21DA3" w:rsidRPr="00736B30">
        <w:rPr>
          <w:rFonts w:cstheme="minorHAnsi"/>
          <w:sz w:val="24"/>
          <w:szCs w:val="24"/>
        </w:rPr>
        <w:t xml:space="preserve"> historical</w:t>
      </w:r>
      <w:r w:rsidR="00F16569" w:rsidRPr="00736B30">
        <w:rPr>
          <w:rFonts w:cstheme="minorHAnsi"/>
          <w:sz w:val="24"/>
          <w:szCs w:val="24"/>
        </w:rPr>
        <w:t xml:space="preserve"> </w:t>
      </w:r>
      <w:r w:rsidR="00730574" w:rsidRPr="00736B30">
        <w:rPr>
          <w:rFonts w:cstheme="minorHAnsi"/>
          <w:sz w:val="24"/>
          <w:szCs w:val="24"/>
        </w:rPr>
        <w:t>demographic</w:t>
      </w:r>
      <w:r w:rsidR="00427EE5" w:rsidRPr="00736B30">
        <w:rPr>
          <w:rFonts w:cstheme="minorHAnsi"/>
          <w:sz w:val="24"/>
          <w:szCs w:val="24"/>
        </w:rPr>
        <w:t xml:space="preserve"> information</w:t>
      </w:r>
      <w:r w:rsidR="00D21DA3" w:rsidRPr="00736B30">
        <w:rPr>
          <w:rFonts w:cstheme="minorHAnsi"/>
          <w:sz w:val="24"/>
          <w:szCs w:val="24"/>
        </w:rPr>
        <w:t xml:space="preserve"> is presented below</w:t>
      </w:r>
      <w:r w:rsidR="00F16569" w:rsidRPr="00736B30">
        <w:rPr>
          <w:rFonts w:cstheme="minorHAnsi"/>
          <w:sz w:val="24"/>
          <w:szCs w:val="24"/>
        </w:rPr>
        <w:t>.</w:t>
      </w:r>
      <w:r w:rsidR="00A42E65" w:rsidRPr="00736B30">
        <w:rPr>
          <w:rFonts w:cstheme="minorHAnsi"/>
          <w:sz w:val="24"/>
          <w:szCs w:val="24"/>
          <w:vertAlign w:val="superscript"/>
        </w:rPr>
        <w:footnoteReference w:id="6"/>
      </w:r>
    </w:p>
    <w:p w14:paraId="36818085" w14:textId="22B9F182" w:rsidR="004F728B" w:rsidRPr="00736B30" w:rsidRDefault="004F728B" w:rsidP="00731ABF">
      <w:pPr>
        <w:spacing w:after="0" w:line="276" w:lineRule="auto"/>
        <w:rPr>
          <w:rFonts w:cstheme="minorHAnsi"/>
          <w:sz w:val="24"/>
          <w:szCs w:val="24"/>
        </w:rPr>
      </w:pPr>
      <w:r w:rsidRPr="00736B30">
        <w:rPr>
          <w:rFonts w:cstheme="minorHAnsi"/>
          <w:b/>
          <w:bCs/>
          <w:sz w:val="24"/>
          <w:szCs w:val="24"/>
        </w:rPr>
        <w:t>Gender:</w:t>
      </w:r>
      <w:r w:rsidRPr="00736B30">
        <w:rPr>
          <w:rFonts w:cstheme="minorHAnsi"/>
          <w:sz w:val="24"/>
          <w:szCs w:val="24"/>
        </w:rPr>
        <w:t xml:space="preserve"> </w:t>
      </w:r>
      <w:r w:rsidR="00730574" w:rsidRPr="00736B30">
        <w:rPr>
          <w:rFonts w:cstheme="minorHAnsi"/>
          <w:sz w:val="24"/>
          <w:szCs w:val="24"/>
        </w:rPr>
        <w:t xml:space="preserve">The majority of </w:t>
      </w:r>
      <w:r w:rsidR="00A37EE9">
        <w:rPr>
          <w:rFonts w:cstheme="minorHAnsi"/>
          <w:sz w:val="24"/>
          <w:szCs w:val="24"/>
        </w:rPr>
        <w:t xml:space="preserve">the </w:t>
      </w:r>
      <w:r w:rsidR="00A37EE9" w:rsidRPr="00736B30">
        <w:rPr>
          <w:rFonts w:cstheme="minorHAnsi"/>
          <w:sz w:val="24"/>
          <w:szCs w:val="24"/>
        </w:rPr>
        <w:t xml:space="preserve">Patient Panel </w:t>
      </w:r>
      <w:r w:rsidR="00730574" w:rsidRPr="00736B30">
        <w:rPr>
          <w:rFonts w:cstheme="minorHAnsi"/>
          <w:sz w:val="24"/>
          <w:szCs w:val="24"/>
        </w:rPr>
        <w:t xml:space="preserve">is female (87% in FY21). </w:t>
      </w:r>
    </w:p>
    <w:p w14:paraId="102E22EF" w14:textId="6BBDEDEA" w:rsidR="004F728B" w:rsidRPr="00736B30" w:rsidRDefault="004F728B" w:rsidP="00731ABF">
      <w:pPr>
        <w:spacing w:after="0" w:line="276" w:lineRule="auto"/>
        <w:rPr>
          <w:rFonts w:cstheme="minorHAnsi"/>
          <w:sz w:val="24"/>
          <w:szCs w:val="24"/>
        </w:rPr>
      </w:pPr>
      <w:r w:rsidRPr="00736B30">
        <w:rPr>
          <w:rFonts w:cstheme="minorHAnsi"/>
          <w:b/>
          <w:bCs/>
          <w:sz w:val="24"/>
          <w:szCs w:val="24"/>
        </w:rPr>
        <w:t>Age:</w:t>
      </w:r>
      <w:r w:rsidRPr="00736B30">
        <w:rPr>
          <w:rFonts w:cstheme="minorHAnsi"/>
          <w:sz w:val="24"/>
          <w:szCs w:val="24"/>
        </w:rPr>
        <w:t xml:space="preserve"> The </w:t>
      </w:r>
      <w:r w:rsidR="00730574" w:rsidRPr="00736B30">
        <w:rPr>
          <w:rFonts w:cstheme="minorHAnsi"/>
          <w:sz w:val="24"/>
          <w:szCs w:val="24"/>
        </w:rPr>
        <w:t xml:space="preserve">majority </w:t>
      </w:r>
      <w:r w:rsidR="00A37EE9">
        <w:rPr>
          <w:rFonts w:cstheme="minorHAnsi"/>
          <w:sz w:val="24"/>
          <w:szCs w:val="24"/>
        </w:rPr>
        <w:t>is</w:t>
      </w:r>
      <w:r w:rsidR="00730574" w:rsidRPr="00736B30">
        <w:rPr>
          <w:rFonts w:cstheme="minorHAnsi"/>
          <w:sz w:val="24"/>
          <w:szCs w:val="24"/>
        </w:rPr>
        <w:t xml:space="preserve"> over the age of 65 (98% in FY21). </w:t>
      </w:r>
    </w:p>
    <w:p w14:paraId="6576A702" w14:textId="46132662" w:rsidR="004F728B" w:rsidRPr="00736B30" w:rsidRDefault="004F728B" w:rsidP="00731ABF">
      <w:pPr>
        <w:spacing w:after="0" w:line="276" w:lineRule="auto"/>
        <w:rPr>
          <w:rFonts w:cstheme="minorHAnsi"/>
          <w:sz w:val="24"/>
          <w:szCs w:val="24"/>
        </w:rPr>
      </w:pPr>
      <w:r w:rsidRPr="00736B30">
        <w:rPr>
          <w:rFonts w:cstheme="minorHAnsi"/>
          <w:b/>
          <w:bCs/>
          <w:sz w:val="24"/>
          <w:szCs w:val="24"/>
        </w:rPr>
        <w:t>Patient Origin:</w:t>
      </w:r>
      <w:r w:rsidRPr="00736B30">
        <w:rPr>
          <w:rFonts w:cstheme="minorHAnsi"/>
          <w:sz w:val="24"/>
          <w:szCs w:val="24"/>
        </w:rPr>
        <w:t xml:space="preserve"> </w:t>
      </w:r>
      <w:r w:rsidR="00730574" w:rsidRPr="00736B30">
        <w:rPr>
          <w:rFonts w:cstheme="minorHAnsi"/>
          <w:sz w:val="24"/>
          <w:szCs w:val="24"/>
        </w:rPr>
        <w:t xml:space="preserve">The majority originates in Dukes County (89% in FY21). </w:t>
      </w:r>
    </w:p>
    <w:p w14:paraId="3F7D13C9" w14:textId="7764F3DD" w:rsidR="004F728B" w:rsidRDefault="004F728B" w:rsidP="00731ABF">
      <w:pPr>
        <w:spacing w:after="0" w:line="276" w:lineRule="auto"/>
        <w:rPr>
          <w:rFonts w:cstheme="minorHAnsi"/>
          <w:sz w:val="24"/>
          <w:szCs w:val="24"/>
        </w:rPr>
      </w:pPr>
      <w:r w:rsidRPr="00736B30">
        <w:rPr>
          <w:rFonts w:cstheme="minorHAnsi"/>
          <w:b/>
          <w:bCs/>
          <w:sz w:val="24"/>
          <w:szCs w:val="24"/>
        </w:rPr>
        <w:t xml:space="preserve">Race: </w:t>
      </w:r>
      <w:r w:rsidR="008E0C28" w:rsidRPr="00736B30">
        <w:rPr>
          <w:rFonts w:cstheme="minorHAnsi"/>
          <w:sz w:val="24"/>
          <w:szCs w:val="24"/>
        </w:rPr>
        <w:t xml:space="preserve">The </w:t>
      </w:r>
      <w:r w:rsidR="00AF7F12" w:rsidRPr="00736B30">
        <w:rPr>
          <w:rFonts w:cstheme="minorHAnsi"/>
          <w:sz w:val="24"/>
          <w:szCs w:val="24"/>
        </w:rPr>
        <w:t xml:space="preserve">Patient Panel </w:t>
      </w:r>
      <w:r w:rsidRPr="00736B30">
        <w:rPr>
          <w:rFonts w:cstheme="minorHAnsi"/>
          <w:sz w:val="24"/>
          <w:szCs w:val="24"/>
        </w:rPr>
        <w:t>is predominately White</w:t>
      </w:r>
      <w:r w:rsidR="00A42E65" w:rsidRPr="00736B30">
        <w:rPr>
          <w:rFonts w:cstheme="minorHAnsi"/>
          <w:sz w:val="24"/>
          <w:szCs w:val="24"/>
        </w:rPr>
        <w:t xml:space="preserve"> (~90%)</w:t>
      </w:r>
      <w:r w:rsidRPr="00736B30">
        <w:rPr>
          <w:rFonts w:cstheme="minorHAnsi"/>
          <w:sz w:val="24"/>
          <w:szCs w:val="24"/>
        </w:rPr>
        <w:t>.</w:t>
      </w:r>
      <w:r w:rsidRPr="00736B30">
        <w:rPr>
          <w:rFonts w:cstheme="minorHAnsi"/>
          <w:sz w:val="24"/>
          <w:szCs w:val="24"/>
          <w:vertAlign w:val="superscript"/>
        </w:rPr>
        <w:footnoteReference w:id="7"/>
      </w:r>
    </w:p>
    <w:p w14:paraId="4944F2E3" w14:textId="77777777" w:rsidR="006A1FA7" w:rsidRDefault="008F61D7" w:rsidP="006A1FA7">
      <w:pPr>
        <w:spacing w:after="0" w:line="240" w:lineRule="auto"/>
        <w:rPr>
          <w:rFonts w:cstheme="minorHAnsi"/>
          <w:sz w:val="24"/>
          <w:szCs w:val="24"/>
        </w:rPr>
      </w:pPr>
      <w:r w:rsidRPr="00736B30">
        <w:rPr>
          <w:rFonts w:cstheme="minorHAnsi"/>
          <w:b/>
          <w:bCs/>
          <w:sz w:val="24"/>
          <w:szCs w:val="24"/>
        </w:rPr>
        <w:t>Diagnosis/ Activity Levels:</w:t>
      </w:r>
      <w:r w:rsidRPr="00736B30">
        <w:rPr>
          <w:rFonts w:cstheme="minorHAnsi"/>
          <w:sz w:val="24"/>
          <w:szCs w:val="24"/>
        </w:rPr>
        <w:t xml:space="preserve"> All individuals in </w:t>
      </w:r>
      <w:r w:rsidR="00865496">
        <w:rPr>
          <w:rFonts w:cstheme="minorHAnsi"/>
          <w:sz w:val="24"/>
          <w:szCs w:val="24"/>
        </w:rPr>
        <w:t xml:space="preserve">the </w:t>
      </w:r>
      <w:r w:rsidR="00AF7F12" w:rsidRPr="00736B30">
        <w:rPr>
          <w:rFonts w:cstheme="minorHAnsi"/>
          <w:sz w:val="24"/>
          <w:szCs w:val="24"/>
        </w:rPr>
        <w:t xml:space="preserve">Patient Panel </w:t>
      </w:r>
      <w:r w:rsidRPr="00736B30">
        <w:rPr>
          <w:rFonts w:cstheme="minorHAnsi"/>
          <w:sz w:val="24"/>
          <w:szCs w:val="24"/>
        </w:rPr>
        <w:t xml:space="preserve">have activities of daily living (ADL) needs. As of October 2022, half of </w:t>
      </w:r>
      <w:r w:rsidR="00D73D3A">
        <w:rPr>
          <w:rFonts w:cstheme="minorHAnsi"/>
          <w:sz w:val="24"/>
          <w:szCs w:val="24"/>
        </w:rPr>
        <w:t xml:space="preserve">the </w:t>
      </w:r>
      <w:r w:rsidRPr="00736B30">
        <w:rPr>
          <w:rFonts w:cstheme="minorHAnsi"/>
          <w:sz w:val="24"/>
          <w:szCs w:val="24"/>
        </w:rPr>
        <w:t xml:space="preserve">30 residents have a diagnosis of dementia. </w:t>
      </w:r>
    </w:p>
    <w:p w14:paraId="281D348C" w14:textId="7D26818D" w:rsidR="008E0C28" w:rsidRPr="00736B30" w:rsidRDefault="008E0C28" w:rsidP="00736B30">
      <w:pPr>
        <w:spacing w:line="240" w:lineRule="auto"/>
        <w:rPr>
          <w:rFonts w:cstheme="minorHAnsi"/>
          <w:sz w:val="24"/>
          <w:szCs w:val="24"/>
        </w:rPr>
      </w:pPr>
      <w:r w:rsidRPr="00736B30">
        <w:rPr>
          <w:rFonts w:cstheme="minorHAnsi"/>
          <w:b/>
          <w:bCs/>
          <w:sz w:val="24"/>
          <w:szCs w:val="24"/>
        </w:rPr>
        <w:t>Pay</w:t>
      </w:r>
      <w:r w:rsidR="00B91018" w:rsidRPr="00736B30">
        <w:rPr>
          <w:rFonts w:cstheme="minorHAnsi"/>
          <w:b/>
          <w:bCs/>
          <w:sz w:val="24"/>
          <w:szCs w:val="24"/>
        </w:rPr>
        <w:t>e</w:t>
      </w:r>
      <w:r w:rsidRPr="00736B30">
        <w:rPr>
          <w:rFonts w:cstheme="minorHAnsi"/>
          <w:b/>
          <w:bCs/>
          <w:sz w:val="24"/>
          <w:szCs w:val="24"/>
        </w:rPr>
        <w:t>r Mix:</w:t>
      </w:r>
      <w:r w:rsidRPr="00736B30">
        <w:rPr>
          <w:rFonts w:cstheme="minorHAnsi"/>
          <w:sz w:val="24"/>
          <w:szCs w:val="24"/>
        </w:rPr>
        <w:t xml:space="preserve"> </w:t>
      </w:r>
      <w:bookmarkStart w:id="3" w:name="_Hlk57909555"/>
      <w:r w:rsidR="00FE72F8">
        <w:rPr>
          <w:rFonts w:cstheme="minorHAnsi"/>
          <w:sz w:val="24"/>
          <w:szCs w:val="24"/>
        </w:rPr>
        <w:t>T</w:t>
      </w:r>
      <w:r w:rsidR="008F61D7" w:rsidRPr="00736B30">
        <w:rPr>
          <w:rFonts w:cstheme="minorHAnsi"/>
          <w:sz w:val="24"/>
          <w:szCs w:val="24"/>
        </w:rPr>
        <w:t xml:space="preserve">he last four years shows fluctuation among the various payers.  </w:t>
      </w:r>
      <w:r w:rsidR="00EB4A52" w:rsidRPr="00736B30">
        <w:rPr>
          <w:rFonts w:cstheme="minorHAnsi"/>
          <w:sz w:val="24"/>
          <w:szCs w:val="24"/>
        </w:rPr>
        <w:t>Table 2 shows that w</w:t>
      </w:r>
      <w:r w:rsidR="005922BA" w:rsidRPr="00736B30">
        <w:rPr>
          <w:rFonts w:cstheme="minorHAnsi"/>
          <w:sz w:val="24"/>
          <w:szCs w:val="24"/>
        </w:rPr>
        <w:t>hile</w:t>
      </w:r>
      <w:r w:rsidR="008F61D7" w:rsidRPr="00736B30">
        <w:rPr>
          <w:rFonts w:cstheme="minorHAnsi"/>
          <w:sz w:val="24"/>
          <w:szCs w:val="24"/>
        </w:rPr>
        <w:t xml:space="preserve"> Medicaid fee for service (FFS) </w:t>
      </w:r>
      <w:r w:rsidR="005922BA" w:rsidRPr="00736B30">
        <w:rPr>
          <w:rFonts w:cstheme="minorHAnsi"/>
          <w:sz w:val="24"/>
          <w:szCs w:val="24"/>
        </w:rPr>
        <w:t xml:space="preserve">has </w:t>
      </w:r>
      <w:r w:rsidR="008F61D7" w:rsidRPr="00736B30">
        <w:rPr>
          <w:rFonts w:cstheme="minorHAnsi"/>
          <w:sz w:val="24"/>
          <w:szCs w:val="24"/>
        </w:rPr>
        <w:t>rang</w:t>
      </w:r>
      <w:r w:rsidR="005922BA" w:rsidRPr="00736B30">
        <w:rPr>
          <w:rFonts w:cstheme="minorHAnsi"/>
          <w:sz w:val="24"/>
          <w:szCs w:val="24"/>
        </w:rPr>
        <w:t>ed</w:t>
      </w:r>
      <w:r w:rsidR="008F61D7" w:rsidRPr="00736B30">
        <w:rPr>
          <w:rFonts w:cstheme="minorHAnsi"/>
          <w:sz w:val="24"/>
          <w:szCs w:val="24"/>
        </w:rPr>
        <w:t xml:space="preserve"> from 81-89% and private pay from 10-18%</w:t>
      </w:r>
      <w:bookmarkEnd w:id="3"/>
      <w:r w:rsidR="005922BA" w:rsidRPr="00736B30">
        <w:rPr>
          <w:rFonts w:cstheme="minorHAnsi"/>
          <w:sz w:val="24"/>
          <w:szCs w:val="24"/>
        </w:rPr>
        <w:t>, Medicare has shifted from 1-3% over the reporting period.</w:t>
      </w:r>
    </w:p>
    <w:p w14:paraId="2A28E044" w14:textId="1F372CFA" w:rsidR="00EB4A52" w:rsidRPr="00B91018" w:rsidRDefault="00B91018" w:rsidP="00B91018">
      <w:pPr>
        <w:spacing w:line="240" w:lineRule="auto"/>
        <w:jc w:val="center"/>
        <w:rPr>
          <w:rFonts w:cstheme="minorHAnsi"/>
          <w:b/>
          <w:bCs/>
          <w:sz w:val="24"/>
          <w:szCs w:val="24"/>
        </w:rPr>
      </w:pPr>
      <w:r w:rsidRPr="00B91018">
        <w:rPr>
          <w:rFonts w:cstheme="minorHAnsi"/>
          <w:b/>
          <w:bCs/>
          <w:sz w:val="24"/>
          <w:szCs w:val="24"/>
        </w:rPr>
        <w:t>Table 2: Pay</w:t>
      </w:r>
      <w:r>
        <w:rPr>
          <w:rFonts w:cstheme="minorHAnsi"/>
          <w:b/>
          <w:bCs/>
          <w:sz w:val="24"/>
          <w:szCs w:val="24"/>
        </w:rPr>
        <w:t>e</w:t>
      </w:r>
      <w:r w:rsidRPr="00B91018">
        <w:rPr>
          <w:rFonts w:cstheme="minorHAnsi"/>
          <w:b/>
          <w:bCs/>
          <w:sz w:val="24"/>
          <w:szCs w:val="24"/>
        </w:rPr>
        <w:t>r Mix FY 2019-2022</w:t>
      </w:r>
    </w:p>
    <w:tbl>
      <w:tblPr>
        <w:tblStyle w:val="TableGrid"/>
        <w:tblW w:w="9660" w:type="dxa"/>
        <w:tblInd w:w="-5" w:type="dxa"/>
        <w:tblLayout w:type="fixed"/>
        <w:tblLook w:val="04A0" w:firstRow="1" w:lastRow="0" w:firstColumn="1" w:lastColumn="0" w:noHBand="0" w:noVBand="1"/>
      </w:tblPr>
      <w:tblGrid>
        <w:gridCol w:w="3420"/>
        <w:gridCol w:w="1560"/>
        <w:gridCol w:w="1560"/>
        <w:gridCol w:w="1560"/>
        <w:gridCol w:w="1560"/>
      </w:tblGrid>
      <w:tr w:rsidR="008F61D7" w:rsidRPr="00ED3DBB" w14:paraId="7169D59D" w14:textId="77777777" w:rsidTr="00D800F6">
        <w:trPr>
          <w:cantSplit/>
          <w:trHeight w:val="161"/>
          <w:tblHeader/>
        </w:trPr>
        <w:tc>
          <w:tcPr>
            <w:tcW w:w="3420" w:type="dxa"/>
            <w:shd w:val="clear" w:color="auto" w:fill="E7FAFF"/>
            <w:vAlign w:val="center"/>
          </w:tcPr>
          <w:p w14:paraId="724C1A4D" w14:textId="13D9A44B" w:rsidR="008F61D7" w:rsidRPr="00ED3DBB" w:rsidRDefault="00B91018" w:rsidP="008F61D7">
            <w:pPr>
              <w:rPr>
                <w:b/>
                <w:bCs/>
                <w:sz w:val="24"/>
                <w:szCs w:val="24"/>
              </w:rPr>
            </w:pPr>
            <w:r w:rsidRPr="00ED3DBB">
              <w:rPr>
                <w:b/>
                <w:bCs/>
                <w:sz w:val="24"/>
                <w:szCs w:val="24"/>
              </w:rPr>
              <w:t>Payer</w:t>
            </w:r>
          </w:p>
        </w:tc>
        <w:tc>
          <w:tcPr>
            <w:tcW w:w="1560" w:type="dxa"/>
            <w:shd w:val="clear" w:color="auto" w:fill="E7FAFF"/>
            <w:vAlign w:val="center"/>
          </w:tcPr>
          <w:p w14:paraId="6C99E638" w14:textId="77777777" w:rsidR="008F61D7" w:rsidRPr="00ED3DBB" w:rsidRDefault="008F61D7" w:rsidP="008F61D7">
            <w:pPr>
              <w:jc w:val="center"/>
              <w:rPr>
                <w:b/>
                <w:bCs/>
                <w:sz w:val="24"/>
                <w:szCs w:val="24"/>
              </w:rPr>
            </w:pPr>
            <w:r w:rsidRPr="00ED3DBB">
              <w:rPr>
                <w:b/>
                <w:bCs/>
                <w:sz w:val="24"/>
                <w:szCs w:val="24"/>
              </w:rPr>
              <w:t>FY19</w:t>
            </w:r>
          </w:p>
        </w:tc>
        <w:tc>
          <w:tcPr>
            <w:tcW w:w="1560" w:type="dxa"/>
            <w:shd w:val="clear" w:color="auto" w:fill="E7FAFF"/>
            <w:vAlign w:val="center"/>
          </w:tcPr>
          <w:p w14:paraId="6721E20F" w14:textId="77777777" w:rsidR="008F61D7" w:rsidRPr="00ED3DBB" w:rsidRDefault="008F61D7" w:rsidP="008F61D7">
            <w:pPr>
              <w:jc w:val="center"/>
              <w:rPr>
                <w:b/>
                <w:bCs/>
                <w:sz w:val="24"/>
                <w:szCs w:val="24"/>
              </w:rPr>
            </w:pPr>
            <w:r w:rsidRPr="00ED3DBB">
              <w:rPr>
                <w:b/>
                <w:bCs/>
                <w:sz w:val="24"/>
                <w:szCs w:val="24"/>
              </w:rPr>
              <w:t>FY20</w:t>
            </w:r>
          </w:p>
        </w:tc>
        <w:tc>
          <w:tcPr>
            <w:tcW w:w="1560" w:type="dxa"/>
            <w:shd w:val="clear" w:color="auto" w:fill="E7FAFF"/>
            <w:vAlign w:val="center"/>
          </w:tcPr>
          <w:p w14:paraId="19EA530F" w14:textId="77777777" w:rsidR="008F61D7" w:rsidRPr="00ED3DBB" w:rsidRDefault="008F61D7" w:rsidP="008F61D7">
            <w:pPr>
              <w:jc w:val="center"/>
              <w:rPr>
                <w:b/>
                <w:bCs/>
                <w:sz w:val="24"/>
                <w:szCs w:val="24"/>
              </w:rPr>
            </w:pPr>
            <w:r w:rsidRPr="00ED3DBB">
              <w:rPr>
                <w:b/>
                <w:bCs/>
                <w:sz w:val="24"/>
                <w:szCs w:val="24"/>
              </w:rPr>
              <w:t>FY21</w:t>
            </w:r>
          </w:p>
        </w:tc>
        <w:tc>
          <w:tcPr>
            <w:tcW w:w="1560" w:type="dxa"/>
            <w:shd w:val="clear" w:color="auto" w:fill="E7FAFF"/>
          </w:tcPr>
          <w:p w14:paraId="4D8138B8" w14:textId="77777777" w:rsidR="008F61D7" w:rsidRPr="00ED3DBB" w:rsidRDefault="008F61D7" w:rsidP="008F61D7">
            <w:pPr>
              <w:jc w:val="center"/>
              <w:rPr>
                <w:b/>
                <w:bCs/>
                <w:sz w:val="24"/>
                <w:szCs w:val="24"/>
              </w:rPr>
            </w:pPr>
            <w:r w:rsidRPr="00ED3DBB">
              <w:rPr>
                <w:b/>
                <w:bCs/>
                <w:sz w:val="24"/>
                <w:szCs w:val="24"/>
              </w:rPr>
              <w:t>FY22</w:t>
            </w:r>
          </w:p>
        </w:tc>
      </w:tr>
      <w:tr w:rsidR="008F61D7" w:rsidRPr="00ED3DBB" w14:paraId="7EE303D4" w14:textId="77777777" w:rsidTr="00D800F6">
        <w:trPr>
          <w:cantSplit/>
        </w:trPr>
        <w:tc>
          <w:tcPr>
            <w:tcW w:w="3420" w:type="dxa"/>
            <w:vAlign w:val="center"/>
          </w:tcPr>
          <w:p w14:paraId="74445987" w14:textId="77777777" w:rsidR="008F61D7" w:rsidRPr="00ED3DBB" w:rsidRDefault="008F61D7" w:rsidP="008F61D7">
            <w:pPr>
              <w:contextualSpacing/>
              <w:rPr>
                <w:b/>
                <w:bCs/>
                <w:sz w:val="24"/>
                <w:szCs w:val="24"/>
              </w:rPr>
            </w:pPr>
            <w:r w:rsidRPr="00ED3DBB">
              <w:rPr>
                <w:b/>
                <w:bCs/>
                <w:sz w:val="24"/>
                <w:szCs w:val="24"/>
              </w:rPr>
              <w:t>Medicare FFS</w:t>
            </w:r>
          </w:p>
        </w:tc>
        <w:tc>
          <w:tcPr>
            <w:tcW w:w="1560" w:type="dxa"/>
            <w:vAlign w:val="center"/>
          </w:tcPr>
          <w:p w14:paraId="7D2B7F4F" w14:textId="77777777" w:rsidR="008F61D7" w:rsidRPr="00ED3DBB" w:rsidRDefault="008F61D7" w:rsidP="00DF07C0">
            <w:pPr>
              <w:contextualSpacing/>
              <w:jc w:val="right"/>
              <w:rPr>
                <w:sz w:val="24"/>
                <w:szCs w:val="24"/>
              </w:rPr>
            </w:pPr>
            <w:r w:rsidRPr="00ED3DBB">
              <w:rPr>
                <w:sz w:val="24"/>
                <w:szCs w:val="24"/>
              </w:rPr>
              <w:t>3%</w:t>
            </w:r>
          </w:p>
        </w:tc>
        <w:tc>
          <w:tcPr>
            <w:tcW w:w="1560" w:type="dxa"/>
            <w:vAlign w:val="center"/>
          </w:tcPr>
          <w:p w14:paraId="08BFEFDD" w14:textId="77777777" w:rsidR="008F61D7" w:rsidRPr="00ED3DBB" w:rsidRDefault="008F61D7" w:rsidP="00DF07C0">
            <w:pPr>
              <w:contextualSpacing/>
              <w:jc w:val="right"/>
              <w:rPr>
                <w:sz w:val="24"/>
                <w:szCs w:val="24"/>
              </w:rPr>
            </w:pPr>
            <w:r w:rsidRPr="00ED3DBB">
              <w:rPr>
                <w:sz w:val="24"/>
                <w:szCs w:val="24"/>
              </w:rPr>
              <w:t>1%</w:t>
            </w:r>
          </w:p>
        </w:tc>
        <w:tc>
          <w:tcPr>
            <w:tcW w:w="1560" w:type="dxa"/>
            <w:vAlign w:val="center"/>
          </w:tcPr>
          <w:p w14:paraId="4661B5FF" w14:textId="77777777" w:rsidR="008F61D7" w:rsidRPr="00ED3DBB" w:rsidRDefault="008F61D7" w:rsidP="00DF07C0">
            <w:pPr>
              <w:contextualSpacing/>
              <w:jc w:val="right"/>
              <w:rPr>
                <w:sz w:val="24"/>
                <w:szCs w:val="24"/>
              </w:rPr>
            </w:pPr>
            <w:r w:rsidRPr="00ED3DBB">
              <w:rPr>
                <w:sz w:val="24"/>
                <w:szCs w:val="24"/>
              </w:rPr>
              <w:t>1%</w:t>
            </w:r>
          </w:p>
        </w:tc>
        <w:tc>
          <w:tcPr>
            <w:tcW w:w="1560" w:type="dxa"/>
          </w:tcPr>
          <w:p w14:paraId="2D8FC0C5" w14:textId="77777777" w:rsidR="008F61D7" w:rsidRPr="00ED3DBB" w:rsidRDefault="008F61D7" w:rsidP="00DF07C0">
            <w:pPr>
              <w:contextualSpacing/>
              <w:jc w:val="right"/>
              <w:rPr>
                <w:sz w:val="24"/>
                <w:szCs w:val="24"/>
              </w:rPr>
            </w:pPr>
            <w:r w:rsidRPr="00ED3DBB">
              <w:rPr>
                <w:sz w:val="24"/>
                <w:szCs w:val="24"/>
              </w:rPr>
              <w:t>2%</w:t>
            </w:r>
          </w:p>
        </w:tc>
      </w:tr>
      <w:tr w:rsidR="008F61D7" w:rsidRPr="00ED3DBB" w14:paraId="3D9A8B42" w14:textId="77777777" w:rsidTr="00D800F6">
        <w:trPr>
          <w:cantSplit/>
        </w:trPr>
        <w:tc>
          <w:tcPr>
            <w:tcW w:w="3420" w:type="dxa"/>
            <w:vAlign w:val="center"/>
          </w:tcPr>
          <w:p w14:paraId="5F86CB0C" w14:textId="77777777" w:rsidR="008F61D7" w:rsidRPr="00ED3DBB" w:rsidRDefault="008F61D7" w:rsidP="008F61D7">
            <w:pPr>
              <w:contextualSpacing/>
              <w:rPr>
                <w:b/>
                <w:bCs/>
                <w:sz w:val="24"/>
                <w:szCs w:val="24"/>
              </w:rPr>
            </w:pPr>
            <w:r w:rsidRPr="00ED3DBB">
              <w:rPr>
                <w:b/>
                <w:bCs/>
                <w:sz w:val="24"/>
                <w:szCs w:val="24"/>
              </w:rPr>
              <w:t>Medicaid FFS</w:t>
            </w:r>
          </w:p>
        </w:tc>
        <w:tc>
          <w:tcPr>
            <w:tcW w:w="1560" w:type="dxa"/>
            <w:vAlign w:val="center"/>
          </w:tcPr>
          <w:p w14:paraId="51286F8A" w14:textId="77777777" w:rsidR="008F61D7" w:rsidRPr="00ED3DBB" w:rsidRDefault="008F61D7" w:rsidP="00DF07C0">
            <w:pPr>
              <w:contextualSpacing/>
              <w:jc w:val="right"/>
              <w:rPr>
                <w:sz w:val="24"/>
                <w:szCs w:val="24"/>
              </w:rPr>
            </w:pPr>
            <w:r w:rsidRPr="00ED3DBB">
              <w:rPr>
                <w:sz w:val="24"/>
                <w:szCs w:val="24"/>
              </w:rPr>
              <w:t>83%</w:t>
            </w:r>
          </w:p>
        </w:tc>
        <w:tc>
          <w:tcPr>
            <w:tcW w:w="1560" w:type="dxa"/>
            <w:vAlign w:val="center"/>
          </w:tcPr>
          <w:p w14:paraId="174BD55B" w14:textId="77777777" w:rsidR="008F61D7" w:rsidRPr="00ED3DBB" w:rsidRDefault="008F61D7" w:rsidP="00DF07C0">
            <w:pPr>
              <w:contextualSpacing/>
              <w:jc w:val="right"/>
              <w:rPr>
                <w:sz w:val="24"/>
                <w:szCs w:val="24"/>
              </w:rPr>
            </w:pPr>
            <w:r w:rsidRPr="00ED3DBB">
              <w:rPr>
                <w:sz w:val="24"/>
                <w:szCs w:val="24"/>
              </w:rPr>
              <w:t>81%</w:t>
            </w:r>
          </w:p>
        </w:tc>
        <w:tc>
          <w:tcPr>
            <w:tcW w:w="1560" w:type="dxa"/>
            <w:vAlign w:val="center"/>
          </w:tcPr>
          <w:p w14:paraId="5344BDD4" w14:textId="77777777" w:rsidR="008F61D7" w:rsidRPr="00ED3DBB" w:rsidRDefault="008F61D7" w:rsidP="00DF07C0">
            <w:pPr>
              <w:contextualSpacing/>
              <w:jc w:val="right"/>
              <w:rPr>
                <w:sz w:val="24"/>
                <w:szCs w:val="24"/>
              </w:rPr>
            </w:pPr>
            <w:r w:rsidRPr="00ED3DBB">
              <w:rPr>
                <w:sz w:val="24"/>
                <w:szCs w:val="24"/>
              </w:rPr>
              <w:t>89%</w:t>
            </w:r>
          </w:p>
        </w:tc>
        <w:tc>
          <w:tcPr>
            <w:tcW w:w="1560" w:type="dxa"/>
          </w:tcPr>
          <w:p w14:paraId="0F334995" w14:textId="77777777" w:rsidR="008F61D7" w:rsidRPr="00ED3DBB" w:rsidRDefault="008F61D7" w:rsidP="00DF07C0">
            <w:pPr>
              <w:contextualSpacing/>
              <w:jc w:val="right"/>
              <w:rPr>
                <w:sz w:val="24"/>
                <w:szCs w:val="24"/>
              </w:rPr>
            </w:pPr>
            <w:r w:rsidRPr="00ED3DBB">
              <w:rPr>
                <w:sz w:val="24"/>
                <w:szCs w:val="24"/>
              </w:rPr>
              <w:t>85%</w:t>
            </w:r>
          </w:p>
        </w:tc>
      </w:tr>
      <w:tr w:rsidR="008F61D7" w:rsidRPr="00ED3DBB" w14:paraId="083ADDAC" w14:textId="77777777" w:rsidTr="00D800F6">
        <w:trPr>
          <w:cantSplit/>
        </w:trPr>
        <w:tc>
          <w:tcPr>
            <w:tcW w:w="3420" w:type="dxa"/>
            <w:vAlign w:val="center"/>
          </w:tcPr>
          <w:p w14:paraId="7C548A13" w14:textId="77777777" w:rsidR="008F61D7" w:rsidRPr="00ED3DBB" w:rsidRDefault="008F61D7" w:rsidP="008F61D7">
            <w:pPr>
              <w:contextualSpacing/>
              <w:rPr>
                <w:b/>
                <w:bCs/>
                <w:sz w:val="24"/>
                <w:szCs w:val="24"/>
              </w:rPr>
            </w:pPr>
            <w:r w:rsidRPr="00ED3DBB">
              <w:rPr>
                <w:b/>
                <w:bCs/>
                <w:sz w:val="24"/>
                <w:szCs w:val="24"/>
              </w:rPr>
              <w:t>Private Pay</w:t>
            </w:r>
          </w:p>
        </w:tc>
        <w:tc>
          <w:tcPr>
            <w:tcW w:w="1560" w:type="dxa"/>
            <w:vAlign w:val="center"/>
          </w:tcPr>
          <w:p w14:paraId="5241EBD2" w14:textId="77777777" w:rsidR="008F61D7" w:rsidRPr="00ED3DBB" w:rsidRDefault="008F61D7" w:rsidP="00DF07C0">
            <w:pPr>
              <w:contextualSpacing/>
              <w:jc w:val="right"/>
              <w:rPr>
                <w:sz w:val="24"/>
                <w:szCs w:val="24"/>
              </w:rPr>
            </w:pPr>
            <w:r w:rsidRPr="00ED3DBB">
              <w:rPr>
                <w:sz w:val="24"/>
                <w:szCs w:val="24"/>
              </w:rPr>
              <w:t>14%</w:t>
            </w:r>
          </w:p>
        </w:tc>
        <w:tc>
          <w:tcPr>
            <w:tcW w:w="1560" w:type="dxa"/>
            <w:vAlign w:val="center"/>
          </w:tcPr>
          <w:p w14:paraId="4600A6F0" w14:textId="77777777" w:rsidR="008F61D7" w:rsidRPr="00ED3DBB" w:rsidRDefault="008F61D7" w:rsidP="00DF07C0">
            <w:pPr>
              <w:contextualSpacing/>
              <w:jc w:val="right"/>
              <w:rPr>
                <w:sz w:val="24"/>
                <w:szCs w:val="24"/>
              </w:rPr>
            </w:pPr>
            <w:r w:rsidRPr="00ED3DBB">
              <w:rPr>
                <w:sz w:val="24"/>
                <w:szCs w:val="24"/>
              </w:rPr>
              <w:t>18%</w:t>
            </w:r>
          </w:p>
        </w:tc>
        <w:tc>
          <w:tcPr>
            <w:tcW w:w="1560" w:type="dxa"/>
            <w:vAlign w:val="center"/>
          </w:tcPr>
          <w:p w14:paraId="22112240" w14:textId="77777777" w:rsidR="008F61D7" w:rsidRPr="00ED3DBB" w:rsidRDefault="008F61D7" w:rsidP="00DF07C0">
            <w:pPr>
              <w:contextualSpacing/>
              <w:jc w:val="right"/>
              <w:rPr>
                <w:sz w:val="24"/>
                <w:szCs w:val="24"/>
              </w:rPr>
            </w:pPr>
            <w:r w:rsidRPr="00ED3DBB">
              <w:rPr>
                <w:sz w:val="24"/>
                <w:szCs w:val="24"/>
              </w:rPr>
              <w:t>10%</w:t>
            </w:r>
          </w:p>
        </w:tc>
        <w:tc>
          <w:tcPr>
            <w:tcW w:w="1560" w:type="dxa"/>
          </w:tcPr>
          <w:p w14:paraId="065BBBA8" w14:textId="77777777" w:rsidR="008F61D7" w:rsidRPr="00ED3DBB" w:rsidRDefault="008F61D7" w:rsidP="00DF07C0">
            <w:pPr>
              <w:contextualSpacing/>
              <w:jc w:val="right"/>
              <w:rPr>
                <w:sz w:val="24"/>
                <w:szCs w:val="24"/>
              </w:rPr>
            </w:pPr>
            <w:r w:rsidRPr="00ED3DBB">
              <w:rPr>
                <w:sz w:val="24"/>
                <w:szCs w:val="24"/>
              </w:rPr>
              <w:t>13%</w:t>
            </w:r>
          </w:p>
        </w:tc>
      </w:tr>
      <w:tr w:rsidR="008F61D7" w:rsidRPr="00ED3DBB" w14:paraId="5EAC86BE" w14:textId="77777777" w:rsidTr="00D800F6">
        <w:trPr>
          <w:cantSplit/>
        </w:trPr>
        <w:tc>
          <w:tcPr>
            <w:tcW w:w="3420" w:type="dxa"/>
            <w:shd w:val="clear" w:color="auto" w:fill="D9D9D9" w:themeFill="background1" w:themeFillShade="D9"/>
            <w:vAlign w:val="center"/>
          </w:tcPr>
          <w:p w14:paraId="2F6317F4" w14:textId="77777777" w:rsidR="008F61D7" w:rsidRPr="00ED3DBB" w:rsidRDefault="008F61D7" w:rsidP="008F61D7">
            <w:pPr>
              <w:contextualSpacing/>
              <w:rPr>
                <w:b/>
                <w:bCs/>
                <w:sz w:val="24"/>
                <w:szCs w:val="24"/>
              </w:rPr>
            </w:pPr>
            <w:r w:rsidRPr="00ED3DBB">
              <w:rPr>
                <w:b/>
                <w:bCs/>
                <w:sz w:val="24"/>
                <w:szCs w:val="24"/>
              </w:rPr>
              <w:t>TOTAL</w:t>
            </w:r>
          </w:p>
        </w:tc>
        <w:tc>
          <w:tcPr>
            <w:tcW w:w="1560" w:type="dxa"/>
            <w:shd w:val="clear" w:color="auto" w:fill="D9D9D9" w:themeFill="background1" w:themeFillShade="D9"/>
            <w:vAlign w:val="center"/>
          </w:tcPr>
          <w:p w14:paraId="079ABDB1" w14:textId="77777777" w:rsidR="008F61D7" w:rsidRPr="00ED3DBB" w:rsidRDefault="008F61D7" w:rsidP="00DF07C0">
            <w:pPr>
              <w:contextualSpacing/>
              <w:jc w:val="right"/>
              <w:rPr>
                <w:sz w:val="24"/>
                <w:szCs w:val="24"/>
              </w:rPr>
            </w:pPr>
            <w:r w:rsidRPr="00ED3DBB">
              <w:rPr>
                <w:sz w:val="24"/>
                <w:szCs w:val="24"/>
              </w:rPr>
              <w:t>100%</w:t>
            </w:r>
          </w:p>
        </w:tc>
        <w:tc>
          <w:tcPr>
            <w:tcW w:w="1560" w:type="dxa"/>
            <w:shd w:val="clear" w:color="auto" w:fill="D9D9D9" w:themeFill="background1" w:themeFillShade="D9"/>
            <w:vAlign w:val="center"/>
          </w:tcPr>
          <w:p w14:paraId="566BDECE" w14:textId="77777777" w:rsidR="008F61D7" w:rsidRPr="00ED3DBB" w:rsidRDefault="008F61D7" w:rsidP="00DF07C0">
            <w:pPr>
              <w:contextualSpacing/>
              <w:jc w:val="right"/>
              <w:rPr>
                <w:sz w:val="24"/>
                <w:szCs w:val="24"/>
              </w:rPr>
            </w:pPr>
            <w:r w:rsidRPr="00ED3DBB">
              <w:rPr>
                <w:sz w:val="24"/>
                <w:szCs w:val="24"/>
              </w:rPr>
              <w:t>100%</w:t>
            </w:r>
          </w:p>
        </w:tc>
        <w:tc>
          <w:tcPr>
            <w:tcW w:w="1560" w:type="dxa"/>
            <w:shd w:val="clear" w:color="auto" w:fill="D9D9D9" w:themeFill="background1" w:themeFillShade="D9"/>
            <w:vAlign w:val="center"/>
          </w:tcPr>
          <w:p w14:paraId="034F64D3" w14:textId="77777777" w:rsidR="008F61D7" w:rsidRPr="00ED3DBB" w:rsidRDefault="008F61D7" w:rsidP="00DF07C0">
            <w:pPr>
              <w:contextualSpacing/>
              <w:jc w:val="right"/>
              <w:rPr>
                <w:sz w:val="24"/>
                <w:szCs w:val="24"/>
              </w:rPr>
            </w:pPr>
            <w:r w:rsidRPr="00ED3DBB">
              <w:rPr>
                <w:sz w:val="24"/>
                <w:szCs w:val="24"/>
              </w:rPr>
              <w:t>100%</w:t>
            </w:r>
          </w:p>
        </w:tc>
        <w:tc>
          <w:tcPr>
            <w:tcW w:w="1560" w:type="dxa"/>
            <w:shd w:val="clear" w:color="auto" w:fill="D9D9D9" w:themeFill="background1" w:themeFillShade="D9"/>
          </w:tcPr>
          <w:p w14:paraId="17DB99EB" w14:textId="77777777" w:rsidR="008F61D7" w:rsidRPr="00ED3DBB" w:rsidRDefault="008F61D7" w:rsidP="00DF07C0">
            <w:pPr>
              <w:contextualSpacing/>
              <w:jc w:val="right"/>
              <w:rPr>
                <w:sz w:val="24"/>
                <w:szCs w:val="24"/>
              </w:rPr>
            </w:pPr>
            <w:r w:rsidRPr="00ED3DBB">
              <w:rPr>
                <w:sz w:val="24"/>
                <w:szCs w:val="24"/>
              </w:rPr>
              <w:t>100%</w:t>
            </w:r>
          </w:p>
        </w:tc>
      </w:tr>
    </w:tbl>
    <w:p w14:paraId="3C42A948" w14:textId="6464FF41" w:rsidR="008F61D7" w:rsidRDefault="008F61D7" w:rsidP="008E0C28">
      <w:pPr>
        <w:spacing w:line="240" w:lineRule="auto"/>
        <w:rPr>
          <w:rFonts w:cstheme="minorHAnsi"/>
          <w:sz w:val="24"/>
          <w:szCs w:val="24"/>
        </w:rPr>
      </w:pPr>
    </w:p>
    <w:p w14:paraId="098AC4BE" w14:textId="60C6419F" w:rsidR="006021CE" w:rsidRPr="006021CE" w:rsidRDefault="00C337B4" w:rsidP="006021CE">
      <w:pPr>
        <w:spacing w:line="240" w:lineRule="auto"/>
        <w:rPr>
          <w:rFonts w:cstheme="minorHAnsi"/>
          <w:sz w:val="24"/>
          <w:szCs w:val="24"/>
        </w:rPr>
      </w:pPr>
      <w:r>
        <w:rPr>
          <w:rFonts w:cstheme="minorHAnsi"/>
          <w:sz w:val="24"/>
          <w:szCs w:val="24"/>
        </w:rPr>
        <w:t>The Applicant explains</w:t>
      </w:r>
      <w:r w:rsidR="008A63CC">
        <w:rPr>
          <w:rFonts w:cstheme="minorHAnsi"/>
          <w:sz w:val="24"/>
          <w:szCs w:val="24"/>
        </w:rPr>
        <w:t xml:space="preserve"> </w:t>
      </w:r>
      <w:r w:rsidR="00EA10A4">
        <w:rPr>
          <w:rFonts w:cstheme="minorHAnsi"/>
          <w:sz w:val="24"/>
          <w:szCs w:val="24"/>
        </w:rPr>
        <w:t xml:space="preserve">while historically </w:t>
      </w:r>
      <w:r w:rsidR="00887704">
        <w:rPr>
          <w:rFonts w:cstheme="minorHAnsi"/>
          <w:sz w:val="24"/>
          <w:szCs w:val="24"/>
        </w:rPr>
        <w:t>the facility</w:t>
      </w:r>
      <w:r w:rsidR="00EA10A4">
        <w:rPr>
          <w:rFonts w:cstheme="minorHAnsi"/>
          <w:sz w:val="24"/>
          <w:szCs w:val="24"/>
        </w:rPr>
        <w:t xml:space="preserve"> had high occupancy rates and maintained a waiting list, </w:t>
      </w:r>
      <w:r>
        <w:rPr>
          <w:rFonts w:cstheme="minorHAnsi"/>
          <w:sz w:val="24"/>
          <w:szCs w:val="24"/>
        </w:rPr>
        <w:t>beginn</w:t>
      </w:r>
      <w:r w:rsidR="006021CE" w:rsidRPr="006021CE">
        <w:rPr>
          <w:rFonts w:cstheme="minorHAnsi"/>
          <w:sz w:val="24"/>
          <w:szCs w:val="24"/>
        </w:rPr>
        <w:t xml:space="preserve">ing in 2019, staffing shortages that were </w:t>
      </w:r>
      <w:r w:rsidR="008A63CC">
        <w:rPr>
          <w:rFonts w:cstheme="minorHAnsi"/>
          <w:sz w:val="24"/>
          <w:szCs w:val="24"/>
        </w:rPr>
        <w:t>worsened</w:t>
      </w:r>
      <w:r w:rsidR="00EA10A4">
        <w:rPr>
          <w:rFonts w:cstheme="minorHAnsi"/>
          <w:sz w:val="24"/>
          <w:szCs w:val="24"/>
        </w:rPr>
        <w:t xml:space="preserve"> </w:t>
      </w:r>
      <w:r w:rsidR="008A63CC">
        <w:rPr>
          <w:rFonts w:cstheme="minorHAnsi"/>
          <w:sz w:val="24"/>
          <w:szCs w:val="24"/>
        </w:rPr>
        <w:t>by</w:t>
      </w:r>
      <w:r w:rsidR="006021CE" w:rsidRPr="006021CE">
        <w:rPr>
          <w:rFonts w:cstheme="minorHAnsi"/>
          <w:sz w:val="24"/>
          <w:szCs w:val="24"/>
        </w:rPr>
        <w:t xml:space="preserve"> the COVID</w:t>
      </w:r>
      <w:r w:rsidR="00123CBF">
        <w:rPr>
          <w:rFonts w:cstheme="minorHAnsi"/>
          <w:sz w:val="24"/>
          <w:szCs w:val="24"/>
        </w:rPr>
        <w:t>-19</w:t>
      </w:r>
      <w:r w:rsidR="006021CE" w:rsidRPr="006021CE">
        <w:rPr>
          <w:rFonts w:cstheme="minorHAnsi"/>
          <w:sz w:val="24"/>
          <w:szCs w:val="24"/>
        </w:rPr>
        <w:t xml:space="preserve"> pandemic</w:t>
      </w:r>
      <w:r>
        <w:rPr>
          <w:rFonts w:cstheme="minorHAnsi"/>
          <w:sz w:val="24"/>
          <w:szCs w:val="24"/>
        </w:rPr>
        <w:t xml:space="preserve"> requir</w:t>
      </w:r>
      <w:r w:rsidR="005C72C8">
        <w:rPr>
          <w:rFonts w:cstheme="minorHAnsi"/>
          <w:sz w:val="24"/>
          <w:szCs w:val="24"/>
        </w:rPr>
        <w:t>ed</w:t>
      </w:r>
      <w:r>
        <w:rPr>
          <w:rFonts w:cstheme="minorHAnsi"/>
          <w:sz w:val="24"/>
          <w:szCs w:val="24"/>
        </w:rPr>
        <w:t xml:space="preserve"> it </w:t>
      </w:r>
      <w:r w:rsidR="006021CE" w:rsidRPr="006021CE">
        <w:rPr>
          <w:rFonts w:cstheme="minorHAnsi"/>
          <w:sz w:val="24"/>
          <w:szCs w:val="24"/>
        </w:rPr>
        <w:t xml:space="preserve">to reduce </w:t>
      </w:r>
      <w:r w:rsidR="00FE72F8">
        <w:rPr>
          <w:rFonts w:cstheme="minorHAnsi"/>
          <w:sz w:val="24"/>
          <w:szCs w:val="24"/>
        </w:rPr>
        <w:t>the</w:t>
      </w:r>
      <w:r w:rsidR="006021CE" w:rsidRPr="006021CE">
        <w:rPr>
          <w:rFonts w:cstheme="minorHAnsi"/>
          <w:sz w:val="24"/>
          <w:szCs w:val="24"/>
        </w:rPr>
        <w:t xml:space="preserve"> census</w:t>
      </w:r>
      <w:r w:rsidR="005C72C8">
        <w:rPr>
          <w:rFonts w:cstheme="minorHAnsi"/>
          <w:sz w:val="24"/>
          <w:szCs w:val="24"/>
        </w:rPr>
        <w:t xml:space="preserve">. As discussed further herein this </w:t>
      </w:r>
      <w:r w:rsidR="00FE72F8">
        <w:rPr>
          <w:rFonts w:cstheme="minorHAnsi"/>
          <w:sz w:val="24"/>
          <w:szCs w:val="24"/>
        </w:rPr>
        <w:t>issue</w:t>
      </w:r>
      <w:r w:rsidR="006021CE" w:rsidRPr="006021CE">
        <w:rPr>
          <w:rFonts w:cstheme="minorHAnsi"/>
          <w:sz w:val="24"/>
          <w:szCs w:val="24"/>
        </w:rPr>
        <w:t xml:space="preserve"> </w:t>
      </w:r>
      <w:r w:rsidR="008A63CC">
        <w:rPr>
          <w:rFonts w:cstheme="minorHAnsi"/>
          <w:sz w:val="24"/>
          <w:szCs w:val="24"/>
        </w:rPr>
        <w:t xml:space="preserve">which continues to </w:t>
      </w:r>
      <w:r w:rsidR="006021CE" w:rsidRPr="006021CE">
        <w:rPr>
          <w:rFonts w:cstheme="minorHAnsi"/>
          <w:sz w:val="24"/>
          <w:szCs w:val="24"/>
        </w:rPr>
        <w:t xml:space="preserve">present. As of October 2022, </w:t>
      </w:r>
      <w:r w:rsidR="006807F9">
        <w:rPr>
          <w:rFonts w:cstheme="minorHAnsi"/>
          <w:sz w:val="24"/>
          <w:szCs w:val="24"/>
        </w:rPr>
        <w:t xml:space="preserve">the facility </w:t>
      </w:r>
      <w:r w:rsidR="006021CE" w:rsidRPr="006021CE">
        <w:rPr>
          <w:rFonts w:cstheme="minorHAnsi"/>
          <w:sz w:val="24"/>
          <w:szCs w:val="24"/>
        </w:rPr>
        <w:t>had an average daily census (ADC) of</w:t>
      </w:r>
      <w:r>
        <w:rPr>
          <w:rFonts w:cstheme="minorHAnsi"/>
          <w:sz w:val="24"/>
          <w:szCs w:val="24"/>
        </w:rPr>
        <w:t xml:space="preserve"> </w:t>
      </w:r>
      <w:r w:rsidR="006021CE" w:rsidRPr="006021CE">
        <w:rPr>
          <w:rFonts w:cstheme="minorHAnsi"/>
          <w:sz w:val="24"/>
          <w:szCs w:val="24"/>
        </w:rPr>
        <w:t xml:space="preserve">30, </w:t>
      </w:r>
      <w:r>
        <w:rPr>
          <w:rFonts w:cstheme="minorHAnsi"/>
          <w:sz w:val="24"/>
          <w:szCs w:val="24"/>
        </w:rPr>
        <w:t>less than half of that of FY1</w:t>
      </w:r>
      <w:r w:rsidR="008E4EE7">
        <w:rPr>
          <w:rFonts w:cstheme="minorHAnsi"/>
          <w:sz w:val="24"/>
          <w:szCs w:val="24"/>
        </w:rPr>
        <w:t>8</w:t>
      </w:r>
      <w:r w:rsidR="00FE72F8">
        <w:rPr>
          <w:rFonts w:cstheme="minorHAnsi"/>
          <w:sz w:val="24"/>
          <w:szCs w:val="24"/>
        </w:rPr>
        <w:t>,</w:t>
      </w:r>
      <w:r>
        <w:rPr>
          <w:rFonts w:cstheme="minorHAnsi"/>
          <w:sz w:val="24"/>
          <w:szCs w:val="24"/>
        </w:rPr>
        <w:t xml:space="preserve"> and an occupancy rate of 49%.</w:t>
      </w:r>
    </w:p>
    <w:p w14:paraId="2BAA593C" w14:textId="3118696D" w:rsidR="006021CE" w:rsidRDefault="006021CE" w:rsidP="00C337B4">
      <w:pPr>
        <w:spacing w:line="240" w:lineRule="auto"/>
        <w:jc w:val="center"/>
        <w:rPr>
          <w:rFonts w:cstheme="minorHAnsi"/>
          <w:b/>
          <w:bCs/>
          <w:sz w:val="24"/>
          <w:szCs w:val="24"/>
        </w:rPr>
      </w:pPr>
      <w:r w:rsidRPr="006021CE">
        <w:rPr>
          <w:rFonts w:cstheme="minorHAnsi"/>
          <w:b/>
          <w:bCs/>
          <w:sz w:val="24"/>
          <w:szCs w:val="24"/>
        </w:rPr>
        <w:t xml:space="preserve">Table </w:t>
      </w:r>
      <w:r w:rsidR="00C337B4">
        <w:rPr>
          <w:rFonts w:cstheme="minorHAnsi"/>
          <w:b/>
          <w:bCs/>
          <w:sz w:val="24"/>
          <w:szCs w:val="24"/>
        </w:rPr>
        <w:t>3</w:t>
      </w:r>
      <w:r w:rsidRPr="006021CE">
        <w:rPr>
          <w:rFonts w:cstheme="minorHAnsi"/>
          <w:b/>
          <w:bCs/>
          <w:sz w:val="24"/>
          <w:szCs w:val="24"/>
        </w:rPr>
        <w:t>: Historical Utilization</w:t>
      </w:r>
    </w:p>
    <w:tbl>
      <w:tblPr>
        <w:tblStyle w:val="TableGrid"/>
        <w:tblW w:w="0" w:type="auto"/>
        <w:jc w:val="center"/>
        <w:tblLook w:val="04A0" w:firstRow="1" w:lastRow="0" w:firstColumn="1" w:lastColumn="0" w:noHBand="0" w:noVBand="1"/>
      </w:tblPr>
      <w:tblGrid>
        <w:gridCol w:w="2425"/>
        <w:gridCol w:w="1187"/>
        <w:gridCol w:w="1187"/>
        <w:gridCol w:w="1187"/>
        <w:gridCol w:w="1186"/>
        <w:gridCol w:w="1187"/>
      </w:tblGrid>
      <w:tr w:rsidR="008E4EE7" w:rsidRPr="00B91018" w14:paraId="05F143BC" w14:textId="77777777" w:rsidTr="00DD6DFE">
        <w:trPr>
          <w:cantSplit/>
          <w:tblHeader/>
          <w:jc w:val="center"/>
        </w:trPr>
        <w:tc>
          <w:tcPr>
            <w:tcW w:w="2425" w:type="dxa"/>
            <w:shd w:val="clear" w:color="auto" w:fill="E7FAFF"/>
            <w:vAlign w:val="center"/>
          </w:tcPr>
          <w:p w14:paraId="57B00025" w14:textId="77777777" w:rsidR="008E4EE7" w:rsidRPr="00B91018" w:rsidRDefault="008E4EE7" w:rsidP="00B91018">
            <w:pPr>
              <w:spacing w:after="160"/>
              <w:rPr>
                <w:rFonts w:cstheme="minorHAnsi"/>
                <w:b/>
                <w:bCs/>
                <w:sz w:val="24"/>
                <w:szCs w:val="24"/>
              </w:rPr>
            </w:pPr>
          </w:p>
        </w:tc>
        <w:tc>
          <w:tcPr>
            <w:tcW w:w="1187" w:type="dxa"/>
            <w:shd w:val="clear" w:color="auto" w:fill="E7FAFF"/>
            <w:vAlign w:val="center"/>
          </w:tcPr>
          <w:p w14:paraId="784446AD" w14:textId="77777777" w:rsidR="008E4EE7" w:rsidRPr="00B91018" w:rsidRDefault="008E4EE7" w:rsidP="00B91018">
            <w:pPr>
              <w:spacing w:after="160"/>
              <w:jc w:val="center"/>
              <w:rPr>
                <w:rFonts w:cstheme="minorHAnsi"/>
                <w:b/>
                <w:bCs/>
                <w:sz w:val="24"/>
                <w:szCs w:val="24"/>
              </w:rPr>
            </w:pPr>
            <w:r w:rsidRPr="00B91018">
              <w:rPr>
                <w:rFonts w:cstheme="minorHAnsi"/>
                <w:b/>
                <w:bCs/>
                <w:sz w:val="24"/>
                <w:szCs w:val="24"/>
              </w:rPr>
              <w:t>FY18</w:t>
            </w:r>
          </w:p>
        </w:tc>
        <w:tc>
          <w:tcPr>
            <w:tcW w:w="1187" w:type="dxa"/>
            <w:shd w:val="clear" w:color="auto" w:fill="E7FAFF"/>
            <w:vAlign w:val="center"/>
          </w:tcPr>
          <w:p w14:paraId="6E584026" w14:textId="77777777" w:rsidR="008E4EE7" w:rsidRPr="00B91018" w:rsidRDefault="008E4EE7" w:rsidP="00B91018">
            <w:pPr>
              <w:spacing w:after="160"/>
              <w:jc w:val="center"/>
              <w:rPr>
                <w:rFonts w:cstheme="minorHAnsi"/>
                <w:b/>
                <w:bCs/>
                <w:sz w:val="24"/>
                <w:szCs w:val="24"/>
              </w:rPr>
            </w:pPr>
            <w:r w:rsidRPr="00B91018">
              <w:rPr>
                <w:rFonts w:cstheme="minorHAnsi"/>
                <w:b/>
                <w:bCs/>
                <w:sz w:val="24"/>
                <w:szCs w:val="24"/>
              </w:rPr>
              <w:t>FY19</w:t>
            </w:r>
          </w:p>
        </w:tc>
        <w:tc>
          <w:tcPr>
            <w:tcW w:w="1187" w:type="dxa"/>
            <w:shd w:val="clear" w:color="auto" w:fill="E7FAFF"/>
            <w:vAlign w:val="center"/>
          </w:tcPr>
          <w:p w14:paraId="4AA1E1D2" w14:textId="77777777" w:rsidR="008E4EE7" w:rsidRPr="00B91018" w:rsidRDefault="008E4EE7" w:rsidP="00B91018">
            <w:pPr>
              <w:spacing w:after="160"/>
              <w:jc w:val="center"/>
              <w:rPr>
                <w:rFonts w:cstheme="minorHAnsi"/>
                <w:b/>
                <w:bCs/>
                <w:sz w:val="24"/>
                <w:szCs w:val="24"/>
              </w:rPr>
            </w:pPr>
            <w:r w:rsidRPr="00B91018">
              <w:rPr>
                <w:rFonts w:cstheme="minorHAnsi"/>
                <w:b/>
                <w:bCs/>
                <w:sz w:val="24"/>
                <w:szCs w:val="24"/>
              </w:rPr>
              <w:t>FY20</w:t>
            </w:r>
          </w:p>
        </w:tc>
        <w:tc>
          <w:tcPr>
            <w:tcW w:w="1186" w:type="dxa"/>
            <w:shd w:val="clear" w:color="auto" w:fill="E7FAFF"/>
            <w:vAlign w:val="center"/>
          </w:tcPr>
          <w:p w14:paraId="3F612468" w14:textId="77777777" w:rsidR="008E4EE7" w:rsidRPr="00B91018" w:rsidRDefault="008E4EE7" w:rsidP="00B91018">
            <w:pPr>
              <w:spacing w:after="160"/>
              <w:jc w:val="center"/>
              <w:rPr>
                <w:rFonts w:cstheme="minorHAnsi"/>
                <w:b/>
                <w:bCs/>
                <w:sz w:val="24"/>
                <w:szCs w:val="24"/>
              </w:rPr>
            </w:pPr>
            <w:r w:rsidRPr="00B91018">
              <w:rPr>
                <w:rFonts w:cstheme="minorHAnsi"/>
                <w:b/>
                <w:bCs/>
                <w:sz w:val="24"/>
                <w:szCs w:val="24"/>
              </w:rPr>
              <w:t>FY21</w:t>
            </w:r>
          </w:p>
        </w:tc>
        <w:tc>
          <w:tcPr>
            <w:tcW w:w="1187" w:type="dxa"/>
            <w:shd w:val="clear" w:color="auto" w:fill="E7FAFF"/>
            <w:vAlign w:val="center"/>
          </w:tcPr>
          <w:p w14:paraId="0CBE91EF" w14:textId="77777777" w:rsidR="008E4EE7" w:rsidRPr="00B91018" w:rsidRDefault="008E4EE7" w:rsidP="00B91018">
            <w:pPr>
              <w:spacing w:after="160"/>
              <w:jc w:val="center"/>
              <w:rPr>
                <w:rFonts w:cstheme="minorHAnsi"/>
                <w:b/>
                <w:bCs/>
                <w:sz w:val="24"/>
                <w:szCs w:val="24"/>
              </w:rPr>
            </w:pPr>
            <w:r w:rsidRPr="00B91018">
              <w:rPr>
                <w:rFonts w:cstheme="minorHAnsi"/>
                <w:b/>
                <w:bCs/>
                <w:sz w:val="24"/>
                <w:szCs w:val="24"/>
              </w:rPr>
              <w:t>FY22</w:t>
            </w:r>
          </w:p>
        </w:tc>
      </w:tr>
      <w:tr w:rsidR="008E4EE7" w:rsidRPr="00B91018" w14:paraId="0C5D9045" w14:textId="77777777" w:rsidTr="00D800F6">
        <w:trPr>
          <w:cantSplit/>
          <w:jc w:val="center"/>
        </w:trPr>
        <w:tc>
          <w:tcPr>
            <w:tcW w:w="2425" w:type="dxa"/>
            <w:vAlign w:val="center"/>
          </w:tcPr>
          <w:p w14:paraId="13C048D5" w14:textId="77777777" w:rsidR="008E4EE7" w:rsidRPr="00B91018" w:rsidRDefault="008E4EE7" w:rsidP="00ED3DBB">
            <w:pPr>
              <w:rPr>
                <w:rFonts w:cstheme="minorHAnsi"/>
                <w:b/>
                <w:bCs/>
                <w:sz w:val="24"/>
                <w:szCs w:val="24"/>
              </w:rPr>
            </w:pPr>
            <w:r w:rsidRPr="00B91018">
              <w:rPr>
                <w:rFonts w:cstheme="minorHAnsi"/>
                <w:b/>
                <w:bCs/>
                <w:sz w:val="24"/>
                <w:szCs w:val="24"/>
              </w:rPr>
              <w:t>Resident Days</w:t>
            </w:r>
          </w:p>
        </w:tc>
        <w:tc>
          <w:tcPr>
            <w:tcW w:w="1187" w:type="dxa"/>
            <w:vAlign w:val="center"/>
          </w:tcPr>
          <w:p w14:paraId="4C336BFC" w14:textId="77777777" w:rsidR="008E4EE7" w:rsidRPr="00B91018" w:rsidRDefault="008E4EE7" w:rsidP="00ED3DBB">
            <w:pPr>
              <w:jc w:val="right"/>
              <w:rPr>
                <w:rFonts w:cstheme="minorHAnsi"/>
                <w:sz w:val="24"/>
                <w:szCs w:val="24"/>
              </w:rPr>
            </w:pPr>
            <w:r w:rsidRPr="00B91018">
              <w:rPr>
                <w:rFonts w:cstheme="minorHAnsi"/>
                <w:sz w:val="24"/>
                <w:szCs w:val="24"/>
              </w:rPr>
              <w:t>21,218</w:t>
            </w:r>
          </w:p>
        </w:tc>
        <w:tc>
          <w:tcPr>
            <w:tcW w:w="1187" w:type="dxa"/>
            <w:vAlign w:val="center"/>
          </w:tcPr>
          <w:p w14:paraId="6BC27E55" w14:textId="77777777" w:rsidR="008E4EE7" w:rsidRPr="00B91018" w:rsidRDefault="008E4EE7" w:rsidP="00ED3DBB">
            <w:pPr>
              <w:jc w:val="right"/>
              <w:rPr>
                <w:rFonts w:cstheme="minorHAnsi"/>
                <w:sz w:val="24"/>
                <w:szCs w:val="24"/>
              </w:rPr>
            </w:pPr>
            <w:r w:rsidRPr="00B91018">
              <w:rPr>
                <w:rFonts w:cstheme="minorHAnsi"/>
                <w:sz w:val="24"/>
                <w:szCs w:val="24"/>
              </w:rPr>
              <w:t>19,052</w:t>
            </w:r>
          </w:p>
        </w:tc>
        <w:tc>
          <w:tcPr>
            <w:tcW w:w="1187" w:type="dxa"/>
            <w:vAlign w:val="center"/>
          </w:tcPr>
          <w:p w14:paraId="1F757047" w14:textId="77777777" w:rsidR="008E4EE7" w:rsidRPr="00B91018" w:rsidRDefault="008E4EE7" w:rsidP="00ED3DBB">
            <w:pPr>
              <w:jc w:val="right"/>
              <w:rPr>
                <w:rFonts w:cstheme="minorHAnsi"/>
                <w:sz w:val="24"/>
                <w:szCs w:val="24"/>
              </w:rPr>
            </w:pPr>
            <w:r w:rsidRPr="00B91018">
              <w:rPr>
                <w:rFonts w:cstheme="minorHAnsi"/>
                <w:sz w:val="24"/>
                <w:szCs w:val="24"/>
              </w:rPr>
              <w:t>16,949</w:t>
            </w:r>
          </w:p>
        </w:tc>
        <w:tc>
          <w:tcPr>
            <w:tcW w:w="1186" w:type="dxa"/>
            <w:vAlign w:val="center"/>
          </w:tcPr>
          <w:p w14:paraId="77610EC2" w14:textId="77777777" w:rsidR="008E4EE7" w:rsidRPr="00B91018" w:rsidRDefault="008E4EE7" w:rsidP="00ED3DBB">
            <w:pPr>
              <w:jc w:val="right"/>
              <w:rPr>
                <w:rFonts w:cstheme="minorHAnsi"/>
                <w:sz w:val="24"/>
                <w:szCs w:val="24"/>
              </w:rPr>
            </w:pPr>
            <w:r w:rsidRPr="00B91018">
              <w:rPr>
                <w:rFonts w:cstheme="minorHAnsi"/>
                <w:sz w:val="24"/>
                <w:szCs w:val="24"/>
              </w:rPr>
              <w:t>8,232</w:t>
            </w:r>
          </w:p>
        </w:tc>
        <w:tc>
          <w:tcPr>
            <w:tcW w:w="1187" w:type="dxa"/>
            <w:vAlign w:val="center"/>
          </w:tcPr>
          <w:p w14:paraId="618026CE" w14:textId="77777777" w:rsidR="008E4EE7" w:rsidRPr="00B91018" w:rsidRDefault="008E4EE7" w:rsidP="00ED3DBB">
            <w:pPr>
              <w:jc w:val="right"/>
              <w:rPr>
                <w:rFonts w:cstheme="minorHAnsi"/>
                <w:sz w:val="24"/>
                <w:szCs w:val="24"/>
              </w:rPr>
            </w:pPr>
            <w:r w:rsidRPr="00B91018">
              <w:rPr>
                <w:rFonts w:cstheme="minorHAnsi"/>
                <w:sz w:val="24"/>
                <w:szCs w:val="24"/>
              </w:rPr>
              <w:t>9,808</w:t>
            </w:r>
          </w:p>
        </w:tc>
      </w:tr>
      <w:tr w:rsidR="008E4EE7" w:rsidRPr="00B91018" w14:paraId="5A7C9841" w14:textId="77777777" w:rsidTr="00D800F6">
        <w:trPr>
          <w:cantSplit/>
          <w:jc w:val="center"/>
        </w:trPr>
        <w:tc>
          <w:tcPr>
            <w:tcW w:w="2425" w:type="dxa"/>
            <w:vAlign w:val="center"/>
          </w:tcPr>
          <w:p w14:paraId="7C745BF6" w14:textId="77777777" w:rsidR="008E4EE7" w:rsidRPr="00B91018" w:rsidRDefault="008E4EE7" w:rsidP="00ED3DBB">
            <w:pPr>
              <w:rPr>
                <w:rFonts w:cstheme="minorHAnsi"/>
                <w:b/>
                <w:bCs/>
                <w:sz w:val="24"/>
                <w:szCs w:val="24"/>
              </w:rPr>
            </w:pPr>
            <w:r w:rsidRPr="00B91018">
              <w:rPr>
                <w:rFonts w:cstheme="minorHAnsi"/>
                <w:b/>
                <w:bCs/>
                <w:sz w:val="24"/>
                <w:szCs w:val="24"/>
              </w:rPr>
              <w:t>Average Daily Census</w:t>
            </w:r>
          </w:p>
        </w:tc>
        <w:tc>
          <w:tcPr>
            <w:tcW w:w="1187" w:type="dxa"/>
            <w:shd w:val="clear" w:color="auto" w:fill="auto"/>
            <w:vAlign w:val="center"/>
          </w:tcPr>
          <w:p w14:paraId="67F71F02" w14:textId="77777777" w:rsidR="008E4EE7" w:rsidRPr="00B91018" w:rsidRDefault="008E4EE7" w:rsidP="00ED3DBB">
            <w:pPr>
              <w:jc w:val="right"/>
              <w:rPr>
                <w:rFonts w:cstheme="minorHAnsi"/>
                <w:sz w:val="24"/>
                <w:szCs w:val="24"/>
              </w:rPr>
            </w:pPr>
            <w:r w:rsidRPr="00B91018">
              <w:rPr>
                <w:rFonts w:cstheme="minorHAnsi"/>
                <w:sz w:val="24"/>
                <w:szCs w:val="24"/>
              </w:rPr>
              <w:t>58</w:t>
            </w:r>
          </w:p>
        </w:tc>
        <w:tc>
          <w:tcPr>
            <w:tcW w:w="1187" w:type="dxa"/>
            <w:shd w:val="clear" w:color="auto" w:fill="auto"/>
            <w:vAlign w:val="center"/>
          </w:tcPr>
          <w:p w14:paraId="0E6D6C0B" w14:textId="77777777" w:rsidR="008E4EE7" w:rsidRPr="00B91018" w:rsidRDefault="008E4EE7" w:rsidP="00ED3DBB">
            <w:pPr>
              <w:jc w:val="right"/>
              <w:rPr>
                <w:rFonts w:cstheme="minorHAnsi"/>
                <w:sz w:val="24"/>
                <w:szCs w:val="24"/>
              </w:rPr>
            </w:pPr>
            <w:r w:rsidRPr="00B91018">
              <w:rPr>
                <w:rFonts w:cstheme="minorHAnsi"/>
                <w:sz w:val="24"/>
                <w:szCs w:val="24"/>
              </w:rPr>
              <w:t>52</w:t>
            </w:r>
          </w:p>
        </w:tc>
        <w:tc>
          <w:tcPr>
            <w:tcW w:w="1187" w:type="dxa"/>
            <w:shd w:val="clear" w:color="auto" w:fill="auto"/>
            <w:vAlign w:val="center"/>
          </w:tcPr>
          <w:p w14:paraId="16D68D15" w14:textId="77777777" w:rsidR="008E4EE7" w:rsidRPr="00B91018" w:rsidRDefault="008E4EE7" w:rsidP="00ED3DBB">
            <w:pPr>
              <w:jc w:val="right"/>
              <w:rPr>
                <w:rFonts w:cstheme="minorHAnsi"/>
                <w:sz w:val="24"/>
                <w:szCs w:val="24"/>
              </w:rPr>
            </w:pPr>
            <w:r w:rsidRPr="00B91018">
              <w:rPr>
                <w:rFonts w:cstheme="minorHAnsi"/>
                <w:sz w:val="24"/>
                <w:szCs w:val="24"/>
              </w:rPr>
              <w:t>46</w:t>
            </w:r>
          </w:p>
        </w:tc>
        <w:tc>
          <w:tcPr>
            <w:tcW w:w="1186" w:type="dxa"/>
            <w:shd w:val="clear" w:color="auto" w:fill="auto"/>
            <w:vAlign w:val="center"/>
          </w:tcPr>
          <w:p w14:paraId="3FEF231D" w14:textId="77777777" w:rsidR="008E4EE7" w:rsidRPr="00B91018" w:rsidRDefault="008E4EE7" w:rsidP="00ED3DBB">
            <w:pPr>
              <w:jc w:val="right"/>
              <w:rPr>
                <w:rFonts w:cstheme="minorHAnsi"/>
                <w:sz w:val="24"/>
                <w:szCs w:val="24"/>
              </w:rPr>
            </w:pPr>
            <w:r w:rsidRPr="00B91018">
              <w:rPr>
                <w:rFonts w:cstheme="minorHAnsi"/>
                <w:sz w:val="24"/>
                <w:szCs w:val="24"/>
              </w:rPr>
              <w:t>37</w:t>
            </w:r>
          </w:p>
        </w:tc>
        <w:tc>
          <w:tcPr>
            <w:tcW w:w="1187" w:type="dxa"/>
            <w:shd w:val="clear" w:color="auto" w:fill="auto"/>
            <w:vAlign w:val="center"/>
          </w:tcPr>
          <w:p w14:paraId="5422EA1F" w14:textId="77777777" w:rsidR="008E4EE7" w:rsidRPr="00B91018" w:rsidRDefault="008E4EE7" w:rsidP="00ED3DBB">
            <w:pPr>
              <w:jc w:val="right"/>
              <w:rPr>
                <w:rFonts w:cstheme="minorHAnsi"/>
                <w:sz w:val="24"/>
                <w:szCs w:val="24"/>
              </w:rPr>
            </w:pPr>
            <w:r w:rsidRPr="00B91018">
              <w:rPr>
                <w:rFonts w:cstheme="minorHAnsi"/>
                <w:sz w:val="24"/>
                <w:szCs w:val="24"/>
              </w:rPr>
              <w:t>30</w:t>
            </w:r>
          </w:p>
        </w:tc>
      </w:tr>
      <w:tr w:rsidR="008E4EE7" w:rsidRPr="00B91018" w14:paraId="6AD66B85" w14:textId="77777777" w:rsidTr="00D800F6">
        <w:trPr>
          <w:cantSplit/>
          <w:jc w:val="center"/>
        </w:trPr>
        <w:tc>
          <w:tcPr>
            <w:tcW w:w="2425" w:type="dxa"/>
            <w:vAlign w:val="center"/>
          </w:tcPr>
          <w:p w14:paraId="78E9CC27" w14:textId="77777777" w:rsidR="008E4EE7" w:rsidRPr="00B91018" w:rsidRDefault="008E4EE7" w:rsidP="00ED3DBB">
            <w:pPr>
              <w:rPr>
                <w:rFonts w:cstheme="minorHAnsi"/>
                <w:b/>
                <w:bCs/>
                <w:sz w:val="24"/>
                <w:szCs w:val="24"/>
              </w:rPr>
            </w:pPr>
            <w:r w:rsidRPr="00B91018">
              <w:rPr>
                <w:rFonts w:cstheme="minorHAnsi"/>
                <w:b/>
                <w:bCs/>
                <w:sz w:val="24"/>
                <w:szCs w:val="24"/>
              </w:rPr>
              <w:lastRenderedPageBreak/>
              <w:t xml:space="preserve">Occupancy </w:t>
            </w:r>
          </w:p>
        </w:tc>
        <w:tc>
          <w:tcPr>
            <w:tcW w:w="1187" w:type="dxa"/>
            <w:shd w:val="clear" w:color="auto" w:fill="auto"/>
            <w:vAlign w:val="center"/>
          </w:tcPr>
          <w:p w14:paraId="7B02DFE9" w14:textId="77777777" w:rsidR="008E4EE7" w:rsidRPr="00B91018" w:rsidRDefault="008E4EE7" w:rsidP="00ED3DBB">
            <w:pPr>
              <w:jc w:val="right"/>
              <w:rPr>
                <w:rFonts w:cstheme="minorHAnsi"/>
                <w:sz w:val="24"/>
                <w:szCs w:val="24"/>
              </w:rPr>
            </w:pPr>
            <w:r w:rsidRPr="00B91018">
              <w:rPr>
                <w:rFonts w:cstheme="minorHAnsi"/>
                <w:sz w:val="24"/>
                <w:szCs w:val="24"/>
              </w:rPr>
              <w:t>97%</w:t>
            </w:r>
          </w:p>
        </w:tc>
        <w:tc>
          <w:tcPr>
            <w:tcW w:w="1187" w:type="dxa"/>
            <w:shd w:val="clear" w:color="auto" w:fill="auto"/>
            <w:vAlign w:val="center"/>
          </w:tcPr>
          <w:p w14:paraId="3854DFB0" w14:textId="77777777" w:rsidR="008E4EE7" w:rsidRPr="00B91018" w:rsidRDefault="008E4EE7" w:rsidP="00ED3DBB">
            <w:pPr>
              <w:jc w:val="right"/>
              <w:rPr>
                <w:rFonts w:cstheme="minorHAnsi"/>
                <w:sz w:val="24"/>
                <w:szCs w:val="24"/>
              </w:rPr>
            </w:pPr>
            <w:r w:rsidRPr="00B91018">
              <w:rPr>
                <w:rFonts w:cstheme="minorHAnsi"/>
                <w:sz w:val="24"/>
                <w:szCs w:val="24"/>
              </w:rPr>
              <w:t>85%</w:t>
            </w:r>
          </w:p>
        </w:tc>
        <w:tc>
          <w:tcPr>
            <w:tcW w:w="1187" w:type="dxa"/>
            <w:shd w:val="clear" w:color="auto" w:fill="auto"/>
            <w:vAlign w:val="center"/>
          </w:tcPr>
          <w:p w14:paraId="2B162819" w14:textId="77777777" w:rsidR="008E4EE7" w:rsidRPr="00B91018" w:rsidRDefault="008E4EE7" w:rsidP="00ED3DBB">
            <w:pPr>
              <w:jc w:val="right"/>
              <w:rPr>
                <w:rFonts w:cstheme="minorHAnsi"/>
                <w:sz w:val="24"/>
                <w:szCs w:val="24"/>
              </w:rPr>
            </w:pPr>
            <w:r w:rsidRPr="00B91018">
              <w:rPr>
                <w:rFonts w:cstheme="minorHAnsi"/>
                <w:sz w:val="24"/>
                <w:szCs w:val="24"/>
              </w:rPr>
              <w:t>75%</w:t>
            </w:r>
          </w:p>
        </w:tc>
        <w:tc>
          <w:tcPr>
            <w:tcW w:w="1186" w:type="dxa"/>
            <w:shd w:val="clear" w:color="auto" w:fill="auto"/>
            <w:vAlign w:val="center"/>
          </w:tcPr>
          <w:p w14:paraId="0C0D13AA" w14:textId="77777777" w:rsidR="008E4EE7" w:rsidRPr="00B91018" w:rsidRDefault="008E4EE7" w:rsidP="00ED3DBB">
            <w:pPr>
              <w:jc w:val="right"/>
              <w:rPr>
                <w:rFonts w:cstheme="minorHAnsi"/>
                <w:sz w:val="24"/>
                <w:szCs w:val="24"/>
              </w:rPr>
            </w:pPr>
            <w:r w:rsidRPr="00B91018">
              <w:rPr>
                <w:rFonts w:cstheme="minorHAnsi"/>
                <w:sz w:val="24"/>
                <w:szCs w:val="24"/>
              </w:rPr>
              <w:t>61%</w:t>
            </w:r>
          </w:p>
        </w:tc>
        <w:tc>
          <w:tcPr>
            <w:tcW w:w="1187" w:type="dxa"/>
            <w:shd w:val="clear" w:color="auto" w:fill="auto"/>
            <w:vAlign w:val="center"/>
          </w:tcPr>
          <w:p w14:paraId="6CB8064B" w14:textId="77777777" w:rsidR="008E4EE7" w:rsidRPr="00B91018" w:rsidRDefault="008E4EE7" w:rsidP="00ED3DBB">
            <w:pPr>
              <w:jc w:val="right"/>
              <w:rPr>
                <w:rFonts w:cstheme="minorHAnsi"/>
                <w:sz w:val="24"/>
                <w:szCs w:val="24"/>
              </w:rPr>
            </w:pPr>
            <w:r w:rsidRPr="00B91018">
              <w:rPr>
                <w:rFonts w:cstheme="minorHAnsi"/>
                <w:sz w:val="24"/>
                <w:szCs w:val="24"/>
              </w:rPr>
              <w:t>49%</w:t>
            </w:r>
          </w:p>
        </w:tc>
      </w:tr>
      <w:tr w:rsidR="008E4EE7" w:rsidRPr="00B91018" w14:paraId="64FA05B3" w14:textId="77777777" w:rsidTr="00D800F6">
        <w:trPr>
          <w:cantSplit/>
          <w:trHeight w:val="350"/>
          <w:jc w:val="center"/>
        </w:trPr>
        <w:tc>
          <w:tcPr>
            <w:tcW w:w="2425" w:type="dxa"/>
            <w:vAlign w:val="center"/>
          </w:tcPr>
          <w:p w14:paraId="3EE7CC52" w14:textId="77777777" w:rsidR="008E4EE7" w:rsidRPr="00B91018" w:rsidRDefault="008E4EE7" w:rsidP="00ED3DBB">
            <w:pPr>
              <w:rPr>
                <w:rFonts w:cstheme="minorHAnsi"/>
                <w:b/>
                <w:bCs/>
                <w:sz w:val="24"/>
                <w:szCs w:val="24"/>
              </w:rPr>
            </w:pPr>
            <w:r w:rsidRPr="00B91018">
              <w:rPr>
                <w:rFonts w:cstheme="minorHAnsi"/>
                <w:b/>
                <w:bCs/>
                <w:sz w:val="24"/>
                <w:szCs w:val="24"/>
              </w:rPr>
              <w:t>Individual Patients</w:t>
            </w:r>
          </w:p>
        </w:tc>
        <w:tc>
          <w:tcPr>
            <w:tcW w:w="1187" w:type="dxa"/>
            <w:shd w:val="clear" w:color="auto" w:fill="auto"/>
            <w:vAlign w:val="center"/>
          </w:tcPr>
          <w:p w14:paraId="67675CEB" w14:textId="77777777" w:rsidR="008E4EE7" w:rsidRPr="00B91018" w:rsidRDefault="008E4EE7" w:rsidP="00ED3DBB">
            <w:pPr>
              <w:jc w:val="right"/>
              <w:rPr>
                <w:rFonts w:cstheme="minorHAnsi"/>
                <w:sz w:val="24"/>
                <w:szCs w:val="24"/>
              </w:rPr>
            </w:pPr>
            <w:r w:rsidRPr="00B91018">
              <w:rPr>
                <w:rFonts w:cstheme="minorHAnsi"/>
                <w:sz w:val="24"/>
                <w:szCs w:val="24"/>
              </w:rPr>
              <w:t>75</w:t>
            </w:r>
          </w:p>
        </w:tc>
        <w:tc>
          <w:tcPr>
            <w:tcW w:w="1187" w:type="dxa"/>
            <w:shd w:val="clear" w:color="auto" w:fill="auto"/>
            <w:vAlign w:val="center"/>
          </w:tcPr>
          <w:p w14:paraId="03648DD9" w14:textId="77777777" w:rsidR="008E4EE7" w:rsidRPr="00B91018" w:rsidRDefault="008E4EE7" w:rsidP="00ED3DBB">
            <w:pPr>
              <w:jc w:val="right"/>
              <w:rPr>
                <w:rFonts w:cstheme="minorHAnsi"/>
                <w:sz w:val="24"/>
                <w:szCs w:val="24"/>
              </w:rPr>
            </w:pPr>
            <w:r w:rsidRPr="00B91018">
              <w:rPr>
                <w:rFonts w:cstheme="minorHAnsi"/>
                <w:sz w:val="24"/>
                <w:szCs w:val="24"/>
              </w:rPr>
              <w:t>65</w:t>
            </w:r>
          </w:p>
        </w:tc>
        <w:tc>
          <w:tcPr>
            <w:tcW w:w="1187" w:type="dxa"/>
            <w:shd w:val="clear" w:color="auto" w:fill="auto"/>
            <w:vAlign w:val="center"/>
          </w:tcPr>
          <w:p w14:paraId="43A27594" w14:textId="77777777" w:rsidR="008E4EE7" w:rsidRPr="00B91018" w:rsidRDefault="008E4EE7" w:rsidP="00ED3DBB">
            <w:pPr>
              <w:jc w:val="right"/>
              <w:rPr>
                <w:rFonts w:cstheme="minorHAnsi"/>
                <w:sz w:val="24"/>
                <w:szCs w:val="24"/>
              </w:rPr>
            </w:pPr>
            <w:r w:rsidRPr="00B91018">
              <w:rPr>
                <w:rFonts w:cstheme="minorHAnsi"/>
                <w:sz w:val="24"/>
                <w:szCs w:val="24"/>
              </w:rPr>
              <w:t>49</w:t>
            </w:r>
          </w:p>
        </w:tc>
        <w:tc>
          <w:tcPr>
            <w:tcW w:w="1186" w:type="dxa"/>
            <w:shd w:val="clear" w:color="auto" w:fill="auto"/>
            <w:vAlign w:val="center"/>
          </w:tcPr>
          <w:p w14:paraId="4A858E00" w14:textId="77777777" w:rsidR="008E4EE7" w:rsidRPr="00B91018" w:rsidRDefault="008E4EE7" w:rsidP="00ED3DBB">
            <w:pPr>
              <w:jc w:val="right"/>
              <w:rPr>
                <w:rFonts w:cstheme="minorHAnsi"/>
                <w:sz w:val="24"/>
                <w:szCs w:val="24"/>
              </w:rPr>
            </w:pPr>
            <w:r w:rsidRPr="00B91018">
              <w:rPr>
                <w:rFonts w:cstheme="minorHAnsi"/>
                <w:sz w:val="24"/>
                <w:szCs w:val="24"/>
              </w:rPr>
              <w:t>45</w:t>
            </w:r>
          </w:p>
        </w:tc>
        <w:tc>
          <w:tcPr>
            <w:tcW w:w="1187" w:type="dxa"/>
            <w:shd w:val="clear" w:color="auto" w:fill="auto"/>
            <w:vAlign w:val="center"/>
          </w:tcPr>
          <w:p w14:paraId="00A56AAC" w14:textId="77777777" w:rsidR="008E4EE7" w:rsidRPr="00B91018" w:rsidRDefault="008E4EE7" w:rsidP="00ED3DBB">
            <w:pPr>
              <w:jc w:val="right"/>
              <w:rPr>
                <w:rFonts w:cstheme="minorHAnsi"/>
                <w:sz w:val="24"/>
                <w:szCs w:val="24"/>
              </w:rPr>
            </w:pPr>
            <w:r w:rsidRPr="00B91018">
              <w:rPr>
                <w:rFonts w:cstheme="minorHAnsi"/>
                <w:sz w:val="24"/>
                <w:szCs w:val="24"/>
              </w:rPr>
              <w:t>30</w:t>
            </w:r>
          </w:p>
        </w:tc>
      </w:tr>
      <w:tr w:rsidR="008E4EE7" w:rsidRPr="00B91018" w14:paraId="2526E519" w14:textId="77777777" w:rsidTr="00D800F6">
        <w:trPr>
          <w:cantSplit/>
          <w:jc w:val="center"/>
        </w:trPr>
        <w:tc>
          <w:tcPr>
            <w:tcW w:w="2425" w:type="dxa"/>
            <w:vAlign w:val="center"/>
          </w:tcPr>
          <w:p w14:paraId="66B98D3A" w14:textId="77777777" w:rsidR="008E4EE7" w:rsidRPr="00B91018" w:rsidRDefault="008E4EE7" w:rsidP="00ED3DBB">
            <w:pPr>
              <w:rPr>
                <w:rFonts w:cstheme="minorHAnsi"/>
                <w:b/>
                <w:bCs/>
                <w:sz w:val="24"/>
                <w:szCs w:val="24"/>
              </w:rPr>
            </w:pPr>
            <w:r w:rsidRPr="00B91018">
              <w:rPr>
                <w:rFonts w:cstheme="minorHAnsi"/>
                <w:b/>
                <w:bCs/>
                <w:sz w:val="24"/>
                <w:szCs w:val="24"/>
              </w:rPr>
              <w:t>ALOS</w:t>
            </w:r>
          </w:p>
        </w:tc>
        <w:tc>
          <w:tcPr>
            <w:tcW w:w="1187" w:type="dxa"/>
            <w:shd w:val="clear" w:color="auto" w:fill="auto"/>
            <w:vAlign w:val="center"/>
          </w:tcPr>
          <w:p w14:paraId="7E21DDF9" w14:textId="77777777" w:rsidR="008E4EE7" w:rsidRPr="00B91018" w:rsidRDefault="008E4EE7" w:rsidP="00ED3DBB">
            <w:pPr>
              <w:jc w:val="right"/>
              <w:rPr>
                <w:rFonts w:cstheme="minorHAnsi"/>
                <w:sz w:val="24"/>
                <w:szCs w:val="24"/>
              </w:rPr>
            </w:pPr>
            <w:r w:rsidRPr="00B91018">
              <w:rPr>
                <w:rFonts w:cstheme="minorHAnsi"/>
                <w:sz w:val="24"/>
                <w:szCs w:val="24"/>
              </w:rPr>
              <w:t>2.2 yrs.</w:t>
            </w:r>
          </w:p>
        </w:tc>
        <w:tc>
          <w:tcPr>
            <w:tcW w:w="1187" w:type="dxa"/>
            <w:shd w:val="clear" w:color="auto" w:fill="auto"/>
            <w:vAlign w:val="center"/>
          </w:tcPr>
          <w:p w14:paraId="744DA3D9" w14:textId="77777777" w:rsidR="008E4EE7" w:rsidRPr="00B91018" w:rsidRDefault="008E4EE7" w:rsidP="00ED3DBB">
            <w:pPr>
              <w:jc w:val="right"/>
              <w:rPr>
                <w:rFonts w:cstheme="minorHAnsi"/>
                <w:sz w:val="24"/>
                <w:szCs w:val="24"/>
              </w:rPr>
            </w:pPr>
            <w:r w:rsidRPr="00B91018">
              <w:rPr>
                <w:rFonts w:cstheme="minorHAnsi"/>
                <w:sz w:val="24"/>
                <w:szCs w:val="24"/>
              </w:rPr>
              <w:t>3.7 yrs.</w:t>
            </w:r>
          </w:p>
        </w:tc>
        <w:tc>
          <w:tcPr>
            <w:tcW w:w="1187" w:type="dxa"/>
            <w:shd w:val="clear" w:color="auto" w:fill="auto"/>
            <w:vAlign w:val="center"/>
          </w:tcPr>
          <w:p w14:paraId="6193A88D" w14:textId="77777777" w:rsidR="008E4EE7" w:rsidRPr="00B91018" w:rsidRDefault="008E4EE7" w:rsidP="00ED3DBB">
            <w:pPr>
              <w:jc w:val="right"/>
              <w:rPr>
                <w:rFonts w:cstheme="minorHAnsi"/>
                <w:sz w:val="24"/>
                <w:szCs w:val="24"/>
              </w:rPr>
            </w:pPr>
            <w:r w:rsidRPr="00B91018">
              <w:rPr>
                <w:rFonts w:cstheme="minorHAnsi"/>
                <w:sz w:val="24"/>
                <w:szCs w:val="24"/>
              </w:rPr>
              <w:t>4.0 yrs.</w:t>
            </w:r>
          </w:p>
        </w:tc>
        <w:tc>
          <w:tcPr>
            <w:tcW w:w="1186" w:type="dxa"/>
            <w:shd w:val="clear" w:color="auto" w:fill="auto"/>
            <w:vAlign w:val="center"/>
          </w:tcPr>
          <w:p w14:paraId="78B618A3" w14:textId="77777777" w:rsidR="008E4EE7" w:rsidRPr="00B91018" w:rsidRDefault="008E4EE7" w:rsidP="00ED3DBB">
            <w:pPr>
              <w:jc w:val="right"/>
              <w:rPr>
                <w:rFonts w:cstheme="minorHAnsi"/>
                <w:sz w:val="24"/>
                <w:szCs w:val="24"/>
              </w:rPr>
            </w:pPr>
            <w:r w:rsidRPr="00B91018">
              <w:rPr>
                <w:rFonts w:cstheme="minorHAnsi"/>
                <w:sz w:val="24"/>
                <w:szCs w:val="24"/>
              </w:rPr>
              <w:t>3.8 yrs.</w:t>
            </w:r>
          </w:p>
        </w:tc>
        <w:tc>
          <w:tcPr>
            <w:tcW w:w="1187" w:type="dxa"/>
            <w:shd w:val="clear" w:color="auto" w:fill="auto"/>
            <w:vAlign w:val="center"/>
          </w:tcPr>
          <w:p w14:paraId="7CDC293C" w14:textId="77777777" w:rsidR="008E4EE7" w:rsidRPr="00B91018" w:rsidRDefault="008E4EE7" w:rsidP="00ED3DBB">
            <w:pPr>
              <w:jc w:val="right"/>
              <w:rPr>
                <w:rFonts w:cstheme="minorHAnsi"/>
                <w:sz w:val="24"/>
                <w:szCs w:val="24"/>
              </w:rPr>
            </w:pPr>
            <w:r w:rsidRPr="00B91018">
              <w:rPr>
                <w:rFonts w:cstheme="minorHAnsi"/>
                <w:sz w:val="24"/>
                <w:szCs w:val="24"/>
              </w:rPr>
              <w:t>5.5 yrs.</w:t>
            </w:r>
          </w:p>
        </w:tc>
      </w:tr>
    </w:tbl>
    <w:p w14:paraId="171053DF" w14:textId="77777777" w:rsidR="006021CE" w:rsidRPr="008E0C28" w:rsidRDefault="006021CE" w:rsidP="008E0C28">
      <w:pPr>
        <w:spacing w:line="240" w:lineRule="auto"/>
        <w:rPr>
          <w:rFonts w:cstheme="minorHAnsi"/>
          <w:sz w:val="24"/>
          <w:szCs w:val="24"/>
        </w:rPr>
      </w:pPr>
    </w:p>
    <w:p w14:paraId="728992FB" w14:textId="27902A4E" w:rsidR="00B045B7" w:rsidRPr="0075155F" w:rsidRDefault="008909E4" w:rsidP="008219FE">
      <w:pPr>
        <w:pStyle w:val="Heading2"/>
        <w:rPr>
          <w:rFonts w:asciiTheme="minorHAnsi" w:hAnsiTheme="minorHAnsi" w:cstheme="minorHAnsi"/>
          <w:color w:val="1F4E79" w:themeColor="accent5" w:themeShade="80"/>
        </w:rPr>
      </w:pPr>
      <w:bookmarkStart w:id="4" w:name="_Toc129354641"/>
      <w:r w:rsidRPr="0075155F">
        <w:rPr>
          <w:rFonts w:asciiTheme="minorHAnsi" w:hAnsiTheme="minorHAnsi" w:cstheme="minorHAnsi"/>
          <w:color w:val="1F4E79" w:themeColor="accent5" w:themeShade="80"/>
        </w:rPr>
        <w:t>Factor</w:t>
      </w:r>
      <w:r w:rsidR="008219FE" w:rsidRPr="0075155F">
        <w:rPr>
          <w:rFonts w:asciiTheme="minorHAnsi" w:hAnsiTheme="minorHAnsi" w:cstheme="minorHAnsi"/>
          <w:color w:val="1F4E79" w:themeColor="accent5" w:themeShade="80"/>
        </w:rPr>
        <w:t xml:space="preserve"> 1a) </w:t>
      </w:r>
      <w:r w:rsidR="00B045B7" w:rsidRPr="0075155F">
        <w:rPr>
          <w:rFonts w:asciiTheme="minorHAnsi" w:hAnsiTheme="minorHAnsi" w:cstheme="minorHAnsi"/>
          <w:color w:val="1F4E79" w:themeColor="accent5" w:themeShade="80"/>
        </w:rPr>
        <w:t>Need</w:t>
      </w:r>
      <w:bookmarkEnd w:id="4"/>
    </w:p>
    <w:p w14:paraId="459F2979" w14:textId="77777777" w:rsidR="00C173BD" w:rsidRDefault="00C173BD" w:rsidP="00C173BD">
      <w:pPr>
        <w:spacing w:after="0" w:line="240" w:lineRule="auto"/>
        <w:rPr>
          <w:sz w:val="24"/>
          <w:szCs w:val="24"/>
        </w:rPr>
      </w:pPr>
    </w:p>
    <w:p w14:paraId="5DB57655" w14:textId="77777777" w:rsidR="008E0C28" w:rsidRDefault="00C173BD" w:rsidP="008E0C28">
      <w:pPr>
        <w:spacing w:after="0" w:line="240" w:lineRule="auto"/>
        <w:rPr>
          <w:sz w:val="24"/>
          <w:szCs w:val="24"/>
        </w:rPr>
      </w:pPr>
      <w:r w:rsidRPr="00C173BD">
        <w:rPr>
          <w:sz w:val="24"/>
          <w:szCs w:val="24"/>
        </w:rPr>
        <w:t xml:space="preserve">In this section, staff assesses if the Applicant has sufficiently demonstrated need for the Proposed Project components by the Applicant’s Patient Panel. </w:t>
      </w:r>
      <w:r w:rsidR="008E0C28">
        <w:rPr>
          <w:sz w:val="24"/>
          <w:szCs w:val="24"/>
        </w:rPr>
        <w:t>The Applicant attributes the need for the Proposed Project to the following:</w:t>
      </w:r>
    </w:p>
    <w:p w14:paraId="6953E459" w14:textId="635C0EED" w:rsidR="008E0C28" w:rsidRDefault="00C173BD" w:rsidP="008E0C28">
      <w:pPr>
        <w:spacing w:after="0" w:line="240" w:lineRule="auto"/>
        <w:rPr>
          <w:sz w:val="24"/>
          <w:szCs w:val="24"/>
        </w:rPr>
      </w:pPr>
      <w:r w:rsidRPr="00C173BD">
        <w:rPr>
          <w:sz w:val="24"/>
          <w:szCs w:val="24"/>
        </w:rPr>
        <w:t xml:space="preserve"> </w:t>
      </w:r>
    </w:p>
    <w:p w14:paraId="09AE4145" w14:textId="75AFA2DD" w:rsidR="008E0C28" w:rsidRPr="001E1E95" w:rsidRDefault="001E1E95" w:rsidP="001E1E95">
      <w:pPr>
        <w:pStyle w:val="ListParagraph"/>
        <w:numPr>
          <w:ilvl w:val="0"/>
          <w:numId w:val="10"/>
        </w:numPr>
        <w:rPr>
          <w:sz w:val="24"/>
          <w:szCs w:val="24"/>
        </w:rPr>
      </w:pPr>
      <w:r w:rsidRPr="001E1E95">
        <w:rPr>
          <w:sz w:val="24"/>
          <w:szCs w:val="24"/>
        </w:rPr>
        <w:t xml:space="preserve">The </w:t>
      </w:r>
      <w:r w:rsidR="008E0C28" w:rsidRPr="001E1E95">
        <w:rPr>
          <w:sz w:val="24"/>
          <w:szCs w:val="24"/>
        </w:rPr>
        <w:t>Need for</w:t>
      </w:r>
      <w:r w:rsidR="00303A44">
        <w:rPr>
          <w:sz w:val="24"/>
          <w:szCs w:val="24"/>
        </w:rPr>
        <w:t xml:space="preserve"> Continued</w:t>
      </w:r>
      <w:r w:rsidR="008E0C28" w:rsidRPr="001E1E95">
        <w:rPr>
          <w:sz w:val="24"/>
          <w:szCs w:val="24"/>
        </w:rPr>
        <w:t xml:space="preserve"> </w:t>
      </w:r>
      <w:r>
        <w:rPr>
          <w:sz w:val="24"/>
          <w:szCs w:val="24"/>
        </w:rPr>
        <w:t xml:space="preserve">Access to </w:t>
      </w:r>
      <w:r w:rsidR="008E0C28" w:rsidRPr="001E1E95">
        <w:rPr>
          <w:sz w:val="24"/>
          <w:szCs w:val="24"/>
        </w:rPr>
        <w:t xml:space="preserve">Long-Term Care on Martha’s Vineyard </w:t>
      </w:r>
    </w:p>
    <w:p w14:paraId="2457E55E" w14:textId="6D8E8DB2" w:rsidR="008E0C28" w:rsidRPr="001E1E95" w:rsidRDefault="001E1E95" w:rsidP="001E1E95">
      <w:pPr>
        <w:pStyle w:val="ListParagraph"/>
        <w:numPr>
          <w:ilvl w:val="0"/>
          <w:numId w:val="10"/>
        </w:numPr>
        <w:rPr>
          <w:sz w:val="24"/>
          <w:szCs w:val="24"/>
        </w:rPr>
      </w:pPr>
      <w:r w:rsidRPr="001E1E95">
        <w:rPr>
          <w:sz w:val="24"/>
          <w:szCs w:val="24"/>
        </w:rPr>
        <w:t xml:space="preserve">The Growth in the </w:t>
      </w:r>
      <w:r w:rsidR="008E0C28" w:rsidRPr="001E1E95">
        <w:rPr>
          <w:sz w:val="24"/>
          <w:szCs w:val="24"/>
        </w:rPr>
        <w:t xml:space="preserve">Aging Population </w:t>
      </w:r>
    </w:p>
    <w:p w14:paraId="58C200D0" w14:textId="499CBA07" w:rsidR="008E0C28" w:rsidRDefault="001E1E95" w:rsidP="001E1E95">
      <w:pPr>
        <w:pStyle w:val="ListParagraph"/>
        <w:numPr>
          <w:ilvl w:val="0"/>
          <w:numId w:val="10"/>
        </w:numPr>
        <w:rPr>
          <w:sz w:val="24"/>
          <w:szCs w:val="24"/>
        </w:rPr>
      </w:pPr>
      <w:r w:rsidRPr="001E1E95">
        <w:rPr>
          <w:sz w:val="24"/>
          <w:szCs w:val="24"/>
        </w:rPr>
        <w:t xml:space="preserve">The </w:t>
      </w:r>
      <w:r w:rsidR="008E0C28" w:rsidRPr="001E1E95">
        <w:rPr>
          <w:sz w:val="24"/>
          <w:szCs w:val="24"/>
        </w:rPr>
        <w:t>Need to</w:t>
      </w:r>
      <w:r w:rsidRPr="001E1E95">
        <w:rPr>
          <w:sz w:val="24"/>
          <w:szCs w:val="24"/>
        </w:rPr>
        <w:t xml:space="preserve"> Replace the </w:t>
      </w:r>
      <w:r w:rsidR="005F5C7F">
        <w:rPr>
          <w:sz w:val="24"/>
          <w:szCs w:val="24"/>
        </w:rPr>
        <w:t>E</w:t>
      </w:r>
      <w:r w:rsidRPr="001E1E95">
        <w:rPr>
          <w:sz w:val="24"/>
          <w:szCs w:val="24"/>
        </w:rPr>
        <w:t>xisting Facility</w:t>
      </w:r>
    </w:p>
    <w:p w14:paraId="23CB59A6" w14:textId="4E43BFEF" w:rsidR="003F7B25" w:rsidRPr="002274FE" w:rsidRDefault="003F7B25" w:rsidP="003F7B25">
      <w:pPr>
        <w:pStyle w:val="ListParagraph"/>
        <w:numPr>
          <w:ilvl w:val="0"/>
          <w:numId w:val="10"/>
        </w:numPr>
        <w:rPr>
          <w:sz w:val="24"/>
          <w:szCs w:val="24"/>
        </w:rPr>
      </w:pPr>
      <w:r w:rsidRPr="695818A5">
        <w:rPr>
          <w:sz w:val="24"/>
          <w:szCs w:val="24"/>
        </w:rPr>
        <w:t>Need to address Lack of Work</w:t>
      </w:r>
      <w:r w:rsidR="00D12F3D" w:rsidRPr="695818A5">
        <w:rPr>
          <w:sz w:val="24"/>
          <w:szCs w:val="24"/>
        </w:rPr>
        <w:t>f</w:t>
      </w:r>
      <w:r w:rsidRPr="695818A5">
        <w:rPr>
          <w:sz w:val="24"/>
          <w:szCs w:val="24"/>
        </w:rPr>
        <w:t>orce Due to the High Cost of Housing on the Island</w:t>
      </w:r>
    </w:p>
    <w:p w14:paraId="043AED80" w14:textId="77777777" w:rsidR="003F7B25" w:rsidRPr="001E1E95" w:rsidRDefault="003F7B25" w:rsidP="003F7B25">
      <w:pPr>
        <w:pStyle w:val="ListParagraph"/>
        <w:rPr>
          <w:sz w:val="24"/>
          <w:szCs w:val="24"/>
        </w:rPr>
      </w:pPr>
    </w:p>
    <w:p w14:paraId="07842EAC" w14:textId="77777777" w:rsidR="00303A44" w:rsidRPr="00303A44" w:rsidRDefault="00303A44" w:rsidP="00303A44">
      <w:pPr>
        <w:numPr>
          <w:ilvl w:val="0"/>
          <w:numId w:val="5"/>
        </w:numPr>
        <w:rPr>
          <w:sz w:val="24"/>
          <w:szCs w:val="24"/>
        </w:rPr>
      </w:pPr>
      <w:r w:rsidRPr="00303A44">
        <w:rPr>
          <w:sz w:val="24"/>
          <w:szCs w:val="24"/>
        </w:rPr>
        <w:t xml:space="preserve">Need for Continued Access to Long-Term Care on Martha’s Vineyard </w:t>
      </w:r>
    </w:p>
    <w:p w14:paraId="2659B74D" w14:textId="7BE9117C" w:rsidR="007C09AA" w:rsidRPr="007C09AA" w:rsidRDefault="00DA751B" w:rsidP="00731ABF">
      <w:pPr>
        <w:spacing w:line="240" w:lineRule="auto"/>
        <w:rPr>
          <w:sz w:val="24"/>
          <w:szCs w:val="24"/>
        </w:rPr>
      </w:pPr>
      <w:r w:rsidRPr="00DA751B">
        <w:rPr>
          <w:sz w:val="24"/>
          <w:szCs w:val="24"/>
        </w:rPr>
        <w:t xml:space="preserve">Martha’s Vineyard </w:t>
      </w:r>
      <w:r>
        <w:rPr>
          <w:sz w:val="24"/>
          <w:szCs w:val="24"/>
        </w:rPr>
        <w:t xml:space="preserve">(the Island) </w:t>
      </w:r>
      <w:r w:rsidRPr="00DA751B">
        <w:rPr>
          <w:sz w:val="24"/>
          <w:szCs w:val="24"/>
        </w:rPr>
        <w:t>is a small island community located off the coast of Cape Cod with a growing year-round resident population that has increased to ~17,000 full-time residents</w:t>
      </w:r>
      <w:r>
        <w:rPr>
          <w:sz w:val="24"/>
          <w:szCs w:val="24"/>
        </w:rPr>
        <w:t>.</w:t>
      </w:r>
      <w:r>
        <w:rPr>
          <w:rStyle w:val="FootnoteReference"/>
          <w:sz w:val="24"/>
          <w:szCs w:val="24"/>
        </w:rPr>
        <w:footnoteReference w:id="8"/>
      </w:r>
      <w:r>
        <w:rPr>
          <w:sz w:val="24"/>
          <w:szCs w:val="24"/>
        </w:rPr>
        <w:t xml:space="preserve"> </w:t>
      </w:r>
      <w:r w:rsidR="007C09AA" w:rsidRPr="007C09AA">
        <w:rPr>
          <w:sz w:val="24"/>
          <w:szCs w:val="24"/>
        </w:rPr>
        <w:t xml:space="preserve">The Applicant asserts the Proposed Project is necessary to ensure the residents of </w:t>
      </w:r>
      <w:r>
        <w:rPr>
          <w:sz w:val="24"/>
          <w:szCs w:val="24"/>
        </w:rPr>
        <w:t xml:space="preserve">the Island </w:t>
      </w:r>
      <w:r w:rsidR="007C09AA" w:rsidRPr="007C09AA">
        <w:rPr>
          <w:sz w:val="24"/>
          <w:szCs w:val="24"/>
        </w:rPr>
        <w:t xml:space="preserve">have continued access </w:t>
      </w:r>
      <w:r w:rsidR="00613725">
        <w:rPr>
          <w:sz w:val="24"/>
          <w:szCs w:val="24"/>
        </w:rPr>
        <w:t xml:space="preserve">to </w:t>
      </w:r>
      <w:r w:rsidR="007C09AA" w:rsidRPr="007C09AA">
        <w:rPr>
          <w:sz w:val="24"/>
          <w:szCs w:val="24"/>
        </w:rPr>
        <w:t>skilled nursing services</w:t>
      </w:r>
      <w:r>
        <w:rPr>
          <w:sz w:val="24"/>
          <w:szCs w:val="24"/>
        </w:rPr>
        <w:t xml:space="preserve"> there</w:t>
      </w:r>
      <w:r w:rsidR="007C09AA" w:rsidRPr="007C09AA">
        <w:rPr>
          <w:sz w:val="24"/>
          <w:szCs w:val="24"/>
        </w:rPr>
        <w:t>, including access to short-term rehabilitation</w:t>
      </w:r>
      <w:r w:rsidR="004566F5">
        <w:rPr>
          <w:sz w:val="24"/>
          <w:szCs w:val="24"/>
        </w:rPr>
        <w:t>, which is currently unavailable</w:t>
      </w:r>
      <w:r w:rsidR="007C09AA" w:rsidRPr="007C09AA">
        <w:rPr>
          <w:sz w:val="24"/>
          <w:szCs w:val="24"/>
        </w:rPr>
        <w:t xml:space="preserve">. </w:t>
      </w:r>
      <w:r w:rsidR="00837C1C">
        <w:rPr>
          <w:sz w:val="24"/>
          <w:szCs w:val="24"/>
        </w:rPr>
        <w:t xml:space="preserve">Windemere is </w:t>
      </w:r>
      <w:r w:rsidR="00837C1C" w:rsidRPr="00AD4E62">
        <w:rPr>
          <w:sz w:val="24"/>
          <w:szCs w:val="24"/>
        </w:rPr>
        <w:t xml:space="preserve">the only SNF on </w:t>
      </w:r>
      <w:r w:rsidR="00766D39">
        <w:rPr>
          <w:sz w:val="24"/>
          <w:szCs w:val="24"/>
        </w:rPr>
        <w:t xml:space="preserve">the Island, </w:t>
      </w:r>
      <w:r w:rsidR="00837C1C">
        <w:rPr>
          <w:sz w:val="24"/>
          <w:szCs w:val="24"/>
        </w:rPr>
        <w:t xml:space="preserve">therefore </w:t>
      </w:r>
      <w:r w:rsidR="00837C1C" w:rsidRPr="00AD4E62">
        <w:rPr>
          <w:sz w:val="24"/>
          <w:szCs w:val="24"/>
        </w:rPr>
        <w:t xml:space="preserve">residents in need of skilled nursing services have two options: receive care </w:t>
      </w:r>
      <w:r w:rsidR="00837C1C">
        <w:rPr>
          <w:sz w:val="24"/>
          <w:szCs w:val="24"/>
        </w:rPr>
        <w:t xml:space="preserve">at </w:t>
      </w:r>
      <w:r w:rsidR="00837C1C" w:rsidRPr="00AD4E62">
        <w:rPr>
          <w:sz w:val="24"/>
          <w:szCs w:val="24"/>
        </w:rPr>
        <w:t>Windemere or leave the island.</w:t>
      </w:r>
      <w:r w:rsidR="00766D39">
        <w:rPr>
          <w:sz w:val="24"/>
          <w:szCs w:val="24"/>
        </w:rPr>
        <w:t xml:space="preserve"> </w:t>
      </w:r>
      <w:r w:rsidR="007C09AA" w:rsidRPr="00AD4E62">
        <w:rPr>
          <w:sz w:val="24"/>
          <w:szCs w:val="24"/>
        </w:rPr>
        <w:t xml:space="preserve">Since travel on and off the island is limited to boat or airplane, it is more isolated than cities or towns on the Massachusetts mainland. </w:t>
      </w:r>
    </w:p>
    <w:p w14:paraId="39BC962F" w14:textId="526EBE40" w:rsidR="009B5AE0" w:rsidRPr="00AD4E62" w:rsidRDefault="001A20BF" w:rsidP="00731ABF">
      <w:pPr>
        <w:pStyle w:val="pf0"/>
        <w:rPr>
          <w:rFonts w:asciiTheme="minorHAnsi" w:hAnsiTheme="minorHAnsi" w:cstheme="minorBidi"/>
        </w:rPr>
      </w:pPr>
      <w:r>
        <w:rPr>
          <w:rStyle w:val="cf01"/>
          <w:rFonts w:asciiTheme="minorHAnsi" w:hAnsiTheme="minorHAnsi" w:cstheme="minorBidi"/>
          <w:sz w:val="24"/>
          <w:szCs w:val="24"/>
        </w:rPr>
        <w:t xml:space="preserve">Staff asked the </w:t>
      </w:r>
      <w:r w:rsidR="00381F22" w:rsidRPr="695818A5">
        <w:rPr>
          <w:rStyle w:val="cf01"/>
          <w:rFonts w:asciiTheme="minorHAnsi" w:hAnsiTheme="minorHAnsi" w:cstheme="minorBidi"/>
          <w:sz w:val="24"/>
          <w:szCs w:val="24"/>
        </w:rPr>
        <w:t xml:space="preserve">Applicant </w:t>
      </w:r>
      <w:r w:rsidR="009C65D3">
        <w:rPr>
          <w:rStyle w:val="cf01"/>
          <w:rFonts w:asciiTheme="minorHAnsi" w:hAnsiTheme="minorHAnsi" w:cstheme="minorBidi"/>
          <w:sz w:val="24"/>
          <w:szCs w:val="24"/>
        </w:rPr>
        <w:t xml:space="preserve">for </w:t>
      </w:r>
      <w:r w:rsidR="00DC29E1" w:rsidRPr="695818A5">
        <w:rPr>
          <w:rStyle w:val="cf01"/>
          <w:rFonts w:asciiTheme="minorHAnsi" w:hAnsiTheme="minorHAnsi" w:cstheme="minorBidi"/>
          <w:sz w:val="24"/>
          <w:szCs w:val="24"/>
        </w:rPr>
        <w:t xml:space="preserve">additional </w:t>
      </w:r>
      <w:r w:rsidR="00381F22" w:rsidRPr="695818A5">
        <w:rPr>
          <w:rStyle w:val="cf01"/>
          <w:rFonts w:asciiTheme="minorHAnsi" w:hAnsiTheme="minorHAnsi" w:cstheme="minorBidi"/>
          <w:sz w:val="24"/>
          <w:szCs w:val="24"/>
        </w:rPr>
        <w:t xml:space="preserve">information </w:t>
      </w:r>
      <w:r w:rsidR="009C65D3">
        <w:rPr>
          <w:rStyle w:val="cf01"/>
          <w:rFonts w:asciiTheme="minorHAnsi" w:hAnsiTheme="minorHAnsi" w:cstheme="minorBidi"/>
          <w:sz w:val="24"/>
          <w:szCs w:val="24"/>
        </w:rPr>
        <w:t xml:space="preserve">regarding </w:t>
      </w:r>
      <w:r w:rsidR="003E4A3C" w:rsidRPr="695818A5">
        <w:rPr>
          <w:rStyle w:val="cf01"/>
          <w:rFonts w:asciiTheme="minorHAnsi" w:hAnsiTheme="minorHAnsi" w:cstheme="minorBidi"/>
          <w:sz w:val="24"/>
          <w:szCs w:val="24"/>
        </w:rPr>
        <w:t>the number of</w:t>
      </w:r>
      <w:r w:rsidR="00381F22" w:rsidRPr="695818A5">
        <w:rPr>
          <w:rStyle w:val="cf01"/>
          <w:rFonts w:asciiTheme="minorHAnsi" w:hAnsiTheme="minorHAnsi" w:cstheme="minorBidi"/>
          <w:sz w:val="24"/>
          <w:szCs w:val="24"/>
        </w:rPr>
        <w:t xml:space="preserve"> patients </w:t>
      </w:r>
      <w:r w:rsidR="003E4A3C" w:rsidRPr="695818A5">
        <w:rPr>
          <w:rStyle w:val="cf01"/>
          <w:rFonts w:asciiTheme="minorHAnsi" w:hAnsiTheme="minorHAnsi" w:cstheme="minorBidi"/>
          <w:sz w:val="24"/>
          <w:szCs w:val="24"/>
        </w:rPr>
        <w:t xml:space="preserve">who leave </w:t>
      </w:r>
      <w:r w:rsidR="00DC29E1" w:rsidRPr="695818A5">
        <w:rPr>
          <w:rStyle w:val="cf01"/>
          <w:rFonts w:asciiTheme="minorHAnsi" w:hAnsiTheme="minorHAnsi" w:cstheme="minorBidi"/>
          <w:sz w:val="24"/>
          <w:szCs w:val="24"/>
        </w:rPr>
        <w:t xml:space="preserve">the Island </w:t>
      </w:r>
      <w:r w:rsidR="00381F22" w:rsidRPr="695818A5">
        <w:rPr>
          <w:rStyle w:val="cf01"/>
          <w:rFonts w:asciiTheme="minorHAnsi" w:hAnsiTheme="minorHAnsi" w:cstheme="minorBidi"/>
          <w:sz w:val="24"/>
          <w:szCs w:val="24"/>
        </w:rPr>
        <w:t xml:space="preserve">due to capacity constraints at </w:t>
      </w:r>
      <w:r w:rsidR="4E8CF558" w:rsidRPr="695818A5">
        <w:rPr>
          <w:rStyle w:val="cf01"/>
          <w:rFonts w:asciiTheme="minorHAnsi" w:hAnsiTheme="minorHAnsi" w:cstheme="minorBidi"/>
          <w:sz w:val="24"/>
          <w:szCs w:val="24"/>
        </w:rPr>
        <w:t>Windemere but</w:t>
      </w:r>
      <w:r w:rsidR="00381F22" w:rsidRPr="695818A5">
        <w:rPr>
          <w:rStyle w:val="cf01"/>
          <w:rFonts w:asciiTheme="minorHAnsi" w:hAnsiTheme="minorHAnsi" w:cstheme="minorBidi"/>
          <w:sz w:val="24"/>
          <w:szCs w:val="24"/>
        </w:rPr>
        <w:t xml:space="preserve"> would have preferred to remain on-island</w:t>
      </w:r>
      <w:r w:rsidR="009C65D3">
        <w:rPr>
          <w:rStyle w:val="cf01"/>
          <w:rFonts w:asciiTheme="minorHAnsi" w:hAnsiTheme="minorHAnsi" w:cstheme="minorBidi"/>
          <w:sz w:val="24"/>
          <w:szCs w:val="24"/>
        </w:rPr>
        <w:t>.  The Applicant reported that number</w:t>
      </w:r>
      <w:r w:rsidR="008D56BB" w:rsidRPr="695818A5">
        <w:rPr>
          <w:rStyle w:val="cf01"/>
          <w:rFonts w:asciiTheme="minorHAnsi" w:hAnsiTheme="minorHAnsi" w:cstheme="minorBidi"/>
          <w:sz w:val="24"/>
          <w:szCs w:val="24"/>
        </w:rPr>
        <w:t xml:space="preserve"> is not tracked</w:t>
      </w:r>
      <w:r w:rsidR="009C65D3">
        <w:rPr>
          <w:rStyle w:val="cf01"/>
          <w:rFonts w:asciiTheme="minorHAnsi" w:hAnsiTheme="minorHAnsi" w:cstheme="minorBidi"/>
          <w:sz w:val="24"/>
          <w:szCs w:val="24"/>
        </w:rPr>
        <w:t xml:space="preserve"> </w:t>
      </w:r>
      <w:r w:rsidR="00B67B79">
        <w:rPr>
          <w:rStyle w:val="cf01"/>
          <w:rFonts w:asciiTheme="minorHAnsi" w:hAnsiTheme="minorHAnsi" w:cstheme="minorBidi"/>
          <w:sz w:val="24"/>
          <w:szCs w:val="24"/>
        </w:rPr>
        <w:t xml:space="preserve">but </w:t>
      </w:r>
      <w:r w:rsidR="008C7530">
        <w:rPr>
          <w:rStyle w:val="cf01"/>
          <w:rFonts w:asciiTheme="minorHAnsi" w:hAnsiTheme="minorHAnsi" w:cstheme="minorBidi"/>
          <w:sz w:val="24"/>
          <w:szCs w:val="24"/>
        </w:rPr>
        <w:t xml:space="preserve">noted that </w:t>
      </w:r>
      <w:r w:rsidR="00381F22" w:rsidRPr="695818A5">
        <w:rPr>
          <w:rStyle w:val="cf01"/>
          <w:rFonts w:asciiTheme="minorHAnsi" w:hAnsiTheme="minorHAnsi" w:cstheme="minorBidi"/>
          <w:sz w:val="24"/>
          <w:szCs w:val="24"/>
        </w:rPr>
        <w:t>through community engagement</w:t>
      </w:r>
      <w:r w:rsidR="00474216">
        <w:rPr>
          <w:rStyle w:val="cf01"/>
          <w:rFonts w:asciiTheme="minorHAnsi" w:hAnsiTheme="minorHAnsi" w:cstheme="minorBidi"/>
          <w:sz w:val="24"/>
          <w:szCs w:val="24"/>
        </w:rPr>
        <w:t>, the Applicant has “</w:t>
      </w:r>
      <w:r w:rsidR="00474216" w:rsidRPr="0070581A">
        <w:rPr>
          <w:rFonts w:asciiTheme="minorHAnsi" w:hAnsiTheme="minorHAnsi" w:cstheme="minorHAnsi"/>
        </w:rPr>
        <w:t>repeatedly heard of residents going off-island for care because services were not available on the island. While Navigator was able to confirm a minimum of 13 residents who have gone off-island for care through informal survey, this number does not accurately reflect the true number of residents who are receiving long-term care off-island. This number is in addition to Windemere’s existing 15-person waitlist of Island residents who are not interested in seeking care off-island”</w:t>
      </w:r>
      <w:r w:rsidR="00381F22" w:rsidRPr="695818A5">
        <w:rPr>
          <w:rStyle w:val="cf01"/>
          <w:rFonts w:asciiTheme="minorHAnsi" w:hAnsiTheme="minorHAnsi" w:cstheme="minorBidi"/>
          <w:sz w:val="24"/>
          <w:szCs w:val="24"/>
        </w:rPr>
        <w:t xml:space="preserve"> </w:t>
      </w:r>
      <w:r w:rsidR="0070581A">
        <w:rPr>
          <w:rStyle w:val="cf01"/>
          <w:rFonts w:asciiTheme="minorHAnsi" w:hAnsiTheme="minorHAnsi" w:cstheme="minorBidi"/>
          <w:sz w:val="24"/>
          <w:szCs w:val="24"/>
        </w:rPr>
        <w:t xml:space="preserve">additionally, the Applicant noted </w:t>
      </w:r>
      <w:r w:rsidR="00DC29E1" w:rsidRPr="695818A5">
        <w:rPr>
          <w:rStyle w:val="cf01"/>
          <w:rFonts w:asciiTheme="minorHAnsi" w:hAnsiTheme="minorHAnsi" w:cstheme="minorBidi"/>
          <w:sz w:val="24"/>
          <w:szCs w:val="24"/>
        </w:rPr>
        <w:t>that some residents forgo care so as to remain on the island.</w:t>
      </w:r>
    </w:p>
    <w:p w14:paraId="4CB95C43" w14:textId="52CE4D3D" w:rsidR="00867C78" w:rsidRPr="00867C78" w:rsidRDefault="00867C78" w:rsidP="00731ABF">
      <w:pPr>
        <w:pStyle w:val="ListParagraph"/>
        <w:numPr>
          <w:ilvl w:val="0"/>
          <w:numId w:val="5"/>
        </w:numPr>
        <w:rPr>
          <w:sz w:val="24"/>
          <w:szCs w:val="24"/>
        </w:rPr>
      </w:pPr>
      <w:r w:rsidRPr="00867C78">
        <w:rPr>
          <w:sz w:val="24"/>
          <w:szCs w:val="24"/>
        </w:rPr>
        <w:t xml:space="preserve">The Growth in the Aging Population </w:t>
      </w:r>
    </w:p>
    <w:p w14:paraId="5CF95CF3" w14:textId="77777777" w:rsidR="00867C78" w:rsidRPr="00867C78" w:rsidRDefault="00867C78" w:rsidP="00731ABF">
      <w:pPr>
        <w:spacing w:after="0" w:line="240" w:lineRule="auto"/>
        <w:rPr>
          <w:color w:val="1F4E79" w:themeColor="accent5" w:themeShade="80"/>
          <w:sz w:val="24"/>
          <w:szCs w:val="24"/>
        </w:rPr>
      </w:pPr>
    </w:p>
    <w:p w14:paraId="30E31DE5" w14:textId="77777777" w:rsidR="001605D5" w:rsidRDefault="00426A89" w:rsidP="00731ABF">
      <w:pPr>
        <w:spacing w:line="240" w:lineRule="auto"/>
        <w:rPr>
          <w:sz w:val="24"/>
          <w:szCs w:val="24"/>
        </w:rPr>
      </w:pPr>
      <w:r w:rsidRPr="00426A89">
        <w:rPr>
          <w:sz w:val="24"/>
          <w:szCs w:val="24"/>
        </w:rPr>
        <w:lastRenderedPageBreak/>
        <w:t>Approximately 70% of individuals over the age of 65 will require long term support and services during their lifetime.</w:t>
      </w:r>
      <w:r w:rsidRPr="00426A89">
        <w:rPr>
          <w:sz w:val="24"/>
          <w:szCs w:val="24"/>
          <w:vertAlign w:val="superscript"/>
        </w:rPr>
        <w:endnoteReference w:id="4"/>
      </w:r>
      <w:r w:rsidRPr="00426A89">
        <w:rPr>
          <w:sz w:val="24"/>
          <w:szCs w:val="24"/>
        </w:rPr>
        <w:t xml:space="preserve"> </w:t>
      </w:r>
      <w:r w:rsidR="00362771" w:rsidRPr="00867C78">
        <w:rPr>
          <w:sz w:val="24"/>
          <w:szCs w:val="24"/>
        </w:rPr>
        <w:t xml:space="preserve">An estimated 25% </w:t>
      </w:r>
      <w:r w:rsidR="00AD4E62">
        <w:rPr>
          <w:sz w:val="24"/>
          <w:szCs w:val="24"/>
        </w:rPr>
        <w:t xml:space="preserve">(~4,250 residents) </w:t>
      </w:r>
      <w:r w:rsidR="00362771" w:rsidRPr="00867C78">
        <w:rPr>
          <w:sz w:val="24"/>
          <w:szCs w:val="24"/>
        </w:rPr>
        <w:t>of Martha’s Vineyard’s year-round residents are age 65 and older which</w:t>
      </w:r>
      <w:r w:rsidR="00EE66CB">
        <w:rPr>
          <w:sz w:val="24"/>
          <w:szCs w:val="24"/>
        </w:rPr>
        <w:t>,</w:t>
      </w:r>
      <w:r w:rsidR="00362771" w:rsidRPr="00867C78">
        <w:rPr>
          <w:sz w:val="24"/>
          <w:szCs w:val="24"/>
        </w:rPr>
        <w:t xml:space="preserve"> </w:t>
      </w:r>
      <w:r w:rsidR="00EE66CB">
        <w:rPr>
          <w:sz w:val="24"/>
          <w:szCs w:val="24"/>
        </w:rPr>
        <w:t xml:space="preserve">the Applicant states, </w:t>
      </w:r>
      <w:r w:rsidR="00DC29E1">
        <w:rPr>
          <w:sz w:val="24"/>
          <w:szCs w:val="24"/>
        </w:rPr>
        <w:t xml:space="preserve">affirms the continued </w:t>
      </w:r>
      <w:r w:rsidR="00362771" w:rsidRPr="00867C78">
        <w:rPr>
          <w:sz w:val="24"/>
          <w:szCs w:val="24"/>
        </w:rPr>
        <w:t xml:space="preserve">need for long-term care services on the </w:t>
      </w:r>
      <w:r w:rsidR="00EE66CB">
        <w:rPr>
          <w:sz w:val="24"/>
          <w:szCs w:val="24"/>
        </w:rPr>
        <w:t>I</w:t>
      </w:r>
      <w:r w:rsidR="00362771" w:rsidRPr="00867C78">
        <w:rPr>
          <w:sz w:val="24"/>
          <w:szCs w:val="24"/>
        </w:rPr>
        <w:t>sland</w:t>
      </w:r>
      <w:r w:rsidR="00543669">
        <w:rPr>
          <w:sz w:val="24"/>
          <w:szCs w:val="24"/>
        </w:rPr>
        <w:t xml:space="preserve">, and </w:t>
      </w:r>
      <w:r w:rsidR="009C401D">
        <w:rPr>
          <w:sz w:val="24"/>
          <w:szCs w:val="24"/>
        </w:rPr>
        <w:t>it projects t</w:t>
      </w:r>
      <w:r w:rsidR="00DC29E1" w:rsidRPr="00DC29E1">
        <w:rPr>
          <w:sz w:val="24"/>
          <w:szCs w:val="24"/>
        </w:rPr>
        <w:t>he demand for a long-term care facility on Martha’s Vineyard is projected to increase with the aging population.</w:t>
      </w:r>
      <w:r w:rsidR="00DC29E1">
        <w:rPr>
          <w:sz w:val="24"/>
          <w:szCs w:val="24"/>
        </w:rPr>
        <w:t xml:space="preserve"> </w:t>
      </w:r>
    </w:p>
    <w:p w14:paraId="79BF5014" w14:textId="344DA42A" w:rsidR="00867C78" w:rsidRPr="00867C78" w:rsidRDefault="00991BB2" w:rsidP="00731ABF">
      <w:pPr>
        <w:spacing w:line="240" w:lineRule="auto"/>
        <w:rPr>
          <w:sz w:val="24"/>
          <w:szCs w:val="24"/>
        </w:rPr>
      </w:pPr>
      <w:r>
        <w:rPr>
          <w:sz w:val="24"/>
          <w:szCs w:val="24"/>
        </w:rPr>
        <w:t xml:space="preserve">The proportion of </w:t>
      </w:r>
      <w:r w:rsidR="00307A93">
        <w:rPr>
          <w:sz w:val="24"/>
          <w:szCs w:val="24"/>
        </w:rPr>
        <w:t xml:space="preserve">the 65 and over age cohort is </w:t>
      </w:r>
      <w:r w:rsidR="0017502F">
        <w:rPr>
          <w:sz w:val="24"/>
          <w:szCs w:val="24"/>
        </w:rPr>
        <w:t>slightly higher than the projections for the aging population in the Commonwealth.</w:t>
      </w:r>
      <w:r w:rsidR="001605D5">
        <w:rPr>
          <w:sz w:val="24"/>
          <w:szCs w:val="24"/>
        </w:rPr>
        <w:t xml:space="preserve"> </w:t>
      </w:r>
      <w:r w:rsidR="0017502F" w:rsidRPr="0017502F">
        <w:rPr>
          <w:sz w:val="24"/>
          <w:szCs w:val="24"/>
        </w:rPr>
        <w:t>The UMass Donohue Institute projects that by 2035, the 65 and over age cohort will represent 23% of the state’s population.</w:t>
      </w:r>
      <w:r w:rsidR="0017502F" w:rsidRPr="0017502F">
        <w:rPr>
          <w:sz w:val="24"/>
          <w:szCs w:val="24"/>
          <w:vertAlign w:val="superscript"/>
        </w:rPr>
        <w:footnoteReference w:id="9"/>
      </w:r>
      <w:r w:rsidR="0017502F" w:rsidRPr="0017502F">
        <w:rPr>
          <w:sz w:val="24"/>
          <w:szCs w:val="24"/>
        </w:rPr>
        <w:t xml:space="preserve"> </w:t>
      </w:r>
      <w:r w:rsidR="004A7D0A" w:rsidRPr="00867C78">
        <w:rPr>
          <w:sz w:val="24"/>
          <w:szCs w:val="24"/>
        </w:rPr>
        <w:t>T</w:t>
      </w:r>
      <w:r w:rsidR="00730574" w:rsidRPr="00867C78">
        <w:rPr>
          <w:sz w:val="24"/>
          <w:szCs w:val="24"/>
        </w:rPr>
        <w:t>he U.S. is undergoing a rapid increase in the overall age of its population. By 2034, the 65+ age cohort is expected to reach 77 million and by 2050, this population will reach 83.7 million, accounting for approximately 20% of the U.S. population.</w:t>
      </w:r>
      <w:r w:rsidR="00730574" w:rsidRPr="00867C78">
        <w:rPr>
          <w:sz w:val="24"/>
          <w:szCs w:val="24"/>
          <w:vertAlign w:val="superscript"/>
        </w:rPr>
        <w:footnoteReference w:id="10"/>
      </w:r>
      <w:r w:rsidR="00730574" w:rsidRPr="00867C78">
        <w:rPr>
          <w:sz w:val="24"/>
          <w:szCs w:val="24"/>
        </w:rPr>
        <w:t xml:space="preserve"> </w:t>
      </w:r>
    </w:p>
    <w:p w14:paraId="2A678F65" w14:textId="6D2494C6" w:rsidR="00730574" w:rsidRDefault="00867C78" w:rsidP="00731ABF">
      <w:pPr>
        <w:spacing w:line="240" w:lineRule="auto"/>
        <w:rPr>
          <w:sz w:val="24"/>
          <w:szCs w:val="24"/>
        </w:rPr>
      </w:pPr>
      <w:r w:rsidRPr="00867C78">
        <w:rPr>
          <w:sz w:val="24"/>
          <w:szCs w:val="24"/>
        </w:rPr>
        <w:t xml:space="preserve">The Applicant </w:t>
      </w:r>
      <w:r w:rsidR="0017502F">
        <w:rPr>
          <w:sz w:val="24"/>
          <w:szCs w:val="24"/>
        </w:rPr>
        <w:t xml:space="preserve">also </w:t>
      </w:r>
      <w:r w:rsidRPr="00867C78">
        <w:rPr>
          <w:sz w:val="24"/>
          <w:szCs w:val="24"/>
        </w:rPr>
        <w:t xml:space="preserve">suggests that </w:t>
      </w:r>
      <w:bookmarkStart w:id="5" w:name="_Hlk120628462"/>
      <w:r w:rsidRPr="00867C78">
        <w:rPr>
          <w:sz w:val="24"/>
          <w:szCs w:val="24"/>
        </w:rPr>
        <w:t>i</w:t>
      </w:r>
      <w:r w:rsidR="004A7D0A" w:rsidRPr="00867C78">
        <w:rPr>
          <w:sz w:val="24"/>
          <w:szCs w:val="24"/>
        </w:rPr>
        <w:t xml:space="preserve">n addition to the </w:t>
      </w:r>
      <w:r w:rsidR="001605D5">
        <w:rPr>
          <w:sz w:val="24"/>
          <w:szCs w:val="24"/>
        </w:rPr>
        <w:t>number</w:t>
      </w:r>
      <w:r w:rsidR="004A7D0A" w:rsidRPr="00867C78">
        <w:rPr>
          <w:sz w:val="24"/>
          <w:szCs w:val="24"/>
        </w:rPr>
        <w:t xml:space="preserve"> of year-round 65+ </w:t>
      </w:r>
      <w:r w:rsidR="00730574" w:rsidRPr="00867C78">
        <w:rPr>
          <w:sz w:val="24"/>
          <w:szCs w:val="24"/>
        </w:rPr>
        <w:t>residents of</w:t>
      </w:r>
      <w:r w:rsidR="001605D5">
        <w:rPr>
          <w:sz w:val="24"/>
          <w:szCs w:val="24"/>
        </w:rPr>
        <w:t xml:space="preserve"> the Island</w:t>
      </w:r>
      <w:r w:rsidR="004A7D0A" w:rsidRPr="00867C78">
        <w:rPr>
          <w:sz w:val="24"/>
          <w:szCs w:val="24"/>
        </w:rPr>
        <w:t>,</w:t>
      </w:r>
      <w:r w:rsidR="00730574" w:rsidRPr="00867C78">
        <w:rPr>
          <w:sz w:val="24"/>
          <w:szCs w:val="24"/>
        </w:rPr>
        <w:t xml:space="preserve"> </w:t>
      </w:r>
      <w:r w:rsidR="004A7D0A" w:rsidRPr="00867C78">
        <w:rPr>
          <w:sz w:val="24"/>
          <w:szCs w:val="24"/>
        </w:rPr>
        <w:t xml:space="preserve">other residents </w:t>
      </w:r>
      <w:r w:rsidR="00730574" w:rsidRPr="00867C78">
        <w:rPr>
          <w:sz w:val="24"/>
          <w:szCs w:val="24"/>
        </w:rPr>
        <w:t xml:space="preserve">may </w:t>
      </w:r>
      <w:r w:rsidR="001605D5">
        <w:rPr>
          <w:sz w:val="24"/>
          <w:szCs w:val="24"/>
        </w:rPr>
        <w:t xml:space="preserve">wish </w:t>
      </w:r>
      <w:r w:rsidR="00730574" w:rsidRPr="00867C78">
        <w:rPr>
          <w:sz w:val="24"/>
          <w:szCs w:val="24"/>
        </w:rPr>
        <w:t>to bring the</w:t>
      </w:r>
      <w:r w:rsidR="004A7D0A" w:rsidRPr="00867C78">
        <w:rPr>
          <w:sz w:val="24"/>
          <w:szCs w:val="24"/>
        </w:rPr>
        <w:t>ir</w:t>
      </w:r>
      <w:r w:rsidR="00730574" w:rsidRPr="00867C78">
        <w:rPr>
          <w:sz w:val="24"/>
          <w:szCs w:val="24"/>
        </w:rPr>
        <w:t xml:space="preserve"> relative</w:t>
      </w:r>
      <w:r w:rsidR="004A7D0A" w:rsidRPr="00867C78">
        <w:rPr>
          <w:sz w:val="24"/>
          <w:szCs w:val="24"/>
        </w:rPr>
        <w:t>s</w:t>
      </w:r>
      <w:r w:rsidR="007201C1">
        <w:rPr>
          <w:sz w:val="24"/>
          <w:szCs w:val="24"/>
        </w:rPr>
        <w:t xml:space="preserve"> who</w:t>
      </w:r>
      <w:r w:rsidR="004A7D0A" w:rsidRPr="00867C78">
        <w:rPr>
          <w:sz w:val="24"/>
          <w:szCs w:val="24"/>
        </w:rPr>
        <w:t xml:space="preserve"> resid</w:t>
      </w:r>
      <w:r w:rsidR="007201C1">
        <w:rPr>
          <w:sz w:val="24"/>
          <w:szCs w:val="24"/>
        </w:rPr>
        <w:t>e</w:t>
      </w:r>
      <w:r w:rsidR="004A7D0A" w:rsidRPr="00867C78">
        <w:rPr>
          <w:sz w:val="24"/>
          <w:szCs w:val="24"/>
        </w:rPr>
        <w:t xml:space="preserve"> elsewhere</w:t>
      </w:r>
      <w:bookmarkEnd w:id="5"/>
      <w:r w:rsidRPr="00867C78">
        <w:rPr>
          <w:sz w:val="24"/>
          <w:szCs w:val="24"/>
        </w:rPr>
        <w:t>,</w:t>
      </w:r>
      <w:r w:rsidR="004A7D0A" w:rsidRPr="00867C78">
        <w:rPr>
          <w:sz w:val="24"/>
          <w:szCs w:val="24"/>
        </w:rPr>
        <w:t xml:space="preserve"> </w:t>
      </w:r>
      <w:r w:rsidR="00730574" w:rsidRPr="00867C78">
        <w:rPr>
          <w:sz w:val="24"/>
          <w:szCs w:val="24"/>
        </w:rPr>
        <w:t xml:space="preserve">to </w:t>
      </w:r>
      <w:r w:rsidR="007201C1">
        <w:rPr>
          <w:sz w:val="24"/>
          <w:szCs w:val="24"/>
        </w:rPr>
        <w:t xml:space="preserve">the new facility, </w:t>
      </w:r>
      <w:r w:rsidR="00096020">
        <w:rPr>
          <w:sz w:val="24"/>
          <w:szCs w:val="24"/>
        </w:rPr>
        <w:t xml:space="preserve">Navigator Homes of Martha’s Vineyard, </w:t>
      </w:r>
      <w:r w:rsidR="0017502F">
        <w:rPr>
          <w:sz w:val="24"/>
          <w:szCs w:val="24"/>
        </w:rPr>
        <w:t xml:space="preserve">in order </w:t>
      </w:r>
      <w:r w:rsidR="00730574" w:rsidRPr="00867C78">
        <w:rPr>
          <w:sz w:val="24"/>
          <w:szCs w:val="24"/>
        </w:rPr>
        <w:t xml:space="preserve">to be </w:t>
      </w:r>
      <w:r w:rsidR="00D84DC8">
        <w:rPr>
          <w:sz w:val="24"/>
          <w:szCs w:val="24"/>
        </w:rPr>
        <w:t xml:space="preserve">in </w:t>
      </w:r>
      <w:r w:rsidR="00730574" w:rsidRPr="00867C78">
        <w:rPr>
          <w:sz w:val="24"/>
          <w:szCs w:val="24"/>
        </w:rPr>
        <w:t>closer proximity to the</w:t>
      </w:r>
      <w:r w:rsidR="0017502F">
        <w:rPr>
          <w:sz w:val="24"/>
          <w:szCs w:val="24"/>
        </w:rPr>
        <w:t>ir family</w:t>
      </w:r>
      <w:r w:rsidR="00730574" w:rsidRPr="00867C78">
        <w:rPr>
          <w:sz w:val="24"/>
          <w:szCs w:val="24"/>
        </w:rPr>
        <w:t xml:space="preserve">. </w:t>
      </w:r>
    </w:p>
    <w:p w14:paraId="7EF2E310" w14:textId="3D086C4D" w:rsidR="00867C78" w:rsidRDefault="00867C78" w:rsidP="00867C78">
      <w:pPr>
        <w:spacing w:line="240" w:lineRule="auto"/>
        <w:rPr>
          <w:sz w:val="24"/>
          <w:szCs w:val="24"/>
        </w:rPr>
      </w:pPr>
      <w:r>
        <w:rPr>
          <w:sz w:val="24"/>
          <w:szCs w:val="24"/>
        </w:rPr>
        <w:t xml:space="preserve">3.   </w:t>
      </w:r>
      <w:r w:rsidRPr="00867C78">
        <w:rPr>
          <w:sz w:val="24"/>
          <w:szCs w:val="24"/>
        </w:rPr>
        <w:t xml:space="preserve">The Need to Replace the </w:t>
      </w:r>
      <w:r w:rsidR="005F5C7F">
        <w:rPr>
          <w:sz w:val="24"/>
          <w:szCs w:val="24"/>
        </w:rPr>
        <w:t>E</w:t>
      </w:r>
      <w:r w:rsidRPr="00867C78">
        <w:rPr>
          <w:sz w:val="24"/>
          <w:szCs w:val="24"/>
        </w:rPr>
        <w:t>xisting Facility</w:t>
      </w:r>
    </w:p>
    <w:p w14:paraId="1AE7E842" w14:textId="64378E7B" w:rsidR="00270AB7" w:rsidRDefault="00867C78" w:rsidP="00731ABF">
      <w:pPr>
        <w:spacing w:line="240" w:lineRule="auto"/>
        <w:rPr>
          <w:sz w:val="24"/>
          <w:szCs w:val="24"/>
        </w:rPr>
      </w:pPr>
      <w:r w:rsidRPr="00867C78">
        <w:rPr>
          <w:sz w:val="24"/>
          <w:szCs w:val="24"/>
        </w:rPr>
        <w:t>Windemere was built in 1994 and consists of a traditional, institutional nursing home design, with mostly semi-private rooms</w:t>
      </w:r>
      <w:r w:rsidR="00270AB7">
        <w:rPr>
          <w:sz w:val="24"/>
          <w:szCs w:val="24"/>
        </w:rPr>
        <w:t xml:space="preserve"> and shared bath</w:t>
      </w:r>
      <w:r w:rsidR="00096020">
        <w:rPr>
          <w:sz w:val="24"/>
          <w:szCs w:val="24"/>
        </w:rPr>
        <w:t xml:space="preserve"> among four residents</w:t>
      </w:r>
      <w:r w:rsidR="007C09AA">
        <w:rPr>
          <w:sz w:val="24"/>
          <w:szCs w:val="24"/>
        </w:rPr>
        <w:t>.</w:t>
      </w:r>
      <w:r w:rsidR="00270AB7">
        <w:rPr>
          <w:sz w:val="24"/>
          <w:szCs w:val="24"/>
        </w:rPr>
        <w:t xml:space="preserve"> </w:t>
      </w:r>
      <w:r w:rsidR="00B735D0" w:rsidRPr="00B735D0">
        <w:rPr>
          <w:sz w:val="24"/>
          <w:szCs w:val="24"/>
        </w:rPr>
        <w:t>Because of th</w:t>
      </w:r>
      <w:r w:rsidR="00B735D0">
        <w:rPr>
          <w:sz w:val="24"/>
          <w:szCs w:val="24"/>
        </w:rPr>
        <w:t>e</w:t>
      </w:r>
      <w:r w:rsidR="00B735D0" w:rsidRPr="00B735D0">
        <w:rPr>
          <w:sz w:val="24"/>
          <w:szCs w:val="24"/>
        </w:rPr>
        <w:t xml:space="preserve"> co-location within MVH, </w:t>
      </w:r>
      <w:r w:rsidR="00096020">
        <w:rPr>
          <w:sz w:val="24"/>
          <w:szCs w:val="24"/>
        </w:rPr>
        <w:t xml:space="preserve">the current facility </w:t>
      </w:r>
      <w:r w:rsidR="00B735D0" w:rsidRPr="00B735D0">
        <w:rPr>
          <w:sz w:val="24"/>
          <w:szCs w:val="24"/>
        </w:rPr>
        <w:t>is limited in design that it can offer residents</w:t>
      </w:r>
      <w:r w:rsidR="00B735D0">
        <w:rPr>
          <w:sz w:val="24"/>
          <w:szCs w:val="24"/>
        </w:rPr>
        <w:t xml:space="preserve"> and </w:t>
      </w:r>
      <w:r w:rsidR="00B735D0" w:rsidRPr="00B735D0">
        <w:rPr>
          <w:sz w:val="24"/>
          <w:szCs w:val="24"/>
        </w:rPr>
        <w:t>renovations would be limited to the facility’s existing footprint.</w:t>
      </w:r>
      <w:r w:rsidR="00B735D0">
        <w:rPr>
          <w:sz w:val="24"/>
          <w:szCs w:val="24"/>
        </w:rPr>
        <w:t xml:space="preserve"> C</w:t>
      </w:r>
      <w:r w:rsidR="00B735D0" w:rsidRPr="00B735D0">
        <w:rPr>
          <w:sz w:val="24"/>
          <w:szCs w:val="24"/>
        </w:rPr>
        <w:t xml:space="preserve">onsequently, </w:t>
      </w:r>
      <w:r w:rsidR="00B735D0">
        <w:rPr>
          <w:sz w:val="24"/>
          <w:szCs w:val="24"/>
        </w:rPr>
        <w:t>the Applicant</w:t>
      </w:r>
      <w:r w:rsidR="00B735D0" w:rsidRPr="00B735D0">
        <w:rPr>
          <w:sz w:val="24"/>
          <w:szCs w:val="24"/>
        </w:rPr>
        <w:t xml:space="preserve"> would not be able to develop </w:t>
      </w:r>
      <w:r w:rsidR="00D940DB">
        <w:rPr>
          <w:sz w:val="24"/>
          <w:szCs w:val="24"/>
        </w:rPr>
        <w:t>this care M</w:t>
      </w:r>
      <w:r w:rsidR="00B735D0" w:rsidRPr="00B735D0">
        <w:rPr>
          <w:sz w:val="24"/>
          <w:szCs w:val="24"/>
        </w:rPr>
        <w:t>odel or add 9 beds to meet projected demand.</w:t>
      </w:r>
    </w:p>
    <w:p w14:paraId="49AE3D25" w14:textId="1B31EF40" w:rsidR="00270AB7" w:rsidRDefault="00270AB7" w:rsidP="00731ABF">
      <w:pPr>
        <w:spacing w:line="240" w:lineRule="auto"/>
        <w:rPr>
          <w:sz w:val="24"/>
          <w:szCs w:val="24"/>
        </w:rPr>
      </w:pPr>
      <w:r w:rsidRPr="00270AB7">
        <w:rPr>
          <w:sz w:val="24"/>
          <w:szCs w:val="24"/>
        </w:rPr>
        <w:t>Following staff inquiry</w:t>
      </w:r>
      <w:r w:rsidR="00B735D0">
        <w:rPr>
          <w:sz w:val="24"/>
          <w:szCs w:val="24"/>
        </w:rPr>
        <w:t>,</w:t>
      </w:r>
      <w:r w:rsidR="00D940DB">
        <w:rPr>
          <w:sz w:val="24"/>
          <w:szCs w:val="24"/>
        </w:rPr>
        <w:t xml:space="preserve"> </w:t>
      </w:r>
      <w:r w:rsidRPr="00270AB7">
        <w:rPr>
          <w:sz w:val="24"/>
          <w:szCs w:val="24"/>
        </w:rPr>
        <w:t xml:space="preserve">the </w:t>
      </w:r>
      <w:r w:rsidR="000A74C1">
        <w:rPr>
          <w:sz w:val="24"/>
          <w:szCs w:val="24"/>
        </w:rPr>
        <w:t>l</w:t>
      </w:r>
      <w:r w:rsidR="00F40992">
        <w:rPr>
          <w:sz w:val="24"/>
          <w:szCs w:val="24"/>
        </w:rPr>
        <w:t xml:space="preserve">icensed </w:t>
      </w:r>
      <w:r w:rsidR="00C66C25">
        <w:rPr>
          <w:sz w:val="24"/>
          <w:szCs w:val="24"/>
        </w:rPr>
        <w:t xml:space="preserve">bed and </w:t>
      </w:r>
      <w:r w:rsidR="00F40992">
        <w:rPr>
          <w:sz w:val="24"/>
          <w:szCs w:val="24"/>
        </w:rPr>
        <w:t>bath</w:t>
      </w:r>
      <w:r w:rsidR="00C66C25">
        <w:rPr>
          <w:sz w:val="24"/>
          <w:szCs w:val="24"/>
        </w:rPr>
        <w:t xml:space="preserve"> </w:t>
      </w:r>
      <w:r w:rsidR="000A05DF">
        <w:rPr>
          <w:sz w:val="24"/>
          <w:szCs w:val="24"/>
        </w:rPr>
        <w:t xml:space="preserve">configuration of the </w:t>
      </w:r>
      <w:r w:rsidRPr="00270AB7">
        <w:rPr>
          <w:sz w:val="24"/>
          <w:szCs w:val="24"/>
        </w:rPr>
        <w:t>existing facility</w:t>
      </w:r>
      <w:r w:rsidR="000A05DF">
        <w:rPr>
          <w:sz w:val="24"/>
          <w:szCs w:val="24"/>
        </w:rPr>
        <w:t xml:space="preserve"> w</w:t>
      </w:r>
      <w:r w:rsidR="00B735D0">
        <w:rPr>
          <w:sz w:val="24"/>
          <w:szCs w:val="24"/>
        </w:rPr>
        <w:t>as</w:t>
      </w:r>
      <w:r w:rsidR="000A05DF">
        <w:rPr>
          <w:sz w:val="24"/>
          <w:szCs w:val="24"/>
        </w:rPr>
        <w:t xml:space="preserve"> provided</w:t>
      </w:r>
      <w:r w:rsidR="00D900E5">
        <w:rPr>
          <w:sz w:val="24"/>
          <w:szCs w:val="24"/>
        </w:rPr>
        <w:t xml:space="preserve"> in </w:t>
      </w:r>
      <w:r w:rsidR="00B735D0">
        <w:rPr>
          <w:sz w:val="24"/>
          <w:szCs w:val="24"/>
        </w:rPr>
        <w:t>Table 4</w:t>
      </w:r>
      <w:r w:rsidR="00234A9E">
        <w:rPr>
          <w:sz w:val="24"/>
          <w:szCs w:val="24"/>
        </w:rPr>
        <w:t>.</w:t>
      </w:r>
      <w:r w:rsidR="00D900E5">
        <w:rPr>
          <w:sz w:val="24"/>
          <w:szCs w:val="24"/>
        </w:rPr>
        <w:t xml:space="preserve"> </w:t>
      </w:r>
      <w:r w:rsidR="00234A9E">
        <w:rPr>
          <w:sz w:val="24"/>
          <w:szCs w:val="24"/>
        </w:rPr>
        <w:t>O</w:t>
      </w:r>
      <w:r w:rsidR="00A80564">
        <w:rPr>
          <w:sz w:val="24"/>
          <w:szCs w:val="24"/>
        </w:rPr>
        <w:t>nly 3</w:t>
      </w:r>
      <w:r w:rsidR="00C20B5A">
        <w:rPr>
          <w:sz w:val="24"/>
          <w:szCs w:val="24"/>
        </w:rPr>
        <w:t>9</w:t>
      </w:r>
      <w:r w:rsidR="00A80564">
        <w:rPr>
          <w:sz w:val="24"/>
          <w:szCs w:val="24"/>
        </w:rPr>
        <w:t xml:space="preserve"> beds are in operation currently.</w:t>
      </w:r>
      <w:r w:rsidR="00B735D0">
        <w:rPr>
          <w:sz w:val="24"/>
          <w:szCs w:val="24"/>
        </w:rPr>
        <w:t xml:space="preserve">  </w:t>
      </w:r>
      <w:r w:rsidRPr="00270AB7">
        <w:rPr>
          <w:sz w:val="24"/>
          <w:szCs w:val="24"/>
        </w:rPr>
        <w:t xml:space="preserve">While the </w:t>
      </w:r>
      <w:r w:rsidR="00234A9E">
        <w:rPr>
          <w:sz w:val="24"/>
          <w:szCs w:val="24"/>
        </w:rPr>
        <w:t>Proposed P</w:t>
      </w:r>
      <w:r w:rsidRPr="00270AB7">
        <w:rPr>
          <w:sz w:val="24"/>
          <w:szCs w:val="24"/>
        </w:rPr>
        <w:t xml:space="preserve">roject is not related to the Department’s requirements for </w:t>
      </w:r>
      <w:r w:rsidR="000A05DF">
        <w:rPr>
          <w:sz w:val="24"/>
          <w:szCs w:val="24"/>
        </w:rPr>
        <w:t>d</w:t>
      </w:r>
      <w:r w:rsidRPr="00270AB7">
        <w:rPr>
          <w:sz w:val="24"/>
          <w:szCs w:val="24"/>
        </w:rPr>
        <w:t>e-densification</w:t>
      </w:r>
      <w:r w:rsidR="0063391B">
        <w:rPr>
          <w:sz w:val="24"/>
          <w:szCs w:val="24"/>
        </w:rPr>
        <w:t>,</w:t>
      </w:r>
      <w:r w:rsidRPr="00270AB7">
        <w:rPr>
          <w:sz w:val="24"/>
          <w:szCs w:val="24"/>
        </w:rPr>
        <w:t xml:space="preserve"> the details </w:t>
      </w:r>
      <w:r w:rsidR="00B735D0" w:rsidRPr="00270AB7">
        <w:rPr>
          <w:sz w:val="24"/>
          <w:szCs w:val="24"/>
        </w:rPr>
        <w:t>highlight</w:t>
      </w:r>
      <w:r w:rsidRPr="00270AB7">
        <w:rPr>
          <w:sz w:val="24"/>
          <w:szCs w:val="24"/>
        </w:rPr>
        <w:t xml:space="preserve"> some shortcomings of the existing leased space</w:t>
      </w:r>
      <w:r w:rsidR="00B735D0">
        <w:rPr>
          <w:sz w:val="24"/>
          <w:szCs w:val="24"/>
        </w:rPr>
        <w:t xml:space="preserve"> that the Proposed Project will </w:t>
      </w:r>
      <w:r w:rsidR="00554A6E">
        <w:rPr>
          <w:sz w:val="24"/>
          <w:szCs w:val="24"/>
        </w:rPr>
        <w:t xml:space="preserve">address </w:t>
      </w:r>
      <w:r w:rsidR="00B735D0">
        <w:rPr>
          <w:sz w:val="24"/>
          <w:szCs w:val="24"/>
        </w:rPr>
        <w:t>with private resident rooms and private baths, easy parking and access to the individual houses.</w:t>
      </w:r>
    </w:p>
    <w:p w14:paraId="6A6C0B69" w14:textId="24115132" w:rsidR="000A05DF" w:rsidRPr="00B735D0" w:rsidRDefault="00B735D0" w:rsidP="00BD7FE9">
      <w:pPr>
        <w:spacing w:line="240" w:lineRule="auto"/>
        <w:jc w:val="center"/>
        <w:rPr>
          <w:b/>
          <w:bCs/>
          <w:sz w:val="24"/>
          <w:szCs w:val="24"/>
        </w:rPr>
      </w:pPr>
      <w:r w:rsidRPr="00B735D0">
        <w:rPr>
          <w:b/>
          <w:bCs/>
          <w:sz w:val="24"/>
          <w:szCs w:val="24"/>
        </w:rPr>
        <w:t>Table 4</w:t>
      </w:r>
      <w:r>
        <w:rPr>
          <w:b/>
          <w:bCs/>
          <w:sz w:val="24"/>
          <w:szCs w:val="24"/>
        </w:rPr>
        <w:t>:</w:t>
      </w:r>
      <w:r w:rsidRPr="00B735D0">
        <w:rPr>
          <w:b/>
          <w:bCs/>
          <w:sz w:val="24"/>
          <w:szCs w:val="24"/>
        </w:rPr>
        <w:t xml:space="preserve"> Current </w:t>
      </w:r>
      <w:r w:rsidR="00BD7FE9">
        <w:rPr>
          <w:b/>
          <w:bCs/>
          <w:sz w:val="24"/>
          <w:szCs w:val="24"/>
        </w:rPr>
        <w:t xml:space="preserve">Licensed </w:t>
      </w:r>
      <w:r w:rsidRPr="00B735D0">
        <w:rPr>
          <w:b/>
          <w:bCs/>
          <w:sz w:val="24"/>
          <w:szCs w:val="24"/>
        </w:rPr>
        <w:t xml:space="preserve">Room </w:t>
      </w:r>
      <w:r w:rsidR="00E05CC8">
        <w:rPr>
          <w:b/>
          <w:bCs/>
          <w:sz w:val="24"/>
          <w:szCs w:val="24"/>
        </w:rPr>
        <w:t xml:space="preserve">and Bath </w:t>
      </w:r>
      <w:r w:rsidRPr="00B735D0">
        <w:rPr>
          <w:b/>
          <w:bCs/>
          <w:sz w:val="24"/>
          <w:szCs w:val="24"/>
        </w:rPr>
        <w:t>Configuration</w:t>
      </w:r>
      <w:r w:rsidR="00E05CC8">
        <w:rPr>
          <w:b/>
          <w:bCs/>
          <w:sz w:val="24"/>
          <w:szCs w:val="24"/>
        </w:rPr>
        <w:t>s</w:t>
      </w:r>
      <w:r w:rsidRPr="00B735D0">
        <w:rPr>
          <w:b/>
          <w:bCs/>
          <w:sz w:val="24"/>
          <w:szCs w:val="24"/>
        </w:rPr>
        <w:t xml:space="preserve"> at Windemere</w:t>
      </w:r>
    </w:p>
    <w:tbl>
      <w:tblPr>
        <w:tblStyle w:val="TableGrid"/>
        <w:tblW w:w="0" w:type="auto"/>
        <w:jc w:val="center"/>
        <w:tblLook w:val="04A0" w:firstRow="1" w:lastRow="0" w:firstColumn="1" w:lastColumn="0" w:noHBand="0" w:noVBand="1"/>
      </w:tblPr>
      <w:tblGrid>
        <w:gridCol w:w="9175"/>
      </w:tblGrid>
      <w:tr w:rsidR="000A05DF" w:rsidRPr="000A05DF" w14:paraId="59F9DDF3" w14:textId="77777777" w:rsidTr="000560F0">
        <w:trPr>
          <w:jc w:val="center"/>
        </w:trPr>
        <w:tc>
          <w:tcPr>
            <w:tcW w:w="9175" w:type="dxa"/>
          </w:tcPr>
          <w:p w14:paraId="721991C3" w14:textId="77777777" w:rsidR="000A05DF" w:rsidRPr="000A05DF" w:rsidRDefault="000A05DF" w:rsidP="00B31389">
            <w:pPr>
              <w:numPr>
                <w:ilvl w:val="0"/>
                <w:numId w:val="15"/>
              </w:numPr>
              <w:rPr>
                <w:sz w:val="24"/>
                <w:szCs w:val="24"/>
              </w:rPr>
            </w:pPr>
            <w:r w:rsidRPr="000A05DF">
              <w:rPr>
                <w:sz w:val="24"/>
                <w:szCs w:val="24"/>
              </w:rPr>
              <w:t xml:space="preserve">24 double rooms (48 beds total) share a bathroom with a second 2-bed room. This means that when operating at capacity, 48 residents are sharing just 12 bathrooms. </w:t>
            </w:r>
          </w:p>
        </w:tc>
      </w:tr>
      <w:tr w:rsidR="000A05DF" w:rsidRPr="000A05DF" w14:paraId="4D637E30" w14:textId="77777777" w:rsidTr="000560F0">
        <w:trPr>
          <w:jc w:val="center"/>
        </w:trPr>
        <w:tc>
          <w:tcPr>
            <w:tcW w:w="9175" w:type="dxa"/>
          </w:tcPr>
          <w:p w14:paraId="61C493B5" w14:textId="77777777" w:rsidR="000A05DF" w:rsidRPr="000A05DF" w:rsidRDefault="000A05DF" w:rsidP="00B735D0">
            <w:pPr>
              <w:numPr>
                <w:ilvl w:val="0"/>
                <w:numId w:val="14"/>
              </w:numPr>
              <w:rPr>
                <w:sz w:val="24"/>
                <w:szCs w:val="24"/>
              </w:rPr>
            </w:pPr>
            <w:r w:rsidRPr="000A05DF">
              <w:rPr>
                <w:sz w:val="24"/>
                <w:szCs w:val="24"/>
              </w:rPr>
              <w:t>5 double rooms (10 beds total) do not share a bathroom with a 2nd room.</w:t>
            </w:r>
          </w:p>
        </w:tc>
      </w:tr>
      <w:tr w:rsidR="000A05DF" w:rsidRPr="000A05DF" w14:paraId="2738FF08" w14:textId="77777777" w:rsidTr="000560F0">
        <w:trPr>
          <w:jc w:val="center"/>
        </w:trPr>
        <w:tc>
          <w:tcPr>
            <w:tcW w:w="9175" w:type="dxa"/>
          </w:tcPr>
          <w:p w14:paraId="7CECE5CE" w14:textId="77777777" w:rsidR="000A05DF" w:rsidRPr="000A05DF" w:rsidRDefault="000A05DF" w:rsidP="00B735D0">
            <w:pPr>
              <w:numPr>
                <w:ilvl w:val="0"/>
                <w:numId w:val="14"/>
              </w:numPr>
              <w:rPr>
                <w:sz w:val="24"/>
                <w:szCs w:val="24"/>
              </w:rPr>
            </w:pPr>
            <w:r w:rsidRPr="000A05DF">
              <w:rPr>
                <w:sz w:val="24"/>
                <w:szCs w:val="24"/>
              </w:rPr>
              <w:t>3 single rooms (3 beds) each have a private bathroom.</w:t>
            </w:r>
          </w:p>
        </w:tc>
      </w:tr>
      <w:tr w:rsidR="000A05DF" w:rsidRPr="000A05DF" w14:paraId="237FA18C" w14:textId="77777777" w:rsidTr="000560F0">
        <w:trPr>
          <w:jc w:val="center"/>
        </w:trPr>
        <w:tc>
          <w:tcPr>
            <w:tcW w:w="9175" w:type="dxa"/>
          </w:tcPr>
          <w:p w14:paraId="509C9EA9" w14:textId="4BBE187B" w:rsidR="000A05DF" w:rsidRPr="0015302A" w:rsidRDefault="000A05DF" w:rsidP="0015302A">
            <w:pPr>
              <w:pStyle w:val="ListParagraph"/>
              <w:numPr>
                <w:ilvl w:val="0"/>
                <w:numId w:val="14"/>
              </w:numPr>
              <w:rPr>
                <w:sz w:val="24"/>
                <w:szCs w:val="24"/>
              </w:rPr>
            </w:pPr>
            <w:r w:rsidRPr="0015302A">
              <w:rPr>
                <w:sz w:val="24"/>
                <w:szCs w:val="24"/>
              </w:rPr>
              <w:t xml:space="preserve">32 rooms </w:t>
            </w:r>
            <w:r w:rsidR="00BD7FE9" w:rsidRPr="0015302A">
              <w:rPr>
                <w:sz w:val="24"/>
                <w:szCs w:val="24"/>
              </w:rPr>
              <w:t>(</w:t>
            </w:r>
            <w:r w:rsidRPr="0015302A">
              <w:rPr>
                <w:sz w:val="24"/>
                <w:szCs w:val="24"/>
              </w:rPr>
              <w:t>61 beds</w:t>
            </w:r>
            <w:r w:rsidR="0015302A" w:rsidRPr="0015302A">
              <w:rPr>
                <w:sz w:val="24"/>
                <w:szCs w:val="24"/>
              </w:rPr>
              <w:t xml:space="preserve">) </w:t>
            </w:r>
            <w:r w:rsidR="0015302A">
              <w:rPr>
                <w:sz w:val="24"/>
                <w:szCs w:val="24"/>
              </w:rPr>
              <w:t>Total</w:t>
            </w:r>
          </w:p>
        </w:tc>
      </w:tr>
      <w:tr w:rsidR="000A05DF" w:rsidRPr="000A05DF" w14:paraId="30FF741A" w14:textId="77777777" w:rsidTr="000560F0">
        <w:trPr>
          <w:jc w:val="center"/>
        </w:trPr>
        <w:tc>
          <w:tcPr>
            <w:tcW w:w="9175" w:type="dxa"/>
          </w:tcPr>
          <w:p w14:paraId="72653DC4" w14:textId="77777777" w:rsidR="000A05DF" w:rsidRPr="000A05DF" w:rsidRDefault="000A05DF" w:rsidP="00B735D0">
            <w:pPr>
              <w:numPr>
                <w:ilvl w:val="0"/>
                <w:numId w:val="14"/>
              </w:numPr>
              <w:rPr>
                <w:sz w:val="24"/>
                <w:szCs w:val="24"/>
              </w:rPr>
            </w:pPr>
            <w:r w:rsidRPr="000A05DF">
              <w:rPr>
                <w:sz w:val="24"/>
                <w:szCs w:val="24"/>
              </w:rPr>
              <w:t>Visitors must navigate the MVH parking and facility to see their family members.</w:t>
            </w:r>
          </w:p>
        </w:tc>
      </w:tr>
    </w:tbl>
    <w:p w14:paraId="32FB2A5E" w14:textId="77777777" w:rsidR="00B735D0" w:rsidRDefault="00B735D0" w:rsidP="00270AB7">
      <w:pPr>
        <w:rPr>
          <w:sz w:val="24"/>
          <w:szCs w:val="24"/>
        </w:rPr>
      </w:pPr>
    </w:p>
    <w:p w14:paraId="549EAF86" w14:textId="571BB61B" w:rsidR="00E838A0" w:rsidRDefault="00554A6E" w:rsidP="00D84DC8">
      <w:pPr>
        <w:spacing w:line="240" w:lineRule="auto"/>
        <w:rPr>
          <w:sz w:val="24"/>
          <w:szCs w:val="24"/>
        </w:rPr>
      </w:pPr>
      <w:r>
        <w:rPr>
          <w:sz w:val="24"/>
          <w:szCs w:val="24"/>
        </w:rPr>
        <w:t xml:space="preserve">Through </w:t>
      </w:r>
      <w:r w:rsidR="00330AD3">
        <w:rPr>
          <w:sz w:val="24"/>
          <w:szCs w:val="24"/>
        </w:rPr>
        <w:t>f</w:t>
      </w:r>
      <w:r w:rsidR="00F46CE4">
        <w:rPr>
          <w:sz w:val="24"/>
          <w:szCs w:val="24"/>
        </w:rPr>
        <w:t xml:space="preserve">ocus groups and interviews highlighted in </w:t>
      </w:r>
      <w:r w:rsidR="00867C78" w:rsidRPr="00867C78">
        <w:rPr>
          <w:sz w:val="24"/>
          <w:szCs w:val="24"/>
        </w:rPr>
        <w:t>Healthy Aging Martha’s Vineyard</w:t>
      </w:r>
      <w:r w:rsidR="00F46CE4">
        <w:rPr>
          <w:sz w:val="24"/>
          <w:szCs w:val="24"/>
        </w:rPr>
        <w:t>,</w:t>
      </w:r>
      <w:r w:rsidR="00867C78" w:rsidRPr="00867C78">
        <w:rPr>
          <w:sz w:val="24"/>
          <w:szCs w:val="24"/>
        </w:rPr>
        <w:t xml:space="preserve"> </w:t>
      </w:r>
      <w:r w:rsidR="00330AD3">
        <w:rPr>
          <w:sz w:val="24"/>
          <w:szCs w:val="24"/>
        </w:rPr>
        <w:t xml:space="preserve">the Applicant </w:t>
      </w:r>
      <w:r w:rsidR="00867C78" w:rsidRPr="00867C78">
        <w:rPr>
          <w:sz w:val="24"/>
          <w:szCs w:val="24"/>
        </w:rPr>
        <w:t xml:space="preserve">determined that </w:t>
      </w:r>
      <w:r w:rsidR="002274FE">
        <w:rPr>
          <w:sz w:val="24"/>
          <w:szCs w:val="24"/>
        </w:rPr>
        <w:t xml:space="preserve">Island </w:t>
      </w:r>
      <w:r w:rsidR="00867C78" w:rsidRPr="00867C78">
        <w:rPr>
          <w:sz w:val="24"/>
          <w:szCs w:val="24"/>
        </w:rPr>
        <w:t>residents</w:t>
      </w:r>
      <w:r w:rsidR="005762B9">
        <w:rPr>
          <w:sz w:val="24"/>
          <w:szCs w:val="24"/>
        </w:rPr>
        <w:t xml:space="preserve"> </w:t>
      </w:r>
      <w:r w:rsidR="00867C78" w:rsidRPr="00867C78">
        <w:rPr>
          <w:sz w:val="24"/>
          <w:szCs w:val="24"/>
        </w:rPr>
        <w:t xml:space="preserve">are leaving </w:t>
      </w:r>
      <w:r w:rsidR="00E05CC8">
        <w:rPr>
          <w:sz w:val="24"/>
          <w:szCs w:val="24"/>
        </w:rPr>
        <w:t xml:space="preserve">the Island </w:t>
      </w:r>
      <w:r w:rsidR="00867C78" w:rsidRPr="00867C78">
        <w:rPr>
          <w:sz w:val="24"/>
          <w:szCs w:val="24"/>
        </w:rPr>
        <w:t>for</w:t>
      </w:r>
      <w:r w:rsidR="00F46CE4">
        <w:rPr>
          <w:sz w:val="24"/>
          <w:szCs w:val="24"/>
        </w:rPr>
        <w:t xml:space="preserve"> skilled nursing facility</w:t>
      </w:r>
      <w:r w:rsidR="00867C78" w:rsidRPr="00867C78">
        <w:rPr>
          <w:sz w:val="24"/>
          <w:szCs w:val="24"/>
        </w:rPr>
        <w:t xml:space="preserve"> </w:t>
      </w:r>
      <w:r w:rsidR="00F46CE4">
        <w:rPr>
          <w:sz w:val="24"/>
          <w:szCs w:val="24"/>
        </w:rPr>
        <w:t>(</w:t>
      </w:r>
      <w:r w:rsidR="00867C78" w:rsidRPr="00867C78">
        <w:rPr>
          <w:sz w:val="24"/>
          <w:szCs w:val="24"/>
        </w:rPr>
        <w:t>SNF</w:t>
      </w:r>
      <w:r w:rsidR="00F46CE4">
        <w:rPr>
          <w:sz w:val="24"/>
          <w:szCs w:val="24"/>
        </w:rPr>
        <w:t>)</w:t>
      </w:r>
      <w:r w:rsidR="00867C78" w:rsidRPr="00867C78">
        <w:rPr>
          <w:sz w:val="24"/>
          <w:szCs w:val="24"/>
        </w:rPr>
        <w:t xml:space="preserve"> services</w:t>
      </w:r>
      <w:r w:rsidR="00E05CC8">
        <w:rPr>
          <w:sz w:val="24"/>
          <w:szCs w:val="24"/>
        </w:rPr>
        <w:t>.</w:t>
      </w:r>
      <w:r w:rsidR="00E838A0" w:rsidRPr="00867C78">
        <w:rPr>
          <w:sz w:val="24"/>
          <w:szCs w:val="24"/>
          <w:vertAlign w:val="superscript"/>
        </w:rPr>
        <w:endnoteReference w:id="5"/>
      </w:r>
      <w:r w:rsidR="00E838A0" w:rsidRPr="00867C78">
        <w:rPr>
          <w:sz w:val="24"/>
          <w:szCs w:val="24"/>
        </w:rPr>
        <w:t xml:space="preserve"> </w:t>
      </w:r>
      <w:r w:rsidR="00E838A0">
        <w:rPr>
          <w:sz w:val="24"/>
          <w:szCs w:val="24"/>
        </w:rPr>
        <w:t>Windemere’s</w:t>
      </w:r>
      <w:r w:rsidR="00E838A0" w:rsidRPr="00867C78">
        <w:rPr>
          <w:sz w:val="24"/>
          <w:szCs w:val="24"/>
        </w:rPr>
        <w:t xml:space="preserve"> institutionalized setting </w:t>
      </w:r>
      <w:r w:rsidR="00E838A0">
        <w:rPr>
          <w:sz w:val="24"/>
          <w:szCs w:val="24"/>
        </w:rPr>
        <w:t>i</w:t>
      </w:r>
      <w:r w:rsidR="00E838A0" w:rsidRPr="00867C78">
        <w:rPr>
          <w:sz w:val="24"/>
          <w:szCs w:val="24"/>
        </w:rPr>
        <w:t>nfluenc</w:t>
      </w:r>
      <w:r w:rsidR="00E838A0">
        <w:rPr>
          <w:sz w:val="24"/>
          <w:szCs w:val="24"/>
        </w:rPr>
        <w:t>ed</w:t>
      </w:r>
      <w:r w:rsidR="00E838A0" w:rsidRPr="00867C78">
        <w:rPr>
          <w:sz w:val="24"/>
          <w:szCs w:val="24"/>
        </w:rPr>
        <w:t xml:space="preserve"> people’s decision to leave</w:t>
      </w:r>
      <w:r w:rsidR="00E838A0">
        <w:rPr>
          <w:sz w:val="24"/>
          <w:szCs w:val="24"/>
        </w:rPr>
        <w:t>,</w:t>
      </w:r>
      <w:r w:rsidR="00E838A0" w:rsidRPr="00867C78">
        <w:rPr>
          <w:sz w:val="24"/>
          <w:szCs w:val="24"/>
        </w:rPr>
        <w:t xml:space="preserve"> </w:t>
      </w:r>
      <w:r w:rsidR="00E838A0">
        <w:rPr>
          <w:sz w:val="24"/>
          <w:szCs w:val="24"/>
        </w:rPr>
        <w:t xml:space="preserve">however, the focus groups found </w:t>
      </w:r>
      <w:r w:rsidR="00E838A0" w:rsidRPr="00867C78">
        <w:rPr>
          <w:sz w:val="24"/>
          <w:szCs w:val="24"/>
        </w:rPr>
        <w:t xml:space="preserve">that if </w:t>
      </w:r>
      <w:r w:rsidR="00E838A0">
        <w:rPr>
          <w:sz w:val="24"/>
          <w:szCs w:val="24"/>
        </w:rPr>
        <w:t xml:space="preserve">more desirable </w:t>
      </w:r>
      <w:r w:rsidR="00E838A0" w:rsidRPr="00867C78">
        <w:rPr>
          <w:sz w:val="24"/>
          <w:szCs w:val="24"/>
        </w:rPr>
        <w:t>options were available,</w:t>
      </w:r>
      <w:r w:rsidR="00E838A0">
        <w:rPr>
          <w:sz w:val="24"/>
          <w:szCs w:val="24"/>
        </w:rPr>
        <w:t xml:space="preserve"> many would remain on the Island</w:t>
      </w:r>
      <w:r w:rsidR="00E838A0" w:rsidRPr="00867C78">
        <w:rPr>
          <w:sz w:val="24"/>
          <w:szCs w:val="24"/>
        </w:rPr>
        <w:t>.</w:t>
      </w:r>
      <w:r w:rsidR="00E838A0" w:rsidRPr="00867C78">
        <w:rPr>
          <w:sz w:val="24"/>
          <w:szCs w:val="24"/>
          <w:vertAlign w:val="superscript"/>
        </w:rPr>
        <w:endnoteReference w:id="6"/>
      </w:r>
      <w:r w:rsidR="00E838A0" w:rsidRPr="00867C78">
        <w:rPr>
          <w:sz w:val="24"/>
          <w:szCs w:val="24"/>
        </w:rPr>
        <w:t xml:space="preserve"> </w:t>
      </w:r>
      <w:r w:rsidR="00E838A0">
        <w:rPr>
          <w:sz w:val="24"/>
          <w:szCs w:val="24"/>
        </w:rPr>
        <w:t xml:space="preserve">These findings </w:t>
      </w:r>
      <w:r w:rsidR="00B259C6">
        <w:rPr>
          <w:sz w:val="24"/>
          <w:szCs w:val="24"/>
        </w:rPr>
        <w:t xml:space="preserve">suggest </w:t>
      </w:r>
      <w:r w:rsidR="00E838A0">
        <w:rPr>
          <w:sz w:val="24"/>
          <w:szCs w:val="24"/>
        </w:rPr>
        <w:t xml:space="preserve">that </w:t>
      </w:r>
      <w:r w:rsidR="00E838A0" w:rsidRPr="00867C78">
        <w:rPr>
          <w:sz w:val="24"/>
          <w:szCs w:val="24"/>
        </w:rPr>
        <w:t xml:space="preserve">the existing model of care delivery for </w:t>
      </w:r>
      <w:r w:rsidR="00E838A0">
        <w:rPr>
          <w:sz w:val="24"/>
          <w:szCs w:val="24"/>
        </w:rPr>
        <w:t xml:space="preserve">SNF </w:t>
      </w:r>
      <w:r w:rsidR="00E838A0" w:rsidRPr="00867C78">
        <w:rPr>
          <w:sz w:val="24"/>
          <w:szCs w:val="24"/>
        </w:rPr>
        <w:t xml:space="preserve">services is not optimal </w:t>
      </w:r>
      <w:r w:rsidR="00E838A0">
        <w:rPr>
          <w:sz w:val="24"/>
          <w:szCs w:val="24"/>
        </w:rPr>
        <w:t>at Windemere</w:t>
      </w:r>
      <w:r w:rsidR="00B259C6">
        <w:rPr>
          <w:sz w:val="24"/>
          <w:szCs w:val="24"/>
        </w:rPr>
        <w:t>,</w:t>
      </w:r>
      <w:r w:rsidR="00E838A0">
        <w:rPr>
          <w:sz w:val="24"/>
          <w:szCs w:val="24"/>
        </w:rPr>
        <w:t xml:space="preserve"> and </w:t>
      </w:r>
      <w:r w:rsidR="006F6E9C">
        <w:rPr>
          <w:sz w:val="24"/>
          <w:szCs w:val="24"/>
        </w:rPr>
        <w:t>some</w:t>
      </w:r>
      <w:r w:rsidR="00E838A0" w:rsidRPr="00867C78">
        <w:rPr>
          <w:sz w:val="24"/>
          <w:szCs w:val="24"/>
        </w:rPr>
        <w:t xml:space="preserve"> residents of </w:t>
      </w:r>
      <w:r w:rsidR="00DD279B">
        <w:rPr>
          <w:sz w:val="24"/>
          <w:szCs w:val="24"/>
        </w:rPr>
        <w:t>the Island</w:t>
      </w:r>
      <w:r w:rsidR="00E838A0">
        <w:rPr>
          <w:sz w:val="24"/>
          <w:szCs w:val="24"/>
        </w:rPr>
        <w:t>,</w:t>
      </w:r>
      <w:r w:rsidR="00E838A0" w:rsidRPr="00867C78">
        <w:rPr>
          <w:sz w:val="24"/>
          <w:szCs w:val="24"/>
        </w:rPr>
        <w:t xml:space="preserve"> </w:t>
      </w:r>
      <w:r w:rsidR="00DD279B">
        <w:rPr>
          <w:sz w:val="24"/>
          <w:szCs w:val="24"/>
        </w:rPr>
        <w:t xml:space="preserve">including </w:t>
      </w:r>
      <w:r w:rsidR="00E838A0" w:rsidRPr="00867C78">
        <w:rPr>
          <w:sz w:val="24"/>
          <w:szCs w:val="24"/>
        </w:rPr>
        <w:t>private paying residents seek a</w:t>
      </w:r>
      <w:r w:rsidR="00E838A0">
        <w:rPr>
          <w:sz w:val="24"/>
          <w:szCs w:val="24"/>
        </w:rPr>
        <w:t xml:space="preserve">lternate </w:t>
      </w:r>
      <w:r w:rsidR="00E838A0" w:rsidRPr="00867C78">
        <w:rPr>
          <w:sz w:val="24"/>
          <w:szCs w:val="24"/>
        </w:rPr>
        <w:t>facilit</w:t>
      </w:r>
      <w:r w:rsidR="00E838A0">
        <w:rPr>
          <w:sz w:val="24"/>
          <w:szCs w:val="24"/>
        </w:rPr>
        <w:t xml:space="preserve">ies. </w:t>
      </w:r>
      <w:r w:rsidR="00E838A0" w:rsidRPr="00DC29E1">
        <w:rPr>
          <w:sz w:val="24"/>
          <w:szCs w:val="24"/>
        </w:rPr>
        <w:t xml:space="preserve">The Applicant asserts the Proposed Project will meet the demand for existing and future residents of </w:t>
      </w:r>
      <w:r w:rsidR="00DD279B">
        <w:rPr>
          <w:sz w:val="24"/>
          <w:szCs w:val="24"/>
        </w:rPr>
        <w:t xml:space="preserve">the Island </w:t>
      </w:r>
      <w:r w:rsidR="00E838A0">
        <w:rPr>
          <w:sz w:val="24"/>
          <w:szCs w:val="24"/>
        </w:rPr>
        <w:t>through the Model, the benefits of which will be discussed further under Public Health Value</w:t>
      </w:r>
      <w:r w:rsidR="00E838A0" w:rsidRPr="00DC29E1">
        <w:rPr>
          <w:sz w:val="24"/>
          <w:szCs w:val="24"/>
        </w:rPr>
        <w:t xml:space="preserve">. </w:t>
      </w:r>
    </w:p>
    <w:p w14:paraId="4BEFF447" w14:textId="65D78EC3" w:rsidR="00E838A0" w:rsidRPr="002274FE" w:rsidRDefault="00E838A0" w:rsidP="002274FE">
      <w:pPr>
        <w:pStyle w:val="ListParagraph"/>
        <w:numPr>
          <w:ilvl w:val="0"/>
          <w:numId w:val="16"/>
        </w:numPr>
        <w:rPr>
          <w:sz w:val="24"/>
          <w:szCs w:val="24"/>
        </w:rPr>
      </w:pPr>
      <w:r w:rsidRPr="695818A5">
        <w:rPr>
          <w:sz w:val="24"/>
          <w:szCs w:val="24"/>
        </w:rPr>
        <w:t>Need to address Lack of Work</w:t>
      </w:r>
      <w:r w:rsidR="00DC617F" w:rsidRPr="695818A5">
        <w:rPr>
          <w:sz w:val="24"/>
          <w:szCs w:val="24"/>
        </w:rPr>
        <w:t>f</w:t>
      </w:r>
      <w:r w:rsidRPr="695818A5">
        <w:rPr>
          <w:sz w:val="24"/>
          <w:szCs w:val="24"/>
        </w:rPr>
        <w:t xml:space="preserve">orce </w:t>
      </w:r>
      <w:r w:rsidR="003F7B25" w:rsidRPr="695818A5">
        <w:rPr>
          <w:sz w:val="24"/>
          <w:szCs w:val="24"/>
        </w:rPr>
        <w:t>Due to the High Cost of Housing on the Island</w:t>
      </w:r>
    </w:p>
    <w:p w14:paraId="7750FC05" w14:textId="697C7504" w:rsidR="00E838A0" w:rsidRDefault="00E838A0" w:rsidP="00164FF5">
      <w:pPr>
        <w:pStyle w:val="ListParagraph"/>
        <w:ind w:left="360"/>
        <w:rPr>
          <w:sz w:val="24"/>
          <w:szCs w:val="24"/>
        </w:rPr>
      </w:pPr>
    </w:p>
    <w:p w14:paraId="37D511EF" w14:textId="0B8ADA98" w:rsidR="00730574" w:rsidRPr="00DC600C" w:rsidRDefault="00E838A0" w:rsidP="00731ABF">
      <w:pPr>
        <w:spacing w:line="240" w:lineRule="auto"/>
        <w:rPr>
          <w:sz w:val="24"/>
          <w:szCs w:val="24"/>
        </w:rPr>
      </w:pPr>
      <w:r w:rsidRPr="00E838A0">
        <w:rPr>
          <w:sz w:val="24"/>
          <w:szCs w:val="24"/>
        </w:rPr>
        <w:t xml:space="preserve">The cost of living on the </w:t>
      </w:r>
      <w:r>
        <w:rPr>
          <w:sz w:val="24"/>
          <w:szCs w:val="24"/>
        </w:rPr>
        <w:t>I</w:t>
      </w:r>
      <w:r w:rsidRPr="00E838A0">
        <w:rPr>
          <w:sz w:val="24"/>
          <w:szCs w:val="24"/>
        </w:rPr>
        <w:t>sland is</w:t>
      </w:r>
      <w:r>
        <w:rPr>
          <w:sz w:val="24"/>
          <w:szCs w:val="24"/>
        </w:rPr>
        <w:t xml:space="preserve"> 12%</w:t>
      </w:r>
      <w:r w:rsidRPr="00E838A0">
        <w:rPr>
          <w:sz w:val="24"/>
          <w:szCs w:val="24"/>
        </w:rPr>
        <w:t xml:space="preserve"> higher than Boston’s and </w:t>
      </w:r>
      <w:r>
        <w:rPr>
          <w:sz w:val="24"/>
          <w:szCs w:val="24"/>
        </w:rPr>
        <w:t xml:space="preserve">59% </w:t>
      </w:r>
      <w:r w:rsidRPr="00E838A0">
        <w:rPr>
          <w:sz w:val="24"/>
          <w:szCs w:val="24"/>
        </w:rPr>
        <w:t xml:space="preserve">higher than urban areas nationally. </w:t>
      </w:r>
      <w:r w:rsidR="00DC600C" w:rsidRPr="00DC600C">
        <w:rPr>
          <w:sz w:val="24"/>
          <w:szCs w:val="24"/>
        </w:rPr>
        <w:t xml:space="preserve">As a result, approximately 70% of the Windemere’s staff travel from the mainland each workday. </w:t>
      </w:r>
      <w:r w:rsidRPr="00E838A0">
        <w:rPr>
          <w:sz w:val="24"/>
          <w:szCs w:val="24"/>
        </w:rPr>
        <w:t>In 2015, the Economic Policy Institute (EPI) identified Dukes County as one of the most expensive areas in the nation for annual expenditures needed for necessities</w:t>
      </w:r>
      <w:r w:rsidR="00E05CC8" w:rsidRPr="00E05CC8">
        <w:rPr>
          <w:sz w:val="24"/>
          <w:szCs w:val="24"/>
        </w:rPr>
        <w:t>,</w:t>
      </w:r>
      <w:r w:rsidR="00E05CC8" w:rsidRPr="00E05CC8">
        <w:rPr>
          <w:rStyle w:val="FootnoteReference"/>
          <w:sz w:val="24"/>
          <w:szCs w:val="24"/>
        </w:rPr>
        <w:footnoteReference w:id="11"/>
      </w:r>
      <w:r w:rsidR="00E05CC8" w:rsidRPr="00E05CC8">
        <w:rPr>
          <w:sz w:val="24"/>
          <w:szCs w:val="24"/>
          <w:vertAlign w:val="superscript"/>
        </w:rPr>
        <w:t xml:space="preserve">, </w:t>
      </w:r>
      <w:r w:rsidRPr="00E05CC8">
        <w:rPr>
          <w:sz w:val="24"/>
          <w:szCs w:val="24"/>
          <w:vertAlign w:val="superscript"/>
        </w:rPr>
        <w:endnoteReference w:id="7"/>
      </w:r>
      <w:r w:rsidRPr="00E838A0">
        <w:rPr>
          <w:sz w:val="24"/>
          <w:szCs w:val="24"/>
        </w:rPr>
        <w:t xml:space="preserve"> </w:t>
      </w:r>
      <w:r w:rsidR="00E05CC8">
        <w:rPr>
          <w:sz w:val="24"/>
          <w:szCs w:val="24"/>
        </w:rPr>
        <w:t>and b</w:t>
      </w:r>
      <w:r w:rsidRPr="00E838A0">
        <w:rPr>
          <w:sz w:val="24"/>
          <w:szCs w:val="24"/>
        </w:rPr>
        <w:t>ased on their findings, the annual amount needed to "attain a secure yet modest living standard" in Duke’s Count</w:t>
      </w:r>
      <w:r w:rsidR="008D2456">
        <w:rPr>
          <w:sz w:val="24"/>
          <w:szCs w:val="24"/>
        </w:rPr>
        <w:t>y</w:t>
      </w:r>
      <w:r w:rsidRPr="00E838A0">
        <w:rPr>
          <w:sz w:val="24"/>
          <w:szCs w:val="24"/>
        </w:rPr>
        <w:t xml:space="preserve"> was $85,163.</w:t>
      </w:r>
      <w:r w:rsidRPr="00E838A0">
        <w:rPr>
          <w:sz w:val="24"/>
          <w:szCs w:val="24"/>
          <w:vertAlign w:val="superscript"/>
        </w:rPr>
        <w:endnoteReference w:id="8"/>
      </w:r>
      <w:r w:rsidRPr="00E838A0">
        <w:rPr>
          <w:sz w:val="24"/>
          <w:szCs w:val="24"/>
        </w:rPr>
        <w:t xml:space="preserve"> </w:t>
      </w:r>
      <w:r w:rsidR="00730574" w:rsidRPr="00DC600C">
        <w:rPr>
          <w:sz w:val="24"/>
          <w:szCs w:val="24"/>
        </w:rPr>
        <w:t>The median home sales price in April 2022 was $1.325 million, a 33% increase from the previous year.</w:t>
      </w:r>
      <w:r w:rsidR="00E05CC8" w:rsidRPr="00DC600C">
        <w:rPr>
          <w:rStyle w:val="FootnoteReference"/>
          <w:sz w:val="24"/>
          <w:szCs w:val="24"/>
        </w:rPr>
        <w:footnoteReference w:id="12"/>
      </w:r>
      <w:r w:rsidR="00730574" w:rsidRPr="00DC600C">
        <w:rPr>
          <w:sz w:val="24"/>
          <w:szCs w:val="24"/>
        </w:rPr>
        <w:t xml:space="preserve"> </w:t>
      </w:r>
    </w:p>
    <w:p w14:paraId="0EFA8045" w14:textId="76EB9BF5" w:rsidR="00E838A0" w:rsidRPr="00DC600C" w:rsidRDefault="00E838A0" w:rsidP="00731ABF">
      <w:pPr>
        <w:spacing w:line="240" w:lineRule="auto"/>
        <w:rPr>
          <w:sz w:val="24"/>
          <w:szCs w:val="24"/>
        </w:rPr>
      </w:pPr>
      <w:r w:rsidRPr="695818A5">
        <w:rPr>
          <w:sz w:val="24"/>
          <w:szCs w:val="24"/>
        </w:rPr>
        <w:t xml:space="preserve">Because the Windemere has had low Average Daily Census and occupancy rates, ~49%, Staff asked the Applicant to explain further the extent this is due to constraints related to 1) staffing, 2) the issues of infection control and 3) the multi-bedded room blocks, other than infection control. The Applicant replied that currently </w:t>
      </w:r>
      <w:r w:rsidR="00A02B50">
        <w:rPr>
          <w:sz w:val="24"/>
          <w:szCs w:val="24"/>
        </w:rPr>
        <w:t>“</w:t>
      </w:r>
      <w:r w:rsidRPr="695818A5">
        <w:rPr>
          <w:i/>
          <w:iCs/>
          <w:sz w:val="24"/>
          <w:szCs w:val="24"/>
        </w:rPr>
        <w:t>The decrease is entirely due to staffing</w:t>
      </w:r>
      <w:r w:rsidR="00A02B50">
        <w:rPr>
          <w:i/>
          <w:iCs/>
          <w:sz w:val="24"/>
          <w:szCs w:val="24"/>
        </w:rPr>
        <w:t>...I</w:t>
      </w:r>
      <w:r w:rsidRPr="695818A5">
        <w:rPr>
          <w:i/>
          <w:iCs/>
          <w:sz w:val="24"/>
          <w:szCs w:val="24"/>
        </w:rPr>
        <w:t>n FY21, travel staff were difficult to find. In FY22, travel staff are more available but there is no workforce housing available on the island.</w:t>
      </w:r>
      <w:r w:rsidR="00A02B50">
        <w:rPr>
          <w:i/>
          <w:iCs/>
          <w:sz w:val="24"/>
          <w:szCs w:val="24"/>
        </w:rPr>
        <w:t xml:space="preserve">” </w:t>
      </w:r>
      <w:r w:rsidR="00A02B50" w:rsidRPr="00A02B50">
        <w:rPr>
          <w:sz w:val="24"/>
          <w:szCs w:val="24"/>
        </w:rPr>
        <w:t>D</w:t>
      </w:r>
      <w:r w:rsidRPr="00A02B50">
        <w:rPr>
          <w:sz w:val="24"/>
          <w:szCs w:val="24"/>
        </w:rPr>
        <w:t>uring</w:t>
      </w:r>
      <w:r w:rsidRPr="695818A5">
        <w:rPr>
          <w:sz w:val="24"/>
          <w:szCs w:val="24"/>
        </w:rPr>
        <w:t xml:space="preserve"> the </w:t>
      </w:r>
      <w:r w:rsidR="00D33B2B">
        <w:rPr>
          <w:sz w:val="24"/>
          <w:szCs w:val="24"/>
        </w:rPr>
        <w:t xml:space="preserve">2020 </w:t>
      </w:r>
      <w:r w:rsidRPr="695818A5">
        <w:rPr>
          <w:sz w:val="24"/>
          <w:szCs w:val="24"/>
        </w:rPr>
        <w:t>COVID</w:t>
      </w:r>
      <w:r w:rsidR="00BA11A2">
        <w:rPr>
          <w:sz w:val="24"/>
          <w:szCs w:val="24"/>
        </w:rPr>
        <w:t>-19</w:t>
      </w:r>
      <w:r w:rsidRPr="695818A5">
        <w:rPr>
          <w:sz w:val="24"/>
          <w:szCs w:val="24"/>
        </w:rPr>
        <w:t xml:space="preserve"> surge</w:t>
      </w:r>
      <w:r w:rsidR="00A02B50">
        <w:rPr>
          <w:sz w:val="24"/>
          <w:szCs w:val="24"/>
        </w:rPr>
        <w:t>,</w:t>
      </w:r>
      <w:r w:rsidRPr="695818A5">
        <w:rPr>
          <w:sz w:val="24"/>
          <w:szCs w:val="24"/>
        </w:rPr>
        <w:t xml:space="preserve"> Windemere limited the number of residents, decreasing the number of available beds from 61 to 39 but prior to COVID</w:t>
      </w:r>
      <w:r w:rsidR="00BA11A2">
        <w:rPr>
          <w:sz w:val="24"/>
          <w:szCs w:val="24"/>
        </w:rPr>
        <w:t>-19</w:t>
      </w:r>
      <w:r w:rsidRPr="695818A5">
        <w:rPr>
          <w:sz w:val="24"/>
          <w:szCs w:val="24"/>
        </w:rPr>
        <w:t xml:space="preserve"> Windemere average annual occupancy was 96.7%</w:t>
      </w:r>
      <w:r w:rsidR="001B0AB3" w:rsidRPr="695818A5">
        <w:rPr>
          <w:sz w:val="24"/>
          <w:szCs w:val="24"/>
        </w:rPr>
        <w:t>,</w:t>
      </w:r>
      <w:r w:rsidR="00F32053" w:rsidRPr="695818A5">
        <w:rPr>
          <w:sz w:val="24"/>
          <w:szCs w:val="24"/>
        </w:rPr>
        <w:t xml:space="preserve"> (</w:t>
      </w:r>
      <w:r w:rsidR="15C6F00B" w:rsidRPr="695818A5">
        <w:rPr>
          <w:sz w:val="24"/>
          <w:szCs w:val="24"/>
        </w:rPr>
        <w:t>i.e.,</w:t>
      </w:r>
      <w:r w:rsidR="00F32053" w:rsidRPr="695818A5">
        <w:rPr>
          <w:sz w:val="24"/>
          <w:szCs w:val="24"/>
        </w:rPr>
        <w:t xml:space="preserve"> </w:t>
      </w:r>
      <w:r w:rsidRPr="695818A5">
        <w:rPr>
          <w:sz w:val="24"/>
          <w:szCs w:val="24"/>
        </w:rPr>
        <w:t>59 occupied beds of the licensed 61 available beds.</w:t>
      </w:r>
      <w:r w:rsidR="00F32053" w:rsidRPr="695818A5">
        <w:rPr>
          <w:sz w:val="24"/>
          <w:szCs w:val="24"/>
        </w:rPr>
        <w:t>)</w:t>
      </w:r>
    </w:p>
    <w:p w14:paraId="345F4E9A" w14:textId="2966B61C" w:rsidR="00DC600C" w:rsidRDefault="00DC600C" w:rsidP="00731ABF">
      <w:pPr>
        <w:spacing w:line="240" w:lineRule="auto"/>
        <w:rPr>
          <w:sz w:val="24"/>
          <w:szCs w:val="24"/>
        </w:rPr>
      </w:pPr>
      <w:r w:rsidRPr="695818A5">
        <w:rPr>
          <w:sz w:val="24"/>
          <w:szCs w:val="24"/>
        </w:rPr>
        <w:t xml:space="preserve">To address the need for affordable housing to support the Proposed Project and its own staff, MVH acquired land adjacent to the Proposed Project to build dedicated workforce housing for </w:t>
      </w:r>
      <w:r w:rsidR="00915319" w:rsidRPr="695818A5">
        <w:rPr>
          <w:sz w:val="24"/>
          <w:szCs w:val="24"/>
        </w:rPr>
        <w:t>both facilities</w:t>
      </w:r>
      <w:r w:rsidR="00CA242C" w:rsidRPr="695818A5">
        <w:rPr>
          <w:sz w:val="24"/>
          <w:szCs w:val="24"/>
        </w:rPr>
        <w:t xml:space="preserve">’ </w:t>
      </w:r>
      <w:r w:rsidRPr="695818A5">
        <w:rPr>
          <w:sz w:val="24"/>
          <w:szCs w:val="24"/>
        </w:rPr>
        <w:t>employees. A total of 76 bed</w:t>
      </w:r>
      <w:r w:rsidR="00A02B50">
        <w:rPr>
          <w:sz w:val="24"/>
          <w:szCs w:val="24"/>
        </w:rPr>
        <w:t>s</w:t>
      </w:r>
      <w:r w:rsidRPr="695818A5">
        <w:rPr>
          <w:sz w:val="24"/>
          <w:szCs w:val="24"/>
        </w:rPr>
        <w:t xml:space="preserve"> will be developed </w:t>
      </w:r>
      <w:r w:rsidR="00966235">
        <w:rPr>
          <w:sz w:val="24"/>
          <w:szCs w:val="24"/>
        </w:rPr>
        <w:t>within</w:t>
      </w:r>
      <w:r w:rsidRPr="695818A5">
        <w:rPr>
          <w:sz w:val="24"/>
          <w:szCs w:val="24"/>
        </w:rPr>
        <w:t xml:space="preserve"> which 30 units will be available to the staff of the</w:t>
      </w:r>
      <w:r w:rsidR="003E65A6" w:rsidRPr="695818A5">
        <w:rPr>
          <w:sz w:val="24"/>
          <w:szCs w:val="24"/>
        </w:rPr>
        <w:t xml:space="preserve"> </w:t>
      </w:r>
      <w:r w:rsidR="001B0AB3" w:rsidRPr="695818A5">
        <w:rPr>
          <w:sz w:val="24"/>
          <w:szCs w:val="24"/>
        </w:rPr>
        <w:t>new facility</w:t>
      </w:r>
      <w:r w:rsidRPr="695818A5">
        <w:rPr>
          <w:sz w:val="24"/>
          <w:szCs w:val="24"/>
        </w:rPr>
        <w:t xml:space="preserve">. </w:t>
      </w:r>
    </w:p>
    <w:p w14:paraId="6955060C" w14:textId="082A46F7" w:rsidR="00730574" w:rsidRPr="00DC600C" w:rsidRDefault="00DC600C" w:rsidP="00731ABF">
      <w:pPr>
        <w:spacing w:line="240" w:lineRule="auto"/>
        <w:rPr>
          <w:sz w:val="24"/>
          <w:szCs w:val="24"/>
        </w:rPr>
      </w:pPr>
      <w:r w:rsidRPr="00DC600C">
        <w:rPr>
          <w:sz w:val="24"/>
          <w:szCs w:val="24"/>
        </w:rPr>
        <w:t xml:space="preserve">The Applicant anticipates </w:t>
      </w:r>
      <w:r w:rsidR="003E65A6">
        <w:rPr>
          <w:sz w:val="24"/>
          <w:szCs w:val="24"/>
        </w:rPr>
        <w:t>the</w:t>
      </w:r>
      <w:r w:rsidR="00730574" w:rsidRPr="00DC600C">
        <w:rPr>
          <w:sz w:val="24"/>
          <w:szCs w:val="24"/>
        </w:rPr>
        <w:t xml:space="preserve"> </w:t>
      </w:r>
      <w:r w:rsidR="00A02B50">
        <w:rPr>
          <w:sz w:val="24"/>
          <w:szCs w:val="24"/>
        </w:rPr>
        <w:t xml:space="preserve">availability of </w:t>
      </w:r>
      <w:r w:rsidR="00730574" w:rsidRPr="00DC600C">
        <w:rPr>
          <w:sz w:val="24"/>
          <w:szCs w:val="24"/>
        </w:rPr>
        <w:t xml:space="preserve">employee housing will </w:t>
      </w:r>
      <w:r w:rsidR="003E65A6">
        <w:rPr>
          <w:sz w:val="24"/>
          <w:szCs w:val="24"/>
        </w:rPr>
        <w:t xml:space="preserve">facilitate </w:t>
      </w:r>
      <w:r w:rsidR="00730574" w:rsidRPr="00DC600C">
        <w:rPr>
          <w:sz w:val="24"/>
          <w:szCs w:val="24"/>
        </w:rPr>
        <w:t xml:space="preserve">staff recruitment efforts and </w:t>
      </w:r>
      <w:r w:rsidR="003E65A6">
        <w:rPr>
          <w:sz w:val="24"/>
          <w:szCs w:val="24"/>
        </w:rPr>
        <w:t>also</w:t>
      </w:r>
      <w:r w:rsidR="00730574" w:rsidRPr="00DC600C">
        <w:rPr>
          <w:sz w:val="24"/>
          <w:szCs w:val="24"/>
        </w:rPr>
        <w:t xml:space="preserve"> contribute to staff satisfaction</w:t>
      </w:r>
      <w:r w:rsidRPr="00DC600C">
        <w:rPr>
          <w:sz w:val="24"/>
          <w:szCs w:val="24"/>
        </w:rPr>
        <w:t>.</w:t>
      </w:r>
      <w:r w:rsidR="00730574" w:rsidRPr="00DC600C">
        <w:rPr>
          <w:sz w:val="24"/>
          <w:szCs w:val="24"/>
        </w:rPr>
        <w:t xml:space="preserve"> Further, the </w:t>
      </w:r>
      <w:r w:rsidR="00D940DB">
        <w:rPr>
          <w:sz w:val="24"/>
          <w:szCs w:val="24"/>
        </w:rPr>
        <w:t>M</w:t>
      </w:r>
      <w:r w:rsidRPr="00DC600C">
        <w:rPr>
          <w:sz w:val="24"/>
          <w:szCs w:val="24"/>
        </w:rPr>
        <w:t>odel,</w:t>
      </w:r>
      <w:r w:rsidR="00730574" w:rsidRPr="00DC600C">
        <w:rPr>
          <w:sz w:val="24"/>
          <w:szCs w:val="24"/>
        </w:rPr>
        <w:t xml:space="preserve"> which seeks to empower staff and provide enhanced engagement with residents, will positively improve staff retention rates. </w:t>
      </w:r>
    </w:p>
    <w:p w14:paraId="7DD5E042" w14:textId="77777777" w:rsidR="00730574" w:rsidRPr="0075155F" w:rsidRDefault="00730574" w:rsidP="00C543D8">
      <w:pPr>
        <w:rPr>
          <w:i/>
          <w:iCs/>
          <w:sz w:val="24"/>
          <w:szCs w:val="24"/>
        </w:rPr>
      </w:pPr>
      <w:r w:rsidRPr="0075155F">
        <w:rPr>
          <w:i/>
          <w:iCs/>
          <w:sz w:val="24"/>
          <w:szCs w:val="24"/>
        </w:rPr>
        <w:lastRenderedPageBreak/>
        <w:t>Projected Demand for Level II SNF Services</w:t>
      </w:r>
    </w:p>
    <w:p w14:paraId="11094562" w14:textId="1A8966F7" w:rsidR="00730574" w:rsidRPr="00C543D8" w:rsidRDefault="00C543D8" w:rsidP="00731ABF">
      <w:pPr>
        <w:spacing w:line="240" w:lineRule="auto"/>
        <w:rPr>
          <w:sz w:val="24"/>
          <w:szCs w:val="24"/>
        </w:rPr>
      </w:pPr>
      <w:r w:rsidRPr="00C543D8">
        <w:rPr>
          <w:sz w:val="24"/>
          <w:szCs w:val="24"/>
        </w:rPr>
        <w:t xml:space="preserve">The Applicant states that </w:t>
      </w:r>
      <w:r w:rsidR="00730574" w:rsidRPr="00C543D8">
        <w:rPr>
          <w:sz w:val="24"/>
          <w:szCs w:val="24"/>
        </w:rPr>
        <w:t xml:space="preserve">Windemere currently has a list of 15 individuals waiting for an opening at the </w:t>
      </w:r>
      <w:r w:rsidR="00301F3F" w:rsidRPr="00C543D8">
        <w:rPr>
          <w:sz w:val="24"/>
          <w:szCs w:val="24"/>
        </w:rPr>
        <w:t>facility</w:t>
      </w:r>
      <w:r w:rsidR="00301F3F">
        <w:rPr>
          <w:sz w:val="24"/>
          <w:szCs w:val="24"/>
        </w:rPr>
        <w:t xml:space="preserve"> and</w:t>
      </w:r>
      <w:r w:rsidRPr="00C543D8">
        <w:rPr>
          <w:sz w:val="24"/>
          <w:szCs w:val="24"/>
        </w:rPr>
        <w:t xml:space="preserve"> believes </w:t>
      </w:r>
      <w:r w:rsidR="00730574" w:rsidRPr="00C543D8">
        <w:rPr>
          <w:sz w:val="24"/>
          <w:szCs w:val="24"/>
        </w:rPr>
        <w:t xml:space="preserve">this number does not capture the true number of </w:t>
      </w:r>
      <w:r w:rsidR="00355167">
        <w:rPr>
          <w:sz w:val="24"/>
          <w:szCs w:val="24"/>
        </w:rPr>
        <w:t>Island</w:t>
      </w:r>
      <w:r w:rsidR="00730574" w:rsidRPr="00C543D8">
        <w:rPr>
          <w:sz w:val="24"/>
          <w:szCs w:val="24"/>
        </w:rPr>
        <w:t xml:space="preserve"> residents who would remain if capacity were available</w:t>
      </w:r>
      <w:r w:rsidR="0004014D">
        <w:rPr>
          <w:sz w:val="24"/>
          <w:szCs w:val="24"/>
        </w:rPr>
        <w:t xml:space="preserve">, </w:t>
      </w:r>
      <w:r w:rsidR="004E61D2">
        <w:rPr>
          <w:sz w:val="24"/>
          <w:szCs w:val="24"/>
        </w:rPr>
        <w:t xml:space="preserve">stating that </w:t>
      </w:r>
      <w:r w:rsidR="00730574" w:rsidRPr="00C543D8">
        <w:rPr>
          <w:sz w:val="24"/>
          <w:szCs w:val="24"/>
        </w:rPr>
        <w:t xml:space="preserve">many cannot wait for a bed and must relocate off-island. </w:t>
      </w:r>
    </w:p>
    <w:p w14:paraId="556417EC" w14:textId="1AD71BF8" w:rsidR="00C543D8" w:rsidRPr="00514FE6" w:rsidRDefault="00730574" w:rsidP="00731ABF">
      <w:pPr>
        <w:spacing w:line="240" w:lineRule="auto"/>
        <w:rPr>
          <w:sz w:val="24"/>
          <w:szCs w:val="24"/>
        </w:rPr>
      </w:pPr>
      <w:r w:rsidRPr="00514FE6">
        <w:rPr>
          <w:sz w:val="24"/>
          <w:szCs w:val="24"/>
        </w:rPr>
        <w:t xml:space="preserve">The Applicant </w:t>
      </w:r>
      <w:r w:rsidR="00DE60E7">
        <w:rPr>
          <w:sz w:val="24"/>
          <w:szCs w:val="24"/>
        </w:rPr>
        <w:t xml:space="preserve">states it </w:t>
      </w:r>
      <w:r w:rsidRPr="00514FE6">
        <w:rPr>
          <w:sz w:val="24"/>
          <w:szCs w:val="24"/>
        </w:rPr>
        <w:t>used a conservative estimate of 2.3% to calculate the number of long-term care beds needed on Martha’s Vineyard in 2025 based on UMDI population projections</w:t>
      </w:r>
      <w:r w:rsidR="009D4032" w:rsidRPr="00514FE6">
        <w:rPr>
          <w:sz w:val="24"/>
          <w:szCs w:val="24"/>
        </w:rPr>
        <w:t>,</w:t>
      </w:r>
      <w:r w:rsidRPr="00514FE6">
        <w:rPr>
          <w:sz w:val="24"/>
          <w:szCs w:val="24"/>
          <w:vertAlign w:val="superscript"/>
        </w:rPr>
        <w:footnoteReference w:id="13"/>
      </w:r>
      <w:r w:rsidRPr="00514FE6">
        <w:rPr>
          <w:sz w:val="24"/>
          <w:szCs w:val="24"/>
        </w:rPr>
        <w:t xml:space="preserve"> </w:t>
      </w:r>
      <w:r w:rsidR="00C543D8" w:rsidRPr="00514FE6">
        <w:rPr>
          <w:sz w:val="24"/>
          <w:szCs w:val="24"/>
        </w:rPr>
        <w:t xml:space="preserve"> </w:t>
      </w:r>
      <w:r w:rsidR="009D4032" w:rsidRPr="00514FE6">
        <w:rPr>
          <w:sz w:val="24"/>
          <w:szCs w:val="24"/>
        </w:rPr>
        <w:t>because a</w:t>
      </w:r>
      <w:r w:rsidR="00C543D8" w:rsidRPr="00514FE6">
        <w:rPr>
          <w:sz w:val="24"/>
          <w:szCs w:val="24"/>
        </w:rPr>
        <w:t>ccording to the 2015 Nursing Home Data Compendium, approximately 3.7% of adults over the age of 65 in Massachusetts were residents of nursing facilities, down from prior years.</w:t>
      </w:r>
      <w:r w:rsidR="00C543D8" w:rsidRPr="00514FE6">
        <w:rPr>
          <w:sz w:val="24"/>
          <w:szCs w:val="24"/>
          <w:vertAlign w:val="superscript"/>
        </w:rPr>
        <w:endnoteReference w:id="9"/>
      </w:r>
      <w:r w:rsidR="009D4032" w:rsidRPr="00514FE6">
        <w:rPr>
          <w:sz w:val="24"/>
          <w:szCs w:val="24"/>
        </w:rPr>
        <w:t xml:space="preserve"> </w:t>
      </w:r>
    </w:p>
    <w:p w14:paraId="4F92FCB3" w14:textId="1BE20A48" w:rsidR="00C543D8" w:rsidRPr="00514FE6" w:rsidRDefault="00CD1B79" w:rsidP="00731ABF">
      <w:pPr>
        <w:spacing w:line="240" w:lineRule="auto"/>
        <w:rPr>
          <w:sz w:val="24"/>
          <w:szCs w:val="24"/>
        </w:rPr>
      </w:pPr>
      <w:r w:rsidRPr="00514FE6">
        <w:rPr>
          <w:sz w:val="24"/>
          <w:szCs w:val="24"/>
        </w:rPr>
        <w:t xml:space="preserve">This </w:t>
      </w:r>
      <w:r w:rsidR="009D4032" w:rsidRPr="00514FE6">
        <w:rPr>
          <w:sz w:val="24"/>
          <w:szCs w:val="24"/>
        </w:rPr>
        <w:t>calculation</w:t>
      </w:r>
      <w:r w:rsidRPr="00514FE6">
        <w:rPr>
          <w:sz w:val="24"/>
          <w:szCs w:val="24"/>
        </w:rPr>
        <w:t xml:space="preserve"> showed </w:t>
      </w:r>
      <w:r w:rsidR="009D4032" w:rsidRPr="00514FE6">
        <w:rPr>
          <w:sz w:val="24"/>
          <w:szCs w:val="24"/>
        </w:rPr>
        <w:t xml:space="preserve">that 125 beds would be needed in 2025 with at least 108 beds needed in 2030, </w:t>
      </w:r>
      <w:r w:rsidR="00CD3204" w:rsidRPr="00514FE6">
        <w:rPr>
          <w:sz w:val="24"/>
          <w:szCs w:val="24"/>
        </w:rPr>
        <w:t>accounting for</w:t>
      </w:r>
      <w:r w:rsidR="009D4032" w:rsidRPr="00514FE6">
        <w:rPr>
          <w:sz w:val="24"/>
          <w:szCs w:val="24"/>
        </w:rPr>
        <w:t xml:space="preserve"> a larger over 65 population</w:t>
      </w:r>
      <w:r w:rsidR="00C9761A" w:rsidRPr="00514FE6">
        <w:rPr>
          <w:sz w:val="24"/>
          <w:szCs w:val="24"/>
        </w:rPr>
        <w:t>,</w:t>
      </w:r>
      <w:r w:rsidR="009D4032" w:rsidRPr="00514FE6">
        <w:rPr>
          <w:sz w:val="24"/>
          <w:szCs w:val="24"/>
        </w:rPr>
        <w:t xml:space="preserve"> and what Applicant asserts is a continued decreased demand for conventional institutional nursing facility care.</w:t>
      </w:r>
    </w:p>
    <w:p w14:paraId="4EFE5C07" w14:textId="77777777" w:rsidR="00C427E9" w:rsidRDefault="009D4032" w:rsidP="00731ABF">
      <w:pPr>
        <w:spacing w:line="240" w:lineRule="auto"/>
        <w:rPr>
          <w:sz w:val="24"/>
          <w:szCs w:val="24"/>
        </w:rPr>
      </w:pPr>
      <w:r w:rsidRPr="009D4032">
        <w:rPr>
          <w:sz w:val="24"/>
          <w:szCs w:val="24"/>
        </w:rPr>
        <w:t xml:space="preserve">As such, </w:t>
      </w:r>
      <w:r w:rsidR="00730574" w:rsidRPr="009D4032">
        <w:rPr>
          <w:sz w:val="24"/>
          <w:szCs w:val="24"/>
        </w:rPr>
        <w:t xml:space="preserve">the </w:t>
      </w:r>
      <w:r>
        <w:rPr>
          <w:sz w:val="24"/>
          <w:szCs w:val="24"/>
        </w:rPr>
        <w:t xml:space="preserve">Proposed Project will </w:t>
      </w:r>
      <w:r w:rsidR="00730574" w:rsidRPr="009D4032">
        <w:rPr>
          <w:sz w:val="24"/>
          <w:szCs w:val="24"/>
        </w:rPr>
        <w:t>increase capacity by 9 bed</w:t>
      </w:r>
      <w:r w:rsidR="001F1326">
        <w:rPr>
          <w:sz w:val="24"/>
          <w:szCs w:val="24"/>
        </w:rPr>
        <w:t>s</w:t>
      </w:r>
      <w:r w:rsidR="001F1326">
        <w:rPr>
          <w:rStyle w:val="FootnoteReference"/>
          <w:sz w:val="24"/>
          <w:szCs w:val="24"/>
        </w:rPr>
        <w:footnoteReference w:id="14"/>
      </w:r>
      <w:r w:rsidR="00730574" w:rsidRPr="009D4032">
        <w:rPr>
          <w:sz w:val="24"/>
          <w:szCs w:val="24"/>
        </w:rPr>
        <w:t xml:space="preserve"> through the construction of a 70-bed facility. All current residents of the existing facility will have the option to move to the new facility</w:t>
      </w:r>
      <w:r w:rsidR="00255E96">
        <w:rPr>
          <w:sz w:val="24"/>
          <w:szCs w:val="24"/>
        </w:rPr>
        <w:t>. T</w:t>
      </w:r>
      <w:r w:rsidR="00730574" w:rsidRPr="009D4032">
        <w:rPr>
          <w:sz w:val="24"/>
          <w:szCs w:val="24"/>
        </w:rPr>
        <w:t>he Applicant anticipates it will operate at full capacity for both long-term and short-term care at the new facility</w:t>
      </w:r>
      <w:r>
        <w:rPr>
          <w:sz w:val="24"/>
          <w:szCs w:val="24"/>
        </w:rPr>
        <w:t xml:space="preserve"> after </w:t>
      </w:r>
      <w:r w:rsidR="00255E96">
        <w:rPr>
          <w:sz w:val="24"/>
          <w:szCs w:val="24"/>
        </w:rPr>
        <w:t xml:space="preserve">a </w:t>
      </w:r>
      <w:r>
        <w:rPr>
          <w:sz w:val="24"/>
          <w:szCs w:val="24"/>
        </w:rPr>
        <w:t xml:space="preserve">year 1 ramp-up </w:t>
      </w:r>
      <w:r w:rsidRPr="009D4032">
        <w:rPr>
          <w:sz w:val="24"/>
          <w:szCs w:val="24"/>
        </w:rPr>
        <w:t xml:space="preserve">period. </w:t>
      </w:r>
      <w:r w:rsidR="00730574" w:rsidRPr="009D4032">
        <w:rPr>
          <w:sz w:val="24"/>
          <w:szCs w:val="24"/>
        </w:rPr>
        <w:t xml:space="preserve">Tables </w:t>
      </w:r>
      <w:r>
        <w:rPr>
          <w:sz w:val="24"/>
          <w:szCs w:val="24"/>
        </w:rPr>
        <w:t>5</w:t>
      </w:r>
      <w:r w:rsidR="00730574" w:rsidRPr="009D4032">
        <w:rPr>
          <w:sz w:val="24"/>
          <w:szCs w:val="24"/>
        </w:rPr>
        <w:t xml:space="preserve"> outline</w:t>
      </w:r>
      <w:r w:rsidR="00D448C4">
        <w:rPr>
          <w:sz w:val="24"/>
          <w:szCs w:val="24"/>
        </w:rPr>
        <w:t>s</w:t>
      </w:r>
      <w:r w:rsidR="00730574" w:rsidRPr="009D4032">
        <w:rPr>
          <w:sz w:val="24"/>
          <w:szCs w:val="24"/>
        </w:rPr>
        <w:t xml:space="preserve"> the Applicant’s 5-year projected demand for Level II long-term care services based on current utilization at Windemere. </w:t>
      </w:r>
    </w:p>
    <w:p w14:paraId="0D18EFF0" w14:textId="7517068A" w:rsidR="002E144B" w:rsidRDefault="009D4032" w:rsidP="00731ABF">
      <w:pPr>
        <w:spacing w:line="240" w:lineRule="auto"/>
        <w:rPr>
          <w:sz w:val="24"/>
          <w:szCs w:val="24"/>
        </w:rPr>
      </w:pPr>
      <w:r w:rsidRPr="009D4032">
        <w:rPr>
          <w:sz w:val="24"/>
          <w:szCs w:val="24"/>
        </w:rPr>
        <w:t xml:space="preserve">Since Windemere does not currently offer short-term rehab services, no historical utilization </w:t>
      </w:r>
      <w:r w:rsidR="00C427E9">
        <w:rPr>
          <w:sz w:val="24"/>
          <w:szCs w:val="24"/>
        </w:rPr>
        <w:t xml:space="preserve">data </w:t>
      </w:r>
      <w:r w:rsidRPr="009D4032">
        <w:rPr>
          <w:sz w:val="24"/>
          <w:szCs w:val="24"/>
        </w:rPr>
        <w:t xml:space="preserve">is </w:t>
      </w:r>
      <w:r w:rsidR="008976CA">
        <w:rPr>
          <w:sz w:val="24"/>
          <w:szCs w:val="24"/>
        </w:rPr>
        <w:t xml:space="preserve">available </w:t>
      </w:r>
      <w:r w:rsidR="00C427E9">
        <w:rPr>
          <w:sz w:val="24"/>
          <w:szCs w:val="24"/>
        </w:rPr>
        <w:t>as a basis for</w:t>
      </w:r>
      <w:r w:rsidR="00D448C4">
        <w:rPr>
          <w:sz w:val="24"/>
          <w:szCs w:val="24"/>
        </w:rPr>
        <w:t xml:space="preserve"> the projections shown in Table 6</w:t>
      </w:r>
      <w:r w:rsidR="00C427E9">
        <w:rPr>
          <w:sz w:val="24"/>
          <w:szCs w:val="24"/>
        </w:rPr>
        <w:t xml:space="preserve">. Therefore, </w:t>
      </w:r>
      <w:r w:rsidR="00705D2A">
        <w:rPr>
          <w:sz w:val="24"/>
          <w:szCs w:val="24"/>
        </w:rPr>
        <w:t xml:space="preserve">Staff </w:t>
      </w:r>
      <w:r w:rsidR="00C427E9">
        <w:rPr>
          <w:sz w:val="24"/>
          <w:szCs w:val="24"/>
        </w:rPr>
        <w:t xml:space="preserve">asked </w:t>
      </w:r>
      <w:r w:rsidR="002F1260">
        <w:rPr>
          <w:sz w:val="24"/>
          <w:szCs w:val="24"/>
        </w:rPr>
        <w:t>how the Applicant derived these numbers.</w:t>
      </w:r>
      <w:r w:rsidR="00C427E9">
        <w:rPr>
          <w:sz w:val="24"/>
          <w:szCs w:val="24"/>
        </w:rPr>
        <w:t xml:space="preserve"> </w:t>
      </w:r>
      <w:r w:rsidR="00C427E9" w:rsidRPr="00C427E9">
        <w:rPr>
          <w:sz w:val="24"/>
          <w:szCs w:val="24"/>
        </w:rPr>
        <w:t>It responded that currently, short-term rehabilitation is only available through a limited number of swing beds at Martha’s Vineyard Hospital for inpatients of the hospital.</w:t>
      </w:r>
      <w:r w:rsidR="00C427E9">
        <w:t xml:space="preserve"> </w:t>
      </w:r>
      <w:r w:rsidR="00C427E9" w:rsidRPr="002E144B">
        <w:rPr>
          <w:sz w:val="24"/>
          <w:szCs w:val="24"/>
        </w:rPr>
        <w:t xml:space="preserve">As a result, patients who </w:t>
      </w:r>
      <w:r w:rsidR="002E144B" w:rsidRPr="002E144B">
        <w:rPr>
          <w:sz w:val="24"/>
          <w:szCs w:val="24"/>
        </w:rPr>
        <w:t xml:space="preserve">have needed and </w:t>
      </w:r>
      <w:r w:rsidR="00C427E9" w:rsidRPr="002E144B">
        <w:rPr>
          <w:sz w:val="24"/>
          <w:szCs w:val="24"/>
        </w:rPr>
        <w:t>seek inpatient care off-island, cannot access on-island short-term rehabilitation.</w:t>
      </w:r>
      <w:r w:rsidR="00C427E9">
        <w:t xml:space="preserve"> </w:t>
      </w:r>
      <w:r w:rsidR="002E144B">
        <w:t xml:space="preserve"> </w:t>
      </w:r>
      <w:r w:rsidR="002E144B" w:rsidRPr="002E144B">
        <w:rPr>
          <w:sz w:val="24"/>
          <w:szCs w:val="24"/>
        </w:rPr>
        <w:t xml:space="preserve">The Applicant cited a study by </w:t>
      </w:r>
      <w:r w:rsidR="002E144B" w:rsidRPr="695818A5">
        <w:rPr>
          <w:i/>
          <w:iCs/>
          <w:sz w:val="24"/>
          <w:szCs w:val="24"/>
        </w:rPr>
        <w:t>Massachusetts Health &amp; Hospital Association</w:t>
      </w:r>
      <w:r w:rsidR="002E144B" w:rsidRPr="002E144B">
        <w:rPr>
          <w:sz w:val="24"/>
          <w:szCs w:val="24"/>
        </w:rPr>
        <w:t xml:space="preserve"> showing that in November 2022, 107 inpatients from Southeastern hospitals could not timely access post-acute care due to a lack of available beds.</w:t>
      </w:r>
      <w:r w:rsidR="002E144B" w:rsidRPr="002E144B">
        <w:rPr>
          <w:rStyle w:val="FootnoteReference"/>
          <w:sz w:val="24"/>
          <w:szCs w:val="24"/>
        </w:rPr>
        <w:footnoteReference w:id="15"/>
      </w:r>
      <w:r w:rsidR="002E144B">
        <w:rPr>
          <w:sz w:val="24"/>
          <w:szCs w:val="24"/>
        </w:rPr>
        <w:t xml:space="preserve"> </w:t>
      </w:r>
      <w:r w:rsidR="002E144B" w:rsidRPr="002E144B">
        <w:rPr>
          <w:sz w:val="24"/>
          <w:szCs w:val="24"/>
        </w:rPr>
        <w:t xml:space="preserve">As a result, it concludes that </w:t>
      </w:r>
      <w:r w:rsidR="002E144B">
        <w:rPr>
          <w:sz w:val="24"/>
          <w:szCs w:val="24"/>
        </w:rPr>
        <w:t xml:space="preserve">the </w:t>
      </w:r>
      <w:r w:rsidR="00C427E9" w:rsidRPr="002E144B">
        <w:rPr>
          <w:sz w:val="24"/>
          <w:szCs w:val="24"/>
        </w:rPr>
        <w:t>shortage of post-acute care</w:t>
      </w:r>
      <w:r w:rsidR="002E144B">
        <w:rPr>
          <w:sz w:val="24"/>
          <w:szCs w:val="24"/>
        </w:rPr>
        <w:t xml:space="preserve"> beds limits access to short-term rehabilitation</w:t>
      </w:r>
      <w:r w:rsidR="00C427E9" w:rsidRPr="002E144B">
        <w:rPr>
          <w:sz w:val="24"/>
          <w:szCs w:val="24"/>
        </w:rPr>
        <w:t xml:space="preserve"> </w:t>
      </w:r>
      <w:r w:rsidR="002E144B">
        <w:rPr>
          <w:sz w:val="24"/>
          <w:szCs w:val="24"/>
        </w:rPr>
        <w:t xml:space="preserve">for </w:t>
      </w:r>
      <w:r w:rsidR="00C427E9" w:rsidRPr="002E144B">
        <w:rPr>
          <w:sz w:val="24"/>
          <w:szCs w:val="24"/>
        </w:rPr>
        <w:t>residents</w:t>
      </w:r>
      <w:r w:rsidR="002E144B">
        <w:rPr>
          <w:sz w:val="24"/>
          <w:szCs w:val="24"/>
        </w:rPr>
        <w:t xml:space="preserve"> of </w:t>
      </w:r>
      <w:r w:rsidR="00C427E9" w:rsidRPr="002E144B">
        <w:rPr>
          <w:sz w:val="24"/>
          <w:szCs w:val="24"/>
        </w:rPr>
        <w:t xml:space="preserve">Martha’s </w:t>
      </w:r>
      <w:r w:rsidR="007866AD" w:rsidRPr="002E144B">
        <w:rPr>
          <w:sz w:val="24"/>
          <w:szCs w:val="24"/>
        </w:rPr>
        <w:t>Vineyard</w:t>
      </w:r>
      <w:r w:rsidR="007866AD">
        <w:rPr>
          <w:sz w:val="24"/>
          <w:szCs w:val="24"/>
        </w:rPr>
        <w:t xml:space="preserve">, that </w:t>
      </w:r>
      <w:r w:rsidR="00847E3B">
        <w:rPr>
          <w:sz w:val="24"/>
          <w:szCs w:val="24"/>
        </w:rPr>
        <w:t xml:space="preserve">it asserts </w:t>
      </w:r>
      <w:r w:rsidR="007866AD">
        <w:rPr>
          <w:sz w:val="24"/>
          <w:szCs w:val="24"/>
        </w:rPr>
        <w:t xml:space="preserve">will be ameliorated </w:t>
      </w:r>
      <w:r w:rsidR="00847E3B">
        <w:rPr>
          <w:sz w:val="24"/>
          <w:szCs w:val="24"/>
        </w:rPr>
        <w:t xml:space="preserve">with </w:t>
      </w:r>
      <w:r w:rsidR="007866AD">
        <w:rPr>
          <w:sz w:val="24"/>
          <w:szCs w:val="24"/>
        </w:rPr>
        <w:t xml:space="preserve">the </w:t>
      </w:r>
      <w:r w:rsidR="00847E3B">
        <w:rPr>
          <w:sz w:val="24"/>
          <w:szCs w:val="24"/>
        </w:rPr>
        <w:t xml:space="preserve">Proposed Project’s </w:t>
      </w:r>
      <w:r w:rsidR="007866AD">
        <w:rPr>
          <w:sz w:val="24"/>
          <w:szCs w:val="24"/>
        </w:rPr>
        <w:t xml:space="preserve">14 bed </w:t>
      </w:r>
      <w:r w:rsidR="007866AD" w:rsidRPr="007866AD">
        <w:rPr>
          <w:sz w:val="24"/>
          <w:szCs w:val="24"/>
        </w:rPr>
        <w:t>short-term stay beds</w:t>
      </w:r>
      <w:r w:rsidR="007866AD">
        <w:rPr>
          <w:sz w:val="24"/>
          <w:szCs w:val="24"/>
        </w:rPr>
        <w:t xml:space="preserve"> </w:t>
      </w:r>
      <w:r w:rsidR="00847E3B">
        <w:rPr>
          <w:sz w:val="24"/>
          <w:szCs w:val="24"/>
        </w:rPr>
        <w:t xml:space="preserve">Green </w:t>
      </w:r>
      <w:r w:rsidR="007866AD">
        <w:rPr>
          <w:sz w:val="24"/>
          <w:szCs w:val="24"/>
        </w:rPr>
        <w:t xml:space="preserve">House. Upon viewing the report, staff notes that </w:t>
      </w:r>
      <w:r w:rsidR="00847E3B">
        <w:rPr>
          <w:sz w:val="24"/>
          <w:szCs w:val="24"/>
        </w:rPr>
        <w:t xml:space="preserve">1) </w:t>
      </w:r>
      <w:r w:rsidR="007866AD">
        <w:rPr>
          <w:sz w:val="24"/>
          <w:szCs w:val="24"/>
        </w:rPr>
        <w:t>of those 107 patients</w:t>
      </w:r>
      <w:r w:rsidR="00847E3B">
        <w:rPr>
          <w:sz w:val="24"/>
          <w:szCs w:val="24"/>
        </w:rPr>
        <w:t>,</w:t>
      </w:r>
      <w:r w:rsidR="007866AD">
        <w:rPr>
          <w:sz w:val="24"/>
          <w:szCs w:val="24"/>
        </w:rPr>
        <w:t xml:space="preserve"> 71 were in need of SNF care</w:t>
      </w:r>
      <w:r w:rsidR="00847E3B">
        <w:rPr>
          <w:sz w:val="24"/>
          <w:szCs w:val="24"/>
        </w:rPr>
        <w:t>,</w:t>
      </w:r>
      <w:r w:rsidR="003966BF">
        <w:rPr>
          <w:rStyle w:val="FootnoteReference"/>
          <w:sz w:val="24"/>
          <w:szCs w:val="24"/>
        </w:rPr>
        <w:footnoteReference w:id="16"/>
      </w:r>
      <w:r w:rsidR="007866AD">
        <w:rPr>
          <w:sz w:val="24"/>
          <w:szCs w:val="24"/>
        </w:rPr>
        <w:t xml:space="preserve"> </w:t>
      </w:r>
      <w:r w:rsidR="00847E3B">
        <w:rPr>
          <w:sz w:val="24"/>
          <w:szCs w:val="24"/>
        </w:rPr>
        <w:t xml:space="preserve">2) </w:t>
      </w:r>
      <w:r w:rsidR="007866AD">
        <w:rPr>
          <w:sz w:val="24"/>
          <w:szCs w:val="24"/>
        </w:rPr>
        <w:t>there were 284 patients in Boston area hospitals</w:t>
      </w:r>
      <w:r w:rsidR="003966BF">
        <w:rPr>
          <w:rStyle w:val="FootnoteReference"/>
          <w:sz w:val="24"/>
          <w:szCs w:val="24"/>
        </w:rPr>
        <w:footnoteReference w:id="17"/>
      </w:r>
      <w:r w:rsidR="003966BF">
        <w:rPr>
          <w:sz w:val="24"/>
          <w:szCs w:val="24"/>
        </w:rPr>
        <w:t xml:space="preserve"> </w:t>
      </w:r>
      <w:r w:rsidR="007866AD">
        <w:rPr>
          <w:sz w:val="24"/>
          <w:szCs w:val="24"/>
        </w:rPr>
        <w:t xml:space="preserve">awaiting </w:t>
      </w:r>
      <w:r w:rsidR="00847E3B">
        <w:rPr>
          <w:sz w:val="24"/>
          <w:szCs w:val="24"/>
        </w:rPr>
        <w:t>SNF care, a few of whom may also be from the Island.</w:t>
      </w:r>
    </w:p>
    <w:p w14:paraId="1D6D405D" w14:textId="7EEF90CC" w:rsidR="00730574" w:rsidRPr="00D448C4" w:rsidRDefault="00730574" w:rsidP="00D448C4">
      <w:pPr>
        <w:jc w:val="center"/>
        <w:rPr>
          <w:sz w:val="24"/>
          <w:szCs w:val="24"/>
        </w:rPr>
      </w:pPr>
      <w:r w:rsidRPr="695818A5">
        <w:rPr>
          <w:b/>
          <w:bCs/>
          <w:sz w:val="24"/>
          <w:szCs w:val="24"/>
        </w:rPr>
        <w:t xml:space="preserve">Table </w:t>
      </w:r>
      <w:r w:rsidR="009D4032" w:rsidRPr="695818A5">
        <w:rPr>
          <w:b/>
          <w:bCs/>
          <w:sz w:val="24"/>
          <w:szCs w:val="24"/>
        </w:rPr>
        <w:t>5</w:t>
      </w:r>
      <w:r w:rsidRPr="695818A5">
        <w:rPr>
          <w:b/>
          <w:bCs/>
          <w:sz w:val="24"/>
          <w:szCs w:val="24"/>
        </w:rPr>
        <w:t xml:space="preserve">: Long Term </w:t>
      </w:r>
      <w:r w:rsidR="00907F05" w:rsidRPr="695818A5">
        <w:rPr>
          <w:b/>
          <w:bCs/>
          <w:sz w:val="24"/>
          <w:szCs w:val="24"/>
        </w:rPr>
        <w:t xml:space="preserve">Level </w:t>
      </w:r>
      <w:proofErr w:type="spellStart"/>
      <w:r w:rsidR="00907F05" w:rsidRPr="695818A5">
        <w:rPr>
          <w:b/>
          <w:bCs/>
          <w:sz w:val="24"/>
          <w:szCs w:val="24"/>
        </w:rPr>
        <w:t>ll</w:t>
      </w:r>
      <w:proofErr w:type="spellEnd"/>
      <w:r w:rsidR="00907F05" w:rsidRPr="695818A5">
        <w:rPr>
          <w:b/>
          <w:bCs/>
          <w:sz w:val="24"/>
          <w:szCs w:val="24"/>
        </w:rPr>
        <w:t xml:space="preserve"> </w:t>
      </w:r>
      <w:r w:rsidRPr="695818A5">
        <w:rPr>
          <w:b/>
          <w:bCs/>
          <w:sz w:val="24"/>
          <w:szCs w:val="24"/>
        </w:rPr>
        <w:t>Care Projections</w:t>
      </w:r>
      <w:r w:rsidR="0085117A" w:rsidRPr="695818A5">
        <w:rPr>
          <w:b/>
          <w:bCs/>
          <w:sz w:val="24"/>
          <w:szCs w:val="24"/>
        </w:rPr>
        <w:t xml:space="preserve"> - </w:t>
      </w:r>
      <w:r w:rsidR="0085117A" w:rsidRPr="003576A6">
        <w:rPr>
          <w:b/>
          <w:bCs/>
          <w:sz w:val="24"/>
          <w:szCs w:val="24"/>
        </w:rPr>
        <w:t>Navigator Homes of Martha’s Vineyard</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9"/>
        <w:gridCol w:w="1171"/>
        <w:gridCol w:w="1080"/>
        <w:gridCol w:w="1080"/>
        <w:gridCol w:w="1080"/>
        <w:gridCol w:w="990"/>
      </w:tblGrid>
      <w:tr w:rsidR="00D448C4" w:rsidRPr="00D448C4" w14:paraId="372AD455" w14:textId="77777777" w:rsidTr="00D259EE">
        <w:trPr>
          <w:cantSplit/>
          <w:trHeight w:val="300"/>
          <w:tblHeader/>
          <w:jc w:val="center"/>
        </w:trPr>
        <w:tc>
          <w:tcPr>
            <w:tcW w:w="3239" w:type="dxa"/>
            <w:shd w:val="clear" w:color="auto" w:fill="E7FAFF"/>
            <w:vAlign w:val="center"/>
            <w:hideMark/>
          </w:tcPr>
          <w:p w14:paraId="034AE177" w14:textId="401D0921" w:rsidR="00730574" w:rsidRPr="001F1326" w:rsidRDefault="00730574" w:rsidP="00D448C4">
            <w:pPr>
              <w:spacing w:after="0"/>
              <w:rPr>
                <w:b/>
                <w:bCs/>
                <w:sz w:val="24"/>
                <w:szCs w:val="24"/>
              </w:rPr>
            </w:pPr>
            <w:bookmarkStart w:id="6" w:name="_Hlk123214345"/>
            <w:r w:rsidRPr="001F1326">
              <w:rPr>
                <w:b/>
                <w:bCs/>
                <w:sz w:val="24"/>
                <w:szCs w:val="24"/>
              </w:rPr>
              <w:lastRenderedPageBreak/>
              <w:t> </w:t>
            </w:r>
            <w:r w:rsidR="001F1326" w:rsidRPr="001F1326">
              <w:rPr>
                <w:b/>
                <w:bCs/>
                <w:sz w:val="24"/>
                <w:szCs w:val="24"/>
              </w:rPr>
              <w:t>Total Beds: 56</w:t>
            </w:r>
            <w:r w:rsidR="001F1326">
              <w:rPr>
                <w:b/>
                <w:bCs/>
                <w:sz w:val="24"/>
                <w:szCs w:val="24"/>
              </w:rPr>
              <w:t xml:space="preserve"> </w:t>
            </w:r>
          </w:p>
        </w:tc>
        <w:tc>
          <w:tcPr>
            <w:tcW w:w="1171" w:type="dxa"/>
            <w:shd w:val="clear" w:color="auto" w:fill="E7FAFF"/>
            <w:vAlign w:val="center"/>
            <w:hideMark/>
          </w:tcPr>
          <w:p w14:paraId="6AB8561D" w14:textId="77777777" w:rsidR="00730574" w:rsidRPr="00D448C4" w:rsidRDefault="00730574" w:rsidP="00D448C4">
            <w:pPr>
              <w:spacing w:after="0"/>
              <w:jc w:val="center"/>
              <w:rPr>
                <w:b/>
                <w:bCs/>
                <w:sz w:val="24"/>
                <w:szCs w:val="24"/>
              </w:rPr>
            </w:pPr>
            <w:r w:rsidRPr="00D448C4">
              <w:rPr>
                <w:b/>
                <w:bCs/>
                <w:sz w:val="24"/>
                <w:szCs w:val="24"/>
              </w:rPr>
              <w:t>Year 1</w:t>
            </w:r>
          </w:p>
        </w:tc>
        <w:tc>
          <w:tcPr>
            <w:tcW w:w="1080" w:type="dxa"/>
            <w:shd w:val="clear" w:color="auto" w:fill="E7FAFF"/>
            <w:vAlign w:val="center"/>
            <w:hideMark/>
          </w:tcPr>
          <w:p w14:paraId="3CCC861B" w14:textId="77777777" w:rsidR="00730574" w:rsidRPr="00D448C4" w:rsidRDefault="00730574" w:rsidP="00D448C4">
            <w:pPr>
              <w:spacing w:after="0"/>
              <w:jc w:val="center"/>
              <w:rPr>
                <w:b/>
                <w:bCs/>
                <w:sz w:val="24"/>
                <w:szCs w:val="24"/>
              </w:rPr>
            </w:pPr>
            <w:r w:rsidRPr="00D448C4">
              <w:rPr>
                <w:b/>
                <w:bCs/>
                <w:sz w:val="24"/>
                <w:szCs w:val="24"/>
              </w:rPr>
              <w:t>Year 2</w:t>
            </w:r>
          </w:p>
        </w:tc>
        <w:tc>
          <w:tcPr>
            <w:tcW w:w="1080" w:type="dxa"/>
            <w:shd w:val="clear" w:color="auto" w:fill="E7FAFF"/>
            <w:vAlign w:val="center"/>
            <w:hideMark/>
          </w:tcPr>
          <w:p w14:paraId="0D41960C" w14:textId="77777777" w:rsidR="00730574" w:rsidRPr="00D448C4" w:rsidRDefault="00730574" w:rsidP="00D448C4">
            <w:pPr>
              <w:spacing w:after="0"/>
              <w:jc w:val="center"/>
              <w:rPr>
                <w:b/>
                <w:bCs/>
                <w:sz w:val="24"/>
                <w:szCs w:val="24"/>
              </w:rPr>
            </w:pPr>
            <w:r w:rsidRPr="00D448C4">
              <w:rPr>
                <w:b/>
                <w:bCs/>
                <w:sz w:val="24"/>
                <w:szCs w:val="24"/>
              </w:rPr>
              <w:t>Year 3</w:t>
            </w:r>
          </w:p>
        </w:tc>
        <w:tc>
          <w:tcPr>
            <w:tcW w:w="1080" w:type="dxa"/>
            <w:shd w:val="clear" w:color="auto" w:fill="E7FAFF"/>
            <w:vAlign w:val="center"/>
            <w:hideMark/>
          </w:tcPr>
          <w:p w14:paraId="282614D7" w14:textId="77777777" w:rsidR="00730574" w:rsidRPr="00D448C4" w:rsidRDefault="00730574" w:rsidP="00D448C4">
            <w:pPr>
              <w:spacing w:after="0"/>
              <w:jc w:val="center"/>
              <w:rPr>
                <w:b/>
                <w:bCs/>
                <w:sz w:val="24"/>
                <w:szCs w:val="24"/>
              </w:rPr>
            </w:pPr>
            <w:r w:rsidRPr="00D448C4">
              <w:rPr>
                <w:b/>
                <w:bCs/>
                <w:sz w:val="24"/>
                <w:szCs w:val="24"/>
              </w:rPr>
              <w:t>Year 4</w:t>
            </w:r>
          </w:p>
        </w:tc>
        <w:tc>
          <w:tcPr>
            <w:tcW w:w="990" w:type="dxa"/>
            <w:shd w:val="clear" w:color="auto" w:fill="E7FAFF"/>
            <w:vAlign w:val="center"/>
            <w:hideMark/>
          </w:tcPr>
          <w:p w14:paraId="57FA44B6" w14:textId="77777777" w:rsidR="00730574" w:rsidRPr="00D448C4" w:rsidRDefault="00730574" w:rsidP="00D448C4">
            <w:pPr>
              <w:spacing w:after="0"/>
              <w:jc w:val="center"/>
              <w:rPr>
                <w:b/>
                <w:bCs/>
                <w:sz w:val="24"/>
                <w:szCs w:val="24"/>
              </w:rPr>
            </w:pPr>
            <w:r w:rsidRPr="00D448C4">
              <w:rPr>
                <w:b/>
                <w:bCs/>
                <w:sz w:val="24"/>
                <w:szCs w:val="24"/>
              </w:rPr>
              <w:t>Year 5</w:t>
            </w:r>
          </w:p>
        </w:tc>
      </w:tr>
      <w:tr w:rsidR="00B30A8E" w:rsidRPr="00D448C4" w14:paraId="775954D6" w14:textId="77777777" w:rsidTr="00D259EE">
        <w:trPr>
          <w:cantSplit/>
          <w:trHeight w:val="300"/>
          <w:jc w:val="center"/>
        </w:trPr>
        <w:tc>
          <w:tcPr>
            <w:tcW w:w="3239" w:type="dxa"/>
            <w:vAlign w:val="center"/>
          </w:tcPr>
          <w:p w14:paraId="7D75FC55" w14:textId="60002FBB" w:rsidR="00B30A8E" w:rsidRPr="00D448C4" w:rsidRDefault="00B30A8E" w:rsidP="00B30A8E">
            <w:pPr>
              <w:spacing w:after="0"/>
              <w:rPr>
                <w:b/>
                <w:bCs/>
                <w:sz w:val="24"/>
                <w:szCs w:val="24"/>
              </w:rPr>
            </w:pPr>
            <w:r>
              <w:rPr>
                <w:b/>
                <w:bCs/>
                <w:sz w:val="24"/>
                <w:szCs w:val="24"/>
              </w:rPr>
              <w:t xml:space="preserve">Available Days-capacity </w:t>
            </w:r>
          </w:p>
        </w:tc>
        <w:tc>
          <w:tcPr>
            <w:tcW w:w="1171" w:type="dxa"/>
            <w:vAlign w:val="center"/>
          </w:tcPr>
          <w:p w14:paraId="325E52AC" w14:textId="2E2676D1" w:rsidR="00B30A8E" w:rsidRPr="00D448C4" w:rsidRDefault="00B30A8E" w:rsidP="00B30A8E">
            <w:pPr>
              <w:spacing w:after="0"/>
              <w:jc w:val="right"/>
              <w:rPr>
                <w:sz w:val="24"/>
                <w:szCs w:val="24"/>
              </w:rPr>
            </w:pPr>
            <w:r>
              <w:rPr>
                <w:sz w:val="24"/>
                <w:szCs w:val="24"/>
              </w:rPr>
              <w:t>20,440</w:t>
            </w:r>
          </w:p>
        </w:tc>
        <w:tc>
          <w:tcPr>
            <w:tcW w:w="1080" w:type="dxa"/>
          </w:tcPr>
          <w:p w14:paraId="67966BD2" w14:textId="05560F1C" w:rsidR="00B30A8E" w:rsidRPr="00D448C4" w:rsidRDefault="00B30A8E" w:rsidP="00B30A8E">
            <w:pPr>
              <w:spacing w:after="0"/>
              <w:jc w:val="right"/>
              <w:rPr>
                <w:sz w:val="24"/>
                <w:szCs w:val="24"/>
              </w:rPr>
            </w:pPr>
            <w:r w:rsidRPr="00C52242">
              <w:rPr>
                <w:sz w:val="24"/>
                <w:szCs w:val="24"/>
              </w:rPr>
              <w:t>20,440</w:t>
            </w:r>
          </w:p>
        </w:tc>
        <w:tc>
          <w:tcPr>
            <w:tcW w:w="1080" w:type="dxa"/>
          </w:tcPr>
          <w:p w14:paraId="10B3413E" w14:textId="518E4FF5" w:rsidR="00B30A8E" w:rsidRPr="00D448C4" w:rsidRDefault="00B30A8E" w:rsidP="00B30A8E">
            <w:pPr>
              <w:spacing w:after="0"/>
              <w:jc w:val="right"/>
              <w:rPr>
                <w:sz w:val="24"/>
                <w:szCs w:val="24"/>
              </w:rPr>
            </w:pPr>
            <w:r w:rsidRPr="00C52242">
              <w:rPr>
                <w:sz w:val="24"/>
                <w:szCs w:val="24"/>
              </w:rPr>
              <w:t>20,440</w:t>
            </w:r>
          </w:p>
        </w:tc>
        <w:tc>
          <w:tcPr>
            <w:tcW w:w="1080" w:type="dxa"/>
          </w:tcPr>
          <w:p w14:paraId="47DA94DB" w14:textId="5B9E38FA" w:rsidR="00B30A8E" w:rsidRPr="00D448C4" w:rsidRDefault="00B30A8E" w:rsidP="00B30A8E">
            <w:pPr>
              <w:spacing w:after="0"/>
              <w:jc w:val="right"/>
              <w:rPr>
                <w:sz w:val="24"/>
                <w:szCs w:val="24"/>
              </w:rPr>
            </w:pPr>
            <w:r w:rsidRPr="00C52242">
              <w:rPr>
                <w:sz w:val="24"/>
                <w:szCs w:val="24"/>
              </w:rPr>
              <w:t>20,440</w:t>
            </w:r>
          </w:p>
        </w:tc>
        <w:tc>
          <w:tcPr>
            <w:tcW w:w="990" w:type="dxa"/>
          </w:tcPr>
          <w:p w14:paraId="278D6B47" w14:textId="5FFCB9E4" w:rsidR="00B30A8E" w:rsidRPr="00D448C4" w:rsidRDefault="00B30A8E" w:rsidP="00B30A8E">
            <w:pPr>
              <w:spacing w:after="0"/>
              <w:jc w:val="right"/>
              <w:rPr>
                <w:sz w:val="24"/>
                <w:szCs w:val="24"/>
              </w:rPr>
            </w:pPr>
            <w:r w:rsidRPr="00C52242">
              <w:rPr>
                <w:sz w:val="24"/>
                <w:szCs w:val="24"/>
              </w:rPr>
              <w:t>20,440</w:t>
            </w:r>
          </w:p>
        </w:tc>
      </w:tr>
      <w:tr w:rsidR="00A10C56" w:rsidRPr="00D448C4" w14:paraId="3F467B25" w14:textId="77777777" w:rsidTr="00D259EE">
        <w:trPr>
          <w:cantSplit/>
          <w:trHeight w:val="300"/>
          <w:jc w:val="center"/>
        </w:trPr>
        <w:tc>
          <w:tcPr>
            <w:tcW w:w="3239" w:type="dxa"/>
            <w:vAlign w:val="center"/>
            <w:hideMark/>
          </w:tcPr>
          <w:p w14:paraId="01208F09" w14:textId="67D9DC6D" w:rsidR="00A10C56" w:rsidRPr="00D448C4" w:rsidRDefault="00A10C56" w:rsidP="00A10C56">
            <w:pPr>
              <w:spacing w:after="0"/>
              <w:rPr>
                <w:b/>
                <w:bCs/>
                <w:sz w:val="24"/>
                <w:szCs w:val="24"/>
              </w:rPr>
            </w:pPr>
            <w:r w:rsidRPr="00D448C4">
              <w:rPr>
                <w:b/>
                <w:bCs/>
                <w:sz w:val="24"/>
                <w:szCs w:val="24"/>
              </w:rPr>
              <w:t>Resident Days</w:t>
            </w:r>
          </w:p>
        </w:tc>
        <w:tc>
          <w:tcPr>
            <w:tcW w:w="1171" w:type="dxa"/>
            <w:vAlign w:val="center"/>
            <w:hideMark/>
          </w:tcPr>
          <w:p w14:paraId="591BEAB0" w14:textId="1B0C3100" w:rsidR="00A10C56" w:rsidRPr="003544C9" w:rsidRDefault="00A10C56" w:rsidP="00A10C56">
            <w:pPr>
              <w:spacing w:after="0"/>
              <w:jc w:val="right"/>
              <w:rPr>
                <w:sz w:val="24"/>
                <w:szCs w:val="24"/>
              </w:rPr>
            </w:pPr>
            <w:r w:rsidRPr="003544C9">
              <w:t>17,374</w:t>
            </w:r>
          </w:p>
        </w:tc>
        <w:tc>
          <w:tcPr>
            <w:tcW w:w="1080" w:type="dxa"/>
            <w:vAlign w:val="center"/>
          </w:tcPr>
          <w:p w14:paraId="1F075867" w14:textId="1E2D0D10" w:rsidR="00A10C56" w:rsidRPr="003544C9" w:rsidRDefault="00A10C56" w:rsidP="00A10C56">
            <w:pPr>
              <w:spacing w:after="0"/>
              <w:jc w:val="right"/>
              <w:rPr>
                <w:sz w:val="24"/>
                <w:szCs w:val="24"/>
              </w:rPr>
            </w:pPr>
            <w:r w:rsidRPr="003544C9">
              <w:t>18,907</w:t>
            </w:r>
          </w:p>
        </w:tc>
        <w:tc>
          <w:tcPr>
            <w:tcW w:w="1080" w:type="dxa"/>
            <w:vAlign w:val="center"/>
          </w:tcPr>
          <w:p w14:paraId="77D72D06" w14:textId="55AC6242" w:rsidR="00A10C56" w:rsidRPr="003544C9" w:rsidRDefault="00A10C56" w:rsidP="00A10C56">
            <w:pPr>
              <w:spacing w:after="0"/>
              <w:jc w:val="right"/>
              <w:rPr>
                <w:sz w:val="24"/>
                <w:szCs w:val="24"/>
              </w:rPr>
            </w:pPr>
            <w:r w:rsidRPr="003544C9">
              <w:t>18,907</w:t>
            </w:r>
          </w:p>
        </w:tc>
        <w:tc>
          <w:tcPr>
            <w:tcW w:w="1080" w:type="dxa"/>
            <w:vAlign w:val="center"/>
          </w:tcPr>
          <w:p w14:paraId="14E73592" w14:textId="7BCAA097" w:rsidR="00A10C56" w:rsidRPr="003544C9" w:rsidRDefault="00A10C56" w:rsidP="00A10C56">
            <w:pPr>
              <w:spacing w:after="0"/>
              <w:jc w:val="right"/>
              <w:rPr>
                <w:sz w:val="24"/>
                <w:szCs w:val="24"/>
              </w:rPr>
            </w:pPr>
            <w:r w:rsidRPr="003544C9">
              <w:t>18,907</w:t>
            </w:r>
          </w:p>
        </w:tc>
        <w:tc>
          <w:tcPr>
            <w:tcW w:w="990" w:type="dxa"/>
            <w:vAlign w:val="center"/>
          </w:tcPr>
          <w:p w14:paraId="04FED538" w14:textId="6B7FE9CC" w:rsidR="00A10C56" w:rsidRPr="003544C9" w:rsidRDefault="00A10C56" w:rsidP="00A10C56">
            <w:pPr>
              <w:spacing w:after="0"/>
              <w:jc w:val="right"/>
              <w:rPr>
                <w:sz w:val="24"/>
                <w:szCs w:val="24"/>
              </w:rPr>
            </w:pPr>
            <w:r w:rsidRPr="003544C9">
              <w:t>18,907</w:t>
            </w:r>
          </w:p>
        </w:tc>
      </w:tr>
      <w:tr w:rsidR="003544C9" w:rsidRPr="00D448C4" w14:paraId="6FD08D41" w14:textId="77777777" w:rsidTr="00D259EE">
        <w:trPr>
          <w:cantSplit/>
          <w:trHeight w:val="290"/>
          <w:jc w:val="center"/>
        </w:trPr>
        <w:tc>
          <w:tcPr>
            <w:tcW w:w="3239" w:type="dxa"/>
            <w:noWrap/>
            <w:vAlign w:val="center"/>
          </w:tcPr>
          <w:p w14:paraId="13FDB8F6" w14:textId="2BEA1CF0" w:rsidR="003544C9" w:rsidRPr="00D448C4" w:rsidRDefault="003544C9" w:rsidP="003544C9">
            <w:pPr>
              <w:spacing w:after="0"/>
              <w:rPr>
                <w:b/>
                <w:bCs/>
                <w:sz w:val="24"/>
                <w:szCs w:val="24"/>
              </w:rPr>
            </w:pPr>
            <w:r>
              <w:rPr>
                <w:b/>
                <w:bCs/>
                <w:sz w:val="24"/>
                <w:szCs w:val="24"/>
              </w:rPr>
              <w:t xml:space="preserve">Occupancy </w:t>
            </w:r>
          </w:p>
        </w:tc>
        <w:tc>
          <w:tcPr>
            <w:tcW w:w="1171" w:type="dxa"/>
            <w:noWrap/>
            <w:vAlign w:val="center"/>
          </w:tcPr>
          <w:p w14:paraId="07AD756F" w14:textId="166F29C5" w:rsidR="003544C9" w:rsidRPr="00D448C4" w:rsidRDefault="003544C9" w:rsidP="003544C9">
            <w:pPr>
              <w:spacing w:after="0"/>
              <w:jc w:val="right"/>
              <w:rPr>
                <w:sz w:val="24"/>
                <w:szCs w:val="24"/>
              </w:rPr>
            </w:pPr>
            <w:r>
              <w:rPr>
                <w:sz w:val="24"/>
                <w:szCs w:val="24"/>
              </w:rPr>
              <w:t>85.0%</w:t>
            </w:r>
          </w:p>
        </w:tc>
        <w:tc>
          <w:tcPr>
            <w:tcW w:w="1080" w:type="dxa"/>
            <w:noWrap/>
            <w:vAlign w:val="center"/>
          </w:tcPr>
          <w:p w14:paraId="247EE26A" w14:textId="3FF0BA6A" w:rsidR="003544C9" w:rsidRPr="00D448C4" w:rsidRDefault="003544C9" w:rsidP="003544C9">
            <w:pPr>
              <w:spacing w:after="0"/>
              <w:jc w:val="right"/>
              <w:rPr>
                <w:sz w:val="24"/>
                <w:szCs w:val="24"/>
              </w:rPr>
            </w:pPr>
            <w:r>
              <w:rPr>
                <w:sz w:val="24"/>
                <w:szCs w:val="24"/>
              </w:rPr>
              <w:t>92.5%</w:t>
            </w:r>
          </w:p>
        </w:tc>
        <w:tc>
          <w:tcPr>
            <w:tcW w:w="1080" w:type="dxa"/>
            <w:noWrap/>
          </w:tcPr>
          <w:p w14:paraId="32C0D41A" w14:textId="36D8B0D2" w:rsidR="003544C9" w:rsidRPr="00D448C4" w:rsidRDefault="003544C9" w:rsidP="003544C9">
            <w:pPr>
              <w:spacing w:after="0"/>
              <w:jc w:val="right"/>
              <w:rPr>
                <w:sz w:val="24"/>
                <w:szCs w:val="24"/>
              </w:rPr>
            </w:pPr>
            <w:r w:rsidRPr="0068594F">
              <w:rPr>
                <w:sz w:val="24"/>
                <w:szCs w:val="24"/>
              </w:rPr>
              <w:t>92.5%</w:t>
            </w:r>
          </w:p>
        </w:tc>
        <w:tc>
          <w:tcPr>
            <w:tcW w:w="1080" w:type="dxa"/>
            <w:noWrap/>
          </w:tcPr>
          <w:p w14:paraId="2A95A9E3" w14:textId="6904F6AD" w:rsidR="003544C9" w:rsidRPr="00D448C4" w:rsidRDefault="003544C9" w:rsidP="003544C9">
            <w:pPr>
              <w:spacing w:after="0"/>
              <w:jc w:val="right"/>
              <w:rPr>
                <w:sz w:val="24"/>
                <w:szCs w:val="24"/>
              </w:rPr>
            </w:pPr>
            <w:r w:rsidRPr="0068594F">
              <w:rPr>
                <w:sz w:val="24"/>
                <w:szCs w:val="24"/>
              </w:rPr>
              <w:t>92.5%</w:t>
            </w:r>
          </w:p>
        </w:tc>
        <w:tc>
          <w:tcPr>
            <w:tcW w:w="990" w:type="dxa"/>
            <w:noWrap/>
          </w:tcPr>
          <w:p w14:paraId="4AA32508" w14:textId="63383931" w:rsidR="003544C9" w:rsidRPr="00D448C4" w:rsidRDefault="003544C9" w:rsidP="003544C9">
            <w:pPr>
              <w:spacing w:after="0"/>
              <w:jc w:val="right"/>
              <w:rPr>
                <w:sz w:val="24"/>
                <w:szCs w:val="24"/>
              </w:rPr>
            </w:pPr>
            <w:r w:rsidRPr="0068594F">
              <w:rPr>
                <w:sz w:val="24"/>
                <w:szCs w:val="24"/>
              </w:rPr>
              <w:t>92.5%</w:t>
            </w:r>
          </w:p>
        </w:tc>
      </w:tr>
      <w:tr w:rsidR="00A10C56" w:rsidRPr="00D448C4" w14:paraId="4873A908" w14:textId="77777777" w:rsidTr="00D259EE">
        <w:trPr>
          <w:cantSplit/>
          <w:trHeight w:val="290"/>
          <w:jc w:val="center"/>
        </w:trPr>
        <w:tc>
          <w:tcPr>
            <w:tcW w:w="3239" w:type="dxa"/>
            <w:noWrap/>
            <w:vAlign w:val="center"/>
            <w:hideMark/>
          </w:tcPr>
          <w:p w14:paraId="0DEEFDF5" w14:textId="77777777" w:rsidR="00A10C56" w:rsidRPr="00D448C4" w:rsidRDefault="00A10C56" w:rsidP="00A10C56">
            <w:pPr>
              <w:spacing w:after="0"/>
              <w:rPr>
                <w:sz w:val="24"/>
                <w:szCs w:val="24"/>
              </w:rPr>
            </w:pPr>
            <w:r w:rsidRPr="00D448C4">
              <w:rPr>
                <w:b/>
                <w:bCs/>
                <w:sz w:val="24"/>
                <w:szCs w:val="24"/>
              </w:rPr>
              <w:t xml:space="preserve">Average Length of Stay </w:t>
            </w:r>
            <w:r w:rsidRPr="00D448C4">
              <w:rPr>
                <w:sz w:val="24"/>
                <w:szCs w:val="24"/>
              </w:rPr>
              <w:t>(</w:t>
            </w:r>
            <w:r w:rsidRPr="00D448C4">
              <w:rPr>
                <w:i/>
                <w:iCs/>
                <w:sz w:val="24"/>
                <w:szCs w:val="24"/>
              </w:rPr>
              <w:t>years</w:t>
            </w:r>
            <w:r w:rsidRPr="00D448C4">
              <w:rPr>
                <w:sz w:val="24"/>
                <w:szCs w:val="24"/>
              </w:rPr>
              <w:t>)</w:t>
            </w:r>
          </w:p>
        </w:tc>
        <w:tc>
          <w:tcPr>
            <w:tcW w:w="1171" w:type="dxa"/>
            <w:noWrap/>
            <w:vAlign w:val="center"/>
            <w:hideMark/>
          </w:tcPr>
          <w:p w14:paraId="2491465F" w14:textId="77777777" w:rsidR="00A10C56" w:rsidRPr="00D448C4" w:rsidRDefault="00A10C56" w:rsidP="00A10C56">
            <w:pPr>
              <w:spacing w:after="0"/>
              <w:jc w:val="right"/>
              <w:rPr>
                <w:sz w:val="24"/>
                <w:szCs w:val="24"/>
              </w:rPr>
            </w:pPr>
            <w:r w:rsidRPr="00D448C4">
              <w:rPr>
                <w:sz w:val="24"/>
                <w:szCs w:val="24"/>
              </w:rPr>
              <w:t xml:space="preserve">3 </w:t>
            </w:r>
          </w:p>
        </w:tc>
        <w:tc>
          <w:tcPr>
            <w:tcW w:w="1080" w:type="dxa"/>
            <w:noWrap/>
            <w:vAlign w:val="center"/>
          </w:tcPr>
          <w:p w14:paraId="74455DFC" w14:textId="77777777" w:rsidR="00A10C56" w:rsidRPr="00D448C4" w:rsidRDefault="00A10C56" w:rsidP="00A10C56">
            <w:pPr>
              <w:spacing w:after="0"/>
              <w:jc w:val="right"/>
              <w:rPr>
                <w:sz w:val="24"/>
                <w:szCs w:val="24"/>
              </w:rPr>
            </w:pPr>
            <w:r w:rsidRPr="00D448C4">
              <w:rPr>
                <w:sz w:val="24"/>
                <w:szCs w:val="24"/>
              </w:rPr>
              <w:t>3</w:t>
            </w:r>
          </w:p>
        </w:tc>
        <w:tc>
          <w:tcPr>
            <w:tcW w:w="1080" w:type="dxa"/>
            <w:noWrap/>
            <w:vAlign w:val="center"/>
          </w:tcPr>
          <w:p w14:paraId="24338496" w14:textId="77777777" w:rsidR="00A10C56" w:rsidRPr="00D448C4" w:rsidRDefault="00A10C56" w:rsidP="00A10C56">
            <w:pPr>
              <w:spacing w:after="0"/>
              <w:jc w:val="right"/>
              <w:rPr>
                <w:sz w:val="24"/>
                <w:szCs w:val="24"/>
              </w:rPr>
            </w:pPr>
            <w:r w:rsidRPr="00D448C4">
              <w:rPr>
                <w:sz w:val="24"/>
                <w:szCs w:val="24"/>
              </w:rPr>
              <w:t>3</w:t>
            </w:r>
          </w:p>
        </w:tc>
        <w:tc>
          <w:tcPr>
            <w:tcW w:w="1080" w:type="dxa"/>
            <w:noWrap/>
            <w:vAlign w:val="center"/>
          </w:tcPr>
          <w:p w14:paraId="677221AB" w14:textId="77777777" w:rsidR="00A10C56" w:rsidRPr="00D448C4" w:rsidRDefault="00A10C56" w:rsidP="00A10C56">
            <w:pPr>
              <w:spacing w:after="0"/>
              <w:jc w:val="right"/>
              <w:rPr>
                <w:sz w:val="24"/>
                <w:szCs w:val="24"/>
              </w:rPr>
            </w:pPr>
            <w:r w:rsidRPr="00D448C4">
              <w:rPr>
                <w:sz w:val="24"/>
                <w:szCs w:val="24"/>
              </w:rPr>
              <w:t>3</w:t>
            </w:r>
          </w:p>
        </w:tc>
        <w:tc>
          <w:tcPr>
            <w:tcW w:w="990" w:type="dxa"/>
            <w:noWrap/>
            <w:vAlign w:val="center"/>
          </w:tcPr>
          <w:p w14:paraId="20827949" w14:textId="77777777" w:rsidR="00A10C56" w:rsidRPr="00D448C4" w:rsidRDefault="00A10C56" w:rsidP="00A10C56">
            <w:pPr>
              <w:spacing w:after="0"/>
              <w:jc w:val="right"/>
              <w:rPr>
                <w:sz w:val="24"/>
                <w:szCs w:val="24"/>
              </w:rPr>
            </w:pPr>
            <w:r w:rsidRPr="00D448C4">
              <w:rPr>
                <w:sz w:val="24"/>
                <w:szCs w:val="24"/>
              </w:rPr>
              <w:t>3</w:t>
            </w:r>
          </w:p>
        </w:tc>
      </w:tr>
      <w:tr w:rsidR="00A10C56" w:rsidRPr="00D448C4" w14:paraId="0D3CF8DF" w14:textId="77777777" w:rsidTr="00D259EE">
        <w:trPr>
          <w:cantSplit/>
          <w:trHeight w:val="290"/>
          <w:jc w:val="center"/>
        </w:trPr>
        <w:tc>
          <w:tcPr>
            <w:tcW w:w="3239" w:type="dxa"/>
            <w:noWrap/>
            <w:vAlign w:val="center"/>
            <w:hideMark/>
          </w:tcPr>
          <w:p w14:paraId="182864A3" w14:textId="77777777" w:rsidR="00A10C56" w:rsidRPr="00D448C4" w:rsidRDefault="00A10C56" w:rsidP="00A10C56">
            <w:pPr>
              <w:spacing w:after="0"/>
              <w:rPr>
                <w:b/>
                <w:bCs/>
                <w:sz w:val="24"/>
                <w:szCs w:val="24"/>
              </w:rPr>
            </w:pPr>
            <w:r w:rsidRPr="00D448C4">
              <w:rPr>
                <w:b/>
                <w:bCs/>
                <w:sz w:val="24"/>
                <w:szCs w:val="24"/>
              </w:rPr>
              <w:t>Average Daily Census</w:t>
            </w:r>
          </w:p>
        </w:tc>
        <w:tc>
          <w:tcPr>
            <w:tcW w:w="1171" w:type="dxa"/>
            <w:noWrap/>
            <w:vAlign w:val="center"/>
            <w:hideMark/>
          </w:tcPr>
          <w:p w14:paraId="60A974B0" w14:textId="77777777" w:rsidR="00A10C56" w:rsidRPr="00D448C4" w:rsidRDefault="00A10C56" w:rsidP="00A10C56">
            <w:pPr>
              <w:spacing w:after="0"/>
              <w:jc w:val="right"/>
              <w:rPr>
                <w:sz w:val="24"/>
                <w:szCs w:val="24"/>
              </w:rPr>
            </w:pPr>
            <w:r w:rsidRPr="00D448C4">
              <w:rPr>
                <w:sz w:val="24"/>
                <w:szCs w:val="24"/>
              </w:rPr>
              <w:t>48.4</w:t>
            </w:r>
          </w:p>
        </w:tc>
        <w:tc>
          <w:tcPr>
            <w:tcW w:w="1080" w:type="dxa"/>
            <w:noWrap/>
            <w:vAlign w:val="center"/>
          </w:tcPr>
          <w:p w14:paraId="5FEE7BF9" w14:textId="77777777" w:rsidR="00A10C56" w:rsidRPr="00D448C4" w:rsidRDefault="00A10C56" w:rsidP="00A10C56">
            <w:pPr>
              <w:spacing w:after="0"/>
              <w:jc w:val="right"/>
              <w:rPr>
                <w:sz w:val="24"/>
                <w:szCs w:val="24"/>
              </w:rPr>
            </w:pPr>
            <w:r w:rsidRPr="00D448C4">
              <w:rPr>
                <w:sz w:val="24"/>
                <w:szCs w:val="24"/>
              </w:rPr>
              <w:t>49.4</w:t>
            </w:r>
          </w:p>
        </w:tc>
        <w:tc>
          <w:tcPr>
            <w:tcW w:w="1080" w:type="dxa"/>
            <w:noWrap/>
            <w:vAlign w:val="center"/>
          </w:tcPr>
          <w:p w14:paraId="5B16D8D8" w14:textId="77777777" w:rsidR="00A10C56" w:rsidRPr="00D448C4" w:rsidRDefault="00A10C56" w:rsidP="00A10C56">
            <w:pPr>
              <w:spacing w:after="0"/>
              <w:jc w:val="right"/>
              <w:rPr>
                <w:sz w:val="24"/>
                <w:szCs w:val="24"/>
              </w:rPr>
            </w:pPr>
            <w:r w:rsidRPr="00D448C4">
              <w:rPr>
                <w:sz w:val="24"/>
                <w:szCs w:val="24"/>
              </w:rPr>
              <w:t>49.4</w:t>
            </w:r>
          </w:p>
        </w:tc>
        <w:tc>
          <w:tcPr>
            <w:tcW w:w="1080" w:type="dxa"/>
            <w:noWrap/>
            <w:vAlign w:val="center"/>
          </w:tcPr>
          <w:p w14:paraId="1689CB0F" w14:textId="77777777" w:rsidR="00A10C56" w:rsidRPr="00D448C4" w:rsidRDefault="00A10C56" w:rsidP="00A10C56">
            <w:pPr>
              <w:spacing w:after="0"/>
              <w:jc w:val="right"/>
              <w:rPr>
                <w:sz w:val="24"/>
                <w:szCs w:val="24"/>
              </w:rPr>
            </w:pPr>
            <w:r w:rsidRPr="00D448C4">
              <w:rPr>
                <w:sz w:val="24"/>
                <w:szCs w:val="24"/>
              </w:rPr>
              <w:t>49.4</w:t>
            </w:r>
          </w:p>
        </w:tc>
        <w:tc>
          <w:tcPr>
            <w:tcW w:w="990" w:type="dxa"/>
            <w:noWrap/>
            <w:vAlign w:val="center"/>
          </w:tcPr>
          <w:p w14:paraId="3F3FCA34" w14:textId="77777777" w:rsidR="00A10C56" w:rsidRPr="00D448C4" w:rsidRDefault="00A10C56" w:rsidP="00A10C56">
            <w:pPr>
              <w:spacing w:after="0"/>
              <w:jc w:val="right"/>
              <w:rPr>
                <w:sz w:val="24"/>
                <w:szCs w:val="24"/>
              </w:rPr>
            </w:pPr>
            <w:r w:rsidRPr="00D448C4">
              <w:rPr>
                <w:sz w:val="24"/>
                <w:szCs w:val="24"/>
              </w:rPr>
              <w:t>49.4</w:t>
            </w:r>
          </w:p>
        </w:tc>
      </w:tr>
      <w:bookmarkEnd w:id="6"/>
    </w:tbl>
    <w:p w14:paraId="77243D87" w14:textId="77777777" w:rsidR="00730574" w:rsidRPr="00730574" w:rsidRDefault="00730574" w:rsidP="00730574">
      <w:pPr>
        <w:rPr>
          <w:color w:val="1F4E79" w:themeColor="accent5" w:themeShade="80"/>
        </w:rPr>
      </w:pPr>
    </w:p>
    <w:p w14:paraId="44595EED" w14:textId="73F7EEC9" w:rsidR="00730574" w:rsidRPr="00912C30" w:rsidRDefault="00730574" w:rsidP="00D448C4">
      <w:pPr>
        <w:jc w:val="center"/>
        <w:rPr>
          <w:b/>
          <w:bCs/>
          <w:sz w:val="24"/>
          <w:szCs w:val="24"/>
        </w:rPr>
      </w:pPr>
      <w:r w:rsidRPr="695818A5">
        <w:rPr>
          <w:b/>
          <w:bCs/>
          <w:sz w:val="24"/>
          <w:szCs w:val="24"/>
        </w:rPr>
        <w:t xml:space="preserve">Table </w:t>
      </w:r>
      <w:r w:rsidR="009D4032" w:rsidRPr="695818A5">
        <w:rPr>
          <w:b/>
          <w:bCs/>
          <w:sz w:val="24"/>
          <w:szCs w:val="24"/>
        </w:rPr>
        <w:t>6</w:t>
      </w:r>
      <w:r w:rsidRPr="695818A5">
        <w:rPr>
          <w:b/>
          <w:bCs/>
          <w:sz w:val="24"/>
          <w:szCs w:val="24"/>
        </w:rPr>
        <w:t xml:space="preserve">: Short-Term </w:t>
      </w:r>
      <w:r w:rsidR="00907F05" w:rsidRPr="695818A5">
        <w:rPr>
          <w:b/>
          <w:bCs/>
          <w:sz w:val="24"/>
          <w:szCs w:val="24"/>
        </w:rPr>
        <w:t xml:space="preserve">Level </w:t>
      </w:r>
      <w:proofErr w:type="spellStart"/>
      <w:r w:rsidR="00907F05" w:rsidRPr="695818A5">
        <w:rPr>
          <w:b/>
          <w:bCs/>
          <w:sz w:val="24"/>
          <w:szCs w:val="24"/>
        </w:rPr>
        <w:t>ll</w:t>
      </w:r>
      <w:proofErr w:type="spellEnd"/>
      <w:r w:rsidR="00907F05" w:rsidRPr="695818A5">
        <w:rPr>
          <w:b/>
          <w:bCs/>
          <w:sz w:val="24"/>
          <w:szCs w:val="24"/>
        </w:rPr>
        <w:t xml:space="preserve"> </w:t>
      </w:r>
      <w:r w:rsidRPr="695818A5">
        <w:rPr>
          <w:b/>
          <w:bCs/>
          <w:sz w:val="24"/>
          <w:szCs w:val="24"/>
        </w:rPr>
        <w:t>Rehabilitation Projections</w:t>
      </w:r>
      <w:r w:rsidR="0085117A" w:rsidRPr="695818A5">
        <w:rPr>
          <w:b/>
          <w:bCs/>
          <w:sz w:val="24"/>
          <w:szCs w:val="24"/>
        </w:rPr>
        <w:t xml:space="preserve"> </w:t>
      </w:r>
      <w:r w:rsidR="0085117A" w:rsidRPr="003576A6">
        <w:rPr>
          <w:b/>
          <w:bCs/>
          <w:sz w:val="24"/>
          <w:szCs w:val="24"/>
        </w:rPr>
        <w:t>- Navigator Homes of Martha’s Vineyard</w:t>
      </w:r>
    </w:p>
    <w:tbl>
      <w:tblPr>
        <w:tblW w:w="8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5"/>
        <w:gridCol w:w="1169"/>
        <w:gridCol w:w="1081"/>
        <w:gridCol w:w="990"/>
        <w:gridCol w:w="1080"/>
        <w:gridCol w:w="990"/>
      </w:tblGrid>
      <w:tr w:rsidR="009F08AC" w:rsidRPr="00912C30" w14:paraId="73A8323C" w14:textId="77777777" w:rsidTr="00D259EE">
        <w:trPr>
          <w:cantSplit/>
          <w:trHeight w:val="300"/>
          <w:tblHeader/>
          <w:jc w:val="center"/>
        </w:trPr>
        <w:tc>
          <w:tcPr>
            <w:tcW w:w="3245" w:type="dxa"/>
            <w:tcBorders>
              <w:top w:val="single" w:sz="4" w:space="0" w:color="auto"/>
              <w:left w:val="single" w:sz="4" w:space="0" w:color="auto"/>
              <w:bottom w:val="single" w:sz="4" w:space="0" w:color="auto"/>
              <w:right w:val="single" w:sz="4" w:space="0" w:color="auto"/>
            </w:tcBorders>
            <w:shd w:val="clear" w:color="auto" w:fill="E7FAFF"/>
            <w:vAlign w:val="center"/>
            <w:hideMark/>
          </w:tcPr>
          <w:p w14:paraId="339B7FBE" w14:textId="5993185C" w:rsidR="009F08AC" w:rsidRPr="00912C30" w:rsidRDefault="009F08AC" w:rsidP="00D448C4">
            <w:pPr>
              <w:spacing w:after="0" w:line="240" w:lineRule="auto"/>
              <w:rPr>
                <w:b/>
                <w:bCs/>
                <w:sz w:val="24"/>
                <w:szCs w:val="24"/>
              </w:rPr>
            </w:pPr>
            <w:bookmarkStart w:id="7" w:name="_Hlk123214454"/>
            <w:r w:rsidRPr="00912C30">
              <w:rPr>
                <w:b/>
                <w:bCs/>
                <w:sz w:val="24"/>
                <w:szCs w:val="24"/>
              </w:rPr>
              <w:t>Total Beds: 14</w:t>
            </w:r>
          </w:p>
        </w:tc>
        <w:tc>
          <w:tcPr>
            <w:tcW w:w="1169" w:type="dxa"/>
            <w:tcBorders>
              <w:top w:val="single" w:sz="4" w:space="0" w:color="auto"/>
              <w:left w:val="single" w:sz="4" w:space="0" w:color="auto"/>
              <w:bottom w:val="single" w:sz="4" w:space="0" w:color="auto"/>
              <w:right w:val="single" w:sz="4" w:space="0" w:color="auto"/>
            </w:tcBorders>
            <w:shd w:val="clear" w:color="auto" w:fill="E7FAFF"/>
            <w:vAlign w:val="center"/>
            <w:hideMark/>
          </w:tcPr>
          <w:p w14:paraId="6F806719" w14:textId="77777777" w:rsidR="009F08AC" w:rsidRPr="00912C30" w:rsidRDefault="009F08AC" w:rsidP="00D448C4">
            <w:pPr>
              <w:spacing w:after="0" w:line="240" w:lineRule="auto"/>
              <w:jc w:val="center"/>
              <w:rPr>
                <w:b/>
                <w:bCs/>
                <w:sz w:val="24"/>
                <w:szCs w:val="24"/>
              </w:rPr>
            </w:pPr>
            <w:r w:rsidRPr="00912C30">
              <w:rPr>
                <w:b/>
                <w:bCs/>
                <w:sz w:val="24"/>
                <w:szCs w:val="24"/>
              </w:rPr>
              <w:t>Year 1</w:t>
            </w:r>
          </w:p>
        </w:tc>
        <w:tc>
          <w:tcPr>
            <w:tcW w:w="1081" w:type="dxa"/>
            <w:tcBorders>
              <w:top w:val="single" w:sz="4" w:space="0" w:color="auto"/>
              <w:left w:val="single" w:sz="4" w:space="0" w:color="auto"/>
              <w:bottom w:val="single" w:sz="4" w:space="0" w:color="auto"/>
              <w:right w:val="single" w:sz="4" w:space="0" w:color="auto"/>
            </w:tcBorders>
            <w:shd w:val="clear" w:color="auto" w:fill="E7FAFF"/>
            <w:vAlign w:val="center"/>
            <w:hideMark/>
          </w:tcPr>
          <w:p w14:paraId="2C002A70" w14:textId="77777777" w:rsidR="009F08AC" w:rsidRPr="00912C30" w:rsidRDefault="009F08AC" w:rsidP="00D448C4">
            <w:pPr>
              <w:spacing w:after="0" w:line="240" w:lineRule="auto"/>
              <w:jc w:val="center"/>
              <w:rPr>
                <w:b/>
                <w:bCs/>
                <w:sz w:val="24"/>
                <w:szCs w:val="24"/>
              </w:rPr>
            </w:pPr>
            <w:r w:rsidRPr="00912C30">
              <w:rPr>
                <w:b/>
                <w:bCs/>
                <w:sz w:val="24"/>
                <w:szCs w:val="24"/>
              </w:rPr>
              <w:t>Year 2</w:t>
            </w:r>
          </w:p>
        </w:tc>
        <w:tc>
          <w:tcPr>
            <w:tcW w:w="990" w:type="dxa"/>
            <w:tcBorders>
              <w:top w:val="single" w:sz="4" w:space="0" w:color="auto"/>
              <w:left w:val="single" w:sz="4" w:space="0" w:color="auto"/>
              <w:bottom w:val="single" w:sz="4" w:space="0" w:color="auto"/>
              <w:right w:val="single" w:sz="4" w:space="0" w:color="auto"/>
            </w:tcBorders>
            <w:shd w:val="clear" w:color="auto" w:fill="E7FAFF"/>
            <w:vAlign w:val="center"/>
            <w:hideMark/>
          </w:tcPr>
          <w:p w14:paraId="1D68C403" w14:textId="77777777" w:rsidR="009F08AC" w:rsidRPr="00912C30" w:rsidRDefault="009F08AC" w:rsidP="00D448C4">
            <w:pPr>
              <w:spacing w:after="0" w:line="240" w:lineRule="auto"/>
              <w:jc w:val="center"/>
              <w:rPr>
                <w:b/>
                <w:bCs/>
                <w:sz w:val="24"/>
                <w:szCs w:val="24"/>
              </w:rPr>
            </w:pPr>
            <w:r w:rsidRPr="00912C30">
              <w:rPr>
                <w:b/>
                <w:bCs/>
                <w:sz w:val="24"/>
                <w:szCs w:val="24"/>
              </w:rPr>
              <w:t>Year 3</w:t>
            </w:r>
          </w:p>
        </w:tc>
        <w:tc>
          <w:tcPr>
            <w:tcW w:w="1080" w:type="dxa"/>
            <w:tcBorders>
              <w:top w:val="single" w:sz="4" w:space="0" w:color="auto"/>
              <w:left w:val="single" w:sz="4" w:space="0" w:color="auto"/>
              <w:bottom w:val="single" w:sz="4" w:space="0" w:color="auto"/>
              <w:right w:val="single" w:sz="4" w:space="0" w:color="auto"/>
            </w:tcBorders>
            <w:shd w:val="clear" w:color="auto" w:fill="E7FAFF"/>
            <w:vAlign w:val="center"/>
            <w:hideMark/>
          </w:tcPr>
          <w:p w14:paraId="573458D7" w14:textId="320095F3" w:rsidR="009F08AC" w:rsidRPr="00912C30" w:rsidRDefault="009F08AC" w:rsidP="00D448C4">
            <w:pPr>
              <w:spacing w:after="0" w:line="240" w:lineRule="auto"/>
              <w:jc w:val="center"/>
              <w:rPr>
                <w:b/>
                <w:bCs/>
                <w:sz w:val="24"/>
                <w:szCs w:val="24"/>
              </w:rPr>
            </w:pPr>
            <w:r w:rsidRPr="00912C30">
              <w:rPr>
                <w:b/>
                <w:bCs/>
                <w:sz w:val="24"/>
                <w:szCs w:val="24"/>
              </w:rPr>
              <w:t>Year 4</w:t>
            </w:r>
          </w:p>
        </w:tc>
        <w:tc>
          <w:tcPr>
            <w:tcW w:w="990" w:type="dxa"/>
            <w:tcBorders>
              <w:top w:val="single" w:sz="4" w:space="0" w:color="auto"/>
              <w:left w:val="single" w:sz="4" w:space="0" w:color="auto"/>
              <w:bottom w:val="single" w:sz="4" w:space="0" w:color="auto"/>
              <w:right w:val="single" w:sz="4" w:space="0" w:color="auto"/>
            </w:tcBorders>
            <w:shd w:val="clear" w:color="auto" w:fill="E7FAFF"/>
            <w:vAlign w:val="center"/>
            <w:hideMark/>
          </w:tcPr>
          <w:p w14:paraId="0E412153" w14:textId="77777777" w:rsidR="009F08AC" w:rsidRPr="00912C30" w:rsidRDefault="009F08AC" w:rsidP="00D448C4">
            <w:pPr>
              <w:spacing w:after="0" w:line="240" w:lineRule="auto"/>
              <w:jc w:val="center"/>
              <w:rPr>
                <w:b/>
                <w:bCs/>
                <w:sz w:val="24"/>
                <w:szCs w:val="24"/>
              </w:rPr>
            </w:pPr>
            <w:r w:rsidRPr="00912C30">
              <w:rPr>
                <w:b/>
                <w:bCs/>
                <w:sz w:val="24"/>
                <w:szCs w:val="24"/>
              </w:rPr>
              <w:t>Year 5</w:t>
            </w:r>
          </w:p>
        </w:tc>
      </w:tr>
      <w:tr w:rsidR="009F08AC" w:rsidRPr="00912C30" w14:paraId="0A3DA370" w14:textId="77777777" w:rsidTr="00D259EE">
        <w:trPr>
          <w:cantSplit/>
          <w:trHeight w:val="300"/>
          <w:jc w:val="center"/>
        </w:trPr>
        <w:tc>
          <w:tcPr>
            <w:tcW w:w="3245" w:type="dxa"/>
            <w:tcBorders>
              <w:top w:val="single" w:sz="4" w:space="0" w:color="auto"/>
              <w:left w:val="single" w:sz="4" w:space="0" w:color="auto"/>
              <w:bottom w:val="single" w:sz="4" w:space="0" w:color="auto"/>
              <w:right w:val="single" w:sz="4" w:space="0" w:color="auto"/>
            </w:tcBorders>
            <w:vAlign w:val="center"/>
          </w:tcPr>
          <w:p w14:paraId="6479F000" w14:textId="66090C70" w:rsidR="009F08AC" w:rsidRPr="00912C30" w:rsidRDefault="009F08AC" w:rsidP="00B30A8E">
            <w:pPr>
              <w:spacing w:after="0" w:line="240" w:lineRule="auto"/>
              <w:rPr>
                <w:b/>
                <w:bCs/>
                <w:sz w:val="24"/>
                <w:szCs w:val="24"/>
              </w:rPr>
            </w:pPr>
            <w:r w:rsidRPr="00912C30">
              <w:rPr>
                <w:b/>
                <w:bCs/>
                <w:sz w:val="24"/>
                <w:szCs w:val="24"/>
              </w:rPr>
              <w:t>Available Days-capacity</w:t>
            </w:r>
          </w:p>
        </w:tc>
        <w:tc>
          <w:tcPr>
            <w:tcW w:w="1169" w:type="dxa"/>
            <w:tcBorders>
              <w:top w:val="single" w:sz="4" w:space="0" w:color="auto"/>
              <w:left w:val="single" w:sz="4" w:space="0" w:color="auto"/>
              <w:bottom w:val="single" w:sz="4" w:space="0" w:color="auto"/>
              <w:right w:val="single" w:sz="4" w:space="0" w:color="auto"/>
            </w:tcBorders>
            <w:vAlign w:val="center"/>
          </w:tcPr>
          <w:p w14:paraId="34F90E56" w14:textId="6B2980EC" w:rsidR="009F08AC" w:rsidRPr="00912C30" w:rsidRDefault="009F08AC" w:rsidP="00B30A8E">
            <w:pPr>
              <w:spacing w:after="0" w:line="240" w:lineRule="auto"/>
              <w:jc w:val="right"/>
              <w:rPr>
                <w:sz w:val="24"/>
                <w:szCs w:val="24"/>
              </w:rPr>
            </w:pPr>
            <w:r w:rsidRPr="00912C30">
              <w:rPr>
                <w:sz w:val="24"/>
                <w:szCs w:val="24"/>
              </w:rPr>
              <w:t>5,110</w:t>
            </w:r>
          </w:p>
        </w:tc>
        <w:tc>
          <w:tcPr>
            <w:tcW w:w="1081" w:type="dxa"/>
            <w:tcBorders>
              <w:top w:val="single" w:sz="4" w:space="0" w:color="auto"/>
              <w:left w:val="single" w:sz="4" w:space="0" w:color="auto"/>
              <w:bottom w:val="single" w:sz="4" w:space="0" w:color="auto"/>
              <w:right w:val="single" w:sz="4" w:space="0" w:color="auto"/>
            </w:tcBorders>
          </w:tcPr>
          <w:p w14:paraId="51A7C704" w14:textId="7800BD84" w:rsidR="009F08AC" w:rsidRPr="00912C30" w:rsidRDefault="009F08AC" w:rsidP="00B30A8E">
            <w:pPr>
              <w:spacing w:after="0" w:line="240" w:lineRule="auto"/>
              <w:jc w:val="right"/>
              <w:rPr>
                <w:sz w:val="24"/>
                <w:szCs w:val="24"/>
              </w:rPr>
            </w:pPr>
            <w:r w:rsidRPr="00912C30">
              <w:rPr>
                <w:sz w:val="24"/>
                <w:szCs w:val="24"/>
              </w:rPr>
              <w:t>5,110</w:t>
            </w:r>
          </w:p>
        </w:tc>
        <w:tc>
          <w:tcPr>
            <w:tcW w:w="990" w:type="dxa"/>
            <w:tcBorders>
              <w:top w:val="single" w:sz="4" w:space="0" w:color="auto"/>
              <w:left w:val="single" w:sz="4" w:space="0" w:color="auto"/>
              <w:bottom w:val="single" w:sz="4" w:space="0" w:color="auto"/>
              <w:right w:val="single" w:sz="4" w:space="0" w:color="auto"/>
            </w:tcBorders>
          </w:tcPr>
          <w:p w14:paraId="2C8AD320" w14:textId="4F736F22" w:rsidR="009F08AC" w:rsidRPr="00912C30" w:rsidRDefault="009F08AC" w:rsidP="00B30A8E">
            <w:pPr>
              <w:spacing w:after="0" w:line="240" w:lineRule="auto"/>
              <w:jc w:val="right"/>
              <w:rPr>
                <w:sz w:val="24"/>
                <w:szCs w:val="24"/>
              </w:rPr>
            </w:pPr>
            <w:r w:rsidRPr="00912C30">
              <w:rPr>
                <w:sz w:val="24"/>
                <w:szCs w:val="24"/>
              </w:rPr>
              <w:t>5,110</w:t>
            </w:r>
          </w:p>
        </w:tc>
        <w:tc>
          <w:tcPr>
            <w:tcW w:w="1080" w:type="dxa"/>
            <w:tcBorders>
              <w:top w:val="single" w:sz="4" w:space="0" w:color="auto"/>
              <w:left w:val="single" w:sz="4" w:space="0" w:color="auto"/>
              <w:bottom w:val="single" w:sz="4" w:space="0" w:color="auto"/>
              <w:right w:val="single" w:sz="4" w:space="0" w:color="auto"/>
            </w:tcBorders>
          </w:tcPr>
          <w:p w14:paraId="64D230F7" w14:textId="59182126" w:rsidR="009F08AC" w:rsidRPr="00912C30" w:rsidRDefault="009F08AC" w:rsidP="00B30A8E">
            <w:pPr>
              <w:spacing w:after="0" w:line="240" w:lineRule="auto"/>
              <w:jc w:val="right"/>
              <w:rPr>
                <w:sz w:val="24"/>
                <w:szCs w:val="24"/>
              </w:rPr>
            </w:pPr>
            <w:r w:rsidRPr="00912C30">
              <w:rPr>
                <w:sz w:val="24"/>
                <w:szCs w:val="24"/>
              </w:rPr>
              <w:t>5,110</w:t>
            </w:r>
          </w:p>
        </w:tc>
        <w:tc>
          <w:tcPr>
            <w:tcW w:w="990" w:type="dxa"/>
            <w:tcBorders>
              <w:top w:val="single" w:sz="4" w:space="0" w:color="auto"/>
              <w:left w:val="single" w:sz="4" w:space="0" w:color="auto"/>
              <w:bottom w:val="single" w:sz="4" w:space="0" w:color="auto"/>
              <w:right w:val="single" w:sz="4" w:space="0" w:color="auto"/>
            </w:tcBorders>
          </w:tcPr>
          <w:p w14:paraId="6EAD525D" w14:textId="056DC23C" w:rsidR="009F08AC" w:rsidRPr="00912C30" w:rsidRDefault="009F08AC" w:rsidP="00B30A8E">
            <w:pPr>
              <w:spacing w:after="0" w:line="240" w:lineRule="auto"/>
              <w:jc w:val="right"/>
              <w:rPr>
                <w:sz w:val="24"/>
                <w:szCs w:val="24"/>
              </w:rPr>
            </w:pPr>
            <w:r w:rsidRPr="00912C30">
              <w:rPr>
                <w:sz w:val="24"/>
                <w:szCs w:val="24"/>
              </w:rPr>
              <w:t>5,110</w:t>
            </w:r>
          </w:p>
        </w:tc>
      </w:tr>
      <w:tr w:rsidR="009F08AC" w:rsidRPr="00912C30" w14:paraId="02168987" w14:textId="77777777" w:rsidTr="00D259EE">
        <w:trPr>
          <w:cantSplit/>
          <w:trHeight w:val="300"/>
          <w:jc w:val="center"/>
        </w:trPr>
        <w:tc>
          <w:tcPr>
            <w:tcW w:w="3245" w:type="dxa"/>
            <w:tcBorders>
              <w:top w:val="single" w:sz="4" w:space="0" w:color="auto"/>
              <w:left w:val="single" w:sz="4" w:space="0" w:color="auto"/>
              <w:bottom w:val="single" w:sz="4" w:space="0" w:color="auto"/>
              <w:right w:val="single" w:sz="4" w:space="0" w:color="auto"/>
            </w:tcBorders>
            <w:vAlign w:val="center"/>
            <w:hideMark/>
          </w:tcPr>
          <w:p w14:paraId="169C13C5" w14:textId="77777777" w:rsidR="009F08AC" w:rsidRPr="00912C30" w:rsidRDefault="009F08AC" w:rsidP="00FE530D">
            <w:pPr>
              <w:spacing w:after="0" w:line="240" w:lineRule="auto"/>
              <w:rPr>
                <w:b/>
                <w:bCs/>
                <w:sz w:val="24"/>
                <w:szCs w:val="24"/>
              </w:rPr>
            </w:pPr>
            <w:r w:rsidRPr="00912C30">
              <w:rPr>
                <w:b/>
                <w:bCs/>
                <w:sz w:val="24"/>
                <w:szCs w:val="24"/>
              </w:rPr>
              <w:t>Resident Days</w:t>
            </w:r>
          </w:p>
        </w:tc>
        <w:tc>
          <w:tcPr>
            <w:tcW w:w="1169" w:type="dxa"/>
            <w:tcBorders>
              <w:top w:val="single" w:sz="4" w:space="0" w:color="auto"/>
              <w:left w:val="single" w:sz="4" w:space="0" w:color="auto"/>
              <w:bottom w:val="single" w:sz="4" w:space="0" w:color="auto"/>
              <w:right w:val="single" w:sz="4" w:space="0" w:color="auto"/>
            </w:tcBorders>
            <w:vAlign w:val="center"/>
            <w:hideMark/>
          </w:tcPr>
          <w:p w14:paraId="7CAF3CA9" w14:textId="2C12F92E" w:rsidR="009F08AC" w:rsidRPr="00912C30" w:rsidRDefault="009F08AC" w:rsidP="00FE530D">
            <w:pPr>
              <w:spacing w:after="0" w:line="240" w:lineRule="auto"/>
              <w:jc w:val="right"/>
              <w:rPr>
                <w:sz w:val="24"/>
                <w:szCs w:val="24"/>
              </w:rPr>
            </w:pPr>
            <w:r w:rsidRPr="00912C30">
              <w:rPr>
                <w:sz w:val="24"/>
                <w:szCs w:val="24"/>
              </w:rPr>
              <w:t>4,599</w:t>
            </w:r>
          </w:p>
        </w:tc>
        <w:tc>
          <w:tcPr>
            <w:tcW w:w="1081" w:type="dxa"/>
            <w:tcBorders>
              <w:top w:val="single" w:sz="4" w:space="0" w:color="auto"/>
              <w:left w:val="single" w:sz="4" w:space="0" w:color="auto"/>
              <w:bottom w:val="single" w:sz="4" w:space="0" w:color="auto"/>
              <w:right w:val="single" w:sz="4" w:space="0" w:color="auto"/>
            </w:tcBorders>
            <w:vAlign w:val="center"/>
          </w:tcPr>
          <w:p w14:paraId="69B72643" w14:textId="56B07DBF" w:rsidR="009F08AC" w:rsidRPr="00912C30" w:rsidRDefault="009F08AC" w:rsidP="00FE530D">
            <w:pPr>
              <w:spacing w:after="0" w:line="240" w:lineRule="auto"/>
              <w:jc w:val="right"/>
              <w:rPr>
                <w:sz w:val="24"/>
                <w:szCs w:val="24"/>
              </w:rPr>
            </w:pPr>
            <w:r w:rsidRPr="00912C30">
              <w:rPr>
                <w:sz w:val="24"/>
                <w:szCs w:val="24"/>
              </w:rPr>
              <w:t>4,855</w:t>
            </w:r>
          </w:p>
        </w:tc>
        <w:tc>
          <w:tcPr>
            <w:tcW w:w="990" w:type="dxa"/>
            <w:tcBorders>
              <w:top w:val="single" w:sz="4" w:space="0" w:color="auto"/>
              <w:left w:val="single" w:sz="4" w:space="0" w:color="auto"/>
              <w:bottom w:val="single" w:sz="4" w:space="0" w:color="auto"/>
              <w:right w:val="single" w:sz="4" w:space="0" w:color="auto"/>
            </w:tcBorders>
            <w:vAlign w:val="center"/>
          </w:tcPr>
          <w:p w14:paraId="3243D6BF" w14:textId="7201F715" w:rsidR="009F08AC" w:rsidRPr="00912C30" w:rsidRDefault="009F08AC" w:rsidP="00FE530D">
            <w:pPr>
              <w:spacing w:after="0" w:line="240" w:lineRule="auto"/>
              <w:jc w:val="right"/>
              <w:rPr>
                <w:sz w:val="24"/>
                <w:szCs w:val="24"/>
              </w:rPr>
            </w:pPr>
            <w:r w:rsidRPr="00912C30">
              <w:rPr>
                <w:sz w:val="24"/>
                <w:szCs w:val="24"/>
              </w:rPr>
              <w:t>4,855</w:t>
            </w:r>
          </w:p>
        </w:tc>
        <w:tc>
          <w:tcPr>
            <w:tcW w:w="1080" w:type="dxa"/>
            <w:tcBorders>
              <w:top w:val="single" w:sz="4" w:space="0" w:color="auto"/>
              <w:left w:val="single" w:sz="4" w:space="0" w:color="auto"/>
              <w:bottom w:val="single" w:sz="4" w:space="0" w:color="auto"/>
              <w:right w:val="single" w:sz="4" w:space="0" w:color="auto"/>
            </w:tcBorders>
            <w:vAlign w:val="center"/>
          </w:tcPr>
          <w:p w14:paraId="6F922145" w14:textId="2FB29555" w:rsidR="009F08AC" w:rsidRPr="00912C30" w:rsidRDefault="009F08AC" w:rsidP="00FE530D">
            <w:pPr>
              <w:spacing w:after="0" w:line="240" w:lineRule="auto"/>
              <w:jc w:val="right"/>
              <w:rPr>
                <w:sz w:val="24"/>
                <w:szCs w:val="24"/>
              </w:rPr>
            </w:pPr>
            <w:r w:rsidRPr="00912C30">
              <w:rPr>
                <w:sz w:val="24"/>
                <w:szCs w:val="24"/>
              </w:rPr>
              <w:t>4,855</w:t>
            </w:r>
          </w:p>
        </w:tc>
        <w:tc>
          <w:tcPr>
            <w:tcW w:w="990" w:type="dxa"/>
            <w:tcBorders>
              <w:top w:val="single" w:sz="4" w:space="0" w:color="auto"/>
              <w:left w:val="single" w:sz="4" w:space="0" w:color="auto"/>
              <w:bottom w:val="single" w:sz="4" w:space="0" w:color="auto"/>
              <w:right w:val="single" w:sz="4" w:space="0" w:color="auto"/>
            </w:tcBorders>
            <w:vAlign w:val="center"/>
          </w:tcPr>
          <w:p w14:paraId="541343A2" w14:textId="09627E80" w:rsidR="009F08AC" w:rsidRPr="00912C30" w:rsidRDefault="009F08AC" w:rsidP="00FE530D">
            <w:pPr>
              <w:spacing w:after="0" w:line="240" w:lineRule="auto"/>
              <w:jc w:val="right"/>
              <w:rPr>
                <w:sz w:val="24"/>
                <w:szCs w:val="24"/>
              </w:rPr>
            </w:pPr>
            <w:r w:rsidRPr="00912C30">
              <w:rPr>
                <w:sz w:val="24"/>
                <w:szCs w:val="24"/>
              </w:rPr>
              <w:t>4,855</w:t>
            </w:r>
          </w:p>
        </w:tc>
      </w:tr>
      <w:tr w:rsidR="009F08AC" w:rsidRPr="00912C30" w14:paraId="394F1505" w14:textId="77777777" w:rsidTr="00D259EE">
        <w:trPr>
          <w:cantSplit/>
          <w:trHeight w:val="300"/>
          <w:jc w:val="center"/>
        </w:trPr>
        <w:tc>
          <w:tcPr>
            <w:tcW w:w="3245" w:type="dxa"/>
            <w:tcBorders>
              <w:top w:val="single" w:sz="4" w:space="0" w:color="auto"/>
              <w:left w:val="single" w:sz="4" w:space="0" w:color="auto"/>
              <w:bottom w:val="single" w:sz="4" w:space="0" w:color="auto"/>
              <w:right w:val="single" w:sz="4" w:space="0" w:color="auto"/>
            </w:tcBorders>
            <w:vAlign w:val="center"/>
          </w:tcPr>
          <w:p w14:paraId="195EE789" w14:textId="30CA326E" w:rsidR="009F08AC" w:rsidRPr="00912C30" w:rsidRDefault="009F08AC" w:rsidP="00FE530D">
            <w:pPr>
              <w:spacing w:after="0" w:line="240" w:lineRule="auto"/>
              <w:rPr>
                <w:b/>
                <w:bCs/>
                <w:sz w:val="24"/>
                <w:szCs w:val="24"/>
              </w:rPr>
            </w:pPr>
            <w:r w:rsidRPr="00912C30">
              <w:rPr>
                <w:b/>
                <w:bCs/>
                <w:sz w:val="24"/>
                <w:szCs w:val="24"/>
              </w:rPr>
              <w:t>Occupancy</w:t>
            </w:r>
          </w:p>
        </w:tc>
        <w:tc>
          <w:tcPr>
            <w:tcW w:w="1169" w:type="dxa"/>
            <w:tcBorders>
              <w:top w:val="single" w:sz="4" w:space="0" w:color="auto"/>
              <w:left w:val="single" w:sz="4" w:space="0" w:color="auto"/>
              <w:bottom w:val="single" w:sz="4" w:space="0" w:color="auto"/>
              <w:right w:val="single" w:sz="4" w:space="0" w:color="auto"/>
            </w:tcBorders>
            <w:vAlign w:val="center"/>
          </w:tcPr>
          <w:p w14:paraId="68E5359A" w14:textId="2355D048" w:rsidR="009F08AC" w:rsidRPr="00912C30" w:rsidRDefault="009F08AC" w:rsidP="00FE530D">
            <w:pPr>
              <w:spacing w:after="0" w:line="240" w:lineRule="auto"/>
              <w:jc w:val="right"/>
              <w:rPr>
                <w:sz w:val="24"/>
                <w:szCs w:val="24"/>
              </w:rPr>
            </w:pPr>
            <w:r w:rsidRPr="00912C30">
              <w:rPr>
                <w:sz w:val="24"/>
                <w:szCs w:val="24"/>
              </w:rPr>
              <w:t>90.0%</w:t>
            </w:r>
          </w:p>
        </w:tc>
        <w:tc>
          <w:tcPr>
            <w:tcW w:w="1081" w:type="dxa"/>
            <w:tcBorders>
              <w:top w:val="single" w:sz="4" w:space="0" w:color="auto"/>
              <w:left w:val="single" w:sz="4" w:space="0" w:color="auto"/>
              <w:bottom w:val="single" w:sz="4" w:space="0" w:color="auto"/>
              <w:right w:val="single" w:sz="4" w:space="0" w:color="auto"/>
            </w:tcBorders>
            <w:vAlign w:val="center"/>
          </w:tcPr>
          <w:p w14:paraId="3C46560C" w14:textId="6D7AB621" w:rsidR="009F08AC" w:rsidRPr="00912C30" w:rsidRDefault="009F08AC" w:rsidP="00FE530D">
            <w:pPr>
              <w:spacing w:after="0" w:line="240" w:lineRule="auto"/>
              <w:jc w:val="right"/>
              <w:rPr>
                <w:sz w:val="24"/>
                <w:szCs w:val="24"/>
              </w:rPr>
            </w:pPr>
            <w:r w:rsidRPr="00912C30">
              <w:rPr>
                <w:sz w:val="24"/>
                <w:szCs w:val="24"/>
              </w:rPr>
              <w:t>95.0%</w:t>
            </w:r>
          </w:p>
        </w:tc>
        <w:tc>
          <w:tcPr>
            <w:tcW w:w="990" w:type="dxa"/>
            <w:tcBorders>
              <w:top w:val="single" w:sz="4" w:space="0" w:color="auto"/>
              <w:left w:val="single" w:sz="4" w:space="0" w:color="auto"/>
              <w:bottom w:val="single" w:sz="4" w:space="0" w:color="auto"/>
              <w:right w:val="single" w:sz="4" w:space="0" w:color="auto"/>
            </w:tcBorders>
            <w:vAlign w:val="center"/>
          </w:tcPr>
          <w:p w14:paraId="715FE2EC" w14:textId="15D2B8AD" w:rsidR="009F08AC" w:rsidRPr="00912C30" w:rsidRDefault="009F08AC" w:rsidP="00FE530D">
            <w:pPr>
              <w:spacing w:after="0" w:line="240" w:lineRule="auto"/>
              <w:jc w:val="right"/>
              <w:rPr>
                <w:sz w:val="24"/>
                <w:szCs w:val="24"/>
              </w:rPr>
            </w:pPr>
            <w:r w:rsidRPr="00912C30">
              <w:rPr>
                <w:sz w:val="24"/>
                <w:szCs w:val="24"/>
              </w:rPr>
              <w:t>95.0%</w:t>
            </w:r>
          </w:p>
        </w:tc>
        <w:tc>
          <w:tcPr>
            <w:tcW w:w="1080" w:type="dxa"/>
            <w:tcBorders>
              <w:top w:val="single" w:sz="4" w:space="0" w:color="auto"/>
              <w:left w:val="single" w:sz="4" w:space="0" w:color="auto"/>
              <w:bottom w:val="single" w:sz="4" w:space="0" w:color="auto"/>
              <w:right w:val="single" w:sz="4" w:space="0" w:color="auto"/>
            </w:tcBorders>
            <w:vAlign w:val="center"/>
          </w:tcPr>
          <w:p w14:paraId="06916C67" w14:textId="73E12846" w:rsidR="009F08AC" w:rsidRPr="00912C30" w:rsidRDefault="009F08AC" w:rsidP="00FE530D">
            <w:pPr>
              <w:spacing w:after="0" w:line="240" w:lineRule="auto"/>
              <w:jc w:val="right"/>
              <w:rPr>
                <w:sz w:val="24"/>
                <w:szCs w:val="24"/>
              </w:rPr>
            </w:pPr>
            <w:r w:rsidRPr="00912C30">
              <w:rPr>
                <w:sz w:val="24"/>
                <w:szCs w:val="24"/>
              </w:rPr>
              <w:t>95.0%</w:t>
            </w:r>
          </w:p>
        </w:tc>
        <w:tc>
          <w:tcPr>
            <w:tcW w:w="990" w:type="dxa"/>
            <w:tcBorders>
              <w:top w:val="single" w:sz="4" w:space="0" w:color="auto"/>
              <w:left w:val="single" w:sz="4" w:space="0" w:color="auto"/>
              <w:bottom w:val="single" w:sz="4" w:space="0" w:color="auto"/>
              <w:right w:val="single" w:sz="4" w:space="0" w:color="auto"/>
            </w:tcBorders>
            <w:vAlign w:val="center"/>
          </w:tcPr>
          <w:p w14:paraId="13F857DA" w14:textId="486854EA" w:rsidR="009F08AC" w:rsidRPr="00912C30" w:rsidRDefault="009F08AC" w:rsidP="00FE530D">
            <w:pPr>
              <w:spacing w:after="0" w:line="240" w:lineRule="auto"/>
              <w:jc w:val="right"/>
              <w:rPr>
                <w:sz w:val="24"/>
                <w:szCs w:val="24"/>
              </w:rPr>
            </w:pPr>
            <w:r w:rsidRPr="00912C30">
              <w:rPr>
                <w:sz w:val="24"/>
                <w:szCs w:val="24"/>
              </w:rPr>
              <w:t>95.0%</w:t>
            </w:r>
          </w:p>
        </w:tc>
      </w:tr>
      <w:tr w:rsidR="009F08AC" w:rsidRPr="00912C30" w14:paraId="61AF87C6" w14:textId="77777777" w:rsidTr="00D259EE">
        <w:trPr>
          <w:cantSplit/>
          <w:trHeight w:val="300"/>
          <w:jc w:val="center"/>
        </w:trPr>
        <w:tc>
          <w:tcPr>
            <w:tcW w:w="3245" w:type="dxa"/>
            <w:tcBorders>
              <w:top w:val="single" w:sz="4" w:space="0" w:color="auto"/>
              <w:left w:val="single" w:sz="4" w:space="0" w:color="auto"/>
              <w:bottom w:val="single" w:sz="4" w:space="0" w:color="auto"/>
              <w:right w:val="single" w:sz="4" w:space="0" w:color="auto"/>
            </w:tcBorders>
            <w:vAlign w:val="center"/>
            <w:hideMark/>
          </w:tcPr>
          <w:p w14:paraId="35A6B432" w14:textId="77777777" w:rsidR="009F08AC" w:rsidRPr="00912C30" w:rsidRDefault="009F08AC" w:rsidP="00D448C4">
            <w:pPr>
              <w:spacing w:after="0" w:line="240" w:lineRule="auto"/>
              <w:rPr>
                <w:sz w:val="24"/>
                <w:szCs w:val="24"/>
              </w:rPr>
            </w:pPr>
            <w:r w:rsidRPr="00912C30">
              <w:rPr>
                <w:b/>
                <w:bCs/>
                <w:sz w:val="24"/>
                <w:szCs w:val="24"/>
              </w:rPr>
              <w:t xml:space="preserve">Average Length of Stay </w:t>
            </w:r>
            <w:r w:rsidRPr="00912C30">
              <w:rPr>
                <w:sz w:val="24"/>
                <w:szCs w:val="24"/>
              </w:rPr>
              <w:t>(</w:t>
            </w:r>
            <w:r w:rsidRPr="00912C30">
              <w:rPr>
                <w:i/>
                <w:iCs/>
                <w:sz w:val="24"/>
                <w:szCs w:val="24"/>
              </w:rPr>
              <w:t>days</w:t>
            </w:r>
            <w:r w:rsidRPr="00912C30">
              <w:rPr>
                <w:sz w:val="24"/>
                <w:szCs w:val="24"/>
              </w:rPr>
              <w:t>)</w:t>
            </w:r>
          </w:p>
        </w:tc>
        <w:tc>
          <w:tcPr>
            <w:tcW w:w="1169" w:type="dxa"/>
            <w:tcBorders>
              <w:top w:val="single" w:sz="4" w:space="0" w:color="auto"/>
              <w:left w:val="single" w:sz="4" w:space="0" w:color="auto"/>
              <w:bottom w:val="single" w:sz="4" w:space="0" w:color="auto"/>
              <w:right w:val="single" w:sz="4" w:space="0" w:color="auto"/>
            </w:tcBorders>
            <w:vAlign w:val="center"/>
            <w:hideMark/>
          </w:tcPr>
          <w:p w14:paraId="575BA5D3" w14:textId="77777777" w:rsidR="009F08AC" w:rsidRPr="00912C30" w:rsidRDefault="009F08AC" w:rsidP="00D448C4">
            <w:pPr>
              <w:spacing w:after="0" w:line="240" w:lineRule="auto"/>
              <w:jc w:val="right"/>
              <w:rPr>
                <w:sz w:val="24"/>
                <w:szCs w:val="24"/>
              </w:rPr>
            </w:pPr>
            <w:r w:rsidRPr="00912C30">
              <w:rPr>
                <w:sz w:val="24"/>
                <w:szCs w:val="24"/>
              </w:rPr>
              <w:t>18</w:t>
            </w:r>
          </w:p>
        </w:tc>
        <w:tc>
          <w:tcPr>
            <w:tcW w:w="1081" w:type="dxa"/>
            <w:tcBorders>
              <w:top w:val="single" w:sz="4" w:space="0" w:color="auto"/>
              <w:left w:val="single" w:sz="4" w:space="0" w:color="auto"/>
              <w:bottom w:val="single" w:sz="4" w:space="0" w:color="auto"/>
              <w:right w:val="single" w:sz="4" w:space="0" w:color="auto"/>
            </w:tcBorders>
            <w:vAlign w:val="center"/>
          </w:tcPr>
          <w:p w14:paraId="71F58151" w14:textId="77777777" w:rsidR="009F08AC" w:rsidRPr="00912C30" w:rsidRDefault="009F08AC" w:rsidP="00D448C4">
            <w:pPr>
              <w:spacing w:after="0" w:line="240" w:lineRule="auto"/>
              <w:jc w:val="right"/>
              <w:rPr>
                <w:sz w:val="24"/>
                <w:szCs w:val="24"/>
              </w:rPr>
            </w:pPr>
            <w:r w:rsidRPr="00912C30">
              <w:rPr>
                <w:sz w:val="24"/>
                <w:szCs w:val="24"/>
              </w:rPr>
              <w:t>17</w:t>
            </w:r>
          </w:p>
        </w:tc>
        <w:tc>
          <w:tcPr>
            <w:tcW w:w="990" w:type="dxa"/>
            <w:tcBorders>
              <w:top w:val="single" w:sz="4" w:space="0" w:color="auto"/>
              <w:left w:val="single" w:sz="4" w:space="0" w:color="auto"/>
              <w:bottom w:val="single" w:sz="4" w:space="0" w:color="auto"/>
              <w:right w:val="single" w:sz="4" w:space="0" w:color="auto"/>
            </w:tcBorders>
            <w:vAlign w:val="center"/>
          </w:tcPr>
          <w:p w14:paraId="726EEF51" w14:textId="77777777" w:rsidR="009F08AC" w:rsidRPr="00912C30" w:rsidRDefault="009F08AC" w:rsidP="00D448C4">
            <w:pPr>
              <w:spacing w:after="0" w:line="240" w:lineRule="auto"/>
              <w:jc w:val="right"/>
              <w:rPr>
                <w:sz w:val="24"/>
                <w:szCs w:val="24"/>
              </w:rPr>
            </w:pPr>
            <w:r w:rsidRPr="00912C30">
              <w:rPr>
                <w:sz w:val="24"/>
                <w:szCs w:val="24"/>
              </w:rPr>
              <w:t>17</w:t>
            </w:r>
          </w:p>
        </w:tc>
        <w:tc>
          <w:tcPr>
            <w:tcW w:w="1080" w:type="dxa"/>
            <w:tcBorders>
              <w:top w:val="single" w:sz="4" w:space="0" w:color="auto"/>
              <w:left w:val="single" w:sz="4" w:space="0" w:color="auto"/>
              <w:bottom w:val="single" w:sz="4" w:space="0" w:color="auto"/>
              <w:right w:val="single" w:sz="4" w:space="0" w:color="auto"/>
            </w:tcBorders>
            <w:vAlign w:val="center"/>
          </w:tcPr>
          <w:p w14:paraId="24DFF009" w14:textId="6CCD315C" w:rsidR="009F08AC" w:rsidRPr="00912C30" w:rsidRDefault="009F08AC" w:rsidP="00D448C4">
            <w:pPr>
              <w:spacing w:after="0" w:line="240" w:lineRule="auto"/>
              <w:jc w:val="right"/>
              <w:rPr>
                <w:sz w:val="24"/>
                <w:szCs w:val="24"/>
              </w:rPr>
            </w:pPr>
            <w:r w:rsidRPr="00912C30">
              <w:rPr>
                <w:sz w:val="24"/>
                <w:szCs w:val="24"/>
              </w:rPr>
              <w:t>17</w:t>
            </w:r>
          </w:p>
        </w:tc>
        <w:tc>
          <w:tcPr>
            <w:tcW w:w="990" w:type="dxa"/>
            <w:tcBorders>
              <w:top w:val="single" w:sz="4" w:space="0" w:color="auto"/>
              <w:left w:val="single" w:sz="4" w:space="0" w:color="auto"/>
              <w:bottom w:val="single" w:sz="4" w:space="0" w:color="auto"/>
              <w:right w:val="single" w:sz="4" w:space="0" w:color="auto"/>
            </w:tcBorders>
            <w:vAlign w:val="center"/>
          </w:tcPr>
          <w:p w14:paraId="3E085B9E" w14:textId="77777777" w:rsidR="009F08AC" w:rsidRPr="00912C30" w:rsidRDefault="009F08AC" w:rsidP="00D448C4">
            <w:pPr>
              <w:spacing w:after="0" w:line="240" w:lineRule="auto"/>
              <w:jc w:val="right"/>
              <w:rPr>
                <w:sz w:val="24"/>
                <w:szCs w:val="24"/>
              </w:rPr>
            </w:pPr>
            <w:r w:rsidRPr="00912C30">
              <w:rPr>
                <w:sz w:val="24"/>
                <w:szCs w:val="24"/>
              </w:rPr>
              <w:t>17</w:t>
            </w:r>
          </w:p>
        </w:tc>
      </w:tr>
      <w:tr w:rsidR="009F08AC" w:rsidRPr="00912C30" w14:paraId="5962F540" w14:textId="77777777" w:rsidTr="00D259EE">
        <w:trPr>
          <w:cantSplit/>
          <w:trHeight w:val="300"/>
          <w:jc w:val="center"/>
        </w:trPr>
        <w:tc>
          <w:tcPr>
            <w:tcW w:w="3245" w:type="dxa"/>
            <w:tcBorders>
              <w:top w:val="single" w:sz="4" w:space="0" w:color="auto"/>
              <w:left w:val="single" w:sz="4" w:space="0" w:color="auto"/>
              <w:bottom w:val="single" w:sz="4" w:space="0" w:color="auto"/>
              <w:right w:val="single" w:sz="4" w:space="0" w:color="auto"/>
            </w:tcBorders>
            <w:vAlign w:val="center"/>
            <w:hideMark/>
          </w:tcPr>
          <w:p w14:paraId="25F8ACCB" w14:textId="77777777" w:rsidR="009F08AC" w:rsidRPr="00912C30" w:rsidRDefault="009F08AC" w:rsidP="00D448C4">
            <w:pPr>
              <w:spacing w:after="0" w:line="240" w:lineRule="auto"/>
              <w:rPr>
                <w:b/>
                <w:bCs/>
                <w:sz w:val="24"/>
                <w:szCs w:val="24"/>
              </w:rPr>
            </w:pPr>
            <w:r w:rsidRPr="00912C30">
              <w:rPr>
                <w:b/>
                <w:bCs/>
                <w:sz w:val="24"/>
                <w:szCs w:val="24"/>
              </w:rPr>
              <w:t>Average Daily Census</w:t>
            </w:r>
          </w:p>
        </w:tc>
        <w:tc>
          <w:tcPr>
            <w:tcW w:w="1169" w:type="dxa"/>
            <w:tcBorders>
              <w:top w:val="single" w:sz="4" w:space="0" w:color="auto"/>
              <w:left w:val="single" w:sz="4" w:space="0" w:color="auto"/>
              <w:bottom w:val="single" w:sz="4" w:space="0" w:color="auto"/>
              <w:right w:val="single" w:sz="4" w:space="0" w:color="auto"/>
            </w:tcBorders>
            <w:vAlign w:val="center"/>
            <w:hideMark/>
          </w:tcPr>
          <w:p w14:paraId="5009B6DF" w14:textId="77777777" w:rsidR="009F08AC" w:rsidRPr="00912C30" w:rsidRDefault="009F08AC" w:rsidP="00D448C4">
            <w:pPr>
              <w:spacing w:after="0" w:line="240" w:lineRule="auto"/>
              <w:jc w:val="right"/>
              <w:rPr>
                <w:sz w:val="24"/>
                <w:szCs w:val="24"/>
              </w:rPr>
            </w:pPr>
            <w:r w:rsidRPr="00912C30">
              <w:rPr>
                <w:sz w:val="24"/>
                <w:szCs w:val="24"/>
              </w:rPr>
              <w:t>12.4</w:t>
            </w:r>
          </w:p>
        </w:tc>
        <w:tc>
          <w:tcPr>
            <w:tcW w:w="1081" w:type="dxa"/>
            <w:tcBorders>
              <w:top w:val="single" w:sz="4" w:space="0" w:color="auto"/>
              <w:left w:val="single" w:sz="4" w:space="0" w:color="auto"/>
              <w:bottom w:val="single" w:sz="4" w:space="0" w:color="auto"/>
              <w:right w:val="single" w:sz="4" w:space="0" w:color="auto"/>
            </w:tcBorders>
            <w:vAlign w:val="center"/>
          </w:tcPr>
          <w:p w14:paraId="1FB95BA9" w14:textId="77777777" w:rsidR="009F08AC" w:rsidRPr="00912C30" w:rsidRDefault="009F08AC" w:rsidP="00D448C4">
            <w:pPr>
              <w:spacing w:after="0" w:line="240" w:lineRule="auto"/>
              <w:jc w:val="right"/>
              <w:rPr>
                <w:sz w:val="24"/>
                <w:szCs w:val="24"/>
              </w:rPr>
            </w:pPr>
            <w:r w:rsidRPr="00912C30">
              <w:rPr>
                <w:sz w:val="24"/>
                <w:szCs w:val="24"/>
              </w:rPr>
              <w:t>13.4</w:t>
            </w:r>
          </w:p>
        </w:tc>
        <w:tc>
          <w:tcPr>
            <w:tcW w:w="990" w:type="dxa"/>
            <w:tcBorders>
              <w:top w:val="single" w:sz="4" w:space="0" w:color="auto"/>
              <w:left w:val="single" w:sz="4" w:space="0" w:color="auto"/>
              <w:bottom w:val="single" w:sz="4" w:space="0" w:color="auto"/>
              <w:right w:val="single" w:sz="4" w:space="0" w:color="auto"/>
            </w:tcBorders>
            <w:vAlign w:val="center"/>
          </w:tcPr>
          <w:p w14:paraId="24FE2349" w14:textId="77777777" w:rsidR="009F08AC" w:rsidRPr="00912C30" w:rsidRDefault="009F08AC" w:rsidP="00D448C4">
            <w:pPr>
              <w:spacing w:after="0" w:line="240" w:lineRule="auto"/>
              <w:jc w:val="right"/>
              <w:rPr>
                <w:sz w:val="24"/>
                <w:szCs w:val="24"/>
              </w:rPr>
            </w:pPr>
            <w:r w:rsidRPr="00912C30">
              <w:rPr>
                <w:sz w:val="24"/>
                <w:szCs w:val="24"/>
              </w:rPr>
              <w:t>13.4</w:t>
            </w:r>
          </w:p>
        </w:tc>
        <w:tc>
          <w:tcPr>
            <w:tcW w:w="1080" w:type="dxa"/>
            <w:tcBorders>
              <w:top w:val="single" w:sz="4" w:space="0" w:color="auto"/>
              <w:left w:val="single" w:sz="4" w:space="0" w:color="auto"/>
              <w:bottom w:val="single" w:sz="4" w:space="0" w:color="auto"/>
              <w:right w:val="single" w:sz="4" w:space="0" w:color="auto"/>
            </w:tcBorders>
            <w:vAlign w:val="center"/>
          </w:tcPr>
          <w:p w14:paraId="449C6689" w14:textId="5313D0AC" w:rsidR="009F08AC" w:rsidRPr="00912C30" w:rsidRDefault="009F08AC" w:rsidP="00D448C4">
            <w:pPr>
              <w:spacing w:after="0" w:line="240" w:lineRule="auto"/>
              <w:jc w:val="right"/>
              <w:rPr>
                <w:sz w:val="24"/>
                <w:szCs w:val="24"/>
              </w:rPr>
            </w:pPr>
            <w:r w:rsidRPr="00912C30">
              <w:rPr>
                <w:sz w:val="24"/>
                <w:szCs w:val="24"/>
              </w:rPr>
              <w:t>13.4</w:t>
            </w:r>
          </w:p>
        </w:tc>
        <w:tc>
          <w:tcPr>
            <w:tcW w:w="990" w:type="dxa"/>
            <w:tcBorders>
              <w:top w:val="single" w:sz="4" w:space="0" w:color="auto"/>
              <w:left w:val="single" w:sz="4" w:space="0" w:color="auto"/>
              <w:bottom w:val="single" w:sz="4" w:space="0" w:color="auto"/>
              <w:right w:val="single" w:sz="4" w:space="0" w:color="auto"/>
            </w:tcBorders>
            <w:vAlign w:val="center"/>
          </w:tcPr>
          <w:p w14:paraId="3F166665" w14:textId="77777777" w:rsidR="009F08AC" w:rsidRPr="00912C30" w:rsidRDefault="009F08AC" w:rsidP="00D448C4">
            <w:pPr>
              <w:spacing w:after="0" w:line="240" w:lineRule="auto"/>
              <w:jc w:val="right"/>
              <w:rPr>
                <w:sz w:val="24"/>
                <w:szCs w:val="24"/>
              </w:rPr>
            </w:pPr>
            <w:r w:rsidRPr="00912C30">
              <w:rPr>
                <w:sz w:val="24"/>
                <w:szCs w:val="24"/>
              </w:rPr>
              <w:t>13.4</w:t>
            </w:r>
          </w:p>
        </w:tc>
      </w:tr>
      <w:bookmarkEnd w:id="7"/>
    </w:tbl>
    <w:p w14:paraId="446779CF" w14:textId="77777777" w:rsidR="00730574" w:rsidRPr="00730574" w:rsidRDefault="00730574" w:rsidP="00730574">
      <w:pPr>
        <w:rPr>
          <w:color w:val="1F4E79" w:themeColor="accent5" w:themeShade="80"/>
        </w:rPr>
      </w:pPr>
    </w:p>
    <w:p w14:paraId="04C36639" w14:textId="77777777" w:rsidR="00CA37B0" w:rsidRPr="00F64F74" w:rsidRDefault="00CA37B0" w:rsidP="00CA37B0">
      <w:pPr>
        <w:rPr>
          <w:b/>
          <w:bCs/>
          <w:i/>
          <w:iCs/>
          <w:sz w:val="24"/>
          <w:szCs w:val="24"/>
        </w:rPr>
      </w:pPr>
      <w:r w:rsidRPr="00F64F74">
        <w:rPr>
          <w:b/>
          <w:bCs/>
          <w:i/>
          <w:iCs/>
          <w:sz w:val="24"/>
          <w:szCs w:val="24"/>
        </w:rPr>
        <w:t>Analysis</w:t>
      </w:r>
    </w:p>
    <w:p w14:paraId="57354E81" w14:textId="44924DF7" w:rsidR="00CA37B0" w:rsidRPr="00F64F74" w:rsidRDefault="00CA37B0" w:rsidP="006516E1">
      <w:pPr>
        <w:spacing w:line="240" w:lineRule="auto"/>
        <w:rPr>
          <w:sz w:val="24"/>
          <w:szCs w:val="24"/>
        </w:rPr>
      </w:pPr>
      <w:r w:rsidRPr="695818A5">
        <w:rPr>
          <w:sz w:val="24"/>
          <w:szCs w:val="24"/>
        </w:rPr>
        <w:t xml:space="preserve">While the State’s new </w:t>
      </w:r>
      <w:r w:rsidR="0085117A" w:rsidRPr="695818A5">
        <w:rPr>
          <w:sz w:val="24"/>
          <w:szCs w:val="24"/>
        </w:rPr>
        <w:t>d</w:t>
      </w:r>
      <w:r w:rsidRPr="695818A5">
        <w:rPr>
          <w:sz w:val="24"/>
          <w:szCs w:val="24"/>
        </w:rPr>
        <w:t>e-</w:t>
      </w:r>
      <w:r w:rsidR="0085117A" w:rsidRPr="695818A5">
        <w:rPr>
          <w:sz w:val="24"/>
          <w:szCs w:val="24"/>
        </w:rPr>
        <w:t>d</w:t>
      </w:r>
      <w:r w:rsidRPr="695818A5">
        <w:rPr>
          <w:sz w:val="24"/>
          <w:szCs w:val="24"/>
        </w:rPr>
        <w:t xml:space="preserve">ensification </w:t>
      </w:r>
      <w:r w:rsidR="0085117A" w:rsidRPr="695818A5">
        <w:rPr>
          <w:sz w:val="24"/>
          <w:szCs w:val="24"/>
        </w:rPr>
        <w:t>l</w:t>
      </w:r>
      <w:r w:rsidRPr="695818A5">
        <w:rPr>
          <w:sz w:val="24"/>
          <w:szCs w:val="24"/>
        </w:rPr>
        <w:t xml:space="preserve">icensure </w:t>
      </w:r>
      <w:r w:rsidR="0085117A" w:rsidRPr="695818A5">
        <w:rPr>
          <w:sz w:val="24"/>
          <w:szCs w:val="24"/>
        </w:rPr>
        <w:t>r</w:t>
      </w:r>
      <w:r w:rsidRPr="695818A5">
        <w:rPr>
          <w:sz w:val="24"/>
          <w:szCs w:val="24"/>
        </w:rPr>
        <w:t>equirements prohibit placing residents in three and four-bedded rooms</w:t>
      </w:r>
      <w:r w:rsidR="0085117A" w:rsidRPr="695818A5">
        <w:rPr>
          <w:sz w:val="24"/>
          <w:szCs w:val="24"/>
        </w:rPr>
        <w:t>,</w:t>
      </w:r>
      <w:r w:rsidRPr="695818A5">
        <w:rPr>
          <w:sz w:val="24"/>
          <w:szCs w:val="24"/>
        </w:rPr>
        <w:t xml:space="preserve"> the Applicant states </w:t>
      </w:r>
      <w:r w:rsidR="00F64F74" w:rsidRPr="695818A5">
        <w:rPr>
          <w:sz w:val="24"/>
          <w:szCs w:val="24"/>
        </w:rPr>
        <w:t xml:space="preserve">the </w:t>
      </w:r>
      <w:r w:rsidRPr="695818A5">
        <w:rPr>
          <w:sz w:val="24"/>
          <w:szCs w:val="24"/>
        </w:rPr>
        <w:t>genesis of this project is not related to that requiremen</w:t>
      </w:r>
      <w:r w:rsidR="003C708F" w:rsidRPr="695818A5">
        <w:rPr>
          <w:sz w:val="24"/>
          <w:szCs w:val="24"/>
        </w:rPr>
        <w:t xml:space="preserve">t </w:t>
      </w:r>
      <w:r w:rsidR="00255E96" w:rsidRPr="695818A5">
        <w:rPr>
          <w:sz w:val="24"/>
          <w:szCs w:val="24"/>
        </w:rPr>
        <w:t xml:space="preserve">since </w:t>
      </w:r>
      <w:r w:rsidR="00A26924">
        <w:rPr>
          <w:sz w:val="24"/>
          <w:szCs w:val="24"/>
        </w:rPr>
        <w:t xml:space="preserve">there are no 3 or 4-bed rooms in the facility, </w:t>
      </w:r>
      <w:r w:rsidR="00255E96" w:rsidRPr="695818A5">
        <w:rPr>
          <w:sz w:val="24"/>
          <w:szCs w:val="24"/>
        </w:rPr>
        <w:t>as shown in Table 4</w:t>
      </w:r>
      <w:r w:rsidRPr="695818A5">
        <w:rPr>
          <w:sz w:val="24"/>
          <w:szCs w:val="24"/>
        </w:rPr>
        <w:t xml:space="preserve">. </w:t>
      </w:r>
      <w:r w:rsidR="004277C3" w:rsidRPr="695818A5">
        <w:rPr>
          <w:sz w:val="24"/>
          <w:szCs w:val="24"/>
        </w:rPr>
        <w:t>S</w:t>
      </w:r>
      <w:r w:rsidRPr="695818A5">
        <w:rPr>
          <w:sz w:val="24"/>
          <w:szCs w:val="24"/>
        </w:rPr>
        <w:t xml:space="preserve">taff notes that the Applicant </w:t>
      </w:r>
      <w:r w:rsidR="00D809AC" w:rsidRPr="695818A5">
        <w:rPr>
          <w:sz w:val="24"/>
          <w:szCs w:val="24"/>
        </w:rPr>
        <w:t xml:space="preserve">highlights </w:t>
      </w:r>
      <w:r w:rsidRPr="695818A5">
        <w:rPr>
          <w:sz w:val="24"/>
          <w:szCs w:val="24"/>
        </w:rPr>
        <w:t xml:space="preserve">elements of the current </w:t>
      </w:r>
      <w:r w:rsidR="004C655C" w:rsidRPr="695818A5">
        <w:rPr>
          <w:sz w:val="24"/>
          <w:szCs w:val="24"/>
        </w:rPr>
        <w:t>29-year-old</w:t>
      </w:r>
      <w:r w:rsidR="00EE3390" w:rsidRPr="695818A5">
        <w:rPr>
          <w:sz w:val="24"/>
          <w:szCs w:val="24"/>
        </w:rPr>
        <w:t xml:space="preserve"> </w:t>
      </w:r>
      <w:r w:rsidRPr="695818A5">
        <w:rPr>
          <w:sz w:val="24"/>
          <w:szCs w:val="24"/>
        </w:rPr>
        <w:t xml:space="preserve">facility that </w:t>
      </w:r>
      <w:r w:rsidR="00255E96" w:rsidRPr="695818A5">
        <w:rPr>
          <w:sz w:val="24"/>
          <w:szCs w:val="24"/>
        </w:rPr>
        <w:t xml:space="preserve">do not promote </w:t>
      </w:r>
      <w:r w:rsidR="004277C3" w:rsidRPr="695818A5">
        <w:rPr>
          <w:sz w:val="24"/>
          <w:szCs w:val="24"/>
        </w:rPr>
        <w:t>privacy and quality</w:t>
      </w:r>
      <w:r w:rsidR="00415DBF" w:rsidRPr="695818A5">
        <w:rPr>
          <w:sz w:val="24"/>
          <w:szCs w:val="24"/>
        </w:rPr>
        <w:t xml:space="preserve"> of life and</w:t>
      </w:r>
      <w:r w:rsidR="00255E96" w:rsidRPr="695818A5">
        <w:rPr>
          <w:sz w:val="24"/>
          <w:szCs w:val="24"/>
        </w:rPr>
        <w:t xml:space="preserve"> quality </w:t>
      </w:r>
      <w:r w:rsidR="00415DBF" w:rsidRPr="695818A5">
        <w:rPr>
          <w:sz w:val="24"/>
          <w:szCs w:val="24"/>
        </w:rPr>
        <w:t>of care</w:t>
      </w:r>
      <w:r w:rsidR="004277C3" w:rsidRPr="695818A5">
        <w:rPr>
          <w:sz w:val="24"/>
          <w:szCs w:val="24"/>
        </w:rPr>
        <w:t xml:space="preserve">, </w:t>
      </w:r>
      <w:r w:rsidRPr="695818A5">
        <w:rPr>
          <w:sz w:val="24"/>
          <w:szCs w:val="24"/>
        </w:rPr>
        <w:t>such as shared bathroom</w:t>
      </w:r>
      <w:r w:rsidR="00415DBF" w:rsidRPr="695818A5">
        <w:rPr>
          <w:sz w:val="24"/>
          <w:szCs w:val="24"/>
        </w:rPr>
        <w:t>s</w:t>
      </w:r>
      <w:r w:rsidRPr="695818A5">
        <w:rPr>
          <w:sz w:val="24"/>
          <w:szCs w:val="24"/>
        </w:rPr>
        <w:t xml:space="preserve"> among four residents,</w:t>
      </w:r>
      <w:r w:rsidR="00415DBF" w:rsidRPr="695818A5">
        <w:rPr>
          <w:sz w:val="24"/>
          <w:szCs w:val="24"/>
        </w:rPr>
        <w:t xml:space="preserve"> </w:t>
      </w:r>
      <w:r w:rsidRPr="695818A5">
        <w:rPr>
          <w:sz w:val="24"/>
          <w:szCs w:val="24"/>
        </w:rPr>
        <w:t xml:space="preserve">an institutional setting within an existing acute care </w:t>
      </w:r>
      <w:r w:rsidR="00415DBF" w:rsidRPr="695818A5">
        <w:rPr>
          <w:sz w:val="24"/>
          <w:szCs w:val="24"/>
        </w:rPr>
        <w:t>hospital, limited access to outdoor space</w:t>
      </w:r>
      <w:r w:rsidR="00255E96" w:rsidRPr="695818A5">
        <w:rPr>
          <w:sz w:val="24"/>
          <w:szCs w:val="24"/>
        </w:rPr>
        <w:t xml:space="preserve"> and challenges for visitors</w:t>
      </w:r>
      <w:r w:rsidR="00CC722B" w:rsidRPr="695818A5">
        <w:rPr>
          <w:sz w:val="24"/>
          <w:szCs w:val="24"/>
        </w:rPr>
        <w:t xml:space="preserve"> since it is </w:t>
      </w:r>
      <w:r w:rsidR="00C2516F" w:rsidRPr="695818A5">
        <w:rPr>
          <w:sz w:val="24"/>
          <w:szCs w:val="24"/>
        </w:rPr>
        <w:t xml:space="preserve">located on the second floor of an acute care </w:t>
      </w:r>
      <w:r w:rsidR="00D368EA" w:rsidRPr="695818A5">
        <w:rPr>
          <w:sz w:val="24"/>
          <w:szCs w:val="24"/>
        </w:rPr>
        <w:t>hospital.</w:t>
      </w:r>
      <w:r w:rsidR="00301F3F" w:rsidRPr="695818A5">
        <w:rPr>
          <w:sz w:val="24"/>
          <w:szCs w:val="24"/>
        </w:rPr>
        <w:t xml:space="preserve"> </w:t>
      </w:r>
    </w:p>
    <w:p w14:paraId="18FC55C6" w14:textId="5E649E84" w:rsidR="00BE3516" w:rsidRDefault="00CA37B0" w:rsidP="006516E1">
      <w:pPr>
        <w:spacing w:line="240" w:lineRule="auto"/>
        <w:rPr>
          <w:sz w:val="24"/>
          <w:szCs w:val="24"/>
        </w:rPr>
      </w:pPr>
      <w:r w:rsidRPr="00F64F74">
        <w:rPr>
          <w:sz w:val="24"/>
          <w:szCs w:val="24"/>
        </w:rPr>
        <w:t xml:space="preserve">The Proposed Project </w:t>
      </w:r>
      <w:r w:rsidR="00BF52D4">
        <w:rPr>
          <w:sz w:val="24"/>
          <w:szCs w:val="24"/>
        </w:rPr>
        <w:t xml:space="preserve">would remedy these elements </w:t>
      </w:r>
      <w:r w:rsidR="00FB3C4D">
        <w:rPr>
          <w:sz w:val="24"/>
          <w:szCs w:val="24"/>
        </w:rPr>
        <w:t xml:space="preserve">through the </w:t>
      </w:r>
      <w:r w:rsidRPr="00F64F74">
        <w:rPr>
          <w:sz w:val="24"/>
          <w:szCs w:val="24"/>
        </w:rPr>
        <w:t xml:space="preserve">construction of a replacement </w:t>
      </w:r>
      <w:r w:rsidR="00FB3C4D">
        <w:rPr>
          <w:sz w:val="24"/>
          <w:szCs w:val="24"/>
        </w:rPr>
        <w:t xml:space="preserve">LTCF </w:t>
      </w:r>
      <w:r w:rsidRPr="00F64F74">
        <w:rPr>
          <w:sz w:val="24"/>
          <w:szCs w:val="24"/>
        </w:rPr>
        <w:t>facility</w:t>
      </w:r>
      <w:r w:rsidR="00415DBF">
        <w:rPr>
          <w:sz w:val="24"/>
          <w:szCs w:val="24"/>
        </w:rPr>
        <w:t xml:space="preserve"> consisting of five homes</w:t>
      </w:r>
      <w:r w:rsidRPr="00F64F74">
        <w:rPr>
          <w:sz w:val="24"/>
          <w:szCs w:val="24"/>
        </w:rPr>
        <w:t xml:space="preserve">. Driven by the need for continued long term care services and improved care delivery on the Island, the Applicant has made a case for building a replacement facility due to the </w:t>
      </w:r>
      <w:r w:rsidR="009140FA">
        <w:rPr>
          <w:sz w:val="24"/>
          <w:szCs w:val="24"/>
        </w:rPr>
        <w:t xml:space="preserve">age and </w:t>
      </w:r>
      <w:r w:rsidRPr="00F64F74">
        <w:rPr>
          <w:sz w:val="24"/>
          <w:szCs w:val="24"/>
        </w:rPr>
        <w:t xml:space="preserve">constraints of the </w:t>
      </w:r>
      <w:r w:rsidR="00C95334">
        <w:rPr>
          <w:sz w:val="24"/>
          <w:szCs w:val="24"/>
        </w:rPr>
        <w:t xml:space="preserve">existing </w:t>
      </w:r>
      <w:r w:rsidRPr="00F64F74">
        <w:rPr>
          <w:sz w:val="24"/>
          <w:szCs w:val="24"/>
        </w:rPr>
        <w:t>co-located facility</w:t>
      </w:r>
      <w:r w:rsidR="00C95334">
        <w:rPr>
          <w:sz w:val="24"/>
          <w:szCs w:val="24"/>
        </w:rPr>
        <w:t>,</w:t>
      </w:r>
      <w:r w:rsidRPr="00F64F74">
        <w:rPr>
          <w:sz w:val="24"/>
          <w:szCs w:val="24"/>
        </w:rPr>
        <w:t xml:space="preserve"> </w:t>
      </w:r>
      <w:r w:rsidR="00301F3F">
        <w:rPr>
          <w:sz w:val="24"/>
          <w:szCs w:val="24"/>
        </w:rPr>
        <w:t xml:space="preserve">the </w:t>
      </w:r>
      <w:r w:rsidR="00301F3F" w:rsidRPr="00301F3F">
        <w:rPr>
          <w:sz w:val="24"/>
          <w:szCs w:val="24"/>
        </w:rPr>
        <w:t xml:space="preserve">rising aging population, </w:t>
      </w:r>
      <w:r w:rsidR="00301F3F">
        <w:rPr>
          <w:sz w:val="24"/>
          <w:szCs w:val="24"/>
        </w:rPr>
        <w:t xml:space="preserve">the lack of short-term rehabilitation, </w:t>
      </w:r>
      <w:r w:rsidRPr="00F64F74">
        <w:rPr>
          <w:sz w:val="24"/>
          <w:szCs w:val="24"/>
        </w:rPr>
        <w:t xml:space="preserve">and </w:t>
      </w:r>
      <w:r w:rsidR="009140FA">
        <w:rPr>
          <w:sz w:val="24"/>
          <w:szCs w:val="24"/>
        </w:rPr>
        <w:t xml:space="preserve">the effects of the </w:t>
      </w:r>
      <w:r w:rsidRPr="00F64F74">
        <w:rPr>
          <w:sz w:val="24"/>
          <w:szCs w:val="24"/>
        </w:rPr>
        <w:t xml:space="preserve">high cost of living on workforce availability. The Proposed Project </w:t>
      </w:r>
      <w:r w:rsidR="007866AD">
        <w:rPr>
          <w:sz w:val="24"/>
          <w:szCs w:val="24"/>
        </w:rPr>
        <w:t xml:space="preserve">is </w:t>
      </w:r>
      <w:r w:rsidRPr="00F64F74">
        <w:rPr>
          <w:sz w:val="24"/>
          <w:szCs w:val="24"/>
        </w:rPr>
        <w:t xml:space="preserve">designed to </w:t>
      </w:r>
      <w:r w:rsidR="009140FA">
        <w:rPr>
          <w:sz w:val="24"/>
          <w:szCs w:val="24"/>
        </w:rPr>
        <w:t xml:space="preserve">include </w:t>
      </w:r>
      <w:r w:rsidRPr="00F64F74">
        <w:rPr>
          <w:sz w:val="24"/>
          <w:szCs w:val="24"/>
        </w:rPr>
        <w:t xml:space="preserve">patient-centered short-term </w:t>
      </w:r>
      <w:r w:rsidR="008D3B37" w:rsidRPr="00F64F74">
        <w:rPr>
          <w:sz w:val="24"/>
          <w:szCs w:val="24"/>
        </w:rPr>
        <w:t>rehabilitation,</w:t>
      </w:r>
      <w:r w:rsidRPr="00F64F74">
        <w:rPr>
          <w:sz w:val="24"/>
          <w:szCs w:val="24"/>
        </w:rPr>
        <w:t xml:space="preserve"> which is currently unavailable on the Island</w:t>
      </w:r>
      <w:r w:rsidR="009140FA">
        <w:rPr>
          <w:sz w:val="24"/>
          <w:szCs w:val="24"/>
        </w:rPr>
        <w:t>,</w:t>
      </w:r>
      <w:r w:rsidRPr="00F64F74">
        <w:rPr>
          <w:sz w:val="24"/>
          <w:szCs w:val="24"/>
        </w:rPr>
        <w:t xml:space="preserve"> and improved long-term care services for residents of Martha’s Vineyard</w:t>
      </w:r>
      <w:r w:rsidR="001F1720">
        <w:rPr>
          <w:sz w:val="24"/>
          <w:szCs w:val="24"/>
        </w:rPr>
        <w:t>, while also improving staff satisfaction that it anticipates will improve retention as well.</w:t>
      </w:r>
      <w:r w:rsidRPr="00F64F74">
        <w:rPr>
          <w:sz w:val="24"/>
          <w:szCs w:val="24"/>
        </w:rPr>
        <w:t xml:space="preserve"> </w:t>
      </w:r>
    </w:p>
    <w:p w14:paraId="64A335CB" w14:textId="62E27091" w:rsidR="009140FA" w:rsidRPr="009140FA" w:rsidRDefault="006E4F65" w:rsidP="006516E1">
      <w:pPr>
        <w:spacing w:line="240" w:lineRule="auto"/>
        <w:rPr>
          <w:sz w:val="24"/>
          <w:szCs w:val="24"/>
        </w:rPr>
      </w:pPr>
      <w:r w:rsidRPr="695818A5">
        <w:rPr>
          <w:sz w:val="24"/>
          <w:szCs w:val="24"/>
        </w:rPr>
        <w:t>T</w:t>
      </w:r>
      <w:r w:rsidR="001004AC" w:rsidRPr="695818A5">
        <w:rPr>
          <w:sz w:val="24"/>
          <w:szCs w:val="24"/>
        </w:rPr>
        <w:t xml:space="preserve">he Applicant </w:t>
      </w:r>
      <w:r w:rsidRPr="695818A5">
        <w:rPr>
          <w:sz w:val="24"/>
          <w:szCs w:val="24"/>
        </w:rPr>
        <w:t xml:space="preserve">additionally </w:t>
      </w:r>
      <w:r w:rsidR="001004AC" w:rsidRPr="695818A5">
        <w:rPr>
          <w:sz w:val="24"/>
          <w:szCs w:val="24"/>
        </w:rPr>
        <w:t xml:space="preserve">states </w:t>
      </w:r>
      <w:r w:rsidR="00885227" w:rsidRPr="695818A5">
        <w:rPr>
          <w:sz w:val="24"/>
          <w:szCs w:val="24"/>
        </w:rPr>
        <w:t xml:space="preserve">it </w:t>
      </w:r>
      <w:r w:rsidR="00CA37B0" w:rsidRPr="695818A5">
        <w:rPr>
          <w:sz w:val="24"/>
          <w:szCs w:val="24"/>
        </w:rPr>
        <w:t>recogni</w:t>
      </w:r>
      <w:r w:rsidR="00885227" w:rsidRPr="695818A5">
        <w:rPr>
          <w:sz w:val="24"/>
          <w:szCs w:val="24"/>
        </w:rPr>
        <w:t xml:space="preserve">zes </w:t>
      </w:r>
      <w:r w:rsidR="00CA37B0" w:rsidRPr="695818A5">
        <w:rPr>
          <w:sz w:val="24"/>
          <w:szCs w:val="24"/>
        </w:rPr>
        <w:t>the need for a</w:t>
      </w:r>
      <w:r w:rsidR="00885227" w:rsidRPr="695818A5">
        <w:rPr>
          <w:sz w:val="24"/>
          <w:szCs w:val="24"/>
        </w:rPr>
        <w:t xml:space="preserve">n experienced, </w:t>
      </w:r>
      <w:r w:rsidR="00CA37B0" w:rsidRPr="695818A5">
        <w:rPr>
          <w:sz w:val="24"/>
          <w:szCs w:val="24"/>
        </w:rPr>
        <w:t>qualified senior care organization to operate the facility</w:t>
      </w:r>
      <w:r w:rsidR="00885227" w:rsidRPr="695818A5">
        <w:rPr>
          <w:sz w:val="24"/>
          <w:szCs w:val="24"/>
        </w:rPr>
        <w:t xml:space="preserve"> and that it</w:t>
      </w:r>
      <w:r w:rsidR="00CA37B0" w:rsidRPr="695818A5">
        <w:rPr>
          <w:sz w:val="24"/>
          <w:szCs w:val="24"/>
        </w:rPr>
        <w:t xml:space="preserve"> is currently in discussions with Hebrew SeniorLife regarding a management agreement for the future facility.</w:t>
      </w:r>
      <w:r w:rsidR="00BE3516" w:rsidRPr="695818A5">
        <w:rPr>
          <w:sz w:val="24"/>
          <w:szCs w:val="24"/>
        </w:rPr>
        <w:t xml:space="preserve"> </w:t>
      </w:r>
    </w:p>
    <w:p w14:paraId="227EE5E7" w14:textId="3FBDDB04" w:rsidR="00BF74A9" w:rsidRPr="009140FA" w:rsidRDefault="00BF74A9" w:rsidP="00BF74A9">
      <w:pPr>
        <w:rPr>
          <w:sz w:val="24"/>
          <w:szCs w:val="24"/>
        </w:rPr>
      </w:pPr>
      <w:r w:rsidRPr="009140FA">
        <w:rPr>
          <w:sz w:val="24"/>
          <w:szCs w:val="24"/>
        </w:rPr>
        <w:t xml:space="preserve">Staff finds that the Applicant has shown sufficient need for the </w:t>
      </w:r>
      <w:r w:rsidR="003E1DA8">
        <w:rPr>
          <w:sz w:val="24"/>
          <w:szCs w:val="24"/>
        </w:rPr>
        <w:t xml:space="preserve">replacement </w:t>
      </w:r>
      <w:r w:rsidR="003E1DA8" w:rsidRPr="009140FA">
        <w:rPr>
          <w:sz w:val="24"/>
          <w:szCs w:val="24"/>
        </w:rPr>
        <w:t>Proposed Project</w:t>
      </w:r>
      <w:r w:rsidR="00A923F8">
        <w:rPr>
          <w:sz w:val="24"/>
          <w:szCs w:val="24"/>
        </w:rPr>
        <w:t xml:space="preserve"> that will follow an in</w:t>
      </w:r>
      <w:r w:rsidR="00D72246">
        <w:rPr>
          <w:sz w:val="24"/>
          <w:szCs w:val="24"/>
        </w:rPr>
        <w:t>novative Model of</w:t>
      </w:r>
      <w:r w:rsidR="00B3789B">
        <w:rPr>
          <w:sz w:val="24"/>
          <w:szCs w:val="24"/>
        </w:rPr>
        <w:t xml:space="preserve"> long-term</w:t>
      </w:r>
      <w:r w:rsidR="00D72246">
        <w:rPr>
          <w:sz w:val="24"/>
          <w:szCs w:val="24"/>
        </w:rPr>
        <w:t xml:space="preserve"> living and care delivery. </w:t>
      </w:r>
      <w:r w:rsidRPr="009140FA">
        <w:rPr>
          <w:sz w:val="24"/>
          <w:szCs w:val="24"/>
        </w:rPr>
        <w:t xml:space="preserve"> As a result of </w:t>
      </w:r>
      <w:r w:rsidRPr="009140FA">
        <w:rPr>
          <w:sz w:val="24"/>
          <w:szCs w:val="24"/>
        </w:rPr>
        <w:lastRenderedPageBreak/>
        <w:t xml:space="preserve">information provided by the Applicant and additional analysis, staff finds that the Applicant has demonstrated that the Proposed Project has met Factor 1(a). </w:t>
      </w:r>
    </w:p>
    <w:p w14:paraId="4858219F" w14:textId="73288A4C" w:rsidR="00B876AB" w:rsidRPr="0075155F" w:rsidRDefault="00B876AB" w:rsidP="00B876AB">
      <w:pPr>
        <w:pStyle w:val="Heading2"/>
        <w:rPr>
          <w:rFonts w:asciiTheme="minorHAnsi" w:hAnsiTheme="minorHAnsi" w:cstheme="minorHAnsi"/>
          <w:color w:val="1F4E79" w:themeColor="accent5" w:themeShade="80"/>
        </w:rPr>
      </w:pPr>
      <w:bookmarkStart w:id="8" w:name="_Toc129354642"/>
      <w:bookmarkStart w:id="9" w:name="_Hlk123824749"/>
      <w:r w:rsidRPr="0075155F">
        <w:rPr>
          <w:rFonts w:asciiTheme="minorHAnsi" w:hAnsiTheme="minorHAnsi" w:cstheme="minorHAnsi"/>
          <w:color w:val="1F4E79" w:themeColor="accent5" w:themeShade="80"/>
        </w:rPr>
        <w:t xml:space="preserve">Factor 1b) Public </w:t>
      </w:r>
      <w:r w:rsidR="00C516EA" w:rsidRPr="0075155F">
        <w:rPr>
          <w:rFonts w:asciiTheme="minorHAnsi" w:hAnsiTheme="minorHAnsi" w:cstheme="minorHAnsi"/>
          <w:color w:val="1F4E79" w:themeColor="accent5" w:themeShade="80"/>
        </w:rPr>
        <w:t xml:space="preserve">Health Value: Improved Health Outcomes and Quality </w:t>
      </w:r>
      <w:r w:rsidR="000F3539">
        <w:rPr>
          <w:rFonts w:asciiTheme="minorHAnsi" w:hAnsiTheme="minorHAnsi" w:cstheme="minorHAnsi"/>
          <w:color w:val="1F4E79" w:themeColor="accent5" w:themeShade="80"/>
        </w:rPr>
        <w:t>o</w:t>
      </w:r>
      <w:r w:rsidR="00C516EA" w:rsidRPr="0075155F">
        <w:rPr>
          <w:rFonts w:asciiTheme="minorHAnsi" w:hAnsiTheme="minorHAnsi" w:cstheme="minorHAnsi"/>
          <w:color w:val="1F4E79" w:themeColor="accent5" w:themeShade="80"/>
        </w:rPr>
        <w:t xml:space="preserve">f Life; Assurances </w:t>
      </w:r>
      <w:r w:rsidR="00B44EAB" w:rsidRPr="0075155F">
        <w:rPr>
          <w:rFonts w:asciiTheme="minorHAnsi" w:hAnsiTheme="minorHAnsi" w:cstheme="minorHAnsi"/>
          <w:color w:val="1F4E79" w:themeColor="accent5" w:themeShade="80"/>
        </w:rPr>
        <w:t>of</w:t>
      </w:r>
      <w:r w:rsidR="00C516EA" w:rsidRPr="0075155F">
        <w:rPr>
          <w:rFonts w:asciiTheme="minorHAnsi" w:hAnsiTheme="minorHAnsi" w:cstheme="minorHAnsi"/>
          <w:color w:val="1F4E79" w:themeColor="accent5" w:themeShade="80"/>
        </w:rPr>
        <w:t xml:space="preserve"> Health Equity</w:t>
      </w:r>
      <w:bookmarkEnd w:id="8"/>
    </w:p>
    <w:p w14:paraId="780EAC05" w14:textId="064BFD2B" w:rsidR="00B876AB" w:rsidRDefault="00B876AB" w:rsidP="00C516EA">
      <w:pPr>
        <w:spacing w:before="240"/>
        <w:rPr>
          <w:sz w:val="24"/>
          <w:szCs w:val="24"/>
        </w:rPr>
      </w:pPr>
      <w:r w:rsidRPr="00B876AB">
        <w:rPr>
          <w:sz w:val="24"/>
          <w:szCs w:val="24"/>
        </w:rPr>
        <w:t xml:space="preserve">In this section </w:t>
      </w:r>
      <w:r>
        <w:rPr>
          <w:sz w:val="24"/>
          <w:szCs w:val="24"/>
        </w:rPr>
        <w:t xml:space="preserve">the Applicant must demonstrate that the proposed project adds </w:t>
      </w:r>
      <w:r w:rsidRPr="00B876AB">
        <w:rPr>
          <w:sz w:val="24"/>
          <w:szCs w:val="24"/>
        </w:rPr>
        <w:t xml:space="preserve">measurable public health value in terms of improved health outcomes and quality of life for the Applicant’s patient panel, while providing reasonable assurances of health equity. </w:t>
      </w:r>
    </w:p>
    <w:p w14:paraId="2EB636F0" w14:textId="77777777" w:rsidR="00C516EA" w:rsidRPr="0075155F" w:rsidRDefault="00C516EA" w:rsidP="00C516EA">
      <w:pPr>
        <w:keepNext/>
        <w:keepLines/>
        <w:spacing w:before="40" w:after="0"/>
        <w:outlineLvl w:val="3"/>
        <w:rPr>
          <w:rFonts w:eastAsiaTheme="majorEastAsia" w:cstheme="minorHAnsi"/>
          <w:color w:val="2F5496" w:themeColor="accent1" w:themeShade="BF"/>
          <w:sz w:val="24"/>
          <w:szCs w:val="24"/>
        </w:rPr>
      </w:pPr>
      <w:r w:rsidRPr="0075155F">
        <w:rPr>
          <w:rFonts w:eastAsiaTheme="majorEastAsia" w:cstheme="minorHAnsi"/>
          <w:color w:val="2F5496" w:themeColor="accent1" w:themeShade="BF"/>
          <w:sz w:val="24"/>
          <w:szCs w:val="24"/>
        </w:rPr>
        <w:t>Improved Health Outcomes and Quality of Life</w:t>
      </w:r>
    </w:p>
    <w:p w14:paraId="1F666823" w14:textId="77777777" w:rsidR="00C516EA" w:rsidRDefault="00C516EA" w:rsidP="00C516EA">
      <w:pPr>
        <w:spacing w:before="240" w:line="240" w:lineRule="auto"/>
        <w:rPr>
          <w:rFonts w:cstheme="minorHAnsi"/>
          <w:sz w:val="24"/>
          <w:szCs w:val="24"/>
        </w:rPr>
      </w:pPr>
      <w:r w:rsidRPr="008D5203">
        <w:rPr>
          <w:rFonts w:cstheme="minorHAnsi"/>
          <w:sz w:val="24"/>
          <w:szCs w:val="24"/>
        </w:rPr>
        <w:t>The Applicant anticipates that a replacement facility operated under the Green House model will result in improved health outcomes, quality of life, and satisfaction among residents, family, and staff.</w:t>
      </w:r>
      <w:r>
        <w:rPr>
          <w:rFonts w:cstheme="minorHAnsi"/>
          <w:sz w:val="24"/>
          <w:szCs w:val="24"/>
        </w:rPr>
        <w:t xml:space="preserve"> </w:t>
      </w:r>
    </w:p>
    <w:p w14:paraId="36B5BD1D" w14:textId="77777777" w:rsidR="00C516EA" w:rsidRPr="000A18C7" w:rsidRDefault="00C516EA" w:rsidP="00C516EA">
      <w:pPr>
        <w:spacing w:before="240" w:line="240" w:lineRule="auto"/>
        <w:rPr>
          <w:rFonts w:cstheme="minorHAnsi"/>
          <w:i/>
          <w:iCs/>
          <w:sz w:val="24"/>
          <w:szCs w:val="24"/>
        </w:rPr>
      </w:pPr>
      <w:r w:rsidRPr="000A18C7">
        <w:rPr>
          <w:rFonts w:cstheme="minorHAnsi"/>
          <w:i/>
          <w:iCs/>
          <w:sz w:val="24"/>
          <w:szCs w:val="24"/>
        </w:rPr>
        <w:t xml:space="preserve">Overall </w:t>
      </w:r>
      <w:r>
        <w:rPr>
          <w:rFonts w:cstheme="minorHAnsi"/>
          <w:i/>
          <w:iCs/>
          <w:sz w:val="24"/>
          <w:szCs w:val="24"/>
        </w:rPr>
        <w:t xml:space="preserve">Better </w:t>
      </w:r>
      <w:r w:rsidRPr="000A18C7">
        <w:rPr>
          <w:rFonts w:cstheme="minorHAnsi"/>
          <w:i/>
          <w:iCs/>
          <w:sz w:val="24"/>
          <w:szCs w:val="24"/>
        </w:rPr>
        <w:t xml:space="preserve">Health Outcomes and </w:t>
      </w:r>
      <w:r>
        <w:rPr>
          <w:rFonts w:cstheme="minorHAnsi"/>
          <w:i/>
          <w:iCs/>
          <w:sz w:val="24"/>
          <w:szCs w:val="24"/>
        </w:rPr>
        <w:t xml:space="preserve">Reduced </w:t>
      </w:r>
      <w:r w:rsidRPr="000A18C7">
        <w:rPr>
          <w:rFonts w:cstheme="minorHAnsi"/>
          <w:i/>
          <w:iCs/>
          <w:sz w:val="24"/>
          <w:szCs w:val="24"/>
        </w:rPr>
        <w:t>Hospital</w:t>
      </w:r>
      <w:r>
        <w:rPr>
          <w:rFonts w:cstheme="minorHAnsi"/>
          <w:i/>
          <w:iCs/>
          <w:sz w:val="24"/>
          <w:szCs w:val="24"/>
        </w:rPr>
        <w:t xml:space="preserve"> </w:t>
      </w:r>
      <w:r w:rsidRPr="000A18C7">
        <w:rPr>
          <w:rFonts w:cstheme="minorHAnsi"/>
          <w:i/>
          <w:iCs/>
          <w:sz w:val="24"/>
          <w:szCs w:val="24"/>
        </w:rPr>
        <w:t>Readmissions</w:t>
      </w:r>
    </w:p>
    <w:p w14:paraId="7524D66D" w14:textId="05228BDC" w:rsidR="00C516EA" w:rsidRPr="000A18C7" w:rsidRDefault="00C516EA" w:rsidP="00C516EA">
      <w:pPr>
        <w:spacing w:before="240" w:line="240" w:lineRule="auto"/>
        <w:rPr>
          <w:rFonts w:cstheme="minorHAnsi"/>
          <w:sz w:val="24"/>
          <w:szCs w:val="24"/>
        </w:rPr>
      </w:pPr>
      <w:r>
        <w:rPr>
          <w:rFonts w:cstheme="minorHAnsi"/>
          <w:sz w:val="24"/>
          <w:szCs w:val="24"/>
        </w:rPr>
        <w:t>The Applicant cites studies noting that r</w:t>
      </w:r>
      <w:r w:rsidRPr="000A18C7">
        <w:rPr>
          <w:rFonts w:cstheme="minorHAnsi"/>
          <w:sz w:val="24"/>
          <w:szCs w:val="24"/>
        </w:rPr>
        <w:t xml:space="preserve">esidents of Green House facilities tend to experience better health outcomes. </w:t>
      </w:r>
      <w:r>
        <w:rPr>
          <w:rFonts w:cstheme="minorHAnsi"/>
          <w:sz w:val="24"/>
          <w:szCs w:val="24"/>
        </w:rPr>
        <w:t xml:space="preserve">One </w:t>
      </w:r>
      <w:r w:rsidRPr="000A18C7">
        <w:rPr>
          <w:rFonts w:cstheme="minorHAnsi"/>
          <w:sz w:val="24"/>
          <w:szCs w:val="24"/>
        </w:rPr>
        <w:t xml:space="preserve">study </w:t>
      </w:r>
      <w:r>
        <w:rPr>
          <w:rFonts w:cstheme="minorHAnsi"/>
          <w:sz w:val="24"/>
          <w:szCs w:val="24"/>
        </w:rPr>
        <w:t xml:space="preserve">of a facility </w:t>
      </w:r>
      <w:r w:rsidRPr="000A18C7">
        <w:rPr>
          <w:rFonts w:cstheme="minorHAnsi"/>
          <w:sz w:val="24"/>
          <w:szCs w:val="24"/>
        </w:rPr>
        <w:t xml:space="preserve">that transitioned from traditional nursing homes </w:t>
      </w:r>
      <w:r>
        <w:rPr>
          <w:rFonts w:cstheme="minorHAnsi"/>
          <w:sz w:val="24"/>
          <w:szCs w:val="24"/>
        </w:rPr>
        <w:t xml:space="preserve">to the Model </w:t>
      </w:r>
      <w:r w:rsidRPr="000A18C7">
        <w:rPr>
          <w:rFonts w:cstheme="minorHAnsi"/>
          <w:sz w:val="24"/>
          <w:szCs w:val="24"/>
        </w:rPr>
        <w:t>found that overall hospitalizations declined by 1.3%</w:t>
      </w:r>
      <w:bookmarkStart w:id="10" w:name="_Ref71558212"/>
      <w:r>
        <w:rPr>
          <w:rFonts w:cstheme="minorHAnsi"/>
          <w:sz w:val="24"/>
          <w:szCs w:val="24"/>
        </w:rPr>
        <w:t>.</w:t>
      </w:r>
      <w:r w:rsidRPr="000A18C7">
        <w:rPr>
          <w:rFonts w:cstheme="minorHAnsi"/>
          <w:sz w:val="24"/>
          <w:szCs w:val="24"/>
          <w:vertAlign w:val="superscript"/>
        </w:rPr>
        <w:endnoteReference w:id="10"/>
      </w:r>
      <w:bookmarkEnd w:id="10"/>
      <w:r>
        <w:rPr>
          <w:rFonts w:cstheme="minorHAnsi"/>
          <w:sz w:val="24"/>
          <w:szCs w:val="24"/>
        </w:rPr>
        <w:t xml:space="preserve"> O</w:t>
      </w:r>
      <w:r w:rsidRPr="000A18C7">
        <w:rPr>
          <w:rFonts w:cstheme="minorHAnsi"/>
          <w:sz w:val="24"/>
          <w:szCs w:val="24"/>
        </w:rPr>
        <w:t>utcome</w:t>
      </w:r>
      <w:r>
        <w:rPr>
          <w:rFonts w:cstheme="minorHAnsi"/>
          <w:sz w:val="24"/>
          <w:szCs w:val="24"/>
        </w:rPr>
        <w:t>s</w:t>
      </w:r>
      <w:r w:rsidRPr="000A18C7">
        <w:rPr>
          <w:rFonts w:cstheme="minorHAnsi"/>
          <w:sz w:val="24"/>
          <w:szCs w:val="24"/>
        </w:rPr>
        <w:t xml:space="preserve"> improv</w:t>
      </w:r>
      <w:r>
        <w:rPr>
          <w:rFonts w:cstheme="minorHAnsi"/>
          <w:sz w:val="24"/>
          <w:szCs w:val="24"/>
        </w:rPr>
        <w:t>ed</w:t>
      </w:r>
      <w:r w:rsidRPr="000A18C7">
        <w:rPr>
          <w:rFonts w:cstheme="minorHAnsi"/>
          <w:sz w:val="24"/>
          <w:szCs w:val="24"/>
        </w:rPr>
        <w:t xml:space="preserve"> across all Minimum Data Set (MDS) Quality Metrics</w:t>
      </w:r>
      <w:r>
        <w:rPr>
          <w:rStyle w:val="FootnoteReference"/>
          <w:rFonts w:cstheme="minorHAnsi"/>
          <w:sz w:val="24"/>
          <w:szCs w:val="24"/>
        </w:rPr>
        <w:footnoteReference w:id="18"/>
      </w:r>
      <w:r w:rsidRPr="000A18C7">
        <w:rPr>
          <w:rFonts w:cstheme="minorHAnsi"/>
          <w:sz w:val="24"/>
          <w:szCs w:val="24"/>
        </w:rPr>
        <w:t xml:space="preserve"> in Green House </w:t>
      </w:r>
      <w:r>
        <w:rPr>
          <w:rFonts w:cstheme="minorHAnsi"/>
          <w:sz w:val="24"/>
          <w:szCs w:val="24"/>
        </w:rPr>
        <w:t xml:space="preserve">facilities </w:t>
      </w:r>
      <w:r w:rsidRPr="000A18C7">
        <w:rPr>
          <w:rFonts w:cstheme="minorHAnsi"/>
          <w:sz w:val="24"/>
          <w:szCs w:val="24"/>
        </w:rPr>
        <w:t>relative to comparable traditional nursing home</w:t>
      </w:r>
      <w:r>
        <w:rPr>
          <w:rFonts w:cstheme="minorHAnsi"/>
          <w:sz w:val="24"/>
          <w:szCs w:val="24"/>
        </w:rPr>
        <w:t>s</w:t>
      </w:r>
      <w:r w:rsidRPr="000A18C7">
        <w:rPr>
          <w:rFonts w:cstheme="minorHAnsi"/>
          <w:sz w:val="24"/>
          <w:szCs w:val="24"/>
          <w:vertAlign w:val="superscript"/>
        </w:rPr>
        <w:endnoteReference w:id="11"/>
      </w:r>
      <w:r w:rsidRPr="000A18C7">
        <w:rPr>
          <w:rFonts w:cstheme="minorHAnsi"/>
          <w:sz w:val="24"/>
          <w:szCs w:val="24"/>
        </w:rPr>
        <w:t xml:space="preserve"> </w:t>
      </w:r>
      <w:r>
        <w:rPr>
          <w:rFonts w:cstheme="minorHAnsi"/>
          <w:sz w:val="24"/>
          <w:szCs w:val="24"/>
        </w:rPr>
        <w:t xml:space="preserve">in a </w:t>
      </w:r>
      <w:r w:rsidRPr="000A18C7">
        <w:rPr>
          <w:rFonts w:cstheme="minorHAnsi"/>
          <w:sz w:val="24"/>
          <w:szCs w:val="24"/>
        </w:rPr>
        <w:t xml:space="preserve">study </w:t>
      </w:r>
      <w:r>
        <w:rPr>
          <w:rFonts w:cstheme="minorHAnsi"/>
          <w:sz w:val="24"/>
          <w:szCs w:val="24"/>
        </w:rPr>
        <w:t xml:space="preserve">that </w:t>
      </w:r>
      <w:r w:rsidRPr="000A18C7">
        <w:rPr>
          <w:rFonts w:cstheme="minorHAnsi"/>
          <w:sz w:val="24"/>
          <w:szCs w:val="24"/>
        </w:rPr>
        <w:t xml:space="preserve">found statistically significant declines in </w:t>
      </w:r>
      <w:r w:rsidR="001F1720">
        <w:rPr>
          <w:rFonts w:cstheme="minorHAnsi"/>
          <w:sz w:val="24"/>
          <w:szCs w:val="24"/>
        </w:rPr>
        <w:t xml:space="preserve">1) </w:t>
      </w:r>
      <w:r w:rsidRPr="000A18C7">
        <w:rPr>
          <w:rFonts w:cstheme="minorHAnsi"/>
          <w:sz w:val="24"/>
          <w:szCs w:val="24"/>
        </w:rPr>
        <w:t xml:space="preserve">bedfast residents, </w:t>
      </w:r>
      <w:r w:rsidR="001F1720">
        <w:rPr>
          <w:rFonts w:cstheme="minorHAnsi"/>
          <w:sz w:val="24"/>
          <w:szCs w:val="24"/>
        </w:rPr>
        <w:t xml:space="preserve">2) </w:t>
      </w:r>
      <w:r w:rsidRPr="000A18C7">
        <w:rPr>
          <w:rFonts w:cstheme="minorHAnsi"/>
          <w:sz w:val="24"/>
          <w:szCs w:val="24"/>
        </w:rPr>
        <w:t xml:space="preserve">catheterized residents, and </w:t>
      </w:r>
      <w:r w:rsidR="001F1720">
        <w:rPr>
          <w:rFonts w:cstheme="minorHAnsi"/>
          <w:sz w:val="24"/>
          <w:szCs w:val="24"/>
        </w:rPr>
        <w:t xml:space="preserve">3) </w:t>
      </w:r>
      <w:r w:rsidRPr="000A18C7">
        <w:rPr>
          <w:rFonts w:cstheme="minorHAnsi"/>
          <w:sz w:val="24"/>
          <w:szCs w:val="24"/>
        </w:rPr>
        <w:t>pressure ulcers</w:t>
      </w:r>
      <w:r w:rsidR="001F1720">
        <w:rPr>
          <w:rFonts w:cstheme="minorHAnsi"/>
          <w:sz w:val="24"/>
          <w:szCs w:val="24"/>
        </w:rPr>
        <w:t>.</w:t>
      </w:r>
      <w:r w:rsidRPr="000A18C7">
        <w:rPr>
          <w:rFonts w:cstheme="minorHAnsi"/>
          <w:sz w:val="24"/>
          <w:szCs w:val="24"/>
          <w:vertAlign w:val="superscript"/>
        </w:rPr>
        <w:endnoteReference w:id="12"/>
      </w:r>
      <w:r w:rsidRPr="000A18C7">
        <w:rPr>
          <w:rFonts w:cstheme="minorHAnsi"/>
          <w:sz w:val="24"/>
          <w:szCs w:val="24"/>
        </w:rPr>
        <w:t xml:space="preserve">  Studies have also found the Green House model reduces 30-day readmissions and avoidable hospitalizations by approximately 30%.</w:t>
      </w:r>
      <w:bookmarkStart w:id="11" w:name="_Ref71554193"/>
      <w:r w:rsidRPr="000A18C7">
        <w:rPr>
          <w:rFonts w:cstheme="minorHAnsi"/>
          <w:sz w:val="24"/>
          <w:szCs w:val="24"/>
          <w:vertAlign w:val="superscript"/>
        </w:rPr>
        <w:endnoteReference w:id="13"/>
      </w:r>
      <w:bookmarkEnd w:id="11"/>
      <w:r w:rsidRPr="000A18C7">
        <w:rPr>
          <w:rFonts w:cstheme="minorHAnsi"/>
          <w:sz w:val="24"/>
          <w:szCs w:val="24"/>
        </w:rPr>
        <w:t xml:space="preserve"> </w:t>
      </w:r>
    </w:p>
    <w:p w14:paraId="21430C16" w14:textId="0CA16DB0" w:rsidR="00C516EA" w:rsidRPr="008D5203" w:rsidRDefault="00C516EA" w:rsidP="695818A5">
      <w:pPr>
        <w:spacing w:before="240" w:line="240" w:lineRule="auto"/>
        <w:rPr>
          <w:sz w:val="24"/>
          <w:szCs w:val="24"/>
        </w:rPr>
      </w:pPr>
      <w:r w:rsidRPr="695818A5">
        <w:rPr>
          <w:sz w:val="24"/>
          <w:szCs w:val="24"/>
        </w:rPr>
        <w:t xml:space="preserve">Evidence from other studies </w:t>
      </w:r>
      <w:r w:rsidR="00C41C5B" w:rsidRPr="695818A5">
        <w:rPr>
          <w:sz w:val="24"/>
          <w:szCs w:val="24"/>
        </w:rPr>
        <w:t xml:space="preserve">suggests </w:t>
      </w:r>
      <w:r w:rsidRPr="695818A5">
        <w:rPr>
          <w:sz w:val="24"/>
          <w:szCs w:val="24"/>
        </w:rPr>
        <w:t xml:space="preserve">better quality of care is a result of the Model’s consistent assignment of </w:t>
      </w:r>
      <w:r w:rsidR="001F1720" w:rsidRPr="695818A5">
        <w:rPr>
          <w:sz w:val="24"/>
          <w:szCs w:val="24"/>
        </w:rPr>
        <w:t xml:space="preserve">dedicated </w:t>
      </w:r>
      <w:r w:rsidRPr="695818A5">
        <w:rPr>
          <w:sz w:val="24"/>
          <w:szCs w:val="24"/>
        </w:rPr>
        <w:t xml:space="preserve">direct care staff as well as the built environment, consisting of a central living area that results in familiarity among the residents and staff. </w:t>
      </w:r>
      <w:r w:rsidR="001F1720" w:rsidRPr="695818A5">
        <w:rPr>
          <w:sz w:val="24"/>
          <w:szCs w:val="24"/>
        </w:rPr>
        <w:t>As a result, s</w:t>
      </w:r>
      <w:r w:rsidRPr="695818A5">
        <w:rPr>
          <w:sz w:val="24"/>
          <w:szCs w:val="24"/>
        </w:rPr>
        <w:t xml:space="preserve">taff observe and interact with the same residents throughout the day and across activities, such as meals, social activities, and clinical care, </w:t>
      </w:r>
      <w:r w:rsidR="001F1720" w:rsidRPr="695818A5">
        <w:rPr>
          <w:sz w:val="24"/>
          <w:szCs w:val="24"/>
        </w:rPr>
        <w:t xml:space="preserve">which affords staff </w:t>
      </w:r>
      <w:r w:rsidRPr="695818A5">
        <w:rPr>
          <w:sz w:val="24"/>
          <w:szCs w:val="24"/>
        </w:rPr>
        <w:t xml:space="preserve">more opportunities to recognize changes in residents and communicate </w:t>
      </w:r>
      <w:r w:rsidR="001F1720" w:rsidRPr="695818A5">
        <w:rPr>
          <w:sz w:val="24"/>
          <w:szCs w:val="24"/>
        </w:rPr>
        <w:t xml:space="preserve">with </w:t>
      </w:r>
      <w:r w:rsidRPr="695818A5">
        <w:rPr>
          <w:sz w:val="24"/>
          <w:szCs w:val="24"/>
        </w:rPr>
        <w:t xml:space="preserve">the clinical team </w:t>
      </w:r>
      <w:r w:rsidR="001F1720" w:rsidRPr="695818A5">
        <w:rPr>
          <w:sz w:val="24"/>
          <w:szCs w:val="24"/>
        </w:rPr>
        <w:t xml:space="preserve">the need </w:t>
      </w:r>
      <w:r w:rsidRPr="695818A5">
        <w:rPr>
          <w:sz w:val="24"/>
          <w:szCs w:val="24"/>
        </w:rPr>
        <w:t>address changes in condition.</w:t>
      </w:r>
      <w:r w:rsidRPr="695818A5">
        <w:rPr>
          <w:sz w:val="24"/>
          <w:szCs w:val="24"/>
          <w:vertAlign w:val="superscript"/>
        </w:rPr>
        <w:endnoteReference w:id="14"/>
      </w:r>
      <w:r w:rsidRPr="695818A5">
        <w:rPr>
          <w:sz w:val="24"/>
          <w:szCs w:val="24"/>
        </w:rPr>
        <w:t xml:space="preserve"> This may </w:t>
      </w:r>
      <w:r w:rsidR="007563DC" w:rsidRPr="695818A5">
        <w:rPr>
          <w:sz w:val="24"/>
          <w:szCs w:val="24"/>
        </w:rPr>
        <w:t xml:space="preserve">facilitate </w:t>
      </w:r>
      <w:r w:rsidRPr="695818A5">
        <w:rPr>
          <w:sz w:val="24"/>
          <w:szCs w:val="24"/>
        </w:rPr>
        <w:t xml:space="preserve">early identification of changes in resident condition and early interventions, </w:t>
      </w:r>
      <w:r w:rsidR="007563DC" w:rsidRPr="695818A5">
        <w:rPr>
          <w:sz w:val="24"/>
          <w:szCs w:val="24"/>
        </w:rPr>
        <w:t xml:space="preserve">and lead to </w:t>
      </w:r>
      <w:r w:rsidRPr="695818A5">
        <w:rPr>
          <w:sz w:val="24"/>
          <w:szCs w:val="24"/>
        </w:rPr>
        <w:t>better overall health outcomes.</w:t>
      </w:r>
      <w:r w:rsidRPr="695818A5">
        <w:rPr>
          <w:sz w:val="24"/>
          <w:szCs w:val="24"/>
          <w:vertAlign w:val="superscript"/>
        </w:rPr>
        <w:endnoteReference w:id="15"/>
      </w:r>
      <w:r w:rsidRPr="695818A5">
        <w:rPr>
          <w:sz w:val="24"/>
          <w:szCs w:val="24"/>
        </w:rPr>
        <w:t xml:space="preserve"> </w:t>
      </w:r>
    </w:p>
    <w:p w14:paraId="24335E78" w14:textId="77777777" w:rsidR="00C516EA" w:rsidRPr="00DC0EF1" w:rsidRDefault="00C516EA" w:rsidP="00C516EA">
      <w:pPr>
        <w:spacing w:line="240" w:lineRule="auto"/>
        <w:rPr>
          <w:i/>
          <w:iCs/>
          <w:sz w:val="24"/>
          <w:szCs w:val="24"/>
        </w:rPr>
      </w:pPr>
      <w:r w:rsidRPr="00DC0EF1">
        <w:rPr>
          <w:i/>
          <w:iCs/>
          <w:sz w:val="24"/>
          <w:szCs w:val="24"/>
        </w:rPr>
        <w:t xml:space="preserve">Improved Infection Prevention and Control </w:t>
      </w:r>
    </w:p>
    <w:p w14:paraId="61BBD717" w14:textId="3372691B" w:rsidR="00C516EA" w:rsidRPr="00306435" w:rsidRDefault="00160B82" w:rsidP="00C516EA">
      <w:pPr>
        <w:spacing w:line="240" w:lineRule="auto"/>
        <w:rPr>
          <w:sz w:val="24"/>
          <w:szCs w:val="24"/>
        </w:rPr>
      </w:pPr>
      <w:r>
        <w:rPr>
          <w:sz w:val="24"/>
          <w:szCs w:val="24"/>
        </w:rPr>
        <w:t>The</w:t>
      </w:r>
      <w:r w:rsidR="00C516EA" w:rsidRPr="00306435">
        <w:rPr>
          <w:sz w:val="24"/>
          <w:szCs w:val="24"/>
        </w:rPr>
        <w:t xml:space="preserve"> novel design and implementation of the Green House </w:t>
      </w:r>
      <w:r w:rsidR="007563DC">
        <w:rPr>
          <w:sz w:val="24"/>
          <w:szCs w:val="24"/>
        </w:rPr>
        <w:t>Model</w:t>
      </w:r>
      <w:r w:rsidR="00C516EA" w:rsidRPr="00306435">
        <w:rPr>
          <w:sz w:val="24"/>
          <w:szCs w:val="24"/>
        </w:rPr>
        <w:t xml:space="preserve"> has proven instrumental in </w:t>
      </w:r>
      <w:r w:rsidR="007563DC">
        <w:rPr>
          <w:sz w:val="24"/>
          <w:szCs w:val="24"/>
        </w:rPr>
        <w:t xml:space="preserve">during </w:t>
      </w:r>
      <w:r w:rsidR="00C516EA" w:rsidRPr="00306435">
        <w:rPr>
          <w:sz w:val="24"/>
          <w:szCs w:val="24"/>
        </w:rPr>
        <w:t>the COVID-19 pandemic</w:t>
      </w:r>
      <w:r>
        <w:rPr>
          <w:sz w:val="24"/>
          <w:szCs w:val="24"/>
        </w:rPr>
        <w:t>,</w:t>
      </w:r>
      <w:r w:rsidR="00C516EA" w:rsidRPr="00DC0EF1">
        <w:rPr>
          <w:sz w:val="24"/>
          <w:szCs w:val="24"/>
        </w:rPr>
        <w:t xml:space="preserve"> where</w:t>
      </w:r>
      <w:r w:rsidR="00C516EA" w:rsidRPr="00306435">
        <w:rPr>
          <w:sz w:val="24"/>
          <w:szCs w:val="24"/>
        </w:rPr>
        <w:t xml:space="preserve"> </w:t>
      </w:r>
      <w:r w:rsidR="00C516EA" w:rsidRPr="00DC0EF1">
        <w:rPr>
          <w:sz w:val="24"/>
          <w:szCs w:val="24"/>
        </w:rPr>
        <w:t>n</w:t>
      </w:r>
      <w:r w:rsidR="00C516EA" w:rsidRPr="00306435">
        <w:rPr>
          <w:sz w:val="24"/>
          <w:szCs w:val="24"/>
        </w:rPr>
        <w:t xml:space="preserve">ursing home residents </w:t>
      </w:r>
      <w:r w:rsidR="00C516EA" w:rsidRPr="00DC0EF1">
        <w:rPr>
          <w:sz w:val="24"/>
          <w:szCs w:val="24"/>
        </w:rPr>
        <w:t xml:space="preserve">have been </w:t>
      </w:r>
      <w:r w:rsidR="007563DC">
        <w:rPr>
          <w:sz w:val="24"/>
          <w:szCs w:val="24"/>
        </w:rPr>
        <w:t xml:space="preserve">more </w:t>
      </w:r>
      <w:r w:rsidR="00C516EA" w:rsidRPr="00306435">
        <w:rPr>
          <w:sz w:val="24"/>
          <w:szCs w:val="24"/>
        </w:rPr>
        <w:t>vulnerable to the virus due to their age and presence of chronic co-morbidities</w:t>
      </w:r>
      <w:r w:rsidR="00C516EA" w:rsidRPr="00DC0EF1">
        <w:rPr>
          <w:sz w:val="24"/>
          <w:szCs w:val="24"/>
        </w:rPr>
        <w:t xml:space="preserve">. </w:t>
      </w:r>
      <w:r w:rsidR="007563DC">
        <w:rPr>
          <w:sz w:val="24"/>
          <w:szCs w:val="24"/>
        </w:rPr>
        <w:t>I</w:t>
      </w:r>
      <w:r w:rsidR="00C516EA" w:rsidRPr="00306435">
        <w:rPr>
          <w:sz w:val="24"/>
          <w:szCs w:val="24"/>
        </w:rPr>
        <w:t xml:space="preserve">n Massachusetts, as of October 8, 2020, there were approximately 25,155 probable or confirmed COVID-19 cases </w:t>
      </w:r>
      <w:r w:rsidR="00C516EA" w:rsidRPr="00306435">
        <w:rPr>
          <w:sz w:val="24"/>
          <w:szCs w:val="24"/>
        </w:rPr>
        <w:lastRenderedPageBreak/>
        <w:t>among long-term care facility residents and health care workers.</w:t>
      </w:r>
      <w:r w:rsidR="007563DC">
        <w:rPr>
          <w:rStyle w:val="FootnoteReference"/>
          <w:sz w:val="24"/>
          <w:szCs w:val="24"/>
        </w:rPr>
        <w:footnoteReference w:id="19"/>
      </w:r>
      <w:r w:rsidR="007563DC">
        <w:rPr>
          <w:sz w:val="24"/>
          <w:szCs w:val="24"/>
          <w:vertAlign w:val="superscript"/>
        </w:rPr>
        <w:t xml:space="preserve">, </w:t>
      </w:r>
      <w:r w:rsidR="00C516EA" w:rsidRPr="00306435">
        <w:rPr>
          <w:sz w:val="24"/>
          <w:szCs w:val="24"/>
          <w:vertAlign w:val="superscript"/>
        </w:rPr>
        <w:endnoteReference w:id="16"/>
      </w:r>
      <w:r w:rsidR="00C516EA" w:rsidRPr="00306435">
        <w:rPr>
          <w:sz w:val="24"/>
          <w:szCs w:val="24"/>
        </w:rPr>
        <w:t xml:space="preserve"> Of the 9,350 total deaths from confirmed COVID-19 cases, 6,168 (66.0%) of those were reported among LTCFs.</w:t>
      </w:r>
      <w:bookmarkStart w:id="12" w:name="_Ref71559187"/>
      <w:r w:rsidR="00C516EA" w:rsidRPr="00306435">
        <w:rPr>
          <w:sz w:val="24"/>
          <w:szCs w:val="24"/>
          <w:vertAlign w:val="superscript"/>
        </w:rPr>
        <w:endnoteReference w:id="17"/>
      </w:r>
      <w:bookmarkEnd w:id="12"/>
      <w:r w:rsidR="00C516EA" w:rsidRPr="00306435">
        <w:rPr>
          <w:sz w:val="24"/>
          <w:szCs w:val="24"/>
        </w:rPr>
        <w:t xml:space="preserve"> </w:t>
      </w:r>
    </w:p>
    <w:p w14:paraId="7E3781B7" w14:textId="24786F53" w:rsidR="00C516EA" w:rsidRPr="00306435" w:rsidRDefault="00C516EA" w:rsidP="00C516EA">
      <w:pPr>
        <w:spacing w:line="240" w:lineRule="auto"/>
        <w:rPr>
          <w:sz w:val="24"/>
          <w:szCs w:val="24"/>
        </w:rPr>
      </w:pPr>
      <w:r w:rsidRPr="00306435">
        <w:rPr>
          <w:sz w:val="24"/>
          <w:szCs w:val="24"/>
        </w:rPr>
        <w:t>In the United States</w:t>
      </w:r>
      <w:r w:rsidR="007563DC">
        <w:rPr>
          <w:sz w:val="24"/>
          <w:szCs w:val="24"/>
        </w:rPr>
        <w:t>,</w:t>
      </w:r>
      <w:r w:rsidRPr="00306435">
        <w:rPr>
          <w:sz w:val="24"/>
          <w:szCs w:val="24"/>
        </w:rPr>
        <w:t xml:space="preserve"> as of July 26, 2020, there were 146 cases of COVID-19 per thousand residents in all certified skilled nursing homes, as compared to 32.5 confirmed COVID-19 cases per thousand residents in Green House homes</w:t>
      </w:r>
      <w:bookmarkStart w:id="13" w:name="_Ref71559240"/>
      <w:r w:rsidR="007563DC">
        <w:rPr>
          <w:sz w:val="24"/>
          <w:szCs w:val="24"/>
        </w:rPr>
        <w:t>,</w:t>
      </w:r>
      <w:r w:rsidRPr="00306435">
        <w:rPr>
          <w:sz w:val="24"/>
          <w:szCs w:val="24"/>
          <w:vertAlign w:val="superscript"/>
        </w:rPr>
        <w:endnoteReference w:id="18"/>
      </w:r>
      <w:bookmarkEnd w:id="13"/>
      <w:r w:rsidR="007563DC">
        <w:rPr>
          <w:sz w:val="24"/>
          <w:szCs w:val="24"/>
        </w:rPr>
        <w:t xml:space="preserve"> and</w:t>
      </w:r>
      <w:r w:rsidRPr="00306435">
        <w:rPr>
          <w:sz w:val="24"/>
          <w:szCs w:val="24"/>
        </w:rPr>
        <w:t xml:space="preserve"> 95% of Green House homes were COVID-19-free.</w:t>
      </w:r>
      <w:r w:rsidRPr="00306435">
        <w:rPr>
          <w:sz w:val="24"/>
          <w:szCs w:val="24"/>
          <w:vertAlign w:val="superscript"/>
        </w:rPr>
        <w:endnoteReference w:id="19"/>
      </w:r>
      <w:r w:rsidRPr="00306435">
        <w:rPr>
          <w:sz w:val="24"/>
          <w:szCs w:val="24"/>
        </w:rPr>
        <w:t xml:space="preserve"> </w:t>
      </w:r>
      <w:r w:rsidR="007563DC">
        <w:rPr>
          <w:sz w:val="24"/>
          <w:szCs w:val="24"/>
        </w:rPr>
        <w:t>A</w:t>
      </w:r>
      <w:r w:rsidRPr="00306435">
        <w:rPr>
          <w:sz w:val="24"/>
          <w:szCs w:val="24"/>
        </w:rPr>
        <w:t xml:space="preserve">s of June 3, 2020, </w:t>
      </w:r>
      <w:r w:rsidR="007563DC">
        <w:rPr>
          <w:sz w:val="24"/>
          <w:szCs w:val="24"/>
        </w:rPr>
        <w:t>p</w:t>
      </w:r>
      <w:r w:rsidR="007563DC" w:rsidRPr="00306435">
        <w:rPr>
          <w:sz w:val="24"/>
          <w:szCs w:val="24"/>
        </w:rPr>
        <w:t xml:space="preserve">reliminary data </w:t>
      </w:r>
      <w:r w:rsidRPr="00306435">
        <w:rPr>
          <w:sz w:val="24"/>
          <w:szCs w:val="24"/>
        </w:rPr>
        <w:t>found that only 9 of 245 active Green House Project homes in the United States reported at least one positive case of COVID-19, with six deaths overall</w:t>
      </w:r>
      <w:bookmarkStart w:id="14" w:name="_Ref71559126"/>
      <w:r w:rsidRPr="00DC0EF1">
        <w:rPr>
          <w:sz w:val="24"/>
          <w:szCs w:val="24"/>
        </w:rPr>
        <w:t xml:space="preserve"> </w:t>
      </w:r>
      <w:r w:rsidRPr="00306435">
        <w:rPr>
          <w:sz w:val="24"/>
          <w:szCs w:val="24"/>
          <w:vertAlign w:val="superscript"/>
        </w:rPr>
        <w:endnoteReference w:id="20"/>
      </w:r>
      <w:bookmarkEnd w:id="14"/>
      <w:r w:rsidRPr="00306435">
        <w:rPr>
          <w:sz w:val="24"/>
          <w:szCs w:val="24"/>
        </w:rPr>
        <w:t xml:space="preserve"> </w:t>
      </w:r>
    </w:p>
    <w:p w14:paraId="32784D0E" w14:textId="77777777" w:rsidR="00C516EA" w:rsidRPr="00DC0EF1" w:rsidRDefault="00C516EA" w:rsidP="00C516EA">
      <w:pPr>
        <w:spacing w:line="240" w:lineRule="auto"/>
        <w:rPr>
          <w:sz w:val="24"/>
          <w:szCs w:val="24"/>
        </w:rPr>
      </w:pPr>
      <w:r w:rsidRPr="00DC0EF1">
        <w:rPr>
          <w:sz w:val="24"/>
          <w:szCs w:val="24"/>
        </w:rPr>
        <w:t>T</w:t>
      </w:r>
      <w:r w:rsidRPr="00306435">
        <w:rPr>
          <w:sz w:val="24"/>
          <w:szCs w:val="24"/>
        </w:rPr>
        <w:t xml:space="preserve">he “small house” design </w:t>
      </w:r>
      <w:r w:rsidRPr="00DC0EF1">
        <w:rPr>
          <w:sz w:val="24"/>
          <w:szCs w:val="24"/>
        </w:rPr>
        <w:t xml:space="preserve">of the Proposed Project with all single-bed rooms and private baths for residents </w:t>
      </w:r>
      <w:r w:rsidRPr="00306435">
        <w:rPr>
          <w:sz w:val="24"/>
          <w:szCs w:val="24"/>
        </w:rPr>
        <w:t xml:space="preserve">of Green Home facilities </w:t>
      </w:r>
      <w:r w:rsidRPr="00DC0EF1">
        <w:rPr>
          <w:sz w:val="24"/>
          <w:szCs w:val="24"/>
        </w:rPr>
        <w:t>makes them</w:t>
      </w:r>
      <w:r w:rsidRPr="00306435">
        <w:rPr>
          <w:sz w:val="24"/>
          <w:szCs w:val="24"/>
        </w:rPr>
        <w:t xml:space="preserve"> better equipped to withstand a pandemic such as COVID-19</w:t>
      </w:r>
      <w:r w:rsidRPr="00DC0EF1">
        <w:rPr>
          <w:sz w:val="24"/>
          <w:szCs w:val="24"/>
        </w:rPr>
        <w:t xml:space="preserve">, thereby contributing to a safe environment for the facility’s residents and supporting effective and appropriate infection prevention and control. </w:t>
      </w:r>
    </w:p>
    <w:p w14:paraId="4C30EA6D" w14:textId="77777777" w:rsidR="00C516EA" w:rsidRPr="00DF07C0" w:rsidRDefault="00C516EA" w:rsidP="00C516EA">
      <w:pPr>
        <w:spacing w:line="240" w:lineRule="auto"/>
        <w:rPr>
          <w:i/>
          <w:iCs/>
          <w:sz w:val="24"/>
          <w:szCs w:val="24"/>
        </w:rPr>
      </w:pPr>
      <w:r w:rsidRPr="001A4050">
        <w:rPr>
          <w:i/>
          <w:iCs/>
          <w:color w:val="2B579A"/>
          <w:sz w:val="24"/>
          <w:szCs w:val="24"/>
        </w:rPr>
        <w:t>Improved Activities of Daily Living (ADL) Due to Consistent Dedicated Staffing</w:t>
      </w:r>
      <w:r w:rsidRPr="00DF07C0">
        <w:rPr>
          <w:i/>
          <w:iCs/>
          <w:color w:val="2B579A"/>
          <w:sz w:val="24"/>
          <w:szCs w:val="24"/>
          <w:shd w:val="clear" w:color="auto" w:fill="E6E6E6"/>
        </w:rPr>
        <w:t xml:space="preserve"> </w:t>
      </w:r>
    </w:p>
    <w:p w14:paraId="0B9E375C" w14:textId="77777777" w:rsidR="00C516EA" w:rsidRDefault="00C516EA" w:rsidP="00C516EA">
      <w:pPr>
        <w:spacing w:line="240" w:lineRule="auto"/>
        <w:rPr>
          <w:sz w:val="24"/>
          <w:szCs w:val="24"/>
        </w:rPr>
      </w:pPr>
      <w:r w:rsidRPr="00473FEC">
        <w:rPr>
          <w:sz w:val="24"/>
          <w:szCs w:val="24"/>
        </w:rPr>
        <w:t>ADL function status is a common measure to assess the overall effects of care that nursing home residents receive and is a significant factor for an individual’s quality of life.</w:t>
      </w:r>
      <w:bookmarkStart w:id="15" w:name="_Ref71557591"/>
      <w:r w:rsidRPr="00473FEC">
        <w:rPr>
          <w:sz w:val="24"/>
          <w:szCs w:val="24"/>
          <w:vertAlign w:val="superscript"/>
        </w:rPr>
        <w:endnoteReference w:id="21"/>
      </w:r>
      <w:bookmarkEnd w:id="15"/>
      <w:r w:rsidRPr="00473FEC">
        <w:rPr>
          <w:sz w:val="24"/>
          <w:szCs w:val="24"/>
        </w:rPr>
        <w:t xml:space="preserve"> Residents of Green House facilities maintain self-care abilities longer than in traditional nursing home settings and experience lower rates of decline of ADLs.</w:t>
      </w:r>
      <w:bookmarkStart w:id="16" w:name="_Ref71557819"/>
      <w:r w:rsidRPr="00473FEC">
        <w:rPr>
          <w:sz w:val="24"/>
          <w:szCs w:val="24"/>
          <w:vertAlign w:val="superscript"/>
        </w:rPr>
        <w:endnoteReference w:id="22"/>
      </w:r>
      <w:bookmarkEnd w:id="16"/>
      <w:r w:rsidRPr="00473FEC">
        <w:rPr>
          <w:sz w:val="24"/>
          <w:szCs w:val="24"/>
        </w:rPr>
        <w:t xml:space="preserve"> This can be attributed to several aspects of the Green House model, including the use of highly trained and empowered nursing staff to provide individualized care, respecting each resident’s choices and encouraging resident independence.</w:t>
      </w:r>
      <w:r w:rsidRPr="00473FEC">
        <w:rPr>
          <w:sz w:val="24"/>
          <w:szCs w:val="24"/>
          <w:vertAlign w:val="superscript"/>
        </w:rPr>
        <w:endnoteReference w:id="23"/>
      </w:r>
      <w:r w:rsidRPr="00473FEC">
        <w:rPr>
          <w:sz w:val="24"/>
          <w:szCs w:val="24"/>
        </w:rPr>
        <w:t xml:space="preserve"> </w:t>
      </w:r>
    </w:p>
    <w:p w14:paraId="59D3BB2C" w14:textId="0859A56F" w:rsidR="00C516EA" w:rsidRPr="00473FEC" w:rsidRDefault="00C516EA" w:rsidP="00C516EA">
      <w:pPr>
        <w:spacing w:line="240" w:lineRule="auto"/>
        <w:rPr>
          <w:sz w:val="24"/>
          <w:szCs w:val="24"/>
        </w:rPr>
      </w:pPr>
      <w:r w:rsidRPr="00473FEC">
        <w:rPr>
          <w:sz w:val="24"/>
          <w:szCs w:val="24"/>
        </w:rPr>
        <w:t>In addition, the physical environment contributes to resident independence through single rooms and private bathrooms, encouraging self-care and physical functioning.</w:t>
      </w:r>
      <w:r w:rsidRPr="00473FEC">
        <w:rPr>
          <w:sz w:val="24"/>
          <w:szCs w:val="24"/>
          <w:vertAlign w:val="superscript"/>
        </w:rPr>
        <w:endnoteReference w:id="24"/>
      </w:r>
      <w:r w:rsidRPr="00473FEC">
        <w:rPr>
          <w:sz w:val="24"/>
          <w:szCs w:val="24"/>
        </w:rPr>
        <w:t xml:space="preserve"> The small-house environment encourages residents to independently interact with other residents and be involved in social activities, which is positively associated with longer survival.</w:t>
      </w:r>
      <w:bookmarkStart w:id="17" w:name="_Ref71557987"/>
      <w:r w:rsidRPr="00473FEC">
        <w:rPr>
          <w:sz w:val="24"/>
          <w:szCs w:val="24"/>
          <w:vertAlign w:val="superscript"/>
        </w:rPr>
        <w:endnoteReference w:id="25"/>
      </w:r>
      <w:bookmarkEnd w:id="17"/>
      <w:r w:rsidRPr="00473FEC">
        <w:rPr>
          <w:sz w:val="24"/>
          <w:szCs w:val="24"/>
        </w:rPr>
        <w:t xml:space="preserve"> </w:t>
      </w:r>
      <w:r w:rsidR="00C7394F">
        <w:rPr>
          <w:sz w:val="24"/>
          <w:szCs w:val="24"/>
        </w:rPr>
        <w:t>C</w:t>
      </w:r>
      <w:r w:rsidRPr="00473FEC">
        <w:rPr>
          <w:sz w:val="24"/>
          <w:szCs w:val="24"/>
        </w:rPr>
        <w:t>ommunal meals and resident involvement in small unit activities such as laundry, table set up and supervised cooking, may stimulate residents’ physical functioning and mobility within the small house unit.</w:t>
      </w:r>
      <w:r w:rsidRPr="00473FEC">
        <w:rPr>
          <w:sz w:val="24"/>
          <w:szCs w:val="24"/>
          <w:vertAlign w:val="superscript"/>
        </w:rPr>
        <w:endnoteReference w:id="26"/>
      </w:r>
      <w:r w:rsidRPr="00473FEC">
        <w:rPr>
          <w:sz w:val="24"/>
          <w:szCs w:val="24"/>
        </w:rPr>
        <w:t xml:space="preserve"> </w:t>
      </w:r>
    </w:p>
    <w:p w14:paraId="2AC072CF" w14:textId="77777777" w:rsidR="00C516EA" w:rsidRPr="0075155F" w:rsidRDefault="00C516EA" w:rsidP="00C516EA">
      <w:pPr>
        <w:spacing w:line="240" w:lineRule="auto"/>
        <w:rPr>
          <w:i/>
          <w:iCs/>
          <w:sz w:val="24"/>
          <w:szCs w:val="24"/>
        </w:rPr>
      </w:pPr>
      <w:r w:rsidRPr="0075155F">
        <w:rPr>
          <w:i/>
          <w:iCs/>
          <w:sz w:val="24"/>
          <w:szCs w:val="24"/>
        </w:rPr>
        <w:t>Improved Quality of Life and Resident, Family, and Staff Satisfaction</w:t>
      </w:r>
    </w:p>
    <w:p w14:paraId="722C46B9" w14:textId="6661915D" w:rsidR="00C7394F" w:rsidRPr="00473FEC" w:rsidRDefault="00C7394F" w:rsidP="00C7394F">
      <w:pPr>
        <w:spacing w:line="240" w:lineRule="auto"/>
        <w:rPr>
          <w:sz w:val="24"/>
          <w:szCs w:val="24"/>
        </w:rPr>
      </w:pPr>
      <w:r>
        <w:rPr>
          <w:sz w:val="24"/>
          <w:szCs w:val="24"/>
        </w:rPr>
        <w:t xml:space="preserve">The Applicant asserts that </w:t>
      </w:r>
      <w:r w:rsidRPr="00473FEC">
        <w:rPr>
          <w:sz w:val="24"/>
          <w:szCs w:val="24"/>
        </w:rPr>
        <w:t>many aspects of the Green House model contribute to sustained independence through longer maintenance of ADLs, resulting in improved quality of life</w:t>
      </w:r>
      <w:r w:rsidR="00527F96">
        <w:rPr>
          <w:sz w:val="24"/>
          <w:szCs w:val="24"/>
        </w:rPr>
        <w:t xml:space="preserve"> and cites studies in support of this. </w:t>
      </w:r>
    </w:p>
    <w:p w14:paraId="34013149" w14:textId="77777777" w:rsidR="00C516EA" w:rsidRPr="00494418" w:rsidRDefault="00C516EA" w:rsidP="00C516EA">
      <w:pPr>
        <w:spacing w:line="240" w:lineRule="auto"/>
        <w:rPr>
          <w:iCs/>
          <w:sz w:val="24"/>
          <w:szCs w:val="24"/>
        </w:rPr>
      </w:pPr>
      <w:r w:rsidRPr="00F95D06">
        <w:rPr>
          <w:iCs/>
          <w:sz w:val="24"/>
          <w:szCs w:val="24"/>
        </w:rPr>
        <w:t xml:space="preserve">In a Green House facility, residents </w:t>
      </w:r>
      <w:r>
        <w:rPr>
          <w:iCs/>
          <w:sz w:val="24"/>
          <w:szCs w:val="24"/>
        </w:rPr>
        <w:t xml:space="preserve">experience increased satisfaction and comfort as a result of </w:t>
      </w:r>
      <w:r w:rsidRPr="00F95D06">
        <w:rPr>
          <w:iCs/>
          <w:sz w:val="24"/>
          <w:szCs w:val="24"/>
        </w:rPr>
        <w:t>liv</w:t>
      </w:r>
      <w:r>
        <w:rPr>
          <w:iCs/>
          <w:sz w:val="24"/>
          <w:szCs w:val="24"/>
        </w:rPr>
        <w:t xml:space="preserve">ing </w:t>
      </w:r>
      <w:r w:rsidRPr="00F95D06">
        <w:rPr>
          <w:iCs/>
          <w:sz w:val="24"/>
          <w:szCs w:val="24"/>
        </w:rPr>
        <w:t xml:space="preserve">in a home-like environment with a private room and a private </w:t>
      </w:r>
      <w:proofErr w:type="spellStart"/>
      <w:r w:rsidRPr="00F95D06">
        <w:rPr>
          <w:i/>
          <w:sz w:val="24"/>
          <w:szCs w:val="24"/>
        </w:rPr>
        <w:t>en</w:t>
      </w:r>
      <w:proofErr w:type="spellEnd"/>
      <w:r w:rsidRPr="00F95D06">
        <w:rPr>
          <w:i/>
          <w:sz w:val="24"/>
          <w:szCs w:val="24"/>
        </w:rPr>
        <w:t xml:space="preserve"> suite</w:t>
      </w:r>
      <w:r w:rsidRPr="00F95D06">
        <w:rPr>
          <w:iCs/>
          <w:sz w:val="24"/>
          <w:szCs w:val="24"/>
        </w:rPr>
        <w:t xml:space="preserve"> bathroom hav</w:t>
      </w:r>
      <w:r>
        <w:rPr>
          <w:iCs/>
          <w:sz w:val="24"/>
          <w:szCs w:val="24"/>
        </w:rPr>
        <w:t>ing</w:t>
      </w:r>
      <w:r w:rsidRPr="00F95D06">
        <w:rPr>
          <w:iCs/>
          <w:sz w:val="24"/>
          <w:szCs w:val="24"/>
        </w:rPr>
        <w:t xml:space="preserve"> the choice to bring </w:t>
      </w:r>
      <w:r>
        <w:rPr>
          <w:iCs/>
          <w:sz w:val="24"/>
          <w:szCs w:val="24"/>
        </w:rPr>
        <w:t xml:space="preserve">and arrange </w:t>
      </w:r>
      <w:r w:rsidRPr="00F95D06">
        <w:rPr>
          <w:iCs/>
          <w:sz w:val="24"/>
          <w:szCs w:val="24"/>
        </w:rPr>
        <w:t>some of their own furniture in their bedroom.</w:t>
      </w:r>
      <w:r w:rsidRPr="00F95D06">
        <w:rPr>
          <w:iCs/>
          <w:sz w:val="24"/>
          <w:szCs w:val="24"/>
          <w:vertAlign w:val="superscript"/>
        </w:rPr>
        <w:endnoteReference w:id="27"/>
      </w:r>
      <w:r w:rsidRPr="00F95D06">
        <w:rPr>
          <w:iCs/>
          <w:sz w:val="24"/>
          <w:szCs w:val="24"/>
        </w:rPr>
        <w:t xml:space="preserve"> The Homes also recognize resident autonomy, allowing residents to set their own schedule with respect to awake times, bedtimes, mealtimes, and bath times.</w:t>
      </w:r>
      <w:r w:rsidRPr="00F95D06">
        <w:rPr>
          <w:iCs/>
          <w:sz w:val="24"/>
          <w:szCs w:val="24"/>
          <w:vertAlign w:val="superscript"/>
        </w:rPr>
        <w:endnoteReference w:id="28"/>
      </w:r>
      <w:r w:rsidRPr="00F95D06">
        <w:rPr>
          <w:iCs/>
          <w:sz w:val="24"/>
          <w:szCs w:val="24"/>
        </w:rPr>
        <w:t xml:space="preserve"> A two-year study comparing residents of Green House homes with those of traditional nursing homes found a statistically significant </w:t>
      </w:r>
      <w:r w:rsidRPr="00F95D06">
        <w:rPr>
          <w:iCs/>
          <w:sz w:val="24"/>
          <w:szCs w:val="24"/>
        </w:rPr>
        <w:lastRenderedPageBreak/>
        <w:t>improvement in Green House residents’ perception of their quality of life, compared with the</w:t>
      </w:r>
      <w:r>
        <w:rPr>
          <w:iCs/>
          <w:sz w:val="24"/>
          <w:szCs w:val="24"/>
        </w:rPr>
        <w:t xml:space="preserve"> traditional facilities</w:t>
      </w:r>
      <w:r w:rsidRPr="00F95D06">
        <w:rPr>
          <w:iCs/>
          <w:sz w:val="24"/>
          <w:szCs w:val="24"/>
        </w:rPr>
        <w:t>.</w:t>
      </w:r>
      <w:r w:rsidRPr="00F95D06">
        <w:rPr>
          <w:iCs/>
          <w:sz w:val="24"/>
          <w:szCs w:val="24"/>
          <w:vertAlign w:val="superscript"/>
        </w:rPr>
        <w:endnoteReference w:id="29"/>
      </w:r>
    </w:p>
    <w:p w14:paraId="2CCC9F4D" w14:textId="7ED0C55B" w:rsidR="00C516EA" w:rsidRPr="00F95D06" w:rsidRDefault="00C516EA" w:rsidP="695818A5">
      <w:pPr>
        <w:spacing w:line="240" w:lineRule="auto"/>
        <w:rPr>
          <w:sz w:val="24"/>
          <w:szCs w:val="24"/>
        </w:rPr>
      </w:pPr>
      <w:r w:rsidRPr="695818A5">
        <w:rPr>
          <w:sz w:val="24"/>
          <w:szCs w:val="24"/>
        </w:rPr>
        <w:t>Maintaining family satisfaction is a</w:t>
      </w:r>
      <w:r w:rsidR="003576A6">
        <w:rPr>
          <w:sz w:val="24"/>
          <w:szCs w:val="24"/>
        </w:rPr>
        <w:t xml:space="preserve"> </w:t>
      </w:r>
      <w:r w:rsidR="6193422E" w:rsidRPr="695818A5">
        <w:rPr>
          <w:sz w:val="24"/>
          <w:szCs w:val="24"/>
        </w:rPr>
        <w:t>consideration</w:t>
      </w:r>
      <w:r w:rsidRPr="695818A5">
        <w:rPr>
          <w:sz w:val="24"/>
          <w:szCs w:val="24"/>
        </w:rPr>
        <w:t xml:space="preserve"> as family involvement throughout the resident’s stay as a connection to the resident’s external relationships is important.</w:t>
      </w:r>
      <w:bookmarkStart w:id="18" w:name="_Ref71558495"/>
      <w:r w:rsidRPr="695818A5">
        <w:rPr>
          <w:sz w:val="24"/>
          <w:szCs w:val="24"/>
          <w:vertAlign w:val="superscript"/>
        </w:rPr>
        <w:endnoteReference w:id="30"/>
      </w:r>
      <w:bookmarkEnd w:id="18"/>
      <w:r w:rsidRPr="695818A5">
        <w:rPr>
          <w:sz w:val="24"/>
          <w:szCs w:val="24"/>
        </w:rPr>
        <w:t xml:space="preserve"> Family members of residents at Green House homes are more likely to report higher satisfaction than family members of residents at traditional nursing homes with respect to such areas as general amenities, meals, housekeeping, physical environment, privacy, autonomy, and health care.</w:t>
      </w:r>
      <w:r w:rsidRPr="695818A5">
        <w:rPr>
          <w:sz w:val="24"/>
          <w:szCs w:val="24"/>
          <w:vertAlign w:val="superscript"/>
        </w:rPr>
        <w:endnoteReference w:id="31"/>
      </w:r>
      <w:r w:rsidRPr="695818A5">
        <w:rPr>
          <w:sz w:val="24"/>
          <w:szCs w:val="24"/>
        </w:rPr>
        <w:t xml:space="preserve">  Family members reported feeling more comfortable visiting their relative in a Green House setting where they could join in meals and were able to get to know and communicate with the resident’s care team, and other residents more intimately.</w:t>
      </w:r>
      <w:r w:rsidRPr="695818A5">
        <w:rPr>
          <w:sz w:val="24"/>
          <w:szCs w:val="24"/>
          <w:vertAlign w:val="superscript"/>
        </w:rPr>
        <w:endnoteReference w:id="32"/>
      </w:r>
      <w:r w:rsidRPr="695818A5">
        <w:rPr>
          <w:sz w:val="24"/>
          <w:szCs w:val="24"/>
        </w:rPr>
        <w:t xml:space="preserve"> This familiarity fosters important relationships that increases family and resident satisfaction thereby contributing to better health outcomes of the resident.</w:t>
      </w:r>
      <w:r w:rsidRPr="695818A5">
        <w:rPr>
          <w:sz w:val="24"/>
          <w:szCs w:val="24"/>
          <w:vertAlign w:val="superscript"/>
        </w:rPr>
        <w:endnoteReference w:id="33"/>
      </w:r>
      <w:r w:rsidRPr="695818A5">
        <w:rPr>
          <w:sz w:val="24"/>
          <w:szCs w:val="24"/>
          <w:vertAlign w:val="superscript"/>
        </w:rPr>
        <w:t xml:space="preserve">, </w:t>
      </w:r>
      <w:r w:rsidRPr="695818A5">
        <w:rPr>
          <w:sz w:val="24"/>
          <w:szCs w:val="24"/>
          <w:vertAlign w:val="superscript"/>
        </w:rPr>
        <w:endnoteReference w:id="34"/>
      </w:r>
      <w:r w:rsidRPr="695818A5">
        <w:rPr>
          <w:sz w:val="24"/>
          <w:szCs w:val="24"/>
        </w:rPr>
        <w:t xml:space="preserve"> </w:t>
      </w:r>
    </w:p>
    <w:p w14:paraId="41082863" w14:textId="77777777" w:rsidR="00C516EA" w:rsidRPr="008A14EB" w:rsidRDefault="00C516EA" w:rsidP="00C516EA">
      <w:pPr>
        <w:spacing w:line="240" w:lineRule="auto"/>
        <w:rPr>
          <w:iCs/>
          <w:sz w:val="24"/>
          <w:szCs w:val="24"/>
        </w:rPr>
      </w:pPr>
      <w:r w:rsidRPr="008A14EB">
        <w:rPr>
          <w:iCs/>
          <w:sz w:val="24"/>
          <w:szCs w:val="24"/>
        </w:rPr>
        <w:t>In summary, the Green House care model is based on a collaborative care system that aims to empower staff and residents so that they retain as much decision-making authority as is feasible</w:t>
      </w:r>
      <w:r w:rsidRPr="008A14EB">
        <w:rPr>
          <w:iCs/>
          <w:sz w:val="24"/>
          <w:szCs w:val="24"/>
          <w:vertAlign w:val="superscript"/>
        </w:rPr>
        <w:endnoteReference w:id="35"/>
      </w:r>
      <w:r w:rsidRPr="008A14EB">
        <w:rPr>
          <w:iCs/>
          <w:sz w:val="24"/>
          <w:szCs w:val="24"/>
        </w:rPr>
        <w:t xml:space="preserve"> Which leads to greater satisfaction among residents, as well as staff members, as residents’ desires are respected and valued. Nearly all Green House homes have standing resident council meetings, improving communication among residents and staff and encouraging resident input in decisions affecting the home.</w:t>
      </w:r>
      <w:r w:rsidRPr="008A14EB">
        <w:rPr>
          <w:iCs/>
          <w:sz w:val="24"/>
          <w:szCs w:val="24"/>
          <w:vertAlign w:val="superscript"/>
        </w:rPr>
        <w:endnoteReference w:id="36"/>
      </w:r>
      <w:r w:rsidRPr="008A14EB">
        <w:rPr>
          <w:iCs/>
          <w:sz w:val="24"/>
          <w:szCs w:val="24"/>
        </w:rPr>
        <w:t xml:space="preserve"> </w:t>
      </w:r>
    </w:p>
    <w:p w14:paraId="534892DB" w14:textId="314384D8" w:rsidR="00AB7790" w:rsidRPr="0075155F" w:rsidRDefault="00B258B4" w:rsidP="00B92A05">
      <w:pPr>
        <w:spacing w:line="240" w:lineRule="auto"/>
        <w:rPr>
          <w:b/>
          <w:bCs/>
          <w:i/>
          <w:iCs/>
          <w:color w:val="1F4E79" w:themeColor="accent5" w:themeShade="80"/>
          <w:sz w:val="24"/>
          <w:szCs w:val="24"/>
        </w:rPr>
      </w:pPr>
      <w:r w:rsidRPr="0075155F">
        <w:rPr>
          <w:b/>
          <w:bCs/>
          <w:i/>
          <w:iCs/>
          <w:color w:val="1F4E79" w:themeColor="accent5" w:themeShade="80"/>
          <w:sz w:val="24"/>
          <w:szCs w:val="24"/>
        </w:rPr>
        <w:t>Analysis</w:t>
      </w:r>
    </w:p>
    <w:p w14:paraId="675B94E2" w14:textId="58A51BF1" w:rsidR="00A413D3" w:rsidRPr="00ED4728" w:rsidRDefault="00A413D3" w:rsidP="00AB7790">
      <w:pPr>
        <w:spacing w:line="240" w:lineRule="auto"/>
        <w:rPr>
          <w:sz w:val="24"/>
          <w:szCs w:val="24"/>
        </w:rPr>
      </w:pPr>
      <w:r w:rsidRPr="00ED4728">
        <w:rPr>
          <w:sz w:val="24"/>
          <w:szCs w:val="24"/>
        </w:rPr>
        <w:t>Staff researched the existing publicly available nursing home quality metrics to determine where the current facility ranks.</w:t>
      </w:r>
      <w:r w:rsidR="00131D11" w:rsidRPr="00ED4728">
        <w:rPr>
          <w:sz w:val="24"/>
          <w:szCs w:val="24"/>
        </w:rPr>
        <w:t xml:space="preserve"> </w:t>
      </w:r>
    </w:p>
    <w:p w14:paraId="70632557" w14:textId="56CC72F2" w:rsidR="00A413D3" w:rsidRPr="00A413D3" w:rsidRDefault="00A413D3" w:rsidP="00A413D3">
      <w:pPr>
        <w:spacing w:line="240" w:lineRule="auto"/>
        <w:rPr>
          <w:sz w:val="24"/>
          <w:szCs w:val="24"/>
        </w:rPr>
      </w:pPr>
      <w:r w:rsidRPr="00ED4728">
        <w:rPr>
          <w:sz w:val="24"/>
          <w:szCs w:val="24"/>
        </w:rPr>
        <w:t>As of November 15, 2022, t</w:t>
      </w:r>
      <w:r w:rsidRPr="00A413D3">
        <w:rPr>
          <w:sz w:val="24"/>
          <w:szCs w:val="24"/>
        </w:rPr>
        <w:t>he facility is rated five out of five stars on the CMS Star rating and scores 121 on the Massachusetts Nursing Home Scorecard, an assessment based on three major factors: 1) health inspections, 2) staffing, and 3) quality of resident care measures.</w:t>
      </w:r>
      <w:r w:rsidRPr="00A413D3">
        <w:rPr>
          <w:sz w:val="24"/>
          <w:szCs w:val="24"/>
          <w:vertAlign w:val="superscript"/>
        </w:rPr>
        <w:footnoteReference w:id="20"/>
      </w:r>
      <w:r w:rsidRPr="00A413D3">
        <w:rPr>
          <w:sz w:val="24"/>
          <w:szCs w:val="24"/>
        </w:rPr>
        <w:t xml:space="preserve"> This is above the statewide average of 116 but falls short of the 75</w:t>
      </w:r>
      <w:r w:rsidRPr="00A413D3">
        <w:rPr>
          <w:sz w:val="24"/>
          <w:szCs w:val="24"/>
          <w:vertAlign w:val="superscript"/>
        </w:rPr>
        <w:t>th</w:t>
      </w:r>
      <w:r w:rsidRPr="00A413D3">
        <w:rPr>
          <w:sz w:val="24"/>
          <w:szCs w:val="24"/>
        </w:rPr>
        <w:t xml:space="preserve"> percentile of 123. </w:t>
      </w:r>
      <w:r w:rsidR="00527F96">
        <w:rPr>
          <w:sz w:val="24"/>
          <w:szCs w:val="24"/>
        </w:rPr>
        <w:t>However, as the Applicant asserts, the replacement facility is designed to remedy such issues.</w:t>
      </w:r>
    </w:p>
    <w:p w14:paraId="6E2D086E" w14:textId="51CA23BF" w:rsidR="00ED4728" w:rsidRPr="00ED4728" w:rsidRDefault="00ED4728" w:rsidP="00ED4728">
      <w:pPr>
        <w:spacing w:line="240" w:lineRule="auto"/>
        <w:rPr>
          <w:sz w:val="24"/>
          <w:szCs w:val="24"/>
        </w:rPr>
      </w:pPr>
      <w:r w:rsidRPr="00ED4728">
        <w:rPr>
          <w:sz w:val="24"/>
          <w:szCs w:val="24"/>
        </w:rPr>
        <w:t xml:space="preserve">The Applicant stresses that the current Windemere facility cannot be renovated to improve </w:t>
      </w:r>
      <w:r w:rsidR="00C747F9">
        <w:rPr>
          <w:sz w:val="24"/>
          <w:szCs w:val="24"/>
        </w:rPr>
        <w:t xml:space="preserve">due to </w:t>
      </w:r>
      <w:r>
        <w:rPr>
          <w:sz w:val="24"/>
          <w:szCs w:val="24"/>
        </w:rPr>
        <w:t xml:space="preserve">the constraints of </w:t>
      </w:r>
      <w:r w:rsidR="00C747F9">
        <w:rPr>
          <w:sz w:val="24"/>
          <w:szCs w:val="24"/>
        </w:rPr>
        <w:t>being</w:t>
      </w:r>
      <w:r>
        <w:rPr>
          <w:sz w:val="24"/>
          <w:szCs w:val="24"/>
        </w:rPr>
        <w:t xml:space="preserve"> co-located with</w:t>
      </w:r>
      <w:r w:rsidR="00C747F9">
        <w:rPr>
          <w:sz w:val="24"/>
          <w:szCs w:val="24"/>
        </w:rPr>
        <w:t>in</w:t>
      </w:r>
      <w:r>
        <w:rPr>
          <w:sz w:val="24"/>
          <w:szCs w:val="24"/>
        </w:rPr>
        <w:t xml:space="preserve"> MVH, and its shared rooms and baths make monitoring infection control and outcomes measures a challenge. The Applicant stress that it </w:t>
      </w:r>
      <w:r w:rsidRPr="00ED4728">
        <w:rPr>
          <w:sz w:val="24"/>
          <w:szCs w:val="24"/>
        </w:rPr>
        <w:t xml:space="preserve">will continue to monitor resident and family surveys concerning quality and satisfaction measures to ensure that resident needs are met.  To assess the impact of the Proposed Project, the Applicant </w:t>
      </w:r>
      <w:r w:rsidR="00527F96">
        <w:rPr>
          <w:sz w:val="24"/>
          <w:szCs w:val="24"/>
        </w:rPr>
        <w:t xml:space="preserve">proposed </w:t>
      </w:r>
      <w:r w:rsidRPr="00ED4728">
        <w:rPr>
          <w:sz w:val="24"/>
          <w:szCs w:val="24"/>
        </w:rPr>
        <w:t>quality metrics to measure overall satisfaction and quality of care at the new facility that will be reported annually and that can be found in Appendix 1.</w:t>
      </w:r>
    </w:p>
    <w:p w14:paraId="6CDB35BD" w14:textId="77777777" w:rsidR="00487E1A" w:rsidRDefault="00B258B4" w:rsidP="00AB7790">
      <w:pPr>
        <w:spacing w:line="240" w:lineRule="auto"/>
        <w:rPr>
          <w:sz w:val="24"/>
          <w:szCs w:val="24"/>
        </w:rPr>
      </w:pPr>
      <w:r w:rsidRPr="00131D11">
        <w:rPr>
          <w:sz w:val="24"/>
          <w:szCs w:val="24"/>
        </w:rPr>
        <w:t xml:space="preserve">The Proposed Project seeks to provide </w:t>
      </w:r>
      <w:r w:rsidR="00131D11" w:rsidRPr="00131D11">
        <w:rPr>
          <w:sz w:val="24"/>
          <w:szCs w:val="24"/>
        </w:rPr>
        <w:t xml:space="preserve">Island residents </w:t>
      </w:r>
      <w:r w:rsidRPr="00131D11">
        <w:rPr>
          <w:sz w:val="24"/>
          <w:szCs w:val="24"/>
        </w:rPr>
        <w:t>access to a long-term care model, The Green House Model</w:t>
      </w:r>
      <w:r w:rsidR="00F63DFB" w:rsidRPr="00131D11">
        <w:rPr>
          <w:sz w:val="24"/>
          <w:szCs w:val="24"/>
        </w:rPr>
        <w:t xml:space="preserve">, </w:t>
      </w:r>
      <w:r w:rsidRPr="00131D11">
        <w:rPr>
          <w:sz w:val="24"/>
          <w:szCs w:val="24"/>
        </w:rPr>
        <w:t xml:space="preserve">that </w:t>
      </w:r>
      <w:r w:rsidR="00F63DFB" w:rsidRPr="00131D11">
        <w:rPr>
          <w:sz w:val="24"/>
          <w:szCs w:val="24"/>
        </w:rPr>
        <w:t xml:space="preserve">some studies show </w:t>
      </w:r>
      <w:r w:rsidRPr="00131D11">
        <w:rPr>
          <w:sz w:val="24"/>
          <w:szCs w:val="24"/>
        </w:rPr>
        <w:t>result in high</w:t>
      </w:r>
      <w:r w:rsidR="00E227EE">
        <w:rPr>
          <w:sz w:val="24"/>
          <w:szCs w:val="24"/>
        </w:rPr>
        <w:t>er</w:t>
      </w:r>
      <w:r w:rsidRPr="00131D11">
        <w:rPr>
          <w:sz w:val="24"/>
          <w:szCs w:val="24"/>
        </w:rPr>
        <w:t xml:space="preserve"> resident and family satisfaction, as </w:t>
      </w:r>
      <w:r w:rsidRPr="00131D11">
        <w:rPr>
          <w:sz w:val="24"/>
          <w:szCs w:val="24"/>
        </w:rPr>
        <w:lastRenderedPageBreak/>
        <w:t xml:space="preserve">well as improved </w:t>
      </w:r>
      <w:r w:rsidR="00527F96">
        <w:rPr>
          <w:sz w:val="24"/>
          <w:szCs w:val="24"/>
        </w:rPr>
        <w:t xml:space="preserve">quality and </w:t>
      </w:r>
      <w:r w:rsidRPr="00131D11">
        <w:rPr>
          <w:sz w:val="24"/>
          <w:szCs w:val="24"/>
        </w:rPr>
        <w:t>health outcomes</w:t>
      </w:r>
      <w:r w:rsidR="00E227EE">
        <w:rPr>
          <w:sz w:val="24"/>
          <w:szCs w:val="24"/>
        </w:rPr>
        <w:t xml:space="preserve"> compared to traditional LTCFs</w:t>
      </w:r>
      <w:r w:rsidR="00527F96">
        <w:rPr>
          <w:sz w:val="24"/>
          <w:szCs w:val="24"/>
        </w:rPr>
        <w:t xml:space="preserve">. This </w:t>
      </w:r>
      <w:r w:rsidR="002A5936">
        <w:rPr>
          <w:sz w:val="24"/>
          <w:szCs w:val="24"/>
        </w:rPr>
        <w:t xml:space="preserve">replacement </w:t>
      </w:r>
      <w:r w:rsidR="002A5936" w:rsidRPr="002A5936">
        <w:rPr>
          <w:sz w:val="24"/>
          <w:szCs w:val="24"/>
        </w:rPr>
        <w:t>facility</w:t>
      </w:r>
      <w:r w:rsidR="002A5936">
        <w:rPr>
          <w:sz w:val="24"/>
          <w:szCs w:val="24"/>
        </w:rPr>
        <w:t xml:space="preserve"> </w:t>
      </w:r>
      <w:r w:rsidR="002A5936" w:rsidRPr="002A5936">
        <w:rPr>
          <w:sz w:val="24"/>
          <w:szCs w:val="24"/>
        </w:rPr>
        <w:t>will enable residents to remain on the Island, in their community.</w:t>
      </w:r>
      <w:r w:rsidR="002A5936" w:rsidRPr="00131D11">
        <w:rPr>
          <w:sz w:val="24"/>
          <w:szCs w:val="24"/>
        </w:rPr>
        <w:t xml:space="preserve"> </w:t>
      </w:r>
    </w:p>
    <w:p w14:paraId="318398EF" w14:textId="422048FC" w:rsidR="00B258B4" w:rsidRPr="00131D11" w:rsidRDefault="00487E1A" w:rsidP="00AB7790">
      <w:pPr>
        <w:spacing w:line="240" w:lineRule="auto"/>
        <w:rPr>
          <w:sz w:val="24"/>
          <w:szCs w:val="24"/>
        </w:rPr>
      </w:pPr>
      <w:r w:rsidRPr="00487E1A">
        <w:rPr>
          <w:sz w:val="24"/>
          <w:szCs w:val="24"/>
        </w:rPr>
        <w:t>Additionally, the Applicant seeks to extend services beyond the current patient panel by enabling Island residents to bring family members who reside off the Island and are in need of LTCF services, to the facility.</w:t>
      </w:r>
      <w:r>
        <w:rPr>
          <w:sz w:val="24"/>
          <w:szCs w:val="24"/>
        </w:rPr>
        <w:t xml:space="preserve"> </w:t>
      </w:r>
      <w:r w:rsidR="002A5936">
        <w:rPr>
          <w:sz w:val="24"/>
          <w:szCs w:val="24"/>
        </w:rPr>
        <w:t xml:space="preserve">Staff is concerned that off Island private pay residents could be prioritized over Island residents. As a result, Staff recommends as a condition of approval that the Applicant prioritize the approved beds for Island Residents. To monitor this Staff requests that the Applicant track and report on the percentage of residents by payer whose home prior to admission originated on the Island and those who were brought to the Island whose home prior to admission was off the Island. </w:t>
      </w:r>
      <w:r w:rsidR="00527F96">
        <w:rPr>
          <w:sz w:val="24"/>
          <w:szCs w:val="24"/>
        </w:rPr>
        <w:t xml:space="preserve"> </w:t>
      </w:r>
    </w:p>
    <w:bookmarkEnd w:id="9"/>
    <w:p w14:paraId="4D1863FA" w14:textId="6A722750" w:rsidR="00B045B7" w:rsidRPr="0075155F" w:rsidRDefault="00B045B7" w:rsidP="002B6A40">
      <w:pPr>
        <w:pStyle w:val="Heading4"/>
        <w:rPr>
          <w:rFonts w:asciiTheme="minorHAnsi" w:hAnsiTheme="minorHAnsi" w:cstheme="minorHAnsi"/>
          <w:i w:val="0"/>
          <w:iCs w:val="0"/>
          <w:sz w:val="24"/>
          <w:szCs w:val="24"/>
        </w:rPr>
      </w:pPr>
      <w:r w:rsidRPr="0075155F">
        <w:rPr>
          <w:rFonts w:asciiTheme="minorHAnsi" w:hAnsiTheme="minorHAnsi" w:cstheme="minorHAnsi"/>
          <w:i w:val="0"/>
          <w:iCs w:val="0"/>
          <w:sz w:val="24"/>
          <w:szCs w:val="24"/>
        </w:rPr>
        <w:t>Health Equity</w:t>
      </w:r>
    </w:p>
    <w:p w14:paraId="20138988" w14:textId="19B9753E" w:rsidR="000D4515" w:rsidRPr="00BB69DB" w:rsidRDefault="00BB69DB" w:rsidP="00BB69DB">
      <w:pPr>
        <w:spacing w:before="240" w:line="240" w:lineRule="auto"/>
        <w:rPr>
          <w:sz w:val="24"/>
          <w:szCs w:val="24"/>
        </w:rPr>
      </w:pPr>
      <w:r w:rsidRPr="00BB69DB">
        <w:rPr>
          <w:sz w:val="24"/>
          <w:szCs w:val="24"/>
        </w:rPr>
        <w:t>The Applicant affirms that to ensure equal access to the health benefits offered by the Proposed Project, and in accordance with Medicare and Medicaid conditions of participation, the Applicant does not discriminate on the basis of race, sex, gender, national origin, age, disability, or payor source</w:t>
      </w:r>
      <w:r w:rsidR="00527F96">
        <w:rPr>
          <w:sz w:val="24"/>
          <w:szCs w:val="24"/>
        </w:rPr>
        <w:t xml:space="preserve"> and states a</w:t>
      </w:r>
      <w:r w:rsidRPr="00BB69DB">
        <w:rPr>
          <w:sz w:val="24"/>
          <w:szCs w:val="24"/>
        </w:rPr>
        <w:t xml:space="preserve">ll current Windermere residents will be offered a bed in the new </w:t>
      </w:r>
      <w:r w:rsidR="00115FE3">
        <w:rPr>
          <w:sz w:val="24"/>
          <w:szCs w:val="24"/>
        </w:rPr>
        <w:t xml:space="preserve">Navigator </w:t>
      </w:r>
      <w:r w:rsidRPr="00BB69DB">
        <w:rPr>
          <w:sz w:val="24"/>
          <w:szCs w:val="24"/>
        </w:rPr>
        <w:t>facility, regardless of payer source</w:t>
      </w:r>
      <w:r w:rsidR="005E3AC0">
        <w:rPr>
          <w:sz w:val="24"/>
          <w:szCs w:val="24"/>
        </w:rPr>
        <w:t>.</w:t>
      </w:r>
      <w:r w:rsidR="00115FE3">
        <w:rPr>
          <w:sz w:val="24"/>
          <w:szCs w:val="24"/>
        </w:rPr>
        <w:t xml:space="preserve"> </w:t>
      </w:r>
      <w:r w:rsidR="005E3AC0">
        <w:rPr>
          <w:sz w:val="24"/>
          <w:szCs w:val="24"/>
        </w:rPr>
        <w:t>C</w:t>
      </w:r>
      <w:r w:rsidR="00115FE3">
        <w:rPr>
          <w:sz w:val="24"/>
          <w:szCs w:val="24"/>
        </w:rPr>
        <w:t>onsequently, the Applicant maintains t</w:t>
      </w:r>
      <w:r w:rsidR="00115FE3" w:rsidRPr="00115FE3">
        <w:rPr>
          <w:sz w:val="24"/>
          <w:szCs w:val="24"/>
        </w:rPr>
        <w:t xml:space="preserve">he </w:t>
      </w:r>
      <w:r w:rsidR="00115FE3">
        <w:rPr>
          <w:sz w:val="24"/>
          <w:szCs w:val="24"/>
        </w:rPr>
        <w:t>P</w:t>
      </w:r>
      <w:r w:rsidR="00115FE3" w:rsidRPr="00115FE3">
        <w:rPr>
          <w:sz w:val="24"/>
          <w:szCs w:val="24"/>
        </w:rPr>
        <w:t xml:space="preserve">roposed </w:t>
      </w:r>
      <w:r w:rsidR="00115FE3">
        <w:rPr>
          <w:sz w:val="24"/>
          <w:szCs w:val="24"/>
        </w:rPr>
        <w:t>P</w:t>
      </w:r>
      <w:r w:rsidR="00115FE3" w:rsidRPr="00115FE3">
        <w:rPr>
          <w:sz w:val="24"/>
          <w:szCs w:val="24"/>
        </w:rPr>
        <w:t xml:space="preserve">roject will increase the </w:t>
      </w:r>
      <w:r w:rsidR="005E3AC0">
        <w:rPr>
          <w:sz w:val="24"/>
          <w:szCs w:val="24"/>
        </w:rPr>
        <w:t xml:space="preserve">availability </w:t>
      </w:r>
      <w:r w:rsidR="00115FE3" w:rsidRPr="00115FE3">
        <w:rPr>
          <w:sz w:val="24"/>
          <w:szCs w:val="24"/>
        </w:rPr>
        <w:t>of affordable, senior housing</w:t>
      </w:r>
      <w:r w:rsidR="00115FE3">
        <w:rPr>
          <w:sz w:val="24"/>
          <w:szCs w:val="24"/>
        </w:rPr>
        <w:t xml:space="preserve"> on the Island</w:t>
      </w:r>
      <w:r w:rsidR="00115FE3" w:rsidRPr="00115FE3">
        <w:rPr>
          <w:sz w:val="24"/>
          <w:szCs w:val="24"/>
        </w:rPr>
        <w:t xml:space="preserve"> </w:t>
      </w:r>
      <w:r w:rsidR="00115FE3">
        <w:rPr>
          <w:sz w:val="24"/>
          <w:szCs w:val="24"/>
        </w:rPr>
        <w:t xml:space="preserve">for </w:t>
      </w:r>
      <w:r w:rsidR="005E3AC0">
        <w:rPr>
          <w:sz w:val="24"/>
          <w:szCs w:val="24"/>
        </w:rPr>
        <w:t xml:space="preserve">long-term LTCF </w:t>
      </w:r>
      <w:r w:rsidR="00115FE3">
        <w:rPr>
          <w:sz w:val="24"/>
          <w:szCs w:val="24"/>
        </w:rPr>
        <w:t xml:space="preserve">residents </w:t>
      </w:r>
      <w:r w:rsidR="005E3AC0">
        <w:rPr>
          <w:sz w:val="24"/>
          <w:szCs w:val="24"/>
        </w:rPr>
        <w:t xml:space="preserve">as a result of </w:t>
      </w:r>
      <w:r w:rsidR="00833C2B">
        <w:rPr>
          <w:sz w:val="24"/>
          <w:szCs w:val="24"/>
        </w:rPr>
        <w:t xml:space="preserve">the new bed capacity.  </w:t>
      </w:r>
      <w:r w:rsidR="006A1FA7">
        <w:rPr>
          <w:sz w:val="24"/>
          <w:szCs w:val="24"/>
        </w:rPr>
        <w:t>However</w:t>
      </w:r>
      <w:r w:rsidR="006A1FA7" w:rsidRPr="006A1FA7">
        <w:rPr>
          <w:sz w:val="24"/>
          <w:szCs w:val="24"/>
        </w:rPr>
        <w:t xml:space="preserve">, the Applicant </w:t>
      </w:r>
      <w:r w:rsidR="000D4515">
        <w:rPr>
          <w:sz w:val="24"/>
          <w:szCs w:val="24"/>
        </w:rPr>
        <w:t xml:space="preserve">intends </w:t>
      </w:r>
      <w:r w:rsidR="006A1FA7" w:rsidRPr="006A1FA7">
        <w:rPr>
          <w:sz w:val="24"/>
          <w:szCs w:val="24"/>
        </w:rPr>
        <w:t>to extend services beyond the current patient panel by enabling Island residents to bring family members who reside off the Island and are in need of LTCF services, to the facility.</w:t>
      </w:r>
      <w:r w:rsidR="004F1862">
        <w:rPr>
          <w:rStyle w:val="FootnoteReference"/>
          <w:sz w:val="24"/>
          <w:szCs w:val="24"/>
        </w:rPr>
        <w:footnoteReference w:id="21"/>
      </w:r>
    </w:p>
    <w:p w14:paraId="2AE921D4" w14:textId="59A923AA" w:rsidR="00730574" w:rsidRPr="00BB69DB" w:rsidRDefault="00730574" w:rsidP="00B92A05">
      <w:pPr>
        <w:spacing w:before="240" w:line="240" w:lineRule="auto"/>
        <w:rPr>
          <w:sz w:val="24"/>
          <w:szCs w:val="24"/>
        </w:rPr>
      </w:pPr>
      <w:r w:rsidRPr="00BB69DB">
        <w:rPr>
          <w:sz w:val="24"/>
          <w:szCs w:val="24"/>
        </w:rPr>
        <w:t xml:space="preserve">To ensure health equity to all residents, the Applicant plans to implement programs to promote language access. The Applicant will establish an interpreter services program through a contract with the Massachusetts General Interpreter Services Program, which utilizes nationally trained and certified interpreters. </w:t>
      </w:r>
      <w:r w:rsidR="00200DFD" w:rsidRPr="00BB69DB">
        <w:rPr>
          <w:sz w:val="24"/>
          <w:szCs w:val="24"/>
        </w:rPr>
        <w:t xml:space="preserve">When a language need is identified upon a resident’s admission, </w:t>
      </w:r>
      <w:r w:rsidR="0089576A" w:rsidRPr="00BB69DB">
        <w:rPr>
          <w:sz w:val="24"/>
          <w:szCs w:val="24"/>
        </w:rPr>
        <w:t>t</w:t>
      </w:r>
      <w:r w:rsidRPr="00BB69DB">
        <w:rPr>
          <w:sz w:val="24"/>
          <w:szCs w:val="24"/>
        </w:rPr>
        <w:t>his program will ensure equal access for residents and their families who are Limited English Proficiency or Deaf and Hard of Hearing</w:t>
      </w:r>
      <w:r w:rsidR="00200DFD" w:rsidRPr="00BB69DB">
        <w:rPr>
          <w:sz w:val="24"/>
          <w:szCs w:val="24"/>
        </w:rPr>
        <w:t xml:space="preserve">. </w:t>
      </w:r>
      <w:r w:rsidRPr="00BB69DB">
        <w:rPr>
          <w:sz w:val="24"/>
          <w:szCs w:val="24"/>
        </w:rPr>
        <w:t xml:space="preserve">The Applicant is also seeking to establish a screening process to determine the need for on-site language assistance technology and video services for residents who may require such services. </w:t>
      </w:r>
    </w:p>
    <w:p w14:paraId="59CB4E27" w14:textId="77777777" w:rsidR="00B92A05" w:rsidRPr="005D18D3" w:rsidRDefault="00B92A05" w:rsidP="00B92A05">
      <w:pPr>
        <w:spacing w:before="240" w:line="240" w:lineRule="auto"/>
        <w:rPr>
          <w:b/>
          <w:bCs/>
          <w:i/>
          <w:iCs/>
          <w:color w:val="1F4E79" w:themeColor="accent5" w:themeShade="80"/>
          <w:sz w:val="24"/>
          <w:szCs w:val="24"/>
        </w:rPr>
      </w:pPr>
      <w:r w:rsidRPr="005D18D3">
        <w:rPr>
          <w:b/>
          <w:bCs/>
          <w:i/>
          <w:iCs/>
          <w:color w:val="1F4E79" w:themeColor="accent5" w:themeShade="80"/>
          <w:sz w:val="24"/>
          <w:szCs w:val="24"/>
        </w:rPr>
        <w:t>Analysis</w:t>
      </w:r>
    </w:p>
    <w:p w14:paraId="096B6773" w14:textId="77777777" w:rsidR="00C173BD" w:rsidRPr="00C173BD" w:rsidRDefault="00C173BD" w:rsidP="00C173BD">
      <w:pPr>
        <w:spacing w:before="240" w:line="240" w:lineRule="auto"/>
        <w:rPr>
          <w:color w:val="1F4E79" w:themeColor="accent5" w:themeShade="80"/>
          <w:sz w:val="24"/>
          <w:szCs w:val="24"/>
        </w:rPr>
      </w:pPr>
      <w:r w:rsidRPr="005E21D0">
        <w:rPr>
          <w:sz w:val="24"/>
          <w:szCs w:val="24"/>
        </w:rPr>
        <w:t>As a standard condition of approval of the Proposed Project, as set out in DoN regulation 105 CMR 100.310, all Determination of Need Holders must provide a plan for approval by the Office of Health Equity for the development and improvement of language access and assistive services provided to individuals with disabilities, non-English speaking, Limited English Proficiency (LEP), and American Sign Language (ASL) patients.</w:t>
      </w:r>
    </w:p>
    <w:p w14:paraId="6D625D38" w14:textId="6D70A507" w:rsidR="00C173BD" w:rsidRPr="005E21D0" w:rsidRDefault="00C173BD" w:rsidP="00C173BD">
      <w:pPr>
        <w:spacing w:before="240" w:line="240" w:lineRule="auto"/>
        <w:rPr>
          <w:sz w:val="24"/>
          <w:szCs w:val="24"/>
        </w:rPr>
      </w:pPr>
      <w:r w:rsidRPr="005E21D0">
        <w:rPr>
          <w:sz w:val="24"/>
          <w:szCs w:val="24"/>
        </w:rPr>
        <w:lastRenderedPageBreak/>
        <w:t xml:space="preserve">Staff finds that with the </w:t>
      </w:r>
      <w:r w:rsidR="003C2F8A">
        <w:rPr>
          <w:sz w:val="24"/>
          <w:szCs w:val="24"/>
        </w:rPr>
        <w:t xml:space="preserve">additional condition and </w:t>
      </w:r>
      <w:r w:rsidRPr="005E21D0">
        <w:rPr>
          <w:sz w:val="24"/>
          <w:szCs w:val="24"/>
        </w:rPr>
        <w:t>standard conditions,</w:t>
      </w:r>
      <w:r w:rsidR="003C2F8A">
        <w:rPr>
          <w:sz w:val="24"/>
          <w:szCs w:val="24"/>
        </w:rPr>
        <w:t xml:space="preserve"> and reporting measures in Appendix 1, </w:t>
      </w:r>
      <w:r w:rsidRPr="005E21D0">
        <w:rPr>
          <w:sz w:val="24"/>
          <w:szCs w:val="24"/>
        </w:rPr>
        <w:t xml:space="preserve">the Applicant has sufficiently outlined a case for improved </w:t>
      </w:r>
      <w:r w:rsidR="001A0830" w:rsidRPr="005E21D0">
        <w:rPr>
          <w:sz w:val="24"/>
          <w:szCs w:val="24"/>
        </w:rPr>
        <w:t xml:space="preserve">quality of life, </w:t>
      </w:r>
      <w:r w:rsidRPr="005E21D0">
        <w:rPr>
          <w:sz w:val="24"/>
          <w:szCs w:val="24"/>
        </w:rPr>
        <w:t>health outcomes and health equity</w:t>
      </w:r>
      <w:r w:rsidR="00D67F5D" w:rsidRPr="005E21D0">
        <w:rPr>
          <w:sz w:val="24"/>
          <w:szCs w:val="24"/>
        </w:rPr>
        <w:t xml:space="preserve"> and as a result has met Factor 1(b).</w:t>
      </w:r>
    </w:p>
    <w:p w14:paraId="492AC3C8" w14:textId="6E6D79F6" w:rsidR="00B045B7" w:rsidRPr="0075155F" w:rsidRDefault="008219FE" w:rsidP="002B6A40">
      <w:pPr>
        <w:pStyle w:val="Heading2"/>
        <w:rPr>
          <w:rFonts w:asciiTheme="minorHAnsi" w:hAnsiTheme="minorHAnsi" w:cstheme="minorHAnsi"/>
          <w:color w:val="1F4E79" w:themeColor="accent5" w:themeShade="80"/>
        </w:rPr>
      </w:pPr>
      <w:bookmarkStart w:id="19" w:name="_Toc129354643"/>
      <w:r w:rsidRPr="0075155F">
        <w:rPr>
          <w:rFonts w:asciiTheme="minorHAnsi" w:hAnsiTheme="minorHAnsi" w:cstheme="minorHAnsi"/>
          <w:color w:val="1F4E79" w:themeColor="accent5" w:themeShade="80"/>
        </w:rPr>
        <w:t xml:space="preserve">Factor </w:t>
      </w:r>
      <w:r w:rsidR="00B045B7" w:rsidRPr="0075155F">
        <w:rPr>
          <w:rFonts w:asciiTheme="minorHAnsi" w:hAnsiTheme="minorHAnsi" w:cstheme="minorHAnsi"/>
          <w:color w:val="1F4E79" w:themeColor="accent5" w:themeShade="80"/>
        </w:rPr>
        <w:t>1c</w:t>
      </w:r>
      <w:r w:rsidRPr="0075155F">
        <w:rPr>
          <w:rFonts w:asciiTheme="minorHAnsi" w:hAnsiTheme="minorHAnsi" w:cstheme="minorHAnsi"/>
          <w:color w:val="1F4E79" w:themeColor="accent5" w:themeShade="80"/>
        </w:rPr>
        <w:t>)</w:t>
      </w:r>
      <w:r w:rsidR="00B045B7" w:rsidRPr="0075155F">
        <w:rPr>
          <w:rFonts w:asciiTheme="minorHAnsi" w:hAnsiTheme="minorHAnsi" w:cstheme="minorHAnsi"/>
          <w:color w:val="1F4E79" w:themeColor="accent5" w:themeShade="80"/>
        </w:rPr>
        <w:t xml:space="preserve"> Continuity and Coordination of Care</w:t>
      </w:r>
      <w:bookmarkEnd w:id="19"/>
    </w:p>
    <w:p w14:paraId="1BC97C86" w14:textId="77777777" w:rsidR="00F15295" w:rsidRPr="00F15295" w:rsidRDefault="00730574" w:rsidP="00F15295">
      <w:pPr>
        <w:spacing w:before="240" w:line="240" w:lineRule="auto"/>
        <w:rPr>
          <w:sz w:val="24"/>
          <w:szCs w:val="24"/>
        </w:rPr>
      </w:pPr>
      <w:r w:rsidRPr="00376AFF">
        <w:rPr>
          <w:sz w:val="24"/>
          <w:szCs w:val="24"/>
        </w:rPr>
        <w:t xml:space="preserve">The Applicant </w:t>
      </w:r>
      <w:r w:rsidR="00B42B85" w:rsidRPr="00376AFF">
        <w:rPr>
          <w:sz w:val="24"/>
          <w:szCs w:val="24"/>
        </w:rPr>
        <w:t xml:space="preserve">affirms its </w:t>
      </w:r>
      <w:r w:rsidRPr="00376AFF">
        <w:rPr>
          <w:sz w:val="24"/>
          <w:szCs w:val="24"/>
        </w:rPr>
        <w:t>commit</w:t>
      </w:r>
      <w:r w:rsidR="00B42B85" w:rsidRPr="00376AFF">
        <w:rPr>
          <w:sz w:val="24"/>
          <w:szCs w:val="24"/>
        </w:rPr>
        <w:t>ment</w:t>
      </w:r>
      <w:r w:rsidRPr="00376AFF">
        <w:rPr>
          <w:sz w:val="24"/>
          <w:szCs w:val="24"/>
        </w:rPr>
        <w:t xml:space="preserve"> to ensuring </w:t>
      </w:r>
      <w:r w:rsidR="00A25747">
        <w:rPr>
          <w:sz w:val="24"/>
          <w:szCs w:val="24"/>
        </w:rPr>
        <w:t xml:space="preserve">continuity and </w:t>
      </w:r>
      <w:r w:rsidRPr="00376AFF">
        <w:rPr>
          <w:sz w:val="24"/>
          <w:szCs w:val="24"/>
        </w:rPr>
        <w:t xml:space="preserve">coordination </w:t>
      </w:r>
      <w:r w:rsidR="00A25747">
        <w:rPr>
          <w:sz w:val="24"/>
          <w:szCs w:val="24"/>
        </w:rPr>
        <w:t xml:space="preserve">of care through the Model’s </w:t>
      </w:r>
      <w:r w:rsidRPr="00376AFF">
        <w:rPr>
          <w:sz w:val="24"/>
          <w:szCs w:val="24"/>
        </w:rPr>
        <w:t>emphasi</w:t>
      </w:r>
      <w:r w:rsidR="00B42B85" w:rsidRPr="00376AFF">
        <w:rPr>
          <w:sz w:val="24"/>
          <w:szCs w:val="24"/>
        </w:rPr>
        <w:t>s</w:t>
      </w:r>
      <w:r w:rsidRPr="00376AFF">
        <w:rPr>
          <w:sz w:val="24"/>
          <w:szCs w:val="24"/>
        </w:rPr>
        <w:t xml:space="preserve"> </w:t>
      </w:r>
      <w:r w:rsidR="00A25747">
        <w:rPr>
          <w:sz w:val="24"/>
          <w:szCs w:val="24"/>
        </w:rPr>
        <w:t xml:space="preserve">on </w:t>
      </w:r>
      <w:r w:rsidRPr="00376AFF">
        <w:rPr>
          <w:sz w:val="24"/>
          <w:szCs w:val="24"/>
        </w:rPr>
        <w:t xml:space="preserve">the importance of team-based care, </w:t>
      </w:r>
      <w:r w:rsidR="00A25747">
        <w:rPr>
          <w:sz w:val="24"/>
          <w:szCs w:val="24"/>
        </w:rPr>
        <w:t xml:space="preserve">which it states lead to </w:t>
      </w:r>
      <w:r w:rsidRPr="00376AFF">
        <w:rPr>
          <w:sz w:val="24"/>
          <w:szCs w:val="24"/>
        </w:rPr>
        <w:t>more efficient and effective</w:t>
      </w:r>
      <w:r w:rsidR="00B42B85" w:rsidRPr="00376AFF">
        <w:rPr>
          <w:sz w:val="24"/>
          <w:szCs w:val="24"/>
        </w:rPr>
        <w:t xml:space="preserve"> </w:t>
      </w:r>
      <w:r w:rsidR="00A25747">
        <w:rPr>
          <w:sz w:val="24"/>
          <w:szCs w:val="24"/>
        </w:rPr>
        <w:t xml:space="preserve">patient care. </w:t>
      </w:r>
      <w:r w:rsidR="00F15295" w:rsidRPr="00F15295">
        <w:rPr>
          <w:sz w:val="24"/>
          <w:szCs w:val="24"/>
        </w:rPr>
        <w:t>The care team, including the Medical Director will participate in transitions of care meetings and Quality and Process Improvement meetings and those care team members located externally will be contacted by phone or secure messages for continuous communication.</w:t>
      </w:r>
    </w:p>
    <w:p w14:paraId="7AE5E481" w14:textId="09E7341E" w:rsidR="00730574" w:rsidRPr="00376AFF" w:rsidRDefault="00A25747" w:rsidP="008327B2">
      <w:pPr>
        <w:spacing w:before="240" w:line="240" w:lineRule="auto"/>
        <w:rPr>
          <w:sz w:val="24"/>
          <w:szCs w:val="24"/>
        </w:rPr>
      </w:pPr>
      <w:r w:rsidRPr="695818A5">
        <w:rPr>
          <w:sz w:val="24"/>
          <w:szCs w:val="24"/>
        </w:rPr>
        <w:t xml:space="preserve">Clinical </w:t>
      </w:r>
      <w:r w:rsidR="00730574" w:rsidRPr="695818A5">
        <w:rPr>
          <w:sz w:val="24"/>
          <w:szCs w:val="24"/>
        </w:rPr>
        <w:t xml:space="preserve">staff will </w:t>
      </w:r>
      <w:r w:rsidRPr="695818A5">
        <w:rPr>
          <w:sz w:val="24"/>
          <w:szCs w:val="24"/>
        </w:rPr>
        <w:t>evaluate</w:t>
      </w:r>
      <w:r w:rsidR="00730574" w:rsidRPr="695818A5">
        <w:rPr>
          <w:sz w:val="24"/>
          <w:szCs w:val="24"/>
        </w:rPr>
        <w:t xml:space="preserve"> each resident every 60 days or more frequently if </w:t>
      </w:r>
      <w:r w:rsidR="00DF4715" w:rsidRPr="695818A5">
        <w:rPr>
          <w:sz w:val="24"/>
          <w:szCs w:val="24"/>
        </w:rPr>
        <w:t xml:space="preserve">a </w:t>
      </w:r>
      <w:r w:rsidRPr="695818A5">
        <w:rPr>
          <w:sz w:val="24"/>
          <w:szCs w:val="24"/>
        </w:rPr>
        <w:t xml:space="preserve">concern or </w:t>
      </w:r>
      <w:r w:rsidR="00730574" w:rsidRPr="695818A5">
        <w:rPr>
          <w:sz w:val="24"/>
          <w:szCs w:val="24"/>
        </w:rPr>
        <w:t xml:space="preserve">change </w:t>
      </w:r>
      <w:r w:rsidR="00DF4715" w:rsidRPr="695818A5">
        <w:rPr>
          <w:sz w:val="24"/>
          <w:szCs w:val="24"/>
        </w:rPr>
        <w:t>in</w:t>
      </w:r>
      <w:r w:rsidR="00730574" w:rsidRPr="695818A5">
        <w:rPr>
          <w:sz w:val="24"/>
          <w:szCs w:val="24"/>
        </w:rPr>
        <w:t xml:space="preserve"> condition </w:t>
      </w:r>
      <w:r w:rsidRPr="695818A5">
        <w:rPr>
          <w:sz w:val="24"/>
          <w:szCs w:val="24"/>
        </w:rPr>
        <w:t xml:space="preserve">arises, </w:t>
      </w:r>
      <w:r w:rsidR="003C2F8A" w:rsidRPr="695818A5">
        <w:rPr>
          <w:sz w:val="24"/>
          <w:szCs w:val="24"/>
        </w:rPr>
        <w:t>as discussed in Factor 1</w:t>
      </w:r>
      <w:r w:rsidR="004F6A85" w:rsidRPr="695818A5">
        <w:rPr>
          <w:sz w:val="24"/>
          <w:szCs w:val="24"/>
        </w:rPr>
        <w:t>(</w:t>
      </w:r>
      <w:r w:rsidR="003C2F8A" w:rsidRPr="695818A5">
        <w:rPr>
          <w:sz w:val="24"/>
          <w:szCs w:val="24"/>
        </w:rPr>
        <w:t>b</w:t>
      </w:r>
      <w:r w:rsidR="004F6A85" w:rsidRPr="695818A5">
        <w:rPr>
          <w:sz w:val="24"/>
          <w:szCs w:val="24"/>
        </w:rPr>
        <w:t>)</w:t>
      </w:r>
      <w:r w:rsidR="003C2F8A" w:rsidRPr="695818A5">
        <w:rPr>
          <w:sz w:val="24"/>
          <w:szCs w:val="24"/>
        </w:rPr>
        <w:t>.</w:t>
      </w:r>
      <w:r w:rsidR="00730574" w:rsidRPr="695818A5">
        <w:rPr>
          <w:sz w:val="24"/>
          <w:szCs w:val="24"/>
        </w:rPr>
        <w:t xml:space="preserve"> </w:t>
      </w:r>
      <w:r w:rsidRPr="695818A5">
        <w:rPr>
          <w:sz w:val="24"/>
          <w:szCs w:val="24"/>
        </w:rPr>
        <w:t>C</w:t>
      </w:r>
      <w:r w:rsidR="00730574" w:rsidRPr="695818A5">
        <w:rPr>
          <w:sz w:val="24"/>
          <w:szCs w:val="24"/>
        </w:rPr>
        <w:t xml:space="preserve">hanges in the care plan will be </w:t>
      </w:r>
      <w:r w:rsidRPr="695818A5">
        <w:rPr>
          <w:sz w:val="24"/>
          <w:szCs w:val="24"/>
        </w:rPr>
        <w:t>ent</w:t>
      </w:r>
      <w:r w:rsidR="00F15295" w:rsidRPr="695818A5">
        <w:rPr>
          <w:sz w:val="24"/>
          <w:szCs w:val="24"/>
        </w:rPr>
        <w:t>ered</w:t>
      </w:r>
      <w:r w:rsidRPr="695818A5">
        <w:rPr>
          <w:sz w:val="24"/>
          <w:szCs w:val="24"/>
        </w:rPr>
        <w:t xml:space="preserve"> in </w:t>
      </w:r>
      <w:r w:rsidR="00730574" w:rsidRPr="695818A5">
        <w:rPr>
          <w:sz w:val="24"/>
          <w:szCs w:val="24"/>
        </w:rPr>
        <w:t>the resident’s electronic medical record (EMR)</w:t>
      </w:r>
      <w:r w:rsidR="00F15295" w:rsidRPr="695818A5">
        <w:rPr>
          <w:sz w:val="24"/>
          <w:szCs w:val="24"/>
        </w:rPr>
        <w:t xml:space="preserve"> </w:t>
      </w:r>
      <w:r w:rsidR="00730574" w:rsidRPr="695818A5">
        <w:rPr>
          <w:sz w:val="24"/>
          <w:szCs w:val="24"/>
        </w:rPr>
        <w:t xml:space="preserve">which will generate a message to users. Additionally, care plan changes </w:t>
      </w:r>
      <w:r w:rsidR="00A222B0" w:rsidRPr="695818A5">
        <w:rPr>
          <w:sz w:val="24"/>
          <w:szCs w:val="24"/>
        </w:rPr>
        <w:t xml:space="preserve">are communicated </w:t>
      </w:r>
      <w:r w:rsidR="00730574" w:rsidRPr="695818A5">
        <w:rPr>
          <w:sz w:val="24"/>
          <w:szCs w:val="24"/>
        </w:rPr>
        <w:t xml:space="preserve">in the </w:t>
      </w:r>
      <w:r w:rsidR="00F15295" w:rsidRPr="695818A5">
        <w:rPr>
          <w:sz w:val="24"/>
          <w:szCs w:val="24"/>
        </w:rPr>
        <w:t xml:space="preserve">change in </w:t>
      </w:r>
      <w:r w:rsidR="00730574" w:rsidRPr="695818A5">
        <w:rPr>
          <w:sz w:val="24"/>
          <w:szCs w:val="24"/>
        </w:rPr>
        <w:t xml:space="preserve">shift report, team meetings, and a written communication book. </w:t>
      </w:r>
      <w:r w:rsidR="00F15295" w:rsidRPr="695818A5">
        <w:rPr>
          <w:sz w:val="24"/>
          <w:szCs w:val="24"/>
        </w:rPr>
        <w:t>As a result, t</w:t>
      </w:r>
      <w:r w:rsidR="00730574" w:rsidRPr="695818A5">
        <w:rPr>
          <w:sz w:val="24"/>
          <w:szCs w:val="24"/>
        </w:rPr>
        <w:t xml:space="preserve">hese procedures </w:t>
      </w:r>
      <w:r w:rsidR="00F15295" w:rsidRPr="695818A5">
        <w:rPr>
          <w:sz w:val="24"/>
          <w:szCs w:val="24"/>
        </w:rPr>
        <w:t xml:space="preserve">ensure </w:t>
      </w:r>
      <w:r w:rsidR="00730574" w:rsidRPr="695818A5">
        <w:rPr>
          <w:sz w:val="24"/>
          <w:szCs w:val="24"/>
        </w:rPr>
        <w:t xml:space="preserve">efficient and effective communication of </w:t>
      </w:r>
      <w:r w:rsidR="00F15295" w:rsidRPr="695818A5">
        <w:rPr>
          <w:sz w:val="24"/>
          <w:szCs w:val="24"/>
        </w:rPr>
        <w:t xml:space="preserve">individual </w:t>
      </w:r>
      <w:r w:rsidR="00730574" w:rsidRPr="695818A5">
        <w:rPr>
          <w:sz w:val="24"/>
          <w:szCs w:val="24"/>
        </w:rPr>
        <w:t>care plans and foster a team-based approach to resident care.</w:t>
      </w:r>
      <w:r w:rsidR="003C2F8A" w:rsidRPr="695818A5">
        <w:rPr>
          <w:sz w:val="24"/>
          <w:szCs w:val="24"/>
        </w:rPr>
        <w:t xml:space="preserve"> </w:t>
      </w:r>
    </w:p>
    <w:p w14:paraId="607C0F97" w14:textId="186C8946" w:rsidR="00730574" w:rsidRPr="00376AFF" w:rsidRDefault="00730574" w:rsidP="008327B2">
      <w:pPr>
        <w:spacing w:before="240" w:line="240" w:lineRule="auto"/>
        <w:rPr>
          <w:sz w:val="24"/>
          <w:szCs w:val="24"/>
        </w:rPr>
      </w:pPr>
      <w:r w:rsidRPr="00376AFF">
        <w:rPr>
          <w:sz w:val="24"/>
          <w:szCs w:val="24"/>
        </w:rPr>
        <w:t>When residents</w:t>
      </w:r>
      <w:r w:rsidR="00A222B0" w:rsidRPr="00376AFF">
        <w:rPr>
          <w:sz w:val="24"/>
          <w:szCs w:val="24"/>
        </w:rPr>
        <w:t xml:space="preserve"> have offsite appointments</w:t>
      </w:r>
      <w:r w:rsidRPr="00376AFF">
        <w:rPr>
          <w:sz w:val="24"/>
          <w:szCs w:val="24"/>
        </w:rPr>
        <w:t xml:space="preserve">, a paper copy of the resident’s medical file </w:t>
      </w:r>
      <w:r w:rsidR="00A222B0" w:rsidRPr="00376AFF">
        <w:rPr>
          <w:sz w:val="24"/>
          <w:szCs w:val="24"/>
        </w:rPr>
        <w:t>will</w:t>
      </w:r>
      <w:r w:rsidRPr="00376AFF">
        <w:rPr>
          <w:sz w:val="24"/>
          <w:szCs w:val="24"/>
        </w:rPr>
        <w:t xml:space="preserve"> accompany the resident</w:t>
      </w:r>
      <w:r w:rsidR="00A222B0" w:rsidRPr="00376AFF">
        <w:rPr>
          <w:sz w:val="24"/>
          <w:szCs w:val="24"/>
        </w:rPr>
        <w:t xml:space="preserve"> </w:t>
      </w:r>
      <w:r w:rsidR="00F15295">
        <w:rPr>
          <w:sz w:val="24"/>
          <w:szCs w:val="24"/>
        </w:rPr>
        <w:t xml:space="preserve">ensuring </w:t>
      </w:r>
      <w:r w:rsidRPr="00376AFF">
        <w:rPr>
          <w:sz w:val="24"/>
          <w:szCs w:val="24"/>
        </w:rPr>
        <w:t xml:space="preserve">outside providers have access to all pertinent information within the resident’s </w:t>
      </w:r>
      <w:r w:rsidR="00E227EE" w:rsidRPr="00376AFF">
        <w:rPr>
          <w:sz w:val="24"/>
          <w:szCs w:val="24"/>
        </w:rPr>
        <w:t>records and</w:t>
      </w:r>
      <w:r w:rsidR="00A222B0" w:rsidRPr="00376AFF">
        <w:rPr>
          <w:sz w:val="24"/>
          <w:szCs w:val="24"/>
        </w:rPr>
        <w:t xml:space="preserve"> </w:t>
      </w:r>
      <w:r w:rsidRPr="00376AFF">
        <w:rPr>
          <w:sz w:val="24"/>
          <w:szCs w:val="24"/>
        </w:rPr>
        <w:t xml:space="preserve">contributing to coordination of care. Additionally, the facility will have a telemedicine program in place, increasing access to specialists both on and off the </w:t>
      </w:r>
      <w:r w:rsidR="00DF4715" w:rsidRPr="00376AFF">
        <w:rPr>
          <w:sz w:val="24"/>
          <w:szCs w:val="24"/>
        </w:rPr>
        <w:t>I</w:t>
      </w:r>
      <w:r w:rsidRPr="00376AFF">
        <w:rPr>
          <w:sz w:val="24"/>
          <w:szCs w:val="24"/>
        </w:rPr>
        <w:t>sland</w:t>
      </w:r>
      <w:r w:rsidR="00DF4715" w:rsidRPr="00376AFF">
        <w:rPr>
          <w:sz w:val="24"/>
          <w:szCs w:val="24"/>
        </w:rPr>
        <w:t xml:space="preserve"> which </w:t>
      </w:r>
      <w:r w:rsidRPr="00376AFF">
        <w:rPr>
          <w:sz w:val="24"/>
          <w:szCs w:val="24"/>
        </w:rPr>
        <w:t>will enhance communication among the resident’s care team and foster involvement in the resident’s care plan.</w:t>
      </w:r>
    </w:p>
    <w:p w14:paraId="65B36D0D" w14:textId="77777777" w:rsidR="00031BAC" w:rsidRDefault="00730574" w:rsidP="008327B2">
      <w:pPr>
        <w:spacing w:before="240" w:line="240" w:lineRule="auto"/>
        <w:rPr>
          <w:sz w:val="24"/>
          <w:szCs w:val="24"/>
        </w:rPr>
      </w:pPr>
      <w:r w:rsidRPr="00376AFF">
        <w:rPr>
          <w:sz w:val="24"/>
          <w:szCs w:val="24"/>
        </w:rPr>
        <w:t xml:space="preserve">The facility also will have policies and procedures to address and plan for a resident’s discharge. The facility’s social worker </w:t>
      </w:r>
      <w:r w:rsidR="00F15295">
        <w:rPr>
          <w:sz w:val="24"/>
          <w:szCs w:val="24"/>
        </w:rPr>
        <w:t xml:space="preserve">will be </w:t>
      </w:r>
      <w:r w:rsidRPr="00376AFF">
        <w:rPr>
          <w:sz w:val="24"/>
          <w:szCs w:val="24"/>
        </w:rPr>
        <w:t>responsible for leading all discharge planning efforts</w:t>
      </w:r>
      <w:r w:rsidR="00031BAC">
        <w:rPr>
          <w:sz w:val="24"/>
          <w:szCs w:val="24"/>
        </w:rPr>
        <w:t>. F</w:t>
      </w:r>
      <w:r w:rsidRPr="00376AFF">
        <w:rPr>
          <w:sz w:val="24"/>
          <w:szCs w:val="24"/>
        </w:rPr>
        <w:t xml:space="preserve">or short-term rehab patients </w:t>
      </w:r>
      <w:r w:rsidR="00031BAC">
        <w:rPr>
          <w:sz w:val="24"/>
          <w:szCs w:val="24"/>
        </w:rPr>
        <w:t xml:space="preserve">whose length of stay is </w:t>
      </w:r>
      <w:r w:rsidRPr="00376AFF">
        <w:rPr>
          <w:sz w:val="24"/>
          <w:szCs w:val="24"/>
        </w:rPr>
        <w:t>approximately two weeks, the discharge planning process begins shortly after admi</w:t>
      </w:r>
      <w:r w:rsidR="00031BAC">
        <w:rPr>
          <w:sz w:val="24"/>
          <w:szCs w:val="24"/>
        </w:rPr>
        <w:t>ssion</w:t>
      </w:r>
      <w:r w:rsidRPr="00376AFF">
        <w:rPr>
          <w:sz w:val="24"/>
          <w:szCs w:val="24"/>
        </w:rPr>
        <w:t xml:space="preserve">. The social worker meets with the patient’s clinical team </w:t>
      </w:r>
      <w:r w:rsidR="00031BAC">
        <w:rPr>
          <w:sz w:val="24"/>
          <w:szCs w:val="24"/>
        </w:rPr>
        <w:t>(</w:t>
      </w:r>
      <w:r w:rsidRPr="00376AFF">
        <w:rPr>
          <w:sz w:val="24"/>
          <w:szCs w:val="24"/>
        </w:rPr>
        <w:t>including nursing, rehab, dietary, pharmacy</w:t>
      </w:r>
      <w:r w:rsidR="00031BAC">
        <w:rPr>
          <w:sz w:val="24"/>
          <w:szCs w:val="24"/>
        </w:rPr>
        <w:t xml:space="preserve">) and family to develop </w:t>
      </w:r>
      <w:r w:rsidRPr="00376AFF">
        <w:rPr>
          <w:sz w:val="24"/>
          <w:szCs w:val="24"/>
        </w:rPr>
        <w:t xml:space="preserve">a </w:t>
      </w:r>
      <w:r w:rsidR="00031BAC">
        <w:rPr>
          <w:sz w:val="24"/>
          <w:szCs w:val="24"/>
        </w:rPr>
        <w:t xml:space="preserve">written </w:t>
      </w:r>
      <w:r w:rsidRPr="00376AFF">
        <w:rPr>
          <w:sz w:val="24"/>
          <w:szCs w:val="24"/>
        </w:rPr>
        <w:t xml:space="preserve">discharge care plan </w:t>
      </w:r>
      <w:r w:rsidR="00031BAC">
        <w:rPr>
          <w:sz w:val="24"/>
          <w:szCs w:val="24"/>
        </w:rPr>
        <w:t xml:space="preserve">for </w:t>
      </w:r>
      <w:r w:rsidRPr="00376AFF">
        <w:rPr>
          <w:sz w:val="24"/>
          <w:szCs w:val="24"/>
        </w:rPr>
        <w:t>the patient. If the patient is being discharged to home, the discharge planning will coordi</w:t>
      </w:r>
      <w:r w:rsidR="00031BAC">
        <w:rPr>
          <w:sz w:val="24"/>
          <w:szCs w:val="24"/>
        </w:rPr>
        <w:t xml:space="preserve">nate with </w:t>
      </w:r>
      <w:r w:rsidRPr="00376AFF">
        <w:rPr>
          <w:sz w:val="24"/>
          <w:szCs w:val="24"/>
        </w:rPr>
        <w:t xml:space="preserve">any wrap-around services such as medical equipment, specialist follow-up, and other </w:t>
      </w:r>
      <w:r w:rsidR="00031BAC">
        <w:rPr>
          <w:sz w:val="24"/>
          <w:szCs w:val="24"/>
        </w:rPr>
        <w:t xml:space="preserve">ongoing needs of </w:t>
      </w:r>
      <w:r w:rsidRPr="00376AFF">
        <w:rPr>
          <w:sz w:val="24"/>
          <w:szCs w:val="24"/>
        </w:rPr>
        <w:t xml:space="preserve">the resident. All information will be communicated verbally and in writing to the patient and the individual responsible for the patient’s care post-discharge. The social worker will follow up with the patient and/or family as appropriate </w:t>
      </w:r>
      <w:r w:rsidR="00031BAC">
        <w:rPr>
          <w:sz w:val="24"/>
          <w:szCs w:val="24"/>
        </w:rPr>
        <w:t xml:space="preserve">and </w:t>
      </w:r>
      <w:r w:rsidRPr="00376AFF">
        <w:rPr>
          <w:sz w:val="24"/>
          <w:szCs w:val="24"/>
        </w:rPr>
        <w:t xml:space="preserve">to ensure continuity of care subsequent to the patient’s discharge. </w:t>
      </w:r>
    </w:p>
    <w:p w14:paraId="126EEEE5" w14:textId="6769548A" w:rsidR="00730574" w:rsidRPr="00376AFF" w:rsidRDefault="00730574" w:rsidP="008327B2">
      <w:pPr>
        <w:spacing w:before="240" w:line="240" w:lineRule="auto"/>
        <w:rPr>
          <w:sz w:val="24"/>
          <w:szCs w:val="24"/>
        </w:rPr>
      </w:pPr>
      <w:r w:rsidRPr="00376AFF">
        <w:rPr>
          <w:sz w:val="24"/>
          <w:szCs w:val="24"/>
        </w:rPr>
        <w:t xml:space="preserve">The Applicant </w:t>
      </w:r>
      <w:r w:rsidR="00031BAC">
        <w:rPr>
          <w:sz w:val="24"/>
          <w:szCs w:val="24"/>
        </w:rPr>
        <w:t xml:space="preserve">states that in recognition of </w:t>
      </w:r>
      <w:r w:rsidRPr="00376AFF">
        <w:rPr>
          <w:sz w:val="24"/>
          <w:szCs w:val="24"/>
        </w:rPr>
        <w:t>the importance of care coordination among and between the resident and his/her entire care team within and outside of the facility</w:t>
      </w:r>
      <w:r w:rsidR="002225C5">
        <w:rPr>
          <w:sz w:val="24"/>
          <w:szCs w:val="24"/>
        </w:rPr>
        <w:t xml:space="preserve">, it </w:t>
      </w:r>
      <w:r w:rsidRPr="00376AFF">
        <w:rPr>
          <w:sz w:val="24"/>
          <w:szCs w:val="24"/>
        </w:rPr>
        <w:t xml:space="preserve">will ensure that the facility’s policies and procedures facilitate quality coordination of care for its residents. </w:t>
      </w:r>
    </w:p>
    <w:p w14:paraId="30D63D55" w14:textId="19BEB898" w:rsidR="00861FA8" w:rsidRPr="005D18D3" w:rsidRDefault="00861FA8" w:rsidP="008327B2">
      <w:pPr>
        <w:spacing w:before="240" w:line="240" w:lineRule="auto"/>
        <w:rPr>
          <w:b/>
          <w:bCs/>
          <w:i/>
          <w:iCs/>
          <w:color w:val="1F4E79" w:themeColor="accent5" w:themeShade="80"/>
          <w:sz w:val="24"/>
          <w:szCs w:val="24"/>
        </w:rPr>
      </w:pPr>
      <w:r w:rsidRPr="005D18D3">
        <w:rPr>
          <w:b/>
          <w:bCs/>
          <w:i/>
          <w:iCs/>
          <w:color w:val="1F4E79" w:themeColor="accent5" w:themeShade="80"/>
          <w:sz w:val="24"/>
          <w:szCs w:val="24"/>
        </w:rPr>
        <w:t>Analysis</w:t>
      </w:r>
    </w:p>
    <w:p w14:paraId="44BC6055" w14:textId="6C6071B1" w:rsidR="00861FA8" w:rsidRPr="00376AFF" w:rsidRDefault="00861FA8" w:rsidP="00861FA8">
      <w:pPr>
        <w:spacing w:before="240" w:line="240" w:lineRule="auto"/>
        <w:rPr>
          <w:sz w:val="24"/>
          <w:szCs w:val="24"/>
        </w:rPr>
      </w:pPr>
      <w:r w:rsidRPr="00376AFF">
        <w:rPr>
          <w:sz w:val="24"/>
          <w:szCs w:val="24"/>
        </w:rPr>
        <w:lastRenderedPageBreak/>
        <w:t>Staff finds that the Applicant has sufficiently described meaningful programs to demonstrate it has met Factor 1</w:t>
      </w:r>
      <w:r w:rsidR="00D67F5D" w:rsidRPr="00376AFF">
        <w:rPr>
          <w:sz w:val="24"/>
          <w:szCs w:val="24"/>
        </w:rPr>
        <w:t>(</w:t>
      </w:r>
      <w:r w:rsidRPr="00376AFF">
        <w:rPr>
          <w:sz w:val="24"/>
          <w:szCs w:val="24"/>
        </w:rPr>
        <w:t>c).</w:t>
      </w:r>
    </w:p>
    <w:p w14:paraId="28F3A1FE" w14:textId="77777777" w:rsidR="00861FA8" w:rsidRPr="0075155F" w:rsidRDefault="00861FA8" w:rsidP="002B6A40">
      <w:pPr>
        <w:pStyle w:val="Heading2"/>
        <w:rPr>
          <w:rFonts w:asciiTheme="minorHAnsi" w:hAnsiTheme="minorHAnsi" w:cstheme="minorHAnsi"/>
          <w:color w:val="1F4E79" w:themeColor="accent5" w:themeShade="80"/>
        </w:rPr>
      </w:pPr>
      <w:bookmarkStart w:id="20" w:name="_Toc129354644"/>
      <w:r w:rsidRPr="0075155F">
        <w:rPr>
          <w:rFonts w:asciiTheme="minorHAnsi" w:hAnsiTheme="minorHAnsi" w:cstheme="minorHAnsi"/>
          <w:color w:val="1F4E79" w:themeColor="accent5" w:themeShade="80"/>
        </w:rPr>
        <w:t>Factor 1d) Consultation</w:t>
      </w:r>
      <w:bookmarkEnd w:id="20"/>
    </w:p>
    <w:p w14:paraId="503F56D9" w14:textId="259A5AFA" w:rsidR="00861FA8" w:rsidRPr="00861FA8" w:rsidRDefault="00861FA8" w:rsidP="00861FA8">
      <w:pPr>
        <w:spacing w:before="240" w:line="240" w:lineRule="auto"/>
        <w:rPr>
          <w:sz w:val="24"/>
          <w:szCs w:val="24"/>
        </w:rPr>
      </w:pPr>
      <w:r w:rsidRPr="00861FA8">
        <w:rPr>
          <w:sz w:val="24"/>
          <w:szCs w:val="24"/>
        </w:rPr>
        <w:t>The Applicant has provided evidence of consultation, both prior to and after the Filing Date, with all government agencies that have licensure, certification or other regulatory oversight, which has been done and will not be addressed further in this report.</w:t>
      </w:r>
    </w:p>
    <w:p w14:paraId="1A45C511" w14:textId="3D7BC4F2" w:rsidR="00B045B7" w:rsidRPr="0075155F" w:rsidRDefault="008219FE" w:rsidP="008219FE">
      <w:pPr>
        <w:pStyle w:val="Heading2"/>
        <w:rPr>
          <w:rFonts w:asciiTheme="minorHAnsi" w:hAnsiTheme="minorHAnsi" w:cstheme="minorHAnsi"/>
          <w:color w:val="1F4E79" w:themeColor="accent5" w:themeShade="80"/>
        </w:rPr>
      </w:pPr>
      <w:bookmarkStart w:id="21" w:name="_Toc129354645"/>
      <w:r w:rsidRPr="0075155F">
        <w:rPr>
          <w:rFonts w:asciiTheme="minorHAnsi" w:hAnsiTheme="minorHAnsi" w:cstheme="minorHAnsi"/>
          <w:color w:val="1F4E79" w:themeColor="accent5" w:themeShade="80"/>
        </w:rPr>
        <w:t>Factor 1</w:t>
      </w:r>
      <w:r w:rsidR="00861FA8" w:rsidRPr="0075155F">
        <w:rPr>
          <w:rFonts w:asciiTheme="minorHAnsi" w:hAnsiTheme="minorHAnsi" w:cstheme="minorHAnsi"/>
          <w:color w:val="1F4E79" w:themeColor="accent5" w:themeShade="80"/>
        </w:rPr>
        <w:t>e</w:t>
      </w:r>
      <w:r w:rsidRPr="0075155F">
        <w:rPr>
          <w:rFonts w:asciiTheme="minorHAnsi" w:hAnsiTheme="minorHAnsi" w:cstheme="minorHAnsi"/>
          <w:color w:val="1F4E79" w:themeColor="accent5" w:themeShade="80"/>
        </w:rPr>
        <w:t xml:space="preserve">) </w:t>
      </w:r>
      <w:r w:rsidR="00B045B7" w:rsidRPr="0075155F">
        <w:rPr>
          <w:rFonts w:asciiTheme="minorHAnsi" w:hAnsiTheme="minorHAnsi" w:cstheme="minorHAnsi"/>
          <w:color w:val="1F4E79" w:themeColor="accent5" w:themeShade="80"/>
        </w:rPr>
        <w:t>Community Engagement</w:t>
      </w:r>
      <w:bookmarkEnd w:id="21"/>
    </w:p>
    <w:p w14:paraId="2E7606E0" w14:textId="77777777" w:rsidR="00861FA8" w:rsidRPr="00630166" w:rsidRDefault="00861FA8" w:rsidP="00630166">
      <w:pPr>
        <w:spacing w:before="240" w:line="240" w:lineRule="auto"/>
        <w:rPr>
          <w:sz w:val="24"/>
          <w:szCs w:val="24"/>
        </w:rPr>
      </w:pPr>
      <w:r w:rsidRPr="00630166">
        <w:rPr>
          <w:sz w:val="24"/>
          <w:szCs w:val="24"/>
        </w:rPr>
        <w:t>The Department’s Guideline for community engagement defines “community” as the Patient Panel and requires that, at minimum, the Applicant must “consult” with groups representative of the Applicant’s Patient Panel. Regulations state that efforts in such consultation should consist of “engaging community coalitions statistically representative of the Patient Panel.”</w:t>
      </w:r>
    </w:p>
    <w:p w14:paraId="560241EC" w14:textId="131426DC" w:rsidR="00730574" w:rsidRPr="00630166" w:rsidRDefault="00425620" w:rsidP="00630166">
      <w:pPr>
        <w:spacing w:before="240" w:line="240" w:lineRule="auto"/>
        <w:rPr>
          <w:sz w:val="24"/>
          <w:szCs w:val="24"/>
        </w:rPr>
      </w:pPr>
      <w:r w:rsidRPr="00630166">
        <w:rPr>
          <w:sz w:val="24"/>
          <w:szCs w:val="24"/>
        </w:rPr>
        <w:t>T</w:t>
      </w:r>
      <w:r w:rsidR="00730574" w:rsidRPr="00630166">
        <w:rPr>
          <w:sz w:val="24"/>
          <w:szCs w:val="24"/>
        </w:rPr>
        <w:t xml:space="preserve">o ensure appropriate community engagement, the Applicant </w:t>
      </w:r>
      <w:r w:rsidRPr="00630166">
        <w:rPr>
          <w:sz w:val="24"/>
          <w:szCs w:val="24"/>
        </w:rPr>
        <w:t>attended</w:t>
      </w:r>
      <w:r w:rsidR="00730574" w:rsidRPr="00630166">
        <w:rPr>
          <w:sz w:val="24"/>
          <w:szCs w:val="24"/>
        </w:rPr>
        <w:t xml:space="preserve"> </w:t>
      </w:r>
      <w:r w:rsidR="00630166" w:rsidRPr="00630166">
        <w:rPr>
          <w:sz w:val="24"/>
          <w:szCs w:val="24"/>
        </w:rPr>
        <w:t xml:space="preserve">over </w:t>
      </w:r>
      <w:r w:rsidRPr="00630166">
        <w:rPr>
          <w:sz w:val="24"/>
          <w:szCs w:val="24"/>
        </w:rPr>
        <w:t xml:space="preserve">20 </w:t>
      </w:r>
      <w:r w:rsidR="00730574" w:rsidRPr="00630166">
        <w:rPr>
          <w:sz w:val="24"/>
          <w:szCs w:val="24"/>
        </w:rPr>
        <w:t xml:space="preserve">meetings regarding the Proposed Project with </w:t>
      </w:r>
      <w:r w:rsidRPr="00630166">
        <w:rPr>
          <w:sz w:val="24"/>
          <w:szCs w:val="24"/>
        </w:rPr>
        <w:t xml:space="preserve">Windemere’s </w:t>
      </w:r>
      <w:r w:rsidR="00730574" w:rsidRPr="00630166">
        <w:rPr>
          <w:sz w:val="24"/>
          <w:szCs w:val="24"/>
        </w:rPr>
        <w:t xml:space="preserve">current residents, family members, and </w:t>
      </w:r>
      <w:r w:rsidRPr="00630166">
        <w:rPr>
          <w:sz w:val="24"/>
          <w:szCs w:val="24"/>
        </w:rPr>
        <w:t>I</w:t>
      </w:r>
      <w:r w:rsidR="00730574" w:rsidRPr="00630166">
        <w:rPr>
          <w:sz w:val="24"/>
          <w:szCs w:val="24"/>
        </w:rPr>
        <w:t xml:space="preserve">sland </w:t>
      </w:r>
      <w:r w:rsidRPr="00630166">
        <w:rPr>
          <w:sz w:val="24"/>
          <w:szCs w:val="24"/>
        </w:rPr>
        <w:t>community members at churches, Town Meetings, libraries, Planning Boards and radio interviews</w:t>
      </w:r>
      <w:r w:rsidR="00730574" w:rsidRPr="00630166">
        <w:rPr>
          <w:sz w:val="24"/>
          <w:szCs w:val="24"/>
        </w:rPr>
        <w:t xml:space="preserve">. </w:t>
      </w:r>
      <w:r w:rsidRPr="00630166">
        <w:rPr>
          <w:sz w:val="24"/>
          <w:szCs w:val="24"/>
        </w:rPr>
        <w:t>T</w:t>
      </w:r>
      <w:r w:rsidR="00730574" w:rsidRPr="00630166">
        <w:rPr>
          <w:sz w:val="24"/>
          <w:szCs w:val="24"/>
        </w:rPr>
        <w:t xml:space="preserve">hese provided an opportunity for the Applicant to </w:t>
      </w:r>
      <w:r w:rsidRPr="00630166">
        <w:rPr>
          <w:sz w:val="24"/>
          <w:szCs w:val="24"/>
        </w:rPr>
        <w:t xml:space="preserve">present information about the Proposed Project also and </w:t>
      </w:r>
      <w:r w:rsidR="00730574" w:rsidRPr="00630166">
        <w:rPr>
          <w:sz w:val="24"/>
          <w:szCs w:val="24"/>
        </w:rPr>
        <w:t>obtain feedback and answer questions.</w:t>
      </w:r>
      <w:r w:rsidR="00630166" w:rsidRPr="00630166">
        <w:rPr>
          <w:rStyle w:val="FootnoteReference"/>
          <w:sz w:val="24"/>
          <w:szCs w:val="24"/>
        </w:rPr>
        <w:footnoteReference w:id="22"/>
      </w:r>
      <w:r w:rsidR="00630166" w:rsidRPr="00630166">
        <w:rPr>
          <w:sz w:val="24"/>
          <w:szCs w:val="24"/>
        </w:rPr>
        <w:t xml:space="preserve"> </w:t>
      </w:r>
      <w:r w:rsidR="00730574" w:rsidRPr="00630166">
        <w:rPr>
          <w:sz w:val="24"/>
          <w:szCs w:val="24"/>
        </w:rPr>
        <w:t>Feedback at each of these meetings was supportive of the Proposed Project.</w:t>
      </w:r>
      <w:r w:rsidR="00630166" w:rsidRPr="00630166">
        <w:rPr>
          <w:rStyle w:val="FootnoteReference"/>
          <w:sz w:val="24"/>
          <w:szCs w:val="24"/>
        </w:rPr>
        <w:footnoteReference w:id="23"/>
      </w:r>
    </w:p>
    <w:p w14:paraId="01A5E496" w14:textId="23E7845B" w:rsidR="00B045B7" w:rsidRPr="005D18D3" w:rsidRDefault="00861FA8" w:rsidP="00B045B7">
      <w:pPr>
        <w:rPr>
          <w:b/>
          <w:bCs/>
          <w:i/>
          <w:iCs/>
          <w:color w:val="1F4E79" w:themeColor="accent5" w:themeShade="80"/>
          <w:sz w:val="24"/>
          <w:szCs w:val="24"/>
        </w:rPr>
      </w:pPr>
      <w:r w:rsidRPr="005D18D3">
        <w:rPr>
          <w:b/>
          <w:bCs/>
          <w:i/>
          <w:iCs/>
          <w:color w:val="1F4E79" w:themeColor="accent5" w:themeShade="80"/>
          <w:sz w:val="24"/>
          <w:szCs w:val="24"/>
        </w:rPr>
        <w:t>Analysis</w:t>
      </w:r>
    </w:p>
    <w:p w14:paraId="7612F70B" w14:textId="0176715B" w:rsidR="00861FA8" w:rsidRPr="00861FA8" w:rsidRDefault="00861FA8" w:rsidP="00861FA8">
      <w:pPr>
        <w:spacing w:line="240" w:lineRule="auto"/>
        <w:rPr>
          <w:sz w:val="24"/>
          <w:szCs w:val="24"/>
        </w:rPr>
      </w:pPr>
      <w:r w:rsidRPr="00861FA8">
        <w:rPr>
          <w:sz w:val="24"/>
          <w:szCs w:val="24"/>
        </w:rPr>
        <w:lastRenderedPageBreak/>
        <w:t xml:space="preserve">Staff finds that the Applicant engaged a broad array of community coalitions and </w:t>
      </w:r>
      <w:r w:rsidR="000070AB">
        <w:rPr>
          <w:sz w:val="24"/>
          <w:szCs w:val="24"/>
        </w:rPr>
        <w:t xml:space="preserve">attended and </w:t>
      </w:r>
      <w:r w:rsidRPr="00861FA8">
        <w:rPr>
          <w:sz w:val="24"/>
          <w:szCs w:val="24"/>
        </w:rPr>
        <w:t>held multiple meetings and has therefore addressed the community engagement standard for Consult in the planning phase of the Proposed Project. As a result of the above analysis, Staff finds that the Applicant has met the provisions of Factor 1(e).</w:t>
      </w:r>
    </w:p>
    <w:p w14:paraId="245D2844" w14:textId="2C1ECCC4" w:rsidR="00B045B7" w:rsidRPr="0075155F" w:rsidRDefault="008219FE" w:rsidP="008219FE">
      <w:pPr>
        <w:pStyle w:val="Heading2"/>
        <w:rPr>
          <w:rFonts w:asciiTheme="minorHAnsi" w:hAnsiTheme="minorHAnsi" w:cstheme="minorHAnsi"/>
          <w:color w:val="1F4E79" w:themeColor="accent5" w:themeShade="80"/>
        </w:rPr>
      </w:pPr>
      <w:bookmarkStart w:id="22" w:name="_Toc129354646"/>
      <w:r w:rsidRPr="0075155F">
        <w:rPr>
          <w:rFonts w:asciiTheme="minorHAnsi" w:hAnsiTheme="minorHAnsi" w:cstheme="minorHAnsi"/>
          <w:color w:val="1F4E79" w:themeColor="accent5" w:themeShade="80"/>
        </w:rPr>
        <w:t xml:space="preserve">Factor 1f) </w:t>
      </w:r>
      <w:r w:rsidR="00B045B7" w:rsidRPr="0075155F">
        <w:rPr>
          <w:rFonts w:asciiTheme="minorHAnsi" w:hAnsiTheme="minorHAnsi" w:cstheme="minorHAnsi"/>
          <w:color w:val="1F4E79" w:themeColor="accent5" w:themeShade="80"/>
        </w:rPr>
        <w:t>Competition</w:t>
      </w:r>
      <w:bookmarkEnd w:id="22"/>
    </w:p>
    <w:p w14:paraId="6DF5D541" w14:textId="7237B1CA" w:rsidR="00B92A05" w:rsidRPr="00B876AB" w:rsidRDefault="00111B79" w:rsidP="00FA60F4">
      <w:pPr>
        <w:spacing w:before="240" w:line="240" w:lineRule="auto"/>
        <w:rPr>
          <w:sz w:val="24"/>
          <w:szCs w:val="24"/>
        </w:rPr>
      </w:pPr>
      <w:r w:rsidRPr="00B876AB">
        <w:rPr>
          <w:sz w:val="24"/>
          <w:szCs w:val="24"/>
        </w:rPr>
        <w:t>The Applicant asserts t</w:t>
      </w:r>
      <w:r w:rsidR="00FA60F4" w:rsidRPr="00B876AB">
        <w:rPr>
          <w:sz w:val="24"/>
          <w:szCs w:val="24"/>
        </w:rPr>
        <w:t>he Proposed Project will compete on the basis of price, total medical expenses (TME</w:t>
      </w:r>
      <w:r w:rsidR="00EE4C8D">
        <w:rPr>
          <w:sz w:val="24"/>
          <w:szCs w:val="24"/>
        </w:rPr>
        <w:t>)</w:t>
      </w:r>
      <w:r w:rsidR="00FA60F4" w:rsidRPr="00B876AB">
        <w:rPr>
          <w:sz w:val="24"/>
          <w:szCs w:val="24"/>
        </w:rPr>
        <w:t>, provider costs, and other recognized measures of health care spending</w:t>
      </w:r>
      <w:r w:rsidR="002225C5">
        <w:rPr>
          <w:sz w:val="24"/>
          <w:szCs w:val="24"/>
        </w:rPr>
        <w:t>.</w:t>
      </w:r>
      <w:r w:rsidR="00FA60F4" w:rsidRPr="00B876AB">
        <w:rPr>
          <w:sz w:val="24"/>
          <w:szCs w:val="24"/>
        </w:rPr>
        <w:t xml:space="preserve"> While reimbursement rates are not expected to decrease as a result of the Proposed Project, the Applicants anticipates overall health care costs will decrease through improve</w:t>
      </w:r>
      <w:r w:rsidR="002225C5">
        <w:rPr>
          <w:sz w:val="24"/>
          <w:szCs w:val="24"/>
        </w:rPr>
        <w:t>ments in</w:t>
      </w:r>
      <w:r w:rsidR="00FA60F4" w:rsidRPr="00B876AB">
        <w:rPr>
          <w:sz w:val="24"/>
          <w:szCs w:val="24"/>
        </w:rPr>
        <w:t xml:space="preserve"> quality of life and health outcomes</w:t>
      </w:r>
      <w:r w:rsidRPr="00B876AB">
        <w:rPr>
          <w:sz w:val="24"/>
          <w:szCs w:val="24"/>
        </w:rPr>
        <w:t xml:space="preserve"> </w:t>
      </w:r>
      <w:r w:rsidR="002225C5">
        <w:rPr>
          <w:sz w:val="24"/>
          <w:szCs w:val="24"/>
        </w:rPr>
        <w:t xml:space="preserve">leading to </w:t>
      </w:r>
      <w:r w:rsidRPr="00B876AB">
        <w:rPr>
          <w:sz w:val="24"/>
          <w:szCs w:val="24"/>
        </w:rPr>
        <w:t>savings due to fewer hospitalizations, catheterizations, pressure ulcers, a</w:t>
      </w:r>
      <w:r w:rsidR="00FA60F4" w:rsidRPr="00B876AB">
        <w:rPr>
          <w:sz w:val="24"/>
          <w:szCs w:val="24"/>
        </w:rPr>
        <w:t xml:space="preserve">s discussed </w:t>
      </w:r>
      <w:r w:rsidRPr="00B876AB">
        <w:rPr>
          <w:sz w:val="24"/>
          <w:szCs w:val="24"/>
        </w:rPr>
        <w:t>under Public Health Value.</w:t>
      </w:r>
      <w:r w:rsidR="00FA60F4" w:rsidRPr="00B876AB">
        <w:rPr>
          <w:sz w:val="24"/>
          <w:szCs w:val="24"/>
        </w:rPr>
        <w:t xml:space="preserve"> The studies </w:t>
      </w:r>
      <w:r w:rsidR="002225C5">
        <w:rPr>
          <w:sz w:val="24"/>
          <w:szCs w:val="24"/>
        </w:rPr>
        <w:t>also</w:t>
      </w:r>
      <w:r w:rsidR="00FA60F4" w:rsidRPr="00B876AB">
        <w:rPr>
          <w:sz w:val="24"/>
          <w:szCs w:val="24"/>
        </w:rPr>
        <w:t xml:space="preserve"> suggest that the Model’s patient-centered care and staffing model deliver improved health outcomes, thereby directly reducing TME and health care spending.</w:t>
      </w:r>
    </w:p>
    <w:p w14:paraId="657AB0A9" w14:textId="69812D12" w:rsidR="00B045B7" w:rsidRPr="000A72C1" w:rsidRDefault="000A72C1" w:rsidP="00B045B7">
      <w:pPr>
        <w:rPr>
          <w:sz w:val="24"/>
          <w:szCs w:val="24"/>
        </w:rPr>
      </w:pPr>
      <w:r>
        <w:rPr>
          <w:sz w:val="24"/>
          <w:szCs w:val="24"/>
        </w:rPr>
        <w:t>The Applicant asserts that o</w:t>
      </w:r>
      <w:r w:rsidR="00B045B7" w:rsidRPr="000A72C1">
        <w:rPr>
          <w:sz w:val="24"/>
          <w:szCs w:val="24"/>
        </w:rPr>
        <w:t xml:space="preserve">perating the </w:t>
      </w:r>
      <w:r w:rsidR="00A35F1F" w:rsidRPr="000A72C1">
        <w:rPr>
          <w:sz w:val="24"/>
          <w:szCs w:val="24"/>
        </w:rPr>
        <w:t xml:space="preserve">replacement facility </w:t>
      </w:r>
      <w:r w:rsidR="00B045B7" w:rsidRPr="000A72C1">
        <w:rPr>
          <w:sz w:val="24"/>
          <w:szCs w:val="24"/>
        </w:rPr>
        <w:t xml:space="preserve">will be more cost effective as the current building is old and requires costly emergency repairs. New technology advancements </w:t>
      </w:r>
      <w:r w:rsidR="00EA7887">
        <w:rPr>
          <w:sz w:val="24"/>
          <w:szCs w:val="24"/>
        </w:rPr>
        <w:t xml:space="preserve">for all appliances and infrastructure, </w:t>
      </w:r>
      <w:r w:rsidR="00B045B7" w:rsidRPr="000A72C1">
        <w:rPr>
          <w:sz w:val="24"/>
          <w:szCs w:val="24"/>
        </w:rPr>
        <w:t>will positively impact utility costs</w:t>
      </w:r>
      <w:r w:rsidR="006C5E9A">
        <w:rPr>
          <w:sz w:val="24"/>
          <w:szCs w:val="24"/>
        </w:rPr>
        <w:t xml:space="preserve">, </w:t>
      </w:r>
      <w:r w:rsidR="00D17D7D">
        <w:rPr>
          <w:sz w:val="24"/>
          <w:szCs w:val="24"/>
        </w:rPr>
        <w:t xml:space="preserve">and </w:t>
      </w:r>
      <w:r w:rsidR="00B045B7" w:rsidRPr="000A72C1">
        <w:rPr>
          <w:sz w:val="24"/>
          <w:szCs w:val="24"/>
        </w:rPr>
        <w:t xml:space="preserve">better air quality </w:t>
      </w:r>
      <w:r w:rsidR="002225C5">
        <w:rPr>
          <w:sz w:val="24"/>
          <w:szCs w:val="24"/>
        </w:rPr>
        <w:t xml:space="preserve">will improve </w:t>
      </w:r>
      <w:r w:rsidR="00D17D7D">
        <w:rPr>
          <w:sz w:val="24"/>
          <w:szCs w:val="24"/>
        </w:rPr>
        <w:t>infection control</w:t>
      </w:r>
      <w:r w:rsidR="002225C5">
        <w:rPr>
          <w:sz w:val="24"/>
          <w:szCs w:val="24"/>
        </w:rPr>
        <w:t>. T</w:t>
      </w:r>
      <w:r w:rsidR="00B045B7" w:rsidRPr="000A72C1">
        <w:rPr>
          <w:sz w:val="24"/>
          <w:szCs w:val="24"/>
        </w:rPr>
        <w:t xml:space="preserve">he layout of the </w:t>
      </w:r>
      <w:r w:rsidR="002225C5">
        <w:rPr>
          <w:sz w:val="24"/>
          <w:szCs w:val="24"/>
        </w:rPr>
        <w:t>r</w:t>
      </w:r>
      <w:r w:rsidR="00B045B7" w:rsidRPr="000A72C1">
        <w:rPr>
          <w:sz w:val="24"/>
          <w:szCs w:val="24"/>
        </w:rPr>
        <w:t xml:space="preserve">eplacement </w:t>
      </w:r>
      <w:r w:rsidR="002225C5">
        <w:rPr>
          <w:sz w:val="24"/>
          <w:szCs w:val="24"/>
        </w:rPr>
        <w:t>f</w:t>
      </w:r>
      <w:r w:rsidR="00B045B7" w:rsidRPr="000A72C1">
        <w:rPr>
          <w:sz w:val="24"/>
          <w:szCs w:val="24"/>
        </w:rPr>
        <w:t>acility will allow direct care staff to function more efficiently.</w:t>
      </w:r>
    </w:p>
    <w:p w14:paraId="720B59FD" w14:textId="1574EEDA" w:rsidR="00861FA8" w:rsidRPr="006068FE" w:rsidRDefault="00861FA8" w:rsidP="00861FA8">
      <w:pPr>
        <w:rPr>
          <w:b/>
          <w:i/>
          <w:color w:val="1F4E79" w:themeColor="accent5" w:themeShade="80"/>
          <w:sz w:val="24"/>
          <w:szCs w:val="24"/>
        </w:rPr>
      </w:pPr>
      <w:r w:rsidRPr="006068FE">
        <w:rPr>
          <w:b/>
          <w:i/>
          <w:color w:val="1F4E79" w:themeColor="accent5" w:themeShade="80"/>
          <w:sz w:val="24"/>
          <w:szCs w:val="24"/>
        </w:rPr>
        <w:t>Analysis</w:t>
      </w:r>
    </w:p>
    <w:p w14:paraId="18BFB498" w14:textId="6D0984FD" w:rsidR="0077219B" w:rsidRPr="00B876AB" w:rsidRDefault="0077219B" w:rsidP="0077219B">
      <w:pPr>
        <w:rPr>
          <w:sz w:val="24"/>
          <w:szCs w:val="24"/>
        </w:rPr>
      </w:pPr>
      <w:r w:rsidRPr="00B876AB">
        <w:rPr>
          <w:sz w:val="24"/>
          <w:szCs w:val="24"/>
        </w:rPr>
        <w:t>As a result of information provided by the Applicant and additional analysis, staff finds that the Applicant has demonstrated that the Proposed Project me</w:t>
      </w:r>
      <w:r w:rsidR="006C4BC0">
        <w:rPr>
          <w:sz w:val="24"/>
          <w:szCs w:val="24"/>
        </w:rPr>
        <w:t>e</w:t>
      </w:r>
      <w:r w:rsidRPr="00B876AB">
        <w:rPr>
          <w:sz w:val="24"/>
          <w:szCs w:val="24"/>
        </w:rPr>
        <w:t>t Factor 1</w:t>
      </w:r>
      <w:r w:rsidR="00587A0E">
        <w:rPr>
          <w:sz w:val="24"/>
          <w:szCs w:val="24"/>
        </w:rPr>
        <w:t>(a-f)</w:t>
      </w:r>
      <w:r w:rsidRPr="00B876AB">
        <w:rPr>
          <w:sz w:val="24"/>
          <w:szCs w:val="24"/>
        </w:rPr>
        <w:t>.</w:t>
      </w:r>
    </w:p>
    <w:p w14:paraId="66ACA9E1" w14:textId="430C50BD" w:rsidR="008219FE" w:rsidRPr="005D18D3" w:rsidRDefault="00B045B7" w:rsidP="008219FE">
      <w:pPr>
        <w:pStyle w:val="Heading1"/>
        <w:rPr>
          <w:rFonts w:asciiTheme="minorHAnsi" w:hAnsiTheme="minorHAnsi" w:cstheme="minorHAnsi"/>
          <w:color w:val="1F4E79" w:themeColor="accent5" w:themeShade="80"/>
        </w:rPr>
      </w:pPr>
      <w:bookmarkStart w:id="23" w:name="_Toc129354647"/>
      <w:r w:rsidRPr="005D18D3">
        <w:rPr>
          <w:rFonts w:asciiTheme="minorHAnsi" w:hAnsiTheme="minorHAnsi" w:cstheme="minorHAnsi"/>
          <w:color w:val="1F4E79" w:themeColor="accent5" w:themeShade="80"/>
        </w:rPr>
        <w:t>Factor 2</w:t>
      </w:r>
      <w:r w:rsidR="00CF3C0A" w:rsidRPr="005D18D3">
        <w:rPr>
          <w:rFonts w:asciiTheme="minorHAnsi" w:hAnsiTheme="minorHAnsi" w:cstheme="minorHAnsi"/>
          <w:color w:val="1F4E79" w:themeColor="accent5" w:themeShade="80"/>
        </w:rPr>
        <w:t xml:space="preserve"> -</w:t>
      </w:r>
      <w:r w:rsidR="001E55B3" w:rsidRPr="005D18D3">
        <w:rPr>
          <w:rFonts w:ascii="Calibri" w:eastAsia="Calibri" w:hAnsi="Calibri" w:cs="Calibri"/>
          <w:color w:val="1F4E79" w:themeColor="accent5" w:themeShade="80"/>
          <w:sz w:val="22"/>
          <w:szCs w:val="22"/>
        </w:rPr>
        <w:t xml:space="preserve"> </w:t>
      </w:r>
      <w:r w:rsidR="001E55B3" w:rsidRPr="005D18D3">
        <w:rPr>
          <w:rFonts w:asciiTheme="minorHAnsi" w:hAnsiTheme="minorHAnsi" w:cstheme="minorHAnsi"/>
          <w:color w:val="1F4E79" w:themeColor="accent5" w:themeShade="80"/>
        </w:rPr>
        <w:t>Health Priorities</w:t>
      </w:r>
      <w:bookmarkEnd w:id="23"/>
      <w:r w:rsidR="00E54A49" w:rsidRPr="005D18D3">
        <w:rPr>
          <w:rFonts w:asciiTheme="minorHAnsi" w:hAnsiTheme="minorHAnsi" w:cstheme="minorHAnsi"/>
          <w:color w:val="1F4E79" w:themeColor="accent5" w:themeShade="80"/>
        </w:rPr>
        <w:t xml:space="preserve"> </w:t>
      </w:r>
    </w:p>
    <w:p w14:paraId="3813A85C" w14:textId="40B1959B" w:rsidR="00B045B7" w:rsidRPr="0075155F" w:rsidRDefault="00B045B7" w:rsidP="006B2DB0">
      <w:pPr>
        <w:rPr>
          <w:color w:val="1F4E79" w:themeColor="accent5" w:themeShade="80"/>
          <w:sz w:val="24"/>
          <w:szCs w:val="24"/>
        </w:rPr>
      </w:pPr>
      <w:r w:rsidRPr="0075155F">
        <w:rPr>
          <w:color w:val="1F4E79" w:themeColor="accent5" w:themeShade="80"/>
          <w:sz w:val="24"/>
          <w:szCs w:val="24"/>
        </w:rPr>
        <w:t>Cost Containment</w:t>
      </w:r>
    </w:p>
    <w:p w14:paraId="24100F10" w14:textId="647EC965" w:rsidR="000915A6" w:rsidRPr="00930C04" w:rsidRDefault="00F60FFB" w:rsidP="000915A6">
      <w:pPr>
        <w:spacing w:before="240" w:line="240" w:lineRule="auto"/>
        <w:rPr>
          <w:sz w:val="24"/>
          <w:szCs w:val="24"/>
        </w:rPr>
      </w:pPr>
      <w:r w:rsidRPr="695818A5">
        <w:rPr>
          <w:sz w:val="24"/>
          <w:szCs w:val="24"/>
        </w:rPr>
        <w:t xml:space="preserve">The Applicant </w:t>
      </w:r>
      <w:r w:rsidR="00386B3B" w:rsidRPr="695818A5">
        <w:rPr>
          <w:sz w:val="24"/>
          <w:szCs w:val="24"/>
        </w:rPr>
        <w:t xml:space="preserve">asserts </w:t>
      </w:r>
      <w:r w:rsidRPr="695818A5">
        <w:rPr>
          <w:sz w:val="24"/>
          <w:szCs w:val="24"/>
        </w:rPr>
        <w:t>t</w:t>
      </w:r>
      <w:r w:rsidR="008327B2" w:rsidRPr="695818A5">
        <w:rPr>
          <w:sz w:val="24"/>
          <w:szCs w:val="24"/>
        </w:rPr>
        <w:t xml:space="preserve">he Proposed Project will meaningfully contribute to Massachusetts’ goals for cost containment </w:t>
      </w:r>
      <w:r w:rsidR="00ED6199" w:rsidRPr="695818A5">
        <w:rPr>
          <w:sz w:val="24"/>
          <w:szCs w:val="24"/>
        </w:rPr>
        <w:t>in several ways</w:t>
      </w:r>
      <w:r w:rsidR="00386B3B" w:rsidRPr="695818A5">
        <w:rPr>
          <w:sz w:val="24"/>
          <w:szCs w:val="24"/>
        </w:rPr>
        <w:t xml:space="preserve">: the new physical plant, the layout, and </w:t>
      </w:r>
      <w:r w:rsidR="008327B2" w:rsidRPr="695818A5">
        <w:rPr>
          <w:sz w:val="24"/>
          <w:szCs w:val="24"/>
        </w:rPr>
        <w:t>the Green House model of care</w:t>
      </w:r>
      <w:r w:rsidR="008824CC" w:rsidRPr="695818A5">
        <w:rPr>
          <w:sz w:val="24"/>
          <w:szCs w:val="24"/>
        </w:rPr>
        <w:t xml:space="preserve">. </w:t>
      </w:r>
      <w:r w:rsidR="00FB5C18" w:rsidRPr="695818A5">
        <w:rPr>
          <w:sz w:val="24"/>
          <w:szCs w:val="24"/>
        </w:rPr>
        <w:t xml:space="preserve">First the </w:t>
      </w:r>
      <w:r w:rsidR="00066357" w:rsidRPr="695818A5">
        <w:rPr>
          <w:sz w:val="24"/>
          <w:szCs w:val="24"/>
        </w:rPr>
        <w:t>n</w:t>
      </w:r>
      <w:r w:rsidR="00FB5C18" w:rsidRPr="695818A5">
        <w:rPr>
          <w:sz w:val="24"/>
          <w:szCs w:val="24"/>
        </w:rPr>
        <w:t>ew physical plant will be more cost</w:t>
      </w:r>
      <w:r w:rsidR="00066357" w:rsidRPr="695818A5">
        <w:rPr>
          <w:sz w:val="24"/>
          <w:szCs w:val="24"/>
        </w:rPr>
        <w:t>-</w:t>
      </w:r>
      <w:r w:rsidR="00FB5C18" w:rsidRPr="695818A5">
        <w:rPr>
          <w:sz w:val="24"/>
          <w:szCs w:val="24"/>
        </w:rPr>
        <w:t>effective to operate</w:t>
      </w:r>
      <w:r w:rsidR="00066357" w:rsidRPr="695818A5">
        <w:rPr>
          <w:sz w:val="24"/>
          <w:szCs w:val="24"/>
        </w:rPr>
        <w:t>,</w:t>
      </w:r>
      <w:r w:rsidR="006C7541" w:rsidRPr="695818A5">
        <w:rPr>
          <w:sz w:val="24"/>
          <w:szCs w:val="24"/>
        </w:rPr>
        <w:t xml:space="preserve"> while the current facility is aging and requires emergency repairs. The proposed project will be a modern, state-of-the-art facility </w:t>
      </w:r>
      <w:r w:rsidR="005E1215" w:rsidRPr="695818A5">
        <w:rPr>
          <w:sz w:val="24"/>
          <w:szCs w:val="24"/>
        </w:rPr>
        <w:t xml:space="preserve">that </w:t>
      </w:r>
      <w:r w:rsidR="006C7541" w:rsidRPr="695818A5">
        <w:rPr>
          <w:sz w:val="24"/>
          <w:szCs w:val="24"/>
        </w:rPr>
        <w:t>will result in additional clinical staffing costs</w:t>
      </w:r>
      <w:r w:rsidR="002225C5" w:rsidRPr="695818A5">
        <w:rPr>
          <w:sz w:val="24"/>
          <w:szCs w:val="24"/>
        </w:rPr>
        <w:t xml:space="preserve"> due to the added beds. However</w:t>
      </w:r>
      <w:r w:rsidR="006C7541" w:rsidRPr="695818A5">
        <w:rPr>
          <w:sz w:val="24"/>
          <w:szCs w:val="24"/>
        </w:rPr>
        <w:t xml:space="preserve">, </w:t>
      </w:r>
      <w:r w:rsidR="005E1338" w:rsidRPr="695818A5">
        <w:rPr>
          <w:sz w:val="24"/>
          <w:szCs w:val="24"/>
        </w:rPr>
        <w:t>the Applicant states these costs</w:t>
      </w:r>
      <w:r w:rsidR="005E1215" w:rsidRPr="695818A5">
        <w:rPr>
          <w:sz w:val="24"/>
          <w:szCs w:val="24"/>
        </w:rPr>
        <w:t xml:space="preserve"> </w:t>
      </w:r>
      <w:r w:rsidR="006C7541" w:rsidRPr="695818A5">
        <w:rPr>
          <w:sz w:val="24"/>
          <w:szCs w:val="24"/>
        </w:rPr>
        <w:t>will be offset by the operational and energy efficiencies</w:t>
      </w:r>
      <w:r w:rsidR="005E1338" w:rsidRPr="695818A5">
        <w:rPr>
          <w:sz w:val="24"/>
          <w:szCs w:val="24"/>
        </w:rPr>
        <w:t xml:space="preserve"> gained</w:t>
      </w:r>
      <w:r w:rsidR="005E1215" w:rsidRPr="695818A5">
        <w:rPr>
          <w:sz w:val="24"/>
          <w:szCs w:val="24"/>
        </w:rPr>
        <w:t xml:space="preserve">. </w:t>
      </w:r>
      <w:r w:rsidR="005E1338" w:rsidRPr="695818A5">
        <w:rPr>
          <w:sz w:val="24"/>
          <w:szCs w:val="24"/>
        </w:rPr>
        <w:t>Second</w:t>
      </w:r>
      <w:r w:rsidR="000915A6" w:rsidRPr="695818A5">
        <w:rPr>
          <w:sz w:val="24"/>
          <w:szCs w:val="24"/>
        </w:rPr>
        <w:t xml:space="preserve">, </w:t>
      </w:r>
      <w:r w:rsidR="005E1338" w:rsidRPr="695818A5">
        <w:rPr>
          <w:sz w:val="24"/>
          <w:szCs w:val="24"/>
        </w:rPr>
        <w:t xml:space="preserve">as discussed herein, </w:t>
      </w:r>
      <w:r w:rsidR="000915A6" w:rsidRPr="695818A5">
        <w:rPr>
          <w:sz w:val="24"/>
          <w:szCs w:val="24"/>
        </w:rPr>
        <w:t xml:space="preserve">the physical plant environment provides private bedroom and bathroom space for residents, contributing to </w:t>
      </w:r>
      <w:bookmarkStart w:id="24" w:name="_Hlk112838285"/>
      <w:r w:rsidR="000915A6" w:rsidRPr="695818A5">
        <w:rPr>
          <w:sz w:val="24"/>
          <w:szCs w:val="24"/>
        </w:rPr>
        <w:t>enhanced infection prevention and control</w:t>
      </w:r>
      <w:bookmarkEnd w:id="24"/>
      <w:r w:rsidR="000915A6" w:rsidRPr="695818A5">
        <w:rPr>
          <w:sz w:val="24"/>
          <w:szCs w:val="24"/>
        </w:rPr>
        <w:t xml:space="preserve">, which additionally reduces costly hospitalization or other treatment costs. </w:t>
      </w:r>
    </w:p>
    <w:p w14:paraId="08594652" w14:textId="20162B84" w:rsidR="00417A1F" w:rsidRPr="00930C04" w:rsidRDefault="005F0513" w:rsidP="008327B2">
      <w:pPr>
        <w:spacing w:before="240" w:line="240" w:lineRule="auto"/>
        <w:rPr>
          <w:sz w:val="24"/>
          <w:szCs w:val="24"/>
        </w:rPr>
      </w:pPr>
      <w:r>
        <w:rPr>
          <w:sz w:val="24"/>
          <w:szCs w:val="24"/>
        </w:rPr>
        <w:t>Third</w:t>
      </w:r>
      <w:r w:rsidR="00261EAA">
        <w:rPr>
          <w:sz w:val="24"/>
          <w:szCs w:val="24"/>
        </w:rPr>
        <w:t xml:space="preserve">, </w:t>
      </w:r>
      <w:r w:rsidR="005E1338">
        <w:rPr>
          <w:sz w:val="24"/>
          <w:szCs w:val="24"/>
        </w:rPr>
        <w:t xml:space="preserve">as discussed under Public Health Value (Factor 1b), </w:t>
      </w:r>
      <w:r w:rsidR="00417A1F" w:rsidRPr="00930C04">
        <w:rPr>
          <w:sz w:val="24"/>
          <w:szCs w:val="24"/>
        </w:rPr>
        <w:t>s</w:t>
      </w:r>
      <w:r w:rsidR="00940004" w:rsidRPr="00930C04">
        <w:rPr>
          <w:sz w:val="24"/>
          <w:szCs w:val="24"/>
        </w:rPr>
        <w:t>ince t</w:t>
      </w:r>
      <w:r w:rsidR="008327B2" w:rsidRPr="00930C04">
        <w:rPr>
          <w:sz w:val="24"/>
          <w:szCs w:val="24"/>
        </w:rPr>
        <w:t xml:space="preserve">he </w:t>
      </w:r>
      <w:r w:rsidR="00940004" w:rsidRPr="00930C04">
        <w:rPr>
          <w:sz w:val="24"/>
          <w:szCs w:val="24"/>
        </w:rPr>
        <w:t>M</w:t>
      </w:r>
      <w:r w:rsidR="008327B2" w:rsidRPr="00930C04">
        <w:rPr>
          <w:sz w:val="24"/>
          <w:szCs w:val="24"/>
        </w:rPr>
        <w:t xml:space="preserve">odel provides </w:t>
      </w:r>
      <w:r w:rsidR="005E1338">
        <w:rPr>
          <w:sz w:val="24"/>
          <w:szCs w:val="24"/>
        </w:rPr>
        <w:t xml:space="preserve">dedicated </w:t>
      </w:r>
      <w:r w:rsidR="008327B2" w:rsidRPr="00930C04">
        <w:rPr>
          <w:sz w:val="24"/>
          <w:szCs w:val="24"/>
        </w:rPr>
        <w:t xml:space="preserve">staffing and encourages increased </w:t>
      </w:r>
      <w:r w:rsidR="005E1338">
        <w:rPr>
          <w:sz w:val="24"/>
          <w:szCs w:val="24"/>
        </w:rPr>
        <w:t xml:space="preserve">interaction </w:t>
      </w:r>
      <w:r w:rsidR="008327B2" w:rsidRPr="00930C04">
        <w:rPr>
          <w:sz w:val="24"/>
          <w:szCs w:val="24"/>
        </w:rPr>
        <w:t>among and between staff and residents</w:t>
      </w:r>
      <w:r w:rsidR="00940004" w:rsidRPr="00930C04">
        <w:rPr>
          <w:sz w:val="24"/>
          <w:szCs w:val="24"/>
        </w:rPr>
        <w:t xml:space="preserve">, </w:t>
      </w:r>
      <w:r w:rsidR="008327B2" w:rsidRPr="00930C04">
        <w:rPr>
          <w:sz w:val="24"/>
          <w:szCs w:val="24"/>
        </w:rPr>
        <w:t xml:space="preserve">independence with ADLs </w:t>
      </w:r>
      <w:r w:rsidR="005E1338">
        <w:rPr>
          <w:sz w:val="24"/>
          <w:szCs w:val="24"/>
        </w:rPr>
        <w:t xml:space="preserve">is maintained </w:t>
      </w:r>
      <w:r w:rsidR="008327B2" w:rsidRPr="00930C04">
        <w:rPr>
          <w:sz w:val="24"/>
          <w:szCs w:val="24"/>
        </w:rPr>
        <w:t xml:space="preserve">longer than </w:t>
      </w:r>
      <w:r w:rsidR="005E1338">
        <w:rPr>
          <w:sz w:val="24"/>
          <w:szCs w:val="24"/>
        </w:rPr>
        <w:t xml:space="preserve">for </w:t>
      </w:r>
      <w:r w:rsidR="008327B2" w:rsidRPr="00930C04">
        <w:rPr>
          <w:sz w:val="24"/>
          <w:szCs w:val="24"/>
        </w:rPr>
        <w:t>residents of traditional nursing homes</w:t>
      </w:r>
      <w:r w:rsidR="005E1338">
        <w:rPr>
          <w:sz w:val="24"/>
          <w:szCs w:val="24"/>
        </w:rPr>
        <w:t>,</w:t>
      </w:r>
      <w:r w:rsidR="001B683B" w:rsidRPr="00930C04">
        <w:rPr>
          <w:sz w:val="24"/>
          <w:szCs w:val="24"/>
        </w:rPr>
        <w:t xml:space="preserve"> and </w:t>
      </w:r>
      <w:r w:rsidR="008327B2" w:rsidRPr="00930C04">
        <w:rPr>
          <w:sz w:val="24"/>
          <w:szCs w:val="24"/>
        </w:rPr>
        <w:t xml:space="preserve">when changes in condition </w:t>
      </w:r>
      <w:r w:rsidR="005E1338">
        <w:rPr>
          <w:sz w:val="24"/>
          <w:szCs w:val="24"/>
        </w:rPr>
        <w:t xml:space="preserve">do </w:t>
      </w:r>
      <w:r w:rsidR="008327B2" w:rsidRPr="00930C04">
        <w:rPr>
          <w:sz w:val="24"/>
          <w:szCs w:val="24"/>
        </w:rPr>
        <w:t xml:space="preserve">occur, staff are better </w:t>
      </w:r>
      <w:r w:rsidR="005E1338">
        <w:rPr>
          <w:sz w:val="24"/>
          <w:szCs w:val="24"/>
        </w:rPr>
        <w:t xml:space="preserve">positioned </w:t>
      </w:r>
      <w:r w:rsidR="008327B2" w:rsidRPr="00930C04">
        <w:rPr>
          <w:sz w:val="24"/>
          <w:szCs w:val="24"/>
        </w:rPr>
        <w:t xml:space="preserve">to recognize those changes </w:t>
      </w:r>
      <w:r w:rsidR="00DF7982" w:rsidRPr="00930C04">
        <w:rPr>
          <w:sz w:val="24"/>
          <w:szCs w:val="24"/>
        </w:rPr>
        <w:lastRenderedPageBreak/>
        <w:t>earlier</w:t>
      </w:r>
      <w:r w:rsidR="005E1338">
        <w:rPr>
          <w:sz w:val="24"/>
          <w:szCs w:val="24"/>
        </w:rPr>
        <w:t xml:space="preserve"> </w:t>
      </w:r>
      <w:r w:rsidR="008327B2" w:rsidRPr="00930C04">
        <w:rPr>
          <w:sz w:val="24"/>
          <w:szCs w:val="24"/>
        </w:rPr>
        <w:t>lead</w:t>
      </w:r>
      <w:r w:rsidR="005E1338">
        <w:rPr>
          <w:sz w:val="24"/>
          <w:szCs w:val="24"/>
        </w:rPr>
        <w:t xml:space="preserve">ing </w:t>
      </w:r>
      <w:r w:rsidR="008327B2" w:rsidRPr="00930C04">
        <w:rPr>
          <w:sz w:val="24"/>
          <w:szCs w:val="24"/>
        </w:rPr>
        <w:t xml:space="preserve"> to lower rates of hospitalization and reduced </w:t>
      </w:r>
      <w:r w:rsidR="00DF7982" w:rsidRPr="00930C04">
        <w:rPr>
          <w:sz w:val="24"/>
          <w:szCs w:val="24"/>
        </w:rPr>
        <w:t xml:space="preserve">hospital </w:t>
      </w:r>
      <w:r w:rsidR="008327B2" w:rsidRPr="00930C04">
        <w:rPr>
          <w:sz w:val="24"/>
          <w:szCs w:val="24"/>
        </w:rPr>
        <w:t>lengths of stay</w:t>
      </w:r>
      <w:r w:rsidR="00DF7982" w:rsidRPr="00930C04">
        <w:rPr>
          <w:sz w:val="24"/>
          <w:szCs w:val="24"/>
        </w:rPr>
        <w:t xml:space="preserve"> if patients are </w:t>
      </w:r>
      <w:r w:rsidR="00417A1F" w:rsidRPr="00930C04">
        <w:rPr>
          <w:sz w:val="24"/>
          <w:szCs w:val="24"/>
        </w:rPr>
        <w:t>hospitalize</w:t>
      </w:r>
      <w:r w:rsidR="00DF7982" w:rsidRPr="00930C04">
        <w:rPr>
          <w:sz w:val="24"/>
          <w:szCs w:val="24"/>
        </w:rPr>
        <w:t>d</w:t>
      </w:r>
      <w:r w:rsidR="005E1338">
        <w:rPr>
          <w:sz w:val="24"/>
          <w:szCs w:val="24"/>
        </w:rPr>
        <w:t xml:space="preserve"> and reduced costs. </w:t>
      </w:r>
      <w:r w:rsidR="008327B2" w:rsidRPr="00930C04">
        <w:rPr>
          <w:sz w:val="24"/>
          <w:szCs w:val="24"/>
        </w:rPr>
        <w:t xml:space="preserve"> </w:t>
      </w:r>
    </w:p>
    <w:p w14:paraId="6E8F7D1A" w14:textId="4BFC785C" w:rsidR="008327B2" w:rsidRPr="00930C04" w:rsidRDefault="007A7435" w:rsidP="008327B2">
      <w:pPr>
        <w:spacing w:before="240" w:line="240" w:lineRule="auto"/>
        <w:rPr>
          <w:sz w:val="24"/>
          <w:szCs w:val="24"/>
        </w:rPr>
      </w:pPr>
      <w:r w:rsidRPr="00930C04">
        <w:rPr>
          <w:sz w:val="24"/>
          <w:szCs w:val="24"/>
        </w:rPr>
        <w:t>Consequently, t</w:t>
      </w:r>
      <w:r w:rsidR="008327B2" w:rsidRPr="00930C04">
        <w:rPr>
          <w:sz w:val="24"/>
          <w:szCs w:val="24"/>
        </w:rPr>
        <w:t xml:space="preserve">he </w:t>
      </w:r>
      <w:r w:rsidRPr="00930C04">
        <w:rPr>
          <w:sz w:val="24"/>
          <w:szCs w:val="24"/>
        </w:rPr>
        <w:t xml:space="preserve">Applicant asserts, the </w:t>
      </w:r>
      <w:r w:rsidR="008327B2" w:rsidRPr="00930C04">
        <w:rPr>
          <w:sz w:val="24"/>
          <w:szCs w:val="24"/>
        </w:rPr>
        <w:t xml:space="preserve">Proposed Project’s positive effect on quality of care and health outcomes has the effect of reduced overall health care spending, positively contributing to the Commonwealth’s cost containment goals.  </w:t>
      </w:r>
    </w:p>
    <w:p w14:paraId="40484EBF" w14:textId="324F394C" w:rsidR="00B045B7" w:rsidRPr="0075155F" w:rsidRDefault="00B045B7" w:rsidP="00930C04">
      <w:pPr>
        <w:rPr>
          <w:color w:val="1F4E79" w:themeColor="accent5" w:themeShade="80"/>
          <w:sz w:val="24"/>
          <w:szCs w:val="24"/>
        </w:rPr>
      </w:pPr>
      <w:r w:rsidRPr="0075155F">
        <w:rPr>
          <w:color w:val="1F4E79" w:themeColor="accent5" w:themeShade="80"/>
          <w:sz w:val="24"/>
          <w:szCs w:val="24"/>
        </w:rPr>
        <w:t>Public Health Outcomes</w:t>
      </w:r>
    </w:p>
    <w:p w14:paraId="1AAC184D" w14:textId="69E29AEE" w:rsidR="008327B2" w:rsidRPr="00930C04" w:rsidRDefault="00364D50" w:rsidP="008327B2">
      <w:pPr>
        <w:spacing w:before="240" w:line="240" w:lineRule="auto"/>
        <w:rPr>
          <w:sz w:val="24"/>
          <w:szCs w:val="24"/>
        </w:rPr>
      </w:pPr>
      <w:r w:rsidRPr="695818A5">
        <w:rPr>
          <w:sz w:val="24"/>
          <w:szCs w:val="24"/>
        </w:rPr>
        <w:t>As discussed under Factor 1</w:t>
      </w:r>
      <w:r w:rsidR="002E52A9" w:rsidRPr="695818A5">
        <w:rPr>
          <w:sz w:val="24"/>
          <w:szCs w:val="24"/>
        </w:rPr>
        <w:t>(</w:t>
      </w:r>
      <w:r w:rsidRPr="695818A5">
        <w:rPr>
          <w:sz w:val="24"/>
          <w:szCs w:val="24"/>
        </w:rPr>
        <w:t>b)</w:t>
      </w:r>
      <w:r w:rsidR="00CC661D" w:rsidRPr="695818A5">
        <w:rPr>
          <w:sz w:val="24"/>
          <w:szCs w:val="24"/>
        </w:rPr>
        <w:t>, t</w:t>
      </w:r>
      <w:r w:rsidR="008327B2" w:rsidRPr="695818A5">
        <w:rPr>
          <w:sz w:val="24"/>
          <w:szCs w:val="24"/>
        </w:rPr>
        <w:t xml:space="preserve">he Proposed Project will improve public health outcomes through improved access to short-term rehabilitation and long-term care. </w:t>
      </w:r>
      <w:r w:rsidR="00234098" w:rsidRPr="695818A5">
        <w:rPr>
          <w:sz w:val="24"/>
          <w:szCs w:val="24"/>
        </w:rPr>
        <w:t>As described above under cost containment, b</w:t>
      </w:r>
      <w:r w:rsidR="008327B2" w:rsidRPr="695818A5">
        <w:rPr>
          <w:sz w:val="24"/>
          <w:szCs w:val="24"/>
        </w:rPr>
        <w:t>etter health outcomes will be achieved through lower rates of infection and hospitalization</w:t>
      </w:r>
      <w:r w:rsidR="00234098" w:rsidRPr="695818A5">
        <w:rPr>
          <w:sz w:val="24"/>
          <w:szCs w:val="24"/>
        </w:rPr>
        <w:t xml:space="preserve">, </w:t>
      </w:r>
      <w:r w:rsidR="008327B2" w:rsidRPr="695818A5">
        <w:rPr>
          <w:sz w:val="24"/>
          <w:szCs w:val="24"/>
        </w:rPr>
        <w:t xml:space="preserve">and </w:t>
      </w:r>
      <w:r w:rsidR="00234098" w:rsidRPr="695818A5">
        <w:rPr>
          <w:sz w:val="24"/>
          <w:szCs w:val="24"/>
        </w:rPr>
        <w:t xml:space="preserve">slower rates of health decline leading to </w:t>
      </w:r>
      <w:r w:rsidR="008327B2" w:rsidRPr="695818A5">
        <w:rPr>
          <w:sz w:val="24"/>
          <w:szCs w:val="24"/>
        </w:rPr>
        <w:t xml:space="preserve">prolonged independence, resulting in improved, quality of life, and </w:t>
      </w:r>
      <w:r w:rsidR="00930C04" w:rsidRPr="695818A5">
        <w:rPr>
          <w:sz w:val="24"/>
          <w:szCs w:val="24"/>
        </w:rPr>
        <w:t>higher resident and staff satisfaction</w:t>
      </w:r>
      <w:r w:rsidR="008327B2" w:rsidRPr="695818A5">
        <w:rPr>
          <w:sz w:val="24"/>
          <w:szCs w:val="24"/>
        </w:rPr>
        <w:t xml:space="preserve">. </w:t>
      </w:r>
    </w:p>
    <w:p w14:paraId="1179B3F4" w14:textId="22BC1AE8" w:rsidR="00B045B7" w:rsidRPr="0075155F" w:rsidRDefault="00B045B7" w:rsidP="00930C04">
      <w:pPr>
        <w:rPr>
          <w:color w:val="1F4E79" w:themeColor="accent5" w:themeShade="80"/>
          <w:sz w:val="24"/>
          <w:szCs w:val="24"/>
        </w:rPr>
      </w:pPr>
      <w:r w:rsidRPr="0075155F">
        <w:rPr>
          <w:color w:val="1F4E79" w:themeColor="accent5" w:themeShade="80"/>
          <w:sz w:val="24"/>
          <w:szCs w:val="24"/>
        </w:rPr>
        <w:t>Delivery System Transformation</w:t>
      </w:r>
    </w:p>
    <w:p w14:paraId="12CC1F74" w14:textId="7F8B640E" w:rsidR="008327B2" w:rsidRPr="008327B2" w:rsidRDefault="00930C04" w:rsidP="008327B2">
      <w:pPr>
        <w:spacing w:before="240" w:line="240" w:lineRule="auto"/>
        <w:rPr>
          <w:color w:val="1F4E79" w:themeColor="accent5" w:themeShade="80"/>
          <w:sz w:val="24"/>
          <w:szCs w:val="24"/>
        </w:rPr>
      </w:pPr>
      <w:r w:rsidRPr="695818A5">
        <w:rPr>
          <w:sz w:val="24"/>
          <w:szCs w:val="24"/>
        </w:rPr>
        <w:t xml:space="preserve">To ensure </w:t>
      </w:r>
      <w:r w:rsidR="00734BFA" w:rsidRPr="695818A5">
        <w:rPr>
          <w:sz w:val="24"/>
          <w:szCs w:val="24"/>
        </w:rPr>
        <w:t>elements of delivery system transformation</w:t>
      </w:r>
      <w:r w:rsidR="00035654" w:rsidRPr="695818A5">
        <w:rPr>
          <w:sz w:val="24"/>
          <w:szCs w:val="24"/>
        </w:rPr>
        <w:t xml:space="preserve"> are in place for all residen</w:t>
      </w:r>
      <w:r w:rsidR="00463E86" w:rsidRPr="695818A5">
        <w:rPr>
          <w:sz w:val="24"/>
          <w:szCs w:val="24"/>
        </w:rPr>
        <w:t>ts, short and long-term</w:t>
      </w:r>
      <w:r w:rsidR="00734BFA" w:rsidRPr="695818A5">
        <w:rPr>
          <w:sz w:val="24"/>
          <w:szCs w:val="24"/>
        </w:rPr>
        <w:t>, t</w:t>
      </w:r>
      <w:r w:rsidR="008327B2" w:rsidRPr="695818A5">
        <w:rPr>
          <w:sz w:val="24"/>
          <w:szCs w:val="24"/>
        </w:rPr>
        <w:t xml:space="preserve">he Applicant </w:t>
      </w:r>
      <w:r w:rsidRPr="695818A5">
        <w:rPr>
          <w:sz w:val="24"/>
          <w:szCs w:val="24"/>
        </w:rPr>
        <w:t xml:space="preserve">asserts it </w:t>
      </w:r>
      <w:r w:rsidR="008327B2" w:rsidRPr="695818A5">
        <w:rPr>
          <w:sz w:val="24"/>
          <w:szCs w:val="24"/>
        </w:rPr>
        <w:t>will ensure residents have access to provider</w:t>
      </w:r>
      <w:r w:rsidR="00CC661D" w:rsidRPr="695818A5">
        <w:rPr>
          <w:sz w:val="24"/>
          <w:szCs w:val="24"/>
        </w:rPr>
        <w:t xml:space="preserve">s, such as </w:t>
      </w:r>
      <w:r w:rsidR="00C91530" w:rsidRPr="695818A5">
        <w:rPr>
          <w:sz w:val="24"/>
          <w:szCs w:val="24"/>
        </w:rPr>
        <w:t>specialists, outside</w:t>
      </w:r>
      <w:r w:rsidR="008327B2" w:rsidRPr="695818A5">
        <w:rPr>
          <w:sz w:val="24"/>
          <w:szCs w:val="24"/>
        </w:rPr>
        <w:t xml:space="preserve"> of the facility</w:t>
      </w:r>
      <w:r w:rsidR="00AB7329" w:rsidRPr="695818A5">
        <w:rPr>
          <w:sz w:val="24"/>
          <w:szCs w:val="24"/>
        </w:rPr>
        <w:t xml:space="preserve">, as outlined in </w:t>
      </w:r>
      <w:r w:rsidR="00CC661D" w:rsidRPr="695818A5">
        <w:rPr>
          <w:sz w:val="24"/>
          <w:szCs w:val="24"/>
        </w:rPr>
        <w:t>Factor 1</w:t>
      </w:r>
      <w:r w:rsidR="002E52A9" w:rsidRPr="695818A5">
        <w:rPr>
          <w:sz w:val="24"/>
          <w:szCs w:val="24"/>
        </w:rPr>
        <w:t>(</w:t>
      </w:r>
      <w:r w:rsidR="00CC661D" w:rsidRPr="695818A5">
        <w:rPr>
          <w:sz w:val="24"/>
          <w:szCs w:val="24"/>
        </w:rPr>
        <w:t>c),</w:t>
      </w:r>
      <w:r w:rsidR="008327B2" w:rsidRPr="695818A5">
        <w:rPr>
          <w:sz w:val="24"/>
          <w:szCs w:val="24"/>
        </w:rPr>
        <w:t xml:space="preserve"> </w:t>
      </w:r>
      <w:r w:rsidR="00AB7329" w:rsidRPr="695818A5">
        <w:rPr>
          <w:sz w:val="24"/>
          <w:szCs w:val="24"/>
        </w:rPr>
        <w:t xml:space="preserve">and </w:t>
      </w:r>
      <w:r w:rsidRPr="695818A5">
        <w:rPr>
          <w:sz w:val="24"/>
          <w:szCs w:val="24"/>
        </w:rPr>
        <w:t xml:space="preserve">it </w:t>
      </w:r>
      <w:r w:rsidR="008327B2" w:rsidRPr="695818A5">
        <w:rPr>
          <w:sz w:val="24"/>
          <w:szCs w:val="24"/>
        </w:rPr>
        <w:t xml:space="preserve">will ensure </w:t>
      </w:r>
      <w:r w:rsidR="000E65B8" w:rsidRPr="695818A5">
        <w:rPr>
          <w:sz w:val="24"/>
          <w:szCs w:val="24"/>
        </w:rPr>
        <w:t xml:space="preserve">access to </w:t>
      </w:r>
      <w:r w:rsidR="008327B2" w:rsidRPr="695818A5">
        <w:rPr>
          <w:sz w:val="24"/>
          <w:szCs w:val="24"/>
        </w:rPr>
        <w:t xml:space="preserve">Martha’s Vineyard community organizations ranging from social, behavioral health, housing, and medical organizations through </w:t>
      </w:r>
      <w:r w:rsidR="00463E86" w:rsidRPr="695818A5">
        <w:rPr>
          <w:sz w:val="24"/>
          <w:szCs w:val="24"/>
        </w:rPr>
        <w:t xml:space="preserve">consistent coordination and </w:t>
      </w:r>
      <w:r w:rsidR="008327B2" w:rsidRPr="695818A5">
        <w:rPr>
          <w:sz w:val="24"/>
          <w:szCs w:val="24"/>
        </w:rPr>
        <w:t>communication with these organizations</w:t>
      </w:r>
      <w:r w:rsidR="00D3177A" w:rsidRPr="695818A5">
        <w:rPr>
          <w:sz w:val="24"/>
          <w:szCs w:val="24"/>
        </w:rPr>
        <w:t xml:space="preserve">. These </w:t>
      </w:r>
      <w:r w:rsidR="00201703" w:rsidRPr="695818A5">
        <w:rPr>
          <w:sz w:val="24"/>
          <w:szCs w:val="24"/>
        </w:rPr>
        <w:t>relationships</w:t>
      </w:r>
      <w:r w:rsidR="007E0AEE" w:rsidRPr="695818A5">
        <w:rPr>
          <w:sz w:val="24"/>
          <w:szCs w:val="24"/>
        </w:rPr>
        <w:t xml:space="preserve"> will </w:t>
      </w:r>
      <w:r w:rsidR="008327B2" w:rsidRPr="695818A5">
        <w:rPr>
          <w:sz w:val="24"/>
          <w:szCs w:val="24"/>
        </w:rPr>
        <w:t xml:space="preserve">be </w:t>
      </w:r>
      <w:r w:rsidR="007E0AEE" w:rsidRPr="695818A5">
        <w:rPr>
          <w:sz w:val="24"/>
          <w:szCs w:val="24"/>
        </w:rPr>
        <w:t xml:space="preserve">particularly </w:t>
      </w:r>
      <w:r w:rsidR="008327B2" w:rsidRPr="695818A5">
        <w:rPr>
          <w:sz w:val="24"/>
          <w:szCs w:val="24"/>
        </w:rPr>
        <w:t>effective for short-term rehab</w:t>
      </w:r>
      <w:r w:rsidR="00201703" w:rsidRPr="695818A5">
        <w:rPr>
          <w:sz w:val="24"/>
          <w:szCs w:val="24"/>
        </w:rPr>
        <w:t>ilitation</w:t>
      </w:r>
      <w:r w:rsidR="008327B2" w:rsidRPr="695818A5">
        <w:rPr>
          <w:sz w:val="24"/>
          <w:szCs w:val="24"/>
        </w:rPr>
        <w:t xml:space="preserve"> patients upon discharge. </w:t>
      </w:r>
      <w:r w:rsidR="00201703" w:rsidRPr="695818A5">
        <w:rPr>
          <w:sz w:val="24"/>
          <w:szCs w:val="24"/>
        </w:rPr>
        <w:t>Further, t</w:t>
      </w:r>
      <w:r w:rsidR="00AB7329" w:rsidRPr="695818A5">
        <w:rPr>
          <w:sz w:val="24"/>
          <w:szCs w:val="24"/>
        </w:rPr>
        <w:t xml:space="preserve">o </w:t>
      </w:r>
      <w:r w:rsidR="00201703" w:rsidRPr="695818A5">
        <w:rPr>
          <w:sz w:val="24"/>
          <w:szCs w:val="24"/>
        </w:rPr>
        <w:t>ensure tha</w:t>
      </w:r>
      <w:r w:rsidR="00A85357" w:rsidRPr="695818A5">
        <w:rPr>
          <w:sz w:val="24"/>
          <w:szCs w:val="24"/>
        </w:rPr>
        <w:t>t</w:t>
      </w:r>
      <w:r w:rsidR="00201703" w:rsidRPr="695818A5">
        <w:rPr>
          <w:sz w:val="24"/>
          <w:szCs w:val="24"/>
        </w:rPr>
        <w:t xml:space="preserve"> Deaf and Hard of Hearing </w:t>
      </w:r>
      <w:r w:rsidR="00A85357" w:rsidRPr="695818A5">
        <w:rPr>
          <w:sz w:val="24"/>
          <w:szCs w:val="24"/>
        </w:rPr>
        <w:t xml:space="preserve">and/or non-English speaking residents receive appropriate care and to address their </w:t>
      </w:r>
      <w:r w:rsidR="008327B2" w:rsidRPr="695818A5">
        <w:rPr>
          <w:sz w:val="24"/>
          <w:szCs w:val="24"/>
        </w:rPr>
        <w:t>linguistic needs</w:t>
      </w:r>
      <w:r w:rsidR="00A85357" w:rsidRPr="695818A5">
        <w:rPr>
          <w:sz w:val="24"/>
          <w:szCs w:val="24"/>
        </w:rPr>
        <w:t xml:space="preserve">, </w:t>
      </w:r>
      <w:r w:rsidR="008327B2" w:rsidRPr="695818A5">
        <w:rPr>
          <w:sz w:val="24"/>
          <w:szCs w:val="24"/>
        </w:rPr>
        <w:t>the Applicant will implement an interpreter services program through a contract with Massachusetts General Hospital Medical Interpreter Services.</w:t>
      </w:r>
    </w:p>
    <w:p w14:paraId="1856C347" w14:textId="2980E63B" w:rsidR="006068FE" w:rsidRPr="0075155F" w:rsidRDefault="0077219B" w:rsidP="00837345">
      <w:pPr>
        <w:rPr>
          <w:b/>
          <w:bCs/>
          <w:i/>
          <w:iCs/>
          <w:color w:val="1F4E79" w:themeColor="accent5" w:themeShade="80"/>
          <w:sz w:val="24"/>
          <w:szCs w:val="24"/>
        </w:rPr>
      </w:pPr>
      <w:r w:rsidRPr="0075155F">
        <w:rPr>
          <w:b/>
          <w:bCs/>
          <w:i/>
          <w:iCs/>
          <w:color w:val="1F4E79" w:themeColor="accent5" w:themeShade="80"/>
          <w:sz w:val="24"/>
          <w:szCs w:val="24"/>
        </w:rPr>
        <w:t>Analysis</w:t>
      </w:r>
    </w:p>
    <w:p w14:paraId="78FDF4E3" w14:textId="77777777" w:rsidR="0077219B" w:rsidRPr="00D45F2C" w:rsidRDefault="0077219B" w:rsidP="0077219B">
      <w:pPr>
        <w:rPr>
          <w:sz w:val="24"/>
          <w:szCs w:val="24"/>
        </w:rPr>
      </w:pPr>
      <w:r w:rsidRPr="00D45F2C">
        <w:rPr>
          <w:sz w:val="24"/>
          <w:szCs w:val="24"/>
        </w:rPr>
        <w:t>As a result of information provided by the Applicant and additional analysis, staff finds that the Applicant has demonstrated that the Proposed Project has met Factor 2.</w:t>
      </w:r>
    </w:p>
    <w:p w14:paraId="77A33D7C" w14:textId="145CB8E8" w:rsidR="0077219B" w:rsidRPr="005D18D3" w:rsidRDefault="00B045B7" w:rsidP="0077219B">
      <w:pPr>
        <w:pStyle w:val="Heading1"/>
        <w:rPr>
          <w:rFonts w:asciiTheme="minorHAnsi" w:hAnsiTheme="minorHAnsi" w:cstheme="minorHAnsi"/>
          <w:color w:val="1F4E79" w:themeColor="accent5" w:themeShade="80"/>
        </w:rPr>
      </w:pPr>
      <w:bookmarkStart w:id="25" w:name="_Toc129354648"/>
      <w:r w:rsidRPr="005D18D3">
        <w:rPr>
          <w:rFonts w:asciiTheme="minorHAnsi" w:hAnsiTheme="minorHAnsi" w:cstheme="minorHAnsi"/>
          <w:color w:val="1F4E79" w:themeColor="accent5" w:themeShade="80"/>
        </w:rPr>
        <w:t>Factor 3</w:t>
      </w:r>
      <w:r w:rsidR="00CF3C0A" w:rsidRPr="005D18D3">
        <w:rPr>
          <w:rFonts w:asciiTheme="minorHAnsi" w:hAnsiTheme="minorHAnsi" w:cstheme="minorHAnsi"/>
          <w:color w:val="1F4E79" w:themeColor="accent5" w:themeShade="80"/>
        </w:rPr>
        <w:t xml:space="preserve"> -</w:t>
      </w:r>
      <w:r w:rsidRPr="005D18D3">
        <w:rPr>
          <w:rFonts w:asciiTheme="minorHAnsi" w:hAnsiTheme="minorHAnsi" w:cstheme="minorHAnsi"/>
          <w:color w:val="1F4E79" w:themeColor="accent5" w:themeShade="80"/>
        </w:rPr>
        <w:t xml:space="preserve"> </w:t>
      </w:r>
      <w:r w:rsidR="00353B5C" w:rsidRPr="005D18D3">
        <w:rPr>
          <w:rFonts w:asciiTheme="minorHAnsi" w:hAnsiTheme="minorHAnsi" w:cstheme="minorHAnsi"/>
          <w:color w:val="1F4E79" w:themeColor="accent5" w:themeShade="80"/>
        </w:rPr>
        <w:t>Compliance</w:t>
      </w:r>
      <w:bookmarkEnd w:id="25"/>
    </w:p>
    <w:p w14:paraId="62EF0067" w14:textId="60A07ADB" w:rsidR="00B045B7" w:rsidRPr="00D45F2C" w:rsidRDefault="00B045B7" w:rsidP="00B359CD">
      <w:pPr>
        <w:spacing w:before="240"/>
        <w:rPr>
          <w:sz w:val="24"/>
          <w:szCs w:val="24"/>
        </w:rPr>
      </w:pPr>
      <w:r w:rsidRPr="00D45F2C">
        <w:rPr>
          <w:sz w:val="24"/>
          <w:szCs w:val="24"/>
        </w:rPr>
        <w:t>Applicant certifies, by virtue of submitting this Application that it is in compliance and good standing with federal, state, and local laws and regulations, including, but not limited to M.G.L. c. 30, §§ 61 through 62H and the applicable regulations thereunder, and in compliance with all previously issued notices of Determination of Need and the terms and conditions attached therein.</w:t>
      </w:r>
    </w:p>
    <w:p w14:paraId="05EF4F8E" w14:textId="6D451722" w:rsidR="00B045B7" w:rsidRPr="005D18D3" w:rsidRDefault="00B045B7" w:rsidP="008219FE">
      <w:pPr>
        <w:pStyle w:val="Heading1"/>
        <w:rPr>
          <w:rFonts w:asciiTheme="minorHAnsi" w:hAnsiTheme="minorHAnsi" w:cstheme="minorHAnsi"/>
          <w:color w:val="1F4E79" w:themeColor="accent5" w:themeShade="80"/>
        </w:rPr>
      </w:pPr>
      <w:bookmarkStart w:id="26" w:name="_Toc129354649"/>
      <w:r w:rsidRPr="005D18D3">
        <w:rPr>
          <w:rFonts w:asciiTheme="minorHAnsi" w:hAnsiTheme="minorHAnsi" w:cstheme="minorHAnsi"/>
          <w:color w:val="1F4E79" w:themeColor="accent5" w:themeShade="80"/>
        </w:rPr>
        <w:t xml:space="preserve">Factor 4 </w:t>
      </w:r>
      <w:r w:rsidR="00CF3C0A" w:rsidRPr="005D18D3">
        <w:rPr>
          <w:rFonts w:asciiTheme="minorHAnsi" w:hAnsiTheme="minorHAnsi" w:cstheme="minorHAnsi"/>
          <w:color w:val="1F4E79" w:themeColor="accent5" w:themeShade="80"/>
        </w:rPr>
        <w:t xml:space="preserve">- </w:t>
      </w:r>
      <w:r w:rsidRPr="005D18D3">
        <w:rPr>
          <w:rFonts w:asciiTheme="minorHAnsi" w:hAnsiTheme="minorHAnsi" w:cstheme="minorHAnsi"/>
          <w:color w:val="1F4E79" w:themeColor="accent5" w:themeShade="80"/>
        </w:rPr>
        <w:t>Financial</w:t>
      </w:r>
      <w:r w:rsidR="008219FE" w:rsidRPr="005D18D3">
        <w:rPr>
          <w:rFonts w:asciiTheme="minorHAnsi" w:hAnsiTheme="minorHAnsi" w:cstheme="minorHAnsi"/>
          <w:color w:val="1F4E79" w:themeColor="accent5" w:themeShade="80"/>
        </w:rPr>
        <w:t xml:space="preserve"> Feasibility</w:t>
      </w:r>
      <w:bookmarkEnd w:id="26"/>
    </w:p>
    <w:p w14:paraId="5D6A9068" w14:textId="6B0BFA53" w:rsidR="003B720A" w:rsidRPr="003B720A" w:rsidRDefault="003B720A" w:rsidP="00B359CD">
      <w:pPr>
        <w:spacing w:before="240"/>
        <w:rPr>
          <w:sz w:val="24"/>
          <w:szCs w:val="24"/>
        </w:rPr>
      </w:pPr>
      <w:r w:rsidRPr="003B720A">
        <w:rPr>
          <w:sz w:val="24"/>
          <w:szCs w:val="24"/>
        </w:rPr>
        <w:t xml:space="preserve">Under Factor 4, the Applicant must demonstrate that it has sufficient funds available for capital and operating costs necessary to support the Proposed Project without negative effects or </w:t>
      </w:r>
      <w:r w:rsidRPr="003B720A">
        <w:rPr>
          <w:sz w:val="24"/>
          <w:szCs w:val="24"/>
        </w:rPr>
        <w:lastRenderedPageBreak/>
        <w:t>consequences to the existing Patient Panel. Documentation sufficient to make such finding must be supported by an analysis conducted by an independent CPA.</w:t>
      </w:r>
    </w:p>
    <w:p w14:paraId="5C32BBF3" w14:textId="0CFCF371" w:rsidR="003B720A" w:rsidRPr="003B720A" w:rsidRDefault="003B720A" w:rsidP="003B720A">
      <w:pPr>
        <w:rPr>
          <w:sz w:val="24"/>
          <w:szCs w:val="24"/>
        </w:rPr>
      </w:pPr>
      <w:r w:rsidRPr="003B720A">
        <w:rPr>
          <w:sz w:val="24"/>
          <w:szCs w:val="24"/>
        </w:rPr>
        <w:t>The Applicant submitted a report performed by Forvis (CPA Report</w:t>
      </w:r>
      <w:r w:rsidRPr="003B720A">
        <w:rPr>
          <w:sz w:val="24"/>
          <w:szCs w:val="24"/>
          <w:vertAlign w:val="superscript"/>
        </w:rPr>
        <w:footnoteReference w:id="24"/>
      </w:r>
      <w:r w:rsidRPr="003B720A">
        <w:rPr>
          <w:sz w:val="24"/>
          <w:szCs w:val="24"/>
        </w:rPr>
        <w:t>). The scope of the analysis and conclusions in the CPA Report are based upon a review of relevant information, including the Applicant’s current and compiled financial information for each of eight years (2022-29) with 2025 being the first full year of operation and ending December 31, 2029.</w:t>
      </w:r>
    </w:p>
    <w:p w14:paraId="21612EC6" w14:textId="2B366C9B" w:rsidR="003B720A" w:rsidRPr="003B720A" w:rsidRDefault="003B720A" w:rsidP="003B720A">
      <w:pPr>
        <w:rPr>
          <w:sz w:val="24"/>
          <w:szCs w:val="24"/>
        </w:rPr>
      </w:pPr>
      <w:r w:rsidRPr="003B720A">
        <w:rPr>
          <w:sz w:val="24"/>
          <w:szCs w:val="24"/>
        </w:rPr>
        <w:t>The CPA reports the projected revenue consists of net patient service revenue (NPSR). NPSR revenue for residents is based upon</w:t>
      </w:r>
      <w:r w:rsidR="00193168">
        <w:rPr>
          <w:sz w:val="24"/>
          <w:szCs w:val="24"/>
        </w:rPr>
        <w:t xml:space="preserve"> </w:t>
      </w:r>
      <w:r w:rsidR="00193168" w:rsidRPr="00193168">
        <w:rPr>
          <w:sz w:val="24"/>
          <w:szCs w:val="24"/>
        </w:rPr>
        <w:t>the daily fee of the respective bed</w:t>
      </w:r>
      <w:r w:rsidR="00193168">
        <w:rPr>
          <w:sz w:val="24"/>
          <w:szCs w:val="24"/>
        </w:rPr>
        <w:t xml:space="preserve"> and</w:t>
      </w:r>
      <w:r w:rsidRPr="003B720A">
        <w:rPr>
          <w:sz w:val="24"/>
          <w:szCs w:val="24"/>
        </w:rPr>
        <w:t xml:space="preserve"> the </w:t>
      </w:r>
      <w:r w:rsidR="00193168">
        <w:rPr>
          <w:sz w:val="24"/>
          <w:szCs w:val="24"/>
        </w:rPr>
        <w:t>project number of patient days</w:t>
      </w:r>
      <w:r w:rsidRPr="003B720A">
        <w:rPr>
          <w:sz w:val="24"/>
          <w:szCs w:val="24"/>
        </w:rPr>
        <w:t>. During the projection period, the annual daily fees are assumed to increase 3.0% for private pay residents, 2.0 % for Medicaid, and 1.0% for Medicare residents. The projected private pay daily fee for Proposed Project falls within the range of six Green House homes that were benchmarks</w:t>
      </w:r>
      <w:r w:rsidR="00193168">
        <w:rPr>
          <w:sz w:val="24"/>
          <w:szCs w:val="24"/>
        </w:rPr>
        <w:t xml:space="preserve"> used in project planning. </w:t>
      </w:r>
    </w:p>
    <w:p w14:paraId="284C1F13" w14:textId="3DEE6B4C" w:rsidR="003B720A" w:rsidRPr="003B720A" w:rsidRDefault="003B720A" w:rsidP="003B720A">
      <w:pPr>
        <w:rPr>
          <w:sz w:val="24"/>
          <w:szCs w:val="24"/>
        </w:rPr>
      </w:pPr>
      <w:r w:rsidRPr="003B720A">
        <w:rPr>
          <w:sz w:val="24"/>
          <w:szCs w:val="24"/>
        </w:rPr>
        <w:t xml:space="preserve">The CPA analysis showed that </w:t>
      </w:r>
      <w:r w:rsidR="00193168">
        <w:rPr>
          <w:sz w:val="24"/>
          <w:szCs w:val="24"/>
        </w:rPr>
        <w:t xml:space="preserve">facility </w:t>
      </w:r>
      <w:r w:rsidRPr="003B720A">
        <w:rPr>
          <w:sz w:val="24"/>
          <w:szCs w:val="24"/>
        </w:rPr>
        <w:t xml:space="preserve">management had assumed that the </w:t>
      </w:r>
      <w:r w:rsidR="00193168">
        <w:rPr>
          <w:sz w:val="24"/>
          <w:szCs w:val="24"/>
        </w:rPr>
        <w:t xml:space="preserve">Proposed </w:t>
      </w:r>
      <w:r w:rsidRPr="003B720A">
        <w:rPr>
          <w:sz w:val="24"/>
          <w:szCs w:val="24"/>
        </w:rPr>
        <w:t>Project will achieve and maintain an occupancy of 89.6% in fiscal years 2026-29. Staff noted that this is below the average occupancy (93.85</w:t>
      </w:r>
      <w:r w:rsidR="00193168">
        <w:rPr>
          <w:sz w:val="24"/>
          <w:szCs w:val="24"/>
        </w:rPr>
        <w:t>%</w:t>
      </w:r>
      <w:r w:rsidRPr="003B720A">
        <w:rPr>
          <w:sz w:val="24"/>
          <w:szCs w:val="24"/>
        </w:rPr>
        <w:t>) of the six benchmark homes. Further Staff noted that management had plans to reduce the number of Medicaid residents with a more favorable payor mix of Private Pay and Medicare Residents over time. When staff inquired about these findings, the Applicant performed a sensitivity analysis to determine the impact of increasing occupancy to 65.1 beds (93.0</w:t>
      </w:r>
      <w:r w:rsidR="00193168">
        <w:rPr>
          <w:sz w:val="24"/>
          <w:szCs w:val="24"/>
        </w:rPr>
        <w:t>%</w:t>
      </w:r>
      <w:r w:rsidRPr="003B720A">
        <w:rPr>
          <w:sz w:val="24"/>
          <w:szCs w:val="24"/>
        </w:rPr>
        <w:t xml:space="preserve">) and increasing the Medicaid occupancy to 28.0 beds. Table </w:t>
      </w:r>
      <w:r>
        <w:rPr>
          <w:sz w:val="24"/>
          <w:szCs w:val="24"/>
        </w:rPr>
        <w:t>7</w:t>
      </w:r>
      <w:r w:rsidRPr="003B720A">
        <w:rPr>
          <w:sz w:val="24"/>
          <w:szCs w:val="24"/>
        </w:rPr>
        <w:t xml:space="preserve"> </w:t>
      </w:r>
      <w:r w:rsidRPr="003B720A">
        <w:rPr>
          <w:sz w:val="24"/>
          <w:szCs w:val="24"/>
          <w:vertAlign w:val="superscript"/>
        </w:rPr>
        <w:footnoteReference w:id="25"/>
      </w:r>
      <w:r w:rsidRPr="003B720A">
        <w:rPr>
          <w:sz w:val="24"/>
          <w:szCs w:val="24"/>
        </w:rPr>
        <w:t xml:space="preserve"> shows the effects of such an analysis.</w:t>
      </w:r>
    </w:p>
    <w:p w14:paraId="0B50D7C6" w14:textId="5C031700" w:rsidR="003B720A" w:rsidRDefault="003B720A" w:rsidP="00AF61FC">
      <w:pPr>
        <w:spacing w:after="0" w:line="240" w:lineRule="auto"/>
        <w:jc w:val="center"/>
        <w:rPr>
          <w:b/>
          <w:bCs/>
          <w:sz w:val="24"/>
          <w:szCs w:val="24"/>
        </w:rPr>
      </w:pPr>
      <w:r w:rsidRPr="00193168">
        <w:rPr>
          <w:b/>
          <w:bCs/>
          <w:sz w:val="24"/>
          <w:szCs w:val="24"/>
        </w:rPr>
        <w:t>Table 7 – Sensitivity Analysis of incremental increase in Occupancy and Medicaid Beds (1)</w:t>
      </w:r>
    </w:p>
    <w:p w14:paraId="7D964B8A" w14:textId="5197B570" w:rsidR="00AF61FC" w:rsidRPr="00193168" w:rsidRDefault="00AF61FC" w:rsidP="00AF61FC">
      <w:pPr>
        <w:spacing w:after="0" w:line="240" w:lineRule="auto"/>
        <w:jc w:val="center"/>
        <w:rPr>
          <w:b/>
          <w:bCs/>
          <w:sz w:val="24"/>
          <w:szCs w:val="24"/>
        </w:rPr>
      </w:pPr>
      <w:r w:rsidRPr="003B720A">
        <w:rPr>
          <w:b/>
          <w:bCs/>
          <w:sz w:val="24"/>
          <w:szCs w:val="24"/>
        </w:rPr>
        <w:t>Financial Estimates for the Year Ending December 31, 2027</w:t>
      </w:r>
    </w:p>
    <w:tbl>
      <w:tblPr>
        <w:tblW w:w="8635" w:type="dxa"/>
        <w:jc w:val="center"/>
        <w:tblLook w:val="04A0" w:firstRow="1" w:lastRow="0" w:firstColumn="1" w:lastColumn="0" w:noHBand="0" w:noVBand="1"/>
      </w:tblPr>
      <w:tblGrid>
        <w:gridCol w:w="3865"/>
        <w:gridCol w:w="2220"/>
        <w:gridCol w:w="2550"/>
      </w:tblGrid>
      <w:tr w:rsidR="003B720A" w:rsidRPr="003B720A" w14:paraId="17C44571" w14:textId="77777777" w:rsidTr="00AF61FC">
        <w:trPr>
          <w:trHeight w:val="674"/>
          <w:jc w:val="center"/>
        </w:trPr>
        <w:tc>
          <w:tcPr>
            <w:tcW w:w="3865" w:type="dxa"/>
            <w:tcBorders>
              <w:top w:val="single" w:sz="4" w:space="0" w:color="auto"/>
              <w:left w:val="single" w:sz="4" w:space="0" w:color="auto"/>
              <w:bottom w:val="single" w:sz="4" w:space="0" w:color="auto"/>
              <w:right w:val="single" w:sz="4" w:space="0" w:color="auto"/>
            </w:tcBorders>
            <w:shd w:val="clear" w:color="auto" w:fill="E7FAFF"/>
            <w:vAlign w:val="center"/>
            <w:hideMark/>
          </w:tcPr>
          <w:p w14:paraId="7BBBDD37" w14:textId="77777777" w:rsidR="003B720A" w:rsidRPr="003B720A" w:rsidRDefault="003B720A" w:rsidP="003B720A">
            <w:pPr>
              <w:spacing w:after="0"/>
              <w:rPr>
                <w:b/>
                <w:bCs/>
                <w:sz w:val="24"/>
                <w:szCs w:val="24"/>
              </w:rPr>
            </w:pPr>
            <w:r w:rsidRPr="003B720A">
              <w:rPr>
                <w:b/>
                <w:bCs/>
                <w:sz w:val="24"/>
                <w:szCs w:val="24"/>
              </w:rPr>
              <w:t>Occupied Beds:</w:t>
            </w:r>
          </w:p>
        </w:tc>
        <w:tc>
          <w:tcPr>
            <w:tcW w:w="2220" w:type="dxa"/>
            <w:tcBorders>
              <w:top w:val="single" w:sz="4" w:space="0" w:color="auto"/>
              <w:left w:val="nil"/>
              <w:bottom w:val="single" w:sz="4" w:space="0" w:color="auto"/>
              <w:right w:val="single" w:sz="4" w:space="0" w:color="auto"/>
            </w:tcBorders>
            <w:shd w:val="clear" w:color="auto" w:fill="E7FAFF"/>
            <w:vAlign w:val="center"/>
            <w:hideMark/>
          </w:tcPr>
          <w:p w14:paraId="71227353" w14:textId="77777777" w:rsidR="003B720A" w:rsidRPr="003B720A" w:rsidRDefault="003B720A" w:rsidP="003B720A">
            <w:pPr>
              <w:spacing w:after="0"/>
              <w:rPr>
                <w:b/>
                <w:bCs/>
                <w:sz w:val="24"/>
                <w:szCs w:val="24"/>
              </w:rPr>
            </w:pPr>
            <w:r w:rsidRPr="003B720A">
              <w:rPr>
                <w:b/>
                <w:bCs/>
                <w:sz w:val="24"/>
                <w:szCs w:val="24"/>
              </w:rPr>
              <w:t>Original Projections</w:t>
            </w:r>
          </w:p>
        </w:tc>
        <w:tc>
          <w:tcPr>
            <w:tcW w:w="2550" w:type="dxa"/>
            <w:tcBorders>
              <w:top w:val="single" w:sz="4" w:space="0" w:color="auto"/>
              <w:left w:val="nil"/>
              <w:bottom w:val="single" w:sz="4" w:space="0" w:color="auto"/>
              <w:right w:val="single" w:sz="4" w:space="0" w:color="auto"/>
            </w:tcBorders>
            <w:shd w:val="clear" w:color="auto" w:fill="E7FAFF"/>
            <w:vAlign w:val="center"/>
            <w:hideMark/>
          </w:tcPr>
          <w:p w14:paraId="51AF2A2B" w14:textId="4558E3C8" w:rsidR="003B720A" w:rsidRPr="003B720A" w:rsidRDefault="003B720A" w:rsidP="00193168">
            <w:pPr>
              <w:spacing w:after="0"/>
              <w:jc w:val="center"/>
              <w:rPr>
                <w:b/>
                <w:bCs/>
                <w:sz w:val="24"/>
                <w:szCs w:val="24"/>
                <w:vertAlign w:val="superscript"/>
              </w:rPr>
            </w:pPr>
            <w:r w:rsidRPr="003B720A">
              <w:rPr>
                <w:b/>
                <w:bCs/>
                <w:sz w:val="24"/>
                <w:szCs w:val="24"/>
              </w:rPr>
              <w:t>Sensitivity I</w:t>
            </w:r>
          </w:p>
          <w:p w14:paraId="47F18691" w14:textId="77777777" w:rsidR="003B720A" w:rsidRPr="003B720A" w:rsidRDefault="003B720A" w:rsidP="00193168">
            <w:pPr>
              <w:spacing w:after="0"/>
              <w:jc w:val="center"/>
              <w:rPr>
                <w:b/>
                <w:bCs/>
                <w:sz w:val="24"/>
                <w:szCs w:val="24"/>
              </w:rPr>
            </w:pPr>
            <w:r w:rsidRPr="003B720A">
              <w:rPr>
                <w:b/>
                <w:bCs/>
                <w:sz w:val="24"/>
                <w:szCs w:val="24"/>
              </w:rPr>
              <w:t>Following Staff Inquiry</w:t>
            </w:r>
          </w:p>
        </w:tc>
      </w:tr>
      <w:tr w:rsidR="003B720A" w:rsidRPr="003B720A" w14:paraId="735287DA" w14:textId="77777777" w:rsidTr="00193168">
        <w:trPr>
          <w:trHeight w:val="251"/>
          <w:jc w:val="center"/>
        </w:trPr>
        <w:tc>
          <w:tcPr>
            <w:tcW w:w="3865" w:type="dxa"/>
            <w:tcBorders>
              <w:top w:val="nil"/>
              <w:left w:val="single" w:sz="4" w:space="0" w:color="auto"/>
              <w:bottom w:val="single" w:sz="4" w:space="0" w:color="auto"/>
              <w:right w:val="single" w:sz="4" w:space="0" w:color="auto"/>
            </w:tcBorders>
            <w:shd w:val="clear" w:color="auto" w:fill="auto"/>
            <w:vAlign w:val="center"/>
            <w:hideMark/>
          </w:tcPr>
          <w:p w14:paraId="5FA8AE94" w14:textId="77777777" w:rsidR="003B720A" w:rsidRPr="003B720A" w:rsidRDefault="003B720A" w:rsidP="003B720A">
            <w:pPr>
              <w:spacing w:after="0"/>
              <w:rPr>
                <w:sz w:val="24"/>
                <w:szCs w:val="24"/>
              </w:rPr>
            </w:pPr>
            <w:r w:rsidRPr="003B720A">
              <w:rPr>
                <w:sz w:val="24"/>
                <w:szCs w:val="24"/>
              </w:rPr>
              <w:t>Private Pay</w:t>
            </w:r>
          </w:p>
        </w:tc>
        <w:tc>
          <w:tcPr>
            <w:tcW w:w="2220" w:type="dxa"/>
            <w:tcBorders>
              <w:top w:val="nil"/>
              <w:left w:val="nil"/>
              <w:bottom w:val="single" w:sz="4" w:space="0" w:color="auto"/>
              <w:right w:val="single" w:sz="4" w:space="0" w:color="auto"/>
            </w:tcBorders>
            <w:shd w:val="clear" w:color="auto" w:fill="auto"/>
            <w:vAlign w:val="center"/>
            <w:hideMark/>
          </w:tcPr>
          <w:p w14:paraId="653E5C40" w14:textId="77777777" w:rsidR="003B720A" w:rsidRPr="003B720A" w:rsidRDefault="003B720A" w:rsidP="00193168">
            <w:pPr>
              <w:spacing w:after="0"/>
              <w:ind w:right="130"/>
              <w:jc w:val="right"/>
              <w:rPr>
                <w:sz w:val="24"/>
                <w:szCs w:val="24"/>
              </w:rPr>
            </w:pPr>
            <w:r w:rsidRPr="003B720A">
              <w:rPr>
                <w:sz w:val="24"/>
                <w:szCs w:val="24"/>
              </w:rPr>
              <w:t>24.7</w:t>
            </w:r>
          </w:p>
        </w:tc>
        <w:tc>
          <w:tcPr>
            <w:tcW w:w="2550" w:type="dxa"/>
            <w:tcBorders>
              <w:top w:val="nil"/>
              <w:left w:val="nil"/>
              <w:bottom w:val="single" w:sz="4" w:space="0" w:color="auto"/>
              <w:right w:val="single" w:sz="4" w:space="0" w:color="auto"/>
            </w:tcBorders>
            <w:shd w:val="clear" w:color="auto" w:fill="auto"/>
            <w:vAlign w:val="center"/>
            <w:hideMark/>
          </w:tcPr>
          <w:p w14:paraId="2465E017" w14:textId="77777777" w:rsidR="003B720A" w:rsidRPr="003B720A" w:rsidRDefault="003B720A" w:rsidP="00193168">
            <w:pPr>
              <w:spacing w:after="0"/>
              <w:ind w:right="160"/>
              <w:jc w:val="right"/>
              <w:rPr>
                <w:sz w:val="24"/>
                <w:szCs w:val="24"/>
              </w:rPr>
            </w:pPr>
            <w:r w:rsidRPr="003B720A">
              <w:rPr>
                <w:sz w:val="24"/>
                <w:szCs w:val="24"/>
              </w:rPr>
              <w:t>23.8</w:t>
            </w:r>
          </w:p>
        </w:tc>
      </w:tr>
      <w:tr w:rsidR="003B720A" w:rsidRPr="003B720A" w14:paraId="38E96572" w14:textId="77777777" w:rsidTr="00193168">
        <w:trPr>
          <w:trHeight w:val="224"/>
          <w:jc w:val="center"/>
        </w:trPr>
        <w:tc>
          <w:tcPr>
            <w:tcW w:w="3865" w:type="dxa"/>
            <w:tcBorders>
              <w:top w:val="nil"/>
              <w:left w:val="single" w:sz="4" w:space="0" w:color="auto"/>
              <w:bottom w:val="single" w:sz="4" w:space="0" w:color="auto"/>
              <w:right w:val="single" w:sz="4" w:space="0" w:color="auto"/>
            </w:tcBorders>
            <w:shd w:val="clear" w:color="auto" w:fill="auto"/>
            <w:vAlign w:val="center"/>
            <w:hideMark/>
          </w:tcPr>
          <w:p w14:paraId="4032AA8F" w14:textId="77777777" w:rsidR="003B720A" w:rsidRPr="003B720A" w:rsidRDefault="003B720A" w:rsidP="003B720A">
            <w:pPr>
              <w:spacing w:after="0"/>
              <w:rPr>
                <w:sz w:val="24"/>
                <w:szCs w:val="24"/>
              </w:rPr>
            </w:pPr>
            <w:r w:rsidRPr="003B720A">
              <w:rPr>
                <w:sz w:val="24"/>
                <w:szCs w:val="24"/>
              </w:rPr>
              <w:t>Medicaid</w:t>
            </w:r>
          </w:p>
        </w:tc>
        <w:tc>
          <w:tcPr>
            <w:tcW w:w="2220" w:type="dxa"/>
            <w:tcBorders>
              <w:top w:val="nil"/>
              <w:left w:val="nil"/>
              <w:bottom w:val="single" w:sz="4" w:space="0" w:color="auto"/>
              <w:right w:val="single" w:sz="4" w:space="0" w:color="auto"/>
            </w:tcBorders>
            <w:shd w:val="clear" w:color="auto" w:fill="auto"/>
            <w:vAlign w:val="center"/>
            <w:hideMark/>
          </w:tcPr>
          <w:p w14:paraId="72C60D3B" w14:textId="77777777" w:rsidR="003B720A" w:rsidRPr="003B720A" w:rsidRDefault="003B720A" w:rsidP="00193168">
            <w:pPr>
              <w:spacing w:after="0"/>
              <w:ind w:right="130"/>
              <w:jc w:val="right"/>
              <w:rPr>
                <w:sz w:val="24"/>
                <w:szCs w:val="24"/>
              </w:rPr>
            </w:pPr>
            <w:r w:rsidRPr="003B720A">
              <w:rPr>
                <w:sz w:val="24"/>
                <w:szCs w:val="24"/>
              </w:rPr>
              <w:t>24.7</w:t>
            </w:r>
          </w:p>
        </w:tc>
        <w:tc>
          <w:tcPr>
            <w:tcW w:w="2550" w:type="dxa"/>
            <w:tcBorders>
              <w:top w:val="nil"/>
              <w:left w:val="nil"/>
              <w:bottom w:val="single" w:sz="4" w:space="0" w:color="auto"/>
              <w:right w:val="single" w:sz="4" w:space="0" w:color="auto"/>
            </w:tcBorders>
            <w:shd w:val="clear" w:color="auto" w:fill="auto"/>
            <w:vAlign w:val="center"/>
            <w:hideMark/>
          </w:tcPr>
          <w:p w14:paraId="32F6961B" w14:textId="77777777" w:rsidR="003B720A" w:rsidRPr="003B720A" w:rsidRDefault="003B720A" w:rsidP="00193168">
            <w:pPr>
              <w:spacing w:after="0"/>
              <w:ind w:right="160"/>
              <w:jc w:val="right"/>
              <w:rPr>
                <w:sz w:val="24"/>
                <w:szCs w:val="24"/>
              </w:rPr>
            </w:pPr>
            <w:r w:rsidRPr="003B720A">
              <w:rPr>
                <w:sz w:val="24"/>
                <w:szCs w:val="24"/>
              </w:rPr>
              <w:t>28</w:t>
            </w:r>
          </w:p>
        </w:tc>
      </w:tr>
      <w:tr w:rsidR="003B720A" w:rsidRPr="003B720A" w14:paraId="74CD83F2" w14:textId="77777777" w:rsidTr="00193168">
        <w:trPr>
          <w:trHeight w:val="98"/>
          <w:jc w:val="center"/>
        </w:trPr>
        <w:tc>
          <w:tcPr>
            <w:tcW w:w="3865" w:type="dxa"/>
            <w:tcBorders>
              <w:top w:val="nil"/>
              <w:left w:val="single" w:sz="4" w:space="0" w:color="auto"/>
              <w:bottom w:val="single" w:sz="4" w:space="0" w:color="auto"/>
              <w:right w:val="single" w:sz="4" w:space="0" w:color="auto"/>
            </w:tcBorders>
            <w:shd w:val="clear" w:color="auto" w:fill="auto"/>
            <w:vAlign w:val="center"/>
            <w:hideMark/>
          </w:tcPr>
          <w:p w14:paraId="6CE5A5DF" w14:textId="77777777" w:rsidR="003B720A" w:rsidRPr="003B720A" w:rsidRDefault="003B720A" w:rsidP="003B720A">
            <w:pPr>
              <w:spacing w:after="0"/>
              <w:rPr>
                <w:sz w:val="24"/>
                <w:szCs w:val="24"/>
              </w:rPr>
            </w:pPr>
            <w:r w:rsidRPr="003B720A">
              <w:rPr>
                <w:sz w:val="24"/>
                <w:szCs w:val="24"/>
              </w:rPr>
              <w:t>Medicare</w:t>
            </w:r>
          </w:p>
        </w:tc>
        <w:tc>
          <w:tcPr>
            <w:tcW w:w="2220" w:type="dxa"/>
            <w:tcBorders>
              <w:top w:val="nil"/>
              <w:left w:val="nil"/>
              <w:bottom w:val="single" w:sz="4" w:space="0" w:color="auto"/>
              <w:right w:val="single" w:sz="4" w:space="0" w:color="auto"/>
            </w:tcBorders>
            <w:shd w:val="clear" w:color="auto" w:fill="auto"/>
            <w:vAlign w:val="center"/>
            <w:hideMark/>
          </w:tcPr>
          <w:p w14:paraId="41194596" w14:textId="77777777" w:rsidR="003B720A" w:rsidRPr="003B720A" w:rsidRDefault="003B720A" w:rsidP="00193168">
            <w:pPr>
              <w:spacing w:after="0"/>
              <w:ind w:right="130"/>
              <w:jc w:val="right"/>
              <w:rPr>
                <w:sz w:val="24"/>
                <w:szCs w:val="24"/>
              </w:rPr>
            </w:pPr>
            <w:r w:rsidRPr="003B720A">
              <w:rPr>
                <w:sz w:val="24"/>
                <w:szCs w:val="24"/>
              </w:rPr>
              <w:t>10.4</w:t>
            </w:r>
          </w:p>
        </w:tc>
        <w:tc>
          <w:tcPr>
            <w:tcW w:w="2550" w:type="dxa"/>
            <w:tcBorders>
              <w:top w:val="nil"/>
              <w:left w:val="nil"/>
              <w:bottom w:val="single" w:sz="4" w:space="0" w:color="auto"/>
              <w:right w:val="single" w:sz="4" w:space="0" w:color="auto"/>
            </w:tcBorders>
            <w:shd w:val="clear" w:color="auto" w:fill="auto"/>
            <w:vAlign w:val="center"/>
            <w:hideMark/>
          </w:tcPr>
          <w:p w14:paraId="018F62CA" w14:textId="77777777" w:rsidR="003B720A" w:rsidRPr="003B720A" w:rsidRDefault="003B720A" w:rsidP="00193168">
            <w:pPr>
              <w:spacing w:after="0"/>
              <w:ind w:right="160"/>
              <w:jc w:val="right"/>
              <w:rPr>
                <w:sz w:val="24"/>
                <w:szCs w:val="24"/>
              </w:rPr>
            </w:pPr>
            <w:r w:rsidRPr="003B720A">
              <w:rPr>
                <w:sz w:val="24"/>
                <w:szCs w:val="24"/>
              </w:rPr>
              <w:t>10.4</w:t>
            </w:r>
          </w:p>
        </w:tc>
      </w:tr>
      <w:tr w:rsidR="003B720A" w:rsidRPr="003B720A" w14:paraId="395A6AEE" w14:textId="77777777" w:rsidTr="00193168">
        <w:trPr>
          <w:trHeight w:val="251"/>
          <w:jc w:val="center"/>
        </w:trPr>
        <w:tc>
          <w:tcPr>
            <w:tcW w:w="3865" w:type="dxa"/>
            <w:tcBorders>
              <w:top w:val="nil"/>
              <w:left w:val="single" w:sz="4" w:space="0" w:color="auto"/>
              <w:bottom w:val="single" w:sz="4" w:space="0" w:color="auto"/>
              <w:right w:val="single" w:sz="4" w:space="0" w:color="auto"/>
            </w:tcBorders>
            <w:shd w:val="clear" w:color="auto" w:fill="auto"/>
            <w:vAlign w:val="center"/>
            <w:hideMark/>
          </w:tcPr>
          <w:p w14:paraId="0B4BCD56" w14:textId="77777777" w:rsidR="003B720A" w:rsidRPr="003B720A" w:rsidRDefault="003B720A" w:rsidP="003B720A">
            <w:pPr>
              <w:spacing w:after="0"/>
              <w:rPr>
                <w:sz w:val="24"/>
                <w:szCs w:val="24"/>
              </w:rPr>
            </w:pPr>
            <w:r w:rsidRPr="003B720A">
              <w:rPr>
                <w:sz w:val="24"/>
                <w:szCs w:val="24"/>
              </w:rPr>
              <w:t>Managed Care</w:t>
            </w:r>
          </w:p>
        </w:tc>
        <w:tc>
          <w:tcPr>
            <w:tcW w:w="2220" w:type="dxa"/>
            <w:tcBorders>
              <w:top w:val="nil"/>
              <w:left w:val="nil"/>
              <w:bottom w:val="single" w:sz="4" w:space="0" w:color="auto"/>
              <w:right w:val="single" w:sz="4" w:space="0" w:color="auto"/>
            </w:tcBorders>
            <w:shd w:val="clear" w:color="auto" w:fill="auto"/>
            <w:vAlign w:val="center"/>
            <w:hideMark/>
          </w:tcPr>
          <w:p w14:paraId="761102FA" w14:textId="77777777" w:rsidR="003B720A" w:rsidRPr="003B720A" w:rsidRDefault="003B720A" w:rsidP="00193168">
            <w:pPr>
              <w:spacing w:after="0"/>
              <w:ind w:right="130"/>
              <w:jc w:val="right"/>
              <w:rPr>
                <w:sz w:val="24"/>
                <w:szCs w:val="24"/>
              </w:rPr>
            </w:pPr>
            <w:r w:rsidRPr="003B720A">
              <w:rPr>
                <w:sz w:val="24"/>
                <w:szCs w:val="24"/>
              </w:rPr>
              <w:t>2.9</w:t>
            </w:r>
          </w:p>
        </w:tc>
        <w:tc>
          <w:tcPr>
            <w:tcW w:w="2550" w:type="dxa"/>
            <w:tcBorders>
              <w:top w:val="nil"/>
              <w:left w:val="nil"/>
              <w:bottom w:val="single" w:sz="4" w:space="0" w:color="auto"/>
              <w:right w:val="single" w:sz="4" w:space="0" w:color="auto"/>
            </w:tcBorders>
            <w:shd w:val="clear" w:color="auto" w:fill="auto"/>
            <w:vAlign w:val="center"/>
            <w:hideMark/>
          </w:tcPr>
          <w:p w14:paraId="05AC2D81" w14:textId="77777777" w:rsidR="003B720A" w:rsidRPr="003B720A" w:rsidRDefault="003B720A" w:rsidP="00193168">
            <w:pPr>
              <w:spacing w:after="0"/>
              <w:ind w:right="160" w:firstLine="10"/>
              <w:jc w:val="right"/>
              <w:rPr>
                <w:sz w:val="24"/>
                <w:szCs w:val="24"/>
              </w:rPr>
            </w:pPr>
            <w:r w:rsidRPr="003B720A">
              <w:rPr>
                <w:sz w:val="24"/>
                <w:szCs w:val="24"/>
              </w:rPr>
              <w:t>2.9</w:t>
            </w:r>
          </w:p>
        </w:tc>
      </w:tr>
      <w:tr w:rsidR="003B720A" w:rsidRPr="003B720A" w14:paraId="1F1376F5" w14:textId="77777777" w:rsidTr="00193168">
        <w:trPr>
          <w:trHeight w:val="296"/>
          <w:jc w:val="center"/>
        </w:trPr>
        <w:tc>
          <w:tcPr>
            <w:tcW w:w="3865" w:type="dxa"/>
            <w:tcBorders>
              <w:top w:val="nil"/>
              <w:left w:val="single" w:sz="4" w:space="0" w:color="auto"/>
              <w:bottom w:val="single" w:sz="4" w:space="0" w:color="auto"/>
              <w:right w:val="single" w:sz="4" w:space="0" w:color="auto"/>
            </w:tcBorders>
            <w:shd w:val="clear" w:color="auto" w:fill="auto"/>
            <w:vAlign w:val="center"/>
            <w:hideMark/>
          </w:tcPr>
          <w:p w14:paraId="5CC507B9" w14:textId="77777777" w:rsidR="003B720A" w:rsidRPr="003B720A" w:rsidRDefault="003B720A" w:rsidP="003B720A">
            <w:pPr>
              <w:spacing w:after="0"/>
              <w:rPr>
                <w:sz w:val="24"/>
                <w:szCs w:val="24"/>
              </w:rPr>
            </w:pPr>
            <w:r w:rsidRPr="003B720A">
              <w:rPr>
                <w:sz w:val="24"/>
                <w:szCs w:val="24"/>
              </w:rPr>
              <w:t>Total Occupied Beds</w:t>
            </w:r>
          </w:p>
        </w:tc>
        <w:tc>
          <w:tcPr>
            <w:tcW w:w="2220" w:type="dxa"/>
            <w:tcBorders>
              <w:top w:val="nil"/>
              <w:left w:val="nil"/>
              <w:bottom w:val="single" w:sz="4" w:space="0" w:color="auto"/>
              <w:right w:val="single" w:sz="4" w:space="0" w:color="auto"/>
            </w:tcBorders>
            <w:shd w:val="clear" w:color="auto" w:fill="auto"/>
            <w:vAlign w:val="center"/>
            <w:hideMark/>
          </w:tcPr>
          <w:p w14:paraId="0DC62731" w14:textId="77777777" w:rsidR="003B720A" w:rsidRPr="003B720A" w:rsidRDefault="003B720A" w:rsidP="00193168">
            <w:pPr>
              <w:spacing w:after="0"/>
              <w:ind w:right="130"/>
              <w:jc w:val="right"/>
              <w:rPr>
                <w:sz w:val="24"/>
                <w:szCs w:val="24"/>
              </w:rPr>
            </w:pPr>
            <w:r w:rsidRPr="003B720A">
              <w:rPr>
                <w:sz w:val="24"/>
                <w:szCs w:val="24"/>
              </w:rPr>
              <w:t>62.7</w:t>
            </w:r>
          </w:p>
        </w:tc>
        <w:tc>
          <w:tcPr>
            <w:tcW w:w="2550" w:type="dxa"/>
            <w:tcBorders>
              <w:top w:val="nil"/>
              <w:left w:val="nil"/>
              <w:bottom w:val="single" w:sz="4" w:space="0" w:color="auto"/>
              <w:right w:val="single" w:sz="4" w:space="0" w:color="auto"/>
            </w:tcBorders>
            <w:shd w:val="clear" w:color="auto" w:fill="auto"/>
            <w:vAlign w:val="center"/>
            <w:hideMark/>
          </w:tcPr>
          <w:p w14:paraId="05DA3442" w14:textId="77777777" w:rsidR="003B720A" w:rsidRPr="003B720A" w:rsidRDefault="003B720A" w:rsidP="00193168">
            <w:pPr>
              <w:spacing w:after="0"/>
              <w:ind w:right="160"/>
              <w:jc w:val="right"/>
              <w:rPr>
                <w:sz w:val="24"/>
                <w:szCs w:val="24"/>
              </w:rPr>
            </w:pPr>
            <w:r w:rsidRPr="003B720A">
              <w:rPr>
                <w:sz w:val="24"/>
                <w:szCs w:val="24"/>
              </w:rPr>
              <w:t>65.1</w:t>
            </w:r>
          </w:p>
        </w:tc>
      </w:tr>
      <w:tr w:rsidR="003B720A" w:rsidRPr="003B720A" w14:paraId="50B54A43" w14:textId="77777777" w:rsidTr="00193168">
        <w:trPr>
          <w:trHeight w:val="260"/>
          <w:jc w:val="center"/>
        </w:trPr>
        <w:tc>
          <w:tcPr>
            <w:tcW w:w="3865" w:type="dxa"/>
            <w:tcBorders>
              <w:top w:val="nil"/>
              <w:left w:val="single" w:sz="4" w:space="0" w:color="auto"/>
              <w:bottom w:val="single" w:sz="4" w:space="0" w:color="auto"/>
              <w:right w:val="single" w:sz="4" w:space="0" w:color="auto"/>
            </w:tcBorders>
            <w:shd w:val="clear" w:color="auto" w:fill="auto"/>
            <w:vAlign w:val="center"/>
            <w:hideMark/>
          </w:tcPr>
          <w:p w14:paraId="48C76A92" w14:textId="77777777" w:rsidR="003B720A" w:rsidRPr="003B720A" w:rsidRDefault="003B720A" w:rsidP="003B720A">
            <w:pPr>
              <w:spacing w:after="0"/>
              <w:rPr>
                <w:sz w:val="24"/>
                <w:szCs w:val="24"/>
              </w:rPr>
            </w:pPr>
            <w:r w:rsidRPr="003B720A">
              <w:rPr>
                <w:sz w:val="24"/>
                <w:szCs w:val="24"/>
              </w:rPr>
              <w:t>Occupancy Percentage</w:t>
            </w:r>
          </w:p>
        </w:tc>
        <w:tc>
          <w:tcPr>
            <w:tcW w:w="2220" w:type="dxa"/>
            <w:tcBorders>
              <w:top w:val="nil"/>
              <w:left w:val="nil"/>
              <w:bottom w:val="single" w:sz="4" w:space="0" w:color="auto"/>
              <w:right w:val="single" w:sz="4" w:space="0" w:color="auto"/>
            </w:tcBorders>
            <w:shd w:val="clear" w:color="auto" w:fill="auto"/>
            <w:vAlign w:val="center"/>
            <w:hideMark/>
          </w:tcPr>
          <w:p w14:paraId="25504D84" w14:textId="77777777" w:rsidR="003B720A" w:rsidRPr="003B720A" w:rsidRDefault="003B720A" w:rsidP="00193168">
            <w:pPr>
              <w:spacing w:after="0"/>
              <w:ind w:right="130"/>
              <w:jc w:val="right"/>
              <w:rPr>
                <w:sz w:val="24"/>
                <w:szCs w:val="24"/>
              </w:rPr>
            </w:pPr>
            <w:r w:rsidRPr="003B720A">
              <w:rPr>
                <w:sz w:val="24"/>
                <w:szCs w:val="24"/>
              </w:rPr>
              <w:t>89.6%</w:t>
            </w:r>
          </w:p>
        </w:tc>
        <w:tc>
          <w:tcPr>
            <w:tcW w:w="2550" w:type="dxa"/>
            <w:tcBorders>
              <w:top w:val="nil"/>
              <w:left w:val="nil"/>
              <w:bottom w:val="single" w:sz="4" w:space="0" w:color="auto"/>
              <w:right w:val="single" w:sz="4" w:space="0" w:color="auto"/>
            </w:tcBorders>
            <w:shd w:val="clear" w:color="auto" w:fill="auto"/>
            <w:vAlign w:val="center"/>
            <w:hideMark/>
          </w:tcPr>
          <w:p w14:paraId="14BA78B4" w14:textId="77777777" w:rsidR="003B720A" w:rsidRPr="003B720A" w:rsidRDefault="003B720A" w:rsidP="00193168">
            <w:pPr>
              <w:spacing w:after="0"/>
              <w:ind w:right="160"/>
              <w:jc w:val="right"/>
              <w:rPr>
                <w:sz w:val="24"/>
                <w:szCs w:val="24"/>
              </w:rPr>
            </w:pPr>
            <w:r w:rsidRPr="003B720A">
              <w:rPr>
                <w:sz w:val="24"/>
                <w:szCs w:val="24"/>
              </w:rPr>
              <w:t>93.0%</w:t>
            </w:r>
          </w:p>
        </w:tc>
      </w:tr>
      <w:tr w:rsidR="003B720A" w:rsidRPr="003B720A" w14:paraId="1FF5928A" w14:textId="77777777" w:rsidTr="00193168">
        <w:trPr>
          <w:trHeight w:val="310"/>
          <w:jc w:val="center"/>
        </w:trPr>
        <w:tc>
          <w:tcPr>
            <w:tcW w:w="3865" w:type="dxa"/>
            <w:tcBorders>
              <w:top w:val="nil"/>
              <w:left w:val="single" w:sz="4" w:space="0" w:color="auto"/>
              <w:bottom w:val="single" w:sz="4" w:space="0" w:color="auto"/>
              <w:right w:val="single" w:sz="4" w:space="0" w:color="auto"/>
            </w:tcBorders>
            <w:shd w:val="clear" w:color="auto" w:fill="auto"/>
            <w:vAlign w:val="center"/>
            <w:hideMark/>
          </w:tcPr>
          <w:p w14:paraId="55EEC102" w14:textId="77777777" w:rsidR="003B720A" w:rsidRPr="003B720A" w:rsidRDefault="003B720A" w:rsidP="003B720A">
            <w:pPr>
              <w:spacing w:after="0"/>
              <w:rPr>
                <w:b/>
                <w:bCs/>
                <w:sz w:val="24"/>
                <w:szCs w:val="24"/>
              </w:rPr>
            </w:pPr>
            <w:r w:rsidRPr="003B720A">
              <w:rPr>
                <w:b/>
                <w:bCs/>
                <w:sz w:val="24"/>
                <w:szCs w:val="24"/>
              </w:rPr>
              <w:t>Key Metrics</w:t>
            </w:r>
          </w:p>
        </w:tc>
        <w:tc>
          <w:tcPr>
            <w:tcW w:w="4770" w:type="dxa"/>
            <w:gridSpan w:val="2"/>
            <w:tcBorders>
              <w:top w:val="single" w:sz="4" w:space="0" w:color="auto"/>
              <w:left w:val="nil"/>
              <w:bottom w:val="single" w:sz="4" w:space="0" w:color="auto"/>
              <w:right w:val="single" w:sz="4" w:space="0" w:color="auto"/>
            </w:tcBorders>
            <w:shd w:val="clear" w:color="auto" w:fill="auto"/>
            <w:vAlign w:val="center"/>
            <w:hideMark/>
          </w:tcPr>
          <w:p w14:paraId="436F4D4E" w14:textId="7EE3E766" w:rsidR="003B720A" w:rsidRPr="003B720A" w:rsidRDefault="003B720A" w:rsidP="00193168">
            <w:pPr>
              <w:spacing w:after="0"/>
              <w:ind w:right="130"/>
              <w:jc w:val="right"/>
              <w:rPr>
                <w:sz w:val="24"/>
                <w:szCs w:val="24"/>
              </w:rPr>
            </w:pPr>
          </w:p>
        </w:tc>
      </w:tr>
      <w:tr w:rsidR="003B720A" w:rsidRPr="003B720A" w14:paraId="0277F816" w14:textId="77777777" w:rsidTr="00193168">
        <w:trPr>
          <w:trHeight w:val="323"/>
          <w:jc w:val="center"/>
        </w:trPr>
        <w:tc>
          <w:tcPr>
            <w:tcW w:w="3865" w:type="dxa"/>
            <w:tcBorders>
              <w:top w:val="nil"/>
              <w:left w:val="single" w:sz="4" w:space="0" w:color="auto"/>
              <w:bottom w:val="single" w:sz="4" w:space="0" w:color="auto"/>
              <w:right w:val="single" w:sz="4" w:space="0" w:color="auto"/>
            </w:tcBorders>
            <w:shd w:val="clear" w:color="auto" w:fill="auto"/>
            <w:vAlign w:val="center"/>
            <w:hideMark/>
          </w:tcPr>
          <w:p w14:paraId="2B036C82" w14:textId="77777777" w:rsidR="003B720A" w:rsidRPr="003B720A" w:rsidRDefault="003B720A" w:rsidP="003B720A">
            <w:pPr>
              <w:spacing w:after="0"/>
              <w:rPr>
                <w:sz w:val="24"/>
                <w:szCs w:val="24"/>
              </w:rPr>
            </w:pPr>
            <w:r w:rsidRPr="003B720A">
              <w:rPr>
                <w:sz w:val="24"/>
                <w:szCs w:val="24"/>
              </w:rPr>
              <w:t xml:space="preserve">Annual Debt Service Coverage Ratio </w:t>
            </w:r>
          </w:p>
        </w:tc>
        <w:tc>
          <w:tcPr>
            <w:tcW w:w="2220" w:type="dxa"/>
            <w:tcBorders>
              <w:top w:val="nil"/>
              <w:left w:val="nil"/>
              <w:bottom w:val="single" w:sz="4" w:space="0" w:color="auto"/>
              <w:right w:val="single" w:sz="4" w:space="0" w:color="auto"/>
            </w:tcBorders>
            <w:shd w:val="clear" w:color="auto" w:fill="auto"/>
            <w:vAlign w:val="center"/>
            <w:hideMark/>
          </w:tcPr>
          <w:p w14:paraId="3D668FCB" w14:textId="77777777" w:rsidR="003B720A" w:rsidRPr="003B720A" w:rsidRDefault="003B720A" w:rsidP="00193168">
            <w:pPr>
              <w:spacing w:after="0"/>
              <w:ind w:right="130"/>
              <w:jc w:val="right"/>
              <w:rPr>
                <w:sz w:val="24"/>
                <w:szCs w:val="24"/>
              </w:rPr>
            </w:pPr>
            <w:r w:rsidRPr="003B720A">
              <w:rPr>
                <w:sz w:val="24"/>
                <w:szCs w:val="24"/>
              </w:rPr>
              <w:t>1.44x</w:t>
            </w:r>
          </w:p>
        </w:tc>
        <w:tc>
          <w:tcPr>
            <w:tcW w:w="2550" w:type="dxa"/>
            <w:tcBorders>
              <w:top w:val="nil"/>
              <w:left w:val="nil"/>
              <w:bottom w:val="single" w:sz="4" w:space="0" w:color="auto"/>
              <w:right w:val="single" w:sz="4" w:space="0" w:color="auto"/>
            </w:tcBorders>
            <w:shd w:val="clear" w:color="auto" w:fill="auto"/>
            <w:vAlign w:val="center"/>
            <w:hideMark/>
          </w:tcPr>
          <w:p w14:paraId="22A72D0C" w14:textId="77777777" w:rsidR="003B720A" w:rsidRPr="003B720A" w:rsidRDefault="003B720A" w:rsidP="00193168">
            <w:pPr>
              <w:spacing w:after="0"/>
              <w:ind w:right="160"/>
              <w:jc w:val="right"/>
              <w:rPr>
                <w:sz w:val="24"/>
                <w:szCs w:val="24"/>
              </w:rPr>
            </w:pPr>
            <w:r w:rsidRPr="003B720A">
              <w:rPr>
                <w:sz w:val="24"/>
                <w:szCs w:val="24"/>
              </w:rPr>
              <w:t>1.39x</w:t>
            </w:r>
          </w:p>
        </w:tc>
      </w:tr>
      <w:tr w:rsidR="003B720A" w:rsidRPr="003B720A" w14:paraId="419BB894" w14:textId="77777777" w:rsidTr="00193168">
        <w:trPr>
          <w:trHeight w:val="341"/>
          <w:jc w:val="center"/>
        </w:trPr>
        <w:tc>
          <w:tcPr>
            <w:tcW w:w="3865" w:type="dxa"/>
            <w:tcBorders>
              <w:top w:val="nil"/>
              <w:left w:val="single" w:sz="4" w:space="0" w:color="auto"/>
              <w:bottom w:val="single" w:sz="4" w:space="0" w:color="auto"/>
              <w:right w:val="single" w:sz="4" w:space="0" w:color="auto"/>
            </w:tcBorders>
            <w:shd w:val="clear" w:color="auto" w:fill="auto"/>
            <w:vAlign w:val="center"/>
            <w:hideMark/>
          </w:tcPr>
          <w:p w14:paraId="4F75057C" w14:textId="77777777" w:rsidR="003B720A" w:rsidRPr="003B720A" w:rsidRDefault="003B720A" w:rsidP="003B720A">
            <w:pPr>
              <w:spacing w:after="0"/>
              <w:rPr>
                <w:sz w:val="24"/>
                <w:szCs w:val="24"/>
              </w:rPr>
            </w:pPr>
            <w:r w:rsidRPr="003B720A">
              <w:rPr>
                <w:sz w:val="24"/>
                <w:szCs w:val="24"/>
              </w:rPr>
              <w:t xml:space="preserve">Days Cash on Hand </w:t>
            </w:r>
          </w:p>
        </w:tc>
        <w:tc>
          <w:tcPr>
            <w:tcW w:w="2220" w:type="dxa"/>
            <w:tcBorders>
              <w:top w:val="nil"/>
              <w:left w:val="nil"/>
              <w:bottom w:val="single" w:sz="4" w:space="0" w:color="auto"/>
              <w:right w:val="single" w:sz="4" w:space="0" w:color="auto"/>
            </w:tcBorders>
            <w:shd w:val="clear" w:color="auto" w:fill="auto"/>
            <w:vAlign w:val="bottom"/>
            <w:hideMark/>
          </w:tcPr>
          <w:p w14:paraId="5760474E" w14:textId="77777777" w:rsidR="003B720A" w:rsidRPr="003B720A" w:rsidRDefault="003B720A" w:rsidP="00193168">
            <w:pPr>
              <w:spacing w:after="0"/>
              <w:ind w:right="130"/>
              <w:jc w:val="right"/>
              <w:rPr>
                <w:sz w:val="24"/>
                <w:szCs w:val="24"/>
              </w:rPr>
            </w:pPr>
            <w:r w:rsidRPr="003B720A">
              <w:rPr>
                <w:sz w:val="24"/>
                <w:szCs w:val="24"/>
              </w:rPr>
              <w:t>152</w:t>
            </w:r>
          </w:p>
        </w:tc>
        <w:tc>
          <w:tcPr>
            <w:tcW w:w="2550" w:type="dxa"/>
            <w:tcBorders>
              <w:top w:val="nil"/>
              <w:left w:val="nil"/>
              <w:bottom w:val="single" w:sz="4" w:space="0" w:color="auto"/>
              <w:right w:val="single" w:sz="4" w:space="0" w:color="auto"/>
            </w:tcBorders>
            <w:shd w:val="clear" w:color="auto" w:fill="auto"/>
            <w:vAlign w:val="bottom"/>
            <w:hideMark/>
          </w:tcPr>
          <w:p w14:paraId="239C6357" w14:textId="77777777" w:rsidR="003B720A" w:rsidRPr="003B720A" w:rsidRDefault="003B720A" w:rsidP="00193168">
            <w:pPr>
              <w:spacing w:after="0"/>
              <w:ind w:right="160"/>
              <w:jc w:val="right"/>
              <w:rPr>
                <w:sz w:val="24"/>
                <w:szCs w:val="24"/>
              </w:rPr>
            </w:pPr>
            <w:r w:rsidRPr="003B720A">
              <w:rPr>
                <w:sz w:val="24"/>
                <w:szCs w:val="24"/>
              </w:rPr>
              <w:t>139</w:t>
            </w:r>
          </w:p>
        </w:tc>
      </w:tr>
      <w:tr w:rsidR="003B720A" w:rsidRPr="003B720A" w14:paraId="68B940FB" w14:textId="77777777" w:rsidTr="00193168">
        <w:trPr>
          <w:trHeight w:val="310"/>
          <w:jc w:val="center"/>
        </w:trPr>
        <w:tc>
          <w:tcPr>
            <w:tcW w:w="3865" w:type="dxa"/>
            <w:tcBorders>
              <w:top w:val="nil"/>
              <w:left w:val="single" w:sz="4" w:space="0" w:color="auto"/>
              <w:bottom w:val="single" w:sz="4" w:space="0" w:color="auto"/>
              <w:right w:val="single" w:sz="4" w:space="0" w:color="auto"/>
            </w:tcBorders>
            <w:shd w:val="clear" w:color="auto" w:fill="auto"/>
            <w:vAlign w:val="center"/>
            <w:hideMark/>
          </w:tcPr>
          <w:p w14:paraId="0E04D38B" w14:textId="6B012E97" w:rsidR="003B720A" w:rsidRPr="003B720A" w:rsidRDefault="003B720A" w:rsidP="003B720A">
            <w:pPr>
              <w:spacing w:after="0"/>
              <w:rPr>
                <w:sz w:val="24"/>
                <w:szCs w:val="24"/>
              </w:rPr>
            </w:pPr>
            <w:r w:rsidRPr="003B720A">
              <w:rPr>
                <w:sz w:val="24"/>
                <w:szCs w:val="24"/>
              </w:rPr>
              <w:t>Source: Management</w:t>
            </w:r>
            <w:r w:rsidR="00496266">
              <w:rPr>
                <w:sz w:val="24"/>
                <w:szCs w:val="24"/>
              </w:rPr>
              <w:t xml:space="preserve"> of NHMV</w:t>
            </w:r>
          </w:p>
        </w:tc>
        <w:tc>
          <w:tcPr>
            <w:tcW w:w="2220" w:type="dxa"/>
            <w:tcBorders>
              <w:top w:val="nil"/>
              <w:left w:val="nil"/>
              <w:bottom w:val="single" w:sz="4" w:space="0" w:color="auto"/>
              <w:right w:val="single" w:sz="4" w:space="0" w:color="auto"/>
            </w:tcBorders>
            <w:shd w:val="clear" w:color="auto" w:fill="auto"/>
            <w:vAlign w:val="center"/>
            <w:hideMark/>
          </w:tcPr>
          <w:p w14:paraId="6A3443CD" w14:textId="083137EF" w:rsidR="003B720A" w:rsidRPr="003B720A" w:rsidRDefault="003B720A" w:rsidP="00193168">
            <w:pPr>
              <w:spacing w:after="0"/>
              <w:ind w:right="130"/>
              <w:jc w:val="right"/>
              <w:rPr>
                <w:sz w:val="24"/>
                <w:szCs w:val="24"/>
              </w:rPr>
            </w:pPr>
          </w:p>
        </w:tc>
        <w:tc>
          <w:tcPr>
            <w:tcW w:w="2550" w:type="dxa"/>
            <w:tcBorders>
              <w:top w:val="nil"/>
              <w:left w:val="nil"/>
              <w:bottom w:val="single" w:sz="4" w:space="0" w:color="auto"/>
              <w:right w:val="single" w:sz="4" w:space="0" w:color="auto"/>
            </w:tcBorders>
            <w:shd w:val="clear" w:color="auto" w:fill="auto"/>
            <w:vAlign w:val="center"/>
            <w:hideMark/>
          </w:tcPr>
          <w:p w14:paraId="7219F42C" w14:textId="633B8A63" w:rsidR="003B720A" w:rsidRPr="003B720A" w:rsidRDefault="003B720A" w:rsidP="00193168">
            <w:pPr>
              <w:spacing w:after="0"/>
              <w:jc w:val="right"/>
              <w:rPr>
                <w:sz w:val="24"/>
                <w:szCs w:val="24"/>
              </w:rPr>
            </w:pPr>
          </w:p>
        </w:tc>
      </w:tr>
    </w:tbl>
    <w:p w14:paraId="3A21976F" w14:textId="77777777" w:rsidR="003B720A" w:rsidRPr="003B720A" w:rsidRDefault="003B720A" w:rsidP="003B720A">
      <w:pPr>
        <w:numPr>
          <w:ilvl w:val="0"/>
          <w:numId w:val="24"/>
        </w:numPr>
        <w:rPr>
          <w:sz w:val="24"/>
          <w:szCs w:val="24"/>
        </w:rPr>
      </w:pPr>
      <w:r w:rsidRPr="003B720A">
        <w:rPr>
          <w:sz w:val="24"/>
          <w:szCs w:val="24"/>
        </w:rPr>
        <w:lastRenderedPageBreak/>
        <w:t>For purposes of the sensitivity analysis, occupancy was reduced without a corresponding adjustment to certain fixed or staffing expenses.</w:t>
      </w:r>
    </w:p>
    <w:p w14:paraId="7047E9B4" w14:textId="7176448E" w:rsidR="003B720A" w:rsidRPr="003B720A" w:rsidRDefault="003B720A" w:rsidP="003B720A">
      <w:pPr>
        <w:rPr>
          <w:sz w:val="24"/>
          <w:szCs w:val="24"/>
        </w:rPr>
      </w:pPr>
      <w:r w:rsidRPr="003B720A">
        <w:rPr>
          <w:sz w:val="24"/>
          <w:szCs w:val="24"/>
        </w:rPr>
        <w:t xml:space="preserve">The CPA analyzed the Applicant’s assumptions for operating expenses for reasonableness and </w:t>
      </w:r>
      <w:r w:rsidR="00C91530" w:rsidRPr="003B720A">
        <w:rPr>
          <w:sz w:val="24"/>
          <w:szCs w:val="24"/>
        </w:rPr>
        <w:t>supportability</w:t>
      </w:r>
      <w:r w:rsidR="00C91530">
        <w:rPr>
          <w:sz w:val="24"/>
          <w:szCs w:val="24"/>
        </w:rPr>
        <w:t xml:space="preserve"> and</w:t>
      </w:r>
      <w:r w:rsidRPr="003B720A">
        <w:rPr>
          <w:sz w:val="24"/>
          <w:szCs w:val="24"/>
        </w:rPr>
        <w:t xml:space="preserve"> stated that operating expenses were benchmarked against other Green House Projects and also the 2020 Healthcare Provider Cost Reporting Information System (HCRIS) Medicare data (“HCRIS Data”).</w:t>
      </w:r>
      <w:r w:rsidRPr="003B720A">
        <w:rPr>
          <w:sz w:val="24"/>
          <w:szCs w:val="24"/>
          <w:vertAlign w:val="superscript"/>
        </w:rPr>
        <w:footnoteReference w:id="26"/>
      </w:r>
      <w:r w:rsidRPr="003B720A">
        <w:rPr>
          <w:sz w:val="24"/>
          <w:szCs w:val="24"/>
        </w:rPr>
        <w:t xml:space="preserve"> </w:t>
      </w:r>
    </w:p>
    <w:p w14:paraId="795735CC" w14:textId="21B10D64" w:rsidR="003B720A" w:rsidRPr="003B720A" w:rsidRDefault="003B720A" w:rsidP="003B720A">
      <w:pPr>
        <w:rPr>
          <w:sz w:val="24"/>
          <w:szCs w:val="24"/>
        </w:rPr>
      </w:pPr>
      <w:r w:rsidRPr="003B720A">
        <w:rPr>
          <w:sz w:val="24"/>
          <w:szCs w:val="24"/>
        </w:rPr>
        <w:t>When analyzing operating expenses the CPA states that the total expense per resident day is between the median and upper quartile benchmark; the assumed total expense per resident day for administrative and general, maintenance, dining services, housekeeping are below the lower quartile benchmark; and total expense per resident day for health services and benefits are above the upper quartile benchmark.</w:t>
      </w:r>
      <w:r w:rsidRPr="003B720A">
        <w:rPr>
          <w:sz w:val="24"/>
          <w:szCs w:val="24"/>
          <w:vertAlign w:val="superscript"/>
        </w:rPr>
        <w:footnoteReference w:id="27"/>
      </w:r>
      <w:r w:rsidRPr="003B720A">
        <w:rPr>
          <w:sz w:val="24"/>
          <w:szCs w:val="24"/>
        </w:rPr>
        <w:t xml:space="preserve"> As such, the Project’s total salary expense per resident day is above the upper quartile of the benchmark</w:t>
      </w:r>
      <w:r w:rsidR="00882722">
        <w:rPr>
          <w:sz w:val="24"/>
          <w:szCs w:val="24"/>
        </w:rPr>
        <w:t xml:space="preserve"> because</w:t>
      </w:r>
      <w:r w:rsidRPr="003B720A">
        <w:rPr>
          <w:sz w:val="24"/>
          <w:szCs w:val="24"/>
        </w:rPr>
        <w:t xml:space="preserve"> health care hours per resident day are higher than the benchmarks. Subsequent years factored in anticipated 2% inflation to the Benchmark data.</w:t>
      </w:r>
    </w:p>
    <w:p w14:paraId="2291A8A3" w14:textId="77777777" w:rsidR="003B720A" w:rsidRPr="003B720A" w:rsidRDefault="003B720A" w:rsidP="003B720A">
      <w:pPr>
        <w:rPr>
          <w:sz w:val="24"/>
          <w:szCs w:val="24"/>
        </w:rPr>
      </w:pPr>
      <w:r w:rsidRPr="003B720A">
        <w:rPr>
          <w:sz w:val="24"/>
          <w:szCs w:val="24"/>
        </w:rPr>
        <w:t>The CPA also reviewed capital expenditures to determine whether the Applicant will likely have sufficient funds to service the debt associated with the proposed United States Department of Agriculture Community Facilities Guaranteed Loan Program of approximately $8,500,000 (the “Guaranteed Loan”), and Direct Loan of approximately $36,000,000 (collectively, the “USDA Loans”).</w:t>
      </w:r>
    </w:p>
    <w:p w14:paraId="051E428C" w14:textId="144A314A" w:rsidR="003B720A" w:rsidRPr="003B720A" w:rsidRDefault="003B720A" w:rsidP="003B720A">
      <w:pPr>
        <w:rPr>
          <w:sz w:val="24"/>
          <w:szCs w:val="24"/>
        </w:rPr>
      </w:pPr>
      <w:r w:rsidRPr="003B720A">
        <w:rPr>
          <w:sz w:val="24"/>
          <w:szCs w:val="24"/>
        </w:rPr>
        <w:t>The CPA Report summarizes that the financial ratios and benchmarks analyzed throughout th</w:t>
      </w:r>
      <w:r w:rsidR="00882722">
        <w:rPr>
          <w:sz w:val="24"/>
          <w:szCs w:val="24"/>
        </w:rPr>
        <w:t>e</w:t>
      </w:r>
      <w:r w:rsidRPr="003B720A">
        <w:rPr>
          <w:sz w:val="24"/>
          <w:szCs w:val="24"/>
        </w:rPr>
        <w:t xml:space="preserve"> analysis demonstrate that the Project consistently falls within the range of the benchmarks. As a result, the CPA stated </w:t>
      </w:r>
      <w:r w:rsidRPr="003B720A">
        <w:rPr>
          <w:i/>
          <w:iCs/>
          <w:sz w:val="24"/>
          <w:szCs w:val="24"/>
        </w:rPr>
        <w:t>“In our opinion, the underlying assumptions provided by management of Navigator Homes of Martha’s Vineyard are suitably supported and provide a reasonable basis for Management’s projection. …The projection indicates that sufficient funds could be generated to meet the Corporation’s operating expenses, working capital needs and other financial requirements, including the debt service requirements associated with the USDA Loans, during the projection period.</w:t>
      </w:r>
    </w:p>
    <w:p w14:paraId="0F6F1F60" w14:textId="77777777" w:rsidR="003B720A" w:rsidRPr="003B720A" w:rsidRDefault="003B720A" w:rsidP="003B720A">
      <w:pPr>
        <w:rPr>
          <w:b/>
          <w:bCs/>
          <w:i/>
          <w:iCs/>
          <w:sz w:val="24"/>
          <w:szCs w:val="24"/>
        </w:rPr>
      </w:pPr>
      <w:r w:rsidRPr="005D18D3">
        <w:rPr>
          <w:b/>
          <w:bCs/>
          <w:i/>
          <w:iCs/>
          <w:color w:val="1F4E79" w:themeColor="accent5" w:themeShade="80"/>
          <w:sz w:val="24"/>
          <w:szCs w:val="24"/>
        </w:rPr>
        <w:t>Analysis</w:t>
      </w:r>
      <w:r w:rsidRPr="003B720A">
        <w:rPr>
          <w:b/>
          <w:bCs/>
          <w:i/>
          <w:iCs/>
          <w:sz w:val="24"/>
          <w:szCs w:val="24"/>
        </w:rPr>
        <w:t xml:space="preserve"> </w:t>
      </w:r>
    </w:p>
    <w:p w14:paraId="35135A8D" w14:textId="4008CBA0" w:rsidR="003B720A" w:rsidRPr="003B720A" w:rsidRDefault="003B720A" w:rsidP="003B720A">
      <w:pPr>
        <w:rPr>
          <w:sz w:val="24"/>
          <w:szCs w:val="24"/>
        </w:rPr>
      </w:pPr>
      <w:bookmarkStart w:id="27" w:name="_Hlk122518675"/>
      <w:r w:rsidRPr="695818A5">
        <w:rPr>
          <w:sz w:val="24"/>
          <w:szCs w:val="24"/>
        </w:rPr>
        <w:t>The Applicant states that its current facility operates at a loss that it cannot sustain. For the Proposed Project to be financially viable,</w:t>
      </w:r>
      <w:r w:rsidR="00271719" w:rsidRPr="695818A5">
        <w:rPr>
          <w:sz w:val="24"/>
          <w:szCs w:val="24"/>
        </w:rPr>
        <w:t xml:space="preserve"> it states that</w:t>
      </w:r>
      <w:r w:rsidRPr="695818A5">
        <w:rPr>
          <w:sz w:val="24"/>
          <w:szCs w:val="24"/>
        </w:rPr>
        <w:t xml:space="preserve"> the facility’s payer mix must be </w:t>
      </w:r>
      <w:r w:rsidR="0012788B" w:rsidRPr="695818A5">
        <w:rPr>
          <w:sz w:val="24"/>
          <w:szCs w:val="24"/>
        </w:rPr>
        <w:t>“</w:t>
      </w:r>
      <w:r w:rsidRPr="695818A5">
        <w:rPr>
          <w:sz w:val="24"/>
          <w:szCs w:val="24"/>
        </w:rPr>
        <w:t>managed</w:t>
      </w:r>
      <w:r w:rsidR="0012788B" w:rsidRPr="695818A5">
        <w:rPr>
          <w:sz w:val="24"/>
          <w:szCs w:val="24"/>
        </w:rPr>
        <w:t>”</w:t>
      </w:r>
      <w:r w:rsidRPr="695818A5">
        <w:rPr>
          <w:sz w:val="24"/>
          <w:szCs w:val="24"/>
        </w:rPr>
        <w:t xml:space="preserve"> to make up for Medicaid reimbursement shortfalls. </w:t>
      </w:r>
    </w:p>
    <w:p w14:paraId="0F4F4D9B" w14:textId="3C2F8409" w:rsidR="003B720A" w:rsidRPr="003B720A" w:rsidRDefault="003B720A" w:rsidP="003B720A">
      <w:pPr>
        <w:rPr>
          <w:sz w:val="24"/>
          <w:szCs w:val="24"/>
        </w:rPr>
      </w:pPr>
      <w:r w:rsidRPr="003B720A">
        <w:rPr>
          <w:sz w:val="24"/>
          <w:szCs w:val="24"/>
        </w:rPr>
        <w:lastRenderedPageBreak/>
        <w:t xml:space="preserve">Following staff’s </w:t>
      </w:r>
      <w:r w:rsidR="0012788B">
        <w:rPr>
          <w:sz w:val="24"/>
          <w:szCs w:val="24"/>
        </w:rPr>
        <w:t>Inquiry</w:t>
      </w:r>
      <w:r w:rsidRPr="003B720A">
        <w:rPr>
          <w:sz w:val="24"/>
          <w:szCs w:val="24"/>
        </w:rPr>
        <w:t xml:space="preserve"> concerning the reduced number of Medicaid beds, Navigator revisited its projections</w:t>
      </w:r>
      <w:r w:rsidR="00882722">
        <w:rPr>
          <w:sz w:val="24"/>
          <w:szCs w:val="24"/>
        </w:rPr>
        <w:t>,</w:t>
      </w:r>
      <w:r w:rsidRPr="003B720A">
        <w:rPr>
          <w:sz w:val="24"/>
          <w:szCs w:val="24"/>
        </w:rPr>
        <w:t xml:space="preserve"> </w:t>
      </w:r>
      <w:r w:rsidR="00882722">
        <w:rPr>
          <w:sz w:val="24"/>
          <w:szCs w:val="24"/>
        </w:rPr>
        <w:t xml:space="preserve">as discussed above and shown in Table 7, </w:t>
      </w:r>
      <w:r w:rsidRPr="003B720A">
        <w:rPr>
          <w:sz w:val="24"/>
          <w:szCs w:val="24"/>
        </w:rPr>
        <w:t>to determine the average occupied beds by payer that would maximize its ability to care for Medicaid beneficiaries while preserving the financial viability of the facility. This was achieved by increasing the facility’s occupancy to 93%, which is consistent with other Green House facilities.</w:t>
      </w:r>
      <w:bookmarkStart w:id="28" w:name="_Hlk122518652"/>
      <w:r w:rsidRPr="003B720A">
        <w:rPr>
          <w:sz w:val="24"/>
          <w:szCs w:val="24"/>
        </w:rPr>
        <w:t xml:space="preserve"> As a result, Navigator revised its projections to an average of 28 Medicaid beds beginning in 2025, which it states creates an </w:t>
      </w:r>
      <w:r w:rsidRPr="003B720A">
        <w:rPr>
          <w:i/>
          <w:iCs/>
          <w:sz w:val="24"/>
          <w:szCs w:val="24"/>
        </w:rPr>
        <w:t xml:space="preserve">increase </w:t>
      </w:r>
      <w:r w:rsidRPr="003B720A">
        <w:rPr>
          <w:sz w:val="24"/>
          <w:szCs w:val="24"/>
        </w:rPr>
        <w:t xml:space="preserve">of Medicaid beds from the facility’s current average of 25.  </w:t>
      </w:r>
      <w:bookmarkEnd w:id="27"/>
      <w:bookmarkEnd w:id="28"/>
    </w:p>
    <w:p w14:paraId="59AED407" w14:textId="1C02F56F" w:rsidR="0012788B" w:rsidRPr="0012788B" w:rsidRDefault="0012788B" w:rsidP="0012788B">
      <w:pPr>
        <w:rPr>
          <w:sz w:val="24"/>
          <w:szCs w:val="24"/>
        </w:rPr>
      </w:pPr>
      <w:r w:rsidRPr="0012788B">
        <w:rPr>
          <w:sz w:val="24"/>
          <w:szCs w:val="24"/>
        </w:rPr>
        <w:t xml:space="preserve">Staff finds that the </w:t>
      </w:r>
      <w:r>
        <w:rPr>
          <w:sz w:val="24"/>
          <w:szCs w:val="24"/>
        </w:rPr>
        <w:t xml:space="preserve">CPA and </w:t>
      </w:r>
      <w:r w:rsidRPr="0012788B">
        <w:rPr>
          <w:sz w:val="24"/>
          <w:szCs w:val="24"/>
        </w:rPr>
        <w:t>Applicant</w:t>
      </w:r>
      <w:r>
        <w:rPr>
          <w:sz w:val="24"/>
          <w:szCs w:val="24"/>
        </w:rPr>
        <w:t>’s subsequent analysis</w:t>
      </w:r>
      <w:r w:rsidRPr="0012788B">
        <w:rPr>
          <w:sz w:val="24"/>
          <w:szCs w:val="24"/>
        </w:rPr>
        <w:t xml:space="preserve"> has </w:t>
      </w:r>
      <w:r>
        <w:rPr>
          <w:sz w:val="24"/>
          <w:szCs w:val="24"/>
        </w:rPr>
        <w:t>sufficiently document</w:t>
      </w:r>
      <w:r w:rsidRPr="0012788B">
        <w:rPr>
          <w:sz w:val="24"/>
          <w:szCs w:val="24"/>
        </w:rPr>
        <w:t xml:space="preserve">ed the availability of </w:t>
      </w:r>
      <w:r>
        <w:rPr>
          <w:sz w:val="24"/>
          <w:szCs w:val="24"/>
        </w:rPr>
        <w:t>f</w:t>
      </w:r>
      <w:r w:rsidRPr="0012788B">
        <w:rPr>
          <w:sz w:val="24"/>
          <w:szCs w:val="24"/>
        </w:rPr>
        <w:t>unds for capital and ongoing operating costs necessary to support the Proposed Project without negative impacts or consequences to the Applicant’s Patient Panel. As a result, Staff finds the CPA analysis to be acceptable and that the Applicant has met the requirements of Factor 4</w:t>
      </w:r>
      <w:r w:rsidR="00882722">
        <w:rPr>
          <w:sz w:val="24"/>
          <w:szCs w:val="24"/>
        </w:rPr>
        <w:t xml:space="preserve"> with the aforementioned additional Condition </w:t>
      </w:r>
      <w:r w:rsidR="00882722" w:rsidRPr="00535551">
        <w:rPr>
          <w:sz w:val="24"/>
          <w:szCs w:val="24"/>
        </w:rPr>
        <w:t>#</w:t>
      </w:r>
      <w:r w:rsidR="00DF07C0">
        <w:rPr>
          <w:sz w:val="24"/>
          <w:szCs w:val="24"/>
        </w:rPr>
        <w:t>4</w:t>
      </w:r>
      <w:r w:rsidR="00882722">
        <w:rPr>
          <w:sz w:val="24"/>
          <w:szCs w:val="24"/>
        </w:rPr>
        <w:t xml:space="preserve"> to report on and maintain the ~28 projected Medicaid beds. </w:t>
      </w:r>
    </w:p>
    <w:p w14:paraId="48CBAFC9" w14:textId="1DD8C681" w:rsidR="00B045B7" w:rsidRPr="005D18D3" w:rsidRDefault="00B045B7" w:rsidP="008219FE">
      <w:pPr>
        <w:pStyle w:val="Heading1"/>
        <w:rPr>
          <w:rFonts w:asciiTheme="minorHAnsi" w:hAnsiTheme="minorHAnsi" w:cstheme="minorHAnsi"/>
          <w:color w:val="1F4E79" w:themeColor="accent5" w:themeShade="80"/>
        </w:rPr>
      </w:pPr>
      <w:bookmarkStart w:id="29" w:name="_Toc129354650"/>
      <w:r w:rsidRPr="005D18D3">
        <w:rPr>
          <w:rFonts w:asciiTheme="minorHAnsi" w:hAnsiTheme="minorHAnsi" w:cstheme="minorHAnsi"/>
          <w:color w:val="1F4E79" w:themeColor="accent5" w:themeShade="80"/>
        </w:rPr>
        <w:t>Factor 5</w:t>
      </w:r>
      <w:r w:rsidR="00C4270A" w:rsidRPr="005D18D3">
        <w:rPr>
          <w:rFonts w:asciiTheme="minorHAnsi" w:hAnsiTheme="minorHAnsi" w:cstheme="minorHAnsi"/>
          <w:color w:val="1F4E79" w:themeColor="accent5" w:themeShade="80"/>
        </w:rPr>
        <w:t xml:space="preserve"> </w:t>
      </w:r>
      <w:r w:rsidR="00CF3C0A" w:rsidRPr="005D18D3">
        <w:rPr>
          <w:rFonts w:asciiTheme="minorHAnsi" w:hAnsiTheme="minorHAnsi" w:cstheme="minorHAnsi"/>
          <w:color w:val="1F4E79" w:themeColor="accent5" w:themeShade="80"/>
        </w:rPr>
        <w:t>-</w:t>
      </w:r>
      <w:r w:rsidRPr="005D18D3">
        <w:rPr>
          <w:rFonts w:asciiTheme="minorHAnsi" w:hAnsiTheme="minorHAnsi" w:cstheme="minorHAnsi"/>
          <w:color w:val="1F4E79" w:themeColor="accent5" w:themeShade="80"/>
        </w:rPr>
        <w:t xml:space="preserve"> </w:t>
      </w:r>
      <w:r w:rsidR="007D49FF" w:rsidRPr="005D18D3">
        <w:rPr>
          <w:rFonts w:asciiTheme="minorHAnsi" w:hAnsiTheme="minorHAnsi" w:cstheme="minorHAnsi"/>
          <w:color w:val="1F4E79" w:themeColor="accent5" w:themeShade="80"/>
        </w:rPr>
        <w:t>Relative Merit</w:t>
      </w:r>
      <w:bookmarkEnd w:id="29"/>
    </w:p>
    <w:p w14:paraId="549252D4" w14:textId="1C1EA06A" w:rsidR="00252E76" w:rsidRPr="00980678" w:rsidRDefault="00252E76" w:rsidP="00FA60F4">
      <w:pPr>
        <w:spacing w:before="240" w:after="0" w:line="240" w:lineRule="auto"/>
        <w:rPr>
          <w:sz w:val="24"/>
          <w:szCs w:val="24"/>
        </w:rPr>
      </w:pPr>
      <w:r w:rsidRPr="00980678">
        <w:rPr>
          <w:sz w:val="24"/>
          <w:szCs w:val="24"/>
        </w:rPr>
        <w:t xml:space="preserve">The Applicant considered two alternatives to the current project: </w:t>
      </w:r>
    </w:p>
    <w:p w14:paraId="6C7D772F" w14:textId="77777777" w:rsidR="00252E76" w:rsidRPr="00980678" w:rsidRDefault="00252E76" w:rsidP="00252E76">
      <w:pPr>
        <w:pStyle w:val="ListParagraph"/>
        <w:numPr>
          <w:ilvl w:val="0"/>
          <w:numId w:val="20"/>
        </w:numPr>
        <w:spacing w:before="240"/>
        <w:rPr>
          <w:sz w:val="24"/>
          <w:szCs w:val="24"/>
        </w:rPr>
      </w:pPr>
      <w:r w:rsidRPr="00980678">
        <w:rPr>
          <w:sz w:val="24"/>
          <w:szCs w:val="24"/>
        </w:rPr>
        <w:t xml:space="preserve">Continue with the status quo, and </w:t>
      </w:r>
    </w:p>
    <w:p w14:paraId="5DFCB083" w14:textId="3D3A27B8" w:rsidR="00252E76" w:rsidRPr="00980678" w:rsidRDefault="00252E76" w:rsidP="00252E76">
      <w:pPr>
        <w:pStyle w:val="ListParagraph"/>
        <w:numPr>
          <w:ilvl w:val="0"/>
          <w:numId w:val="20"/>
        </w:numPr>
        <w:spacing w:before="240"/>
        <w:rPr>
          <w:sz w:val="24"/>
          <w:szCs w:val="24"/>
        </w:rPr>
      </w:pPr>
      <w:r w:rsidRPr="00980678">
        <w:rPr>
          <w:sz w:val="24"/>
          <w:szCs w:val="24"/>
        </w:rPr>
        <w:t xml:space="preserve">Construct a traditional long-term care facility </w:t>
      </w:r>
    </w:p>
    <w:p w14:paraId="6FA9D5DB" w14:textId="3AC484B7" w:rsidR="00252E76" w:rsidRPr="00980678" w:rsidRDefault="00252E76" w:rsidP="00FA60F4">
      <w:pPr>
        <w:spacing w:before="240" w:after="0" w:line="240" w:lineRule="auto"/>
        <w:rPr>
          <w:sz w:val="24"/>
          <w:szCs w:val="24"/>
        </w:rPr>
      </w:pPr>
      <w:r w:rsidRPr="00980678">
        <w:rPr>
          <w:sz w:val="24"/>
          <w:szCs w:val="24"/>
        </w:rPr>
        <w:t>The first alternative would have no</w:t>
      </w:r>
      <w:r w:rsidR="00601429" w:rsidRPr="00980678">
        <w:rPr>
          <w:sz w:val="24"/>
          <w:szCs w:val="24"/>
        </w:rPr>
        <w:t xml:space="preserve"> substantial</w:t>
      </w:r>
      <w:r w:rsidRPr="00980678">
        <w:rPr>
          <w:sz w:val="24"/>
          <w:szCs w:val="24"/>
        </w:rPr>
        <w:t xml:space="preserve"> additional operating costs or capital costs however, </w:t>
      </w:r>
      <w:r w:rsidR="00601429" w:rsidRPr="00980678">
        <w:rPr>
          <w:sz w:val="24"/>
          <w:szCs w:val="24"/>
        </w:rPr>
        <w:t xml:space="preserve">the Applicant describes an aging facility in need of </w:t>
      </w:r>
      <w:r w:rsidR="003707DA" w:rsidRPr="00980678">
        <w:rPr>
          <w:sz w:val="24"/>
          <w:szCs w:val="24"/>
        </w:rPr>
        <w:t>frequent maintenance. W</w:t>
      </w:r>
      <w:r w:rsidRPr="00980678">
        <w:rPr>
          <w:sz w:val="24"/>
          <w:szCs w:val="24"/>
        </w:rPr>
        <w:t xml:space="preserve">ith this option, the growing needs of the Island residents </w:t>
      </w:r>
      <w:r w:rsidR="00541AFC" w:rsidRPr="00980678">
        <w:rPr>
          <w:sz w:val="24"/>
          <w:szCs w:val="24"/>
        </w:rPr>
        <w:t xml:space="preserve">for </w:t>
      </w:r>
      <w:r w:rsidR="00026F04" w:rsidRPr="00980678">
        <w:rPr>
          <w:sz w:val="24"/>
          <w:szCs w:val="24"/>
        </w:rPr>
        <w:t xml:space="preserve">access to </w:t>
      </w:r>
      <w:r w:rsidR="00974EE9" w:rsidRPr="00980678">
        <w:rPr>
          <w:sz w:val="24"/>
          <w:szCs w:val="24"/>
        </w:rPr>
        <w:t xml:space="preserve">short-term rehabilitation and </w:t>
      </w:r>
      <w:r w:rsidR="00541AFC" w:rsidRPr="00980678">
        <w:rPr>
          <w:sz w:val="24"/>
          <w:szCs w:val="24"/>
        </w:rPr>
        <w:t>long</w:t>
      </w:r>
      <w:r w:rsidR="00974EE9" w:rsidRPr="00980678">
        <w:rPr>
          <w:sz w:val="24"/>
          <w:szCs w:val="24"/>
        </w:rPr>
        <w:t>-</w:t>
      </w:r>
      <w:r w:rsidR="00541AFC" w:rsidRPr="00980678">
        <w:rPr>
          <w:sz w:val="24"/>
          <w:szCs w:val="24"/>
        </w:rPr>
        <w:t>term care services would not be met, and the quality of care and operational efficiency issues</w:t>
      </w:r>
      <w:r w:rsidR="00261E8E" w:rsidRPr="00980678">
        <w:rPr>
          <w:sz w:val="24"/>
          <w:szCs w:val="24"/>
        </w:rPr>
        <w:t xml:space="preserve"> that will be achieved </w:t>
      </w:r>
      <w:r w:rsidR="005B3858" w:rsidRPr="00980678">
        <w:rPr>
          <w:sz w:val="24"/>
          <w:szCs w:val="24"/>
        </w:rPr>
        <w:t>through this Proposed Project,</w:t>
      </w:r>
      <w:r w:rsidR="00541AFC" w:rsidRPr="00980678">
        <w:rPr>
          <w:sz w:val="24"/>
          <w:szCs w:val="24"/>
        </w:rPr>
        <w:t xml:space="preserve"> </w:t>
      </w:r>
      <w:r w:rsidR="005B3858" w:rsidRPr="00980678">
        <w:rPr>
          <w:sz w:val="24"/>
          <w:szCs w:val="24"/>
        </w:rPr>
        <w:t xml:space="preserve">and discussed throughout this narrative, </w:t>
      </w:r>
      <w:r w:rsidR="00541AFC" w:rsidRPr="00980678">
        <w:rPr>
          <w:sz w:val="24"/>
          <w:szCs w:val="24"/>
        </w:rPr>
        <w:t xml:space="preserve">would not improve. </w:t>
      </w:r>
    </w:p>
    <w:p w14:paraId="6E0F5777" w14:textId="75FC6983" w:rsidR="00980678" w:rsidRPr="00980678" w:rsidRDefault="004A4F15" w:rsidP="00980678">
      <w:pPr>
        <w:spacing w:before="240" w:after="0" w:line="240" w:lineRule="auto"/>
        <w:rPr>
          <w:sz w:val="24"/>
          <w:szCs w:val="24"/>
        </w:rPr>
      </w:pPr>
      <w:r w:rsidRPr="695818A5">
        <w:rPr>
          <w:sz w:val="24"/>
          <w:szCs w:val="24"/>
        </w:rPr>
        <w:t xml:space="preserve">The Applicant asserts alternative number 2 would not result in the same </w:t>
      </w:r>
      <w:r w:rsidR="004E03BA" w:rsidRPr="695818A5">
        <w:rPr>
          <w:sz w:val="24"/>
          <w:szCs w:val="24"/>
        </w:rPr>
        <w:t xml:space="preserve">outcome and </w:t>
      </w:r>
      <w:r w:rsidRPr="695818A5">
        <w:rPr>
          <w:sz w:val="24"/>
          <w:szCs w:val="24"/>
        </w:rPr>
        <w:t xml:space="preserve">quality benefits described </w:t>
      </w:r>
      <w:r w:rsidR="005E0E9B" w:rsidRPr="695818A5">
        <w:rPr>
          <w:sz w:val="24"/>
          <w:szCs w:val="24"/>
        </w:rPr>
        <w:t>under Factor 1</w:t>
      </w:r>
      <w:r w:rsidR="00271719" w:rsidRPr="695818A5">
        <w:rPr>
          <w:sz w:val="24"/>
          <w:szCs w:val="24"/>
        </w:rPr>
        <w:t>(</w:t>
      </w:r>
      <w:r w:rsidR="005E0E9B" w:rsidRPr="695818A5">
        <w:rPr>
          <w:sz w:val="24"/>
          <w:szCs w:val="24"/>
        </w:rPr>
        <w:t>b) related to reduced hospital admission</w:t>
      </w:r>
      <w:r w:rsidR="00980678" w:rsidRPr="695818A5">
        <w:rPr>
          <w:sz w:val="24"/>
          <w:szCs w:val="24"/>
        </w:rPr>
        <w:t xml:space="preserve">, </w:t>
      </w:r>
      <w:r w:rsidR="005E0E9B" w:rsidRPr="695818A5">
        <w:rPr>
          <w:sz w:val="24"/>
          <w:szCs w:val="24"/>
        </w:rPr>
        <w:t xml:space="preserve">and shorter lengths of stay, </w:t>
      </w:r>
      <w:r w:rsidR="00980678" w:rsidRPr="695818A5">
        <w:rPr>
          <w:sz w:val="24"/>
          <w:szCs w:val="24"/>
        </w:rPr>
        <w:t xml:space="preserve">along with lower infection rates found in Green House homes.  </w:t>
      </w:r>
      <w:r w:rsidR="00AB7DB4" w:rsidRPr="695818A5">
        <w:rPr>
          <w:sz w:val="24"/>
          <w:szCs w:val="24"/>
        </w:rPr>
        <w:t>The Applicant acknowledges that while the capital costs would likely be similar, the operating costs with the Proposed Project may be higher</w:t>
      </w:r>
      <w:r w:rsidR="00AD5B10" w:rsidRPr="695818A5">
        <w:rPr>
          <w:sz w:val="24"/>
          <w:szCs w:val="24"/>
        </w:rPr>
        <w:t>, however, these may be offset by efficiencies gained as well as the cost savings achieved through improved efficiencies</w:t>
      </w:r>
      <w:r w:rsidR="00923117" w:rsidRPr="695818A5">
        <w:rPr>
          <w:sz w:val="24"/>
          <w:szCs w:val="24"/>
        </w:rPr>
        <w:t xml:space="preserve"> and quality gains.</w:t>
      </w:r>
    </w:p>
    <w:p w14:paraId="7D7A1423" w14:textId="6792ED61" w:rsidR="00FD55C8" w:rsidRPr="005D18D3" w:rsidRDefault="00FD55C8" w:rsidP="00923117">
      <w:pPr>
        <w:spacing w:before="240" w:after="0" w:line="240" w:lineRule="auto"/>
        <w:rPr>
          <w:b/>
          <w:bCs/>
          <w:i/>
          <w:iCs/>
          <w:color w:val="1F4E79" w:themeColor="accent5" w:themeShade="80"/>
          <w:sz w:val="24"/>
          <w:szCs w:val="24"/>
        </w:rPr>
      </w:pPr>
      <w:r w:rsidRPr="005D18D3">
        <w:rPr>
          <w:b/>
          <w:bCs/>
          <w:i/>
          <w:iCs/>
          <w:color w:val="1F4E79" w:themeColor="accent5" w:themeShade="80"/>
          <w:sz w:val="24"/>
          <w:szCs w:val="24"/>
        </w:rPr>
        <w:t>Analysis</w:t>
      </w:r>
    </w:p>
    <w:p w14:paraId="012CFC59" w14:textId="1522E524" w:rsidR="00670BF5" w:rsidRPr="00670BF5" w:rsidRDefault="00670BF5" w:rsidP="00923117">
      <w:pPr>
        <w:spacing w:before="240" w:after="0" w:line="240" w:lineRule="auto"/>
        <w:rPr>
          <w:sz w:val="24"/>
          <w:szCs w:val="24"/>
        </w:rPr>
      </w:pPr>
      <w:r w:rsidRPr="00670BF5">
        <w:rPr>
          <w:sz w:val="24"/>
          <w:szCs w:val="24"/>
        </w:rPr>
        <w:t>Staff finds that the Applicant has appropriately considered the quality, efficiency, capital and operating costs of the Proposed Project and recognizes that the</w:t>
      </w:r>
      <w:r w:rsidR="00D33AA9">
        <w:rPr>
          <w:sz w:val="24"/>
          <w:szCs w:val="24"/>
        </w:rPr>
        <w:t xml:space="preserve"> </w:t>
      </w:r>
      <w:r w:rsidRPr="00670BF5">
        <w:rPr>
          <w:sz w:val="24"/>
          <w:szCs w:val="24"/>
        </w:rPr>
        <w:t>alternatives</w:t>
      </w:r>
      <w:r w:rsidR="00D33AA9">
        <w:rPr>
          <w:sz w:val="24"/>
          <w:szCs w:val="24"/>
        </w:rPr>
        <w:t xml:space="preserve"> considered would not likely achieve the short-term and long-term care efficiencies and quality of the Proposed Project. </w:t>
      </w:r>
      <w:r w:rsidRPr="00670BF5">
        <w:rPr>
          <w:sz w:val="24"/>
          <w:szCs w:val="24"/>
        </w:rPr>
        <w:t xml:space="preserve"> As a result of information provided by the Applicant and additional analysis, staff finds that the Applicant has demonstrated that the Proposed Project has met Factor 5.</w:t>
      </w:r>
    </w:p>
    <w:p w14:paraId="4877849D" w14:textId="3B1BE06E" w:rsidR="003B720A" w:rsidRPr="00DF07C0" w:rsidRDefault="00B045B7" w:rsidP="00DF07C0">
      <w:pPr>
        <w:pStyle w:val="Heading1"/>
      </w:pPr>
      <w:bookmarkStart w:id="30" w:name="_Toc129354651"/>
      <w:r w:rsidRPr="005D18D3">
        <w:rPr>
          <w:rFonts w:asciiTheme="minorHAnsi" w:hAnsiTheme="minorHAnsi" w:cstheme="minorHAnsi"/>
          <w:color w:val="1F4E79" w:themeColor="accent5" w:themeShade="80"/>
        </w:rPr>
        <w:lastRenderedPageBreak/>
        <w:t>Factor 6</w:t>
      </w:r>
      <w:r w:rsidR="00C4270A" w:rsidRPr="005D18D3">
        <w:rPr>
          <w:rFonts w:asciiTheme="minorHAnsi" w:hAnsiTheme="minorHAnsi" w:cstheme="minorHAnsi"/>
          <w:color w:val="1F4E79" w:themeColor="accent5" w:themeShade="80"/>
        </w:rPr>
        <w:t xml:space="preserve"> - </w:t>
      </w:r>
      <w:r w:rsidR="00E91888" w:rsidRPr="005D18D3">
        <w:rPr>
          <w:rFonts w:asciiTheme="minorHAnsi" w:hAnsiTheme="minorHAnsi" w:cstheme="minorHAnsi"/>
          <w:color w:val="1F4E79" w:themeColor="accent5" w:themeShade="80"/>
        </w:rPr>
        <w:t>Community-based Health Initiatives</w:t>
      </w:r>
      <w:bookmarkEnd w:id="30"/>
    </w:p>
    <w:p w14:paraId="0F1ED0A6" w14:textId="77777777" w:rsidR="00A159C1" w:rsidRDefault="00A159C1" w:rsidP="00A159C1">
      <w:pPr>
        <w:spacing w:after="0" w:line="240" w:lineRule="auto"/>
        <w:rPr>
          <w:rFonts w:ascii="Calibri" w:eastAsia="Calibri" w:hAnsi="Calibri" w:cs="Calibri"/>
          <w:b/>
          <w:bCs/>
          <w:sz w:val="24"/>
          <w:szCs w:val="24"/>
        </w:rPr>
      </w:pPr>
    </w:p>
    <w:p w14:paraId="560D78E8" w14:textId="7343E7C1" w:rsidR="00A159C1" w:rsidRPr="00A159C1" w:rsidRDefault="00A159C1" w:rsidP="00A159C1">
      <w:pPr>
        <w:spacing w:after="0" w:line="240" w:lineRule="auto"/>
        <w:rPr>
          <w:rFonts w:ascii="Calibri" w:eastAsia="Calibri" w:hAnsi="Calibri" w:cs="Calibri"/>
          <w:sz w:val="24"/>
          <w:szCs w:val="24"/>
        </w:rPr>
      </w:pPr>
      <w:r w:rsidRPr="00A159C1">
        <w:rPr>
          <w:rFonts w:ascii="Calibri" w:eastAsia="Calibri" w:hAnsi="Calibri" w:cs="Calibri"/>
          <w:b/>
          <w:bCs/>
          <w:sz w:val="24"/>
          <w:szCs w:val="24"/>
        </w:rPr>
        <w:t>Summary and Relevant Context for This Application:</w:t>
      </w:r>
      <w:r w:rsidRPr="00A159C1">
        <w:rPr>
          <w:rFonts w:ascii="Calibri" w:eastAsia="Calibri" w:hAnsi="Calibri" w:cs="Calibri"/>
          <w:sz w:val="24"/>
          <w:szCs w:val="24"/>
        </w:rPr>
        <w:t xml:space="preserve"> </w:t>
      </w:r>
    </w:p>
    <w:p w14:paraId="5DE4458E" w14:textId="77777777" w:rsidR="00A159C1" w:rsidRPr="00A159C1" w:rsidRDefault="00A159C1" w:rsidP="00A159C1">
      <w:pPr>
        <w:spacing w:after="0" w:line="240" w:lineRule="auto"/>
        <w:rPr>
          <w:rFonts w:ascii="Calibri" w:eastAsia="Calibri" w:hAnsi="Calibri" w:cs="Calibri"/>
          <w:sz w:val="24"/>
          <w:szCs w:val="24"/>
        </w:rPr>
      </w:pPr>
    </w:p>
    <w:p w14:paraId="194D3A4C" w14:textId="77777777" w:rsidR="00A159C1" w:rsidRPr="00A159C1" w:rsidRDefault="00A159C1" w:rsidP="00A159C1">
      <w:pPr>
        <w:spacing w:after="0" w:line="240" w:lineRule="auto"/>
        <w:rPr>
          <w:rFonts w:ascii="Calibri" w:eastAsia="Calibri" w:hAnsi="Calibri" w:cs="Calibri"/>
          <w:sz w:val="24"/>
          <w:szCs w:val="24"/>
        </w:rPr>
      </w:pPr>
      <w:r w:rsidRPr="00A159C1">
        <w:rPr>
          <w:rFonts w:ascii="Calibri" w:eastAsia="Calibri" w:hAnsi="Calibri" w:cs="Calibri"/>
          <w:sz w:val="24"/>
          <w:szCs w:val="24"/>
        </w:rPr>
        <w:t xml:space="preserve">The Applicant, Navigator Homes Martha’s Vineyard, Inc. (NHMV), is completing a substantial capital expenditure project which is a CHI project that amounts to $1,605,913.77. Standard CHI practice for compliance with the DoN regulation requires Long Term Care Facilities, such as NHMV, to contribute CHI funds fully to the Massachusetts Statewide Community Health and Healthy Aging Funds. The Applicant is requesting “the Department to consider acknowledging that a contribution to the workforce housing satisfies part of the CHI” and is seeking to invest part of the required contribution in an affordable, workforce housing program for individuals residing on Martha’s Vineyard, in addition to contributing to the statewide fund. </w:t>
      </w:r>
    </w:p>
    <w:p w14:paraId="42C223B1" w14:textId="77777777" w:rsidR="00A159C1" w:rsidRPr="00A159C1" w:rsidRDefault="00A159C1" w:rsidP="00A159C1">
      <w:pPr>
        <w:spacing w:after="0" w:line="240" w:lineRule="auto"/>
        <w:rPr>
          <w:rFonts w:ascii="Calibri" w:eastAsia="Calibri" w:hAnsi="Calibri" w:cs="Calibri"/>
          <w:sz w:val="24"/>
          <w:szCs w:val="24"/>
        </w:rPr>
      </w:pPr>
    </w:p>
    <w:p w14:paraId="2CE00BFA" w14:textId="77777777" w:rsidR="00A159C1" w:rsidRPr="00A159C1" w:rsidRDefault="00A159C1" w:rsidP="00A159C1">
      <w:pPr>
        <w:spacing w:after="0" w:line="240" w:lineRule="auto"/>
        <w:rPr>
          <w:rFonts w:ascii="Calibri" w:eastAsia="Calibri" w:hAnsi="Calibri" w:cs="Calibri"/>
          <w:sz w:val="24"/>
          <w:szCs w:val="24"/>
        </w:rPr>
      </w:pPr>
      <w:r w:rsidRPr="00A159C1">
        <w:rPr>
          <w:rFonts w:ascii="Calibri" w:eastAsia="Calibri" w:hAnsi="Calibri" w:cs="Calibri"/>
          <w:sz w:val="24"/>
          <w:szCs w:val="24"/>
        </w:rPr>
        <w:t xml:space="preserve">In support of their request, the Applicant stressed key points from the MVH 2022 Community Needs Assessment, emphasizing the need for housing on the Island. </w:t>
      </w:r>
    </w:p>
    <w:p w14:paraId="2A384505" w14:textId="77777777" w:rsidR="00A159C1" w:rsidRPr="00A159C1" w:rsidRDefault="00A159C1" w:rsidP="00A159C1">
      <w:pPr>
        <w:spacing w:after="0" w:line="240" w:lineRule="auto"/>
        <w:rPr>
          <w:rFonts w:ascii="Calibri" w:eastAsia="Calibri" w:hAnsi="Calibri" w:cs="Calibri"/>
          <w:sz w:val="24"/>
          <w:szCs w:val="24"/>
        </w:rPr>
      </w:pPr>
    </w:p>
    <w:p w14:paraId="4BBCAA6E" w14:textId="77777777" w:rsidR="00A159C1" w:rsidRPr="00A159C1" w:rsidRDefault="00A159C1" w:rsidP="00A159C1">
      <w:pPr>
        <w:spacing w:after="0" w:line="240" w:lineRule="auto"/>
        <w:rPr>
          <w:rFonts w:ascii="Calibri" w:eastAsia="Calibri" w:hAnsi="Calibri" w:cs="Calibri"/>
          <w:b/>
          <w:bCs/>
          <w:i/>
          <w:iCs/>
          <w:sz w:val="24"/>
          <w:szCs w:val="24"/>
        </w:rPr>
      </w:pPr>
      <w:r w:rsidRPr="00A159C1">
        <w:rPr>
          <w:rFonts w:ascii="Calibri" w:eastAsia="Calibri" w:hAnsi="Calibri" w:cs="Calibri"/>
          <w:b/>
          <w:bCs/>
          <w:i/>
          <w:iCs/>
          <w:sz w:val="24"/>
          <w:szCs w:val="24"/>
        </w:rPr>
        <w:t xml:space="preserve">Analysis </w:t>
      </w:r>
    </w:p>
    <w:p w14:paraId="1FE32118" w14:textId="77777777" w:rsidR="00A159C1" w:rsidRPr="00A159C1" w:rsidRDefault="00A159C1" w:rsidP="00A159C1">
      <w:pPr>
        <w:spacing w:after="0" w:line="240" w:lineRule="auto"/>
        <w:rPr>
          <w:rFonts w:ascii="Calibri" w:eastAsia="Calibri" w:hAnsi="Calibri" w:cs="Calibri"/>
          <w:b/>
          <w:bCs/>
          <w:i/>
          <w:iCs/>
          <w:sz w:val="24"/>
          <w:szCs w:val="24"/>
        </w:rPr>
      </w:pPr>
    </w:p>
    <w:p w14:paraId="6779551B" w14:textId="77777777" w:rsidR="00A159C1" w:rsidRPr="00A159C1" w:rsidRDefault="00A159C1" w:rsidP="00A159C1">
      <w:pPr>
        <w:spacing w:after="0" w:line="240" w:lineRule="auto"/>
        <w:rPr>
          <w:rFonts w:ascii="Calibri" w:eastAsia="Calibri" w:hAnsi="Calibri" w:cs="Calibri"/>
          <w:sz w:val="24"/>
          <w:szCs w:val="24"/>
        </w:rPr>
      </w:pPr>
      <w:r w:rsidRPr="00A159C1">
        <w:rPr>
          <w:rFonts w:ascii="Calibri" w:eastAsia="Calibri" w:hAnsi="Calibri" w:cs="Calibri"/>
          <w:sz w:val="24"/>
          <w:szCs w:val="24"/>
        </w:rPr>
        <w:t>Through extensive follow up communications between DPH and the Applicant, the Applicant provided additional documentation to highlight community engagement and transparency among community stakeholders</w:t>
      </w:r>
      <w:r w:rsidRPr="00A159C1">
        <w:rPr>
          <w:rFonts w:ascii="Calibri" w:eastAsia="Calibri" w:hAnsi="Calibri" w:cs="Calibri"/>
          <w:sz w:val="24"/>
          <w:szCs w:val="24"/>
          <w:vertAlign w:val="superscript"/>
        </w:rPr>
        <w:footnoteReference w:id="28"/>
      </w:r>
      <w:r w:rsidRPr="00A159C1">
        <w:rPr>
          <w:rFonts w:ascii="Calibri" w:eastAsia="Calibri" w:hAnsi="Calibri" w:cs="Calibri"/>
          <w:sz w:val="24"/>
          <w:szCs w:val="24"/>
        </w:rPr>
        <w:t xml:space="preserve"> on the Island, regarding the existing subsidized housing policies and how the process would work and satisfy the CHI requirements.  DPH staff and the Applicant have agreed that it may meet its Factor 6 obligations by providing a portion of the total CHI obligation to the Massachusetts Statewide Community Health and Healthy Aging Funds and by expending the remainder on its workforce housing program commitment.  Navigator shall comply with the Conditions of this Approval, as set out below, regarding the amounts and reporting on its workforce housing program commitment.  As a result of this analysis, and with additional conditions, staff finds the Applicant meets the terms of Factor 6.</w:t>
      </w:r>
    </w:p>
    <w:p w14:paraId="46F0BEAC" w14:textId="77777777" w:rsidR="00DC1DBB" w:rsidRDefault="00DC1DBB" w:rsidP="00DC1DBB">
      <w:pPr>
        <w:spacing w:after="0" w:line="240" w:lineRule="auto"/>
        <w:rPr>
          <w:rFonts w:ascii="Calibri" w:eastAsia="Calibri" w:hAnsi="Calibri" w:cs="Calibri"/>
          <w:sz w:val="24"/>
          <w:szCs w:val="24"/>
        </w:rPr>
      </w:pPr>
    </w:p>
    <w:p w14:paraId="23BCF876" w14:textId="61B3C862" w:rsidR="00117934" w:rsidRPr="005D18D3" w:rsidRDefault="00117934" w:rsidP="002B6A40">
      <w:pPr>
        <w:pStyle w:val="Heading1"/>
        <w:rPr>
          <w:rFonts w:asciiTheme="minorHAnsi" w:hAnsiTheme="minorHAnsi" w:cstheme="minorHAnsi"/>
          <w:color w:val="1F4E79" w:themeColor="accent5" w:themeShade="80"/>
        </w:rPr>
      </w:pPr>
      <w:bookmarkStart w:id="31" w:name="_Toc99645443"/>
      <w:bookmarkStart w:id="32" w:name="_Toc129354652"/>
      <w:bookmarkStart w:id="33" w:name="_Hlk107239763"/>
      <w:r w:rsidRPr="005D18D3">
        <w:rPr>
          <w:rFonts w:asciiTheme="minorHAnsi" w:hAnsiTheme="minorHAnsi" w:cstheme="minorHAnsi"/>
          <w:color w:val="1F4E79" w:themeColor="accent5" w:themeShade="80"/>
        </w:rPr>
        <w:t>Ten Taxpayer and Public Comments on the Application</w:t>
      </w:r>
      <w:bookmarkEnd w:id="31"/>
      <w:bookmarkEnd w:id="32"/>
    </w:p>
    <w:bookmarkEnd w:id="33"/>
    <w:p w14:paraId="5A4D0852" w14:textId="5E051E4C" w:rsidR="00732A40" w:rsidRPr="00FE5E61" w:rsidRDefault="00117934" w:rsidP="00FE5E61">
      <w:pPr>
        <w:spacing w:before="240" w:line="240" w:lineRule="auto"/>
        <w:rPr>
          <w:rFonts w:cstheme="minorHAnsi"/>
          <w:bCs/>
          <w:sz w:val="24"/>
          <w:szCs w:val="24"/>
        </w:rPr>
      </w:pPr>
      <w:r w:rsidRPr="00FE5E61">
        <w:rPr>
          <w:rFonts w:cstheme="minorHAnsi"/>
          <w:bCs/>
          <w:sz w:val="24"/>
          <w:szCs w:val="24"/>
        </w:rPr>
        <w:t>Any person, and any Ten Taxpayer group (TTG), may provide written or oral comment at any time during the first 30 days following the Filing Date of an Application, or during the first ten days after a public hearing.</w:t>
      </w:r>
      <w:r w:rsidR="00732A40" w:rsidRPr="00FE5E61">
        <w:rPr>
          <w:sz w:val="24"/>
          <w:szCs w:val="24"/>
        </w:rPr>
        <w:t xml:space="preserve"> </w:t>
      </w:r>
      <w:r w:rsidR="00732A40" w:rsidRPr="00FE5E61">
        <w:rPr>
          <w:rFonts w:cstheme="minorHAnsi"/>
          <w:bCs/>
          <w:sz w:val="24"/>
          <w:szCs w:val="24"/>
        </w:rPr>
        <w:t>No public hearing was requested or held on this Application.</w:t>
      </w:r>
    </w:p>
    <w:p w14:paraId="16A6FFC9" w14:textId="77777777" w:rsidR="00117934" w:rsidRPr="00FE5E61" w:rsidRDefault="00117934" w:rsidP="00FE5E61">
      <w:pPr>
        <w:spacing w:line="240" w:lineRule="auto"/>
        <w:rPr>
          <w:rFonts w:cstheme="minorHAnsi"/>
          <w:b/>
          <w:bCs/>
          <w:sz w:val="24"/>
          <w:szCs w:val="24"/>
        </w:rPr>
      </w:pPr>
      <w:r w:rsidRPr="00FE5E61">
        <w:rPr>
          <w:rFonts w:cstheme="minorHAnsi"/>
          <w:bCs/>
          <w:sz w:val="24"/>
          <w:szCs w:val="24"/>
        </w:rPr>
        <w:t xml:space="preserve">Any ten taxpayers, organized as a group, may participate in the review of an Application for Determination of Need or request to amend a previously issued Notice of Determination of Need. Said group must register with the Department at any time during the first 30 days following the Filing Date of an Application, or during the first ten days after a public hearing held pursuant to 105 CMR 100.445. </w:t>
      </w:r>
    </w:p>
    <w:p w14:paraId="1FAF7220" w14:textId="1A984AB8" w:rsidR="00117934" w:rsidRPr="00FE5E61" w:rsidRDefault="00117934" w:rsidP="00FE5E61">
      <w:pPr>
        <w:spacing w:line="240" w:lineRule="auto"/>
        <w:rPr>
          <w:rFonts w:cstheme="minorHAnsi"/>
          <w:bCs/>
          <w:sz w:val="24"/>
          <w:szCs w:val="24"/>
        </w:rPr>
      </w:pPr>
      <w:r w:rsidRPr="00FE5E61">
        <w:rPr>
          <w:rFonts w:cstheme="minorHAnsi"/>
          <w:bCs/>
          <w:sz w:val="24"/>
          <w:szCs w:val="24"/>
        </w:rPr>
        <w:lastRenderedPageBreak/>
        <w:t>One ten taxpayer group (TTG) registered in support of the Proposed Project.</w:t>
      </w:r>
      <w:r w:rsidR="008141DD" w:rsidRPr="00FE5E61">
        <w:rPr>
          <w:rStyle w:val="FootnoteReference"/>
          <w:rFonts w:cstheme="minorHAnsi"/>
          <w:bCs/>
          <w:sz w:val="24"/>
          <w:szCs w:val="24"/>
        </w:rPr>
        <w:footnoteReference w:id="29"/>
      </w:r>
      <w:r w:rsidRPr="00FE5E61">
        <w:rPr>
          <w:rFonts w:cstheme="minorHAnsi"/>
          <w:bCs/>
          <w:sz w:val="24"/>
          <w:szCs w:val="24"/>
        </w:rPr>
        <w:t xml:space="preserve"> </w:t>
      </w:r>
    </w:p>
    <w:p w14:paraId="28BA00A1" w14:textId="77777777" w:rsidR="00117934" w:rsidRPr="00FE5E61" w:rsidRDefault="00117934" w:rsidP="00FE5E61">
      <w:pPr>
        <w:spacing w:line="240" w:lineRule="auto"/>
        <w:rPr>
          <w:rFonts w:cstheme="minorHAnsi"/>
          <w:b/>
          <w:sz w:val="24"/>
          <w:szCs w:val="24"/>
        </w:rPr>
      </w:pPr>
      <w:r w:rsidRPr="00FE5E61">
        <w:rPr>
          <w:rFonts w:cstheme="minorHAnsi"/>
          <w:b/>
          <w:sz w:val="24"/>
          <w:szCs w:val="24"/>
        </w:rPr>
        <w:t>Summary of Written Comments</w:t>
      </w:r>
    </w:p>
    <w:p w14:paraId="02B6F383" w14:textId="722D7A27" w:rsidR="00117934" w:rsidRPr="00FE5E61" w:rsidRDefault="00117934" w:rsidP="00FE5E61">
      <w:pPr>
        <w:spacing w:line="240" w:lineRule="auto"/>
        <w:rPr>
          <w:rFonts w:cstheme="minorHAnsi"/>
          <w:bCs/>
          <w:sz w:val="24"/>
          <w:szCs w:val="24"/>
        </w:rPr>
      </w:pPr>
      <w:r w:rsidRPr="00FE5E61">
        <w:rPr>
          <w:rFonts w:cstheme="minorHAnsi"/>
          <w:bCs/>
          <w:sz w:val="24"/>
          <w:szCs w:val="24"/>
        </w:rPr>
        <w:t>The Department received 30 written comments, all supportive, during the initial comment period, including that of the one TTG. Comments considered in the DoN program’s review and analysis are those that address the Applicant’s ability to meet the requirements of the relevant factors.</w:t>
      </w:r>
      <w:r w:rsidR="00926F33" w:rsidRPr="00FE5E61">
        <w:rPr>
          <w:rStyle w:val="FootnoteReference"/>
          <w:rFonts w:cstheme="minorHAnsi"/>
          <w:bCs/>
          <w:sz w:val="24"/>
          <w:szCs w:val="24"/>
        </w:rPr>
        <w:footnoteReference w:id="30"/>
      </w:r>
    </w:p>
    <w:p w14:paraId="3FA8A5F5" w14:textId="77777777" w:rsidR="00117934" w:rsidRPr="00FE5E61" w:rsidRDefault="00117934" w:rsidP="00FE5E61">
      <w:pPr>
        <w:spacing w:line="240" w:lineRule="auto"/>
        <w:rPr>
          <w:rFonts w:cstheme="minorHAnsi"/>
          <w:bCs/>
          <w:sz w:val="24"/>
          <w:szCs w:val="24"/>
        </w:rPr>
      </w:pPr>
      <w:r w:rsidRPr="00FE5E61">
        <w:rPr>
          <w:rFonts w:cstheme="minorHAnsi"/>
          <w:bCs/>
          <w:sz w:val="24"/>
          <w:szCs w:val="24"/>
        </w:rPr>
        <w:t>While those commenting included mostly residents of the Island, five elected town and state officials, the Navigator Board of Directors, and the President of Hebrew Senor Life Health Care Services (which acted as a consultant on the project) also submitted written comments. The comments were fairly consistent and stressed the current challenges, the benefits of the Green House Model and the need due to the growth in the over 65 age cohort on the Island.</w:t>
      </w:r>
    </w:p>
    <w:p w14:paraId="43F378C7" w14:textId="77777777" w:rsidR="00117934" w:rsidRPr="00FE5E61" w:rsidRDefault="00117934" w:rsidP="00FE5E61">
      <w:pPr>
        <w:spacing w:line="240" w:lineRule="auto"/>
        <w:rPr>
          <w:rFonts w:cstheme="minorHAnsi"/>
          <w:bCs/>
          <w:sz w:val="24"/>
          <w:szCs w:val="24"/>
        </w:rPr>
      </w:pPr>
      <w:r w:rsidRPr="00FE5E61">
        <w:rPr>
          <w:rFonts w:cstheme="minorHAnsi"/>
          <w:bCs/>
          <w:sz w:val="24"/>
          <w:szCs w:val="24"/>
        </w:rPr>
        <w:t xml:space="preserve"> </w:t>
      </w:r>
      <w:r w:rsidRPr="00FE5E61">
        <w:rPr>
          <w:rFonts w:cstheme="minorHAnsi"/>
          <w:bCs/>
          <w:i/>
          <w:iCs/>
          <w:sz w:val="24"/>
          <w:szCs w:val="24"/>
        </w:rPr>
        <w:t xml:space="preserve">Current Challenges </w:t>
      </w:r>
    </w:p>
    <w:p w14:paraId="6E6D53CA" w14:textId="22AC03E7" w:rsidR="00117934" w:rsidRPr="00FE5E61" w:rsidRDefault="00FF2590" w:rsidP="00397EDD">
      <w:pPr>
        <w:numPr>
          <w:ilvl w:val="0"/>
          <w:numId w:val="22"/>
        </w:numPr>
        <w:spacing w:line="240" w:lineRule="auto"/>
        <w:ind w:left="720"/>
        <w:contextualSpacing/>
        <w:rPr>
          <w:rFonts w:cstheme="minorHAnsi"/>
          <w:bCs/>
          <w:sz w:val="24"/>
          <w:szCs w:val="24"/>
        </w:rPr>
      </w:pPr>
      <w:r w:rsidRPr="00FE5E61">
        <w:rPr>
          <w:rFonts w:cstheme="minorHAnsi"/>
          <w:bCs/>
          <w:sz w:val="24"/>
          <w:szCs w:val="24"/>
        </w:rPr>
        <w:t>E</w:t>
      </w:r>
      <w:r w:rsidR="00117934" w:rsidRPr="00FE5E61">
        <w:rPr>
          <w:rFonts w:cstheme="minorHAnsi"/>
          <w:bCs/>
          <w:sz w:val="24"/>
          <w:szCs w:val="24"/>
        </w:rPr>
        <w:t>xcellent care provided</w:t>
      </w:r>
      <w:r w:rsidRPr="00FE5E61">
        <w:rPr>
          <w:rFonts w:cstheme="minorHAnsi"/>
          <w:bCs/>
          <w:sz w:val="24"/>
          <w:szCs w:val="24"/>
        </w:rPr>
        <w:t xml:space="preserve"> but the setting is outdated and </w:t>
      </w:r>
      <w:r w:rsidR="00117934" w:rsidRPr="00FE5E61">
        <w:rPr>
          <w:rFonts w:cstheme="minorHAnsi"/>
          <w:bCs/>
          <w:sz w:val="24"/>
          <w:szCs w:val="24"/>
        </w:rPr>
        <w:t>institutional</w:t>
      </w:r>
      <w:r w:rsidRPr="00FE5E61">
        <w:rPr>
          <w:rFonts w:cstheme="minorHAnsi"/>
          <w:bCs/>
          <w:sz w:val="24"/>
          <w:szCs w:val="24"/>
        </w:rPr>
        <w:t xml:space="preserve"> and</w:t>
      </w:r>
      <w:r w:rsidR="00117934" w:rsidRPr="00FE5E61">
        <w:rPr>
          <w:rFonts w:cstheme="minorHAnsi"/>
          <w:bCs/>
          <w:sz w:val="24"/>
          <w:szCs w:val="24"/>
        </w:rPr>
        <w:t xml:space="preserve"> located on </w:t>
      </w:r>
      <w:r w:rsidRPr="00FE5E61">
        <w:rPr>
          <w:rFonts w:cstheme="minorHAnsi"/>
          <w:bCs/>
          <w:sz w:val="24"/>
          <w:szCs w:val="24"/>
        </w:rPr>
        <w:t xml:space="preserve">upper floors of </w:t>
      </w:r>
      <w:r w:rsidR="00117934" w:rsidRPr="00FE5E61">
        <w:rPr>
          <w:rFonts w:cstheme="minorHAnsi"/>
          <w:bCs/>
          <w:sz w:val="24"/>
          <w:szCs w:val="24"/>
        </w:rPr>
        <w:t xml:space="preserve">the </w:t>
      </w:r>
      <w:r w:rsidRPr="00FE5E61">
        <w:rPr>
          <w:rFonts w:cstheme="minorHAnsi"/>
          <w:bCs/>
          <w:sz w:val="24"/>
          <w:szCs w:val="24"/>
        </w:rPr>
        <w:t xml:space="preserve">MVH </w:t>
      </w:r>
      <w:r w:rsidR="00117934" w:rsidRPr="00FE5E61">
        <w:rPr>
          <w:rFonts w:cstheme="minorHAnsi"/>
          <w:bCs/>
          <w:sz w:val="24"/>
          <w:szCs w:val="24"/>
        </w:rPr>
        <w:t xml:space="preserve">campus which is not a homelike environment. </w:t>
      </w:r>
    </w:p>
    <w:p w14:paraId="22D663D0" w14:textId="539E3BCA" w:rsidR="00117934" w:rsidRPr="00FE5E61" w:rsidRDefault="00FF2590" w:rsidP="00397EDD">
      <w:pPr>
        <w:numPr>
          <w:ilvl w:val="0"/>
          <w:numId w:val="22"/>
        </w:numPr>
        <w:spacing w:line="240" w:lineRule="auto"/>
        <w:ind w:left="720"/>
        <w:contextualSpacing/>
        <w:rPr>
          <w:rFonts w:cstheme="minorHAnsi"/>
          <w:bCs/>
          <w:sz w:val="24"/>
          <w:szCs w:val="24"/>
        </w:rPr>
      </w:pPr>
      <w:r w:rsidRPr="00FE5E61">
        <w:rPr>
          <w:rFonts w:cstheme="minorHAnsi"/>
          <w:bCs/>
          <w:sz w:val="24"/>
          <w:szCs w:val="24"/>
        </w:rPr>
        <w:t>Lack of short-term rehabilitation on the Island.</w:t>
      </w:r>
    </w:p>
    <w:p w14:paraId="733462FE" w14:textId="43287767" w:rsidR="00117934" w:rsidRPr="00FE5E61" w:rsidRDefault="00FF2590" w:rsidP="00397EDD">
      <w:pPr>
        <w:numPr>
          <w:ilvl w:val="0"/>
          <w:numId w:val="22"/>
        </w:numPr>
        <w:spacing w:line="240" w:lineRule="auto"/>
        <w:ind w:left="720"/>
        <w:contextualSpacing/>
        <w:rPr>
          <w:rFonts w:cstheme="minorHAnsi"/>
          <w:bCs/>
          <w:sz w:val="24"/>
          <w:szCs w:val="24"/>
        </w:rPr>
      </w:pPr>
      <w:r w:rsidRPr="00FE5E61">
        <w:rPr>
          <w:rFonts w:cstheme="minorHAnsi"/>
          <w:bCs/>
          <w:sz w:val="24"/>
          <w:szCs w:val="24"/>
        </w:rPr>
        <w:t xml:space="preserve">Most </w:t>
      </w:r>
      <w:r w:rsidR="00117934" w:rsidRPr="00FE5E61">
        <w:rPr>
          <w:rFonts w:cstheme="minorHAnsi"/>
          <w:bCs/>
          <w:sz w:val="24"/>
          <w:szCs w:val="24"/>
        </w:rPr>
        <w:t>rooms have two beds and most share a bathroom with another 2-bed room.</w:t>
      </w:r>
    </w:p>
    <w:p w14:paraId="3BC698CB" w14:textId="77777777" w:rsidR="00117934" w:rsidRPr="00FE5E61" w:rsidRDefault="00117934" w:rsidP="00397EDD">
      <w:pPr>
        <w:numPr>
          <w:ilvl w:val="0"/>
          <w:numId w:val="22"/>
        </w:numPr>
        <w:spacing w:line="240" w:lineRule="auto"/>
        <w:ind w:left="720"/>
        <w:contextualSpacing/>
        <w:rPr>
          <w:rFonts w:cstheme="minorHAnsi"/>
          <w:bCs/>
          <w:sz w:val="24"/>
          <w:szCs w:val="24"/>
        </w:rPr>
      </w:pPr>
      <w:r w:rsidRPr="00FE5E61">
        <w:rPr>
          <w:rFonts w:cstheme="minorHAnsi"/>
          <w:bCs/>
          <w:sz w:val="24"/>
          <w:szCs w:val="24"/>
        </w:rPr>
        <w:t>As a result, the facility design makes it less desirable to private-pay residents which are vital to long term financial sustainability of the facility.</w:t>
      </w:r>
    </w:p>
    <w:p w14:paraId="4CE07A96" w14:textId="36D4FE95" w:rsidR="00117934" w:rsidRPr="00FE5E61" w:rsidRDefault="00FF2590" w:rsidP="00397EDD">
      <w:pPr>
        <w:numPr>
          <w:ilvl w:val="0"/>
          <w:numId w:val="22"/>
        </w:numPr>
        <w:spacing w:after="0" w:line="240" w:lineRule="auto"/>
        <w:ind w:left="720"/>
        <w:contextualSpacing/>
        <w:rPr>
          <w:rFonts w:cstheme="minorHAnsi"/>
          <w:bCs/>
          <w:sz w:val="24"/>
          <w:szCs w:val="24"/>
        </w:rPr>
      </w:pPr>
      <w:r w:rsidRPr="00FE5E61">
        <w:rPr>
          <w:rFonts w:cstheme="minorHAnsi"/>
          <w:bCs/>
          <w:sz w:val="24"/>
          <w:szCs w:val="24"/>
        </w:rPr>
        <w:t>O</w:t>
      </w:r>
      <w:r w:rsidR="00117934" w:rsidRPr="00FE5E61">
        <w:rPr>
          <w:rFonts w:cstheme="minorHAnsi"/>
          <w:bCs/>
          <w:sz w:val="24"/>
          <w:szCs w:val="24"/>
        </w:rPr>
        <w:t xml:space="preserve">nly 30 beds are in operation- </w:t>
      </w:r>
      <w:r w:rsidRPr="00FE5E61">
        <w:rPr>
          <w:rFonts w:cstheme="minorHAnsi"/>
          <w:bCs/>
          <w:sz w:val="24"/>
          <w:szCs w:val="24"/>
        </w:rPr>
        <w:t xml:space="preserve">over </w:t>
      </w:r>
      <w:r w:rsidR="00117934" w:rsidRPr="00FE5E61">
        <w:rPr>
          <w:rFonts w:cstheme="minorHAnsi"/>
          <w:bCs/>
          <w:sz w:val="24"/>
          <w:szCs w:val="24"/>
        </w:rPr>
        <w:t xml:space="preserve">half its </w:t>
      </w:r>
      <w:r w:rsidRPr="00FE5E61">
        <w:rPr>
          <w:rFonts w:cstheme="minorHAnsi"/>
          <w:bCs/>
          <w:sz w:val="24"/>
          <w:szCs w:val="24"/>
        </w:rPr>
        <w:t xml:space="preserve">licensed </w:t>
      </w:r>
      <w:r w:rsidR="00117934" w:rsidRPr="00FE5E61">
        <w:rPr>
          <w:rFonts w:cstheme="minorHAnsi"/>
          <w:bCs/>
          <w:sz w:val="24"/>
          <w:szCs w:val="24"/>
        </w:rPr>
        <w:t xml:space="preserve">beds are closed due to inability to recruit staff because of the </w:t>
      </w:r>
      <w:r w:rsidRPr="00FE5E61">
        <w:rPr>
          <w:rFonts w:cstheme="minorHAnsi"/>
          <w:bCs/>
          <w:sz w:val="24"/>
          <w:szCs w:val="24"/>
        </w:rPr>
        <w:t xml:space="preserve">lack of </w:t>
      </w:r>
      <w:r w:rsidR="00117934" w:rsidRPr="00FE5E61">
        <w:rPr>
          <w:rFonts w:cstheme="minorHAnsi"/>
          <w:bCs/>
          <w:sz w:val="24"/>
          <w:szCs w:val="24"/>
        </w:rPr>
        <w:t xml:space="preserve">affordable housing on the island.  </w:t>
      </w:r>
    </w:p>
    <w:p w14:paraId="5ACBBA56" w14:textId="77777777" w:rsidR="00117934" w:rsidRPr="00FE5E61" w:rsidRDefault="00117934" w:rsidP="00397EDD">
      <w:pPr>
        <w:numPr>
          <w:ilvl w:val="1"/>
          <w:numId w:val="21"/>
        </w:numPr>
        <w:spacing w:after="0" w:line="240" w:lineRule="auto"/>
        <w:ind w:left="720"/>
        <w:rPr>
          <w:rFonts w:cstheme="minorHAnsi"/>
          <w:bCs/>
          <w:sz w:val="24"/>
          <w:szCs w:val="24"/>
        </w:rPr>
      </w:pPr>
      <w:r w:rsidRPr="00FE5E61">
        <w:rPr>
          <w:rFonts w:cstheme="minorHAnsi"/>
          <w:bCs/>
          <w:sz w:val="24"/>
          <w:szCs w:val="24"/>
        </w:rPr>
        <w:t xml:space="preserve">As a result, a new town bylaw permits the development of senior residential communities co-located with workforce housing, and in partnership with Martha’s Vineyard Hospital, 30 bedrooms of workforce housing will be available to Navigator staff on a sliding rent scale. </w:t>
      </w:r>
    </w:p>
    <w:p w14:paraId="54B85A05" w14:textId="77777777" w:rsidR="00117934" w:rsidRPr="00FE5E61" w:rsidRDefault="00117934" w:rsidP="00397EDD">
      <w:pPr>
        <w:numPr>
          <w:ilvl w:val="1"/>
          <w:numId w:val="21"/>
        </w:numPr>
        <w:spacing w:line="240" w:lineRule="auto"/>
        <w:ind w:left="720"/>
        <w:rPr>
          <w:rFonts w:cstheme="minorHAnsi"/>
          <w:bCs/>
          <w:sz w:val="24"/>
          <w:szCs w:val="24"/>
        </w:rPr>
      </w:pPr>
      <w:r w:rsidRPr="00FE5E61">
        <w:rPr>
          <w:rFonts w:cstheme="minorHAnsi"/>
          <w:bCs/>
          <w:sz w:val="24"/>
          <w:szCs w:val="24"/>
        </w:rPr>
        <w:t xml:space="preserve">Staff will be members of the community – increased personal satisfaction, economic boost, with reduced call-outs due to weather. </w:t>
      </w:r>
    </w:p>
    <w:p w14:paraId="61A26E6A" w14:textId="77777777" w:rsidR="00DC1DBB" w:rsidRPr="00DC1DBB" w:rsidRDefault="00117934" w:rsidP="00DC1DBB">
      <w:pPr>
        <w:rPr>
          <w:rFonts w:cstheme="minorHAnsi"/>
          <w:bCs/>
          <w:sz w:val="24"/>
          <w:szCs w:val="24"/>
        </w:rPr>
      </w:pPr>
      <w:r w:rsidRPr="00DC1DBB">
        <w:rPr>
          <w:rFonts w:cstheme="minorHAnsi"/>
          <w:bCs/>
          <w:i/>
          <w:iCs/>
          <w:sz w:val="24"/>
          <w:szCs w:val="24"/>
        </w:rPr>
        <w:t>Benefits of Green House Model stressed include</w:t>
      </w:r>
      <w:r w:rsidR="00DC1DBB" w:rsidRPr="00DC1DBB">
        <w:rPr>
          <w:rFonts w:cstheme="minorHAnsi"/>
          <w:bCs/>
          <w:i/>
          <w:iCs/>
          <w:sz w:val="24"/>
          <w:szCs w:val="24"/>
        </w:rPr>
        <w:t xml:space="preserve"> </w:t>
      </w:r>
    </w:p>
    <w:p w14:paraId="3AC08966" w14:textId="5CCA8D7A" w:rsidR="00117934" w:rsidRPr="005C6107" w:rsidRDefault="00117934" w:rsidP="005C6107">
      <w:pPr>
        <w:pStyle w:val="ListParagraph"/>
        <w:numPr>
          <w:ilvl w:val="0"/>
          <w:numId w:val="32"/>
        </w:numPr>
        <w:rPr>
          <w:rFonts w:cstheme="minorHAnsi"/>
          <w:bCs/>
          <w:sz w:val="24"/>
          <w:szCs w:val="24"/>
        </w:rPr>
      </w:pPr>
      <w:r w:rsidRPr="005C6107">
        <w:rPr>
          <w:rFonts w:cstheme="minorHAnsi"/>
          <w:bCs/>
          <w:sz w:val="24"/>
          <w:szCs w:val="24"/>
        </w:rPr>
        <w:t xml:space="preserve">Residents </w:t>
      </w:r>
      <w:r w:rsidR="00FF2590" w:rsidRPr="005C6107">
        <w:rPr>
          <w:rFonts w:cstheme="minorHAnsi"/>
          <w:bCs/>
          <w:sz w:val="24"/>
          <w:szCs w:val="24"/>
        </w:rPr>
        <w:t xml:space="preserve">will </w:t>
      </w:r>
      <w:r w:rsidRPr="005C6107">
        <w:rPr>
          <w:rFonts w:cstheme="minorHAnsi"/>
          <w:bCs/>
          <w:sz w:val="24"/>
          <w:szCs w:val="24"/>
        </w:rPr>
        <w:t xml:space="preserve">live in private bedrooms with their own </w:t>
      </w:r>
      <w:proofErr w:type="spellStart"/>
      <w:r w:rsidRPr="005C6107">
        <w:rPr>
          <w:rFonts w:cstheme="minorHAnsi"/>
          <w:bCs/>
          <w:sz w:val="24"/>
          <w:szCs w:val="24"/>
        </w:rPr>
        <w:t>en</w:t>
      </w:r>
      <w:proofErr w:type="spellEnd"/>
      <w:r w:rsidRPr="005C6107">
        <w:rPr>
          <w:rFonts w:cstheme="minorHAnsi"/>
          <w:bCs/>
          <w:sz w:val="24"/>
          <w:szCs w:val="24"/>
        </w:rPr>
        <w:t xml:space="preserve">-suite full bathroom and have access to shared living space, encouraging socialization and companionship. </w:t>
      </w:r>
    </w:p>
    <w:p w14:paraId="063C5011" w14:textId="69F50CF1" w:rsidR="005C6107" w:rsidRPr="005C6107" w:rsidRDefault="00117934" w:rsidP="00FC1E62">
      <w:pPr>
        <w:pStyle w:val="ListParagraph"/>
        <w:numPr>
          <w:ilvl w:val="0"/>
          <w:numId w:val="32"/>
        </w:numPr>
        <w:rPr>
          <w:rFonts w:cstheme="minorHAnsi"/>
          <w:bCs/>
          <w:sz w:val="24"/>
          <w:szCs w:val="24"/>
        </w:rPr>
      </w:pPr>
      <w:r w:rsidRPr="005C6107">
        <w:rPr>
          <w:rFonts w:cstheme="minorHAnsi"/>
          <w:bCs/>
          <w:sz w:val="24"/>
          <w:szCs w:val="24"/>
        </w:rPr>
        <w:t xml:space="preserve">Care will be provided by a consistent, empowered work team of universal caregivers who are responsible for the range of personal, clinical, and home care activities. </w:t>
      </w:r>
    </w:p>
    <w:p w14:paraId="176E6635" w14:textId="59AC5438" w:rsidR="00292863" w:rsidRPr="00DC1DBB" w:rsidRDefault="00117934" w:rsidP="00397EDD">
      <w:pPr>
        <w:pStyle w:val="ListParagraph"/>
        <w:numPr>
          <w:ilvl w:val="0"/>
          <w:numId w:val="32"/>
        </w:numPr>
        <w:rPr>
          <w:rFonts w:cstheme="minorHAnsi"/>
          <w:bCs/>
          <w:i/>
          <w:iCs/>
          <w:sz w:val="24"/>
          <w:szCs w:val="24"/>
        </w:rPr>
      </w:pPr>
      <w:r w:rsidRPr="00397EDD">
        <w:rPr>
          <w:rFonts w:cstheme="minorHAnsi"/>
          <w:bCs/>
          <w:sz w:val="24"/>
          <w:szCs w:val="24"/>
        </w:rPr>
        <w:t xml:space="preserve">In-home staff provide direct care as well as cooking, cleaning, ordering, scheduling, and other holistic caregiver tasks. </w:t>
      </w:r>
    </w:p>
    <w:p w14:paraId="4327DD3B" w14:textId="77777777" w:rsidR="00DC1DBB" w:rsidRPr="00397EDD" w:rsidRDefault="00DC1DBB" w:rsidP="00DC1DBB">
      <w:pPr>
        <w:pStyle w:val="ListParagraph"/>
        <w:rPr>
          <w:rFonts w:cstheme="minorHAnsi"/>
          <w:bCs/>
          <w:i/>
          <w:iCs/>
          <w:sz w:val="24"/>
          <w:szCs w:val="24"/>
        </w:rPr>
      </w:pPr>
    </w:p>
    <w:p w14:paraId="05A8BFCA" w14:textId="65B62320" w:rsidR="00117934" w:rsidRPr="00FE5E61" w:rsidRDefault="00117934" w:rsidP="00FE5E61">
      <w:pPr>
        <w:spacing w:line="240" w:lineRule="auto"/>
        <w:rPr>
          <w:rFonts w:cstheme="minorHAnsi"/>
          <w:bCs/>
          <w:i/>
          <w:iCs/>
          <w:sz w:val="24"/>
          <w:szCs w:val="24"/>
        </w:rPr>
      </w:pPr>
      <w:r w:rsidRPr="00FE5E61">
        <w:rPr>
          <w:rFonts w:cstheme="minorHAnsi"/>
          <w:bCs/>
          <w:i/>
          <w:iCs/>
          <w:sz w:val="24"/>
          <w:szCs w:val="24"/>
        </w:rPr>
        <w:t>Growth in the 65 and over population on the Island</w:t>
      </w:r>
    </w:p>
    <w:p w14:paraId="35D267D9" w14:textId="6CE4D1AB" w:rsidR="00117934" w:rsidRPr="00FE5E61" w:rsidRDefault="00117934" w:rsidP="00FE5E61">
      <w:pPr>
        <w:numPr>
          <w:ilvl w:val="0"/>
          <w:numId w:val="23"/>
        </w:numPr>
        <w:spacing w:line="240" w:lineRule="auto"/>
        <w:contextualSpacing/>
        <w:rPr>
          <w:sz w:val="24"/>
          <w:szCs w:val="24"/>
        </w:rPr>
      </w:pPr>
      <w:r w:rsidRPr="00FE5E61">
        <w:rPr>
          <w:sz w:val="24"/>
          <w:szCs w:val="24"/>
        </w:rPr>
        <w:lastRenderedPageBreak/>
        <w:t>35% of Martha's Vineyard's year-round residents are age 65 and older.</w:t>
      </w:r>
      <w:r w:rsidR="00FF2590" w:rsidRPr="00FE5E61">
        <w:rPr>
          <w:rStyle w:val="FootnoteReference"/>
          <w:sz w:val="24"/>
          <w:szCs w:val="24"/>
        </w:rPr>
        <w:footnoteReference w:id="31"/>
      </w:r>
      <w:r w:rsidRPr="00FE5E61">
        <w:rPr>
          <w:sz w:val="24"/>
          <w:szCs w:val="24"/>
        </w:rPr>
        <w:t xml:space="preserve"> Assuming just 2.3% of residents over the age of 65 will need skilled nursing, the Island will need more than 100 beds to meet demand.</w:t>
      </w:r>
    </w:p>
    <w:p w14:paraId="63E6C3E6" w14:textId="77777777" w:rsidR="00117934" w:rsidRPr="00DC1DBB" w:rsidRDefault="00117934" w:rsidP="00FE5E61">
      <w:pPr>
        <w:spacing w:before="240" w:line="240" w:lineRule="auto"/>
        <w:rPr>
          <w:b/>
          <w:bCs/>
          <w:i/>
          <w:iCs/>
          <w:sz w:val="24"/>
          <w:szCs w:val="24"/>
        </w:rPr>
      </w:pPr>
      <w:r w:rsidRPr="00DC1DBB">
        <w:rPr>
          <w:b/>
          <w:bCs/>
          <w:i/>
          <w:iCs/>
          <w:sz w:val="24"/>
          <w:szCs w:val="24"/>
        </w:rPr>
        <w:t>Analysis</w:t>
      </w:r>
    </w:p>
    <w:p w14:paraId="26F6471E" w14:textId="44D00643" w:rsidR="00117934" w:rsidRDefault="00117934" w:rsidP="00FE5E61">
      <w:pPr>
        <w:spacing w:line="240" w:lineRule="auto"/>
        <w:rPr>
          <w:sz w:val="24"/>
          <w:szCs w:val="24"/>
        </w:rPr>
      </w:pPr>
      <w:r w:rsidRPr="00FE5E61">
        <w:rPr>
          <w:sz w:val="24"/>
          <w:szCs w:val="24"/>
        </w:rPr>
        <w:t xml:space="preserve">The comments on the challenges and the need to operate more than the current 30 beds are addressed under Factor 1a) and b). </w:t>
      </w:r>
      <w:r w:rsidR="00397EDD">
        <w:rPr>
          <w:sz w:val="24"/>
          <w:szCs w:val="24"/>
        </w:rPr>
        <w:t xml:space="preserve">The comments related to affordable housing are addressed in </w:t>
      </w:r>
      <w:r w:rsidR="008E1743">
        <w:rPr>
          <w:sz w:val="24"/>
          <w:szCs w:val="24"/>
        </w:rPr>
        <w:t>Factor 6.</w:t>
      </w:r>
    </w:p>
    <w:p w14:paraId="4E91AA8C" w14:textId="76A8226E" w:rsidR="00606493" w:rsidRPr="00606493" w:rsidRDefault="00606493" w:rsidP="00606493">
      <w:pPr>
        <w:spacing w:line="240" w:lineRule="auto"/>
        <w:rPr>
          <w:sz w:val="24"/>
          <w:szCs w:val="24"/>
        </w:rPr>
      </w:pPr>
      <w:r w:rsidRPr="00606493">
        <w:rPr>
          <w:sz w:val="24"/>
          <w:szCs w:val="24"/>
        </w:rPr>
        <w:t>As a result of this analysis, and with additional conditions, staff finds the Applicant meets the</w:t>
      </w:r>
      <w:r>
        <w:rPr>
          <w:sz w:val="24"/>
          <w:szCs w:val="24"/>
        </w:rPr>
        <w:t xml:space="preserve"> requirements of all the Factors and recommends approval of this Application.</w:t>
      </w:r>
    </w:p>
    <w:p w14:paraId="5D051146" w14:textId="31A80AF2" w:rsidR="00DF07C0" w:rsidRPr="00DC1DBB" w:rsidRDefault="008219FE" w:rsidP="00DC1DBB">
      <w:pPr>
        <w:pStyle w:val="Heading1"/>
        <w:rPr>
          <w:rFonts w:asciiTheme="minorHAnsi" w:hAnsiTheme="minorHAnsi" w:cstheme="minorHAnsi"/>
          <w:color w:val="1F4E79" w:themeColor="accent5" w:themeShade="80"/>
        </w:rPr>
      </w:pPr>
      <w:bookmarkStart w:id="34" w:name="_Toc129354653"/>
      <w:r w:rsidRPr="005D18D3">
        <w:rPr>
          <w:rFonts w:asciiTheme="minorHAnsi" w:hAnsiTheme="minorHAnsi" w:cstheme="minorHAnsi"/>
          <w:color w:val="1F4E79" w:themeColor="accent5" w:themeShade="80"/>
        </w:rPr>
        <w:t>Conditions</w:t>
      </w:r>
      <w:bookmarkEnd w:id="34"/>
      <w:r w:rsidRPr="005D18D3">
        <w:rPr>
          <w:rFonts w:asciiTheme="minorHAnsi" w:hAnsiTheme="minorHAnsi" w:cstheme="minorHAnsi"/>
          <w:color w:val="1F4E79" w:themeColor="accent5" w:themeShade="80"/>
        </w:rPr>
        <w:t xml:space="preserve"> </w:t>
      </w:r>
    </w:p>
    <w:p w14:paraId="0DA2FCAD" w14:textId="77777777" w:rsidR="00A159C1" w:rsidRPr="00A159C1" w:rsidRDefault="00A159C1" w:rsidP="00A159C1">
      <w:pPr>
        <w:numPr>
          <w:ilvl w:val="0"/>
          <w:numId w:val="31"/>
        </w:numPr>
        <w:spacing w:after="0" w:line="240" w:lineRule="auto"/>
        <w:contextualSpacing/>
        <w:rPr>
          <w:rFonts w:ascii="Calibri" w:eastAsia="Calibri" w:hAnsi="Calibri" w:cs="Calibri"/>
          <w:color w:val="000000"/>
          <w:sz w:val="24"/>
          <w:szCs w:val="24"/>
        </w:rPr>
      </w:pPr>
      <w:bookmarkStart w:id="35" w:name="_Hlk129345298"/>
      <w:r w:rsidRPr="00A159C1">
        <w:rPr>
          <w:rFonts w:ascii="Calibri" w:eastAsia="Calibri" w:hAnsi="Calibri" w:cs="Calibri"/>
          <w:color w:val="000000"/>
          <w:sz w:val="24"/>
          <w:szCs w:val="24"/>
        </w:rPr>
        <w:t xml:space="preserve">Half of the total required CHI contribution of $802,956.89 will be directed to the Massachusetts Statewide Community Health and Healthy Aging Funds. </w:t>
      </w:r>
    </w:p>
    <w:p w14:paraId="40C42BE0" w14:textId="77777777" w:rsidR="00A159C1" w:rsidRPr="00A159C1" w:rsidRDefault="00A159C1" w:rsidP="00A159C1">
      <w:pPr>
        <w:spacing w:after="0" w:line="240" w:lineRule="auto"/>
        <w:ind w:left="1440"/>
        <w:contextualSpacing/>
        <w:rPr>
          <w:rFonts w:ascii="Calibri" w:eastAsia="Calibri" w:hAnsi="Calibri" w:cs="Calibri"/>
          <w:color w:val="000000"/>
          <w:sz w:val="24"/>
          <w:szCs w:val="24"/>
        </w:rPr>
      </w:pPr>
    </w:p>
    <w:p w14:paraId="40D3FE9A" w14:textId="77777777" w:rsidR="00A159C1" w:rsidRPr="00A159C1" w:rsidRDefault="00A159C1" w:rsidP="00A159C1">
      <w:pPr>
        <w:numPr>
          <w:ilvl w:val="0"/>
          <w:numId w:val="31"/>
        </w:numPr>
        <w:spacing w:after="0" w:line="240" w:lineRule="auto"/>
        <w:contextualSpacing/>
        <w:rPr>
          <w:rFonts w:ascii="Calibri" w:eastAsia="Calibri" w:hAnsi="Calibri" w:cs="Calibri"/>
          <w:color w:val="000000"/>
          <w:sz w:val="24"/>
          <w:szCs w:val="24"/>
        </w:rPr>
      </w:pPr>
      <w:r w:rsidRPr="00A159C1">
        <w:rPr>
          <w:rFonts w:ascii="Calibri" w:eastAsia="Calibri" w:hAnsi="Calibri" w:cs="Calibri"/>
          <w:color w:val="000000"/>
          <w:sz w:val="24"/>
          <w:szCs w:val="24"/>
        </w:rPr>
        <w:t>To comply with the Holder’s obligation to contribute to the Massachusetts Statewide Community Health and Aging Funds, the Holder must submit the payment, a check for $802,956.89, to Health Resources in Action (HRiA) (the fiscal agent for the CHI Statewide Initiative).</w:t>
      </w:r>
    </w:p>
    <w:p w14:paraId="1FDB25B3" w14:textId="77777777" w:rsidR="00A159C1" w:rsidRPr="00A159C1" w:rsidRDefault="00A159C1" w:rsidP="00A159C1">
      <w:pPr>
        <w:numPr>
          <w:ilvl w:val="1"/>
          <w:numId w:val="31"/>
        </w:numPr>
        <w:spacing w:after="0" w:line="240" w:lineRule="auto"/>
        <w:contextualSpacing/>
        <w:rPr>
          <w:rFonts w:ascii="Calibri" w:eastAsia="Calibri" w:hAnsi="Calibri" w:cs="Calibri"/>
          <w:color w:val="000000"/>
          <w:sz w:val="24"/>
          <w:szCs w:val="24"/>
        </w:rPr>
      </w:pPr>
      <w:r w:rsidRPr="00A159C1">
        <w:rPr>
          <w:rFonts w:ascii="Calibri" w:eastAsia="Calibri" w:hAnsi="Calibri" w:cs="Calibri"/>
          <w:color w:val="000000"/>
          <w:sz w:val="24"/>
          <w:szCs w:val="24"/>
        </w:rPr>
        <w:t>The Holder must submit the funds to HRiA within 14 days of receipt of financing from the USDA</w:t>
      </w:r>
    </w:p>
    <w:p w14:paraId="35421001" w14:textId="77777777" w:rsidR="00A159C1" w:rsidRPr="00A159C1" w:rsidRDefault="00A159C1" w:rsidP="00A159C1">
      <w:pPr>
        <w:numPr>
          <w:ilvl w:val="1"/>
          <w:numId w:val="31"/>
        </w:numPr>
        <w:spacing w:after="0" w:line="240" w:lineRule="auto"/>
        <w:contextualSpacing/>
        <w:rPr>
          <w:rFonts w:ascii="Calibri" w:eastAsia="Calibri" w:hAnsi="Calibri" w:cs="Calibri"/>
          <w:color w:val="000000"/>
          <w:sz w:val="24"/>
          <w:szCs w:val="24"/>
        </w:rPr>
      </w:pPr>
      <w:r w:rsidRPr="00A159C1">
        <w:rPr>
          <w:rFonts w:ascii="Calibri" w:eastAsia="Calibri" w:hAnsi="Calibri" w:cs="Calibri"/>
          <w:color w:val="000000"/>
          <w:sz w:val="24"/>
          <w:szCs w:val="24"/>
        </w:rPr>
        <w:t>The Holder must promptly notify DPH (CHI contact staff) when payment has been made.</w:t>
      </w:r>
    </w:p>
    <w:p w14:paraId="426CD73F" w14:textId="77777777" w:rsidR="00A159C1" w:rsidRPr="00A159C1" w:rsidRDefault="00A159C1" w:rsidP="00A159C1">
      <w:pPr>
        <w:numPr>
          <w:ilvl w:val="1"/>
          <w:numId w:val="31"/>
        </w:numPr>
        <w:spacing w:after="0" w:line="240" w:lineRule="auto"/>
        <w:contextualSpacing/>
        <w:rPr>
          <w:rFonts w:ascii="Calibri" w:eastAsia="Calibri" w:hAnsi="Calibri" w:cs="Calibri"/>
          <w:color w:val="000000"/>
          <w:sz w:val="24"/>
          <w:szCs w:val="24"/>
        </w:rPr>
      </w:pPr>
      <w:r w:rsidRPr="00A159C1">
        <w:rPr>
          <w:rFonts w:ascii="Calibri" w:eastAsia="Calibri" w:hAnsi="Calibri" w:cs="Calibri"/>
          <w:color w:val="000000"/>
          <w:sz w:val="24"/>
          <w:szCs w:val="24"/>
        </w:rPr>
        <w:t>Payment should be sent to:</w:t>
      </w:r>
    </w:p>
    <w:p w14:paraId="648A6067" w14:textId="77777777" w:rsidR="00A159C1" w:rsidRPr="00A159C1" w:rsidRDefault="00A159C1" w:rsidP="00A159C1">
      <w:pPr>
        <w:spacing w:after="0" w:line="240" w:lineRule="auto"/>
        <w:ind w:left="1440"/>
        <w:contextualSpacing/>
        <w:rPr>
          <w:rFonts w:ascii="Calibri" w:eastAsia="Calibri" w:hAnsi="Calibri" w:cs="Calibri"/>
          <w:color w:val="000000"/>
          <w:sz w:val="24"/>
          <w:szCs w:val="24"/>
        </w:rPr>
      </w:pPr>
      <w:r w:rsidRPr="00A159C1">
        <w:rPr>
          <w:rFonts w:ascii="Calibri" w:eastAsia="Calibri" w:hAnsi="Calibri" w:cs="Calibri"/>
          <w:color w:val="000000"/>
          <w:sz w:val="24"/>
          <w:szCs w:val="24"/>
        </w:rPr>
        <w:t>Health Resources in Action, Inc., (HRiA)</w:t>
      </w:r>
    </w:p>
    <w:p w14:paraId="2BA14B6D" w14:textId="77777777" w:rsidR="00A159C1" w:rsidRPr="00A159C1" w:rsidRDefault="00A159C1" w:rsidP="00A159C1">
      <w:pPr>
        <w:spacing w:after="0" w:line="240" w:lineRule="auto"/>
        <w:ind w:left="1440"/>
        <w:contextualSpacing/>
        <w:rPr>
          <w:rFonts w:ascii="Calibri" w:eastAsia="Calibri" w:hAnsi="Calibri" w:cs="Calibri"/>
          <w:color w:val="000000"/>
          <w:sz w:val="24"/>
          <w:szCs w:val="24"/>
        </w:rPr>
      </w:pPr>
      <w:r w:rsidRPr="00A159C1">
        <w:rPr>
          <w:rFonts w:ascii="Calibri" w:eastAsia="Calibri" w:hAnsi="Calibri" w:cs="Calibri"/>
          <w:color w:val="000000"/>
          <w:sz w:val="24"/>
          <w:szCs w:val="24"/>
        </w:rPr>
        <w:t>2 Boylston Street, 4th Floor</w:t>
      </w:r>
    </w:p>
    <w:p w14:paraId="65D75FAC" w14:textId="77777777" w:rsidR="00A159C1" w:rsidRPr="00A159C1" w:rsidRDefault="00A159C1" w:rsidP="00A159C1">
      <w:pPr>
        <w:spacing w:after="0" w:line="240" w:lineRule="auto"/>
        <w:ind w:left="1440"/>
        <w:contextualSpacing/>
        <w:rPr>
          <w:rFonts w:ascii="Calibri" w:eastAsia="Calibri" w:hAnsi="Calibri" w:cs="Calibri"/>
          <w:color w:val="000000"/>
          <w:sz w:val="24"/>
          <w:szCs w:val="24"/>
        </w:rPr>
      </w:pPr>
      <w:r w:rsidRPr="00A159C1">
        <w:rPr>
          <w:rFonts w:ascii="Calibri" w:eastAsia="Calibri" w:hAnsi="Calibri" w:cs="Calibri"/>
          <w:color w:val="000000"/>
          <w:sz w:val="24"/>
          <w:szCs w:val="24"/>
        </w:rPr>
        <w:t>Boston, MA 02116</w:t>
      </w:r>
    </w:p>
    <w:p w14:paraId="127E49D7" w14:textId="77777777" w:rsidR="00A159C1" w:rsidRPr="00A159C1" w:rsidRDefault="00A159C1" w:rsidP="00A159C1">
      <w:pPr>
        <w:spacing w:after="0" w:line="240" w:lineRule="auto"/>
        <w:ind w:left="1440"/>
        <w:contextualSpacing/>
        <w:rPr>
          <w:rFonts w:ascii="Calibri" w:eastAsia="Calibri" w:hAnsi="Calibri" w:cs="Calibri"/>
          <w:color w:val="000000"/>
          <w:sz w:val="24"/>
          <w:szCs w:val="24"/>
        </w:rPr>
      </w:pPr>
      <w:r w:rsidRPr="00A159C1">
        <w:rPr>
          <w:rFonts w:ascii="Calibri" w:eastAsia="Calibri" w:hAnsi="Calibri" w:cs="Calibri"/>
          <w:color w:val="000000"/>
          <w:sz w:val="24"/>
          <w:szCs w:val="24"/>
        </w:rPr>
        <w:t>Attn: Ms. Bora Toro</w:t>
      </w:r>
    </w:p>
    <w:p w14:paraId="11E3765B" w14:textId="77777777" w:rsidR="00A159C1" w:rsidRPr="00A159C1" w:rsidRDefault="00A159C1" w:rsidP="00A159C1">
      <w:pPr>
        <w:spacing w:after="0" w:line="240" w:lineRule="auto"/>
        <w:ind w:left="1440"/>
        <w:contextualSpacing/>
        <w:rPr>
          <w:rFonts w:ascii="Calibri" w:eastAsia="Calibri" w:hAnsi="Calibri" w:cs="Calibri"/>
          <w:color w:val="000000"/>
          <w:sz w:val="24"/>
          <w:szCs w:val="24"/>
        </w:rPr>
      </w:pPr>
    </w:p>
    <w:p w14:paraId="5E402BD7" w14:textId="77777777" w:rsidR="00A159C1" w:rsidRPr="00A159C1" w:rsidRDefault="00A159C1" w:rsidP="00A159C1">
      <w:pPr>
        <w:numPr>
          <w:ilvl w:val="0"/>
          <w:numId w:val="31"/>
        </w:numPr>
        <w:spacing w:after="0" w:line="240" w:lineRule="auto"/>
        <w:contextualSpacing/>
        <w:rPr>
          <w:rFonts w:ascii="Calibri" w:eastAsia="Calibri" w:hAnsi="Calibri" w:cs="Calibri"/>
          <w:color w:val="000000"/>
          <w:sz w:val="24"/>
          <w:szCs w:val="24"/>
        </w:rPr>
      </w:pPr>
      <w:r w:rsidRPr="00A159C1">
        <w:rPr>
          <w:rFonts w:ascii="Calibri" w:eastAsia="Calibri" w:hAnsi="Calibri" w:cs="Calibri"/>
          <w:color w:val="000000"/>
          <w:sz w:val="24"/>
          <w:szCs w:val="24"/>
        </w:rPr>
        <w:t>To comply with the remaining Workforce housing program commitment (the remaining $802,956.89), the Applicant must comply with the following:</w:t>
      </w:r>
    </w:p>
    <w:p w14:paraId="5EDECC71" w14:textId="77777777" w:rsidR="00A159C1" w:rsidRPr="00A159C1" w:rsidRDefault="00A159C1" w:rsidP="00A159C1">
      <w:pPr>
        <w:numPr>
          <w:ilvl w:val="1"/>
          <w:numId w:val="31"/>
        </w:numPr>
        <w:spacing w:after="0" w:line="240" w:lineRule="auto"/>
        <w:contextualSpacing/>
        <w:rPr>
          <w:rFonts w:ascii="Calibri" w:eastAsia="Calibri" w:hAnsi="Calibri" w:cs="Calibri"/>
          <w:color w:val="000000"/>
          <w:sz w:val="24"/>
          <w:szCs w:val="24"/>
        </w:rPr>
      </w:pPr>
      <w:r w:rsidRPr="00A159C1">
        <w:rPr>
          <w:rFonts w:ascii="Calibri" w:eastAsia="Calibri" w:hAnsi="Calibri" w:cs="Calibri"/>
          <w:color w:val="000000"/>
          <w:sz w:val="24"/>
          <w:szCs w:val="24"/>
        </w:rPr>
        <w:t xml:space="preserve">within 6 months of the Notice of Approval date, the Applicant must provide DPH with an accountability and sustainability plan that includes a process of funding from Navigator’s ongoing operations as well as tracking all CHI investments in the program. </w:t>
      </w:r>
    </w:p>
    <w:p w14:paraId="2455F620" w14:textId="77777777" w:rsidR="00A159C1" w:rsidRPr="00A159C1" w:rsidRDefault="00A159C1" w:rsidP="00A159C1">
      <w:pPr>
        <w:numPr>
          <w:ilvl w:val="1"/>
          <w:numId w:val="31"/>
        </w:numPr>
        <w:spacing w:after="0" w:line="240" w:lineRule="auto"/>
        <w:contextualSpacing/>
        <w:rPr>
          <w:rFonts w:ascii="Calibri" w:eastAsia="Calibri" w:hAnsi="Calibri" w:cs="Calibri"/>
          <w:color w:val="000000"/>
          <w:sz w:val="24"/>
          <w:szCs w:val="24"/>
        </w:rPr>
      </w:pPr>
      <w:r w:rsidRPr="00A159C1">
        <w:rPr>
          <w:rFonts w:ascii="Calibri" w:eastAsia="Calibri" w:hAnsi="Calibri" w:cs="Calibri"/>
          <w:color w:val="000000"/>
          <w:sz w:val="24"/>
          <w:szCs w:val="24"/>
        </w:rPr>
        <w:t>the Applicant will report to DPH annually until such time as the total commitment has been satisfied on the anniversary date of project implementation to provide documentation and reporting related to the housing investment.</w:t>
      </w:r>
    </w:p>
    <w:p w14:paraId="10CFF2C2" w14:textId="77777777" w:rsidR="00A159C1" w:rsidRPr="00A159C1" w:rsidRDefault="00A159C1" w:rsidP="00A159C1">
      <w:pPr>
        <w:numPr>
          <w:ilvl w:val="1"/>
          <w:numId w:val="31"/>
        </w:numPr>
        <w:spacing w:after="0" w:line="240" w:lineRule="auto"/>
        <w:contextualSpacing/>
        <w:rPr>
          <w:rFonts w:ascii="Calibri" w:eastAsia="Calibri" w:hAnsi="Calibri" w:cs="Calibri"/>
          <w:color w:val="000000"/>
          <w:sz w:val="24"/>
          <w:szCs w:val="24"/>
        </w:rPr>
      </w:pPr>
      <w:r w:rsidRPr="00A159C1">
        <w:rPr>
          <w:rFonts w:ascii="Calibri" w:eastAsia="Calibri" w:hAnsi="Calibri" w:cs="Calibri"/>
          <w:color w:val="000000"/>
          <w:sz w:val="24"/>
          <w:szCs w:val="24"/>
        </w:rPr>
        <w:t xml:space="preserve">Any deviation to this payment and tracking schedule will require DPH approval. </w:t>
      </w:r>
    </w:p>
    <w:p w14:paraId="688598C0" w14:textId="77777777" w:rsidR="00CF7981" w:rsidRPr="00DF07C0" w:rsidRDefault="00CF7981" w:rsidP="00CF7981">
      <w:pPr>
        <w:spacing w:after="0" w:line="240" w:lineRule="auto"/>
        <w:ind w:left="1440"/>
        <w:contextualSpacing/>
        <w:rPr>
          <w:rFonts w:ascii="Calibri" w:eastAsia="Calibri" w:hAnsi="Calibri" w:cs="Calibri"/>
          <w:color w:val="000000"/>
          <w:sz w:val="24"/>
          <w:szCs w:val="24"/>
        </w:rPr>
      </w:pPr>
    </w:p>
    <w:bookmarkEnd w:id="35"/>
    <w:p w14:paraId="635077B0" w14:textId="4E5015CF" w:rsidR="00542950" w:rsidRPr="00CF7981" w:rsidRDefault="00E227EE" w:rsidP="000D1BCB">
      <w:pPr>
        <w:pStyle w:val="ListParagraph"/>
        <w:numPr>
          <w:ilvl w:val="0"/>
          <w:numId w:val="31"/>
        </w:numPr>
        <w:rPr>
          <w:sz w:val="24"/>
          <w:szCs w:val="24"/>
          <w:u w:val="single"/>
        </w:rPr>
      </w:pPr>
      <w:r w:rsidRPr="000D1BCB">
        <w:rPr>
          <w:sz w:val="24"/>
          <w:szCs w:val="24"/>
        </w:rPr>
        <w:t xml:space="preserve">To ensure that </w:t>
      </w:r>
      <w:r w:rsidR="00542950" w:rsidRPr="000D1BCB">
        <w:rPr>
          <w:sz w:val="24"/>
          <w:szCs w:val="24"/>
        </w:rPr>
        <w:t xml:space="preserve">the Proposed Project is addressing the needs of the Patient Panel, on Martha’s Vineyard, and that </w:t>
      </w:r>
      <w:r w:rsidRPr="000D1BCB">
        <w:rPr>
          <w:sz w:val="24"/>
          <w:szCs w:val="24"/>
        </w:rPr>
        <w:t xml:space="preserve">off Island private pay residents are not prioritized over Island residents, </w:t>
      </w:r>
      <w:r w:rsidR="00882722" w:rsidRPr="000D1BCB">
        <w:rPr>
          <w:sz w:val="24"/>
          <w:szCs w:val="24"/>
        </w:rPr>
        <w:t>and</w:t>
      </w:r>
      <w:r w:rsidR="00993E41" w:rsidRPr="000D1BCB">
        <w:rPr>
          <w:sz w:val="24"/>
          <w:szCs w:val="24"/>
        </w:rPr>
        <w:t xml:space="preserve"> </w:t>
      </w:r>
      <w:r w:rsidR="00882722" w:rsidRPr="000D1BCB">
        <w:rPr>
          <w:sz w:val="24"/>
          <w:szCs w:val="24"/>
        </w:rPr>
        <w:t xml:space="preserve">Medicaid residents, </w:t>
      </w:r>
      <w:r w:rsidRPr="000D1BCB">
        <w:rPr>
          <w:sz w:val="24"/>
          <w:szCs w:val="24"/>
        </w:rPr>
        <w:t xml:space="preserve">the </w:t>
      </w:r>
      <w:r w:rsidR="00542950" w:rsidRPr="000D1BCB">
        <w:rPr>
          <w:sz w:val="24"/>
          <w:szCs w:val="24"/>
        </w:rPr>
        <w:t>Holder</w:t>
      </w:r>
      <w:r w:rsidRPr="000D1BCB">
        <w:rPr>
          <w:sz w:val="24"/>
          <w:szCs w:val="24"/>
        </w:rPr>
        <w:t xml:space="preserve"> must demonstrate that Island Residents are prioritized over off Island residents. To monitor this the Applicant must track </w:t>
      </w:r>
      <w:r w:rsidR="00542950" w:rsidRPr="000D1BCB">
        <w:rPr>
          <w:sz w:val="24"/>
          <w:szCs w:val="24"/>
        </w:rPr>
        <w:t xml:space="preserve">on </w:t>
      </w:r>
      <w:r w:rsidRPr="000D1BCB">
        <w:rPr>
          <w:sz w:val="24"/>
          <w:szCs w:val="24"/>
        </w:rPr>
        <w:t xml:space="preserve">monthly and </w:t>
      </w:r>
      <w:r w:rsidR="00542950" w:rsidRPr="000D1BCB">
        <w:rPr>
          <w:sz w:val="24"/>
          <w:szCs w:val="24"/>
        </w:rPr>
        <w:t>begin reporting the following information as part of the annual report required by 105 CMR 100.310(A)(12):</w:t>
      </w:r>
    </w:p>
    <w:p w14:paraId="71618581" w14:textId="77777777" w:rsidR="00CF7981" w:rsidRPr="000D1BCB" w:rsidRDefault="00CF7981" w:rsidP="00CF7981">
      <w:pPr>
        <w:pStyle w:val="ListParagraph"/>
        <w:rPr>
          <w:sz w:val="24"/>
          <w:szCs w:val="24"/>
          <w:u w:val="single"/>
        </w:rPr>
      </w:pPr>
    </w:p>
    <w:p w14:paraId="4581A25D" w14:textId="17A0EA0D" w:rsidR="00993E41" w:rsidRPr="00902CA4" w:rsidRDefault="00E227EE" w:rsidP="000D1BCB">
      <w:pPr>
        <w:pStyle w:val="ListParagraph"/>
        <w:numPr>
          <w:ilvl w:val="1"/>
          <w:numId w:val="31"/>
        </w:numPr>
        <w:rPr>
          <w:sz w:val="24"/>
          <w:szCs w:val="24"/>
        </w:rPr>
      </w:pPr>
      <w:r w:rsidRPr="695818A5">
        <w:rPr>
          <w:sz w:val="24"/>
          <w:szCs w:val="24"/>
        </w:rPr>
        <w:t xml:space="preserve">the number and </w:t>
      </w:r>
      <w:r w:rsidR="00993E41" w:rsidRPr="695818A5">
        <w:rPr>
          <w:sz w:val="24"/>
          <w:szCs w:val="24"/>
        </w:rPr>
        <w:t xml:space="preserve">number </w:t>
      </w:r>
      <w:r w:rsidRPr="695818A5">
        <w:rPr>
          <w:sz w:val="24"/>
          <w:szCs w:val="24"/>
        </w:rPr>
        <w:t xml:space="preserve">of Navigator </w:t>
      </w:r>
      <w:r w:rsidR="00993E41" w:rsidRPr="695818A5">
        <w:rPr>
          <w:sz w:val="24"/>
          <w:szCs w:val="24"/>
        </w:rPr>
        <w:t xml:space="preserve">admissions: differentiating short-term rehab and </w:t>
      </w:r>
      <w:r w:rsidR="00542950" w:rsidRPr="695818A5">
        <w:rPr>
          <w:sz w:val="24"/>
          <w:szCs w:val="24"/>
        </w:rPr>
        <w:t>long-term</w:t>
      </w:r>
      <w:r w:rsidR="00993E41" w:rsidRPr="695818A5">
        <w:rPr>
          <w:sz w:val="24"/>
          <w:szCs w:val="24"/>
        </w:rPr>
        <w:t xml:space="preserve"> care </w:t>
      </w:r>
      <w:r w:rsidRPr="695818A5">
        <w:rPr>
          <w:sz w:val="24"/>
          <w:szCs w:val="24"/>
        </w:rPr>
        <w:t xml:space="preserve">by payer whose home prior to admission originated on the Island </w:t>
      </w:r>
    </w:p>
    <w:p w14:paraId="77A2BA55" w14:textId="2D6604C3" w:rsidR="00B92A05" w:rsidRPr="00902CA4" w:rsidRDefault="00E227EE" w:rsidP="000D1BCB">
      <w:pPr>
        <w:pStyle w:val="ListParagraph"/>
        <w:numPr>
          <w:ilvl w:val="1"/>
          <w:numId w:val="31"/>
        </w:numPr>
        <w:rPr>
          <w:sz w:val="24"/>
          <w:szCs w:val="24"/>
        </w:rPr>
      </w:pPr>
      <w:r w:rsidRPr="00902CA4">
        <w:rPr>
          <w:sz w:val="24"/>
          <w:szCs w:val="24"/>
        </w:rPr>
        <w:t>and t</w:t>
      </w:r>
      <w:r w:rsidR="00993E41" w:rsidRPr="00902CA4">
        <w:rPr>
          <w:sz w:val="24"/>
          <w:szCs w:val="24"/>
        </w:rPr>
        <w:t xml:space="preserve">he number of Navigator admissions: differentiating short-term rehab and </w:t>
      </w:r>
      <w:r w:rsidR="00542950" w:rsidRPr="00902CA4">
        <w:rPr>
          <w:sz w:val="24"/>
          <w:szCs w:val="24"/>
        </w:rPr>
        <w:t>long-term</w:t>
      </w:r>
      <w:r w:rsidR="00993E41" w:rsidRPr="00902CA4">
        <w:rPr>
          <w:sz w:val="24"/>
          <w:szCs w:val="24"/>
        </w:rPr>
        <w:t xml:space="preserve"> care by payer </w:t>
      </w:r>
      <w:r w:rsidRPr="00902CA4">
        <w:rPr>
          <w:sz w:val="24"/>
          <w:szCs w:val="24"/>
        </w:rPr>
        <w:t xml:space="preserve">who whose home prior to admission was off the Island. </w:t>
      </w:r>
    </w:p>
    <w:p w14:paraId="6D2258FC" w14:textId="77777777" w:rsidR="00993E41" w:rsidRPr="00C4270A" w:rsidRDefault="00993E41" w:rsidP="00542950">
      <w:pPr>
        <w:spacing w:line="240" w:lineRule="auto"/>
        <w:rPr>
          <w:sz w:val="24"/>
          <w:szCs w:val="24"/>
        </w:rPr>
      </w:pPr>
    </w:p>
    <w:p w14:paraId="7BF01178" w14:textId="1136AF8D" w:rsidR="0096022C" w:rsidRDefault="0096022C">
      <w:r>
        <w:br w:type="page"/>
      </w:r>
    </w:p>
    <w:p w14:paraId="1C06BBF7" w14:textId="28AE04CA" w:rsidR="00B92A05" w:rsidRDefault="00B92A05" w:rsidP="00B92A05">
      <w:pPr>
        <w:pStyle w:val="Heading1"/>
        <w:rPr>
          <w:rFonts w:asciiTheme="minorHAnsi" w:hAnsiTheme="minorHAnsi" w:cstheme="minorHAnsi"/>
          <w:color w:val="1F4E79" w:themeColor="accent5" w:themeShade="80"/>
        </w:rPr>
      </w:pPr>
      <w:bookmarkStart w:id="36" w:name="_Toc129354654"/>
      <w:r w:rsidRPr="00725485">
        <w:rPr>
          <w:rFonts w:asciiTheme="minorHAnsi" w:hAnsiTheme="minorHAnsi" w:cstheme="minorHAnsi"/>
          <w:color w:val="1F4E79" w:themeColor="accent5" w:themeShade="80"/>
        </w:rPr>
        <w:lastRenderedPageBreak/>
        <w:t>Appendix 1</w:t>
      </w:r>
      <w:bookmarkEnd w:id="36"/>
    </w:p>
    <w:p w14:paraId="36FA904D" w14:textId="77777777" w:rsidR="0096022C" w:rsidRPr="0096022C" w:rsidRDefault="0096022C" w:rsidP="0096022C"/>
    <w:p w14:paraId="2D9AAA3D" w14:textId="77777777" w:rsidR="00B92A05" w:rsidRPr="00D45F2C" w:rsidRDefault="00B92A05" w:rsidP="00B92A05">
      <w:pPr>
        <w:numPr>
          <w:ilvl w:val="0"/>
          <w:numId w:val="8"/>
        </w:numPr>
        <w:spacing w:line="240" w:lineRule="auto"/>
        <w:rPr>
          <w:sz w:val="24"/>
          <w:szCs w:val="24"/>
          <w:u w:val="single"/>
        </w:rPr>
      </w:pPr>
      <w:r w:rsidRPr="00D45F2C">
        <w:rPr>
          <w:sz w:val="24"/>
          <w:szCs w:val="24"/>
          <w:u w:val="single"/>
        </w:rPr>
        <w:t>Assessing the Impact of the Proposed Project</w:t>
      </w:r>
    </w:p>
    <w:p w14:paraId="2181AEFE" w14:textId="77777777" w:rsidR="00B92A05" w:rsidRPr="00D45F2C" w:rsidRDefault="00B92A05" w:rsidP="00B92A05">
      <w:pPr>
        <w:spacing w:line="240" w:lineRule="auto"/>
        <w:rPr>
          <w:sz w:val="24"/>
          <w:szCs w:val="24"/>
        </w:rPr>
      </w:pPr>
      <w:r w:rsidRPr="00D45F2C">
        <w:rPr>
          <w:sz w:val="24"/>
          <w:szCs w:val="24"/>
        </w:rPr>
        <w:t>To assess the impact of the Proposed Project, the Applicant developed the following quality metrics to measure overall satisfaction and quality of care at the new facility:</w:t>
      </w:r>
    </w:p>
    <w:p w14:paraId="07230F08" w14:textId="77777777" w:rsidR="00B92A05" w:rsidRPr="00D45F2C" w:rsidRDefault="00B92A05" w:rsidP="00B92A05">
      <w:pPr>
        <w:numPr>
          <w:ilvl w:val="0"/>
          <w:numId w:val="9"/>
        </w:numPr>
        <w:spacing w:line="240" w:lineRule="auto"/>
        <w:rPr>
          <w:sz w:val="24"/>
          <w:szCs w:val="24"/>
        </w:rPr>
      </w:pPr>
      <w:r w:rsidRPr="00D45F2C">
        <w:rPr>
          <w:b/>
          <w:bCs/>
          <w:sz w:val="24"/>
          <w:szCs w:val="24"/>
        </w:rPr>
        <w:t xml:space="preserve">Quality of Care – Person-Centered Care Goals: </w:t>
      </w:r>
      <w:r w:rsidRPr="00D45F2C">
        <w:rPr>
          <w:sz w:val="24"/>
          <w:szCs w:val="24"/>
        </w:rPr>
        <w:t xml:space="preserve">Patient-centered care intends to empower individuals and encourage them to communicate personal preferences. Residents who receive patient-centered care will have better overall health outcomes. </w:t>
      </w:r>
    </w:p>
    <w:p w14:paraId="670467B1" w14:textId="77777777" w:rsidR="00B92A05" w:rsidRPr="00D45F2C" w:rsidRDefault="00B92A05" w:rsidP="00B92A05">
      <w:pPr>
        <w:spacing w:line="240" w:lineRule="auto"/>
        <w:rPr>
          <w:sz w:val="24"/>
          <w:szCs w:val="24"/>
        </w:rPr>
      </w:pPr>
      <w:r w:rsidRPr="00D45F2C">
        <w:rPr>
          <w:b/>
          <w:bCs/>
          <w:sz w:val="24"/>
          <w:szCs w:val="24"/>
        </w:rPr>
        <w:t>Measure:</w:t>
      </w:r>
      <w:r w:rsidRPr="00D45F2C">
        <w:rPr>
          <w:sz w:val="24"/>
          <w:szCs w:val="24"/>
        </w:rPr>
        <w:t xml:space="preserve"> The Applicant will measure the extent to which the facility meets the state and federal standards with respect to Person-Centered Care Goals as outlined by CMS via AHRQ CAHPS survey scores.</w:t>
      </w:r>
    </w:p>
    <w:p w14:paraId="2F0ADD93" w14:textId="77777777" w:rsidR="00B92A05" w:rsidRPr="00D45F2C" w:rsidRDefault="00B92A05" w:rsidP="00B92A05">
      <w:pPr>
        <w:spacing w:line="240" w:lineRule="auto"/>
        <w:rPr>
          <w:sz w:val="24"/>
          <w:szCs w:val="24"/>
        </w:rPr>
      </w:pPr>
      <w:r w:rsidRPr="00D45F2C">
        <w:rPr>
          <w:b/>
          <w:bCs/>
          <w:sz w:val="24"/>
          <w:szCs w:val="24"/>
        </w:rPr>
        <w:t>Projections:</w:t>
      </w:r>
      <w:r w:rsidRPr="00D45F2C">
        <w:rPr>
          <w:sz w:val="24"/>
          <w:szCs w:val="24"/>
        </w:rPr>
        <w:t xml:space="preserve"> As the Proposed Project will result in the development of a new facility, the Applicant will provide baseline measures following one full year of operation. </w:t>
      </w:r>
    </w:p>
    <w:p w14:paraId="4EE315EF" w14:textId="77777777" w:rsidR="00B92A05" w:rsidRPr="00D45F2C" w:rsidRDefault="00B92A05" w:rsidP="00B92A05">
      <w:pPr>
        <w:spacing w:line="240" w:lineRule="auto"/>
        <w:rPr>
          <w:sz w:val="24"/>
          <w:szCs w:val="24"/>
        </w:rPr>
      </w:pPr>
      <w:r w:rsidRPr="00D45F2C">
        <w:rPr>
          <w:sz w:val="24"/>
          <w:szCs w:val="24"/>
        </w:rPr>
        <w:tab/>
      </w:r>
      <w:r w:rsidRPr="00D45F2C">
        <w:rPr>
          <w:b/>
          <w:bCs/>
          <w:sz w:val="24"/>
          <w:szCs w:val="24"/>
        </w:rPr>
        <w:t>Monitoring:</w:t>
      </w:r>
      <w:r w:rsidRPr="00D45F2C">
        <w:rPr>
          <w:sz w:val="24"/>
          <w:szCs w:val="24"/>
        </w:rPr>
        <w:t xml:space="preserve"> The Applicant will report this data to DPH on an annual basis. </w:t>
      </w:r>
    </w:p>
    <w:p w14:paraId="78CD613D" w14:textId="77777777" w:rsidR="00B92A05" w:rsidRPr="00D45F2C" w:rsidRDefault="00B92A05" w:rsidP="00B92A05">
      <w:pPr>
        <w:numPr>
          <w:ilvl w:val="0"/>
          <w:numId w:val="9"/>
        </w:numPr>
        <w:spacing w:line="240" w:lineRule="auto"/>
        <w:rPr>
          <w:b/>
          <w:bCs/>
          <w:sz w:val="24"/>
          <w:szCs w:val="24"/>
        </w:rPr>
      </w:pPr>
      <w:r w:rsidRPr="00D45F2C">
        <w:rPr>
          <w:b/>
          <w:bCs/>
          <w:sz w:val="24"/>
          <w:szCs w:val="24"/>
        </w:rPr>
        <w:t xml:space="preserve">Quality of Care – Infection Prevention and Control: </w:t>
      </w:r>
      <w:r w:rsidRPr="00D45F2C">
        <w:rPr>
          <w:sz w:val="24"/>
          <w:szCs w:val="24"/>
        </w:rPr>
        <w:t xml:space="preserve">Due to risks associated with increased age, residents of long-term care facilities are more susceptible to poor outcomes when faced with infections. In a post-COVID-19 environment, infection control is at the forefront of concerns at long-term care facilities. The Green House model’s physical plant environment contributes to the containment of infections. </w:t>
      </w:r>
    </w:p>
    <w:p w14:paraId="7A18652E" w14:textId="77777777" w:rsidR="00B92A05" w:rsidRPr="00D45F2C" w:rsidRDefault="00B92A05" w:rsidP="00B92A05">
      <w:pPr>
        <w:spacing w:line="240" w:lineRule="auto"/>
        <w:rPr>
          <w:sz w:val="24"/>
          <w:szCs w:val="24"/>
        </w:rPr>
      </w:pPr>
      <w:r w:rsidRPr="00D45F2C">
        <w:rPr>
          <w:b/>
          <w:bCs/>
          <w:sz w:val="24"/>
          <w:szCs w:val="24"/>
        </w:rPr>
        <w:t xml:space="preserve">Measure: </w:t>
      </w:r>
      <w:r w:rsidRPr="00D45F2C">
        <w:rPr>
          <w:sz w:val="24"/>
          <w:szCs w:val="24"/>
        </w:rPr>
        <w:t xml:space="preserve">The Applicant will measure the incidence rate of new nosocomial infections. </w:t>
      </w:r>
    </w:p>
    <w:p w14:paraId="14EE9804" w14:textId="094D9DEA" w:rsidR="00B92A05" w:rsidRPr="00D45F2C" w:rsidRDefault="00B92A05" w:rsidP="00B92A05">
      <w:pPr>
        <w:spacing w:line="240" w:lineRule="auto"/>
        <w:rPr>
          <w:sz w:val="24"/>
          <w:szCs w:val="24"/>
        </w:rPr>
      </w:pPr>
      <w:r w:rsidRPr="00D45F2C">
        <w:rPr>
          <w:noProof/>
          <w:color w:val="2B579A"/>
          <w:sz w:val="24"/>
          <w:szCs w:val="24"/>
          <w:u w:val="single"/>
          <w:shd w:val="clear" w:color="auto" w:fill="E6E6E6"/>
        </w:rPr>
        <mc:AlternateContent>
          <mc:Choice Requires="wps">
            <w:drawing>
              <wp:anchor distT="45720" distB="45720" distL="114300" distR="114300" simplePos="0" relativeHeight="251658240" behindDoc="0" locked="0" layoutInCell="1" allowOverlap="1" wp14:anchorId="13E67F72" wp14:editId="0CB404C5">
                <wp:simplePos x="0" y="0"/>
                <wp:positionH relativeFrom="column">
                  <wp:posOffset>3994785</wp:posOffset>
                </wp:positionH>
                <wp:positionV relativeFrom="paragraph">
                  <wp:posOffset>20955</wp:posOffset>
                </wp:positionV>
                <wp:extent cx="1547495" cy="24955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7495" cy="249555"/>
                        </a:xfrm>
                        <a:prstGeom prst="rect">
                          <a:avLst/>
                        </a:prstGeom>
                        <a:solidFill>
                          <a:srgbClr val="FFFFFF"/>
                        </a:solidFill>
                        <a:ln w="9525">
                          <a:noFill/>
                          <a:miter lim="800000"/>
                          <a:headEnd/>
                          <a:tailEnd/>
                        </a:ln>
                      </wps:spPr>
                      <wps:txbx>
                        <w:txbxContent>
                          <w:p w14:paraId="34F17177" w14:textId="77777777" w:rsidR="00F16569" w:rsidRPr="00863C3A" w:rsidRDefault="00F16569" w:rsidP="00B92A05">
                            <w:pPr>
                              <w:rPr>
                                <w:sz w:val="20"/>
                                <w:szCs w:val="20"/>
                              </w:rPr>
                            </w:pPr>
                            <w:r>
                              <w:rPr>
                                <w:sz w:val="20"/>
                                <w:szCs w:val="20"/>
                              </w:rPr>
                              <w:t>*</w:t>
                            </w:r>
                            <w:r w:rsidRPr="00863C3A">
                              <w:rPr>
                                <w:sz w:val="20"/>
                                <w:szCs w:val="20"/>
                              </w:rPr>
                              <w:t xml:space="preserve"> 1000</w:t>
                            </w:r>
                            <w:r>
                              <w:rPr>
                                <w:sz w:val="20"/>
                                <w:szCs w:val="20"/>
                              </w:rPr>
                              <w:t xml:space="preserve"> = incidence rate</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w14:anchorId="13E67F72" id="_x0000_t202" coordsize="21600,21600" o:spt="202" path="m,l,21600r21600,l21600,xe">
                <v:stroke joinstyle="miter"/>
                <v:path gradientshapeok="t" o:connecttype="rect"/>
              </v:shapetype>
              <v:shape id="Text Box 2" o:spid="_x0000_s1026" type="#_x0000_t202" style="position:absolute;margin-left:314.55pt;margin-top:1.65pt;width:121.85pt;height:19.6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" stroked="f">
                <v:textbox>
                  <w:txbxContent>
                    <w:p w14:paraId="34F17177" w14:textId="77777777" w:rsidR="00F16569" w:rsidRPr="00863C3A" w:rsidRDefault="00F16569" w:rsidP="00B92A05">
                      <w:pPr>
                        <w:rPr>
                          <w:sz w:val="20"/>
                          <w:szCs w:val="20"/>
                        </w:rPr>
                      </w:pPr>
                      <w:r>
                        <w:rPr>
                          <w:sz w:val="20"/>
                          <w:szCs w:val="20"/>
                        </w:rPr>
                        <w:t>*</w:t>
                      </w:r>
                      <w:r w:rsidRPr="00863C3A">
                        <w:rPr>
                          <w:sz w:val="20"/>
                          <w:szCs w:val="20"/>
                        </w:rPr>
                        <w:t xml:space="preserve"> 1000</w:t>
                      </w:r>
                      <w:r>
                        <w:rPr>
                          <w:sz w:val="20"/>
                          <w:szCs w:val="20"/>
                        </w:rPr>
                        <w:t xml:space="preserve"> = incidence rate</w:t>
                      </w:r>
                    </w:p>
                  </w:txbxContent>
                </v:textbox>
                <w10:wrap type="square"/>
              </v:shape>
            </w:pict>
          </mc:Fallback>
        </mc:AlternateContent>
      </w:r>
      <w:r w:rsidR="00BA4A28">
        <w:rPr>
          <w:sz w:val="24"/>
          <w:szCs w:val="24"/>
          <w:u w:val="single"/>
        </w:rPr>
        <w:t>Number</w:t>
      </w:r>
      <w:r w:rsidRPr="00D45F2C">
        <w:rPr>
          <w:sz w:val="24"/>
          <w:szCs w:val="24"/>
          <w:u w:val="single"/>
        </w:rPr>
        <w:t xml:space="preserve"> of new nosocomial infection occurring in one month       </w:t>
      </w:r>
    </w:p>
    <w:p w14:paraId="204A8023" w14:textId="77777777" w:rsidR="00B92A05" w:rsidRPr="00D45F2C" w:rsidRDefault="00B92A05" w:rsidP="00B92A05">
      <w:pPr>
        <w:spacing w:line="240" w:lineRule="auto"/>
        <w:rPr>
          <w:b/>
          <w:bCs/>
          <w:sz w:val="24"/>
          <w:szCs w:val="24"/>
        </w:rPr>
      </w:pPr>
      <w:r w:rsidRPr="00D45F2C">
        <w:rPr>
          <w:sz w:val="24"/>
          <w:szCs w:val="24"/>
        </w:rPr>
        <w:t xml:space="preserve">            number of resident days in the month </w:t>
      </w:r>
    </w:p>
    <w:p w14:paraId="65227868" w14:textId="77777777" w:rsidR="00B92A05" w:rsidRPr="00D45F2C" w:rsidRDefault="00B92A05" w:rsidP="00B92A05">
      <w:pPr>
        <w:spacing w:line="240" w:lineRule="auto"/>
        <w:rPr>
          <w:sz w:val="24"/>
          <w:szCs w:val="24"/>
        </w:rPr>
      </w:pPr>
      <w:r w:rsidRPr="00D45F2C">
        <w:rPr>
          <w:b/>
          <w:bCs/>
          <w:sz w:val="24"/>
          <w:szCs w:val="24"/>
        </w:rPr>
        <w:t xml:space="preserve">Projections: </w:t>
      </w:r>
      <w:r w:rsidRPr="00D45F2C">
        <w:rPr>
          <w:sz w:val="24"/>
          <w:szCs w:val="24"/>
        </w:rPr>
        <w:t>As the Proposed Project will result in the development of a new facility, the Applicant will provide baseline measures following one full year of operation.</w:t>
      </w:r>
    </w:p>
    <w:p w14:paraId="767228BC" w14:textId="77777777" w:rsidR="00B92A05" w:rsidRPr="00D45F2C" w:rsidRDefault="00B92A05" w:rsidP="00B92A05">
      <w:pPr>
        <w:spacing w:line="240" w:lineRule="auto"/>
        <w:rPr>
          <w:b/>
          <w:bCs/>
          <w:sz w:val="24"/>
          <w:szCs w:val="24"/>
        </w:rPr>
      </w:pPr>
      <w:r w:rsidRPr="00D45F2C">
        <w:rPr>
          <w:b/>
          <w:bCs/>
          <w:sz w:val="24"/>
          <w:szCs w:val="24"/>
        </w:rPr>
        <w:t>Monitoring:</w:t>
      </w:r>
      <w:r w:rsidRPr="00D45F2C">
        <w:rPr>
          <w:sz w:val="24"/>
          <w:szCs w:val="24"/>
        </w:rPr>
        <w:t xml:space="preserve"> The Applicant will report this data to DPH on an annual basis.</w:t>
      </w:r>
    </w:p>
    <w:p w14:paraId="1491B746" w14:textId="77777777" w:rsidR="00B92A05" w:rsidRPr="00D45F2C" w:rsidRDefault="00B92A05" w:rsidP="00B92A05">
      <w:pPr>
        <w:numPr>
          <w:ilvl w:val="0"/>
          <w:numId w:val="9"/>
        </w:numPr>
        <w:spacing w:line="240" w:lineRule="auto"/>
        <w:rPr>
          <w:sz w:val="24"/>
          <w:szCs w:val="24"/>
        </w:rPr>
      </w:pPr>
      <w:r w:rsidRPr="00D45F2C">
        <w:rPr>
          <w:b/>
          <w:bCs/>
          <w:sz w:val="24"/>
          <w:szCs w:val="24"/>
        </w:rPr>
        <w:t>Resident/Family Satisfaction –Cleanliness:</w:t>
      </w:r>
      <w:r w:rsidRPr="00D45F2C">
        <w:rPr>
          <w:sz w:val="24"/>
          <w:szCs w:val="24"/>
        </w:rPr>
        <w:t xml:space="preserve"> Residents that are satisfied with the cleanliness of a long-term care facility will have an improved quality of life. Due to the Green House model’s use of universal and consistent staff with responsibilities ranging from direct resident care to cooking and light cleaning, the Applicant anticipates resident satisfaction will improve. </w:t>
      </w:r>
    </w:p>
    <w:p w14:paraId="3530BF63" w14:textId="77777777" w:rsidR="00B92A05" w:rsidRPr="00D45F2C" w:rsidRDefault="00B92A05" w:rsidP="00B92A05">
      <w:pPr>
        <w:spacing w:line="240" w:lineRule="auto"/>
        <w:rPr>
          <w:sz w:val="24"/>
          <w:szCs w:val="24"/>
        </w:rPr>
      </w:pPr>
      <w:r w:rsidRPr="00D45F2C">
        <w:rPr>
          <w:b/>
          <w:bCs/>
          <w:sz w:val="24"/>
          <w:szCs w:val="24"/>
        </w:rPr>
        <w:t xml:space="preserve">Measure: </w:t>
      </w:r>
      <w:r w:rsidRPr="00D45F2C">
        <w:rPr>
          <w:sz w:val="24"/>
          <w:szCs w:val="24"/>
        </w:rPr>
        <w:t xml:space="preserve">The Applicant will measure resident experience and satisfaction specific to staffing and facility cleanliness via the Long-Stay Resident Instrument, the Discharged Resident Instrument, and the CAHPS Family Member Survey. </w:t>
      </w:r>
    </w:p>
    <w:p w14:paraId="2A2B1354" w14:textId="77777777" w:rsidR="00B92A05" w:rsidRPr="00D45F2C" w:rsidRDefault="00B92A05" w:rsidP="00B92A05">
      <w:pPr>
        <w:spacing w:line="240" w:lineRule="auto"/>
        <w:rPr>
          <w:sz w:val="24"/>
          <w:szCs w:val="24"/>
        </w:rPr>
      </w:pPr>
      <w:r w:rsidRPr="00D45F2C">
        <w:rPr>
          <w:b/>
          <w:bCs/>
          <w:sz w:val="24"/>
          <w:szCs w:val="24"/>
        </w:rPr>
        <w:t xml:space="preserve">Projections: </w:t>
      </w:r>
      <w:r w:rsidRPr="00D45F2C">
        <w:rPr>
          <w:sz w:val="24"/>
          <w:szCs w:val="24"/>
        </w:rPr>
        <w:t>As the Proposed Project will result in the development of a new facility, the Applicant will provide baseline measures following one full year of operation.</w:t>
      </w:r>
    </w:p>
    <w:p w14:paraId="5191599A" w14:textId="77777777" w:rsidR="00B92A05" w:rsidRPr="00D45F2C" w:rsidRDefault="00B92A05" w:rsidP="00B92A05">
      <w:pPr>
        <w:spacing w:line="240" w:lineRule="auto"/>
        <w:rPr>
          <w:sz w:val="24"/>
          <w:szCs w:val="24"/>
        </w:rPr>
      </w:pPr>
      <w:r w:rsidRPr="00D45F2C">
        <w:rPr>
          <w:b/>
          <w:bCs/>
          <w:sz w:val="24"/>
          <w:szCs w:val="24"/>
        </w:rPr>
        <w:lastRenderedPageBreak/>
        <w:t>Monitoring:</w:t>
      </w:r>
      <w:r w:rsidRPr="00D45F2C">
        <w:rPr>
          <w:sz w:val="24"/>
          <w:szCs w:val="24"/>
        </w:rPr>
        <w:t xml:space="preserve"> The Applicant will report this data to DPH on an annual basis.</w:t>
      </w:r>
    </w:p>
    <w:p w14:paraId="50274BDA" w14:textId="77777777" w:rsidR="00B92A05" w:rsidRPr="00D45F2C" w:rsidRDefault="00B92A05" w:rsidP="00B92A05">
      <w:pPr>
        <w:numPr>
          <w:ilvl w:val="0"/>
          <w:numId w:val="9"/>
        </w:numPr>
        <w:spacing w:line="240" w:lineRule="auto"/>
        <w:rPr>
          <w:sz w:val="24"/>
          <w:szCs w:val="24"/>
        </w:rPr>
      </w:pPr>
      <w:r w:rsidRPr="00D45F2C">
        <w:rPr>
          <w:b/>
          <w:bCs/>
          <w:sz w:val="24"/>
          <w:szCs w:val="24"/>
        </w:rPr>
        <w:t>Resident/Family Satisfaction – Staffing:</w:t>
      </w:r>
      <w:r w:rsidRPr="00D45F2C">
        <w:rPr>
          <w:sz w:val="24"/>
          <w:szCs w:val="24"/>
        </w:rPr>
        <w:t xml:space="preserve"> Residents that are satisfied with the staff at a long-term care facility often experience an improved quality of life. Due to the Green House model’s use of universal and consistent staff, the Applicant anticipates there will be enhanced communication and comfort among residents and staff. In turn, this will improve resident satisfaction. </w:t>
      </w:r>
    </w:p>
    <w:p w14:paraId="0E95BB0C" w14:textId="77777777" w:rsidR="00B92A05" w:rsidRPr="00D45F2C" w:rsidRDefault="00B92A05" w:rsidP="00B92A05">
      <w:pPr>
        <w:spacing w:line="240" w:lineRule="auto"/>
        <w:rPr>
          <w:b/>
          <w:bCs/>
          <w:sz w:val="24"/>
          <w:szCs w:val="24"/>
        </w:rPr>
      </w:pPr>
      <w:r w:rsidRPr="00D45F2C">
        <w:rPr>
          <w:b/>
          <w:bCs/>
          <w:sz w:val="24"/>
          <w:szCs w:val="24"/>
        </w:rPr>
        <w:t xml:space="preserve">Measure: </w:t>
      </w:r>
      <w:r w:rsidRPr="00D45F2C">
        <w:rPr>
          <w:sz w:val="24"/>
          <w:szCs w:val="24"/>
        </w:rPr>
        <w:t>The Applicant will measure resident experience and satisfaction specific to staffing at the facility via the AHRQ CAHPS Resident Member Survey scores.</w:t>
      </w:r>
      <w:r w:rsidRPr="00D45F2C">
        <w:rPr>
          <w:b/>
          <w:bCs/>
          <w:sz w:val="24"/>
          <w:szCs w:val="24"/>
        </w:rPr>
        <w:t xml:space="preserve"> </w:t>
      </w:r>
    </w:p>
    <w:p w14:paraId="21356E76" w14:textId="1E4BDC9B" w:rsidR="00B92A05" w:rsidRPr="00D45F2C" w:rsidRDefault="00B92A05" w:rsidP="00B92A05">
      <w:pPr>
        <w:spacing w:line="240" w:lineRule="auto"/>
        <w:rPr>
          <w:b/>
          <w:bCs/>
          <w:sz w:val="24"/>
          <w:szCs w:val="24"/>
        </w:rPr>
      </w:pPr>
      <w:r w:rsidRPr="00D45F2C">
        <w:rPr>
          <w:b/>
          <w:bCs/>
          <w:sz w:val="24"/>
          <w:szCs w:val="24"/>
        </w:rPr>
        <w:t xml:space="preserve">Projections: </w:t>
      </w:r>
      <w:r w:rsidRPr="00D45F2C">
        <w:rPr>
          <w:sz w:val="24"/>
          <w:szCs w:val="24"/>
        </w:rPr>
        <w:t>As the Proposed Project will result in the development of a new facility, the Applicant will provide baseline measures following one full year of operation.</w:t>
      </w:r>
    </w:p>
    <w:p w14:paraId="19DB7A10" w14:textId="77777777" w:rsidR="00B92A05" w:rsidRPr="00D45F2C" w:rsidRDefault="00B92A05" w:rsidP="00B92A05">
      <w:pPr>
        <w:spacing w:line="240" w:lineRule="auto"/>
        <w:rPr>
          <w:b/>
          <w:bCs/>
          <w:sz w:val="24"/>
          <w:szCs w:val="24"/>
        </w:rPr>
      </w:pPr>
      <w:r w:rsidRPr="00D45F2C">
        <w:rPr>
          <w:b/>
          <w:bCs/>
          <w:sz w:val="24"/>
          <w:szCs w:val="24"/>
        </w:rPr>
        <w:t xml:space="preserve">Monitoring: </w:t>
      </w:r>
      <w:r w:rsidRPr="00D45F2C">
        <w:rPr>
          <w:sz w:val="24"/>
          <w:szCs w:val="24"/>
        </w:rPr>
        <w:t>The Applicant will report this data to DPH on an annual basis.</w:t>
      </w:r>
    </w:p>
    <w:p w14:paraId="120FDDB0" w14:textId="50D042CD" w:rsidR="00725485" w:rsidRDefault="00725485">
      <w:pPr>
        <w:rPr>
          <w:color w:val="1F4E79" w:themeColor="accent5" w:themeShade="80"/>
          <w:sz w:val="24"/>
          <w:szCs w:val="24"/>
        </w:rPr>
      </w:pPr>
      <w:r>
        <w:rPr>
          <w:color w:val="1F4E79" w:themeColor="accent5" w:themeShade="80"/>
          <w:sz w:val="24"/>
          <w:szCs w:val="24"/>
        </w:rPr>
        <w:br w:type="page"/>
      </w:r>
    </w:p>
    <w:p w14:paraId="609F996C" w14:textId="067A1F47" w:rsidR="00B92A05" w:rsidRPr="00725485" w:rsidRDefault="00725485" w:rsidP="00725485">
      <w:pPr>
        <w:pStyle w:val="Heading1"/>
        <w:rPr>
          <w:rFonts w:asciiTheme="minorHAnsi" w:hAnsiTheme="minorHAnsi" w:cstheme="minorHAnsi"/>
          <w:color w:val="1F4E79" w:themeColor="accent5" w:themeShade="80"/>
        </w:rPr>
      </w:pPr>
      <w:bookmarkStart w:id="37" w:name="_Toc129354655"/>
      <w:r w:rsidRPr="00725485">
        <w:rPr>
          <w:rFonts w:asciiTheme="minorHAnsi" w:hAnsiTheme="minorHAnsi" w:cstheme="minorHAnsi"/>
          <w:color w:val="1F4E79" w:themeColor="accent5" w:themeShade="80"/>
        </w:rPr>
        <w:lastRenderedPageBreak/>
        <w:t>Endnotes</w:t>
      </w:r>
      <w:bookmarkEnd w:id="37"/>
    </w:p>
    <w:sectPr w:rsidR="00B92A05" w:rsidRPr="00725485" w:rsidSect="00725485">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79DFD" w14:textId="77777777" w:rsidR="003E299F" w:rsidRDefault="003E299F" w:rsidP="00730574">
      <w:pPr>
        <w:spacing w:after="0" w:line="240" w:lineRule="auto"/>
      </w:pPr>
      <w:r>
        <w:separator/>
      </w:r>
    </w:p>
  </w:endnote>
  <w:endnote w:type="continuationSeparator" w:id="0">
    <w:p w14:paraId="3F573318" w14:textId="77777777" w:rsidR="003E299F" w:rsidRDefault="003E299F" w:rsidP="00730574">
      <w:pPr>
        <w:spacing w:after="0" w:line="240" w:lineRule="auto"/>
      </w:pPr>
      <w:r>
        <w:continuationSeparator/>
      </w:r>
    </w:p>
  </w:endnote>
  <w:endnote w:id="1">
    <w:p w14:paraId="277A211F" w14:textId="77777777" w:rsidR="00BC3668" w:rsidRDefault="00BC3668" w:rsidP="00BC3668">
      <w:pPr>
        <w:pStyle w:val="EndnoteText"/>
      </w:pPr>
      <w:r>
        <w:rPr>
          <w:rStyle w:val="EndnoteReference"/>
        </w:rPr>
        <w:endnoteRef/>
      </w:r>
      <w:r>
        <w:t xml:space="preserve"> </w:t>
      </w:r>
      <w:hyperlink r:id="rId1" w:history="1">
        <w:r w:rsidRPr="00BC0A93">
          <w:rPr>
            <w:rStyle w:val="Hyperlink"/>
          </w:rPr>
          <w:t>https://thegreenhouseproject.org/our-story/history/</w:t>
        </w:r>
      </w:hyperlink>
      <w:r>
        <w:t xml:space="preserve"> </w:t>
      </w:r>
    </w:p>
  </w:endnote>
  <w:endnote w:id="2">
    <w:p w14:paraId="1355780F" w14:textId="77777777" w:rsidR="00BC3668" w:rsidRPr="00B77BCA" w:rsidRDefault="00BC3668" w:rsidP="00BC3668">
      <w:pPr>
        <w:pStyle w:val="EndnoteText"/>
        <w:rPr>
          <w:i/>
          <w:iCs/>
        </w:rPr>
      </w:pPr>
      <w:r>
        <w:rPr>
          <w:rStyle w:val="EndnoteReference"/>
        </w:rPr>
        <w:endnoteRef/>
      </w:r>
      <w:r>
        <w:t xml:space="preserve"> </w:t>
      </w:r>
      <w:r>
        <w:rPr>
          <w:i/>
          <w:iCs/>
        </w:rPr>
        <w:t xml:space="preserve">Id. </w:t>
      </w:r>
    </w:p>
  </w:endnote>
  <w:endnote w:id="3">
    <w:p w14:paraId="15712D97" w14:textId="77777777" w:rsidR="0046052E" w:rsidRPr="00F37B22" w:rsidRDefault="0046052E" w:rsidP="0046052E">
      <w:pPr>
        <w:pStyle w:val="EndnoteText"/>
        <w:rPr>
          <w:i/>
          <w:iCs/>
        </w:rPr>
      </w:pPr>
      <w:r>
        <w:rPr>
          <w:rStyle w:val="EndnoteReference"/>
        </w:rPr>
        <w:endnoteRef/>
      </w:r>
      <w:r>
        <w:t xml:space="preserve"> </w:t>
      </w:r>
      <w:r>
        <w:rPr>
          <w:i/>
          <w:iCs/>
        </w:rPr>
        <w:t xml:space="preserve">Id. </w:t>
      </w:r>
    </w:p>
  </w:endnote>
  <w:endnote w:id="4">
    <w:p w14:paraId="4778C334" w14:textId="593754EE" w:rsidR="00426A89" w:rsidRDefault="00426A89" w:rsidP="00426A89">
      <w:pPr>
        <w:pStyle w:val="EndnoteText"/>
      </w:pPr>
      <w:r>
        <w:rPr>
          <w:rStyle w:val="EndnoteReference"/>
        </w:rPr>
        <w:endnoteRef/>
      </w:r>
      <w:r>
        <w:t xml:space="preserve"> Richard W. Johnson, </w:t>
      </w:r>
      <w:r w:rsidRPr="00ED4F4F">
        <w:rPr>
          <w:smallCaps/>
        </w:rPr>
        <w:t>U.S Dep’t of Health and Human Services</w:t>
      </w:r>
      <w:r w:rsidRPr="001E1B3E">
        <w:rPr>
          <w:color w:val="000000" w:themeColor="text1"/>
        </w:rPr>
        <w:t xml:space="preserve">, </w:t>
      </w:r>
      <w:hyperlink r:id="rId2" w:history="1">
        <w:r w:rsidRPr="001E1B3E">
          <w:rPr>
            <w:rStyle w:val="Hyperlink"/>
            <w:i/>
            <w:iCs/>
            <w:color w:val="000000" w:themeColor="text1"/>
            <w:u w:val="none"/>
          </w:rPr>
          <w:t>Research Brief: What is the Lifetime Risk of Needing and Receiving Long-Term Services and Supports</w:t>
        </w:r>
      </w:hyperlink>
      <w:r w:rsidRPr="001E1B3E">
        <w:rPr>
          <w:color w:val="000000" w:themeColor="text1"/>
        </w:rPr>
        <w:t xml:space="preserve"> (</w:t>
      </w:r>
      <w:r>
        <w:t xml:space="preserve">April 2019), </w:t>
      </w:r>
      <w:r w:rsidRPr="00ED4F4F">
        <w:rPr>
          <w:i/>
          <w:iCs/>
        </w:rPr>
        <w:t>available at</w:t>
      </w:r>
      <w:r>
        <w:t xml:space="preserve"> </w:t>
      </w:r>
      <w:hyperlink r:id="rId3" w:history="1">
        <w:r w:rsidR="0037759E" w:rsidRPr="00CB3679">
          <w:rPr>
            <w:rStyle w:val="Hyperlink"/>
          </w:rPr>
          <w:t>https://aspe.hhs.gov/system/files/pdf/261036/LifetimeRisk.pdf</w:t>
        </w:r>
      </w:hyperlink>
      <w:r w:rsidR="0037759E">
        <w:t xml:space="preserve"> </w:t>
      </w:r>
      <w:r>
        <w:t>.</w:t>
      </w:r>
    </w:p>
  </w:endnote>
  <w:endnote w:id="5">
    <w:p w14:paraId="313731D9" w14:textId="2260FCAB" w:rsidR="00E838A0" w:rsidRDefault="00E838A0" w:rsidP="00867C78">
      <w:pPr>
        <w:pStyle w:val="EndnoteText"/>
      </w:pPr>
      <w:r>
        <w:rPr>
          <w:rStyle w:val="EndnoteReference"/>
        </w:rPr>
        <w:endnoteRef/>
      </w:r>
      <w:r>
        <w:t xml:space="preserve"> </w:t>
      </w:r>
      <w:r w:rsidRPr="00A23587">
        <w:rPr>
          <w:smallCaps/>
        </w:rPr>
        <w:t xml:space="preserve">Healthy Aging Martha’s Vineyard, </w:t>
      </w:r>
      <w:hyperlink r:id="rId4" w:history="1">
        <w:r w:rsidRPr="004A00FF">
          <w:rPr>
            <w:rStyle w:val="Hyperlink"/>
            <w:smallCaps/>
            <w:color w:val="000000" w:themeColor="text1"/>
            <w:u w:val="none"/>
          </w:rPr>
          <w:t>Executive Summary: Feasibility Analysis for Green House Homes</w:t>
        </w:r>
      </w:hyperlink>
      <w:r w:rsidRPr="004A00FF">
        <w:rPr>
          <w:color w:val="000000" w:themeColor="text1"/>
        </w:rPr>
        <w:t xml:space="preserve">, </w:t>
      </w:r>
      <w:r w:rsidRPr="00A23587">
        <w:rPr>
          <w:i/>
          <w:iCs/>
        </w:rPr>
        <w:t>available at</w:t>
      </w:r>
      <w:r w:rsidRPr="00A23587">
        <w:t xml:space="preserve"> </w:t>
      </w:r>
      <w:hyperlink r:id="rId5" w:history="1">
        <w:r w:rsidR="00923C3B" w:rsidRPr="00CB3679">
          <w:rPr>
            <w:rStyle w:val="Hyperlink"/>
          </w:rPr>
          <w:t>https://528f089c-7142-4ab5-bda8-77b11ee6385f.filesusr.com/ugd/c951bb_baaab436c32d4c64a789f41972298e6e.pdf</w:t>
        </w:r>
      </w:hyperlink>
      <w:r w:rsidR="00923C3B">
        <w:t xml:space="preserve"> </w:t>
      </w:r>
      <w:r w:rsidRPr="00A23587">
        <w:t>.</w:t>
      </w:r>
    </w:p>
  </w:endnote>
  <w:endnote w:id="6">
    <w:p w14:paraId="2D8023A8" w14:textId="77777777" w:rsidR="00E838A0" w:rsidRDefault="00E838A0" w:rsidP="00867C78">
      <w:pPr>
        <w:pStyle w:val="EndnoteText"/>
      </w:pPr>
      <w:r>
        <w:rPr>
          <w:rStyle w:val="EndnoteReference"/>
        </w:rPr>
        <w:endnoteRef/>
      </w:r>
      <w:r>
        <w:t xml:space="preserve"> </w:t>
      </w:r>
      <w:r w:rsidRPr="00EF21CA">
        <w:rPr>
          <w:i/>
          <w:iCs/>
        </w:rPr>
        <w:t>Id.</w:t>
      </w:r>
    </w:p>
  </w:endnote>
  <w:endnote w:id="7">
    <w:p w14:paraId="0255027A" w14:textId="77777777" w:rsidR="00E838A0" w:rsidRDefault="00E838A0" w:rsidP="00730574">
      <w:pPr>
        <w:pStyle w:val="EndnoteText"/>
        <w:rPr>
          <w:szCs w:val="18"/>
        </w:rPr>
      </w:pPr>
      <w:r>
        <w:rPr>
          <w:rStyle w:val="EndnoteReference"/>
          <w:szCs w:val="18"/>
        </w:rPr>
        <w:endnoteRef/>
      </w:r>
      <w:r>
        <w:rPr>
          <w:szCs w:val="18"/>
        </w:rPr>
        <w:t xml:space="preserve"> </w:t>
      </w:r>
      <w:r>
        <w:rPr>
          <w:rFonts w:eastAsia="Times New Roman" w:cs="Arial"/>
          <w:color w:val="0F0F0F"/>
          <w:szCs w:val="18"/>
        </w:rPr>
        <w:t xml:space="preserve">Economic Policy Institute. Nantucket County was identified as the other most expensive metropolitan area. </w:t>
      </w:r>
    </w:p>
  </w:endnote>
  <w:endnote w:id="8">
    <w:p w14:paraId="124CA59D" w14:textId="77777777" w:rsidR="00E838A0" w:rsidRDefault="00E838A0" w:rsidP="00730574">
      <w:pPr>
        <w:pStyle w:val="EndnoteText"/>
        <w:rPr>
          <w:szCs w:val="18"/>
        </w:rPr>
      </w:pPr>
      <w:r>
        <w:rPr>
          <w:rStyle w:val="EndnoteReference"/>
          <w:szCs w:val="18"/>
        </w:rPr>
        <w:endnoteRef/>
      </w:r>
      <w:r>
        <w:rPr>
          <w:szCs w:val="18"/>
        </w:rPr>
        <w:t xml:space="preserve"> </w:t>
      </w:r>
      <w:r>
        <w:rPr>
          <w:rFonts w:eastAsia="Times New Roman" w:cs="Arial"/>
          <w:color w:val="0F0F0F"/>
          <w:szCs w:val="18"/>
        </w:rPr>
        <w:t>Economic Policy Institute</w:t>
      </w:r>
    </w:p>
  </w:endnote>
  <w:endnote w:id="9">
    <w:p w14:paraId="4036427C" w14:textId="77777777" w:rsidR="00C543D8" w:rsidRPr="00E838A0" w:rsidRDefault="00C543D8" w:rsidP="00C543D8">
      <w:pPr>
        <w:autoSpaceDE w:val="0"/>
        <w:autoSpaceDN w:val="0"/>
        <w:adjustRightInd w:val="0"/>
        <w:spacing w:after="0"/>
        <w:rPr>
          <w:rFonts w:eastAsia="Times New Roman" w:cs="Arial"/>
          <w:color w:val="0E0E0E"/>
          <w:sz w:val="20"/>
          <w:szCs w:val="20"/>
        </w:rPr>
      </w:pPr>
      <w:r w:rsidRPr="00E838A0">
        <w:rPr>
          <w:rStyle w:val="EndnoteReference"/>
          <w:sz w:val="20"/>
          <w:szCs w:val="20"/>
        </w:rPr>
        <w:endnoteRef/>
      </w:r>
      <w:r w:rsidRPr="00E838A0">
        <w:rPr>
          <w:sz w:val="20"/>
          <w:szCs w:val="20"/>
        </w:rPr>
        <w:t xml:space="preserve"> </w:t>
      </w:r>
      <w:r w:rsidRPr="00E838A0">
        <w:rPr>
          <w:rFonts w:eastAsia="Times New Roman" w:cs="Arial"/>
          <w:color w:val="0E0E0E"/>
          <w:sz w:val="20"/>
          <w:szCs w:val="20"/>
        </w:rPr>
        <w:t>Nursing Home Data Compendium, 2015 Edition</w:t>
      </w:r>
      <w:r w:rsidRPr="00E838A0">
        <w:rPr>
          <w:rFonts w:eastAsia="Times New Roman" w:cs="Arial"/>
          <w:color w:val="3E3E3E"/>
          <w:sz w:val="20"/>
          <w:szCs w:val="20"/>
        </w:rPr>
        <w:t xml:space="preserve">, </w:t>
      </w:r>
      <w:r w:rsidRPr="00E838A0">
        <w:rPr>
          <w:rFonts w:eastAsia="Times New Roman" w:cs="Arial"/>
          <w:color w:val="0E0E0E"/>
          <w:sz w:val="20"/>
          <w:szCs w:val="20"/>
        </w:rPr>
        <w:t xml:space="preserve">published by CMS (the 2015 Edition is the most </w:t>
      </w:r>
      <w:r w:rsidRPr="00E838A0">
        <w:rPr>
          <w:rFonts w:eastAsia="Times New Roman" w:cs="Arial"/>
          <w:color w:val="262626"/>
          <w:sz w:val="20"/>
          <w:szCs w:val="20"/>
        </w:rPr>
        <w:t xml:space="preserve">current </w:t>
      </w:r>
      <w:r w:rsidRPr="00E838A0">
        <w:rPr>
          <w:rFonts w:eastAsia="Times New Roman" w:cs="Arial"/>
          <w:color w:val="0E0E0E"/>
          <w:sz w:val="20"/>
          <w:szCs w:val="20"/>
        </w:rPr>
        <w:t>version</w:t>
      </w:r>
    </w:p>
    <w:p w14:paraId="7CA165E3" w14:textId="77777777" w:rsidR="00C543D8" w:rsidRPr="000B1C1E" w:rsidRDefault="00C543D8" w:rsidP="00C543D8">
      <w:pPr>
        <w:pStyle w:val="EndnoteText"/>
        <w:rPr>
          <w:color w:val="000000" w:themeColor="text1"/>
        </w:rPr>
      </w:pPr>
      <w:r>
        <w:rPr>
          <w:rFonts w:eastAsia="Times New Roman" w:cs="Arial"/>
          <w:color w:val="0E0E0E"/>
          <w:szCs w:val="18"/>
        </w:rPr>
        <w:t>of this annually produced document)</w:t>
      </w:r>
    </w:p>
  </w:endnote>
  <w:endnote w:id="10">
    <w:p w14:paraId="7C5B1211" w14:textId="04452D08" w:rsidR="00C516EA" w:rsidRDefault="00C516EA" w:rsidP="00C516EA">
      <w:pPr>
        <w:pStyle w:val="EndnoteText"/>
      </w:pPr>
      <w:r w:rsidRPr="000B1C1E">
        <w:rPr>
          <w:rStyle w:val="EndnoteReference"/>
          <w:color w:val="000000" w:themeColor="text1"/>
        </w:rPr>
        <w:endnoteRef/>
      </w:r>
      <w:r w:rsidRPr="000B1C1E">
        <w:rPr>
          <w:color w:val="000000" w:themeColor="text1"/>
        </w:rPr>
        <w:t xml:space="preserve"> Christopher C. Afendulis et al., </w:t>
      </w:r>
      <w:hyperlink r:id="rId6" w:history="1">
        <w:r w:rsidRPr="000B1C1E">
          <w:rPr>
            <w:rStyle w:val="Hyperlink"/>
            <w:i/>
            <w:iCs/>
            <w:color w:val="000000" w:themeColor="text1"/>
            <w:u w:val="none"/>
          </w:rPr>
          <w:t>Green House Adoption and Nursing Home Quality</w:t>
        </w:r>
      </w:hyperlink>
      <w:r w:rsidRPr="000B1C1E">
        <w:rPr>
          <w:color w:val="000000" w:themeColor="text1"/>
        </w:rPr>
        <w:t xml:space="preserve">, </w:t>
      </w:r>
      <w:r>
        <w:t xml:space="preserve">51 </w:t>
      </w:r>
      <w:r w:rsidRPr="00A833E3">
        <w:rPr>
          <w:smallCaps/>
        </w:rPr>
        <w:t>Health Services Research: Special Issue – Green House Model of Nursing Home Care</w:t>
      </w:r>
      <w:r>
        <w:t xml:space="preserve"> 455, 467 (Feb. 2016), </w:t>
      </w:r>
      <w:r w:rsidRPr="00A833E3">
        <w:rPr>
          <w:i/>
          <w:iCs/>
        </w:rPr>
        <w:t>available at</w:t>
      </w:r>
      <w:r>
        <w:t xml:space="preserve"> </w:t>
      </w:r>
      <w:hyperlink r:id="rId7" w:history="1">
        <w:r w:rsidR="00F639A1" w:rsidRPr="00CB3679">
          <w:rPr>
            <w:rStyle w:val="Hyperlink"/>
          </w:rPr>
          <w:t>https://www.ncbi.nlm.nih.gov/pmc/articles/PMC5338208/pdf/HESR-51-454.pdf</w:t>
        </w:r>
      </w:hyperlink>
      <w:r w:rsidR="00F639A1">
        <w:t xml:space="preserve"> </w:t>
      </w:r>
      <w:r>
        <w:t xml:space="preserve">. </w:t>
      </w:r>
      <w:r w:rsidRPr="00762300">
        <w:t>DOI: 10.1111/1475-6773.12436</w:t>
      </w:r>
      <w:r>
        <w:t xml:space="preserve"> </w:t>
      </w:r>
    </w:p>
  </w:endnote>
  <w:endnote w:id="11">
    <w:p w14:paraId="4CD11913" w14:textId="77777777" w:rsidR="00C516EA" w:rsidRDefault="00C516EA" w:rsidP="00C516EA">
      <w:pPr>
        <w:pStyle w:val="EndnoteText"/>
      </w:pPr>
      <w:r>
        <w:rPr>
          <w:rStyle w:val="EndnoteReference"/>
        </w:rPr>
        <w:endnoteRef/>
      </w:r>
      <w:r>
        <w:t xml:space="preserve"> </w:t>
      </w:r>
      <w:r w:rsidRPr="004A4048">
        <w:rPr>
          <w:i/>
          <w:iCs/>
        </w:rPr>
        <w:t>Id.</w:t>
      </w:r>
      <w:r>
        <w:t xml:space="preserve"> </w:t>
      </w:r>
    </w:p>
  </w:endnote>
  <w:endnote w:id="12">
    <w:p w14:paraId="0CBBD455" w14:textId="77777777" w:rsidR="00C516EA" w:rsidRDefault="00C516EA" w:rsidP="00C516EA">
      <w:pPr>
        <w:pStyle w:val="EndnoteText"/>
      </w:pPr>
      <w:r>
        <w:rPr>
          <w:rStyle w:val="EndnoteReference"/>
        </w:rPr>
        <w:endnoteRef/>
      </w:r>
      <w:r>
        <w:t xml:space="preserve"> </w:t>
      </w:r>
      <w:r w:rsidRPr="00A833E3">
        <w:rPr>
          <w:i/>
          <w:iCs/>
        </w:rPr>
        <w:t>Id.</w:t>
      </w:r>
      <w:r>
        <w:t xml:space="preserve"> at 468. </w:t>
      </w:r>
    </w:p>
  </w:endnote>
  <w:endnote w:id="13">
    <w:p w14:paraId="1CCD7FF9" w14:textId="6C0F9C41" w:rsidR="00C516EA" w:rsidRDefault="00C516EA" w:rsidP="00C516EA">
      <w:pPr>
        <w:pStyle w:val="EndnoteText"/>
      </w:pPr>
      <w:r>
        <w:rPr>
          <w:rStyle w:val="EndnoteReference"/>
        </w:rPr>
        <w:endnoteRef/>
      </w:r>
      <w:r>
        <w:t xml:space="preserve"> </w:t>
      </w:r>
      <w:r w:rsidRPr="00A833E3">
        <w:rPr>
          <w:i/>
          <w:iCs/>
        </w:rPr>
        <w:t>Id.</w:t>
      </w:r>
      <w:r>
        <w:t xml:space="preserve"> at 469; Barbara Bowers et al.,</w:t>
      </w:r>
      <w:r w:rsidRPr="000B1C1E">
        <w:rPr>
          <w:color w:val="000000" w:themeColor="text1"/>
        </w:rPr>
        <w:t xml:space="preserve"> </w:t>
      </w:r>
      <w:hyperlink r:id="rId8" w:history="1">
        <w:r w:rsidRPr="000B1C1E">
          <w:rPr>
            <w:rStyle w:val="Hyperlink"/>
            <w:i/>
            <w:iCs/>
            <w:color w:val="000000" w:themeColor="text1"/>
            <w:u w:val="none"/>
          </w:rPr>
          <w:t>Inside the Green House “Black Box”: Opportunities for High-Quality Clinical Decision Making</w:t>
        </w:r>
      </w:hyperlink>
      <w:r w:rsidRPr="000B1C1E">
        <w:rPr>
          <w:color w:val="000000" w:themeColor="text1"/>
        </w:rPr>
        <w:t xml:space="preserve">, </w:t>
      </w:r>
      <w:r>
        <w:t xml:space="preserve">51 </w:t>
      </w:r>
      <w:r w:rsidRPr="00AA109B">
        <w:rPr>
          <w:smallCaps/>
        </w:rPr>
        <w:t>Health Services Research: Special Issue – Green House Model of Nursing Home Care</w:t>
      </w:r>
      <w:r>
        <w:t xml:space="preserve"> 378 (Feb. 2016), </w:t>
      </w:r>
      <w:r w:rsidRPr="00A833E3">
        <w:rPr>
          <w:i/>
          <w:iCs/>
        </w:rPr>
        <w:t>available at</w:t>
      </w:r>
      <w:r>
        <w:t xml:space="preserve"> </w:t>
      </w:r>
      <w:hyperlink r:id="rId9" w:history="1">
        <w:r w:rsidR="000B1C1E" w:rsidRPr="00CB3679">
          <w:rPr>
            <w:rStyle w:val="Hyperlink"/>
          </w:rPr>
          <w:t>https://www.ncbi.nlm.nih.gov/pmc/articles/PMC4939731/pdf/HESR-51-378.pdf</w:t>
        </w:r>
      </w:hyperlink>
      <w:r w:rsidR="000B1C1E">
        <w:t xml:space="preserve"> </w:t>
      </w:r>
      <w:r>
        <w:t xml:space="preserve">. </w:t>
      </w:r>
      <w:r w:rsidRPr="0033183A">
        <w:t>DOI: 10.1111/1475-6773.12427</w:t>
      </w:r>
      <w:r>
        <w:t xml:space="preserve">; Sheryl Zimmerman et al., </w:t>
      </w:r>
      <w:hyperlink r:id="rId10" w:history="1">
        <w:r w:rsidRPr="007D3EE7">
          <w:rPr>
            <w:rStyle w:val="Hyperlink"/>
            <w:i/>
            <w:iCs/>
            <w:color w:val="000000" w:themeColor="text1"/>
            <w:u w:val="none"/>
          </w:rPr>
          <w:t>New Evidence on the Green House Model of Nursing Home Care: Synthesis of Findings and Implications for Policy, Practice, and Research</w:t>
        </w:r>
      </w:hyperlink>
      <w:r w:rsidRPr="007D3EE7">
        <w:rPr>
          <w:color w:val="000000" w:themeColor="text1"/>
        </w:rPr>
        <w:t xml:space="preserve">, </w:t>
      </w:r>
      <w:r>
        <w:t xml:space="preserve">51 </w:t>
      </w:r>
      <w:r w:rsidRPr="00AA109B">
        <w:rPr>
          <w:smallCaps/>
        </w:rPr>
        <w:t>Health Services Research: Special Issue – Green House Model of Nursing Home Care</w:t>
      </w:r>
      <w:r>
        <w:t xml:space="preserve"> 475, 483 (Feb. 2016), </w:t>
      </w:r>
      <w:r w:rsidRPr="00A833E3">
        <w:rPr>
          <w:i/>
          <w:iCs/>
        </w:rPr>
        <w:t>available at</w:t>
      </w:r>
      <w:r>
        <w:t xml:space="preserve"> </w:t>
      </w:r>
      <w:hyperlink r:id="rId11" w:history="1">
        <w:r w:rsidR="007D3EE7" w:rsidRPr="00CB3679">
          <w:rPr>
            <w:rStyle w:val="Hyperlink"/>
          </w:rPr>
          <w:t>https://www.ncbi.nlm.nih.gov/pmc/articles/PMC5338207/pdf/HESR-51-475.pdf</w:t>
        </w:r>
      </w:hyperlink>
      <w:r w:rsidR="007D3EE7">
        <w:t xml:space="preserve"> </w:t>
      </w:r>
      <w:r>
        <w:t xml:space="preserve">. DOI: </w:t>
      </w:r>
      <w:r w:rsidRPr="00936E4F">
        <w:t>10.1111/1475-6773.12430</w:t>
      </w:r>
      <w:r>
        <w:t xml:space="preserve">. </w:t>
      </w:r>
    </w:p>
  </w:endnote>
  <w:endnote w:id="14">
    <w:p w14:paraId="12B324B0" w14:textId="5E8CAC84" w:rsidR="00C516EA" w:rsidRDefault="00C516EA" w:rsidP="00C516EA">
      <w:pPr>
        <w:pStyle w:val="EndnoteText"/>
      </w:pPr>
      <w:r>
        <w:rPr>
          <w:rStyle w:val="EndnoteReference"/>
        </w:rPr>
        <w:endnoteRef/>
      </w:r>
      <w:r>
        <w:t xml:space="preserve"> Bowers et al., </w:t>
      </w:r>
      <w:r w:rsidRPr="00AA109B">
        <w:rPr>
          <w:i/>
          <w:iCs/>
        </w:rPr>
        <w:t>supra</w:t>
      </w:r>
      <w:r>
        <w:t xml:space="preserve"> note</w:t>
      </w:r>
      <w:r w:rsidR="00EE61C0">
        <w:t xml:space="preserve"> xiii</w:t>
      </w:r>
      <w:r>
        <w:t xml:space="preserve">, at 385. </w:t>
      </w:r>
    </w:p>
  </w:endnote>
  <w:endnote w:id="15">
    <w:p w14:paraId="7D93345F" w14:textId="17B563B3" w:rsidR="00C516EA" w:rsidRDefault="00C516EA" w:rsidP="00C516EA">
      <w:pPr>
        <w:pStyle w:val="EndnoteText"/>
      </w:pPr>
      <w:r>
        <w:rPr>
          <w:rStyle w:val="EndnoteReference"/>
        </w:rPr>
        <w:endnoteRef/>
      </w:r>
      <w:r>
        <w:t xml:space="preserve"> Afendulis et al., </w:t>
      </w:r>
      <w:r w:rsidRPr="00A833E3">
        <w:rPr>
          <w:i/>
          <w:iCs/>
        </w:rPr>
        <w:t>supra</w:t>
      </w:r>
      <w:r>
        <w:t xml:space="preserve"> note </w:t>
      </w:r>
      <w:r w:rsidR="002F32FB">
        <w:t>x</w:t>
      </w:r>
      <w:r>
        <w:t xml:space="preserve">, at 469-70. </w:t>
      </w:r>
    </w:p>
  </w:endnote>
  <w:endnote w:id="16">
    <w:p w14:paraId="134D28CF" w14:textId="29C0EB96" w:rsidR="00C516EA" w:rsidRDefault="00C516EA" w:rsidP="00C516EA">
      <w:pPr>
        <w:pStyle w:val="EndnoteText"/>
      </w:pPr>
      <w:r>
        <w:rPr>
          <w:rStyle w:val="EndnoteReference"/>
        </w:rPr>
        <w:endnoteRef/>
      </w:r>
      <w:r>
        <w:t xml:space="preserve"> </w:t>
      </w:r>
      <w:hyperlink r:id="rId12" w:history="1">
        <w:r w:rsidRPr="0038375A">
          <w:rPr>
            <w:rStyle w:val="Hyperlink"/>
            <w:color w:val="000000" w:themeColor="text1"/>
            <w:u w:val="none"/>
          </w:rPr>
          <w:t>Massachusetts Department of Public Health COVID-19 Dashboard</w:t>
        </w:r>
      </w:hyperlink>
      <w:r w:rsidRPr="0038375A">
        <w:rPr>
          <w:color w:val="000000" w:themeColor="text1"/>
        </w:rPr>
        <w:t xml:space="preserve"> (October </w:t>
      </w:r>
      <w:r>
        <w:t xml:space="preserve">8, 2020), </w:t>
      </w:r>
      <w:r w:rsidRPr="00E25CDF">
        <w:rPr>
          <w:i/>
          <w:iCs/>
        </w:rPr>
        <w:t>available at</w:t>
      </w:r>
      <w:r>
        <w:t xml:space="preserve"> </w:t>
      </w:r>
      <w:hyperlink r:id="rId13" w:history="1">
        <w:r w:rsidR="0038375A" w:rsidRPr="00CB3679">
          <w:rPr>
            <w:rStyle w:val="Hyperlink"/>
          </w:rPr>
          <w:t>https://www.mass.gov/doc/covid-19-dashboard-october-8-2020/download</w:t>
        </w:r>
      </w:hyperlink>
      <w:r w:rsidR="0038375A">
        <w:t xml:space="preserve"> </w:t>
      </w:r>
      <w:r>
        <w:t xml:space="preserve">. </w:t>
      </w:r>
    </w:p>
  </w:endnote>
  <w:endnote w:id="17">
    <w:p w14:paraId="12235043" w14:textId="6CF0EF11" w:rsidR="00C516EA" w:rsidRDefault="00C516EA" w:rsidP="00C516EA">
      <w:pPr>
        <w:pStyle w:val="EndnoteText"/>
      </w:pPr>
      <w:r>
        <w:rPr>
          <w:rStyle w:val="EndnoteReference"/>
        </w:rPr>
        <w:endnoteRef/>
      </w:r>
      <w:r>
        <w:t xml:space="preserve"> </w:t>
      </w:r>
      <w:r w:rsidRPr="00595F32">
        <w:t xml:space="preserve">Joseph G. Ouslander, MD &amp; David C. Grabowski, PhD, </w:t>
      </w:r>
      <w:hyperlink r:id="rId14" w:history="1">
        <w:r w:rsidRPr="0038375A">
          <w:rPr>
            <w:rStyle w:val="Hyperlink"/>
            <w:i/>
            <w:iCs/>
            <w:color w:val="000000" w:themeColor="text1"/>
            <w:u w:val="none"/>
          </w:rPr>
          <w:t>COVID-19 in Nursing Homes: Calming the Perfect Storm</w:t>
        </w:r>
        <w:r w:rsidRPr="0038375A">
          <w:rPr>
            <w:rStyle w:val="Hyperlink"/>
            <w:color w:val="000000" w:themeColor="text1"/>
            <w:u w:val="none"/>
          </w:rPr>
          <w:t>,</w:t>
        </w:r>
      </w:hyperlink>
      <w:r w:rsidRPr="0038375A">
        <w:rPr>
          <w:color w:val="000000" w:themeColor="text1"/>
        </w:rPr>
        <w:t xml:space="preserve"> </w:t>
      </w:r>
      <w:r w:rsidRPr="0038375A">
        <w:rPr>
          <w:smallCaps/>
          <w:color w:val="000000" w:themeColor="text1"/>
        </w:rPr>
        <w:t xml:space="preserve">J. </w:t>
      </w:r>
      <w:r w:rsidRPr="007845BE">
        <w:rPr>
          <w:smallCaps/>
        </w:rPr>
        <w:t>Am. Geriatrics Soc’y</w:t>
      </w:r>
      <w:r w:rsidRPr="00595F32">
        <w:t xml:space="preserve"> 2 (</w:t>
      </w:r>
      <w:r>
        <w:t xml:space="preserve">July 31, </w:t>
      </w:r>
      <w:r w:rsidRPr="00595F32">
        <w:t>2020)</w:t>
      </w:r>
      <w:r>
        <w:t xml:space="preserve">, </w:t>
      </w:r>
      <w:hyperlink r:id="rId15" w:history="1">
        <w:r w:rsidR="0038375A" w:rsidRPr="00CB3679">
          <w:rPr>
            <w:rStyle w:val="Hyperlink"/>
          </w:rPr>
          <w:t>https://doi.org/10.1111/jgs.16784</w:t>
        </w:r>
      </w:hyperlink>
      <w:r w:rsidR="0038375A">
        <w:t xml:space="preserve"> </w:t>
      </w:r>
      <w:r w:rsidRPr="00595F32">
        <w:t>.</w:t>
      </w:r>
    </w:p>
  </w:endnote>
  <w:endnote w:id="18">
    <w:p w14:paraId="6FCAE39E" w14:textId="22378B97" w:rsidR="00C516EA" w:rsidRDefault="00C516EA" w:rsidP="00C516EA">
      <w:pPr>
        <w:pStyle w:val="EndnoteText"/>
      </w:pPr>
      <w:r>
        <w:rPr>
          <w:rStyle w:val="EndnoteReference"/>
        </w:rPr>
        <w:endnoteRef/>
      </w:r>
      <w:r>
        <w:t xml:space="preserve"> Deborah Schoch, </w:t>
      </w:r>
      <w:hyperlink r:id="rId16" w:history="1">
        <w:r w:rsidRPr="005D1790">
          <w:rPr>
            <w:rStyle w:val="Hyperlink"/>
            <w:i/>
            <w:iCs/>
            <w:color w:val="000000" w:themeColor="text1"/>
            <w:u w:val="none"/>
          </w:rPr>
          <w:t>How Family-Style Nursing Homes are Better Weathering the Pandemic</w:t>
        </w:r>
      </w:hyperlink>
      <w:r w:rsidRPr="005D1790">
        <w:rPr>
          <w:color w:val="000000" w:themeColor="text1"/>
        </w:rPr>
        <w:t xml:space="preserve">, </w:t>
      </w:r>
      <w:r>
        <w:t xml:space="preserve">AARP (Sept. 18, 2020), </w:t>
      </w:r>
      <w:hyperlink r:id="rId17" w:history="1">
        <w:r w:rsidR="005D1790" w:rsidRPr="00CB3679">
          <w:rPr>
            <w:rStyle w:val="Hyperlink"/>
          </w:rPr>
          <w:t>https://www.aarp.org/caregiving/basics/info-2020/household-model-nursing-homes-coronavirus.html</w:t>
        </w:r>
      </w:hyperlink>
      <w:r w:rsidR="005D1790">
        <w:t xml:space="preserve"> </w:t>
      </w:r>
      <w:r>
        <w:t>.</w:t>
      </w:r>
    </w:p>
  </w:endnote>
  <w:endnote w:id="19">
    <w:p w14:paraId="558B16F6" w14:textId="77777777" w:rsidR="00C516EA" w:rsidRDefault="00C516EA" w:rsidP="00C516EA">
      <w:pPr>
        <w:pStyle w:val="EndnoteText"/>
      </w:pPr>
      <w:r>
        <w:rPr>
          <w:rStyle w:val="EndnoteReference"/>
        </w:rPr>
        <w:endnoteRef/>
      </w:r>
      <w:r>
        <w:t xml:space="preserve"> </w:t>
      </w:r>
      <w:r w:rsidRPr="007845BE">
        <w:rPr>
          <w:i/>
          <w:iCs/>
        </w:rPr>
        <w:t xml:space="preserve">Id. </w:t>
      </w:r>
    </w:p>
  </w:endnote>
  <w:endnote w:id="20">
    <w:p w14:paraId="53FCD13A" w14:textId="4106CFBC" w:rsidR="00C516EA" w:rsidRDefault="00C516EA" w:rsidP="00C516EA">
      <w:pPr>
        <w:pStyle w:val="EndnoteText"/>
      </w:pPr>
      <w:r>
        <w:rPr>
          <w:rStyle w:val="EndnoteReference"/>
        </w:rPr>
        <w:endnoteRef/>
      </w:r>
      <w:r>
        <w:t xml:space="preserve"> Tim Regan, </w:t>
      </w:r>
      <w:hyperlink r:id="rId18" w:history="1">
        <w:r w:rsidRPr="00FC6A8A">
          <w:rPr>
            <w:rStyle w:val="Hyperlink"/>
            <w:i/>
            <w:iCs/>
            <w:color w:val="000000" w:themeColor="text1"/>
            <w:u w:val="none"/>
          </w:rPr>
          <w:t>‘Smaller is Better’: Covid-19 Primes Senior Living for Rise of Small-House Models</w:t>
        </w:r>
        <w:r w:rsidRPr="00FC6A8A">
          <w:rPr>
            <w:rStyle w:val="Hyperlink"/>
            <w:color w:val="000000" w:themeColor="text1"/>
            <w:u w:val="none"/>
          </w:rPr>
          <w:t>,</w:t>
        </w:r>
      </w:hyperlink>
      <w:r w:rsidRPr="00FC6A8A">
        <w:rPr>
          <w:color w:val="000000" w:themeColor="text1"/>
        </w:rPr>
        <w:t xml:space="preserve"> </w:t>
      </w:r>
      <w:r w:rsidRPr="00FC6A8A">
        <w:rPr>
          <w:smallCaps/>
          <w:color w:val="000000" w:themeColor="text1"/>
        </w:rPr>
        <w:t xml:space="preserve">Senior </w:t>
      </w:r>
      <w:r w:rsidRPr="007845BE">
        <w:rPr>
          <w:smallCaps/>
        </w:rPr>
        <w:t>Housing News</w:t>
      </w:r>
      <w:r>
        <w:t xml:space="preserve"> (June 3, 2020), </w:t>
      </w:r>
      <w:hyperlink r:id="rId19" w:history="1">
        <w:r w:rsidR="00FC6A8A" w:rsidRPr="00CB3679">
          <w:rPr>
            <w:rStyle w:val="Hyperlink"/>
          </w:rPr>
          <w:t>https://seniorhousingnews.com/2020/06/03/smaller-is-better-covid-19-primes-senior-living-for-rise-small-house-models/</w:t>
        </w:r>
      </w:hyperlink>
      <w:r w:rsidR="00FC6A8A">
        <w:t xml:space="preserve"> </w:t>
      </w:r>
      <w:r>
        <w:t>.</w:t>
      </w:r>
    </w:p>
  </w:endnote>
  <w:endnote w:id="21">
    <w:p w14:paraId="2F70A799" w14:textId="7B451EF8" w:rsidR="00C516EA" w:rsidRDefault="00C516EA" w:rsidP="00C516EA">
      <w:pPr>
        <w:pStyle w:val="EndnoteText"/>
      </w:pPr>
      <w:r>
        <w:rPr>
          <w:rStyle w:val="EndnoteReference"/>
        </w:rPr>
        <w:endnoteRef/>
      </w:r>
      <w:r>
        <w:t xml:space="preserve"> Yoon et al.,</w:t>
      </w:r>
      <w:r w:rsidRPr="00274AC1">
        <w:rPr>
          <w:i/>
          <w:iCs/>
        </w:rPr>
        <w:t xml:space="preserve"> </w:t>
      </w:r>
      <w:hyperlink r:id="rId20" w:history="1">
        <w:r w:rsidRPr="00FC6A8A">
          <w:rPr>
            <w:rStyle w:val="Hyperlink"/>
            <w:i/>
            <w:iCs/>
            <w:color w:val="000000" w:themeColor="text1"/>
            <w:u w:val="none"/>
          </w:rPr>
          <w:t>Effects of Green House Nursing Home Model on ADL Function Trajectory: A Retrospective Study</w:t>
        </w:r>
      </w:hyperlink>
      <w:r w:rsidRPr="00FC6A8A">
        <w:rPr>
          <w:color w:val="000000" w:themeColor="text1"/>
        </w:rPr>
        <w:t xml:space="preserve">, 53 </w:t>
      </w:r>
      <w:r w:rsidRPr="00274AC1">
        <w:rPr>
          <w:smallCaps/>
        </w:rPr>
        <w:t>Int’l J. Nursing Studies</w:t>
      </w:r>
      <w:r>
        <w:t xml:space="preserve"> 238</w:t>
      </w:r>
      <w:r w:rsidRPr="006C16AD">
        <w:t xml:space="preserve"> </w:t>
      </w:r>
      <w:r>
        <w:t xml:space="preserve">(2016), </w:t>
      </w:r>
      <w:r w:rsidRPr="00274AC1">
        <w:rPr>
          <w:i/>
          <w:iCs/>
        </w:rPr>
        <w:t>available at</w:t>
      </w:r>
      <w:r>
        <w:t xml:space="preserve"> </w:t>
      </w:r>
      <w:hyperlink r:id="rId21" w:history="1">
        <w:r w:rsidR="00FC6A8A" w:rsidRPr="00CB3679">
          <w:rPr>
            <w:rStyle w:val="Hyperlink"/>
          </w:rPr>
          <w:t>https://www.ncbi.nlm.nih.gov/pmc/articles/PMC4679482/</w:t>
        </w:r>
      </w:hyperlink>
      <w:r w:rsidR="00FC6A8A">
        <w:t xml:space="preserve"> </w:t>
      </w:r>
      <w:r>
        <w:t>.</w:t>
      </w:r>
    </w:p>
  </w:endnote>
  <w:endnote w:id="22">
    <w:p w14:paraId="0FDA5979" w14:textId="2755901A" w:rsidR="00C516EA" w:rsidRDefault="00C516EA" w:rsidP="00C516EA">
      <w:pPr>
        <w:pStyle w:val="EndnoteText"/>
      </w:pPr>
      <w:r>
        <w:rPr>
          <w:rStyle w:val="EndnoteReference"/>
        </w:rPr>
        <w:endnoteRef/>
      </w:r>
      <w:r>
        <w:t xml:space="preserve"> Lauren W. Cohen et al., </w:t>
      </w:r>
      <w:hyperlink r:id="rId22" w:history="1">
        <w:r w:rsidRPr="00BC410E">
          <w:rPr>
            <w:rStyle w:val="Hyperlink"/>
            <w:i/>
            <w:iCs/>
            <w:color w:val="000000" w:themeColor="text1"/>
            <w:u w:val="none"/>
          </w:rPr>
          <w:t>The Green House Model of Nursing Home Care in Design and Implementation</w:t>
        </w:r>
      </w:hyperlink>
      <w:r w:rsidRPr="00BC410E">
        <w:rPr>
          <w:smallCaps/>
          <w:color w:val="000000" w:themeColor="text1"/>
        </w:rPr>
        <w:t xml:space="preserve">, 51 </w:t>
      </w:r>
      <w:r>
        <w:rPr>
          <w:smallCaps/>
        </w:rPr>
        <w:t>Health Services Research: Special Issue – Green House Model of Nursing Home Care</w:t>
      </w:r>
      <w:r>
        <w:t xml:space="preserve"> 352, 354 (2016), </w:t>
      </w:r>
      <w:r>
        <w:rPr>
          <w:i/>
          <w:iCs/>
        </w:rPr>
        <w:t>available at</w:t>
      </w:r>
      <w:r>
        <w:t xml:space="preserve"> </w:t>
      </w:r>
      <w:hyperlink r:id="rId23" w:history="1">
        <w:r w:rsidR="00BC410E" w:rsidRPr="00CB3679">
          <w:rPr>
            <w:rStyle w:val="Hyperlink"/>
          </w:rPr>
          <w:t>https://www.ncbi.nlm.nih.gov/pmc/articles/PMC5338211/</w:t>
        </w:r>
      </w:hyperlink>
      <w:r w:rsidR="00BC410E">
        <w:t xml:space="preserve"> </w:t>
      </w:r>
      <w:r>
        <w:t>.</w:t>
      </w:r>
      <w:r>
        <w:rPr>
          <w:rFonts w:ascii="AdvTTbf1117cd" w:hAnsi="AdvTTbf1117cd" w:cs="AdvTTbf1117cd"/>
          <w:sz w:val="16"/>
          <w:szCs w:val="16"/>
        </w:rPr>
        <w:t xml:space="preserve"> </w:t>
      </w:r>
      <w:r>
        <w:t>DOI: 10.1111/1475-6773.12418; Kane R, Cutler L., et al</w:t>
      </w:r>
      <w:r>
        <w:rPr>
          <w:i/>
          <w:iCs/>
        </w:rPr>
        <w:t>. Resident Outcomes in Small-House Nursing Homes: A Longitudinal Evaluation of the Initial Green House Program</w:t>
      </w:r>
      <w:r>
        <w:t xml:space="preserve">, 55(6) </w:t>
      </w:r>
      <w:r>
        <w:rPr>
          <w:smallCaps/>
        </w:rPr>
        <w:t>J. American Geriatric Soc’y</w:t>
      </w:r>
      <w:r>
        <w:t xml:space="preserve"> 832 (2007). </w:t>
      </w:r>
    </w:p>
  </w:endnote>
  <w:endnote w:id="23">
    <w:p w14:paraId="46A735F9" w14:textId="27755FA8" w:rsidR="00C516EA" w:rsidRDefault="00C516EA" w:rsidP="00C516EA">
      <w:pPr>
        <w:pStyle w:val="EndnoteText"/>
      </w:pPr>
      <w:r>
        <w:rPr>
          <w:rStyle w:val="EndnoteReference"/>
        </w:rPr>
        <w:endnoteRef/>
      </w:r>
      <w:r>
        <w:t xml:space="preserve"> Yoon et al., </w:t>
      </w:r>
      <w:r w:rsidRPr="00274AC1">
        <w:rPr>
          <w:i/>
          <w:iCs/>
        </w:rPr>
        <w:t>supra</w:t>
      </w:r>
      <w:r>
        <w:t xml:space="preserve"> note </w:t>
      </w:r>
      <w:r w:rsidR="00BE1034">
        <w:t>xxii</w:t>
      </w:r>
      <w:r>
        <w:t xml:space="preserve">. </w:t>
      </w:r>
    </w:p>
  </w:endnote>
  <w:endnote w:id="24">
    <w:p w14:paraId="63958430" w14:textId="37BAA653" w:rsidR="00C516EA" w:rsidRDefault="00C516EA" w:rsidP="00C516EA">
      <w:pPr>
        <w:pStyle w:val="EndnoteText"/>
      </w:pPr>
      <w:r>
        <w:rPr>
          <w:rStyle w:val="EndnoteReference"/>
        </w:rPr>
        <w:endnoteRef/>
      </w:r>
      <w:r>
        <w:t xml:space="preserve"> Cohen et al., supra note </w:t>
      </w:r>
      <w:r w:rsidR="00FA2697">
        <w:t>xxiii,</w:t>
      </w:r>
      <w:r>
        <w:t xml:space="preserve"> Cutler, </w:t>
      </w:r>
      <w:r w:rsidRPr="00274AC1">
        <w:rPr>
          <w:i/>
          <w:iCs/>
        </w:rPr>
        <w:t>supra</w:t>
      </w:r>
      <w:r>
        <w:t xml:space="preserve"> note </w:t>
      </w:r>
      <w:r w:rsidR="002E0EDC">
        <w:t>xxiii</w:t>
      </w:r>
      <w:r>
        <w:t xml:space="preserve">. </w:t>
      </w:r>
    </w:p>
  </w:endnote>
  <w:endnote w:id="25">
    <w:p w14:paraId="79FD06FE" w14:textId="435D9F95" w:rsidR="00C516EA" w:rsidRDefault="00C516EA" w:rsidP="00C516EA">
      <w:pPr>
        <w:pStyle w:val="EndnoteText"/>
      </w:pPr>
      <w:r>
        <w:rPr>
          <w:rStyle w:val="EndnoteReference"/>
        </w:rPr>
        <w:endnoteRef/>
      </w:r>
      <w:r>
        <w:t xml:space="preserve"> Cohen et al., supra note </w:t>
      </w:r>
      <w:r w:rsidR="00FA2697">
        <w:t>xxiii</w:t>
      </w:r>
      <w:r>
        <w:t xml:space="preserve">; Cutler, </w:t>
      </w:r>
      <w:r w:rsidRPr="00274AC1">
        <w:rPr>
          <w:i/>
          <w:iCs/>
        </w:rPr>
        <w:t>supra</w:t>
      </w:r>
      <w:r>
        <w:t xml:space="preserve"> note </w:t>
      </w:r>
      <w:r w:rsidR="002E0EDC">
        <w:t>xxiii</w:t>
      </w:r>
      <w:r>
        <w:t xml:space="preserve">; </w:t>
      </w:r>
      <w:r w:rsidRPr="00274AC1">
        <w:rPr>
          <w:i/>
          <w:iCs/>
        </w:rPr>
        <w:t>See also</w:t>
      </w:r>
      <w:r>
        <w:t xml:space="preserve"> D. K. Kiely et al., </w:t>
      </w:r>
      <w:hyperlink r:id="rId24" w:history="1">
        <w:r w:rsidRPr="00E45DA0">
          <w:rPr>
            <w:rStyle w:val="Hyperlink"/>
            <w:i/>
            <w:iCs/>
            <w:color w:val="000000" w:themeColor="text1"/>
            <w:u w:val="none"/>
          </w:rPr>
          <w:t>The Protective Effect of Social Engagement on Mortality in Long</w:t>
        </w:r>
        <w:r w:rsidRPr="00E45DA0">
          <w:rPr>
            <w:rStyle w:val="Hyperlink"/>
            <w:rFonts w:ascii="Cambria Math" w:hAnsi="Cambria Math" w:cs="Cambria Math"/>
            <w:i/>
            <w:iCs/>
            <w:color w:val="000000" w:themeColor="text1"/>
            <w:u w:val="none"/>
          </w:rPr>
          <w:t>‐</w:t>
        </w:r>
        <w:r w:rsidRPr="00E45DA0">
          <w:rPr>
            <w:rStyle w:val="Hyperlink"/>
            <w:i/>
            <w:iCs/>
            <w:color w:val="000000" w:themeColor="text1"/>
            <w:u w:val="none"/>
          </w:rPr>
          <w:t>Term Care</w:t>
        </w:r>
      </w:hyperlink>
      <w:r w:rsidRPr="00E45DA0">
        <w:rPr>
          <w:color w:val="000000" w:themeColor="text1"/>
        </w:rPr>
        <w:t>, 48</w:t>
      </w:r>
      <w:r>
        <w:t xml:space="preserve">(11) </w:t>
      </w:r>
      <w:r w:rsidRPr="009F7FB9">
        <w:rPr>
          <w:smallCaps/>
        </w:rPr>
        <w:t>J. American Geriatric Soc</w:t>
      </w:r>
      <w:r>
        <w:rPr>
          <w:smallCaps/>
        </w:rPr>
        <w:t>’y 1367 (2000)</w:t>
      </w:r>
      <w:r>
        <w:t xml:space="preserve">, </w:t>
      </w:r>
      <w:hyperlink r:id="rId25" w:history="1">
        <w:r w:rsidR="00E45DA0" w:rsidRPr="00CB3679">
          <w:rPr>
            <w:rStyle w:val="Hyperlink"/>
          </w:rPr>
          <w:t>https://doi.org/10.1111/j.1532-5415.2000.tb02624.x</w:t>
        </w:r>
      </w:hyperlink>
      <w:r w:rsidR="00E45DA0">
        <w:t xml:space="preserve"> </w:t>
      </w:r>
    </w:p>
  </w:endnote>
  <w:endnote w:id="26">
    <w:p w14:paraId="7B022B24" w14:textId="07855845" w:rsidR="00C516EA" w:rsidRDefault="00C516EA" w:rsidP="00C516EA">
      <w:pPr>
        <w:pStyle w:val="EndnoteText"/>
      </w:pPr>
      <w:r>
        <w:rPr>
          <w:rStyle w:val="EndnoteReference"/>
        </w:rPr>
        <w:endnoteRef/>
      </w:r>
      <w:r>
        <w:t xml:space="preserve"> Cohen et al., supra note </w:t>
      </w:r>
      <w:r w:rsidR="00B42733">
        <w:t>xxiii</w:t>
      </w:r>
      <w:r>
        <w:t xml:space="preserve">; Cutler, </w:t>
      </w:r>
      <w:r w:rsidRPr="00274AC1">
        <w:rPr>
          <w:i/>
          <w:iCs/>
        </w:rPr>
        <w:t>supra</w:t>
      </w:r>
      <w:r>
        <w:t xml:space="preserve"> note </w:t>
      </w:r>
      <w:r>
        <w:rPr>
          <w:color w:val="2B579A"/>
          <w:shd w:val="clear" w:color="auto" w:fill="E6E6E6"/>
        </w:rPr>
        <w:fldChar w:fldCharType="begin"/>
      </w:r>
      <w:r>
        <w:instrText xml:space="preserve"> NOTEREF _Ref71557819 \h </w:instrText>
      </w:r>
      <w:r>
        <w:rPr>
          <w:color w:val="2B579A"/>
          <w:shd w:val="clear" w:color="auto" w:fill="E6E6E6"/>
        </w:rPr>
      </w:r>
      <w:r>
        <w:rPr>
          <w:color w:val="2B579A"/>
          <w:shd w:val="clear" w:color="auto" w:fill="E6E6E6"/>
        </w:rPr>
        <w:fldChar w:fldCharType="separate"/>
      </w:r>
      <w:r w:rsidR="009D7C63">
        <w:t>xxiii</w:t>
      </w:r>
      <w:r>
        <w:rPr>
          <w:color w:val="2B579A"/>
          <w:shd w:val="clear" w:color="auto" w:fill="E6E6E6"/>
        </w:rPr>
        <w:fldChar w:fldCharType="end"/>
      </w:r>
      <w:r>
        <w:t xml:space="preserve">; D. K. Kiely et al., </w:t>
      </w:r>
      <w:r w:rsidRPr="00A833E3">
        <w:rPr>
          <w:i/>
          <w:iCs/>
        </w:rPr>
        <w:t>supra</w:t>
      </w:r>
      <w:r>
        <w:t xml:space="preserve"> note </w:t>
      </w:r>
      <w:r w:rsidR="009A2992">
        <w:t>xxvii</w:t>
      </w:r>
      <w:r>
        <w:t xml:space="preserve">. </w:t>
      </w:r>
    </w:p>
  </w:endnote>
  <w:endnote w:id="27">
    <w:p w14:paraId="1D3E0170" w14:textId="389E50A5" w:rsidR="00C516EA" w:rsidRDefault="00C516EA" w:rsidP="00C516EA">
      <w:pPr>
        <w:pStyle w:val="EndnoteText"/>
      </w:pPr>
      <w:r>
        <w:rPr>
          <w:rStyle w:val="EndnoteReference"/>
        </w:rPr>
        <w:endnoteRef/>
      </w:r>
      <w:r>
        <w:t xml:space="preserve"> Cohen et al., </w:t>
      </w:r>
      <w:r w:rsidRPr="007845BE">
        <w:rPr>
          <w:i/>
          <w:iCs/>
        </w:rPr>
        <w:t>supra</w:t>
      </w:r>
      <w:r>
        <w:t xml:space="preserve"> note </w:t>
      </w:r>
      <w:r w:rsidR="00B42733">
        <w:t>xxiii</w:t>
      </w:r>
      <w:r>
        <w:t>, at 367.</w:t>
      </w:r>
    </w:p>
  </w:endnote>
  <w:endnote w:id="28">
    <w:p w14:paraId="6EC9D4D1" w14:textId="0AC4FE71" w:rsidR="00C516EA" w:rsidRDefault="00C516EA" w:rsidP="00C516EA">
      <w:pPr>
        <w:pStyle w:val="EndnoteText"/>
      </w:pPr>
      <w:r>
        <w:rPr>
          <w:rStyle w:val="EndnoteReference"/>
        </w:rPr>
        <w:endnoteRef/>
      </w:r>
      <w:r>
        <w:t xml:space="preserve"> Cohen et al., </w:t>
      </w:r>
      <w:r w:rsidRPr="007845BE">
        <w:rPr>
          <w:i/>
          <w:iCs/>
        </w:rPr>
        <w:t>supra</w:t>
      </w:r>
      <w:r>
        <w:t xml:space="preserve"> note </w:t>
      </w:r>
      <w:r w:rsidR="00B42733">
        <w:t>xxiii</w:t>
      </w:r>
      <w:r>
        <w:t>, at 366-67.</w:t>
      </w:r>
    </w:p>
  </w:endnote>
  <w:endnote w:id="29">
    <w:p w14:paraId="4FF6396E" w14:textId="5926E70D" w:rsidR="00C516EA" w:rsidRDefault="00C516EA" w:rsidP="00C516EA">
      <w:pPr>
        <w:pStyle w:val="EndnoteText"/>
      </w:pPr>
      <w:r>
        <w:rPr>
          <w:rStyle w:val="EndnoteReference"/>
        </w:rPr>
        <w:endnoteRef/>
      </w:r>
      <w:r>
        <w:t xml:space="preserve"> Sonya Brownie &amp; Susan Nancarro</w:t>
      </w:r>
      <w:r w:rsidRPr="00E45DA0">
        <w:rPr>
          <w:color w:val="000000" w:themeColor="text1"/>
        </w:rPr>
        <w:t xml:space="preserve">w, </w:t>
      </w:r>
      <w:hyperlink r:id="rId26" w:history="1">
        <w:r w:rsidRPr="00E45DA0">
          <w:rPr>
            <w:rStyle w:val="Hyperlink"/>
            <w:i/>
            <w:iCs/>
            <w:color w:val="000000" w:themeColor="text1"/>
            <w:u w:val="none"/>
          </w:rPr>
          <w:t>Effects of Person-Centered Care on Residents and Staff in Aged-Care Facilities: A Systematic Review</w:t>
        </w:r>
      </w:hyperlink>
      <w:r w:rsidRPr="00E45DA0">
        <w:rPr>
          <w:color w:val="000000" w:themeColor="text1"/>
        </w:rPr>
        <w:t xml:space="preserve">, 8 </w:t>
      </w:r>
      <w:r w:rsidRPr="00F00386">
        <w:rPr>
          <w:smallCaps/>
        </w:rPr>
        <w:t>Clin. Interventions in Aging</w:t>
      </w:r>
      <w:r>
        <w:t xml:space="preserve"> 1, 7 (2013), </w:t>
      </w:r>
      <w:r w:rsidRPr="00A833E3">
        <w:rPr>
          <w:i/>
          <w:iCs/>
        </w:rPr>
        <w:t>available at</w:t>
      </w:r>
      <w:r>
        <w:t xml:space="preserve"> </w:t>
      </w:r>
      <w:hyperlink r:id="rId27" w:history="1">
        <w:r w:rsidR="00E45DA0" w:rsidRPr="00CB3679">
          <w:rPr>
            <w:rStyle w:val="Hyperlink"/>
          </w:rPr>
          <w:t>https://www.ncbi.nlm.nih.gov/pmc/articles/PMC3540911/pdf/cia-8-001.pdf</w:t>
        </w:r>
      </w:hyperlink>
      <w:r w:rsidR="00E45DA0">
        <w:t xml:space="preserve"> </w:t>
      </w:r>
      <w:r>
        <w:t xml:space="preserve">. </w:t>
      </w:r>
    </w:p>
  </w:endnote>
  <w:endnote w:id="30">
    <w:p w14:paraId="34061331" w14:textId="3E0E6DED" w:rsidR="00C516EA" w:rsidRDefault="00C516EA" w:rsidP="00C516EA">
      <w:pPr>
        <w:pStyle w:val="EndnoteText"/>
      </w:pPr>
      <w:r>
        <w:rPr>
          <w:rStyle w:val="EndnoteReference"/>
        </w:rPr>
        <w:endnoteRef/>
      </w:r>
      <w:r>
        <w:t xml:space="preserve"> Terry Y. Lum et al., </w:t>
      </w:r>
      <w:hyperlink r:id="rId28" w:history="1">
        <w:r w:rsidRPr="00E45DA0">
          <w:rPr>
            <w:rStyle w:val="Hyperlink"/>
            <w:i/>
            <w:iCs/>
            <w:color w:val="000000" w:themeColor="text1"/>
            <w:u w:val="none"/>
          </w:rPr>
          <w:t>Effects of Green House Nursing Homes on Residents’ Families</w:t>
        </w:r>
        <w:r w:rsidRPr="00E45DA0">
          <w:rPr>
            <w:rStyle w:val="Hyperlink"/>
            <w:color w:val="000000" w:themeColor="text1"/>
            <w:u w:val="none"/>
          </w:rPr>
          <w:t>,</w:t>
        </w:r>
      </w:hyperlink>
      <w:r w:rsidRPr="00E45DA0">
        <w:rPr>
          <w:color w:val="000000" w:themeColor="text1"/>
        </w:rPr>
        <w:t xml:space="preserve"> 30 </w:t>
      </w:r>
      <w:r w:rsidRPr="00A833E3">
        <w:rPr>
          <w:smallCaps/>
        </w:rPr>
        <w:t xml:space="preserve">Health Care Financing Review </w:t>
      </w:r>
      <w:r>
        <w:t xml:space="preserve">35, 35 (Winter 2008-09), </w:t>
      </w:r>
      <w:r w:rsidRPr="00A833E3">
        <w:rPr>
          <w:i/>
          <w:iCs/>
        </w:rPr>
        <w:t>available at</w:t>
      </w:r>
      <w:r>
        <w:t xml:space="preserve"> </w:t>
      </w:r>
      <w:hyperlink r:id="rId29" w:history="1">
        <w:r w:rsidR="00E45DA0" w:rsidRPr="00CB3679">
          <w:rPr>
            <w:rStyle w:val="Hyperlink"/>
          </w:rPr>
          <w:t>https://www.ncbi.nlm.nih.gov/pmc/articles/PMC4195056/pdf/hcfr-30-02-035.pdf</w:t>
        </w:r>
      </w:hyperlink>
      <w:r w:rsidR="00E45DA0">
        <w:t xml:space="preserve"> </w:t>
      </w:r>
      <w:r>
        <w:t xml:space="preserve">. </w:t>
      </w:r>
    </w:p>
  </w:endnote>
  <w:endnote w:id="31">
    <w:p w14:paraId="681B1DA8" w14:textId="77777777" w:rsidR="00C516EA" w:rsidRDefault="00C516EA" w:rsidP="00C516EA">
      <w:pPr>
        <w:pStyle w:val="EndnoteText"/>
      </w:pPr>
      <w:r>
        <w:rPr>
          <w:rStyle w:val="EndnoteReference"/>
        </w:rPr>
        <w:endnoteRef/>
      </w:r>
      <w:r>
        <w:t xml:space="preserve"> </w:t>
      </w:r>
      <w:r w:rsidRPr="007845BE">
        <w:rPr>
          <w:i/>
          <w:iCs/>
        </w:rPr>
        <w:t>Id.</w:t>
      </w:r>
      <w:r>
        <w:t xml:space="preserve"> at 46. </w:t>
      </w:r>
    </w:p>
  </w:endnote>
  <w:endnote w:id="32">
    <w:p w14:paraId="734DB495" w14:textId="77777777" w:rsidR="00C516EA" w:rsidRDefault="00C516EA" w:rsidP="00C516EA">
      <w:pPr>
        <w:pStyle w:val="EndnoteText"/>
      </w:pPr>
      <w:r>
        <w:rPr>
          <w:rStyle w:val="EndnoteReference"/>
        </w:rPr>
        <w:endnoteRef/>
      </w:r>
      <w:r>
        <w:t xml:space="preserve"> </w:t>
      </w:r>
      <w:r w:rsidRPr="007845BE">
        <w:rPr>
          <w:i/>
          <w:iCs/>
        </w:rPr>
        <w:t>Id.</w:t>
      </w:r>
      <w:r>
        <w:t xml:space="preserve"> at 46-47.</w:t>
      </w:r>
    </w:p>
  </w:endnote>
  <w:endnote w:id="33">
    <w:p w14:paraId="0715B051" w14:textId="43013666" w:rsidR="00C516EA" w:rsidRDefault="00C516EA" w:rsidP="00C516EA">
      <w:pPr>
        <w:pStyle w:val="EndnoteText"/>
      </w:pPr>
      <w:r>
        <w:rPr>
          <w:rStyle w:val="EndnoteReference"/>
        </w:rPr>
        <w:endnoteRef/>
      </w:r>
      <w:r>
        <w:t xml:space="preserve"> Bowers et al., </w:t>
      </w:r>
      <w:r w:rsidRPr="007845BE">
        <w:rPr>
          <w:i/>
          <w:iCs/>
        </w:rPr>
        <w:t xml:space="preserve">supra </w:t>
      </w:r>
      <w:r>
        <w:t xml:space="preserve">note </w:t>
      </w:r>
      <w:r w:rsidR="004A22BC">
        <w:t>xiii</w:t>
      </w:r>
      <w:r>
        <w:t>, at 386.</w:t>
      </w:r>
    </w:p>
  </w:endnote>
  <w:endnote w:id="34">
    <w:p w14:paraId="6619D463" w14:textId="71AA001F" w:rsidR="00C516EA" w:rsidRDefault="00C516EA" w:rsidP="00C516EA">
      <w:pPr>
        <w:pStyle w:val="EndnoteText"/>
      </w:pPr>
      <w:r>
        <w:rPr>
          <w:rStyle w:val="EndnoteReference"/>
        </w:rPr>
        <w:endnoteRef/>
      </w:r>
      <w:r>
        <w:t xml:space="preserve"> Lum et al., </w:t>
      </w:r>
      <w:r w:rsidRPr="007845BE">
        <w:rPr>
          <w:i/>
          <w:iCs/>
        </w:rPr>
        <w:t>supra</w:t>
      </w:r>
      <w:r>
        <w:t xml:space="preserve"> note </w:t>
      </w:r>
      <w:r w:rsidR="00444813">
        <w:t>xxxii</w:t>
      </w:r>
      <w:r>
        <w:t>, at 48.</w:t>
      </w:r>
    </w:p>
  </w:endnote>
  <w:endnote w:id="35">
    <w:p w14:paraId="07F5C651" w14:textId="77777777" w:rsidR="00C516EA" w:rsidRDefault="00C516EA" w:rsidP="00C516EA">
      <w:pPr>
        <w:pStyle w:val="EndnoteText"/>
      </w:pPr>
      <w:r>
        <w:rPr>
          <w:rStyle w:val="EndnoteReference"/>
        </w:rPr>
        <w:endnoteRef/>
      </w:r>
      <w:r>
        <w:t xml:space="preserve"> </w:t>
      </w:r>
      <w:r w:rsidRPr="00A833E3">
        <w:rPr>
          <w:i/>
          <w:iCs/>
        </w:rPr>
        <w:t>Id.</w:t>
      </w:r>
      <w:r>
        <w:t xml:space="preserve"> at 8.</w:t>
      </w:r>
    </w:p>
  </w:endnote>
  <w:endnote w:id="36">
    <w:p w14:paraId="7AC5B790" w14:textId="2E7EA0C1" w:rsidR="00C516EA" w:rsidRDefault="00C516EA" w:rsidP="00C516EA">
      <w:pPr>
        <w:pStyle w:val="EndnoteText"/>
      </w:pPr>
      <w:r>
        <w:rPr>
          <w:rStyle w:val="EndnoteReference"/>
        </w:rPr>
        <w:endnoteRef/>
      </w:r>
      <w:r>
        <w:t xml:space="preserve"> Cohen et al. </w:t>
      </w:r>
      <w:r w:rsidRPr="00A833E3">
        <w:rPr>
          <w:i/>
          <w:iCs/>
        </w:rPr>
        <w:t>supra</w:t>
      </w:r>
      <w:r>
        <w:t xml:space="preserve"> note </w:t>
      </w:r>
      <w:r w:rsidR="004A22BC">
        <w:t>xxiii</w:t>
      </w:r>
      <w:r>
        <w:t xml:space="preserve">, at 367-68.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dvTTbf1117cd">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914A4" w14:textId="77777777" w:rsidR="003E299F" w:rsidRDefault="003E299F" w:rsidP="00730574">
      <w:pPr>
        <w:spacing w:after="0" w:line="240" w:lineRule="auto"/>
      </w:pPr>
      <w:r>
        <w:separator/>
      </w:r>
    </w:p>
  </w:footnote>
  <w:footnote w:type="continuationSeparator" w:id="0">
    <w:p w14:paraId="0F1BA94E" w14:textId="77777777" w:rsidR="003E299F" w:rsidRDefault="003E299F" w:rsidP="00730574">
      <w:pPr>
        <w:spacing w:after="0" w:line="240" w:lineRule="auto"/>
      </w:pPr>
      <w:r>
        <w:continuationSeparator/>
      </w:r>
    </w:p>
  </w:footnote>
  <w:footnote w:id="1">
    <w:p w14:paraId="21484A73" w14:textId="4CED57B1" w:rsidR="00F16569" w:rsidRDefault="00F16569">
      <w:pPr>
        <w:pStyle w:val="FootnoteText"/>
      </w:pPr>
      <w:r>
        <w:rPr>
          <w:rStyle w:val="FootnoteReference"/>
        </w:rPr>
        <w:footnoteRef/>
      </w:r>
      <w:r w:rsidRPr="00EE186E">
        <w:t>with Section 501(c)(3) federal tax-exemption</w:t>
      </w:r>
      <w:r>
        <w:t xml:space="preserve">. </w:t>
      </w:r>
    </w:p>
  </w:footnote>
  <w:footnote w:id="2">
    <w:p w14:paraId="653343DA" w14:textId="0D08FD1B" w:rsidR="00BC3668" w:rsidRDefault="00BC3668">
      <w:pPr>
        <w:pStyle w:val="FootnoteText"/>
      </w:pPr>
      <w:r>
        <w:rPr>
          <w:rStyle w:val="FootnoteReference"/>
        </w:rPr>
        <w:footnoteRef/>
      </w:r>
      <w:r>
        <w:t xml:space="preserve"> </w:t>
      </w:r>
      <w:r w:rsidRPr="00BC3668">
        <w:t>developed by Dr. Bill Thomas in 2001.</w:t>
      </w:r>
    </w:p>
  </w:footnote>
  <w:footnote w:id="3">
    <w:p w14:paraId="7C254CC6" w14:textId="021C3664" w:rsidR="00FA7EC0" w:rsidRDefault="00FA7EC0">
      <w:pPr>
        <w:pStyle w:val="FootnoteText"/>
      </w:pPr>
      <w:r>
        <w:rPr>
          <w:rStyle w:val="FootnoteReference"/>
        </w:rPr>
        <w:footnoteRef/>
      </w:r>
      <w:r>
        <w:t xml:space="preserve"> Level II beds</w:t>
      </w:r>
    </w:p>
  </w:footnote>
  <w:footnote w:id="4">
    <w:p w14:paraId="7D68EA56" w14:textId="0C70F002" w:rsidR="00237D34" w:rsidRDefault="00237D34">
      <w:pPr>
        <w:pStyle w:val="FootnoteText"/>
      </w:pPr>
      <w:r>
        <w:rPr>
          <w:rStyle w:val="FootnoteReference"/>
        </w:rPr>
        <w:footnoteRef/>
      </w:r>
      <w:r>
        <w:t xml:space="preserve"> Staff housing does not fall under DoN regulatory purview.</w:t>
      </w:r>
    </w:p>
  </w:footnote>
  <w:footnote w:id="5">
    <w:p w14:paraId="193E2DF4" w14:textId="77777777" w:rsidR="008C216A" w:rsidRPr="008C216A" w:rsidRDefault="008C216A" w:rsidP="008C216A">
      <w:pPr>
        <w:pStyle w:val="FootnoteText"/>
        <w:rPr>
          <w:rFonts w:cstheme="minorHAnsi"/>
        </w:rPr>
      </w:pPr>
      <w:r w:rsidRPr="00A62397">
        <w:rPr>
          <w:rStyle w:val="FootnoteReference"/>
          <w:rFonts w:ascii="Arial Narrow" w:hAnsi="Arial Narrow" w:cs="Calibri Light"/>
          <w:sz w:val="18"/>
          <w:szCs w:val="18"/>
        </w:rPr>
        <w:footnoteRef/>
      </w:r>
      <w:r w:rsidRPr="00A62397">
        <w:rPr>
          <w:rFonts w:ascii="Arial Narrow" w:hAnsi="Arial Narrow" w:cs="Calibri Light"/>
          <w:sz w:val="18"/>
          <w:szCs w:val="18"/>
        </w:rPr>
        <w:t xml:space="preserve"> </w:t>
      </w:r>
      <w:r w:rsidRPr="008C216A">
        <w:rPr>
          <w:rFonts w:cstheme="minorHAnsi"/>
        </w:rPr>
        <w:t>As defined in 105 CMR 100.100, Patient Panel is the total of the individual patients regardless of payer, including those patients seen within an emergency department(s) if applicable, seen over the course of the most recent complete 36-month period by the Applicant or Holder.</w:t>
      </w:r>
    </w:p>
  </w:footnote>
  <w:footnote w:id="6">
    <w:p w14:paraId="12878D61" w14:textId="1050475F" w:rsidR="00A42E65" w:rsidRPr="008C216A" w:rsidRDefault="00A42E65" w:rsidP="00A42E65">
      <w:pPr>
        <w:pStyle w:val="FootnoteText"/>
        <w:rPr>
          <w:rFonts w:cstheme="minorHAnsi"/>
        </w:rPr>
      </w:pPr>
      <w:r w:rsidRPr="008C216A">
        <w:rPr>
          <w:rStyle w:val="FootnoteReference"/>
          <w:rFonts w:cstheme="minorHAnsi"/>
        </w:rPr>
        <w:footnoteRef/>
      </w:r>
      <w:r w:rsidRPr="008C216A">
        <w:rPr>
          <w:rFonts w:cstheme="minorHAnsi"/>
        </w:rPr>
        <w:t xml:space="preserve"> Due to HIPAA privacy rules surrounding low counts, the Applicant is unable to provide race/ethnicity information for Windemere’s patient panel. </w:t>
      </w:r>
    </w:p>
  </w:footnote>
  <w:footnote w:id="7">
    <w:p w14:paraId="57B35830" w14:textId="402B4ED7" w:rsidR="00F16569" w:rsidRPr="008C216A" w:rsidRDefault="00F16569" w:rsidP="004F728B">
      <w:pPr>
        <w:pStyle w:val="FootnoteText"/>
        <w:rPr>
          <w:rFonts w:cstheme="minorHAnsi"/>
        </w:rPr>
      </w:pPr>
      <w:r w:rsidRPr="008C216A">
        <w:rPr>
          <w:rStyle w:val="FootnoteReference"/>
          <w:rFonts w:cstheme="minorHAnsi"/>
        </w:rPr>
        <w:footnoteRef/>
      </w:r>
      <w:r w:rsidRPr="008C216A">
        <w:rPr>
          <w:rFonts w:cstheme="minorHAnsi"/>
        </w:rPr>
        <w:t xml:space="preserve"> </w:t>
      </w:r>
      <w:bookmarkStart w:id="2" w:name="_Hlk120625006"/>
      <w:r w:rsidR="00A42E65">
        <w:rPr>
          <w:rFonts w:cstheme="minorHAnsi"/>
        </w:rPr>
        <w:t>Varies by the year</w:t>
      </w:r>
      <w:bookmarkEnd w:id="2"/>
      <w:r w:rsidR="00A42E65">
        <w:rPr>
          <w:rFonts w:cstheme="minorHAnsi"/>
        </w:rPr>
        <w:t>.</w:t>
      </w:r>
    </w:p>
  </w:footnote>
  <w:footnote w:id="8">
    <w:p w14:paraId="4CDFD2D4" w14:textId="4A816E57" w:rsidR="00DA751B" w:rsidRDefault="00DA751B">
      <w:pPr>
        <w:pStyle w:val="FootnoteText"/>
      </w:pPr>
      <w:r>
        <w:rPr>
          <w:rStyle w:val="FootnoteReference"/>
        </w:rPr>
        <w:footnoteRef/>
      </w:r>
      <w:r>
        <w:t xml:space="preserve"> It is </w:t>
      </w:r>
      <w:r w:rsidRPr="00DA751B">
        <w:t>best known as a summer vacation destination</w:t>
      </w:r>
      <w:r>
        <w:t>.</w:t>
      </w:r>
    </w:p>
  </w:footnote>
  <w:footnote w:id="9">
    <w:p w14:paraId="5B872311" w14:textId="7BB8049F" w:rsidR="0017502F" w:rsidRDefault="0017502F" w:rsidP="0017502F">
      <w:pPr>
        <w:pStyle w:val="FootnoteText"/>
      </w:pPr>
      <w:r>
        <w:rPr>
          <w:rStyle w:val="FootnoteReference"/>
        </w:rPr>
        <w:footnoteRef/>
      </w:r>
      <w:r>
        <w:t xml:space="preserve"> </w:t>
      </w:r>
      <w:hyperlink r:id="rId1" w:history="1">
        <w:r w:rsidRPr="005205D7">
          <w:rPr>
            <w:rStyle w:val="Hyperlink"/>
            <w:i/>
            <w:iCs/>
            <w:color w:val="000000" w:themeColor="text1"/>
            <w:u w:val="none"/>
          </w:rPr>
          <w:t>Long-Term Population Projections for Massachusetts Regions and Municipalities</w:t>
        </w:r>
      </w:hyperlink>
      <w:r w:rsidRPr="005205D7">
        <w:rPr>
          <w:color w:val="000000" w:themeColor="text1"/>
        </w:rPr>
        <w:t xml:space="preserve">, </w:t>
      </w:r>
      <w:r w:rsidRPr="00902691">
        <w:rPr>
          <w:smallCaps/>
        </w:rPr>
        <w:t>UMass Donahue Inst.</w:t>
      </w:r>
      <w:r>
        <w:rPr>
          <w:smallCaps/>
        </w:rPr>
        <w:t xml:space="preserve"> 14</w:t>
      </w:r>
      <w:r>
        <w:t xml:space="preserve"> (Mar. 2015), </w:t>
      </w:r>
      <w:hyperlink r:id="rId2" w:history="1">
        <w:r w:rsidR="005205D7" w:rsidRPr="00CB3679">
          <w:rPr>
            <w:rStyle w:val="Hyperlink"/>
          </w:rPr>
          <w:t>http://www.pep.donahue-institute.org/downloads/2015/new/UMDI_LongTermPopulationProjectionsReport_SECTION_2.pdf</w:t>
        </w:r>
      </w:hyperlink>
      <w:r w:rsidR="005205D7">
        <w:t xml:space="preserve"> </w:t>
      </w:r>
      <w:r>
        <w:t xml:space="preserve">. </w:t>
      </w:r>
    </w:p>
  </w:footnote>
  <w:footnote w:id="10">
    <w:p w14:paraId="05F1EC25" w14:textId="516CC986" w:rsidR="00F16569" w:rsidRDefault="00F16569" w:rsidP="00730574">
      <w:pPr>
        <w:pStyle w:val="FootnoteText"/>
      </w:pPr>
      <w:r>
        <w:rPr>
          <w:rStyle w:val="FootnoteReference"/>
        </w:rPr>
        <w:footnoteRef/>
      </w:r>
      <w:r>
        <w:t xml:space="preserve"> </w:t>
      </w:r>
      <w:hyperlink r:id="rId3" w:history="1">
        <w:r w:rsidRPr="003637EE">
          <w:rPr>
            <w:rStyle w:val="Hyperlink"/>
            <w:i/>
            <w:iCs/>
            <w:color w:val="000000" w:themeColor="text1"/>
            <w:u w:val="none"/>
          </w:rPr>
          <w:t>Older People Projected to Outnumber Children for First Time in U.S. History</w:t>
        </w:r>
        <w:r w:rsidRPr="003637EE">
          <w:rPr>
            <w:rStyle w:val="Hyperlink"/>
            <w:color w:val="000000" w:themeColor="text1"/>
            <w:u w:val="none"/>
          </w:rPr>
          <w:t>,</w:t>
        </w:r>
      </w:hyperlink>
      <w:r>
        <w:t xml:space="preserve"> </w:t>
      </w:r>
      <w:r w:rsidRPr="00377D9F">
        <w:rPr>
          <w:smallCaps/>
        </w:rPr>
        <w:t>U.S. Census Bureau</w:t>
      </w:r>
      <w:r>
        <w:t xml:space="preserve"> (Mar. 13, 2018), </w:t>
      </w:r>
      <w:hyperlink r:id="rId4" w:history="1">
        <w:r w:rsidR="003637EE" w:rsidRPr="00CB3679">
          <w:rPr>
            <w:rStyle w:val="Hyperlink"/>
          </w:rPr>
          <w:t>https://www.census.gov/newsroom/press-releases/2018/cb18-41-population-projections.html</w:t>
        </w:r>
      </w:hyperlink>
      <w:r w:rsidR="003637EE">
        <w:t xml:space="preserve"> </w:t>
      </w:r>
      <w:r w:rsidRPr="00EF2DFA">
        <w:rPr>
          <w:i/>
          <w:iCs/>
        </w:rPr>
        <w:t>;</w:t>
      </w:r>
      <w:r w:rsidRPr="00F15D33">
        <w:rPr>
          <w:i/>
          <w:iCs/>
          <w:color w:val="000000" w:themeColor="text1"/>
        </w:rPr>
        <w:t xml:space="preserve"> </w:t>
      </w:r>
      <w:hyperlink r:id="rId5" w:history="1">
        <w:r w:rsidRPr="00F15D33">
          <w:rPr>
            <w:rStyle w:val="Hyperlink"/>
            <w:i/>
            <w:iCs/>
            <w:color w:val="000000" w:themeColor="text1"/>
            <w:u w:val="none"/>
          </w:rPr>
          <w:t>Fueled by Aging Baby Boomers, Nation's Older Population to Nearly Double in the Next 20 Years, Census Bureau Reports</w:t>
        </w:r>
      </w:hyperlink>
      <w:r>
        <w:t xml:space="preserve">, </w:t>
      </w:r>
      <w:r w:rsidRPr="00EF2DFA">
        <w:rPr>
          <w:smallCaps/>
        </w:rPr>
        <w:t>U.S. Census Bureau</w:t>
      </w:r>
      <w:r>
        <w:t xml:space="preserve"> (May 6, 2014), </w:t>
      </w:r>
      <w:hyperlink r:id="rId6" w:history="1">
        <w:r w:rsidR="003637EE" w:rsidRPr="00CB3679">
          <w:rPr>
            <w:rStyle w:val="Hyperlink"/>
          </w:rPr>
          <w:t>https://www.census.gov/newsroom/press-releases/2014/cb14-84.html</w:t>
        </w:r>
      </w:hyperlink>
      <w:r w:rsidR="003637EE">
        <w:t xml:space="preserve"> </w:t>
      </w:r>
      <w:r>
        <w:t xml:space="preserve">. </w:t>
      </w:r>
    </w:p>
  </w:footnote>
  <w:footnote w:id="11">
    <w:p w14:paraId="77C64B56" w14:textId="758311F1" w:rsidR="00E05CC8" w:rsidRDefault="00E05CC8">
      <w:pPr>
        <w:pStyle w:val="FootnoteText"/>
      </w:pPr>
      <w:r>
        <w:rPr>
          <w:rStyle w:val="FootnoteReference"/>
        </w:rPr>
        <w:footnoteRef/>
      </w:r>
      <w:r>
        <w:t xml:space="preserve"> </w:t>
      </w:r>
      <w:r w:rsidRPr="00E05CC8">
        <w:t>The EPI looked at total costs such as housing, food, childcare, health care, transportation and taxes for more than 600 US metropolitan areas, excluding savings or discretionary spending.</w:t>
      </w:r>
    </w:p>
  </w:footnote>
  <w:footnote w:id="12">
    <w:p w14:paraId="075462D3" w14:textId="3D26EA81" w:rsidR="00E05CC8" w:rsidRDefault="00E05CC8">
      <w:pPr>
        <w:pStyle w:val="FootnoteText"/>
      </w:pPr>
      <w:r>
        <w:rPr>
          <w:rStyle w:val="FootnoteReference"/>
        </w:rPr>
        <w:footnoteRef/>
      </w:r>
      <w:r>
        <w:t xml:space="preserve"> </w:t>
      </w:r>
      <w:r w:rsidR="00915319">
        <w:t>According to the report, t</w:t>
      </w:r>
      <w:r w:rsidRPr="00E05CC8">
        <w:t>hese high costs are driven in large part by affluent summer homeowners and more year-round residents resulting from increased remote work options.</w:t>
      </w:r>
    </w:p>
  </w:footnote>
  <w:footnote w:id="13">
    <w:p w14:paraId="17DEFA1E" w14:textId="77777777" w:rsidR="00F16569" w:rsidRDefault="00F16569" w:rsidP="00730574">
      <w:pPr>
        <w:pStyle w:val="FootnoteText"/>
      </w:pPr>
      <w:r>
        <w:rPr>
          <w:rStyle w:val="FootnoteReference"/>
        </w:rPr>
        <w:footnoteRef/>
      </w:r>
      <w:r>
        <w:t xml:space="preserve"> UMDI projects the 65+ population on Martha’s Vineyard will be 5,402. </w:t>
      </w:r>
    </w:p>
  </w:footnote>
  <w:footnote w:id="14">
    <w:p w14:paraId="3A6EAA00" w14:textId="67C11236" w:rsidR="001F1326" w:rsidRDefault="001F1326">
      <w:pPr>
        <w:pStyle w:val="FootnoteText"/>
      </w:pPr>
      <w:r>
        <w:rPr>
          <w:rStyle w:val="FootnoteReference"/>
        </w:rPr>
        <w:footnoteRef/>
      </w:r>
      <w:r>
        <w:t xml:space="preserve"> </w:t>
      </w:r>
      <w:r w:rsidRPr="001F1326">
        <w:t>Pursuant to 105 C.M.R. 153.028(B)</w:t>
      </w:r>
      <w:r>
        <w:t xml:space="preserve">. </w:t>
      </w:r>
    </w:p>
  </w:footnote>
  <w:footnote w:id="15">
    <w:p w14:paraId="40E34F05" w14:textId="05418D10" w:rsidR="002E144B" w:rsidRDefault="002E144B">
      <w:pPr>
        <w:pStyle w:val="FootnoteText"/>
      </w:pPr>
      <w:r>
        <w:rPr>
          <w:rStyle w:val="FootnoteReference"/>
        </w:rPr>
        <w:footnoteRef/>
      </w:r>
      <w:r>
        <w:t xml:space="preserve"> </w:t>
      </w:r>
      <w:r w:rsidRPr="002E144B">
        <w:rPr>
          <w:i/>
          <w:iCs/>
        </w:rPr>
        <w:t>Massachusetts Health &amp; Hospital Association, Throughput Survey Report, November 2022</w:t>
      </w:r>
    </w:p>
  </w:footnote>
  <w:footnote w:id="16">
    <w:p w14:paraId="6986AF2B" w14:textId="2E128C96" w:rsidR="003966BF" w:rsidRDefault="003966BF">
      <w:pPr>
        <w:pStyle w:val="FootnoteText"/>
      </w:pPr>
      <w:r>
        <w:rPr>
          <w:rStyle w:val="FootnoteReference"/>
        </w:rPr>
        <w:footnoteRef/>
      </w:r>
      <w:r>
        <w:t xml:space="preserve"> Others were- 18 were awaiting LTACH care, and 18 were awaiting </w:t>
      </w:r>
      <w:proofErr w:type="gramStart"/>
      <w:r>
        <w:t>Home</w:t>
      </w:r>
      <w:proofErr w:type="gramEnd"/>
      <w:r>
        <w:t xml:space="preserve"> Health care.</w:t>
      </w:r>
    </w:p>
  </w:footnote>
  <w:footnote w:id="17">
    <w:p w14:paraId="6365272D" w14:textId="40EB29B6" w:rsidR="003966BF" w:rsidRDefault="003966BF">
      <w:pPr>
        <w:pStyle w:val="FootnoteText"/>
      </w:pPr>
      <w:r>
        <w:rPr>
          <w:rStyle w:val="FootnoteReference"/>
        </w:rPr>
        <w:footnoteRef/>
      </w:r>
      <w:r>
        <w:t xml:space="preserve"> </w:t>
      </w:r>
      <w:r w:rsidRPr="003966BF">
        <w:t>that includes AMCs who serve patients needing tertiary and quaternary care</w:t>
      </w:r>
    </w:p>
  </w:footnote>
  <w:footnote w:id="18">
    <w:p w14:paraId="7AD945E3" w14:textId="77777777" w:rsidR="00C516EA" w:rsidRDefault="00C516EA" w:rsidP="00C516EA">
      <w:pPr>
        <w:pStyle w:val="FootnoteText"/>
      </w:pPr>
      <w:r>
        <w:rPr>
          <w:rStyle w:val="FootnoteReference"/>
        </w:rPr>
        <w:footnoteRef/>
      </w:r>
      <w:r>
        <w:t xml:space="preserve"> </w:t>
      </w:r>
      <w:r w:rsidRPr="000A18C7">
        <w:t>The MDS is part of the mandated clinical assessment of residents in Medicare and Medicaid certified nursing homes.</w:t>
      </w:r>
    </w:p>
  </w:footnote>
  <w:footnote w:id="19">
    <w:p w14:paraId="19254DC6" w14:textId="2372EF9F" w:rsidR="007563DC" w:rsidRDefault="007563DC">
      <w:pPr>
        <w:pStyle w:val="FootnoteText"/>
      </w:pPr>
      <w:r>
        <w:rPr>
          <w:rStyle w:val="FootnoteReference"/>
        </w:rPr>
        <w:footnoteRef/>
      </w:r>
      <w:r>
        <w:t xml:space="preserve"> T</w:t>
      </w:r>
      <w:r w:rsidRPr="007563DC">
        <w:t>he actual number of COVID-19-positive cases and related deaths are believed to be underestimated</w:t>
      </w:r>
      <w:r>
        <w:t>.</w:t>
      </w:r>
    </w:p>
  </w:footnote>
  <w:footnote w:id="20">
    <w:p w14:paraId="5CE3A026" w14:textId="655BA772" w:rsidR="00A413D3" w:rsidRDefault="00A413D3" w:rsidP="00A413D3">
      <w:pPr>
        <w:pStyle w:val="FootnoteText"/>
      </w:pPr>
      <w:r>
        <w:rPr>
          <w:rStyle w:val="FootnoteReference"/>
        </w:rPr>
        <w:footnoteRef/>
      </w:r>
      <w:r>
        <w:t xml:space="preserve"> </w:t>
      </w:r>
      <w:r w:rsidRPr="00CB081E">
        <w:t>Data Source: Centers for Medicare and Medicaid Minimum Dataset</w:t>
      </w:r>
      <w:r>
        <w:t xml:space="preserve"> and </w:t>
      </w:r>
      <w:r w:rsidRPr="00CB081E">
        <w:t>The Massachusetts Nursing Home Score Card is a state-based scoring system for licensed skilled nursing</w:t>
      </w:r>
      <w:r>
        <w:t xml:space="preserve"> </w:t>
      </w:r>
      <w:r w:rsidRPr="00CB081E">
        <w:t>facilities in the Commonwealth of Massachusetts. Scores are based CMS certification and complaint facility</w:t>
      </w:r>
      <w:r>
        <w:t xml:space="preserve"> </w:t>
      </w:r>
      <w:r w:rsidRPr="00CB081E">
        <w:t>surveys from the previous three years. Deficiencies are of any scope and severity</w:t>
      </w:r>
      <w:r>
        <w:t>.</w:t>
      </w:r>
    </w:p>
  </w:footnote>
  <w:footnote w:id="21">
    <w:p w14:paraId="7AD3800B" w14:textId="6588E2DC" w:rsidR="004F1862" w:rsidRDefault="004F1862">
      <w:pPr>
        <w:pStyle w:val="FootnoteText"/>
      </w:pPr>
      <w:r>
        <w:rPr>
          <w:rStyle w:val="FootnoteReference"/>
        </w:rPr>
        <w:footnoteRef/>
      </w:r>
      <w:r>
        <w:t xml:space="preserve"> Navigator DoN Narrative p. 3</w:t>
      </w:r>
    </w:p>
  </w:footnote>
  <w:footnote w:id="22">
    <w:p w14:paraId="0FD86BAD" w14:textId="523360C1" w:rsidR="00630166" w:rsidRPr="00630166" w:rsidRDefault="00630166" w:rsidP="00630166">
      <w:pPr>
        <w:pStyle w:val="FootnoteText"/>
      </w:pPr>
      <w:r>
        <w:rPr>
          <w:rStyle w:val="FootnoteReference"/>
        </w:rPr>
        <w:footnoteRef/>
      </w:r>
      <w:r>
        <w:t xml:space="preserve"> 1. </w:t>
      </w:r>
      <w:r w:rsidR="009E4448">
        <w:t xml:space="preserve">   </w:t>
      </w:r>
      <w:r w:rsidRPr="00630166">
        <w:t>TV interview on MVTV with Bob Tankard on April 16, 2020</w:t>
      </w:r>
      <w:r>
        <w:t xml:space="preserve">, </w:t>
      </w:r>
    </w:p>
    <w:p w14:paraId="7CA77E6C" w14:textId="2BFB70EB" w:rsidR="00630166" w:rsidRPr="00630166" w:rsidRDefault="00630166" w:rsidP="009E4448">
      <w:pPr>
        <w:pStyle w:val="FootnoteText"/>
        <w:numPr>
          <w:ilvl w:val="0"/>
          <w:numId w:val="19"/>
        </w:numPr>
        <w:ind w:left="540"/>
      </w:pPr>
      <w:r w:rsidRPr="00630166">
        <w:t>Radio interview on MV Radio on May 7, 2020</w:t>
      </w:r>
      <w:r>
        <w:t xml:space="preserve">, </w:t>
      </w:r>
    </w:p>
    <w:p w14:paraId="40A9E660" w14:textId="77777777" w:rsidR="00630166" w:rsidRPr="00630166" w:rsidRDefault="00630166" w:rsidP="009E4448">
      <w:pPr>
        <w:pStyle w:val="FootnoteText"/>
        <w:numPr>
          <w:ilvl w:val="0"/>
          <w:numId w:val="19"/>
        </w:numPr>
        <w:ind w:left="540"/>
      </w:pPr>
      <w:r w:rsidRPr="00630166">
        <w:t>Public meeting at the Edgartown Public Library on May 12, 2020</w:t>
      </w:r>
    </w:p>
    <w:p w14:paraId="50F7D581" w14:textId="77777777" w:rsidR="00630166" w:rsidRPr="00630166" w:rsidRDefault="00630166" w:rsidP="009E4448">
      <w:pPr>
        <w:pStyle w:val="FootnoteText"/>
        <w:numPr>
          <w:ilvl w:val="0"/>
          <w:numId w:val="19"/>
        </w:numPr>
        <w:ind w:left="540"/>
      </w:pPr>
      <w:r w:rsidRPr="00630166">
        <w:t>Public meeting at the West Tisbury Library on May 14, 2020</w:t>
      </w:r>
    </w:p>
    <w:p w14:paraId="4EC68D87" w14:textId="77777777" w:rsidR="00630166" w:rsidRPr="00630166" w:rsidRDefault="00630166" w:rsidP="009E4448">
      <w:pPr>
        <w:pStyle w:val="FootnoteText"/>
        <w:numPr>
          <w:ilvl w:val="0"/>
          <w:numId w:val="19"/>
        </w:numPr>
        <w:ind w:left="540"/>
      </w:pPr>
      <w:r w:rsidRPr="00630166">
        <w:t>Presented at the West Tisbury Town Meeting on May 14, 2020</w:t>
      </w:r>
    </w:p>
    <w:p w14:paraId="323061D0" w14:textId="77777777" w:rsidR="00630166" w:rsidRPr="00630166" w:rsidRDefault="00630166" w:rsidP="009E4448">
      <w:pPr>
        <w:pStyle w:val="FootnoteText"/>
        <w:numPr>
          <w:ilvl w:val="0"/>
          <w:numId w:val="19"/>
        </w:numPr>
        <w:ind w:left="540"/>
      </w:pPr>
      <w:r w:rsidRPr="00630166">
        <w:t>Public meeting at the Vineyard Haven Public Library on July 15, 2020</w:t>
      </w:r>
    </w:p>
    <w:p w14:paraId="05254660" w14:textId="77777777" w:rsidR="00630166" w:rsidRPr="00630166" w:rsidRDefault="00630166" w:rsidP="009E4448">
      <w:pPr>
        <w:pStyle w:val="FootnoteText"/>
        <w:numPr>
          <w:ilvl w:val="0"/>
          <w:numId w:val="19"/>
        </w:numPr>
        <w:ind w:left="540"/>
      </w:pPr>
      <w:r w:rsidRPr="00630166">
        <w:t>Presented at the Edgartown Town Meeting on July 22, 2020</w:t>
      </w:r>
    </w:p>
    <w:p w14:paraId="0209943D" w14:textId="77777777" w:rsidR="00630166" w:rsidRPr="00630166" w:rsidRDefault="00630166" w:rsidP="009E4448">
      <w:pPr>
        <w:pStyle w:val="FootnoteText"/>
        <w:numPr>
          <w:ilvl w:val="0"/>
          <w:numId w:val="19"/>
        </w:numPr>
        <w:ind w:left="540"/>
      </w:pPr>
      <w:r w:rsidRPr="00630166">
        <w:t xml:space="preserve">Presented at the Oak Bluffs Town Meeting on July 29, 2020 </w:t>
      </w:r>
    </w:p>
    <w:p w14:paraId="4488A6F3" w14:textId="77777777" w:rsidR="00630166" w:rsidRPr="00630166" w:rsidRDefault="00630166" w:rsidP="009E4448">
      <w:pPr>
        <w:pStyle w:val="FootnoteText"/>
        <w:numPr>
          <w:ilvl w:val="0"/>
          <w:numId w:val="19"/>
        </w:numPr>
        <w:ind w:left="540"/>
      </w:pPr>
      <w:r w:rsidRPr="00630166">
        <w:t>Public meeting at the Oak Bluffs Public Library on July 30, 2020</w:t>
      </w:r>
    </w:p>
    <w:p w14:paraId="49799A5C" w14:textId="77777777" w:rsidR="00630166" w:rsidRPr="00630166" w:rsidRDefault="00630166" w:rsidP="009E4448">
      <w:pPr>
        <w:pStyle w:val="FootnoteText"/>
        <w:numPr>
          <w:ilvl w:val="0"/>
          <w:numId w:val="19"/>
        </w:numPr>
        <w:ind w:left="540"/>
      </w:pPr>
      <w:r w:rsidRPr="00630166">
        <w:t>Public meeting at the Chilmark Free Public Library on August 20, 2020</w:t>
      </w:r>
    </w:p>
    <w:p w14:paraId="5923A359" w14:textId="77777777" w:rsidR="00630166" w:rsidRPr="00630166" w:rsidRDefault="00630166" w:rsidP="009E4448">
      <w:pPr>
        <w:pStyle w:val="FootnoteText"/>
        <w:numPr>
          <w:ilvl w:val="0"/>
          <w:numId w:val="19"/>
        </w:numPr>
        <w:ind w:left="540"/>
      </w:pPr>
      <w:r w:rsidRPr="00630166">
        <w:t>Presented to Town of Chilmark Board of Selectmen on September 24, 2020</w:t>
      </w:r>
    </w:p>
    <w:p w14:paraId="473E64B3" w14:textId="77777777" w:rsidR="00630166" w:rsidRPr="00630166" w:rsidRDefault="00630166" w:rsidP="009E4448">
      <w:pPr>
        <w:pStyle w:val="FootnoteText"/>
        <w:numPr>
          <w:ilvl w:val="0"/>
          <w:numId w:val="19"/>
        </w:numPr>
        <w:ind w:left="540"/>
      </w:pPr>
      <w:r w:rsidRPr="00630166">
        <w:t>Presented to Town of Aquinnah Select Board on September 30, 2020</w:t>
      </w:r>
    </w:p>
    <w:p w14:paraId="3FA9F8ED" w14:textId="77777777" w:rsidR="00630166" w:rsidRPr="00630166" w:rsidRDefault="00630166" w:rsidP="009E4448">
      <w:pPr>
        <w:pStyle w:val="FootnoteText"/>
        <w:numPr>
          <w:ilvl w:val="0"/>
          <w:numId w:val="19"/>
        </w:numPr>
        <w:ind w:left="540"/>
      </w:pPr>
      <w:r w:rsidRPr="00630166">
        <w:t>Presented to the Town of Edgartown Planning Board on January 12, October 14, November 9, and December 14, 2021</w:t>
      </w:r>
    </w:p>
    <w:p w14:paraId="76BF6407" w14:textId="77777777" w:rsidR="00630166" w:rsidRPr="00630166" w:rsidRDefault="00630166" w:rsidP="009E4448">
      <w:pPr>
        <w:pStyle w:val="FootnoteText"/>
        <w:numPr>
          <w:ilvl w:val="0"/>
          <w:numId w:val="19"/>
        </w:numPr>
        <w:ind w:left="540"/>
      </w:pPr>
      <w:r w:rsidRPr="00630166">
        <w:t>Presented to the Unitarian Universalist Society of Martha’s Vineyard on February 21, 2021</w:t>
      </w:r>
    </w:p>
    <w:p w14:paraId="276D48C5" w14:textId="77777777" w:rsidR="00630166" w:rsidRPr="00630166" w:rsidRDefault="00630166" w:rsidP="009E4448">
      <w:pPr>
        <w:pStyle w:val="FootnoteText"/>
        <w:numPr>
          <w:ilvl w:val="0"/>
          <w:numId w:val="19"/>
        </w:numPr>
        <w:ind w:left="540"/>
      </w:pPr>
      <w:r w:rsidRPr="00630166">
        <w:t>Radio interview on WCAI Radio Station “The Point” on October 7, 2021</w:t>
      </w:r>
    </w:p>
    <w:p w14:paraId="268D7A85" w14:textId="77777777" w:rsidR="00630166" w:rsidRPr="00630166" w:rsidRDefault="00630166" w:rsidP="009E4448">
      <w:pPr>
        <w:pStyle w:val="FootnoteText"/>
        <w:numPr>
          <w:ilvl w:val="0"/>
          <w:numId w:val="19"/>
        </w:numPr>
        <w:ind w:left="540"/>
      </w:pPr>
      <w:r w:rsidRPr="00630166">
        <w:t>Presented to the Town of Edgartown Planning Board on January 18, February 15, March 1, 2022</w:t>
      </w:r>
    </w:p>
    <w:p w14:paraId="1CA208B3" w14:textId="77777777" w:rsidR="00630166" w:rsidRPr="00630166" w:rsidRDefault="00630166" w:rsidP="009E4448">
      <w:pPr>
        <w:pStyle w:val="FootnoteText"/>
        <w:numPr>
          <w:ilvl w:val="0"/>
          <w:numId w:val="19"/>
        </w:numPr>
        <w:ind w:left="540"/>
      </w:pPr>
      <w:r w:rsidRPr="00630166">
        <w:t>Presented to the Martha’s Vineyard Neighborhood Convention on May 3, 2022</w:t>
      </w:r>
    </w:p>
    <w:p w14:paraId="0F348057" w14:textId="77777777" w:rsidR="00630166" w:rsidRPr="00630166" w:rsidRDefault="00630166" w:rsidP="009E4448">
      <w:pPr>
        <w:pStyle w:val="FootnoteText"/>
        <w:numPr>
          <w:ilvl w:val="0"/>
          <w:numId w:val="19"/>
        </w:numPr>
        <w:ind w:left="540"/>
      </w:pPr>
      <w:r w:rsidRPr="00630166">
        <w:t>Presented to St. Andrew’s Church on July 24 and August 28, 2022</w:t>
      </w:r>
    </w:p>
    <w:p w14:paraId="6C2C3DC1" w14:textId="77777777" w:rsidR="00630166" w:rsidRPr="00630166" w:rsidRDefault="00630166" w:rsidP="009E4448">
      <w:pPr>
        <w:pStyle w:val="FootnoteText"/>
        <w:numPr>
          <w:ilvl w:val="0"/>
          <w:numId w:val="19"/>
        </w:numPr>
        <w:ind w:left="540"/>
      </w:pPr>
      <w:r w:rsidRPr="00630166">
        <w:t>Presented to Grace Church on September 11, 2022</w:t>
      </w:r>
    </w:p>
    <w:p w14:paraId="364E72C9" w14:textId="733A613C" w:rsidR="00630166" w:rsidRDefault="00630166" w:rsidP="009E4448">
      <w:pPr>
        <w:pStyle w:val="FootnoteText"/>
        <w:numPr>
          <w:ilvl w:val="0"/>
          <w:numId w:val="19"/>
        </w:numPr>
        <w:ind w:left="540"/>
      </w:pPr>
      <w:r w:rsidRPr="00630166">
        <w:t>Radio interview on MVY Radio on September 25, 2022</w:t>
      </w:r>
    </w:p>
  </w:footnote>
  <w:footnote w:id="23">
    <w:p w14:paraId="6BC54AB7" w14:textId="77777777" w:rsidR="00630166" w:rsidRPr="00630166" w:rsidRDefault="00630166" w:rsidP="00630166">
      <w:pPr>
        <w:pStyle w:val="FootnoteText"/>
      </w:pPr>
      <w:r>
        <w:rPr>
          <w:rStyle w:val="FootnoteReference"/>
        </w:rPr>
        <w:footnoteRef/>
      </w:r>
      <w:r>
        <w:t xml:space="preserve"> </w:t>
      </w:r>
      <w:r w:rsidRPr="00630166">
        <w:t xml:space="preserve">Copies of two community presentations are included as Appendix 3. </w:t>
      </w:r>
    </w:p>
    <w:p w14:paraId="21A9310F" w14:textId="0AD04193" w:rsidR="00630166" w:rsidRDefault="00630166">
      <w:pPr>
        <w:pStyle w:val="FootnoteText"/>
      </w:pPr>
    </w:p>
  </w:footnote>
  <w:footnote w:id="24">
    <w:p w14:paraId="5173F3D4" w14:textId="77777777" w:rsidR="003B720A" w:rsidRDefault="003B720A" w:rsidP="003B720A">
      <w:pPr>
        <w:pStyle w:val="FootnoteText"/>
        <w:rPr>
          <w:rFonts w:ascii="Calibri" w:hAnsi="Calibri" w:cs="Calibri"/>
        </w:rPr>
      </w:pPr>
      <w:r>
        <w:rPr>
          <w:rStyle w:val="FootnoteReference"/>
        </w:rPr>
        <w:footnoteRef/>
      </w:r>
      <w:r>
        <w:t xml:space="preserve"> The CPA states it was </w:t>
      </w:r>
      <w:r>
        <w:rPr>
          <w:i/>
          <w:iCs/>
        </w:rPr>
        <w:t>prepared in accordance with the attestation standards established by the American Institute of Certified Public Accountants</w:t>
      </w:r>
      <w:r>
        <w:t xml:space="preserve"> </w:t>
      </w:r>
    </w:p>
  </w:footnote>
  <w:footnote w:id="25">
    <w:p w14:paraId="685DE4A7" w14:textId="77777777" w:rsidR="003B720A" w:rsidRDefault="003B720A" w:rsidP="003B720A">
      <w:pPr>
        <w:pStyle w:val="FootnoteText"/>
      </w:pPr>
      <w:r>
        <w:rPr>
          <w:rStyle w:val="FootnoteReference"/>
        </w:rPr>
        <w:footnoteRef/>
      </w:r>
      <w:r>
        <w:t xml:space="preserve"> From the Responses to DoN questions.</w:t>
      </w:r>
    </w:p>
  </w:footnote>
  <w:footnote w:id="26">
    <w:p w14:paraId="7519D64C" w14:textId="77777777" w:rsidR="003B720A" w:rsidRDefault="003B720A" w:rsidP="003B720A">
      <w:pPr>
        <w:pStyle w:val="FootnoteText"/>
      </w:pPr>
      <w:r>
        <w:rPr>
          <w:rStyle w:val="FootnoteReference"/>
        </w:rPr>
        <w:footnoteRef/>
      </w:r>
      <w:r>
        <w:t xml:space="preserve"> </w:t>
      </w:r>
      <w:r w:rsidRPr="00E878C6">
        <w:rPr>
          <w:rFonts w:ascii="Calibri" w:eastAsia="Calibri" w:hAnsi="Calibri" w:cs="Calibri"/>
        </w:rPr>
        <w:t xml:space="preserve">The Centers for Medicare &amp; Medicaid Services (CMS) ensure that facilities provide up to date data in their cost reports </w:t>
      </w:r>
      <w:r w:rsidRPr="00E878C6">
        <w:rPr>
          <w:rFonts w:ascii="Calibri" w:eastAsia="Calibri" w:hAnsi="Calibri" w:cs="Calibri"/>
          <w:u w:val="single"/>
        </w:rPr>
        <w:t>that are then summarized in the HCRIS Data</w:t>
      </w:r>
      <w:r w:rsidRPr="00E878C6">
        <w:rPr>
          <w:rFonts w:ascii="Calibri" w:eastAsia="Calibri" w:hAnsi="Calibri" w:cs="Calibri"/>
        </w:rPr>
        <w:t xml:space="preserve"> which consists of 12,401 total skilled nursing facilities.</w:t>
      </w:r>
    </w:p>
  </w:footnote>
  <w:footnote w:id="27">
    <w:p w14:paraId="7B3F1692" w14:textId="77777777" w:rsidR="003B720A" w:rsidRDefault="003B720A" w:rsidP="003B720A">
      <w:pPr>
        <w:pStyle w:val="FootnoteText"/>
      </w:pPr>
      <w:r>
        <w:rPr>
          <w:rStyle w:val="FootnoteReference"/>
        </w:rPr>
        <w:footnoteRef/>
      </w:r>
      <w:r>
        <w:t xml:space="preserve"> </w:t>
      </w:r>
      <w:r w:rsidRPr="00D173AA">
        <w:t>Health services expenses include CNAs who are assumed to be utilized as “Shahbazim” according to the Green House staffing model, which can include duties beyond the traditional scope of practice of a CNA such as cooking, cleaning, laundry, and activities.</w:t>
      </w:r>
    </w:p>
  </w:footnote>
  <w:footnote w:id="28">
    <w:p w14:paraId="34C2E046" w14:textId="64DC84F5" w:rsidR="00A159C1" w:rsidRDefault="00A159C1" w:rsidP="00A159C1">
      <w:pPr>
        <w:pStyle w:val="FootnoteText"/>
      </w:pPr>
      <w:r>
        <w:rPr>
          <w:rStyle w:val="FootnoteReference"/>
        </w:rPr>
        <w:footnoteRef/>
      </w:r>
      <w:r>
        <w:t xml:space="preserve"> Including MVH, </w:t>
      </w:r>
      <w:r w:rsidRPr="005033E5">
        <w:t>Dukes County Regional Housing Authority</w:t>
      </w:r>
      <w:r>
        <w:t xml:space="preserve">, </w:t>
      </w:r>
      <w:r w:rsidRPr="005033E5">
        <w:t>Martha's Vineyard Commission</w:t>
      </w:r>
      <w:r>
        <w:t xml:space="preserve">, </w:t>
      </w:r>
      <w:hyperlink r:id="rId7" w:history="1">
        <w:r w:rsidR="009A2B50" w:rsidRPr="00CB3679">
          <w:rPr>
            <w:rStyle w:val="Hyperlink"/>
          </w:rPr>
          <w:t>http://www.mvcommission.org/</w:t>
        </w:r>
      </w:hyperlink>
      <w:r w:rsidR="009A2B50">
        <w:t xml:space="preserve"> </w:t>
      </w:r>
    </w:p>
  </w:footnote>
  <w:footnote w:id="29">
    <w:p w14:paraId="0589B988" w14:textId="002C798B" w:rsidR="008141DD" w:rsidRDefault="008141DD">
      <w:pPr>
        <w:pStyle w:val="FootnoteText"/>
      </w:pPr>
      <w:r>
        <w:rPr>
          <w:rStyle w:val="FootnoteReference"/>
        </w:rPr>
        <w:footnoteRef/>
      </w:r>
      <w:r>
        <w:t xml:space="preserve"> </w:t>
      </w:r>
      <w:r w:rsidRPr="008141DD">
        <w:rPr>
          <w:bCs/>
        </w:rPr>
        <w:t xml:space="preserve">Registration information is available on the </w:t>
      </w:r>
      <w:hyperlink r:id="rId8" w:history="1">
        <w:r w:rsidRPr="009A2B50">
          <w:rPr>
            <w:rStyle w:val="Hyperlink"/>
            <w:bCs/>
            <w:color w:val="000000" w:themeColor="text1"/>
            <w:u w:val="none"/>
          </w:rPr>
          <w:t>DoN website</w:t>
        </w:r>
      </w:hyperlink>
      <w:r w:rsidRPr="008141DD">
        <w:rPr>
          <w:bCs/>
        </w:rPr>
        <w:t>.</w:t>
      </w:r>
      <w:r w:rsidR="00FE5E61">
        <w:rPr>
          <w:bCs/>
        </w:rPr>
        <w:t xml:space="preserve"> </w:t>
      </w:r>
      <w:hyperlink r:id="rId9" w:history="1">
        <w:r w:rsidR="009A2B50" w:rsidRPr="00CB3679">
          <w:rPr>
            <w:rStyle w:val="Hyperlink"/>
          </w:rPr>
          <w:t>https://www.mass.gov/doc/navigator-homes-of-marthas-vineyard-pdf/download</w:t>
        </w:r>
      </w:hyperlink>
      <w:r w:rsidR="009A2B50">
        <w:t xml:space="preserve"> </w:t>
      </w:r>
    </w:p>
  </w:footnote>
  <w:footnote w:id="30">
    <w:p w14:paraId="55B42280" w14:textId="3E5305C5" w:rsidR="00926F33" w:rsidRDefault="00926F33">
      <w:pPr>
        <w:pStyle w:val="FootnoteText"/>
      </w:pPr>
      <w:r>
        <w:rPr>
          <w:rStyle w:val="FootnoteReference"/>
        </w:rPr>
        <w:footnoteRef/>
      </w:r>
      <w:r>
        <w:t xml:space="preserve"> All comments are available on the </w:t>
      </w:r>
      <w:hyperlink r:id="rId10" w:history="1">
        <w:r w:rsidRPr="0037759E">
          <w:rPr>
            <w:rStyle w:val="Hyperlink"/>
            <w:color w:val="000000" w:themeColor="text1"/>
            <w:u w:val="none"/>
          </w:rPr>
          <w:t>DoN website</w:t>
        </w:r>
      </w:hyperlink>
      <w:r>
        <w:t xml:space="preserve">. </w:t>
      </w:r>
      <w:hyperlink r:id="rId11" w:history="1">
        <w:r w:rsidR="009A2B50" w:rsidRPr="00CB3679">
          <w:rPr>
            <w:rStyle w:val="Hyperlink"/>
          </w:rPr>
          <w:t>https://www.mass.gov/info-details/navigator-homes-of-marthas-vineyard-inc-long-term-care-substantial-capital-expenditure</w:t>
        </w:r>
      </w:hyperlink>
      <w:r w:rsidR="009A2B50">
        <w:t xml:space="preserve"> </w:t>
      </w:r>
    </w:p>
  </w:footnote>
  <w:footnote w:id="31">
    <w:p w14:paraId="214C7FD7" w14:textId="557F5966" w:rsidR="00FF2590" w:rsidRDefault="00FF2590">
      <w:pPr>
        <w:pStyle w:val="FootnoteText"/>
      </w:pPr>
      <w:r>
        <w:rPr>
          <w:rStyle w:val="FootnoteReference"/>
        </w:rPr>
        <w:footnoteRef/>
      </w:r>
      <w:r>
        <w:t xml:space="preserve"> Staff notes that while most of the comments stated 35% the actual percentage is 25% as cited on p. </w:t>
      </w:r>
      <w:r w:rsidR="00FB4158">
        <w:t>6 of this report.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3278958"/>
      <w:docPartObj>
        <w:docPartGallery w:val="Page Numbers (Top of Page)"/>
        <w:docPartUnique/>
      </w:docPartObj>
    </w:sdtPr>
    <w:sdtEndPr>
      <w:rPr>
        <w:noProof/>
      </w:rPr>
    </w:sdtEndPr>
    <w:sdtContent>
      <w:p w14:paraId="5E7A4BC5" w14:textId="42CFBF6C" w:rsidR="00C123F0" w:rsidRDefault="00C123F0">
        <w:pPr>
          <w:pStyle w:val="Head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14:paraId="753AAD68" w14:textId="77777777" w:rsidR="00C123F0" w:rsidRDefault="00C123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3A253F0"/>
    <w:multiLevelType w:val="hybridMultilevel"/>
    <w:tmpl w:val="E52C5034"/>
    <w:lvl w:ilvl="0" w:tplc="FFFFFFFF">
      <w:start w:val="1"/>
      <w:numFmt w:val="bullet"/>
      <w:lvlText w:val="•"/>
      <w:lvlJc w:val="left"/>
    </w:lvl>
    <w:lvl w:ilvl="1" w:tplc="0409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5D6EFF"/>
    <w:multiLevelType w:val="hybridMultilevel"/>
    <w:tmpl w:val="DC8EC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E61151"/>
    <w:multiLevelType w:val="hybridMultilevel"/>
    <w:tmpl w:val="13167F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174F07"/>
    <w:multiLevelType w:val="hybridMultilevel"/>
    <w:tmpl w:val="969A3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8F53B9"/>
    <w:multiLevelType w:val="hybridMultilevel"/>
    <w:tmpl w:val="72EA1B5A"/>
    <w:lvl w:ilvl="0" w:tplc="6F3859B4">
      <w:start w:val="1"/>
      <w:numFmt w:val="decimal"/>
      <w:lvlText w:val="%1."/>
      <w:lvlJc w:val="left"/>
      <w:pPr>
        <w:ind w:left="720" w:hanging="360"/>
      </w:pPr>
      <w:rPr>
        <w:b/>
        <w:bCs/>
      </w:rPr>
    </w:lvl>
    <w:lvl w:ilvl="1" w:tplc="A3E40470" w:tentative="1">
      <w:start w:val="1"/>
      <w:numFmt w:val="lowerLetter"/>
      <w:lvlText w:val="%2."/>
      <w:lvlJc w:val="left"/>
      <w:pPr>
        <w:ind w:left="1440" w:hanging="360"/>
      </w:pPr>
    </w:lvl>
    <w:lvl w:ilvl="2" w:tplc="7E0AE60A" w:tentative="1">
      <w:start w:val="1"/>
      <w:numFmt w:val="lowerRoman"/>
      <w:lvlText w:val="%3."/>
      <w:lvlJc w:val="right"/>
      <w:pPr>
        <w:ind w:left="2160" w:hanging="180"/>
      </w:pPr>
    </w:lvl>
    <w:lvl w:ilvl="3" w:tplc="A68E175C" w:tentative="1">
      <w:start w:val="1"/>
      <w:numFmt w:val="decimal"/>
      <w:lvlText w:val="%4."/>
      <w:lvlJc w:val="left"/>
      <w:pPr>
        <w:ind w:left="2880" w:hanging="360"/>
      </w:pPr>
    </w:lvl>
    <w:lvl w:ilvl="4" w:tplc="8DFA5648" w:tentative="1">
      <w:start w:val="1"/>
      <w:numFmt w:val="lowerLetter"/>
      <w:lvlText w:val="%5."/>
      <w:lvlJc w:val="left"/>
      <w:pPr>
        <w:ind w:left="3600" w:hanging="360"/>
      </w:pPr>
    </w:lvl>
    <w:lvl w:ilvl="5" w:tplc="A260B3E0" w:tentative="1">
      <w:start w:val="1"/>
      <w:numFmt w:val="lowerRoman"/>
      <w:lvlText w:val="%6."/>
      <w:lvlJc w:val="right"/>
      <w:pPr>
        <w:ind w:left="4320" w:hanging="180"/>
      </w:pPr>
    </w:lvl>
    <w:lvl w:ilvl="6" w:tplc="135C1DC6" w:tentative="1">
      <w:start w:val="1"/>
      <w:numFmt w:val="decimal"/>
      <w:lvlText w:val="%7."/>
      <w:lvlJc w:val="left"/>
      <w:pPr>
        <w:ind w:left="5040" w:hanging="360"/>
      </w:pPr>
    </w:lvl>
    <w:lvl w:ilvl="7" w:tplc="8946C0EA" w:tentative="1">
      <w:start w:val="1"/>
      <w:numFmt w:val="lowerLetter"/>
      <w:lvlText w:val="%8."/>
      <w:lvlJc w:val="left"/>
      <w:pPr>
        <w:ind w:left="5760" w:hanging="360"/>
      </w:pPr>
    </w:lvl>
    <w:lvl w:ilvl="8" w:tplc="7C9CD290" w:tentative="1">
      <w:start w:val="1"/>
      <w:numFmt w:val="lowerRoman"/>
      <w:lvlText w:val="%9."/>
      <w:lvlJc w:val="right"/>
      <w:pPr>
        <w:ind w:left="6480" w:hanging="180"/>
      </w:pPr>
    </w:lvl>
  </w:abstractNum>
  <w:abstractNum w:abstractNumId="5" w15:restartNumberingAfterBreak="0">
    <w:nsid w:val="0E340F77"/>
    <w:multiLevelType w:val="hybridMultilevel"/>
    <w:tmpl w:val="FA8086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090516"/>
    <w:multiLevelType w:val="hybridMultilevel"/>
    <w:tmpl w:val="F1D0770E"/>
    <w:lvl w:ilvl="0" w:tplc="53509B68">
      <w:start w:val="1"/>
      <w:numFmt w:val="decimal"/>
      <w:lvlText w:val="%1."/>
      <w:lvlJc w:val="left"/>
      <w:pPr>
        <w:ind w:left="720" w:hanging="360"/>
      </w:pPr>
      <w:rPr>
        <w:rFonts w:hint="default"/>
      </w:rPr>
    </w:lvl>
    <w:lvl w:ilvl="1" w:tplc="4B964DFA" w:tentative="1">
      <w:start w:val="1"/>
      <w:numFmt w:val="lowerLetter"/>
      <w:lvlText w:val="%2."/>
      <w:lvlJc w:val="left"/>
      <w:pPr>
        <w:ind w:left="1440" w:hanging="360"/>
      </w:pPr>
    </w:lvl>
    <w:lvl w:ilvl="2" w:tplc="E034EB40" w:tentative="1">
      <w:start w:val="1"/>
      <w:numFmt w:val="lowerRoman"/>
      <w:lvlText w:val="%3."/>
      <w:lvlJc w:val="right"/>
      <w:pPr>
        <w:ind w:left="2160" w:hanging="180"/>
      </w:pPr>
    </w:lvl>
    <w:lvl w:ilvl="3" w:tplc="9BC8D74E" w:tentative="1">
      <w:start w:val="1"/>
      <w:numFmt w:val="decimal"/>
      <w:lvlText w:val="%4."/>
      <w:lvlJc w:val="left"/>
      <w:pPr>
        <w:ind w:left="2880" w:hanging="360"/>
      </w:pPr>
    </w:lvl>
    <w:lvl w:ilvl="4" w:tplc="5F9A2436" w:tentative="1">
      <w:start w:val="1"/>
      <w:numFmt w:val="lowerLetter"/>
      <w:lvlText w:val="%5."/>
      <w:lvlJc w:val="left"/>
      <w:pPr>
        <w:ind w:left="3600" w:hanging="360"/>
      </w:pPr>
    </w:lvl>
    <w:lvl w:ilvl="5" w:tplc="A3649F92" w:tentative="1">
      <w:start w:val="1"/>
      <w:numFmt w:val="lowerRoman"/>
      <w:lvlText w:val="%6."/>
      <w:lvlJc w:val="right"/>
      <w:pPr>
        <w:ind w:left="4320" w:hanging="180"/>
      </w:pPr>
    </w:lvl>
    <w:lvl w:ilvl="6" w:tplc="17C4098C" w:tentative="1">
      <w:start w:val="1"/>
      <w:numFmt w:val="decimal"/>
      <w:lvlText w:val="%7."/>
      <w:lvlJc w:val="left"/>
      <w:pPr>
        <w:ind w:left="5040" w:hanging="360"/>
      </w:pPr>
    </w:lvl>
    <w:lvl w:ilvl="7" w:tplc="8A964270" w:tentative="1">
      <w:start w:val="1"/>
      <w:numFmt w:val="lowerLetter"/>
      <w:lvlText w:val="%8."/>
      <w:lvlJc w:val="left"/>
      <w:pPr>
        <w:ind w:left="5760" w:hanging="360"/>
      </w:pPr>
    </w:lvl>
    <w:lvl w:ilvl="8" w:tplc="4CBA0806" w:tentative="1">
      <w:start w:val="1"/>
      <w:numFmt w:val="lowerRoman"/>
      <w:lvlText w:val="%9."/>
      <w:lvlJc w:val="right"/>
      <w:pPr>
        <w:ind w:left="6480" w:hanging="180"/>
      </w:pPr>
    </w:lvl>
  </w:abstractNum>
  <w:abstractNum w:abstractNumId="7" w15:restartNumberingAfterBreak="0">
    <w:nsid w:val="12D47460"/>
    <w:multiLevelType w:val="hybridMultilevel"/>
    <w:tmpl w:val="FA8086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550E7E"/>
    <w:multiLevelType w:val="hybridMultilevel"/>
    <w:tmpl w:val="2E980CE2"/>
    <w:lvl w:ilvl="0" w:tplc="A0A09BC6">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8B2A3E"/>
    <w:multiLevelType w:val="hybridMultilevel"/>
    <w:tmpl w:val="981E30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B76A22"/>
    <w:multiLevelType w:val="hybridMultilevel"/>
    <w:tmpl w:val="F55EBAE4"/>
    <w:lvl w:ilvl="0" w:tplc="4A3E9138">
      <w:start w:val="2"/>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FD73E82"/>
    <w:multiLevelType w:val="hybridMultilevel"/>
    <w:tmpl w:val="9A5AD5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545DC3"/>
    <w:multiLevelType w:val="hybridMultilevel"/>
    <w:tmpl w:val="FA8086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C126CA6"/>
    <w:multiLevelType w:val="hybridMultilevel"/>
    <w:tmpl w:val="E5AEF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FC53A4"/>
    <w:multiLevelType w:val="hybridMultilevel"/>
    <w:tmpl w:val="9990C5E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5DC6630"/>
    <w:multiLevelType w:val="hybridMultilevel"/>
    <w:tmpl w:val="2FA2E920"/>
    <w:lvl w:ilvl="0" w:tplc="018466B8">
      <w:start w:val="1"/>
      <w:numFmt w:val="bullet"/>
      <w:lvlText w:val=""/>
      <w:lvlJc w:val="left"/>
      <w:pPr>
        <w:ind w:left="720" w:hanging="360"/>
      </w:pPr>
      <w:rPr>
        <w:rFonts w:ascii="Symbol" w:hAnsi="Symbol" w:hint="default"/>
      </w:rPr>
    </w:lvl>
    <w:lvl w:ilvl="1" w:tplc="01CC4AA2" w:tentative="1">
      <w:start w:val="1"/>
      <w:numFmt w:val="bullet"/>
      <w:lvlText w:val="o"/>
      <w:lvlJc w:val="left"/>
      <w:pPr>
        <w:ind w:left="1440" w:hanging="360"/>
      </w:pPr>
      <w:rPr>
        <w:rFonts w:ascii="Courier New" w:hAnsi="Courier New" w:cs="Courier New" w:hint="default"/>
      </w:rPr>
    </w:lvl>
    <w:lvl w:ilvl="2" w:tplc="B3D8E822" w:tentative="1">
      <w:start w:val="1"/>
      <w:numFmt w:val="bullet"/>
      <w:lvlText w:val=""/>
      <w:lvlJc w:val="left"/>
      <w:pPr>
        <w:ind w:left="2160" w:hanging="360"/>
      </w:pPr>
      <w:rPr>
        <w:rFonts w:ascii="Wingdings" w:hAnsi="Wingdings" w:hint="default"/>
      </w:rPr>
    </w:lvl>
    <w:lvl w:ilvl="3" w:tplc="064AB20E" w:tentative="1">
      <w:start w:val="1"/>
      <w:numFmt w:val="bullet"/>
      <w:lvlText w:val=""/>
      <w:lvlJc w:val="left"/>
      <w:pPr>
        <w:ind w:left="2880" w:hanging="360"/>
      </w:pPr>
      <w:rPr>
        <w:rFonts w:ascii="Symbol" w:hAnsi="Symbol" w:hint="default"/>
      </w:rPr>
    </w:lvl>
    <w:lvl w:ilvl="4" w:tplc="592EB5CE" w:tentative="1">
      <w:start w:val="1"/>
      <w:numFmt w:val="bullet"/>
      <w:lvlText w:val="o"/>
      <w:lvlJc w:val="left"/>
      <w:pPr>
        <w:ind w:left="3600" w:hanging="360"/>
      </w:pPr>
      <w:rPr>
        <w:rFonts w:ascii="Courier New" w:hAnsi="Courier New" w:cs="Courier New" w:hint="default"/>
      </w:rPr>
    </w:lvl>
    <w:lvl w:ilvl="5" w:tplc="45145D0C" w:tentative="1">
      <w:start w:val="1"/>
      <w:numFmt w:val="bullet"/>
      <w:lvlText w:val=""/>
      <w:lvlJc w:val="left"/>
      <w:pPr>
        <w:ind w:left="4320" w:hanging="360"/>
      </w:pPr>
      <w:rPr>
        <w:rFonts w:ascii="Wingdings" w:hAnsi="Wingdings" w:hint="default"/>
      </w:rPr>
    </w:lvl>
    <w:lvl w:ilvl="6" w:tplc="F8F8D064" w:tentative="1">
      <w:start w:val="1"/>
      <w:numFmt w:val="bullet"/>
      <w:lvlText w:val=""/>
      <w:lvlJc w:val="left"/>
      <w:pPr>
        <w:ind w:left="5040" w:hanging="360"/>
      </w:pPr>
      <w:rPr>
        <w:rFonts w:ascii="Symbol" w:hAnsi="Symbol" w:hint="default"/>
      </w:rPr>
    </w:lvl>
    <w:lvl w:ilvl="7" w:tplc="0BC833A2" w:tentative="1">
      <w:start w:val="1"/>
      <w:numFmt w:val="bullet"/>
      <w:lvlText w:val="o"/>
      <w:lvlJc w:val="left"/>
      <w:pPr>
        <w:ind w:left="5760" w:hanging="360"/>
      </w:pPr>
      <w:rPr>
        <w:rFonts w:ascii="Courier New" w:hAnsi="Courier New" w:cs="Courier New" w:hint="default"/>
      </w:rPr>
    </w:lvl>
    <w:lvl w:ilvl="8" w:tplc="5928A638" w:tentative="1">
      <w:start w:val="1"/>
      <w:numFmt w:val="bullet"/>
      <w:lvlText w:val=""/>
      <w:lvlJc w:val="left"/>
      <w:pPr>
        <w:ind w:left="6480" w:hanging="360"/>
      </w:pPr>
      <w:rPr>
        <w:rFonts w:ascii="Wingdings" w:hAnsi="Wingdings" w:hint="default"/>
      </w:rPr>
    </w:lvl>
  </w:abstractNum>
  <w:abstractNum w:abstractNumId="16" w15:restartNumberingAfterBreak="0">
    <w:nsid w:val="36A10485"/>
    <w:multiLevelType w:val="hybridMultilevel"/>
    <w:tmpl w:val="483A5B5C"/>
    <w:lvl w:ilvl="0" w:tplc="37C051E4">
      <w:start w:val="1"/>
      <w:numFmt w:val="upperLetter"/>
      <w:lvlText w:val="%1."/>
      <w:lvlJc w:val="left"/>
      <w:pPr>
        <w:ind w:left="360" w:hanging="360"/>
      </w:pPr>
    </w:lvl>
    <w:lvl w:ilvl="1" w:tplc="0B680AAC" w:tentative="1">
      <w:start w:val="1"/>
      <w:numFmt w:val="lowerLetter"/>
      <w:lvlText w:val="%2."/>
      <w:lvlJc w:val="left"/>
      <w:pPr>
        <w:ind w:left="1440" w:hanging="360"/>
      </w:pPr>
    </w:lvl>
    <w:lvl w:ilvl="2" w:tplc="A4026C4A" w:tentative="1">
      <w:start w:val="1"/>
      <w:numFmt w:val="lowerRoman"/>
      <w:lvlText w:val="%3."/>
      <w:lvlJc w:val="right"/>
      <w:pPr>
        <w:ind w:left="2160" w:hanging="180"/>
      </w:pPr>
    </w:lvl>
    <w:lvl w:ilvl="3" w:tplc="F082674A" w:tentative="1">
      <w:start w:val="1"/>
      <w:numFmt w:val="decimal"/>
      <w:lvlText w:val="%4."/>
      <w:lvlJc w:val="left"/>
      <w:pPr>
        <w:ind w:left="2880" w:hanging="360"/>
      </w:pPr>
    </w:lvl>
    <w:lvl w:ilvl="4" w:tplc="EC8EB94C" w:tentative="1">
      <w:start w:val="1"/>
      <w:numFmt w:val="lowerLetter"/>
      <w:lvlText w:val="%5."/>
      <w:lvlJc w:val="left"/>
      <w:pPr>
        <w:ind w:left="3600" w:hanging="360"/>
      </w:pPr>
    </w:lvl>
    <w:lvl w:ilvl="5" w:tplc="434A00B0" w:tentative="1">
      <w:start w:val="1"/>
      <w:numFmt w:val="lowerRoman"/>
      <w:lvlText w:val="%6."/>
      <w:lvlJc w:val="right"/>
      <w:pPr>
        <w:ind w:left="4320" w:hanging="180"/>
      </w:pPr>
    </w:lvl>
    <w:lvl w:ilvl="6" w:tplc="CDAE01A8" w:tentative="1">
      <w:start w:val="1"/>
      <w:numFmt w:val="decimal"/>
      <w:lvlText w:val="%7."/>
      <w:lvlJc w:val="left"/>
      <w:pPr>
        <w:ind w:left="5040" w:hanging="360"/>
      </w:pPr>
    </w:lvl>
    <w:lvl w:ilvl="7" w:tplc="051EB5BA" w:tentative="1">
      <w:start w:val="1"/>
      <w:numFmt w:val="lowerLetter"/>
      <w:lvlText w:val="%8."/>
      <w:lvlJc w:val="left"/>
      <w:pPr>
        <w:ind w:left="5760" w:hanging="360"/>
      </w:pPr>
    </w:lvl>
    <w:lvl w:ilvl="8" w:tplc="236E8BA2" w:tentative="1">
      <w:start w:val="1"/>
      <w:numFmt w:val="lowerRoman"/>
      <w:lvlText w:val="%9."/>
      <w:lvlJc w:val="right"/>
      <w:pPr>
        <w:ind w:left="6480" w:hanging="180"/>
      </w:pPr>
    </w:lvl>
  </w:abstractNum>
  <w:abstractNum w:abstractNumId="17" w15:restartNumberingAfterBreak="0">
    <w:nsid w:val="372A0E02"/>
    <w:multiLevelType w:val="hybridMultilevel"/>
    <w:tmpl w:val="12E88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3C1C11"/>
    <w:multiLevelType w:val="hybridMultilevel"/>
    <w:tmpl w:val="1C9E4384"/>
    <w:lvl w:ilvl="0" w:tplc="147E7B34">
      <w:start w:val="1"/>
      <w:numFmt w:val="decimal"/>
      <w:lvlText w:val="(%1)"/>
      <w:lvlJc w:val="left"/>
      <w:pPr>
        <w:ind w:left="720" w:hanging="360"/>
      </w:pPr>
      <w:rPr>
        <w:rFonts w:ascii="Times New Roman" w:hAnsi="Times New Roman"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FC7529"/>
    <w:multiLevelType w:val="hybridMultilevel"/>
    <w:tmpl w:val="F10AB6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6F727DC"/>
    <w:multiLevelType w:val="hybridMultilevel"/>
    <w:tmpl w:val="4E568A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A10E47"/>
    <w:multiLevelType w:val="hybridMultilevel"/>
    <w:tmpl w:val="F0EC363A"/>
    <w:lvl w:ilvl="0" w:tplc="0409000F">
      <w:start w:val="1"/>
      <w:numFmt w:val="decimal"/>
      <w:lvlText w:val="%1."/>
      <w:lvlJc w:val="left"/>
      <w:pPr>
        <w:ind w:left="360" w:hanging="360"/>
      </w:pPr>
    </w:lvl>
    <w:lvl w:ilvl="1" w:tplc="7154096A" w:tentative="1">
      <w:start w:val="1"/>
      <w:numFmt w:val="lowerLetter"/>
      <w:lvlText w:val="%2."/>
      <w:lvlJc w:val="left"/>
      <w:pPr>
        <w:ind w:left="1080" w:hanging="360"/>
      </w:pPr>
    </w:lvl>
    <w:lvl w:ilvl="2" w:tplc="6CDEFA46" w:tentative="1">
      <w:start w:val="1"/>
      <w:numFmt w:val="lowerRoman"/>
      <w:lvlText w:val="%3."/>
      <w:lvlJc w:val="right"/>
      <w:pPr>
        <w:ind w:left="1800" w:hanging="180"/>
      </w:pPr>
    </w:lvl>
    <w:lvl w:ilvl="3" w:tplc="D9EA63FE" w:tentative="1">
      <w:start w:val="1"/>
      <w:numFmt w:val="decimal"/>
      <w:lvlText w:val="%4."/>
      <w:lvlJc w:val="left"/>
      <w:pPr>
        <w:ind w:left="2520" w:hanging="360"/>
      </w:pPr>
    </w:lvl>
    <w:lvl w:ilvl="4" w:tplc="9548815C" w:tentative="1">
      <w:start w:val="1"/>
      <w:numFmt w:val="lowerLetter"/>
      <w:lvlText w:val="%5."/>
      <w:lvlJc w:val="left"/>
      <w:pPr>
        <w:ind w:left="3240" w:hanging="360"/>
      </w:pPr>
    </w:lvl>
    <w:lvl w:ilvl="5" w:tplc="06D80148" w:tentative="1">
      <w:start w:val="1"/>
      <w:numFmt w:val="lowerRoman"/>
      <w:lvlText w:val="%6."/>
      <w:lvlJc w:val="right"/>
      <w:pPr>
        <w:ind w:left="3960" w:hanging="180"/>
      </w:pPr>
    </w:lvl>
    <w:lvl w:ilvl="6" w:tplc="6F5220EA" w:tentative="1">
      <w:start w:val="1"/>
      <w:numFmt w:val="decimal"/>
      <w:lvlText w:val="%7."/>
      <w:lvlJc w:val="left"/>
      <w:pPr>
        <w:ind w:left="4680" w:hanging="360"/>
      </w:pPr>
    </w:lvl>
    <w:lvl w:ilvl="7" w:tplc="28D02638" w:tentative="1">
      <w:start w:val="1"/>
      <w:numFmt w:val="lowerLetter"/>
      <w:lvlText w:val="%8."/>
      <w:lvlJc w:val="left"/>
      <w:pPr>
        <w:ind w:left="5400" w:hanging="360"/>
      </w:pPr>
    </w:lvl>
    <w:lvl w:ilvl="8" w:tplc="A25C42A6" w:tentative="1">
      <w:start w:val="1"/>
      <w:numFmt w:val="lowerRoman"/>
      <w:lvlText w:val="%9."/>
      <w:lvlJc w:val="right"/>
      <w:pPr>
        <w:ind w:left="6120" w:hanging="180"/>
      </w:pPr>
    </w:lvl>
  </w:abstractNum>
  <w:abstractNum w:abstractNumId="22" w15:restartNumberingAfterBreak="0">
    <w:nsid w:val="50C31D31"/>
    <w:multiLevelType w:val="hybridMultilevel"/>
    <w:tmpl w:val="231ADF30"/>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54BE44D6"/>
    <w:multiLevelType w:val="hybridMultilevel"/>
    <w:tmpl w:val="C3DC5A8E"/>
    <w:lvl w:ilvl="0" w:tplc="FFFFFFFF">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9A5673D"/>
    <w:multiLevelType w:val="hybridMultilevel"/>
    <w:tmpl w:val="F8A6B6B6"/>
    <w:lvl w:ilvl="0" w:tplc="8A1E2EB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D32276"/>
    <w:multiLevelType w:val="hybridMultilevel"/>
    <w:tmpl w:val="1DE665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1670577"/>
    <w:multiLevelType w:val="hybridMultilevel"/>
    <w:tmpl w:val="73589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372619"/>
    <w:multiLevelType w:val="hybridMultilevel"/>
    <w:tmpl w:val="034A95F4"/>
    <w:lvl w:ilvl="0" w:tplc="FFFFFFFF">
      <w:start w:val="1"/>
      <w:numFmt w:val="decimal"/>
      <w:lvlText w:val="%1."/>
      <w:lvlJc w:val="left"/>
      <w:pPr>
        <w:ind w:left="720" w:hanging="360"/>
      </w:pPr>
    </w:lvl>
    <w:lvl w:ilvl="1" w:tplc="0409001B">
      <w:start w:val="1"/>
      <w:numFmt w:val="lowerRoman"/>
      <w:lvlText w:val="%2."/>
      <w:lvlJc w:val="righ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24B1E24"/>
    <w:multiLevelType w:val="hybridMultilevel"/>
    <w:tmpl w:val="3BD482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CD856CC"/>
    <w:multiLevelType w:val="hybridMultilevel"/>
    <w:tmpl w:val="9D50949C"/>
    <w:lvl w:ilvl="0" w:tplc="FFFFFFFF">
      <w:start w:val="1"/>
      <w:numFmt w:val="decimal"/>
      <w:lvlText w:val="%1."/>
      <w:lvlJc w:val="left"/>
      <w:pPr>
        <w:ind w:left="720" w:hanging="360"/>
      </w:pPr>
    </w:lvl>
    <w:lvl w:ilvl="1" w:tplc="04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9684AD4"/>
    <w:multiLevelType w:val="hybridMultilevel"/>
    <w:tmpl w:val="3FA6458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A5909A7"/>
    <w:multiLevelType w:val="hybridMultilevel"/>
    <w:tmpl w:val="87D8EEEC"/>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607740792">
    <w:abstractNumId w:val="13"/>
  </w:num>
  <w:num w:numId="2" w16cid:durableId="8873306">
    <w:abstractNumId w:val="26"/>
  </w:num>
  <w:num w:numId="3" w16cid:durableId="1052577303">
    <w:abstractNumId w:val="17"/>
  </w:num>
  <w:num w:numId="4" w16cid:durableId="213128430">
    <w:abstractNumId w:val="1"/>
  </w:num>
  <w:num w:numId="5" w16cid:durableId="206383643">
    <w:abstractNumId w:val="21"/>
  </w:num>
  <w:num w:numId="6" w16cid:durableId="766586292">
    <w:abstractNumId w:val="6"/>
  </w:num>
  <w:num w:numId="7" w16cid:durableId="971059797">
    <w:abstractNumId w:val="15"/>
  </w:num>
  <w:num w:numId="8" w16cid:durableId="485363529">
    <w:abstractNumId w:val="16"/>
  </w:num>
  <w:num w:numId="9" w16cid:durableId="317003731">
    <w:abstractNumId w:val="4"/>
  </w:num>
  <w:num w:numId="10" w16cid:durableId="724960234">
    <w:abstractNumId w:val="5"/>
  </w:num>
  <w:num w:numId="11" w16cid:durableId="263802550">
    <w:abstractNumId w:val="7"/>
  </w:num>
  <w:num w:numId="12" w16cid:durableId="1080560220">
    <w:abstractNumId w:val="23"/>
  </w:num>
  <w:num w:numId="13" w16cid:durableId="896088233">
    <w:abstractNumId w:val="12"/>
  </w:num>
  <w:num w:numId="14" w16cid:durableId="1216308165">
    <w:abstractNumId w:val="28"/>
  </w:num>
  <w:num w:numId="15" w16cid:durableId="1991908123">
    <w:abstractNumId w:val="22"/>
  </w:num>
  <w:num w:numId="16" w16cid:durableId="1986818256">
    <w:abstractNumId w:val="8"/>
  </w:num>
  <w:num w:numId="17" w16cid:durableId="347799860">
    <w:abstractNumId w:val="30"/>
  </w:num>
  <w:num w:numId="18" w16cid:durableId="2057659866">
    <w:abstractNumId w:val="10"/>
  </w:num>
  <w:num w:numId="19" w16cid:durableId="1337924298">
    <w:abstractNumId w:val="24"/>
  </w:num>
  <w:num w:numId="20" w16cid:durableId="1500728380">
    <w:abstractNumId w:val="2"/>
  </w:num>
  <w:num w:numId="21" w16cid:durableId="279993794">
    <w:abstractNumId w:val="0"/>
  </w:num>
  <w:num w:numId="22" w16cid:durableId="1832257809">
    <w:abstractNumId w:val="25"/>
  </w:num>
  <w:num w:numId="23" w16cid:durableId="221067036">
    <w:abstractNumId w:val="19"/>
  </w:num>
  <w:num w:numId="24" w16cid:durableId="1514341992">
    <w:abstractNumId w:val="18"/>
  </w:num>
  <w:num w:numId="25" w16cid:durableId="601063315">
    <w:abstractNumId w:val="14"/>
  </w:num>
  <w:num w:numId="26" w16cid:durableId="664279406">
    <w:abstractNumId w:val="9"/>
  </w:num>
  <w:num w:numId="27" w16cid:durableId="696809749">
    <w:abstractNumId w:val="20"/>
  </w:num>
  <w:num w:numId="28" w16cid:durableId="849215931">
    <w:abstractNumId w:val="29"/>
  </w:num>
  <w:num w:numId="29" w16cid:durableId="50815079">
    <w:abstractNumId w:val="27"/>
  </w:num>
  <w:num w:numId="30" w16cid:durableId="2133592821">
    <w:abstractNumId w:val="31"/>
  </w:num>
  <w:num w:numId="31" w16cid:durableId="1967393320">
    <w:abstractNumId w:val="11"/>
  </w:num>
  <w:num w:numId="32" w16cid:durableId="11366044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25F"/>
    <w:rsid w:val="000070AB"/>
    <w:rsid w:val="000116A9"/>
    <w:rsid w:val="00026F04"/>
    <w:rsid w:val="00031599"/>
    <w:rsid w:val="00031BAC"/>
    <w:rsid w:val="0003277D"/>
    <w:rsid w:val="00035654"/>
    <w:rsid w:val="0004014D"/>
    <w:rsid w:val="000560F0"/>
    <w:rsid w:val="0005739D"/>
    <w:rsid w:val="00066357"/>
    <w:rsid w:val="0007192D"/>
    <w:rsid w:val="00074C9A"/>
    <w:rsid w:val="00076EFE"/>
    <w:rsid w:val="000841B8"/>
    <w:rsid w:val="000915A6"/>
    <w:rsid w:val="00096020"/>
    <w:rsid w:val="000A05DF"/>
    <w:rsid w:val="000A5817"/>
    <w:rsid w:val="000A72C1"/>
    <w:rsid w:val="000A74C1"/>
    <w:rsid w:val="000B1C1E"/>
    <w:rsid w:val="000B7DD9"/>
    <w:rsid w:val="000D1BCB"/>
    <w:rsid w:val="000D4515"/>
    <w:rsid w:val="000D6014"/>
    <w:rsid w:val="000E2E96"/>
    <w:rsid w:val="000E474A"/>
    <w:rsid w:val="000E65B8"/>
    <w:rsid w:val="000F3539"/>
    <w:rsid w:val="000F442D"/>
    <w:rsid w:val="001004AC"/>
    <w:rsid w:val="00111B79"/>
    <w:rsid w:val="001127B5"/>
    <w:rsid w:val="00115FE3"/>
    <w:rsid w:val="00117934"/>
    <w:rsid w:val="00123CBF"/>
    <w:rsid w:val="00124C4E"/>
    <w:rsid w:val="0012788B"/>
    <w:rsid w:val="00127F68"/>
    <w:rsid w:val="00131D11"/>
    <w:rsid w:val="00133BE3"/>
    <w:rsid w:val="001521D2"/>
    <w:rsid w:val="0015302A"/>
    <w:rsid w:val="001605D5"/>
    <w:rsid w:val="00160B82"/>
    <w:rsid w:val="00163165"/>
    <w:rsid w:val="00164FF5"/>
    <w:rsid w:val="00166ED2"/>
    <w:rsid w:val="00167D17"/>
    <w:rsid w:val="00167D45"/>
    <w:rsid w:val="00172C6F"/>
    <w:rsid w:val="0017502F"/>
    <w:rsid w:val="001800ED"/>
    <w:rsid w:val="001860FE"/>
    <w:rsid w:val="00193168"/>
    <w:rsid w:val="001A0830"/>
    <w:rsid w:val="001A086C"/>
    <w:rsid w:val="001A09FE"/>
    <w:rsid w:val="001A20BF"/>
    <w:rsid w:val="001A21A3"/>
    <w:rsid w:val="001A4050"/>
    <w:rsid w:val="001A6C85"/>
    <w:rsid w:val="001B0AB3"/>
    <w:rsid w:val="001B120B"/>
    <w:rsid w:val="001B2167"/>
    <w:rsid w:val="001B683B"/>
    <w:rsid w:val="001C0282"/>
    <w:rsid w:val="001C271F"/>
    <w:rsid w:val="001D1863"/>
    <w:rsid w:val="001E1B3E"/>
    <w:rsid w:val="001E1BAD"/>
    <w:rsid w:val="001E1E95"/>
    <w:rsid w:val="001E55B3"/>
    <w:rsid w:val="001F1326"/>
    <w:rsid w:val="001F1720"/>
    <w:rsid w:val="00200DFD"/>
    <w:rsid w:val="00201703"/>
    <w:rsid w:val="00202F44"/>
    <w:rsid w:val="0021131E"/>
    <w:rsid w:val="00221484"/>
    <w:rsid w:val="00222488"/>
    <w:rsid w:val="002225C5"/>
    <w:rsid w:val="002274FE"/>
    <w:rsid w:val="00234098"/>
    <w:rsid w:val="00234A9E"/>
    <w:rsid w:val="00237D34"/>
    <w:rsid w:val="002518E9"/>
    <w:rsid w:val="00252E76"/>
    <w:rsid w:val="00255E96"/>
    <w:rsid w:val="00261743"/>
    <w:rsid w:val="00261E8E"/>
    <w:rsid w:val="00261EAA"/>
    <w:rsid w:val="002679D6"/>
    <w:rsid w:val="00270AB7"/>
    <w:rsid w:val="00271719"/>
    <w:rsid w:val="00292863"/>
    <w:rsid w:val="00292E44"/>
    <w:rsid w:val="00294FD3"/>
    <w:rsid w:val="00295CB4"/>
    <w:rsid w:val="002A17F8"/>
    <w:rsid w:val="002A5936"/>
    <w:rsid w:val="002A5957"/>
    <w:rsid w:val="002B1D8C"/>
    <w:rsid w:val="002B6A40"/>
    <w:rsid w:val="002E0EDC"/>
    <w:rsid w:val="002E144B"/>
    <w:rsid w:val="002E1572"/>
    <w:rsid w:val="002E52A9"/>
    <w:rsid w:val="002F0437"/>
    <w:rsid w:val="002F1260"/>
    <w:rsid w:val="002F32FB"/>
    <w:rsid w:val="00300620"/>
    <w:rsid w:val="00301F3F"/>
    <w:rsid w:val="00303A44"/>
    <w:rsid w:val="00305468"/>
    <w:rsid w:val="0030695E"/>
    <w:rsid w:val="00307A93"/>
    <w:rsid w:val="00310E67"/>
    <w:rsid w:val="00315620"/>
    <w:rsid w:val="003172D7"/>
    <w:rsid w:val="00325882"/>
    <w:rsid w:val="00330AD3"/>
    <w:rsid w:val="00333003"/>
    <w:rsid w:val="00337031"/>
    <w:rsid w:val="00340370"/>
    <w:rsid w:val="00351DCA"/>
    <w:rsid w:val="00351E53"/>
    <w:rsid w:val="00352F89"/>
    <w:rsid w:val="00353B5C"/>
    <w:rsid w:val="003544C9"/>
    <w:rsid w:val="00355167"/>
    <w:rsid w:val="003576A6"/>
    <w:rsid w:val="00362771"/>
    <w:rsid w:val="003637EE"/>
    <w:rsid w:val="00364D50"/>
    <w:rsid w:val="003707DA"/>
    <w:rsid w:val="00372D21"/>
    <w:rsid w:val="00376AFF"/>
    <w:rsid w:val="0037759E"/>
    <w:rsid w:val="00381F22"/>
    <w:rsid w:val="0038375A"/>
    <w:rsid w:val="00383ADB"/>
    <w:rsid w:val="00386B3B"/>
    <w:rsid w:val="003966BF"/>
    <w:rsid w:val="00397EDD"/>
    <w:rsid w:val="003B720A"/>
    <w:rsid w:val="003C2F8A"/>
    <w:rsid w:val="003C708F"/>
    <w:rsid w:val="003D3D65"/>
    <w:rsid w:val="003D4CC5"/>
    <w:rsid w:val="003E1DA8"/>
    <w:rsid w:val="003E299F"/>
    <w:rsid w:val="003E4A3C"/>
    <w:rsid w:val="003E65A6"/>
    <w:rsid w:val="003F7B25"/>
    <w:rsid w:val="004036E2"/>
    <w:rsid w:val="004118C4"/>
    <w:rsid w:val="00415DBF"/>
    <w:rsid w:val="00417A1F"/>
    <w:rsid w:val="00420F7B"/>
    <w:rsid w:val="00421D13"/>
    <w:rsid w:val="00423F86"/>
    <w:rsid w:val="00425620"/>
    <w:rsid w:val="00426A89"/>
    <w:rsid w:val="004277C3"/>
    <w:rsid w:val="00427EE5"/>
    <w:rsid w:val="00434BE4"/>
    <w:rsid w:val="004371AD"/>
    <w:rsid w:val="00444813"/>
    <w:rsid w:val="004466C2"/>
    <w:rsid w:val="0045607E"/>
    <w:rsid w:val="004566F5"/>
    <w:rsid w:val="0046052E"/>
    <w:rsid w:val="00462A53"/>
    <w:rsid w:val="00463E86"/>
    <w:rsid w:val="00467351"/>
    <w:rsid w:val="00467BB4"/>
    <w:rsid w:val="00472672"/>
    <w:rsid w:val="00474216"/>
    <w:rsid w:val="00487E1A"/>
    <w:rsid w:val="00491542"/>
    <w:rsid w:val="00496266"/>
    <w:rsid w:val="004A00FF"/>
    <w:rsid w:val="004A22BC"/>
    <w:rsid w:val="004A4F15"/>
    <w:rsid w:val="004A7D0A"/>
    <w:rsid w:val="004B40DA"/>
    <w:rsid w:val="004B55AE"/>
    <w:rsid w:val="004C655C"/>
    <w:rsid w:val="004D5526"/>
    <w:rsid w:val="004E03BA"/>
    <w:rsid w:val="004E1173"/>
    <w:rsid w:val="004E61D2"/>
    <w:rsid w:val="004F14BA"/>
    <w:rsid w:val="004F1862"/>
    <w:rsid w:val="004F1FBA"/>
    <w:rsid w:val="004F6A85"/>
    <w:rsid w:val="004F728B"/>
    <w:rsid w:val="005013F9"/>
    <w:rsid w:val="005107DE"/>
    <w:rsid w:val="00514FE6"/>
    <w:rsid w:val="00515B25"/>
    <w:rsid w:val="005205D7"/>
    <w:rsid w:val="00527F96"/>
    <w:rsid w:val="00530CE3"/>
    <w:rsid w:val="00531700"/>
    <w:rsid w:val="00535551"/>
    <w:rsid w:val="00541AFC"/>
    <w:rsid w:val="00542950"/>
    <w:rsid w:val="00543669"/>
    <w:rsid w:val="00554A6E"/>
    <w:rsid w:val="00557903"/>
    <w:rsid w:val="00571FED"/>
    <w:rsid w:val="005762B9"/>
    <w:rsid w:val="005801AD"/>
    <w:rsid w:val="00586E61"/>
    <w:rsid w:val="00587A0E"/>
    <w:rsid w:val="0059056A"/>
    <w:rsid w:val="005922BA"/>
    <w:rsid w:val="005A626C"/>
    <w:rsid w:val="005A6735"/>
    <w:rsid w:val="005B3858"/>
    <w:rsid w:val="005B7043"/>
    <w:rsid w:val="005C6107"/>
    <w:rsid w:val="005C6A06"/>
    <w:rsid w:val="005C72C8"/>
    <w:rsid w:val="005D1790"/>
    <w:rsid w:val="005D18D3"/>
    <w:rsid w:val="005D2BBF"/>
    <w:rsid w:val="005E0E9B"/>
    <w:rsid w:val="005E1215"/>
    <w:rsid w:val="005E1338"/>
    <w:rsid w:val="005E21D0"/>
    <w:rsid w:val="005E3AC0"/>
    <w:rsid w:val="005E5F95"/>
    <w:rsid w:val="005F0513"/>
    <w:rsid w:val="005F5C7F"/>
    <w:rsid w:val="00600FB0"/>
    <w:rsid w:val="00601429"/>
    <w:rsid w:val="00601D91"/>
    <w:rsid w:val="006021CE"/>
    <w:rsid w:val="0060404B"/>
    <w:rsid w:val="00606493"/>
    <w:rsid w:val="006068FE"/>
    <w:rsid w:val="00613725"/>
    <w:rsid w:val="006255A4"/>
    <w:rsid w:val="00630166"/>
    <w:rsid w:val="0063250C"/>
    <w:rsid w:val="0063391B"/>
    <w:rsid w:val="006454FB"/>
    <w:rsid w:val="0065007A"/>
    <w:rsid w:val="006516E1"/>
    <w:rsid w:val="00670BF5"/>
    <w:rsid w:val="00671218"/>
    <w:rsid w:val="00674C29"/>
    <w:rsid w:val="006807F9"/>
    <w:rsid w:val="00683BC1"/>
    <w:rsid w:val="006954E1"/>
    <w:rsid w:val="006A1FA7"/>
    <w:rsid w:val="006A291D"/>
    <w:rsid w:val="006B1BDC"/>
    <w:rsid w:val="006B2DB0"/>
    <w:rsid w:val="006B5F56"/>
    <w:rsid w:val="006C27FA"/>
    <w:rsid w:val="006C4BC0"/>
    <w:rsid w:val="006C5E9A"/>
    <w:rsid w:val="006C7541"/>
    <w:rsid w:val="006E0BE6"/>
    <w:rsid w:val="006E113E"/>
    <w:rsid w:val="006E4F65"/>
    <w:rsid w:val="006E67F3"/>
    <w:rsid w:val="006F26AC"/>
    <w:rsid w:val="006F6E9C"/>
    <w:rsid w:val="0070581A"/>
    <w:rsid w:val="00705D2A"/>
    <w:rsid w:val="00711F78"/>
    <w:rsid w:val="00716979"/>
    <w:rsid w:val="00717456"/>
    <w:rsid w:val="007201C1"/>
    <w:rsid w:val="00721C45"/>
    <w:rsid w:val="00723E5C"/>
    <w:rsid w:val="00725485"/>
    <w:rsid w:val="00730573"/>
    <w:rsid w:val="00730574"/>
    <w:rsid w:val="00731487"/>
    <w:rsid w:val="00731ABF"/>
    <w:rsid w:val="00732A40"/>
    <w:rsid w:val="00734BFA"/>
    <w:rsid w:val="00736B30"/>
    <w:rsid w:val="007403EA"/>
    <w:rsid w:val="00743C5A"/>
    <w:rsid w:val="00750F56"/>
    <w:rsid w:val="0075155F"/>
    <w:rsid w:val="007525D5"/>
    <w:rsid w:val="007532F4"/>
    <w:rsid w:val="00755952"/>
    <w:rsid w:val="007563DC"/>
    <w:rsid w:val="00762BAE"/>
    <w:rsid w:val="00766D39"/>
    <w:rsid w:val="00771C3E"/>
    <w:rsid w:val="0077219B"/>
    <w:rsid w:val="00776542"/>
    <w:rsid w:val="007771F5"/>
    <w:rsid w:val="007866AD"/>
    <w:rsid w:val="00792613"/>
    <w:rsid w:val="007A57E0"/>
    <w:rsid w:val="007A7435"/>
    <w:rsid w:val="007B71AF"/>
    <w:rsid w:val="007C09AA"/>
    <w:rsid w:val="007D23B6"/>
    <w:rsid w:val="007D3EE7"/>
    <w:rsid w:val="007D49FF"/>
    <w:rsid w:val="007E0AEE"/>
    <w:rsid w:val="007E14D5"/>
    <w:rsid w:val="007E6401"/>
    <w:rsid w:val="008141DD"/>
    <w:rsid w:val="008219FE"/>
    <w:rsid w:val="008327B2"/>
    <w:rsid w:val="00833C2B"/>
    <w:rsid w:val="00837345"/>
    <w:rsid w:val="00837C1C"/>
    <w:rsid w:val="00843751"/>
    <w:rsid w:val="00844A61"/>
    <w:rsid w:val="0084761F"/>
    <w:rsid w:val="00847E3B"/>
    <w:rsid w:val="00847F2D"/>
    <w:rsid w:val="0085117A"/>
    <w:rsid w:val="008600CB"/>
    <w:rsid w:val="00861FA8"/>
    <w:rsid w:val="00865496"/>
    <w:rsid w:val="00867C78"/>
    <w:rsid w:val="00871C62"/>
    <w:rsid w:val="008744B9"/>
    <w:rsid w:val="008824CC"/>
    <w:rsid w:val="00882722"/>
    <w:rsid w:val="00885227"/>
    <w:rsid w:val="0088594D"/>
    <w:rsid w:val="00887704"/>
    <w:rsid w:val="008909E4"/>
    <w:rsid w:val="008925B6"/>
    <w:rsid w:val="0089576A"/>
    <w:rsid w:val="008976CA"/>
    <w:rsid w:val="008A63CC"/>
    <w:rsid w:val="008B3A3B"/>
    <w:rsid w:val="008C216A"/>
    <w:rsid w:val="008C49B7"/>
    <w:rsid w:val="008C7530"/>
    <w:rsid w:val="008C7ED4"/>
    <w:rsid w:val="008D2456"/>
    <w:rsid w:val="008D3B37"/>
    <w:rsid w:val="008D5690"/>
    <w:rsid w:val="008D56BB"/>
    <w:rsid w:val="008E0C28"/>
    <w:rsid w:val="008E1743"/>
    <w:rsid w:val="008E4EE7"/>
    <w:rsid w:val="008F167A"/>
    <w:rsid w:val="008F61D7"/>
    <w:rsid w:val="00902CA4"/>
    <w:rsid w:val="00907F05"/>
    <w:rsid w:val="0091121D"/>
    <w:rsid w:val="0091200A"/>
    <w:rsid w:val="00912C30"/>
    <w:rsid w:val="009132BC"/>
    <w:rsid w:val="009140FA"/>
    <w:rsid w:val="00915319"/>
    <w:rsid w:val="00923117"/>
    <w:rsid w:val="00923C3B"/>
    <w:rsid w:val="00926F33"/>
    <w:rsid w:val="00930C04"/>
    <w:rsid w:val="009378A9"/>
    <w:rsid w:val="00940004"/>
    <w:rsid w:val="00942459"/>
    <w:rsid w:val="0096022C"/>
    <w:rsid w:val="00960CB6"/>
    <w:rsid w:val="009646EE"/>
    <w:rsid w:val="00964E98"/>
    <w:rsid w:val="00966235"/>
    <w:rsid w:val="00971820"/>
    <w:rsid w:val="00974EE9"/>
    <w:rsid w:val="00980678"/>
    <w:rsid w:val="009844AF"/>
    <w:rsid w:val="009868AB"/>
    <w:rsid w:val="009911B8"/>
    <w:rsid w:val="00991BB2"/>
    <w:rsid w:val="00993E41"/>
    <w:rsid w:val="009A2992"/>
    <w:rsid w:val="009A2B50"/>
    <w:rsid w:val="009B047A"/>
    <w:rsid w:val="009B420C"/>
    <w:rsid w:val="009B5AE0"/>
    <w:rsid w:val="009C1D2F"/>
    <w:rsid w:val="009C401D"/>
    <w:rsid w:val="009C65D3"/>
    <w:rsid w:val="009D4032"/>
    <w:rsid w:val="009D7C63"/>
    <w:rsid w:val="009E044B"/>
    <w:rsid w:val="009E151C"/>
    <w:rsid w:val="009E4448"/>
    <w:rsid w:val="009F08AC"/>
    <w:rsid w:val="009F6DDB"/>
    <w:rsid w:val="00A02B50"/>
    <w:rsid w:val="00A10C56"/>
    <w:rsid w:val="00A10E4E"/>
    <w:rsid w:val="00A1325F"/>
    <w:rsid w:val="00A159C1"/>
    <w:rsid w:val="00A222B0"/>
    <w:rsid w:val="00A22A30"/>
    <w:rsid w:val="00A25747"/>
    <w:rsid w:val="00A26924"/>
    <w:rsid w:val="00A33780"/>
    <w:rsid w:val="00A33783"/>
    <w:rsid w:val="00A35F1F"/>
    <w:rsid w:val="00A362C2"/>
    <w:rsid w:val="00A37EE9"/>
    <w:rsid w:val="00A413D3"/>
    <w:rsid w:val="00A42E65"/>
    <w:rsid w:val="00A43476"/>
    <w:rsid w:val="00A447AB"/>
    <w:rsid w:val="00A47768"/>
    <w:rsid w:val="00A55874"/>
    <w:rsid w:val="00A744F9"/>
    <w:rsid w:val="00A80442"/>
    <w:rsid w:val="00A80564"/>
    <w:rsid w:val="00A841C8"/>
    <w:rsid w:val="00A85357"/>
    <w:rsid w:val="00A858BB"/>
    <w:rsid w:val="00A9224C"/>
    <w:rsid w:val="00A923F8"/>
    <w:rsid w:val="00AA6ECB"/>
    <w:rsid w:val="00AB7329"/>
    <w:rsid w:val="00AB7790"/>
    <w:rsid w:val="00AB7DB4"/>
    <w:rsid w:val="00AB7DE2"/>
    <w:rsid w:val="00AD4E62"/>
    <w:rsid w:val="00AD5B10"/>
    <w:rsid w:val="00AE14AB"/>
    <w:rsid w:val="00AE174A"/>
    <w:rsid w:val="00AF0290"/>
    <w:rsid w:val="00AF61FC"/>
    <w:rsid w:val="00AF7F12"/>
    <w:rsid w:val="00B045B7"/>
    <w:rsid w:val="00B05AE4"/>
    <w:rsid w:val="00B21A48"/>
    <w:rsid w:val="00B258B4"/>
    <w:rsid w:val="00B259C6"/>
    <w:rsid w:val="00B30A8E"/>
    <w:rsid w:val="00B31389"/>
    <w:rsid w:val="00B31C41"/>
    <w:rsid w:val="00B35011"/>
    <w:rsid w:val="00B359CD"/>
    <w:rsid w:val="00B3789B"/>
    <w:rsid w:val="00B42733"/>
    <w:rsid w:val="00B42B85"/>
    <w:rsid w:val="00B44EAB"/>
    <w:rsid w:val="00B45B7B"/>
    <w:rsid w:val="00B471D5"/>
    <w:rsid w:val="00B65A55"/>
    <w:rsid w:val="00B67B79"/>
    <w:rsid w:val="00B735D0"/>
    <w:rsid w:val="00B876AB"/>
    <w:rsid w:val="00B91018"/>
    <w:rsid w:val="00B92A05"/>
    <w:rsid w:val="00B96995"/>
    <w:rsid w:val="00BA11A2"/>
    <w:rsid w:val="00BA3137"/>
    <w:rsid w:val="00BA4A28"/>
    <w:rsid w:val="00BB69DB"/>
    <w:rsid w:val="00BC2B15"/>
    <w:rsid w:val="00BC3668"/>
    <w:rsid w:val="00BC410E"/>
    <w:rsid w:val="00BD7FE9"/>
    <w:rsid w:val="00BE1034"/>
    <w:rsid w:val="00BE3516"/>
    <w:rsid w:val="00BF52D4"/>
    <w:rsid w:val="00BF74A9"/>
    <w:rsid w:val="00C03A5A"/>
    <w:rsid w:val="00C123F0"/>
    <w:rsid w:val="00C1298F"/>
    <w:rsid w:val="00C148C5"/>
    <w:rsid w:val="00C173BD"/>
    <w:rsid w:val="00C20B5A"/>
    <w:rsid w:val="00C2516F"/>
    <w:rsid w:val="00C337B4"/>
    <w:rsid w:val="00C41C5B"/>
    <w:rsid w:val="00C4270A"/>
    <w:rsid w:val="00C427E9"/>
    <w:rsid w:val="00C516EA"/>
    <w:rsid w:val="00C543D8"/>
    <w:rsid w:val="00C63D03"/>
    <w:rsid w:val="00C65D6B"/>
    <w:rsid w:val="00C66C25"/>
    <w:rsid w:val="00C67E26"/>
    <w:rsid w:val="00C7394F"/>
    <w:rsid w:val="00C747F9"/>
    <w:rsid w:val="00C91530"/>
    <w:rsid w:val="00C95334"/>
    <w:rsid w:val="00C959E3"/>
    <w:rsid w:val="00C9761A"/>
    <w:rsid w:val="00CA242C"/>
    <w:rsid w:val="00CA37B0"/>
    <w:rsid w:val="00CA6A27"/>
    <w:rsid w:val="00CB081E"/>
    <w:rsid w:val="00CB1D11"/>
    <w:rsid w:val="00CB2702"/>
    <w:rsid w:val="00CC011B"/>
    <w:rsid w:val="00CC163D"/>
    <w:rsid w:val="00CC1FDF"/>
    <w:rsid w:val="00CC661D"/>
    <w:rsid w:val="00CC68E9"/>
    <w:rsid w:val="00CC722B"/>
    <w:rsid w:val="00CD1B79"/>
    <w:rsid w:val="00CD3204"/>
    <w:rsid w:val="00CD4E97"/>
    <w:rsid w:val="00CD651F"/>
    <w:rsid w:val="00CF3C0A"/>
    <w:rsid w:val="00CF3EE1"/>
    <w:rsid w:val="00CF7981"/>
    <w:rsid w:val="00D021F9"/>
    <w:rsid w:val="00D0779B"/>
    <w:rsid w:val="00D12F3D"/>
    <w:rsid w:val="00D14EFA"/>
    <w:rsid w:val="00D15AFE"/>
    <w:rsid w:val="00D17D7D"/>
    <w:rsid w:val="00D21DA3"/>
    <w:rsid w:val="00D25298"/>
    <w:rsid w:val="00D259EE"/>
    <w:rsid w:val="00D2658F"/>
    <w:rsid w:val="00D3177A"/>
    <w:rsid w:val="00D33AA9"/>
    <w:rsid w:val="00D33B2B"/>
    <w:rsid w:val="00D33C27"/>
    <w:rsid w:val="00D34528"/>
    <w:rsid w:val="00D36218"/>
    <w:rsid w:val="00D368EA"/>
    <w:rsid w:val="00D40143"/>
    <w:rsid w:val="00D41D36"/>
    <w:rsid w:val="00D425DC"/>
    <w:rsid w:val="00D448C4"/>
    <w:rsid w:val="00D44DAC"/>
    <w:rsid w:val="00D45F2C"/>
    <w:rsid w:val="00D5262C"/>
    <w:rsid w:val="00D52691"/>
    <w:rsid w:val="00D54D39"/>
    <w:rsid w:val="00D61A19"/>
    <w:rsid w:val="00D67F5D"/>
    <w:rsid w:val="00D72246"/>
    <w:rsid w:val="00D73D3A"/>
    <w:rsid w:val="00D800F6"/>
    <w:rsid w:val="00D809AC"/>
    <w:rsid w:val="00D84DC8"/>
    <w:rsid w:val="00D86E04"/>
    <w:rsid w:val="00D900E5"/>
    <w:rsid w:val="00D940DB"/>
    <w:rsid w:val="00D964DD"/>
    <w:rsid w:val="00DA7304"/>
    <w:rsid w:val="00DA751B"/>
    <w:rsid w:val="00DB0597"/>
    <w:rsid w:val="00DB685C"/>
    <w:rsid w:val="00DC1DBB"/>
    <w:rsid w:val="00DC29E1"/>
    <w:rsid w:val="00DC4F6E"/>
    <w:rsid w:val="00DC600C"/>
    <w:rsid w:val="00DC617F"/>
    <w:rsid w:val="00DD279B"/>
    <w:rsid w:val="00DD6DFE"/>
    <w:rsid w:val="00DE60E7"/>
    <w:rsid w:val="00DF07C0"/>
    <w:rsid w:val="00DF4715"/>
    <w:rsid w:val="00DF5E20"/>
    <w:rsid w:val="00DF7982"/>
    <w:rsid w:val="00E00E8A"/>
    <w:rsid w:val="00E03D9B"/>
    <w:rsid w:val="00E059A4"/>
    <w:rsid w:val="00E05CC8"/>
    <w:rsid w:val="00E10BE5"/>
    <w:rsid w:val="00E169DC"/>
    <w:rsid w:val="00E227EE"/>
    <w:rsid w:val="00E44DC3"/>
    <w:rsid w:val="00E45DA0"/>
    <w:rsid w:val="00E54A49"/>
    <w:rsid w:val="00E6315B"/>
    <w:rsid w:val="00E740B2"/>
    <w:rsid w:val="00E80953"/>
    <w:rsid w:val="00E838A0"/>
    <w:rsid w:val="00E84E89"/>
    <w:rsid w:val="00E91888"/>
    <w:rsid w:val="00EA10A4"/>
    <w:rsid w:val="00EA7887"/>
    <w:rsid w:val="00EB4A52"/>
    <w:rsid w:val="00EC00C4"/>
    <w:rsid w:val="00ED2972"/>
    <w:rsid w:val="00ED34C1"/>
    <w:rsid w:val="00ED3DBB"/>
    <w:rsid w:val="00ED4728"/>
    <w:rsid w:val="00ED524F"/>
    <w:rsid w:val="00ED6199"/>
    <w:rsid w:val="00ED6B8D"/>
    <w:rsid w:val="00ED746E"/>
    <w:rsid w:val="00EE186E"/>
    <w:rsid w:val="00EE318A"/>
    <w:rsid w:val="00EE3390"/>
    <w:rsid w:val="00EE4B05"/>
    <w:rsid w:val="00EE4C8D"/>
    <w:rsid w:val="00EE61C0"/>
    <w:rsid w:val="00EE66CB"/>
    <w:rsid w:val="00EE7202"/>
    <w:rsid w:val="00F0045C"/>
    <w:rsid w:val="00F00B0E"/>
    <w:rsid w:val="00F15295"/>
    <w:rsid w:val="00F15D33"/>
    <w:rsid w:val="00F16569"/>
    <w:rsid w:val="00F22B6E"/>
    <w:rsid w:val="00F32053"/>
    <w:rsid w:val="00F40992"/>
    <w:rsid w:val="00F46CE4"/>
    <w:rsid w:val="00F526C7"/>
    <w:rsid w:val="00F60FFB"/>
    <w:rsid w:val="00F639A1"/>
    <w:rsid w:val="00F63DFB"/>
    <w:rsid w:val="00F64F74"/>
    <w:rsid w:val="00F809AC"/>
    <w:rsid w:val="00F80DAD"/>
    <w:rsid w:val="00F83AE9"/>
    <w:rsid w:val="00F96DF5"/>
    <w:rsid w:val="00FA2697"/>
    <w:rsid w:val="00FA60F4"/>
    <w:rsid w:val="00FA7EC0"/>
    <w:rsid w:val="00FB029D"/>
    <w:rsid w:val="00FB2095"/>
    <w:rsid w:val="00FB3C4D"/>
    <w:rsid w:val="00FB4158"/>
    <w:rsid w:val="00FB5C18"/>
    <w:rsid w:val="00FC6A8A"/>
    <w:rsid w:val="00FD2A60"/>
    <w:rsid w:val="00FD55C8"/>
    <w:rsid w:val="00FE530D"/>
    <w:rsid w:val="00FE5A04"/>
    <w:rsid w:val="00FE5E61"/>
    <w:rsid w:val="00FE72F8"/>
    <w:rsid w:val="00FF2590"/>
    <w:rsid w:val="083ECC37"/>
    <w:rsid w:val="0A3690D5"/>
    <w:rsid w:val="15C6F00B"/>
    <w:rsid w:val="2257C684"/>
    <w:rsid w:val="2B3D72FF"/>
    <w:rsid w:val="3E25F5FD"/>
    <w:rsid w:val="463107E2"/>
    <w:rsid w:val="471CDD4F"/>
    <w:rsid w:val="4C331A52"/>
    <w:rsid w:val="4E8CF558"/>
    <w:rsid w:val="543E2C37"/>
    <w:rsid w:val="5E523D91"/>
    <w:rsid w:val="5E696CB5"/>
    <w:rsid w:val="6135D79C"/>
    <w:rsid w:val="6193422E"/>
    <w:rsid w:val="695818A5"/>
    <w:rsid w:val="7650F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A8A42"/>
  <w15:chartTrackingRefBased/>
  <w15:docId w15:val="{61A9C2FB-5CF6-4BBD-B431-5C3A0C568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25F"/>
  </w:style>
  <w:style w:type="paragraph" w:styleId="Heading1">
    <w:name w:val="heading 1"/>
    <w:basedOn w:val="Normal"/>
    <w:next w:val="Normal"/>
    <w:link w:val="Heading1Char"/>
    <w:uiPriority w:val="9"/>
    <w:qFormat/>
    <w:rsid w:val="00C65D6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219F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173B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B6A4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32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132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325F"/>
  </w:style>
  <w:style w:type="paragraph" w:styleId="NoSpacing">
    <w:name w:val="No Spacing"/>
    <w:uiPriority w:val="1"/>
    <w:qFormat/>
    <w:rsid w:val="00A1325F"/>
    <w:pPr>
      <w:spacing w:after="0" w:line="240" w:lineRule="auto"/>
    </w:pPr>
  </w:style>
  <w:style w:type="character" w:styleId="CommentReference">
    <w:name w:val="annotation reference"/>
    <w:basedOn w:val="DefaultParagraphFont"/>
    <w:uiPriority w:val="99"/>
    <w:semiHidden/>
    <w:unhideWhenUsed/>
    <w:rsid w:val="00A1325F"/>
    <w:rPr>
      <w:sz w:val="16"/>
      <w:szCs w:val="16"/>
    </w:rPr>
  </w:style>
  <w:style w:type="paragraph" w:styleId="CommentText">
    <w:name w:val="annotation text"/>
    <w:basedOn w:val="Normal"/>
    <w:link w:val="CommentTextChar"/>
    <w:uiPriority w:val="99"/>
    <w:unhideWhenUsed/>
    <w:rsid w:val="00A1325F"/>
    <w:pPr>
      <w:spacing w:line="240" w:lineRule="auto"/>
    </w:pPr>
    <w:rPr>
      <w:sz w:val="20"/>
      <w:szCs w:val="20"/>
    </w:rPr>
  </w:style>
  <w:style w:type="character" w:customStyle="1" w:styleId="CommentTextChar">
    <w:name w:val="Comment Text Char"/>
    <w:basedOn w:val="DefaultParagraphFont"/>
    <w:link w:val="CommentText"/>
    <w:uiPriority w:val="99"/>
    <w:rsid w:val="00A1325F"/>
    <w:rPr>
      <w:sz w:val="20"/>
      <w:szCs w:val="20"/>
    </w:rPr>
  </w:style>
  <w:style w:type="paragraph" w:styleId="ListParagraph">
    <w:name w:val="List Paragraph"/>
    <w:basedOn w:val="Normal"/>
    <w:uiPriority w:val="34"/>
    <w:qFormat/>
    <w:rsid w:val="00A1325F"/>
    <w:pPr>
      <w:spacing w:after="0" w:line="240" w:lineRule="auto"/>
      <w:ind w:left="720"/>
      <w:contextualSpacing/>
    </w:pPr>
  </w:style>
  <w:style w:type="character" w:customStyle="1" w:styleId="Heading1Char">
    <w:name w:val="Heading 1 Char"/>
    <w:basedOn w:val="DefaultParagraphFont"/>
    <w:link w:val="Heading1"/>
    <w:uiPriority w:val="9"/>
    <w:rsid w:val="00C65D6B"/>
    <w:rPr>
      <w:rFonts w:asciiTheme="majorHAnsi" w:eastAsiaTheme="majorEastAsia" w:hAnsiTheme="majorHAnsi" w:cstheme="majorBidi"/>
      <w:color w:val="2F5496" w:themeColor="accent1" w:themeShade="BF"/>
      <w:sz w:val="32"/>
      <w:szCs w:val="32"/>
    </w:rPr>
  </w:style>
  <w:style w:type="paragraph" w:styleId="CommentSubject">
    <w:name w:val="annotation subject"/>
    <w:basedOn w:val="CommentText"/>
    <w:next w:val="CommentText"/>
    <w:link w:val="CommentSubjectChar"/>
    <w:uiPriority w:val="99"/>
    <w:semiHidden/>
    <w:unhideWhenUsed/>
    <w:rsid w:val="00C65D6B"/>
    <w:rPr>
      <w:b/>
      <w:bCs/>
    </w:rPr>
  </w:style>
  <w:style w:type="character" w:customStyle="1" w:styleId="CommentSubjectChar">
    <w:name w:val="Comment Subject Char"/>
    <w:basedOn w:val="CommentTextChar"/>
    <w:link w:val="CommentSubject"/>
    <w:uiPriority w:val="99"/>
    <w:semiHidden/>
    <w:rsid w:val="00C65D6B"/>
    <w:rPr>
      <w:b/>
      <w:bCs/>
      <w:sz w:val="20"/>
      <w:szCs w:val="20"/>
    </w:rPr>
  </w:style>
  <w:style w:type="paragraph" w:styleId="BalloonText">
    <w:name w:val="Balloon Text"/>
    <w:basedOn w:val="Normal"/>
    <w:link w:val="BalloonTextChar"/>
    <w:uiPriority w:val="99"/>
    <w:semiHidden/>
    <w:unhideWhenUsed/>
    <w:rsid w:val="00C65D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5D6B"/>
    <w:rPr>
      <w:rFonts w:ascii="Segoe UI" w:hAnsi="Segoe UI" w:cs="Segoe UI"/>
      <w:sz w:val="18"/>
      <w:szCs w:val="18"/>
    </w:rPr>
  </w:style>
  <w:style w:type="character" w:customStyle="1" w:styleId="Heading2Char">
    <w:name w:val="Heading 2 Char"/>
    <w:basedOn w:val="DefaultParagraphFont"/>
    <w:link w:val="Heading2"/>
    <w:uiPriority w:val="9"/>
    <w:rsid w:val="008219FE"/>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unhideWhenUsed/>
    <w:rsid w:val="00730574"/>
    <w:pPr>
      <w:spacing w:after="0" w:line="240" w:lineRule="auto"/>
    </w:pPr>
    <w:rPr>
      <w:sz w:val="20"/>
      <w:szCs w:val="20"/>
    </w:rPr>
  </w:style>
  <w:style w:type="character" w:customStyle="1" w:styleId="FootnoteTextChar">
    <w:name w:val="Footnote Text Char"/>
    <w:basedOn w:val="DefaultParagraphFont"/>
    <w:link w:val="FootnoteText"/>
    <w:uiPriority w:val="99"/>
    <w:rsid w:val="00730574"/>
    <w:rPr>
      <w:sz w:val="20"/>
      <w:szCs w:val="20"/>
    </w:rPr>
  </w:style>
  <w:style w:type="character" w:styleId="FootnoteReference">
    <w:name w:val="footnote reference"/>
    <w:basedOn w:val="DefaultParagraphFont"/>
    <w:uiPriority w:val="99"/>
    <w:unhideWhenUsed/>
    <w:rsid w:val="00730574"/>
    <w:rPr>
      <w:vertAlign w:val="superscript"/>
    </w:rPr>
  </w:style>
  <w:style w:type="character" w:styleId="Hyperlink">
    <w:name w:val="Hyperlink"/>
    <w:basedOn w:val="DefaultParagraphFont"/>
    <w:uiPriority w:val="99"/>
    <w:unhideWhenUsed/>
    <w:rsid w:val="00730574"/>
    <w:rPr>
      <w:color w:val="0000FF"/>
      <w:u w:val="single"/>
    </w:rPr>
  </w:style>
  <w:style w:type="paragraph" w:styleId="TOCHeading">
    <w:name w:val="TOC Heading"/>
    <w:basedOn w:val="Heading1"/>
    <w:next w:val="Normal"/>
    <w:uiPriority w:val="39"/>
    <w:unhideWhenUsed/>
    <w:qFormat/>
    <w:rsid w:val="00531700"/>
    <w:pPr>
      <w:outlineLvl w:val="9"/>
    </w:pPr>
  </w:style>
  <w:style w:type="paragraph" w:styleId="TOC1">
    <w:name w:val="toc 1"/>
    <w:basedOn w:val="Normal"/>
    <w:next w:val="Normal"/>
    <w:autoRedefine/>
    <w:uiPriority w:val="39"/>
    <w:unhideWhenUsed/>
    <w:rsid w:val="00531700"/>
    <w:pPr>
      <w:spacing w:after="100"/>
    </w:pPr>
  </w:style>
  <w:style w:type="paragraph" w:styleId="TOC2">
    <w:name w:val="toc 2"/>
    <w:basedOn w:val="Normal"/>
    <w:next w:val="Normal"/>
    <w:autoRedefine/>
    <w:uiPriority w:val="39"/>
    <w:unhideWhenUsed/>
    <w:rsid w:val="00531700"/>
    <w:pPr>
      <w:spacing w:after="100"/>
      <w:ind w:left="220"/>
    </w:pPr>
  </w:style>
  <w:style w:type="character" w:customStyle="1" w:styleId="Heading3Char">
    <w:name w:val="Heading 3 Char"/>
    <w:basedOn w:val="DefaultParagraphFont"/>
    <w:link w:val="Heading3"/>
    <w:uiPriority w:val="9"/>
    <w:rsid w:val="00C173BD"/>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837345"/>
    <w:pPr>
      <w:spacing w:after="100"/>
      <w:ind w:left="440"/>
    </w:pPr>
  </w:style>
  <w:style w:type="paragraph" w:customStyle="1" w:styleId="pf0">
    <w:name w:val="pf0"/>
    <w:basedOn w:val="Normal"/>
    <w:rsid w:val="00381F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381F22"/>
    <w:rPr>
      <w:rFonts w:ascii="Segoe UI" w:hAnsi="Segoe UI" w:cs="Segoe UI" w:hint="default"/>
      <w:sz w:val="18"/>
      <w:szCs w:val="18"/>
    </w:rPr>
  </w:style>
  <w:style w:type="paragraph" w:styleId="EndnoteText">
    <w:name w:val="endnote text"/>
    <w:basedOn w:val="Normal"/>
    <w:link w:val="EndnoteTextChar"/>
    <w:uiPriority w:val="99"/>
    <w:semiHidden/>
    <w:unhideWhenUsed/>
    <w:rsid w:val="00E838A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838A0"/>
    <w:rPr>
      <w:sz w:val="20"/>
      <w:szCs w:val="20"/>
    </w:rPr>
  </w:style>
  <w:style w:type="character" w:styleId="EndnoteReference">
    <w:name w:val="endnote reference"/>
    <w:basedOn w:val="DefaultParagraphFont"/>
    <w:uiPriority w:val="99"/>
    <w:semiHidden/>
    <w:unhideWhenUsed/>
    <w:rsid w:val="00E838A0"/>
    <w:rPr>
      <w:vertAlign w:val="superscript"/>
    </w:rPr>
  </w:style>
  <w:style w:type="character" w:customStyle="1" w:styleId="Heading4Char">
    <w:name w:val="Heading 4 Char"/>
    <w:basedOn w:val="DefaultParagraphFont"/>
    <w:link w:val="Heading4"/>
    <w:uiPriority w:val="9"/>
    <w:rsid w:val="002B6A40"/>
    <w:rPr>
      <w:rFonts w:asciiTheme="majorHAnsi" w:eastAsiaTheme="majorEastAsia" w:hAnsiTheme="majorHAnsi" w:cstheme="majorBidi"/>
      <w:i/>
      <w:iCs/>
      <w:color w:val="2F5496" w:themeColor="accent1" w:themeShade="BF"/>
    </w:rPr>
  </w:style>
  <w:style w:type="paragraph" w:styleId="Footer">
    <w:name w:val="footer"/>
    <w:basedOn w:val="Normal"/>
    <w:link w:val="FooterChar"/>
    <w:uiPriority w:val="99"/>
    <w:unhideWhenUsed/>
    <w:rsid w:val="00C123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23F0"/>
  </w:style>
  <w:style w:type="paragraph" w:styleId="Revision">
    <w:name w:val="Revision"/>
    <w:hidden/>
    <w:uiPriority w:val="99"/>
    <w:semiHidden/>
    <w:rsid w:val="00601D91"/>
    <w:pPr>
      <w:spacing w:after="0" w:line="240" w:lineRule="auto"/>
    </w:p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5205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49170">
      <w:bodyDiv w:val="1"/>
      <w:marLeft w:val="0"/>
      <w:marRight w:val="0"/>
      <w:marTop w:val="0"/>
      <w:marBottom w:val="0"/>
      <w:divBdr>
        <w:top w:val="none" w:sz="0" w:space="0" w:color="auto"/>
        <w:left w:val="none" w:sz="0" w:space="0" w:color="auto"/>
        <w:bottom w:val="none" w:sz="0" w:space="0" w:color="auto"/>
        <w:right w:val="none" w:sz="0" w:space="0" w:color="auto"/>
      </w:divBdr>
    </w:div>
    <w:div w:id="80879472">
      <w:bodyDiv w:val="1"/>
      <w:marLeft w:val="0"/>
      <w:marRight w:val="0"/>
      <w:marTop w:val="0"/>
      <w:marBottom w:val="0"/>
      <w:divBdr>
        <w:top w:val="none" w:sz="0" w:space="0" w:color="auto"/>
        <w:left w:val="none" w:sz="0" w:space="0" w:color="auto"/>
        <w:bottom w:val="none" w:sz="0" w:space="0" w:color="auto"/>
        <w:right w:val="none" w:sz="0" w:space="0" w:color="auto"/>
      </w:divBdr>
    </w:div>
    <w:div w:id="378282582">
      <w:bodyDiv w:val="1"/>
      <w:marLeft w:val="0"/>
      <w:marRight w:val="0"/>
      <w:marTop w:val="0"/>
      <w:marBottom w:val="0"/>
      <w:divBdr>
        <w:top w:val="none" w:sz="0" w:space="0" w:color="auto"/>
        <w:left w:val="none" w:sz="0" w:space="0" w:color="auto"/>
        <w:bottom w:val="none" w:sz="0" w:space="0" w:color="auto"/>
        <w:right w:val="none" w:sz="0" w:space="0" w:color="auto"/>
      </w:divBdr>
    </w:div>
    <w:div w:id="409698064">
      <w:bodyDiv w:val="1"/>
      <w:marLeft w:val="0"/>
      <w:marRight w:val="0"/>
      <w:marTop w:val="0"/>
      <w:marBottom w:val="0"/>
      <w:divBdr>
        <w:top w:val="none" w:sz="0" w:space="0" w:color="auto"/>
        <w:left w:val="none" w:sz="0" w:space="0" w:color="auto"/>
        <w:bottom w:val="none" w:sz="0" w:space="0" w:color="auto"/>
        <w:right w:val="none" w:sz="0" w:space="0" w:color="auto"/>
      </w:divBdr>
    </w:div>
    <w:div w:id="569191453">
      <w:bodyDiv w:val="1"/>
      <w:marLeft w:val="0"/>
      <w:marRight w:val="0"/>
      <w:marTop w:val="0"/>
      <w:marBottom w:val="0"/>
      <w:divBdr>
        <w:top w:val="none" w:sz="0" w:space="0" w:color="auto"/>
        <w:left w:val="none" w:sz="0" w:space="0" w:color="auto"/>
        <w:bottom w:val="none" w:sz="0" w:space="0" w:color="auto"/>
        <w:right w:val="none" w:sz="0" w:space="0" w:color="auto"/>
      </w:divBdr>
    </w:div>
    <w:div w:id="995497555">
      <w:bodyDiv w:val="1"/>
      <w:marLeft w:val="0"/>
      <w:marRight w:val="0"/>
      <w:marTop w:val="0"/>
      <w:marBottom w:val="0"/>
      <w:divBdr>
        <w:top w:val="none" w:sz="0" w:space="0" w:color="auto"/>
        <w:left w:val="none" w:sz="0" w:space="0" w:color="auto"/>
        <w:bottom w:val="none" w:sz="0" w:space="0" w:color="auto"/>
        <w:right w:val="none" w:sz="0" w:space="0" w:color="auto"/>
      </w:divBdr>
    </w:div>
    <w:div w:id="1121923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8" Type="http://schemas.openxmlformats.org/officeDocument/2006/relationships/hyperlink" Target="https://www.ncbi.nlm.nih.gov/pmc/articles/PMC4939731/pdf/HESR-51-378.pdf" TargetMode="External"/><Relationship Id="rId13" Type="http://schemas.openxmlformats.org/officeDocument/2006/relationships/hyperlink" Target="https://www.mass.gov/doc/covid-19-dashboard-october-8-2020/download" TargetMode="External"/><Relationship Id="rId18" Type="http://schemas.openxmlformats.org/officeDocument/2006/relationships/hyperlink" Target="https://seniorhousingnews.com/2020/06/03/smaller-is-better-covid-19-primes-senior-living-for-rise-small-house-models/" TargetMode="External"/><Relationship Id="rId26" Type="http://schemas.openxmlformats.org/officeDocument/2006/relationships/hyperlink" Target="https://www.ncbi.nlm.nih.gov/pmc/articles/PMC3540911/pdf/cia-8-001.pdf" TargetMode="External"/><Relationship Id="rId3" Type="http://schemas.openxmlformats.org/officeDocument/2006/relationships/hyperlink" Target="https://aspe.hhs.gov/system/files/pdf/261036/LifetimeRisk.pdf" TargetMode="External"/><Relationship Id="rId21" Type="http://schemas.openxmlformats.org/officeDocument/2006/relationships/hyperlink" Target="https://www.ncbi.nlm.nih.gov/pmc/articles/PMC4679482/" TargetMode="External"/><Relationship Id="rId7" Type="http://schemas.openxmlformats.org/officeDocument/2006/relationships/hyperlink" Target="https://www.ncbi.nlm.nih.gov/pmc/articles/PMC5338208/pdf/HESR-51-454.pdf" TargetMode="External"/><Relationship Id="rId12" Type="http://schemas.openxmlformats.org/officeDocument/2006/relationships/hyperlink" Target="https://www.mass.gov/doc/covid-19-dashboard-october-8-2020/download" TargetMode="External"/><Relationship Id="rId17" Type="http://schemas.openxmlformats.org/officeDocument/2006/relationships/hyperlink" Target="https://www.aarp.org/caregiving/basics/info-2020/household-model-nursing-homes-coronavirus.html" TargetMode="External"/><Relationship Id="rId25" Type="http://schemas.openxmlformats.org/officeDocument/2006/relationships/hyperlink" Target="https://doi.org/10.1111/j.1532-5415.2000.tb02624.x" TargetMode="External"/><Relationship Id="rId2" Type="http://schemas.openxmlformats.org/officeDocument/2006/relationships/hyperlink" Target="https://aspe.hhs.gov/system/files/pdf/261036/LifetimeRisk.pdf" TargetMode="External"/><Relationship Id="rId16" Type="http://schemas.openxmlformats.org/officeDocument/2006/relationships/hyperlink" Target="https://www.aarp.org/caregiving/basics/info-2020/household-model-nursing-homes-coronavirus.html" TargetMode="External"/><Relationship Id="rId20" Type="http://schemas.openxmlformats.org/officeDocument/2006/relationships/hyperlink" Target="https://www.ncbi.nlm.nih.gov/pmc/articles/PMC4679482/" TargetMode="External"/><Relationship Id="rId29" Type="http://schemas.openxmlformats.org/officeDocument/2006/relationships/hyperlink" Target="https://www.ncbi.nlm.nih.gov/pmc/articles/PMC4195056/pdf/hcfr-30-02-035.pdf" TargetMode="External"/><Relationship Id="rId1" Type="http://schemas.openxmlformats.org/officeDocument/2006/relationships/hyperlink" Target="https://thegreenhouseproject.org/our-story/history/" TargetMode="External"/><Relationship Id="rId6" Type="http://schemas.openxmlformats.org/officeDocument/2006/relationships/hyperlink" Target="https://www.ncbi.nlm.nih.gov/pmc/articles/PMC5338208/pdf/HESR-51-454.pdf" TargetMode="External"/><Relationship Id="rId11" Type="http://schemas.openxmlformats.org/officeDocument/2006/relationships/hyperlink" Target="https://www.ncbi.nlm.nih.gov/pmc/articles/PMC5338207/pdf/HESR-51-475.pdf" TargetMode="External"/><Relationship Id="rId24" Type="http://schemas.openxmlformats.org/officeDocument/2006/relationships/hyperlink" Target="https://doi.org/10.1111/j.1532-5415.2000.tb02624.x" TargetMode="External"/><Relationship Id="rId5" Type="http://schemas.openxmlformats.org/officeDocument/2006/relationships/hyperlink" Target="https://528f089c-7142-4ab5-bda8-77b11ee6385f.filesusr.com/ugd/c951bb_baaab436c32d4c64a789f41972298e6e.pdf" TargetMode="External"/><Relationship Id="rId15" Type="http://schemas.openxmlformats.org/officeDocument/2006/relationships/hyperlink" Target="https://doi.org/10.1111/jgs.16784" TargetMode="External"/><Relationship Id="rId23" Type="http://schemas.openxmlformats.org/officeDocument/2006/relationships/hyperlink" Target="https://www.ncbi.nlm.nih.gov/pmc/articles/PMC5338211/" TargetMode="External"/><Relationship Id="rId28" Type="http://schemas.openxmlformats.org/officeDocument/2006/relationships/hyperlink" Target="https://www.ncbi.nlm.nih.gov/pmc/articles/PMC4195056/pdf/hcfr-30-02-035.pdf" TargetMode="External"/><Relationship Id="rId10" Type="http://schemas.openxmlformats.org/officeDocument/2006/relationships/hyperlink" Target="https://www.ncbi.nlm.nih.gov/pmc/articles/PMC5338207/pdf/HESR-51-475.pdf" TargetMode="External"/><Relationship Id="rId19" Type="http://schemas.openxmlformats.org/officeDocument/2006/relationships/hyperlink" Target="https://seniorhousingnews.com/2020/06/03/smaller-is-better-covid-19-primes-senior-living-for-rise-small-house-models/" TargetMode="External"/><Relationship Id="rId4" Type="http://schemas.openxmlformats.org/officeDocument/2006/relationships/hyperlink" Target="https://528f089c-7142-4ab5-bda8-77b11ee6385f.filesusr.com/ugd/c951bb_baaab436c32d4c64a789f41972298e6e.pdf" TargetMode="External"/><Relationship Id="rId9" Type="http://schemas.openxmlformats.org/officeDocument/2006/relationships/hyperlink" Target="https://www.ncbi.nlm.nih.gov/pmc/articles/PMC4939731/pdf/HESR-51-378.pdf" TargetMode="External"/><Relationship Id="rId14" Type="http://schemas.openxmlformats.org/officeDocument/2006/relationships/hyperlink" Target="https://doi.org/10.1111/jgs.16784" TargetMode="External"/><Relationship Id="rId22" Type="http://schemas.openxmlformats.org/officeDocument/2006/relationships/hyperlink" Target="https://www.ncbi.nlm.nih.gov/pmc/articles/PMC5338211/" TargetMode="External"/><Relationship Id="rId27" Type="http://schemas.openxmlformats.org/officeDocument/2006/relationships/hyperlink" Target="https://www.ncbi.nlm.nih.gov/pmc/articles/PMC3540911/pdf/cia-8-001.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mass.gov/doc/navigator-homes-of-marthas-vineyard-pdf/download" TargetMode="External"/><Relationship Id="rId3" Type="http://schemas.openxmlformats.org/officeDocument/2006/relationships/hyperlink" Target="https://www.census.gov/newsroom/press-releases/2018/cb18-41-population-projections.html" TargetMode="External"/><Relationship Id="rId7" Type="http://schemas.openxmlformats.org/officeDocument/2006/relationships/hyperlink" Target="http://www.mvcommission.org/" TargetMode="External"/><Relationship Id="rId2" Type="http://schemas.openxmlformats.org/officeDocument/2006/relationships/hyperlink" Target="http://www.pep.donahue-institute.org/downloads/2015/new/UMDI_LongTermPopulationProjectionsReport_SECTION_2.pdf" TargetMode="External"/><Relationship Id="rId1" Type="http://schemas.openxmlformats.org/officeDocument/2006/relationships/hyperlink" Target="http://www.pep.donahue-institute.org/downloads/2015/new/UMDI_LongTermPopulationProjectionsReport_SECTION_2.pdf" TargetMode="External"/><Relationship Id="rId6" Type="http://schemas.openxmlformats.org/officeDocument/2006/relationships/hyperlink" Target="https://www.census.gov/newsroom/press-releases/2014/cb14-84.html" TargetMode="External"/><Relationship Id="rId11" Type="http://schemas.openxmlformats.org/officeDocument/2006/relationships/hyperlink" Target="https://www.mass.gov/info-details/navigator-homes-of-marthas-vineyard-inc-long-term-care-substantial-capital-expenditure" TargetMode="External"/><Relationship Id="rId5" Type="http://schemas.openxmlformats.org/officeDocument/2006/relationships/hyperlink" Target="https://www.census.gov/newsroom/press-releases/2014/cb14-84.html" TargetMode="External"/><Relationship Id="rId10" Type="http://schemas.openxmlformats.org/officeDocument/2006/relationships/hyperlink" Target="https://www.mass.gov/info-details/navigator-homes-of-marthas-vineyard-inc-long-term-care-substantial-capital-expenditure" TargetMode="External"/><Relationship Id="rId4" Type="http://schemas.openxmlformats.org/officeDocument/2006/relationships/hyperlink" Target="https://www.census.gov/newsroom/press-releases/2018/cb18-41-population-projections.html" TargetMode="External"/><Relationship Id="rId9" Type="http://schemas.openxmlformats.org/officeDocument/2006/relationships/hyperlink" Target="https://www.mass.gov/doc/navigator-homes-of-marthas-vineyard-pdf/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ABC7A6-1D7C-42EA-8AA8-E277D47D0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29</Pages>
  <Words>9528</Words>
  <Characters>54316</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Szent-Gyorgyi, Lara (DPH)</dc:creator>
  <cp:keywords/>
  <dc:description/>
  <cp:lastModifiedBy>Marks, Brett (DPH)</cp:lastModifiedBy>
  <cp:revision>25</cp:revision>
  <cp:lastPrinted>2023-01-09T20:56:00Z</cp:lastPrinted>
  <dcterms:created xsi:type="dcterms:W3CDTF">2023-03-14T16:33:00Z</dcterms:created>
  <dcterms:modified xsi:type="dcterms:W3CDTF">2023-03-15T13:23:00Z</dcterms:modified>
</cp:coreProperties>
</file>